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20861" w14:textId="4CF18130" w:rsidR="00F24F5B" w:rsidRDefault="00F24F5B" w:rsidP="00873716">
      <w:pPr>
        <w:jc w:val="center"/>
        <w:rPr>
          <w:rFonts w:ascii="Times New Roman" w:hAnsi="Times New Roman" w:cs="Times New Roman"/>
          <w:sz w:val="24"/>
          <w:szCs w:val="24"/>
        </w:rPr>
        <w:sectPr w:rsidR="00F24F5B" w:rsidSect="00F24F5B">
          <w:headerReference w:type="even" r:id="rId8"/>
          <w:headerReference w:type="default" r:id="rId9"/>
          <w:headerReference w:type="first" r:id="rId10"/>
          <w:pgSz w:w="11906" w:h="16838"/>
          <w:pgMar w:top="1440" w:right="1440" w:bottom="1440" w:left="1440" w:header="708" w:footer="708" w:gutter="0"/>
          <w:cols w:num="2" w:space="708"/>
          <w:docGrid w:linePitch="360"/>
        </w:sectPr>
      </w:pPr>
    </w:p>
    <w:p w14:paraId="25CCB8FB" w14:textId="77777777" w:rsidR="00B625EC" w:rsidRDefault="00B625EC" w:rsidP="009628E4">
      <w:pPr>
        <w:jc w:val="center"/>
        <w:rPr>
          <w:rFonts w:ascii="Times New Roman" w:hAnsi="Times New Roman" w:cs="Times New Roman"/>
          <w:sz w:val="24"/>
          <w:szCs w:val="24"/>
          <w:lang w:val="en-IN"/>
        </w:rPr>
      </w:pPr>
      <w:r w:rsidRPr="00B625EC">
        <w:rPr>
          <w:rFonts w:ascii="Times New Roman" w:hAnsi="Times New Roman" w:cs="Times New Roman"/>
          <w:sz w:val="24"/>
          <w:szCs w:val="24"/>
        </w:rPr>
        <w:t>Original Research Article</w:t>
      </w:r>
    </w:p>
    <w:p w14:paraId="087AE9AE" w14:textId="2F0376B4" w:rsidR="00962DA3" w:rsidRDefault="00962DA3" w:rsidP="006155BD">
      <w:pPr>
        <w:jc w:val="center"/>
        <w:rPr>
          <w:rFonts w:ascii="Times New Roman" w:hAnsi="Times New Roman" w:cs="Times New Roman"/>
          <w:sz w:val="24"/>
          <w:szCs w:val="24"/>
        </w:rPr>
      </w:pPr>
      <w:r w:rsidRPr="00962DA3">
        <w:rPr>
          <w:rFonts w:ascii="Times New Roman" w:hAnsi="Times New Roman" w:cs="Times New Roman"/>
          <w:sz w:val="24"/>
          <w:szCs w:val="24"/>
        </w:rPr>
        <w:t>Effect of Free and Nanoparticle-Based Vitamin C and Curcumin on Renal Function, Lipid Profile, and Kidney Histology in Adenine-Induced Chronic Kidney Disease in Male Wistar Rats</w:t>
      </w:r>
    </w:p>
    <w:p w14:paraId="36FCB6E2" w14:textId="4594DD52" w:rsidR="00873716" w:rsidRPr="00157BE7" w:rsidRDefault="00873716" w:rsidP="00566A26">
      <w:pPr>
        <w:spacing w:line="360" w:lineRule="auto"/>
        <w:jc w:val="center"/>
        <w:rPr>
          <w:rFonts w:ascii="Times New Roman" w:hAnsi="Times New Roman" w:cs="Times New Roman"/>
          <w:sz w:val="24"/>
          <w:szCs w:val="24"/>
        </w:rPr>
      </w:pPr>
      <w:r w:rsidRPr="00157BE7">
        <w:rPr>
          <w:rFonts w:ascii="Times New Roman" w:hAnsi="Times New Roman" w:cs="Times New Roman"/>
          <w:sz w:val="24"/>
          <w:szCs w:val="24"/>
        </w:rPr>
        <w:t>Abstract</w:t>
      </w:r>
    </w:p>
    <w:p w14:paraId="7425EABD" w14:textId="4CDFA75C" w:rsidR="00DF6641" w:rsidRPr="00157BE7" w:rsidRDefault="00EA025B" w:rsidP="00566A26">
      <w:pPr>
        <w:spacing w:after="0" w:line="360" w:lineRule="auto"/>
        <w:jc w:val="both"/>
        <w:rPr>
          <w:rFonts w:ascii="Times New Roman" w:hAnsi="Times New Roman" w:cs="Times New Roman"/>
          <w:sz w:val="24"/>
          <w:szCs w:val="24"/>
        </w:rPr>
      </w:pPr>
      <w:r w:rsidRPr="00157BE7">
        <w:rPr>
          <w:rFonts w:ascii="Times New Roman" w:hAnsi="Times New Roman" w:cs="Times New Roman"/>
          <w:sz w:val="24"/>
          <w:szCs w:val="24"/>
        </w:rPr>
        <w:t>Chronic kidney disease (CKD) is a major public health problem characterized by progressive loss of renal function, dyslipidemia, and structural damage to kidney tissue, increas</w:t>
      </w:r>
      <w:r w:rsidR="007E524F">
        <w:rPr>
          <w:rFonts w:ascii="Times New Roman" w:hAnsi="Times New Roman" w:cs="Times New Roman"/>
          <w:sz w:val="24"/>
          <w:szCs w:val="24"/>
        </w:rPr>
        <w:t>ing</w:t>
      </w:r>
      <w:r w:rsidRPr="00157BE7">
        <w:rPr>
          <w:rFonts w:ascii="Times New Roman" w:hAnsi="Times New Roman" w:cs="Times New Roman"/>
          <w:sz w:val="24"/>
          <w:szCs w:val="24"/>
        </w:rPr>
        <w:t xml:space="preserve"> morbidity and mortality. Although vitamin C and curcumin possess established antioxidant and </w:t>
      </w:r>
      <w:proofErr w:type="spellStart"/>
      <w:r w:rsidRPr="00157BE7">
        <w:rPr>
          <w:rFonts w:ascii="Times New Roman" w:hAnsi="Times New Roman" w:cs="Times New Roman"/>
          <w:sz w:val="24"/>
          <w:szCs w:val="24"/>
        </w:rPr>
        <w:t>renoprotective</w:t>
      </w:r>
      <w:proofErr w:type="spellEnd"/>
      <w:r w:rsidRPr="00157BE7">
        <w:rPr>
          <w:rFonts w:ascii="Times New Roman" w:hAnsi="Times New Roman" w:cs="Times New Roman"/>
          <w:sz w:val="24"/>
          <w:szCs w:val="24"/>
        </w:rPr>
        <w:t xml:space="preserve"> properties, their clinical effectiveness is limited by poor bioavailability and stability. This study investigated effects of free and chitosan nanoparticle–based vitamin C and curcumin on renal function, lipid profile, and kidney histology in adenine-induced chronic kidney disease male Wistar rats. Chitosan nanoparticles were prepared using the ionic gelation method. Forty rats were randomly assigned into eight groups (n = 5): control, CKD, chitosan nanoparticle control, vitamin C, curcumin, vitamin C nanoparticle, curcumin nanoparticle and vitamin C–curcumin nanoparticle. Chronic kidney disease was induced by oral administration of adenine (400 mg/kg/day) for 21 days, followed by 21 days of treatment. Renal function parameters, lipid profile indices and renal histological features were evaluated. Adenine-induced CKD resulted in marked renal dysfunction, lipid abnormalities and histological alterations. Treatment with nanoparticle-based antioxidants, particularly the vitamin C–curcumin nanoparticle, showed greater improvement compared to free antioxidants. These findings indicate that chitosan-based nanoparticle delivery enhances the therapeutic efficacy of vitamin C and curcumin in adenine-induced chronic kidney disease.</w:t>
      </w:r>
    </w:p>
    <w:p w14:paraId="3D0D446E" w14:textId="1E105991" w:rsidR="00F24F5B" w:rsidRDefault="00DF6641" w:rsidP="008C0490">
      <w:pPr>
        <w:spacing w:line="360" w:lineRule="auto"/>
        <w:jc w:val="both"/>
        <w:rPr>
          <w:rFonts w:ascii="Times New Roman" w:hAnsi="Times New Roman" w:cs="Times New Roman"/>
          <w:sz w:val="24"/>
          <w:szCs w:val="24"/>
        </w:rPr>
      </w:pPr>
      <w:r w:rsidRPr="00157BE7">
        <w:rPr>
          <w:rFonts w:ascii="Times New Roman" w:hAnsi="Times New Roman" w:cs="Times New Roman"/>
          <w:sz w:val="24"/>
          <w:szCs w:val="24"/>
        </w:rPr>
        <w:t>Key words:</w:t>
      </w:r>
      <w:r w:rsidR="00AF0ABF" w:rsidRPr="00157BE7">
        <w:rPr>
          <w:rFonts w:ascii="Times New Roman" w:hAnsi="Times New Roman" w:cs="Times New Roman"/>
          <w:sz w:val="24"/>
          <w:szCs w:val="24"/>
        </w:rPr>
        <w:t xml:space="preserve"> Chronic kidney disease; Adenine-induced nephropathy; Chitosan nanoparticles; Antioxidant therapy; Renal function; Kidney histology.</w:t>
      </w:r>
    </w:p>
    <w:p w14:paraId="4CDDD9A1" w14:textId="77777777" w:rsidR="00F24F5B" w:rsidRDefault="00566A26" w:rsidP="00566A26">
      <w:pPr>
        <w:spacing w:line="360" w:lineRule="auto"/>
        <w:jc w:val="both"/>
        <w:rPr>
          <w:rFonts w:ascii="Times New Roman" w:hAnsi="Times New Roman" w:cs="Times New Roman"/>
          <w:sz w:val="24"/>
          <w:szCs w:val="24"/>
        </w:rPr>
      </w:pPr>
      <w:bookmarkStart w:id="0" w:name="_Hlk221475810"/>
      <w:r>
        <w:rPr>
          <w:rFonts w:ascii="Times New Roman" w:hAnsi="Times New Roman" w:cs="Times New Roman"/>
          <w:sz w:val="24"/>
          <w:szCs w:val="24"/>
        </w:rPr>
        <w:t>Keywords:</w:t>
      </w:r>
      <w:bookmarkEnd w:id="0"/>
      <w:r>
        <w:rPr>
          <w:rFonts w:ascii="Times New Roman" w:hAnsi="Times New Roman" w:cs="Times New Roman"/>
          <w:sz w:val="24"/>
          <w:szCs w:val="24"/>
        </w:rPr>
        <w:t xml:space="preserve"> Adenine; Chronic kidney disease; Nanoparticle; Chitosan </w:t>
      </w:r>
    </w:p>
    <w:p w14:paraId="7D8A4C62" w14:textId="77777777" w:rsidR="00887725" w:rsidRDefault="00887725" w:rsidP="00566A26">
      <w:pPr>
        <w:spacing w:line="360" w:lineRule="auto"/>
        <w:jc w:val="both"/>
        <w:rPr>
          <w:rFonts w:ascii="Times New Roman" w:hAnsi="Times New Roman" w:cs="Times New Roman"/>
          <w:sz w:val="24"/>
          <w:szCs w:val="24"/>
        </w:rPr>
      </w:pPr>
    </w:p>
    <w:p w14:paraId="717E1D37" w14:textId="77777777" w:rsidR="00887725" w:rsidRDefault="00887725" w:rsidP="00566A26">
      <w:pPr>
        <w:spacing w:line="360" w:lineRule="auto"/>
        <w:jc w:val="both"/>
        <w:rPr>
          <w:rFonts w:ascii="Times New Roman" w:hAnsi="Times New Roman" w:cs="Times New Roman"/>
          <w:sz w:val="24"/>
          <w:szCs w:val="24"/>
        </w:rPr>
      </w:pPr>
    </w:p>
    <w:p w14:paraId="72F18D4E" w14:textId="77777777" w:rsidR="00887725" w:rsidRDefault="00887725" w:rsidP="00566A26">
      <w:pPr>
        <w:spacing w:line="360" w:lineRule="auto"/>
        <w:jc w:val="both"/>
        <w:rPr>
          <w:rFonts w:ascii="Times New Roman" w:hAnsi="Times New Roman" w:cs="Times New Roman"/>
          <w:sz w:val="24"/>
          <w:szCs w:val="24"/>
        </w:rPr>
      </w:pPr>
    </w:p>
    <w:p w14:paraId="62B85EF2" w14:textId="77777777" w:rsidR="00887725" w:rsidRDefault="00887725" w:rsidP="00566A26">
      <w:pPr>
        <w:spacing w:line="360" w:lineRule="auto"/>
        <w:jc w:val="both"/>
        <w:rPr>
          <w:rFonts w:ascii="Times New Roman" w:hAnsi="Times New Roman" w:cs="Times New Roman"/>
          <w:sz w:val="24"/>
          <w:szCs w:val="24"/>
        </w:rPr>
      </w:pPr>
    </w:p>
    <w:p w14:paraId="0F8A91A4" w14:textId="37C6DA7A" w:rsidR="00887725" w:rsidRDefault="00887725" w:rsidP="00566A26">
      <w:pPr>
        <w:spacing w:line="360" w:lineRule="auto"/>
        <w:jc w:val="both"/>
        <w:rPr>
          <w:rFonts w:ascii="Times New Roman" w:hAnsi="Times New Roman" w:cs="Times New Roman"/>
          <w:sz w:val="24"/>
          <w:szCs w:val="24"/>
        </w:rPr>
        <w:sectPr w:rsidR="00887725" w:rsidSect="00A40D74">
          <w:type w:val="continuous"/>
          <w:pgSz w:w="11906" w:h="16838"/>
          <w:pgMar w:top="1418" w:right="1418" w:bottom="1418" w:left="1418" w:header="709" w:footer="709" w:gutter="0"/>
          <w:cols w:space="708"/>
          <w:docGrid w:linePitch="360"/>
        </w:sectPr>
      </w:pPr>
    </w:p>
    <w:p w14:paraId="6B80CBA7" w14:textId="77777777" w:rsidR="00F24F5B" w:rsidRDefault="00F24F5B" w:rsidP="00566A26">
      <w:pPr>
        <w:spacing w:line="360" w:lineRule="auto"/>
        <w:jc w:val="both"/>
        <w:rPr>
          <w:rFonts w:ascii="Times New Roman" w:hAnsi="Times New Roman" w:cs="Times New Roman"/>
          <w:sz w:val="24"/>
          <w:szCs w:val="24"/>
        </w:rPr>
      </w:pPr>
    </w:p>
    <w:p w14:paraId="2A9AEDF4" w14:textId="3C5A33C4" w:rsidR="00AF0ABF" w:rsidRPr="00157BE7" w:rsidRDefault="00AF0ABF" w:rsidP="00566A26">
      <w:pPr>
        <w:spacing w:line="360" w:lineRule="auto"/>
        <w:jc w:val="both"/>
        <w:rPr>
          <w:rFonts w:ascii="Times New Roman" w:hAnsi="Times New Roman" w:cs="Times New Roman"/>
          <w:sz w:val="24"/>
          <w:szCs w:val="24"/>
        </w:rPr>
      </w:pPr>
      <w:r w:rsidRPr="00157BE7">
        <w:rPr>
          <w:rFonts w:ascii="Times New Roman" w:hAnsi="Times New Roman" w:cs="Times New Roman"/>
          <w:sz w:val="24"/>
          <w:szCs w:val="24"/>
        </w:rPr>
        <w:t>Introduction</w:t>
      </w:r>
    </w:p>
    <w:p w14:paraId="5939AD5A" w14:textId="43D0821B" w:rsidR="00AF0ABF" w:rsidRPr="00157BE7" w:rsidRDefault="00AF0ABF" w:rsidP="00566A26">
      <w:pPr>
        <w:spacing w:line="360" w:lineRule="auto"/>
        <w:jc w:val="both"/>
        <w:rPr>
          <w:rFonts w:ascii="Times New Roman" w:hAnsi="Times New Roman" w:cs="Times New Roman"/>
          <w:sz w:val="24"/>
          <w:szCs w:val="24"/>
        </w:rPr>
      </w:pPr>
      <w:r w:rsidRPr="00157BE7">
        <w:rPr>
          <w:rFonts w:ascii="Times New Roman" w:hAnsi="Times New Roman" w:cs="Times New Roman"/>
          <w:sz w:val="24"/>
          <w:szCs w:val="24"/>
        </w:rPr>
        <w:lastRenderedPageBreak/>
        <w:t>Chronic kidney disease (CKD) is a major global</w:t>
      </w:r>
      <w:r w:rsidR="00612F14">
        <w:rPr>
          <w:rFonts w:ascii="Times New Roman" w:hAnsi="Times New Roman" w:cs="Times New Roman"/>
          <w:sz w:val="24"/>
          <w:szCs w:val="24"/>
        </w:rPr>
        <w:t xml:space="preserve"> </w:t>
      </w:r>
      <w:r w:rsidRPr="00157BE7">
        <w:rPr>
          <w:rFonts w:ascii="Times New Roman" w:hAnsi="Times New Roman" w:cs="Times New Roman"/>
          <w:sz w:val="24"/>
          <w:szCs w:val="24"/>
        </w:rPr>
        <w:t>health problem associated with increasing morbidity, mortality, and economic burden</w:t>
      </w:r>
      <w:r w:rsidR="007B1A13" w:rsidRPr="00157BE7">
        <w:rPr>
          <w:rFonts w:ascii="Times New Roman" w:hAnsi="Times New Roman" w:cs="Times New Roman"/>
          <w:sz w:val="24"/>
          <w:szCs w:val="24"/>
        </w:rPr>
        <w:t xml:space="preserve"> </w:t>
      </w:r>
      <w:r w:rsidR="00A40D74">
        <w:rPr>
          <w:rFonts w:ascii="Times New Roman" w:hAnsi="Times New Roman" w:cs="Times New Roman"/>
        </w:rPr>
        <w:t>[1]</w:t>
      </w:r>
      <w:r w:rsidRPr="00157BE7">
        <w:rPr>
          <w:rFonts w:ascii="Times New Roman" w:hAnsi="Times New Roman" w:cs="Times New Roman"/>
          <w:sz w:val="24"/>
          <w:szCs w:val="24"/>
        </w:rPr>
        <w:t xml:space="preserve">. It is defined </w:t>
      </w:r>
      <w:r w:rsidR="00612F14" w:rsidRPr="00157BE7">
        <w:rPr>
          <w:rFonts w:ascii="Times New Roman" w:hAnsi="Times New Roman" w:cs="Times New Roman"/>
          <w:sz w:val="24"/>
          <w:szCs w:val="24"/>
        </w:rPr>
        <w:t>by persistent</w:t>
      </w:r>
      <w:r w:rsidRPr="00157BE7">
        <w:rPr>
          <w:rFonts w:ascii="Times New Roman" w:hAnsi="Times New Roman" w:cs="Times New Roman"/>
          <w:sz w:val="24"/>
          <w:szCs w:val="24"/>
        </w:rPr>
        <w:t xml:space="preserve"> reduction in kidney structure and function lasting at least three months, leading to impaired excretory capacity, metabolic imbalance, and progressive organ damage</w:t>
      </w:r>
      <w:r w:rsidR="007B1A13" w:rsidRPr="00157BE7">
        <w:rPr>
          <w:rFonts w:ascii="Times New Roman" w:hAnsi="Times New Roman" w:cs="Times New Roman"/>
          <w:sz w:val="24"/>
          <w:szCs w:val="24"/>
        </w:rPr>
        <w:t xml:space="preserve"> </w:t>
      </w:r>
      <w:r w:rsidR="00A40D74">
        <w:rPr>
          <w:rFonts w:ascii="Times New Roman" w:hAnsi="Times New Roman" w:cs="Times New Roman"/>
        </w:rPr>
        <w:t>[2]</w:t>
      </w:r>
      <w:r w:rsidRPr="00157BE7">
        <w:rPr>
          <w:rFonts w:ascii="Times New Roman" w:hAnsi="Times New Roman" w:cs="Times New Roman"/>
          <w:sz w:val="24"/>
          <w:szCs w:val="24"/>
        </w:rPr>
        <w:t xml:space="preserve">. As the disease advances, patients commonly present with albuminuria, elevated renal biomarkers, chronic inflammation, and structural alterations </w:t>
      </w:r>
      <w:r w:rsidR="00612F14">
        <w:rPr>
          <w:rFonts w:ascii="Times New Roman" w:hAnsi="Times New Roman" w:cs="Times New Roman"/>
          <w:sz w:val="24"/>
          <w:szCs w:val="24"/>
        </w:rPr>
        <w:t>of</w:t>
      </w:r>
      <w:r w:rsidRPr="00157BE7">
        <w:rPr>
          <w:rFonts w:ascii="Times New Roman" w:hAnsi="Times New Roman" w:cs="Times New Roman"/>
          <w:sz w:val="24"/>
          <w:szCs w:val="24"/>
        </w:rPr>
        <w:t xml:space="preserve"> kidney tissue, all of which contribute to poor clinical outcomes and reduced quality of life</w:t>
      </w:r>
      <w:r w:rsidR="007B1A13" w:rsidRPr="00157BE7">
        <w:rPr>
          <w:rFonts w:ascii="Times New Roman" w:hAnsi="Times New Roman" w:cs="Times New Roman"/>
          <w:sz w:val="24"/>
          <w:szCs w:val="24"/>
        </w:rPr>
        <w:t xml:space="preserve"> damage</w:t>
      </w:r>
      <w:r w:rsidR="00A40D74">
        <w:rPr>
          <w:rFonts w:ascii="Times New Roman" w:hAnsi="Times New Roman" w:cs="Times New Roman"/>
          <w:sz w:val="24"/>
          <w:szCs w:val="24"/>
        </w:rPr>
        <w:t xml:space="preserve"> </w:t>
      </w:r>
      <w:r w:rsidR="00A40D74">
        <w:rPr>
          <w:rFonts w:ascii="Times New Roman" w:hAnsi="Times New Roman" w:cs="Times New Roman"/>
        </w:rPr>
        <w:t>[3]</w:t>
      </w:r>
      <w:r w:rsidRPr="00157BE7">
        <w:rPr>
          <w:rFonts w:ascii="Times New Roman" w:hAnsi="Times New Roman" w:cs="Times New Roman"/>
          <w:sz w:val="24"/>
          <w:szCs w:val="24"/>
        </w:rPr>
        <w:t>.</w:t>
      </w:r>
    </w:p>
    <w:p w14:paraId="144FD73C" w14:textId="1BF255A8" w:rsidR="00AF0ABF" w:rsidRPr="00157BE7" w:rsidRDefault="00AF0ABF" w:rsidP="00566A26">
      <w:pPr>
        <w:spacing w:line="360" w:lineRule="auto"/>
        <w:jc w:val="both"/>
        <w:rPr>
          <w:rFonts w:ascii="Times New Roman" w:hAnsi="Times New Roman" w:cs="Times New Roman"/>
          <w:sz w:val="24"/>
          <w:szCs w:val="24"/>
        </w:rPr>
      </w:pPr>
      <w:r w:rsidRPr="00157BE7">
        <w:rPr>
          <w:rFonts w:ascii="Times New Roman" w:hAnsi="Times New Roman" w:cs="Times New Roman"/>
          <w:sz w:val="24"/>
          <w:szCs w:val="24"/>
        </w:rPr>
        <w:t>The etiology of CKD is multifactorial and includes hypertension, metabolic disorders, exposure to nephrotoxic substances, and prolonged use of certain medications or herbal preparations</w:t>
      </w:r>
      <w:r w:rsidR="00A40D74">
        <w:rPr>
          <w:rFonts w:ascii="Times New Roman" w:hAnsi="Times New Roman" w:cs="Times New Roman"/>
          <w:sz w:val="24"/>
          <w:szCs w:val="24"/>
        </w:rPr>
        <w:t xml:space="preserve"> </w:t>
      </w:r>
      <w:r w:rsidR="00A40D74">
        <w:rPr>
          <w:rFonts w:ascii="Times New Roman" w:hAnsi="Times New Roman" w:cs="Times New Roman"/>
        </w:rPr>
        <w:t>[4]</w:t>
      </w:r>
      <w:r w:rsidRPr="00157BE7">
        <w:rPr>
          <w:rFonts w:ascii="Times New Roman" w:hAnsi="Times New Roman" w:cs="Times New Roman"/>
          <w:sz w:val="24"/>
          <w:szCs w:val="24"/>
        </w:rPr>
        <w:t xml:space="preserve">. Sustained hypertension causes damage to renal microvasculature, resulting in arteriolar thickening, glomerular injury, and impaired glomerular </w:t>
      </w:r>
      <w:r w:rsidR="00AD7696" w:rsidRPr="00157BE7">
        <w:rPr>
          <w:rFonts w:ascii="Times New Roman" w:hAnsi="Times New Roman" w:cs="Times New Roman"/>
          <w:sz w:val="24"/>
          <w:szCs w:val="24"/>
        </w:rPr>
        <w:t>filtration [</w:t>
      </w:r>
      <w:r w:rsidR="00AD7696">
        <w:rPr>
          <w:rFonts w:ascii="Times New Roman" w:hAnsi="Times New Roman" w:cs="Times New Roman"/>
        </w:rPr>
        <w:t>5]</w:t>
      </w:r>
      <w:r w:rsidRPr="00157BE7">
        <w:rPr>
          <w:rFonts w:ascii="Times New Roman" w:hAnsi="Times New Roman" w:cs="Times New Roman"/>
          <w:sz w:val="24"/>
          <w:szCs w:val="24"/>
        </w:rPr>
        <w:t>. Beyond hemodynamic factors, oxidative stress and inflammation are central mechanisms in the initiation and progression of CKD</w:t>
      </w:r>
      <w:r w:rsidR="00AD7696">
        <w:rPr>
          <w:rFonts w:ascii="Times New Roman" w:hAnsi="Times New Roman" w:cs="Times New Roman"/>
          <w:sz w:val="24"/>
          <w:szCs w:val="24"/>
        </w:rPr>
        <w:t xml:space="preserve"> </w:t>
      </w:r>
      <w:r w:rsidR="00AD7696">
        <w:rPr>
          <w:rFonts w:ascii="Times New Roman" w:hAnsi="Times New Roman" w:cs="Times New Roman"/>
        </w:rPr>
        <w:t>[6]</w:t>
      </w:r>
      <w:r w:rsidRPr="00157BE7">
        <w:rPr>
          <w:rFonts w:ascii="Times New Roman" w:hAnsi="Times New Roman" w:cs="Times New Roman"/>
          <w:sz w:val="24"/>
          <w:szCs w:val="24"/>
        </w:rPr>
        <w:t>. Excessive generation of reactive oxygen species overwhelms endogenous antioxidant defenses, while persistent inflammatory responses promote renal fibrosis, tubular damage, and functional decline</w:t>
      </w:r>
      <w:r w:rsidR="00AD7696">
        <w:rPr>
          <w:rFonts w:ascii="Times New Roman" w:hAnsi="Times New Roman" w:cs="Times New Roman"/>
          <w:sz w:val="24"/>
          <w:szCs w:val="24"/>
        </w:rPr>
        <w:t xml:space="preserve"> </w:t>
      </w:r>
      <w:r w:rsidR="00AD7696">
        <w:rPr>
          <w:rFonts w:ascii="Times New Roman" w:hAnsi="Times New Roman" w:cs="Times New Roman"/>
        </w:rPr>
        <w:t>[7,8]</w:t>
      </w:r>
      <w:r w:rsidRPr="00157BE7">
        <w:rPr>
          <w:rFonts w:ascii="Times New Roman" w:hAnsi="Times New Roman" w:cs="Times New Roman"/>
          <w:sz w:val="24"/>
          <w:szCs w:val="24"/>
        </w:rPr>
        <w:t>.</w:t>
      </w:r>
    </w:p>
    <w:p w14:paraId="79CB9287" w14:textId="55809E21" w:rsidR="00AF0ABF" w:rsidRPr="00157BE7" w:rsidRDefault="00AF0ABF" w:rsidP="00566A26">
      <w:pPr>
        <w:spacing w:line="360" w:lineRule="auto"/>
        <w:jc w:val="both"/>
        <w:rPr>
          <w:rFonts w:ascii="Times New Roman" w:hAnsi="Times New Roman" w:cs="Times New Roman"/>
          <w:sz w:val="24"/>
          <w:szCs w:val="24"/>
        </w:rPr>
      </w:pPr>
      <w:r w:rsidRPr="00157BE7">
        <w:rPr>
          <w:rFonts w:ascii="Times New Roman" w:hAnsi="Times New Roman" w:cs="Times New Roman"/>
          <w:sz w:val="24"/>
          <w:szCs w:val="24"/>
        </w:rPr>
        <w:t>Oxidative stress and inflammation are also closely linked to dyslipidemia and cardiovascular complications, which significantly increase mortality risk in CKD patients</w:t>
      </w:r>
      <w:r w:rsidR="00AD7696">
        <w:rPr>
          <w:rFonts w:ascii="Times New Roman" w:hAnsi="Times New Roman" w:cs="Times New Roman"/>
          <w:sz w:val="24"/>
          <w:szCs w:val="24"/>
        </w:rPr>
        <w:t xml:space="preserve"> </w:t>
      </w:r>
      <w:r w:rsidR="00AD7696">
        <w:rPr>
          <w:rFonts w:ascii="Times New Roman" w:hAnsi="Times New Roman" w:cs="Times New Roman"/>
        </w:rPr>
        <w:t>[9]</w:t>
      </w:r>
      <w:r w:rsidRPr="00157BE7">
        <w:rPr>
          <w:rFonts w:ascii="Times New Roman" w:hAnsi="Times New Roman" w:cs="Times New Roman"/>
          <w:sz w:val="24"/>
          <w:szCs w:val="24"/>
        </w:rPr>
        <w:t>. Altered lipid metabolism accelerates vascular injury and further exacerbates renal dysfunction, creating a vicious cycle that promotes disease progression</w:t>
      </w:r>
      <w:r w:rsidR="006F0111">
        <w:rPr>
          <w:rFonts w:ascii="Times New Roman" w:hAnsi="Times New Roman" w:cs="Times New Roman"/>
          <w:sz w:val="24"/>
          <w:szCs w:val="24"/>
        </w:rPr>
        <w:t xml:space="preserve"> </w:t>
      </w:r>
      <w:r w:rsidR="006F0111">
        <w:rPr>
          <w:rFonts w:ascii="Times New Roman" w:hAnsi="Times New Roman" w:cs="Times New Roman"/>
        </w:rPr>
        <w:t>[10]</w:t>
      </w:r>
      <w:r w:rsidRPr="00157BE7">
        <w:rPr>
          <w:rFonts w:ascii="Times New Roman" w:hAnsi="Times New Roman" w:cs="Times New Roman"/>
          <w:sz w:val="24"/>
          <w:szCs w:val="24"/>
        </w:rPr>
        <w:t>. In advanced stages, CKD often necessitates long-term dialysis or kidney transplantation, interventions that are costly, complex, and frequently inaccessible in resource-limited settings, including many low- and middle-income countries.</w:t>
      </w:r>
    </w:p>
    <w:p w14:paraId="41FF3A9D" w14:textId="158C587D" w:rsidR="00B80E2A" w:rsidRPr="00157BE7" w:rsidRDefault="00AF0ABF" w:rsidP="00566A26">
      <w:pPr>
        <w:spacing w:line="360" w:lineRule="auto"/>
        <w:jc w:val="both"/>
        <w:rPr>
          <w:rFonts w:ascii="Times New Roman" w:hAnsi="Times New Roman" w:cs="Times New Roman"/>
          <w:sz w:val="24"/>
          <w:szCs w:val="24"/>
        </w:rPr>
      </w:pPr>
      <w:r w:rsidRPr="00157BE7">
        <w:rPr>
          <w:rFonts w:ascii="Times New Roman" w:hAnsi="Times New Roman" w:cs="Times New Roman"/>
          <w:sz w:val="24"/>
          <w:szCs w:val="24"/>
        </w:rPr>
        <w:t xml:space="preserve">Despite improved understanding of CKD pathophysiology, effective therapeutic strategies targeting its underlying mechanisms remain limited. Antioxidant compounds such as vitamin C and curcumin have demonstrated </w:t>
      </w:r>
      <w:proofErr w:type="spellStart"/>
      <w:r w:rsidRPr="00157BE7">
        <w:rPr>
          <w:rFonts w:ascii="Times New Roman" w:hAnsi="Times New Roman" w:cs="Times New Roman"/>
          <w:sz w:val="24"/>
          <w:szCs w:val="24"/>
        </w:rPr>
        <w:t>renoprotective</w:t>
      </w:r>
      <w:proofErr w:type="spellEnd"/>
      <w:r w:rsidRPr="00157BE7">
        <w:rPr>
          <w:rFonts w:ascii="Times New Roman" w:hAnsi="Times New Roman" w:cs="Times New Roman"/>
          <w:sz w:val="24"/>
          <w:szCs w:val="24"/>
        </w:rPr>
        <w:t>, anti-inflammatory, and lipid-modulating effects in experimental studies</w:t>
      </w:r>
      <w:r w:rsidR="006F0111">
        <w:rPr>
          <w:rFonts w:ascii="Times New Roman" w:hAnsi="Times New Roman" w:cs="Times New Roman"/>
          <w:sz w:val="24"/>
          <w:szCs w:val="24"/>
        </w:rPr>
        <w:t xml:space="preserve"> </w:t>
      </w:r>
      <w:r w:rsidR="006F0111">
        <w:rPr>
          <w:rFonts w:ascii="Times New Roman" w:hAnsi="Times New Roman" w:cs="Times New Roman"/>
        </w:rPr>
        <w:t>[11]</w:t>
      </w:r>
      <w:r w:rsidRPr="00157BE7">
        <w:rPr>
          <w:rFonts w:ascii="Times New Roman" w:hAnsi="Times New Roman" w:cs="Times New Roman"/>
          <w:sz w:val="24"/>
          <w:szCs w:val="24"/>
        </w:rPr>
        <w:t>. However, their therapeutic potential is constrained by poor bioavailability, low stability, and limited tissue penetration, which reduce their overall efficacy</w:t>
      </w:r>
      <w:r w:rsidR="006F0111">
        <w:rPr>
          <w:rFonts w:ascii="Times New Roman" w:hAnsi="Times New Roman" w:cs="Times New Roman"/>
          <w:sz w:val="24"/>
          <w:szCs w:val="24"/>
        </w:rPr>
        <w:t xml:space="preserve"> </w:t>
      </w:r>
      <w:r w:rsidR="006F0111">
        <w:rPr>
          <w:rFonts w:ascii="Times New Roman" w:hAnsi="Times New Roman" w:cs="Times New Roman"/>
        </w:rPr>
        <w:t>[12]</w:t>
      </w:r>
      <w:r w:rsidRPr="00157BE7">
        <w:rPr>
          <w:rFonts w:ascii="Times New Roman" w:hAnsi="Times New Roman" w:cs="Times New Roman"/>
          <w:sz w:val="24"/>
          <w:szCs w:val="24"/>
        </w:rPr>
        <w:t>.</w:t>
      </w:r>
    </w:p>
    <w:p w14:paraId="1E6B06DF" w14:textId="415D79F7" w:rsidR="00941EEE" w:rsidRDefault="00AF0ABF" w:rsidP="00566A26">
      <w:pPr>
        <w:spacing w:line="360" w:lineRule="auto"/>
        <w:jc w:val="both"/>
        <w:rPr>
          <w:rFonts w:ascii="Times New Roman" w:hAnsi="Times New Roman" w:cs="Times New Roman"/>
          <w:sz w:val="24"/>
          <w:szCs w:val="24"/>
        </w:rPr>
      </w:pPr>
      <w:r w:rsidRPr="00157BE7">
        <w:rPr>
          <w:rFonts w:ascii="Times New Roman" w:hAnsi="Times New Roman" w:cs="Times New Roman"/>
          <w:sz w:val="24"/>
          <w:szCs w:val="24"/>
        </w:rPr>
        <w:t xml:space="preserve">Nanoparticle-based drug delivery systems offer a promising approach to overcoming these limitations. Chitosan nanoparticles are particularly attractive due to their biocompatibility, biodegradability, and </w:t>
      </w:r>
      <w:r w:rsidRPr="00157BE7">
        <w:rPr>
          <w:rFonts w:ascii="Times New Roman" w:hAnsi="Times New Roman" w:cs="Times New Roman"/>
          <w:sz w:val="24"/>
          <w:szCs w:val="24"/>
        </w:rPr>
        <w:lastRenderedPageBreak/>
        <w:t>ability to enhance drug stability and absorption</w:t>
      </w:r>
      <w:r w:rsidR="006F0111">
        <w:rPr>
          <w:rFonts w:ascii="Times New Roman" w:hAnsi="Times New Roman" w:cs="Times New Roman"/>
          <w:sz w:val="24"/>
          <w:szCs w:val="24"/>
        </w:rPr>
        <w:t xml:space="preserve"> </w:t>
      </w:r>
      <w:r w:rsidR="006F0111">
        <w:rPr>
          <w:rFonts w:ascii="Times New Roman" w:hAnsi="Times New Roman" w:cs="Times New Roman"/>
        </w:rPr>
        <w:t>[13]</w:t>
      </w:r>
      <w:r w:rsidRPr="00157BE7">
        <w:rPr>
          <w:rFonts w:ascii="Times New Roman" w:hAnsi="Times New Roman" w:cs="Times New Roman"/>
          <w:sz w:val="24"/>
          <w:szCs w:val="24"/>
        </w:rPr>
        <w:t xml:space="preserve">. By improving antioxidant delivery and retention, nanoparticle formulations may enhance therapeutic outcomes in chronic kidney disease. However, evidence regarding the comparative effects of free versus nanoparticle-based vitamin C and curcumin on renal function, lipid metabolism, and kidney histology remains </w:t>
      </w:r>
      <w:r w:rsidR="00E522C2" w:rsidRPr="00157BE7">
        <w:rPr>
          <w:rFonts w:ascii="Times New Roman" w:hAnsi="Times New Roman" w:cs="Times New Roman"/>
          <w:sz w:val="24"/>
          <w:szCs w:val="24"/>
        </w:rPr>
        <w:t>limited. Therefore</w:t>
      </w:r>
      <w:r w:rsidRPr="00157BE7">
        <w:rPr>
          <w:rFonts w:ascii="Times New Roman" w:hAnsi="Times New Roman" w:cs="Times New Roman"/>
          <w:sz w:val="24"/>
          <w:szCs w:val="24"/>
        </w:rPr>
        <w:t>, this study evaluated the effects of free and chitosan nanoparticle–based vitamin C and curcumin on renal function, lipid profile, and kidney histology in adenine-induced chronic kidney disease male Wistar rats.</w:t>
      </w:r>
    </w:p>
    <w:p w14:paraId="186FC882" w14:textId="37A3B532" w:rsidR="0026276C" w:rsidRPr="0026276C" w:rsidRDefault="00104F19" w:rsidP="00566A2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26276C" w:rsidRPr="0026276C">
        <w:rPr>
          <w:rFonts w:ascii="Times New Roman" w:hAnsi="Times New Roman" w:cs="Times New Roman"/>
          <w:sz w:val="24"/>
          <w:szCs w:val="24"/>
        </w:rPr>
        <w:t>.0 Materials and Methods</w:t>
      </w:r>
    </w:p>
    <w:p w14:paraId="136BEB50" w14:textId="5FD9965D" w:rsidR="0026276C" w:rsidRPr="0026276C" w:rsidRDefault="00104F19" w:rsidP="00566A2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26276C" w:rsidRPr="0026276C">
        <w:rPr>
          <w:rFonts w:ascii="Times New Roman" w:hAnsi="Times New Roman" w:cs="Times New Roman"/>
          <w:sz w:val="24"/>
          <w:szCs w:val="24"/>
        </w:rPr>
        <w:t xml:space="preserve">.1 Study </w:t>
      </w:r>
      <w:r w:rsidR="007B53D5">
        <w:rPr>
          <w:rFonts w:ascii="Times New Roman" w:hAnsi="Times New Roman" w:cs="Times New Roman"/>
          <w:sz w:val="24"/>
          <w:szCs w:val="24"/>
        </w:rPr>
        <w:t>Location</w:t>
      </w:r>
    </w:p>
    <w:p w14:paraId="2E2F0580" w14:textId="27E5D151" w:rsidR="0026276C" w:rsidRPr="0026276C" w:rsidRDefault="0026276C" w:rsidP="00566A26">
      <w:pPr>
        <w:spacing w:line="360" w:lineRule="auto"/>
        <w:jc w:val="both"/>
        <w:rPr>
          <w:rFonts w:ascii="Times New Roman" w:hAnsi="Times New Roman" w:cs="Times New Roman"/>
          <w:sz w:val="24"/>
          <w:szCs w:val="24"/>
        </w:rPr>
      </w:pPr>
      <w:r w:rsidRPr="0026276C">
        <w:rPr>
          <w:rFonts w:ascii="Times New Roman" w:hAnsi="Times New Roman" w:cs="Times New Roman"/>
          <w:sz w:val="24"/>
          <w:szCs w:val="24"/>
        </w:rPr>
        <w:t xml:space="preserve">The study was conducted at the Chemical Pathology Laboratory, School of Medical Laboratory Science, </w:t>
      </w:r>
      <w:r w:rsidR="00941EEE" w:rsidRPr="0026276C">
        <w:rPr>
          <w:rFonts w:ascii="Times New Roman" w:hAnsi="Times New Roman" w:cs="Times New Roman"/>
          <w:sz w:val="24"/>
          <w:szCs w:val="24"/>
        </w:rPr>
        <w:t xml:space="preserve">Centre for Advanced Medical Research and Training (CAMRET) </w:t>
      </w:r>
      <w:proofErr w:type="spellStart"/>
      <w:r w:rsidR="00941EEE" w:rsidRPr="0026276C">
        <w:rPr>
          <w:rFonts w:ascii="Times New Roman" w:hAnsi="Times New Roman" w:cs="Times New Roman"/>
          <w:sz w:val="24"/>
          <w:szCs w:val="24"/>
        </w:rPr>
        <w:t>Usmanu</w:t>
      </w:r>
      <w:proofErr w:type="spellEnd"/>
      <w:r w:rsidR="00941EEE" w:rsidRPr="0026276C">
        <w:rPr>
          <w:rFonts w:ascii="Times New Roman" w:hAnsi="Times New Roman" w:cs="Times New Roman"/>
          <w:sz w:val="24"/>
          <w:szCs w:val="24"/>
        </w:rPr>
        <w:t xml:space="preserve"> </w:t>
      </w:r>
      <w:proofErr w:type="spellStart"/>
      <w:r w:rsidR="00941EEE" w:rsidRPr="0026276C">
        <w:rPr>
          <w:rFonts w:ascii="Times New Roman" w:hAnsi="Times New Roman" w:cs="Times New Roman"/>
          <w:sz w:val="24"/>
          <w:szCs w:val="24"/>
        </w:rPr>
        <w:t>Danfodiyo</w:t>
      </w:r>
      <w:proofErr w:type="spellEnd"/>
      <w:r w:rsidR="00941EEE" w:rsidRPr="0026276C">
        <w:rPr>
          <w:rFonts w:ascii="Times New Roman" w:hAnsi="Times New Roman" w:cs="Times New Roman"/>
          <w:sz w:val="24"/>
          <w:szCs w:val="24"/>
        </w:rPr>
        <w:t xml:space="preserve"> University, Sokoto State</w:t>
      </w:r>
      <w:r w:rsidR="00941EEE">
        <w:rPr>
          <w:rFonts w:ascii="Times New Roman" w:hAnsi="Times New Roman" w:cs="Times New Roman"/>
          <w:sz w:val="24"/>
          <w:szCs w:val="24"/>
        </w:rPr>
        <w:t xml:space="preserve">, Nigeria, </w:t>
      </w:r>
      <w:r w:rsidRPr="0026276C">
        <w:rPr>
          <w:rFonts w:ascii="Times New Roman" w:hAnsi="Times New Roman" w:cs="Times New Roman"/>
          <w:sz w:val="24"/>
          <w:szCs w:val="24"/>
        </w:rPr>
        <w:t>Chemical Pathology Laboratory</w:t>
      </w:r>
      <w:r w:rsidR="00941EEE">
        <w:rPr>
          <w:rFonts w:ascii="Times New Roman" w:hAnsi="Times New Roman" w:cs="Times New Roman"/>
          <w:sz w:val="24"/>
          <w:szCs w:val="24"/>
        </w:rPr>
        <w:t xml:space="preserve"> and</w:t>
      </w:r>
      <w:r w:rsidRPr="0026276C">
        <w:rPr>
          <w:rFonts w:ascii="Times New Roman" w:hAnsi="Times New Roman" w:cs="Times New Roman"/>
          <w:sz w:val="24"/>
          <w:szCs w:val="24"/>
        </w:rPr>
        <w:t xml:space="preserve"> Histopathology Laboratory</w:t>
      </w:r>
      <w:r w:rsidR="00941EEE">
        <w:rPr>
          <w:rFonts w:ascii="Times New Roman" w:hAnsi="Times New Roman" w:cs="Times New Roman"/>
          <w:sz w:val="24"/>
          <w:szCs w:val="24"/>
        </w:rPr>
        <w:t xml:space="preserve"> </w:t>
      </w:r>
      <w:proofErr w:type="spellStart"/>
      <w:r w:rsidRPr="0026276C">
        <w:rPr>
          <w:rFonts w:ascii="Times New Roman" w:hAnsi="Times New Roman" w:cs="Times New Roman"/>
          <w:sz w:val="24"/>
          <w:szCs w:val="24"/>
        </w:rPr>
        <w:t>Usmanu</w:t>
      </w:r>
      <w:proofErr w:type="spellEnd"/>
      <w:r w:rsidRPr="0026276C">
        <w:rPr>
          <w:rFonts w:ascii="Times New Roman" w:hAnsi="Times New Roman" w:cs="Times New Roman"/>
          <w:sz w:val="24"/>
          <w:szCs w:val="24"/>
        </w:rPr>
        <w:t xml:space="preserve"> </w:t>
      </w:r>
      <w:proofErr w:type="spellStart"/>
      <w:r w:rsidRPr="0026276C">
        <w:rPr>
          <w:rFonts w:ascii="Times New Roman" w:hAnsi="Times New Roman" w:cs="Times New Roman"/>
          <w:sz w:val="24"/>
          <w:szCs w:val="24"/>
        </w:rPr>
        <w:t>Danfodiyo</w:t>
      </w:r>
      <w:proofErr w:type="spellEnd"/>
      <w:r w:rsidRPr="0026276C">
        <w:rPr>
          <w:rFonts w:ascii="Times New Roman" w:hAnsi="Times New Roman" w:cs="Times New Roman"/>
          <w:sz w:val="24"/>
          <w:szCs w:val="24"/>
        </w:rPr>
        <w:t xml:space="preserve"> University Teaching Hospital (UDUTH) </w:t>
      </w:r>
      <w:r w:rsidR="00941EEE" w:rsidRPr="0026276C">
        <w:rPr>
          <w:rFonts w:ascii="Times New Roman" w:hAnsi="Times New Roman" w:cs="Times New Roman"/>
          <w:sz w:val="24"/>
          <w:szCs w:val="24"/>
        </w:rPr>
        <w:t>Sokoto State</w:t>
      </w:r>
      <w:r w:rsidR="00941EEE">
        <w:rPr>
          <w:rFonts w:ascii="Times New Roman" w:hAnsi="Times New Roman" w:cs="Times New Roman"/>
          <w:sz w:val="24"/>
          <w:szCs w:val="24"/>
        </w:rPr>
        <w:t>, Nigeria</w:t>
      </w:r>
      <w:r w:rsidRPr="0026276C">
        <w:rPr>
          <w:rFonts w:ascii="Times New Roman" w:hAnsi="Times New Roman" w:cs="Times New Roman"/>
          <w:sz w:val="24"/>
          <w:szCs w:val="24"/>
        </w:rPr>
        <w:t>.</w:t>
      </w:r>
    </w:p>
    <w:p w14:paraId="5CF2C422" w14:textId="17DBFFA3" w:rsidR="0026276C" w:rsidRPr="0026276C" w:rsidRDefault="00104F19" w:rsidP="00566A2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26276C" w:rsidRPr="0026276C">
        <w:rPr>
          <w:rFonts w:ascii="Times New Roman" w:hAnsi="Times New Roman" w:cs="Times New Roman"/>
          <w:sz w:val="24"/>
          <w:szCs w:val="24"/>
        </w:rPr>
        <w:t>.2 Chemicals and Reagents</w:t>
      </w:r>
    </w:p>
    <w:p w14:paraId="685B34E0" w14:textId="5071351C" w:rsidR="0026276C" w:rsidRDefault="0026276C" w:rsidP="00566A26">
      <w:pPr>
        <w:spacing w:line="360" w:lineRule="auto"/>
        <w:jc w:val="both"/>
        <w:rPr>
          <w:rFonts w:ascii="Times New Roman" w:hAnsi="Times New Roman" w:cs="Times New Roman"/>
          <w:sz w:val="24"/>
          <w:szCs w:val="24"/>
        </w:rPr>
      </w:pPr>
      <w:r w:rsidRPr="0026276C">
        <w:rPr>
          <w:rFonts w:ascii="Times New Roman" w:hAnsi="Times New Roman" w:cs="Times New Roman"/>
          <w:sz w:val="24"/>
          <w:szCs w:val="24"/>
        </w:rPr>
        <w:t xml:space="preserve">All chemicals and reagents used were of analytical grade. Adenine (≥98% purity), chitosan (100–200 </w:t>
      </w:r>
      <w:proofErr w:type="spellStart"/>
      <w:r w:rsidRPr="0026276C">
        <w:rPr>
          <w:rFonts w:ascii="Times New Roman" w:hAnsi="Times New Roman" w:cs="Times New Roman"/>
          <w:sz w:val="24"/>
          <w:szCs w:val="24"/>
        </w:rPr>
        <w:t>kDa</w:t>
      </w:r>
      <w:proofErr w:type="spellEnd"/>
      <w:r w:rsidRPr="0026276C">
        <w:rPr>
          <w:rFonts w:ascii="Times New Roman" w:hAnsi="Times New Roman" w:cs="Times New Roman"/>
          <w:sz w:val="24"/>
          <w:szCs w:val="24"/>
        </w:rPr>
        <w:t xml:space="preserve">), sodium </w:t>
      </w:r>
      <w:r w:rsidRPr="0026276C">
        <w:rPr>
          <w:rFonts w:ascii="Times New Roman" w:hAnsi="Times New Roman" w:cs="Times New Roman"/>
          <w:sz w:val="24"/>
          <w:szCs w:val="24"/>
        </w:rPr>
        <w:t xml:space="preserve">tripolyphosphate (TPP), vitamin C (ascorbic acid), curcumin, and phosphate-buffered saline were purchased from Macklin Biochemical Co., Ltd., No. 550 </w:t>
      </w:r>
      <w:proofErr w:type="spellStart"/>
      <w:r w:rsidRPr="0026276C">
        <w:rPr>
          <w:rFonts w:ascii="Times New Roman" w:hAnsi="Times New Roman" w:cs="Times New Roman"/>
          <w:sz w:val="24"/>
          <w:szCs w:val="24"/>
        </w:rPr>
        <w:t>Yindu</w:t>
      </w:r>
      <w:proofErr w:type="spellEnd"/>
      <w:r w:rsidRPr="0026276C">
        <w:rPr>
          <w:rFonts w:ascii="Times New Roman" w:hAnsi="Times New Roman" w:cs="Times New Roman"/>
          <w:sz w:val="24"/>
          <w:szCs w:val="24"/>
        </w:rPr>
        <w:t xml:space="preserve"> Road, </w:t>
      </w:r>
      <w:proofErr w:type="spellStart"/>
      <w:r w:rsidRPr="0026276C">
        <w:rPr>
          <w:rFonts w:ascii="Times New Roman" w:hAnsi="Times New Roman" w:cs="Times New Roman"/>
          <w:sz w:val="24"/>
          <w:szCs w:val="24"/>
        </w:rPr>
        <w:t>Minhang</w:t>
      </w:r>
      <w:proofErr w:type="spellEnd"/>
      <w:r w:rsidRPr="0026276C">
        <w:rPr>
          <w:rFonts w:ascii="Times New Roman" w:hAnsi="Times New Roman" w:cs="Times New Roman"/>
          <w:sz w:val="24"/>
          <w:szCs w:val="24"/>
        </w:rPr>
        <w:t xml:space="preserve"> District, Shanghai 201108, China. Lipid profile reagents were obtained from </w:t>
      </w:r>
      <w:proofErr w:type="spellStart"/>
      <w:r w:rsidRPr="0026276C">
        <w:rPr>
          <w:rFonts w:ascii="Times New Roman" w:hAnsi="Times New Roman" w:cs="Times New Roman"/>
          <w:sz w:val="24"/>
          <w:szCs w:val="24"/>
        </w:rPr>
        <w:t>Randox</w:t>
      </w:r>
      <w:proofErr w:type="spellEnd"/>
      <w:r w:rsidRPr="0026276C">
        <w:rPr>
          <w:rFonts w:ascii="Times New Roman" w:hAnsi="Times New Roman" w:cs="Times New Roman"/>
          <w:sz w:val="24"/>
          <w:szCs w:val="24"/>
        </w:rPr>
        <w:t xml:space="preserve"> Laboratories Ltd., 55 Diamond Road, Crumlin, County Antrim, BT29 4QY, United Kingdom. Reagents for renal </w:t>
      </w:r>
      <w:r w:rsidR="007B53D5" w:rsidRPr="0026276C">
        <w:rPr>
          <w:rFonts w:ascii="Times New Roman" w:hAnsi="Times New Roman" w:cs="Times New Roman"/>
          <w:sz w:val="24"/>
          <w:szCs w:val="24"/>
        </w:rPr>
        <w:t>function were</w:t>
      </w:r>
      <w:r w:rsidRPr="0026276C">
        <w:rPr>
          <w:rFonts w:ascii="Times New Roman" w:hAnsi="Times New Roman" w:cs="Times New Roman"/>
          <w:sz w:val="24"/>
          <w:szCs w:val="24"/>
        </w:rPr>
        <w:t xml:space="preserve"> prepared according to standard protocols at the Chemical Pathology Laboratory, UDUTH. Absolute acetic acid was diluted to working concentration at </w:t>
      </w:r>
      <w:proofErr w:type="spellStart"/>
      <w:r w:rsidRPr="0026276C">
        <w:rPr>
          <w:rFonts w:ascii="Times New Roman" w:hAnsi="Times New Roman" w:cs="Times New Roman"/>
          <w:sz w:val="24"/>
          <w:szCs w:val="24"/>
        </w:rPr>
        <w:t>Usmanu</w:t>
      </w:r>
      <w:proofErr w:type="spellEnd"/>
      <w:r w:rsidRPr="0026276C">
        <w:rPr>
          <w:rFonts w:ascii="Times New Roman" w:hAnsi="Times New Roman" w:cs="Times New Roman"/>
          <w:sz w:val="24"/>
          <w:szCs w:val="24"/>
        </w:rPr>
        <w:t xml:space="preserve"> </w:t>
      </w:r>
      <w:proofErr w:type="spellStart"/>
      <w:r w:rsidRPr="0026276C">
        <w:rPr>
          <w:rFonts w:ascii="Times New Roman" w:hAnsi="Times New Roman" w:cs="Times New Roman"/>
          <w:sz w:val="24"/>
          <w:szCs w:val="24"/>
        </w:rPr>
        <w:t>Danfodiyo</w:t>
      </w:r>
      <w:proofErr w:type="spellEnd"/>
      <w:r w:rsidRPr="0026276C">
        <w:rPr>
          <w:rFonts w:ascii="Times New Roman" w:hAnsi="Times New Roman" w:cs="Times New Roman"/>
          <w:sz w:val="24"/>
          <w:szCs w:val="24"/>
        </w:rPr>
        <w:t xml:space="preserve"> University, Sokoto.</w:t>
      </w:r>
    </w:p>
    <w:p w14:paraId="0E085E21" w14:textId="03EA0DB3" w:rsidR="0026276C" w:rsidRPr="0026276C" w:rsidRDefault="00104F19" w:rsidP="00566A2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26276C" w:rsidRPr="0026276C">
        <w:rPr>
          <w:rFonts w:ascii="Times New Roman" w:hAnsi="Times New Roman" w:cs="Times New Roman"/>
          <w:sz w:val="24"/>
          <w:szCs w:val="24"/>
        </w:rPr>
        <w:t>.</w:t>
      </w:r>
      <w:r w:rsidR="007A4028">
        <w:rPr>
          <w:rFonts w:ascii="Times New Roman" w:hAnsi="Times New Roman" w:cs="Times New Roman"/>
          <w:sz w:val="24"/>
          <w:szCs w:val="24"/>
        </w:rPr>
        <w:t>2</w:t>
      </w:r>
      <w:r w:rsidR="0026276C" w:rsidRPr="0026276C">
        <w:rPr>
          <w:rFonts w:ascii="Times New Roman" w:hAnsi="Times New Roman" w:cs="Times New Roman"/>
          <w:sz w:val="24"/>
          <w:szCs w:val="24"/>
        </w:rPr>
        <w:t xml:space="preserve"> Preparation and Characterization of Nanoparticles</w:t>
      </w:r>
    </w:p>
    <w:p w14:paraId="720FC8EA" w14:textId="33074A3D" w:rsidR="0026276C" w:rsidRPr="0026276C" w:rsidRDefault="0026276C" w:rsidP="00566A26">
      <w:pPr>
        <w:spacing w:line="360" w:lineRule="auto"/>
        <w:jc w:val="both"/>
        <w:rPr>
          <w:rFonts w:ascii="Times New Roman" w:hAnsi="Times New Roman" w:cs="Times New Roman"/>
          <w:sz w:val="24"/>
          <w:szCs w:val="24"/>
        </w:rPr>
      </w:pPr>
      <w:r w:rsidRPr="0026276C">
        <w:rPr>
          <w:rFonts w:ascii="Times New Roman" w:hAnsi="Times New Roman" w:cs="Times New Roman"/>
          <w:sz w:val="24"/>
          <w:szCs w:val="24"/>
        </w:rPr>
        <w:t>Chitosan nanoparticles, vitamin C, curcumin, and their nanoparticle-based formulations were prepared using the ionic gelation method based on established protocols from previous studies</w:t>
      </w:r>
      <w:r w:rsidR="001802D1">
        <w:rPr>
          <w:rFonts w:ascii="Times New Roman" w:hAnsi="Times New Roman" w:cs="Times New Roman"/>
          <w:sz w:val="24"/>
          <w:szCs w:val="24"/>
        </w:rPr>
        <w:t xml:space="preserve"> [13,14,15,16]</w:t>
      </w:r>
      <w:r w:rsidRPr="0026276C">
        <w:rPr>
          <w:rFonts w:ascii="Times New Roman" w:hAnsi="Times New Roman" w:cs="Times New Roman"/>
          <w:sz w:val="24"/>
          <w:szCs w:val="24"/>
        </w:rPr>
        <w:t>. Nanoparticles were preliminarily characterized for particle size, polydispersity index, and functional group interactions using Dynamic Light Scattering (DLS) and Fourier Transform Infrared (FTIR) spectroscopy. Detailed formulation procedures and physicochemical characterization are reported separately, as the present manuscript focuses on biological outcomes.</w:t>
      </w:r>
    </w:p>
    <w:p w14:paraId="2ADA9A37" w14:textId="6A270DBA" w:rsidR="00C82488" w:rsidRDefault="00C82488" w:rsidP="00C8248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007A4028">
        <w:rPr>
          <w:rFonts w:ascii="Times New Roman" w:hAnsi="Times New Roman" w:cs="Times New Roman"/>
          <w:sz w:val="24"/>
          <w:szCs w:val="24"/>
        </w:rPr>
        <w:t>3</w:t>
      </w:r>
      <w:r>
        <w:rPr>
          <w:rFonts w:ascii="Times New Roman" w:hAnsi="Times New Roman" w:cs="Times New Roman"/>
          <w:sz w:val="24"/>
          <w:szCs w:val="24"/>
        </w:rPr>
        <w:t xml:space="preserve"> Research Design</w:t>
      </w:r>
    </w:p>
    <w:p w14:paraId="1F5B0B18" w14:textId="77777777" w:rsidR="00C82488" w:rsidRDefault="00C82488" w:rsidP="00C82488">
      <w:pPr>
        <w:spacing w:line="360" w:lineRule="auto"/>
        <w:jc w:val="both"/>
        <w:rPr>
          <w:rFonts w:ascii="Times New Roman" w:hAnsi="Times New Roman" w:cs="Times New Roman"/>
          <w:sz w:val="24"/>
          <w:szCs w:val="24"/>
        </w:rPr>
      </w:pPr>
      <w:r w:rsidRPr="00C82488">
        <w:rPr>
          <w:rFonts w:ascii="Times New Roman" w:hAnsi="Times New Roman" w:cs="Times New Roman"/>
          <w:sz w:val="24"/>
          <w:szCs w:val="24"/>
        </w:rPr>
        <w:t>This was an experimental study conducted to evaluate the effect of nanoparticle-based antioxidant supplementation on</w:t>
      </w:r>
      <w:r>
        <w:rPr>
          <w:rFonts w:ascii="Times New Roman" w:hAnsi="Times New Roman" w:cs="Times New Roman"/>
          <w:sz w:val="24"/>
          <w:szCs w:val="24"/>
        </w:rPr>
        <w:t xml:space="preserve"> </w:t>
      </w:r>
      <w:r w:rsidRPr="00C82488">
        <w:rPr>
          <w:rFonts w:ascii="Times New Roman" w:hAnsi="Times New Roman" w:cs="Times New Roman"/>
          <w:sz w:val="24"/>
          <w:szCs w:val="24"/>
        </w:rPr>
        <w:t>renal function</w:t>
      </w:r>
      <w:r>
        <w:rPr>
          <w:rFonts w:ascii="Times New Roman" w:hAnsi="Times New Roman" w:cs="Times New Roman"/>
          <w:sz w:val="24"/>
          <w:szCs w:val="24"/>
        </w:rPr>
        <w:t>, lipid profile and kidney histology</w:t>
      </w:r>
      <w:r w:rsidRPr="00C82488">
        <w:rPr>
          <w:rFonts w:ascii="Times New Roman" w:hAnsi="Times New Roman" w:cs="Times New Roman"/>
          <w:sz w:val="24"/>
          <w:szCs w:val="24"/>
        </w:rPr>
        <w:t xml:space="preserve"> in adenine-induced chronic kidney disease in male Wistar rats.</w:t>
      </w:r>
    </w:p>
    <w:p w14:paraId="4200917F" w14:textId="77777777" w:rsidR="00C82488" w:rsidRDefault="00C82488" w:rsidP="00566A26">
      <w:pPr>
        <w:spacing w:line="360" w:lineRule="auto"/>
        <w:jc w:val="both"/>
        <w:rPr>
          <w:rFonts w:ascii="Times New Roman" w:hAnsi="Times New Roman" w:cs="Times New Roman"/>
          <w:sz w:val="24"/>
          <w:szCs w:val="24"/>
        </w:rPr>
      </w:pPr>
    </w:p>
    <w:p w14:paraId="629BAA4C" w14:textId="69C19CB6" w:rsidR="0026276C" w:rsidRPr="0026276C" w:rsidRDefault="00104F19" w:rsidP="00566A2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26276C" w:rsidRPr="0026276C">
        <w:rPr>
          <w:rFonts w:ascii="Times New Roman" w:hAnsi="Times New Roman" w:cs="Times New Roman"/>
          <w:sz w:val="24"/>
          <w:szCs w:val="24"/>
        </w:rPr>
        <w:t>.</w:t>
      </w:r>
      <w:r w:rsidR="007A4028">
        <w:rPr>
          <w:rFonts w:ascii="Times New Roman" w:hAnsi="Times New Roman" w:cs="Times New Roman"/>
          <w:sz w:val="24"/>
          <w:szCs w:val="24"/>
        </w:rPr>
        <w:t>4</w:t>
      </w:r>
      <w:r w:rsidR="0026276C" w:rsidRPr="0026276C">
        <w:rPr>
          <w:rFonts w:ascii="Times New Roman" w:hAnsi="Times New Roman" w:cs="Times New Roman"/>
          <w:sz w:val="24"/>
          <w:szCs w:val="24"/>
        </w:rPr>
        <w:t xml:space="preserve"> Experimental Animals</w:t>
      </w:r>
    </w:p>
    <w:p w14:paraId="3E638608" w14:textId="24CB4C4B" w:rsidR="0026276C" w:rsidRPr="0026276C" w:rsidRDefault="0026276C" w:rsidP="00566A26">
      <w:pPr>
        <w:spacing w:line="360" w:lineRule="auto"/>
        <w:jc w:val="both"/>
        <w:rPr>
          <w:rFonts w:ascii="Times New Roman" w:hAnsi="Times New Roman" w:cs="Times New Roman"/>
          <w:sz w:val="24"/>
          <w:szCs w:val="24"/>
        </w:rPr>
      </w:pPr>
      <w:r w:rsidRPr="0026276C">
        <w:rPr>
          <w:rFonts w:ascii="Times New Roman" w:hAnsi="Times New Roman" w:cs="Times New Roman"/>
          <w:sz w:val="24"/>
          <w:szCs w:val="24"/>
        </w:rPr>
        <w:t xml:space="preserve">Forty (40) male Wistar rats (2–3 months old; </w:t>
      </w:r>
      <w:r w:rsidR="007B53D5">
        <w:rPr>
          <w:rFonts w:ascii="Times New Roman" w:hAnsi="Times New Roman" w:cs="Times New Roman"/>
          <w:sz w:val="24"/>
          <w:szCs w:val="24"/>
        </w:rPr>
        <w:t>180-</w:t>
      </w:r>
      <w:r w:rsidRPr="0026276C">
        <w:rPr>
          <w:rFonts w:ascii="Times New Roman" w:hAnsi="Times New Roman" w:cs="Times New Roman"/>
          <w:sz w:val="24"/>
          <w:szCs w:val="24"/>
        </w:rPr>
        <w:t>200 g) were obtained from the Animal House, University of Ibadan, Oyo State, Nigeria. Animals were acclimatized for two weeks under standard laboratory conditions (22–25 °C, 12 h light/dark cycle) and provided standard pellet feed and water ad libitum.</w:t>
      </w:r>
    </w:p>
    <w:p w14:paraId="0B19B14F" w14:textId="4FB88C2F" w:rsidR="0026276C" w:rsidRDefault="00104F19" w:rsidP="00566A2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26276C" w:rsidRPr="0026276C">
        <w:rPr>
          <w:rFonts w:ascii="Times New Roman" w:hAnsi="Times New Roman" w:cs="Times New Roman"/>
          <w:sz w:val="24"/>
          <w:szCs w:val="24"/>
        </w:rPr>
        <w:t>.</w:t>
      </w:r>
      <w:r w:rsidR="007A4028">
        <w:rPr>
          <w:rFonts w:ascii="Times New Roman" w:hAnsi="Times New Roman" w:cs="Times New Roman"/>
          <w:sz w:val="24"/>
          <w:szCs w:val="24"/>
        </w:rPr>
        <w:t>5</w:t>
      </w:r>
      <w:r w:rsidR="0026276C" w:rsidRPr="0026276C">
        <w:rPr>
          <w:rFonts w:ascii="Times New Roman" w:hAnsi="Times New Roman" w:cs="Times New Roman"/>
          <w:sz w:val="24"/>
          <w:szCs w:val="24"/>
        </w:rPr>
        <w:t xml:space="preserve"> Sample Size Calculation</w:t>
      </w:r>
    </w:p>
    <w:p w14:paraId="5C9F3290" w14:textId="77777777" w:rsidR="007B53D5" w:rsidRPr="007B53D5" w:rsidRDefault="007B53D5" w:rsidP="007B53D5">
      <w:pPr>
        <w:spacing w:line="360" w:lineRule="auto"/>
        <w:jc w:val="both"/>
        <w:rPr>
          <w:rFonts w:ascii="Times New Roman" w:hAnsi="Times New Roman" w:cs="Times New Roman"/>
          <w:sz w:val="24"/>
          <w:szCs w:val="24"/>
        </w:rPr>
      </w:pPr>
      <w:r w:rsidRPr="007B53D5">
        <w:rPr>
          <w:rFonts w:ascii="Times New Roman" w:hAnsi="Times New Roman" w:cs="Times New Roman"/>
          <w:sz w:val="24"/>
          <w:szCs w:val="24"/>
        </w:rPr>
        <w:t>The sample size for this study was determined using the resource equation method, a standard approach in experimental animal research (NC3Rs, 2020). The total number of animals (</w:t>
      </w:r>
      <w:r w:rsidRPr="007B53D5">
        <w:rPr>
          <w:rFonts w:ascii="Cambria Math" w:hAnsi="Cambria Math" w:cs="Cambria Math"/>
          <w:sz w:val="24"/>
          <w:szCs w:val="24"/>
        </w:rPr>
        <w:t>𝑁</w:t>
      </w:r>
      <w:r w:rsidRPr="007B53D5">
        <w:rPr>
          <w:rFonts w:ascii="Times New Roman" w:hAnsi="Times New Roman" w:cs="Times New Roman"/>
          <w:sz w:val="24"/>
          <w:szCs w:val="24"/>
        </w:rPr>
        <w:t>=40) and the number of experimental groups (</w:t>
      </w:r>
      <w:r w:rsidRPr="007B53D5">
        <w:rPr>
          <w:rFonts w:ascii="Cambria Math" w:hAnsi="Cambria Math" w:cs="Cambria Math"/>
          <w:sz w:val="24"/>
          <w:szCs w:val="24"/>
        </w:rPr>
        <w:t>𝐺</w:t>
      </w:r>
      <w:r w:rsidRPr="007B53D5">
        <w:rPr>
          <w:rFonts w:ascii="Times New Roman" w:hAnsi="Times New Roman" w:cs="Times New Roman"/>
          <w:sz w:val="24"/>
          <w:szCs w:val="24"/>
        </w:rPr>
        <w:t>=8) were used to calculate the error degrees of freedom (E).</w:t>
      </w:r>
    </w:p>
    <w:p w14:paraId="6263B705" w14:textId="77777777" w:rsidR="007B53D5" w:rsidRPr="007B53D5" w:rsidRDefault="007B53D5" w:rsidP="007B53D5">
      <w:pPr>
        <w:spacing w:line="360" w:lineRule="auto"/>
        <w:jc w:val="both"/>
        <w:rPr>
          <w:rFonts w:ascii="Times New Roman" w:hAnsi="Times New Roman" w:cs="Times New Roman"/>
          <w:sz w:val="24"/>
          <w:szCs w:val="24"/>
        </w:rPr>
      </w:pPr>
      <w:r w:rsidRPr="007B53D5">
        <w:rPr>
          <w:rFonts w:ascii="Times New Roman" w:hAnsi="Times New Roman" w:cs="Times New Roman"/>
          <w:sz w:val="24"/>
          <w:szCs w:val="24"/>
        </w:rPr>
        <w:t>E=N – G =40 – 8 = 32</w:t>
      </w:r>
    </w:p>
    <w:p w14:paraId="26712C8F" w14:textId="77777777" w:rsidR="007B53D5" w:rsidRPr="007B53D5" w:rsidRDefault="007B53D5" w:rsidP="007B53D5">
      <w:pPr>
        <w:spacing w:line="360" w:lineRule="auto"/>
        <w:jc w:val="both"/>
        <w:rPr>
          <w:rFonts w:ascii="Times New Roman" w:hAnsi="Times New Roman" w:cs="Times New Roman"/>
          <w:sz w:val="24"/>
          <w:szCs w:val="24"/>
        </w:rPr>
      </w:pPr>
      <w:r w:rsidRPr="007B53D5">
        <w:rPr>
          <w:rFonts w:ascii="Times New Roman" w:hAnsi="Times New Roman" w:cs="Times New Roman"/>
          <w:sz w:val="24"/>
          <w:szCs w:val="24"/>
        </w:rPr>
        <w:t>Since:</w:t>
      </w:r>
    </w:p>
    <w:p w14:paraId="0646F19F" w14:textId="47CFBDBD" w:rsidR="007B53D5" w:rsidRDefault="007B53D5" w:rsidP="00566A26">
      <w:pPr>
        <w:spacing w:line="360" w:lineRule="auto"/>
        <w:jc w:val="both"/>
        <w:rPr>
          <w:rFonts w:ascii="Times New Roman" w:hAnsi="Times New Roman" w:cs="Times New Roman"/>
          <w:sz w:val="24"/>
          <w:szCs w:val="24"/>
        </w:rPr>
      </w:pPr>
      <w:r w:rsidRPr="007B53D5">
        <w:rPr>
          <w:rFonts w:ascii="Times New Roman" w:hAnsi="Times New Roman" w:cs="Times New Roman"/>
          <w:sz w:val="24"/>
          <w:szCs w:val="24"/>
        </w:rPr>
        <w:t xml:space="preserve">E falls within an acceptable range, the sample size is considered adequate to detect </w:t>
      </w:r>
      <w:r w:rsidRPr="007B53D5">
        <w:rPr>
          <w:rFonts w:ascii="Times New Roman" w:hAnsi="Times New Roman" w:cs="Times New Roman"/>
          <w:sz w:val="24"/>
          <w:szCs w:val="24"/>
        </w:rPr>
        <w:t>statistically significant differences among groups. The animals were randomly allocated into eight experimental groups, with five rats per group, ensuring sufficient power for biochemical</w:t>
      </w:r>
      <w:r>
        <w:rPr>
          <w:rFonts w:ascii="Times New Roman" w:hAnsi="Times New Roman" w:cs="Times New Roman"/>
          <w:sz w:val="24"/>
          <w:szCs w:val="24"/>
        </w:rPr>
        <w:t xml:space="preserve"> </w:t>
      </w:r>
      <w:r w:rsidRPr="007B53D5">
        <w:rPr>
          <w:rFonts w:ascii="Times New Roman" w:hAnsi="Times New Roman" w:cs="Times New Roman"/>
          <w:sz w:val="24"/>
          <w:szCs w:val="24"/>
        </w:rPr>
        <w:t>and histological analyses while adhering to ethical standards for animal use.</w:t>
      </w:r>
    </w:p>
    <w:p w14:paraId="54C0119D" w14:textId="33D0BCA9" w:rsidR="0026276C" w:rsidRPr="0026276C" w:rsidRDefault="00104F19" w:rsidP="00566A2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26276C" w:rsidRPr="0026276C">
        <w:rPr>
          <w:rFonts w:ascii="Times New Roman" w:hAnsi="Times New Roman" w:cs="Times New Roman"/>
          <w:sz w:val="24"/>
          <w:szCs w:val="24"/>
        </w:rPr>
        <w:t>.</w:t>
      </w:r>
      <w:r w:rsidR="007A4028">
        <w:rPr>
          <w:rFonts w:ascii="Times New Roman" w:hAnsi="Times New Roman" w:cs="Times New Roman"/>
          <w:sz w:val="24"/>
          <w:szCs w:val="24"/>
        </w:rPr>
        <w:t>6</w:t>
      </w:r>
      <w:r w:rsidR="0026276C" w:rsidRPr="0026276C">
        <w:rPr>
          <w:rFonts w:ascii="Times New Roman" w:hAnsi="Times New Roman" w:cs="Times New Roman"/>
          <w:sz w:val="24"/>
          <w:szCs w:val="24"/>
        </w:rPr>
        <w:t xml:space="preserve"> Induction of Chronic Kidney Disease and Treatment</w:t>
      </w:r>
    </w:p>
    <w:p w14:paraId="03865A38" w14:textId="764993CA" w:rsidR="00C82488" w:rsidRDefault="0026276C" w:rsidP="00C82488">
      <w:pPr>
        <w:spacing w:line="360" w:lineRule="auto"/>
        <w:jc w:val="both"/>
        <w:rPr>
          <w:rFonts w:ascii="Times New Roman" w:hAnsi="Times New Roman" w:cs="Times New Roman"/>
          <w:sz w:val="24"/>
          <w:szCs w:val="24"/>
        </w:rPr>
      </w:pPr>
      <w:r w:rsidRPr="0026276C">
        <w:rPr>
          <w:rFonts w:ascii="Times New Roman" w:hAnsi="Times New Roman" w:cs="Times New Roman"/>
          <w:sz w:val="24"/>
          <w:szCs w:val="24"/>
        </w:rPr>
        <w:t>Chronic kidney disease was induced by oral administration of adenine at 400 mg/kg body weight daily for 21 days. Animals were subsequently treated for another 21 days according to group allocation, including vitamin C, curcumin, chitosan nanoparticles, and their nanoparticle-based formulations, either singly or in combination. The total study duration was 42 days.</w:t>
      </w:r>
    </w:p>
    <w:p w14:paraId="66B17D02" w14:textId="06A1B398" w:rsidR="0026276C" w:rsidRPr="0026276C" w:rsidRDefault="007A4028" w:rsidP="00566A2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26276C" w:rsidRPr="0026276C">
        <w:rPr>
          <w:rFonts w:ascii="Times New Roman" w:hAnsi="Times New Roman" w:cs="Times New Roman"/>
          <w:sz w:val="24"/>
          <w:szCs w:val="24"/>
        </w:rPr>
        <w:t>.</w:t>
      </w:r>
      <w:r w:rsidR="00DE3EAB">
        <w:rPr>
          <w:rFonts w:ascii="Times New Roman" w:hAnsi="Times New Roman" w:cs="Times New Roman"/>
          <w:sz w:val="24"/>
          <w:szCs w:val="24"/>
        </w:rPr>
        <w:t>7</w:t>
      </w:r>
      <w:r w:rsidR="0026276C" w:rsidRPr="0026276C">
        <w:rPr>
          <w:rFonts w:ascii="Times New Roman" w:hAnsi="Times New Roman" w:cs="Times New Roman"/>
          <w:sz w:val="24"/>
          <w:szCs w:val="24"/>
        </w:rPr>
        <w:t xml:space="preserve"> Sample Collection and Analysis</w:t>
      </w:r>
    </w:p>
    <w:p w14:paraId="42159782" w14:textId="47CDDAC6" w:rsidR="0026276C" w:rsidRPr="0026276C" w:rsidRDefault="0026276C" w:rsidP="00566A26">
      <w:pPr>
        <w:spacing w:line="360" w:lineRule="auto"/>
        <w:jc w:val="both"/>
        <w:rPr>
          <w:rFonts w:ascii="Times New Roman" w:hAnsi="Times New Roman" w:cs="Times New Roman"/>
          <w:sz w:val="24"/>
          <w:szCs w:val="24"/>
        </w:rPr>
      </w:pPr>
      <w:r w:rsidRPr="0026276C">
        <w:rPr>
          <w:rFonts w:ascii="Times New Roman" w:hAnsi="Times New Roman" w:cs="Times New Roman"/>
          <w:sz w:val="24"/>
          <w:szCs w:val="24"/>
        </w:rPr>
        <w:t>Blood samples were collected by cardiac puncture, and serum was separated for renal function and lipid profile analyses. Kidneys were excised, rinsed in normal saline, and fixed in 10% neutral buffered formalin for histological examination using hematoxylin and eosin staining.</w:t>
      </w:r>
    </w:p>
    <w:p w14:paraId="516231A3" w14:textId="5E269CA1" w:rsidR="0026276C" w:rsidRPr="0026276C" w:rsidRDefault="00104F19" w:rsidP="00566A2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26276C" w:rsidRPr="0026276C">
        <w:rPr>
          <w:rFonts w:ascii="Times New Roman" w:hAnsi="Times New Roman" w:cs="Times New Roman"/>
          <w:sz w:val="24"/>
          <w:szCs w:val="24"/>
        </w:rPr>
        <w:t>.</w:t>
      </w:r>
      <w:r w:rsidR="00DE3EAB">
        <w:rPr>
          <w:rFonts w:ascii="Times New Roman" w:hAnsi="Times New Roman" w:cs="Times New Roman"/>
          <w:sz w:val="24"/>
          <w:szCs w:val="24"/>
        </w:rPr>
        <w:t>8</w:t>
      </w:r>
      <w:r w:rsidR="0026276C" w:rsidRPr="0026276C">
        <w:rPr>
          <w:rFonts w:ascii="Times New Roman" w:hAnsi="Times New Roman" w:cs="Times New Roman"/>
          <w:sz w:val="24"/>
          <w:szCs w:val="24"/>
        </w:rPr>
        <w:t xml:space="preserve"> Statistical Analysis</w:t>
      </w:r>
    </w:p>
    <w:p w14:paraId="1360B6B9" w14:textId="3F172B22" w:rsidR="0026276C" w:rsidRDefault="0026276C" w:rsidP="00566A26">
      <w:pPr>
        <w:spacing w:line="360" w:lineRule="auto"/>
        <w:jc w:val="both"/>
        <w:rPr>
          <w:rFonts w:ascii="Times New Roman" w:hAnsi="Times New Roman" w:cs="Times New Roman"/>
          <w:sz w:val="24"/>
          <w:szCs w:val="24"/>
        </w:rPr>
      </w:pPr>
      <w:r w:rsidRPr="0026276C">
        <w:rPr>
          <w:rFonts w:ascii="Times New Roman" w:hAnsi="Times New Roman" w:cs="Times New Roman"/>
          <w:sz w:val="24"/>
          <w:szCs w:val="24"/>
        </w:rPr>
        <w:t xml:space="preserve">Results were expressed as mean ± standard deviation (SD). Data were analyzed using one-way analysis of variance (ANOVA) </w:t>
      </w:r>
      <w:r w:rsidRPr="0026276C">
        <w:rPr>
          <w:rFonts w:ascii="Times New Roman" w:hAnsi="Times New Roman" w:cs="Times New Roman"/>
          <w:sz w:val="24"/>
          <w:szCs w:val="24"/>
        </w:rPr>
        <w:lastRenderedPageBreak/>
        <w:t>followed by Tukey’s post-hoc test. Statistical significance was set at p ≤ 0.05.</w:t>
      </w:r>
    </w:p>
    <w:p w14:paraId="16414695" w14:textId="77777777" w:rsidR="007A4028" w:rsidRDefault="007A4028" w:rsidP="00566A26">
      <w:pPr>
        <w:spacing w:line="360" w:lineRule="auto"/>
        <w:jc w:val="both"/>
        <w:rPr>
          <w:rFonts w:ascii="Times New Roman" w:hAnsi="Times New Roman" w:cs="Times New Roman"/>
          <w:sz w:val="24"/>
          <w:szCs w:val="24"/>
        </w:rPr>
      </w:pPr>
    </w:p>
    <w:p w14:paraId="0EE0E0F5" w14:textId="77777777" w:rsidR="007A4028" w:rsidRDefault="007A4028" w:rsidP="00566A26">
      <w:pPr>
        <w:spacing w:line="360" w:lineRule="auto"/>
        <w:jc w:val="both"/>
        <w:rPr>
          <w:rFonts w:ascii="Times New Roman" w:hAnsi="Times New Roman" w:cs="Times New Roman"/>
          <w:sz w:val="24"/>
          <w:szCs w:val="24"/>
        </w:rPr>
      </w:pPr>
    </w:p>
    <w:p w14:paraId="7FE2CB6D" w14:textId="613D7C92" w:rsidR="00DF6641" w:rsidRPr="00157BE7" w:rsidRDefault="00104F19" w:rsidP="00566A2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3.0 </w:t>
      </w:r>
      <w:r w:rsidR="00DF6641" w:rsidRPr="00157BE7">
        <w:rPr>
          <w:rFonts w:ascii="Times New Roman" w:hAnsi="Times New Roman" w:cs="Times New Roman"/>
          <w:sz w:val="24"/>
          <w:szCs w:val="24"/>
        </w:rPr>
        <w:t>Result</w:t>
      </w:r>
    </w:p>
    <w:p w14:paraId="20B55999" w14:textId="03F283DF" w:rsidR="009A79DB" w:rsidRDefault="003E6E78" w:rsidP="00566A26">
      <w:pPr>
        <w:spacing w:line="360" w:lineRule="auto"/>
        <w:jc w:val="both"/>
        <w:rPr>
          <w:rFonts w:ascii="Times New Roman" w:hAnsi="Times New Roman" w:cs="Times New Roman"/>
          <w:sz w:val="24"/>
          <w:szCs w:val="24"/>
        </w:rPr>
      </w:pPr>
      <w:r w:rsidRPr="00157BE7">
        <w:rPr>
          <w:rFonts w:ascii="Times New Roman" w:hAnsi="Times New Roman" w:cs="Times New Roman"/>
          <w:sz w:val="24"/>
          <w:szCs w:val="24"/>
        </w:rPr>
        <w:t xml:space="preserve">Table </w:t>
      </w:r>
      <w:r w:rsidR="00104F19">
        <w:rPr>
          <w:rFonts w:ascii="Times New Roman" w:hAnsi="Times New Roman" w:cs="Times New Roman"/>
          <w:sz w:val="24"/>
          <w:szCs w:val="24"/>
        </w:rPr>
        <w:t>1</w:t>
      </w:r>
      <w:r w:rsidRPr="00157BE7">
        <w:rPr>
          <w:rFonts w:ascii="Times New Roman" w:hAnsi="Times New Roman" w:cs="Times New Roman"/>
          <w:sz w:val="24"/>
          <w:szCs w:val="24"/>
        </w:rPr>
        <w:t xml:space="preserve"> presents renal function indices in control and adenine-induced CKD male Wistar rats. Adenine administration significantly increased serum urea (14.06 ± 0.61 mmol/L), creatinine (4.62 ± 0.14 mg/dL), and urine albumin (2.60 ± 0.24 mg/dL) compared with control values (2.53 ± 0.31 mmol/L, 0.56 ± 0.03 mg/dL; p ≤ 0.05). CKD rats also exhibited electrolyte imbalance, with elevated sodium (188.75 ± 2.49 mmol/L) and potassium (7.55 ± 0.22 mmol/L). Treatment significantly improved renal biomarkers across all groups (p ≤ 0.05). Notably, the vitamin C–curcumin nanoparticle group </w:t>
      </w:r>
      <w:r w:rsidR="00050EE5" w:rsidRPr="00157BE7">
        <w:rPr>
          <w:rFonts w:ascii="Times New Roman" w:hAnsi="Times New Roman" w:cs="Times New Roman"/>
          <w:sz w:val="24"/>
          <w:szCs w:val="24"/>
        </w:rPr>
        <w:t xml:space="preserve">significantly lower </w:t>
      </w:r>
      <w:r w:rsidRPr="00157BE7">
        <w:rPr>
          <w:rFonts w:ascii="Times New Roman" w:hAnsi="Times New Roman" w:cs="Times New Roman"/>
          <w:sz w:val="24"/>
          <w:szCs w:val="24"/>
        </w:rPr>
        <w:t xml:space="preserve">urea (2.70 ± 0.31 mmol/L) and creatinine (0.62 </w:t>
      </w:r>
      <w:r w:rsidRPr="00157BE7">
        <w:rPr>
          <w:rFonts w:ascii="Times New Roman" w:hAnsi="Times New Roman" w:cs="Times New Roman"/>
          <w:sz w:val="24"/>
          <w:szCs w:val="24"/>
        </w:rPr>
        <w:t>± 0.02 mg/dL) to levels comparable with the control.</w:t>
      </w:r>
    </w:p>
    <w:p w14:paraId="2356B4A1" w14:textId="328E83F0" w:rsidR="006920AB" w:rsidRPr="00157BE7" w:rsidRDefault="006920AB" w:rsidP="00566A26">
      <w:pPr>
        <w:spacing w:line="360" w:lineRule="auto"/>
        <w:jc w:val="both"/>
        <w:rPr>
          <w:rFonts w:ascii="Times New Roman" w:hAnsi="Times New Roman" w:cs="Times New Roman"/>
          <w:sz w:val="24"/>
          <w:szCs w:val="24"/>
        </w:rPr>
      </w:pPr>
      <w:r w:rsidRPr="006920AB">
        <w:rPr>
          <w:rFonts w:ascii="Times New Roman" w:hAnsi="Times New Roman" w:cs="Times New Roman"/>
          <w:sz w:val="24"/>
          <w:szCs w:val="24"/>
        </w:rPr>
        <w:t xml:space="preserve">Table </w:t>
      </w:r>
      <w:r w:rsidR="00104F19">
        <w:rPr>
          <w:rFonts w:ascii="Times New Roman" w:hAnsi="Times New Roman" w:cs="Times New Roman"/>
          <w:sz w:val="24"/>
          <w:szCs w:val="24"/>
        </w:rPr>
        <w:t>2</w:t>
      </w:r>
      <w:r w:rsidRPr="006920AB">
        <w:rPr>
          <w:rFonts w:ascii="Times New Roman" w:hAnsi="Times New Roman" w:cs="Times New Roman"/>
          <w:sz w:val="24"/>
          <w:szCs w:val="24"/>
        </w:rPr>
        <w:t xml:space="preserve"> shows the serum lipid profile of control and adenine-induced CKD rats. CKD induction significantly increased total cholesterol (192.75 ± 2.25 mg/dL), triglycerides (219.00 ± 1.47 mg/dL), VLDL, and LDL (149.02 ± 2.08 mg/dL), while HDL was significantly reduced (0.18 ± 0.01 mg/dL) compared with control values (68.00 ± 0.57 mg/dL, 49.75 ± 3.88 mg/dL, and 1.59 ± 0.21 mg/dL, respectively; p ≤ 0.05). Treatment with free and nanoparticle-based antioxidants significantly improved lipid parameters (p ≤ 0.05). The vitamin C–curcumin nanoparticle group showed marked improvement, with triglycerides (48.25 ± 1.49 mg/dL) and HDL (1.12 ± 0.01 mg/dL) approaching control levels.</w:t>
      </w:r>
    </w:p>
    <w:p w14:paraId="4FABCFFF" w14:textId="77777777" w:rsidR="006920AB" w:rsidRDefault="006920AB" w:rsidP="009A79DB">
      <w:pPr>
        <w:rPr>
          <w:rFonts w:ascii="Times New Roman" w:hAnsi="Times New Roman" w:cs="Times New Roman"/>
          <w:b/>
          <w:bCs/>
          <w:sz w:val="24"/>
          <w:szCs w:val="24"/>
        </w:rPr>
      </w:pPr>
    </w:p>
    <w:p w14:paraId="69066281" w14:textId="77777777" w:rsidR="006920AB" w:rsidRDefault="006920AB" w:rsidP="009A79DB">
      <w:pPr>
        <w:rPr>
          <w:rFonts w:ascii="Times New Roman" w:hAnsi="Times New Roman" w:cs="Times New Roman"/>
          <w:b/>
          <w:bCs/>
          <w:sz w:val="24"/>
          <w:szCs w:val="24"/>
        </w:rPr>
      </w:pPr>
    </w:p>
    <w:p w14:paraId="4DEB2CC7" w14:textId="0D574BDF" w:rsidR="006920AB" w:rsidRDefault="006920AB" w:rsidP="009A79DB">
      <w:pPr>
        <w:rPr>
          <w:rFonts w:ascii="Times New Roman" w:hAnsi="Times New Roman" w:cs="Times New Roman"/>
          <w:b/>
          <w:bCs/>
          <w:sz w:val="24"/>
          <w:szCs w:val="24"/>
        </w:rPr>
        <w:sectPr w:rsidR="006920AB" w:rsidSect="00F24F5B">
          <w:type w:val="continuous"/>
          <w:pgSz w:w="11906" w:h="16838"/>
          <w:pgMar w:top="1440" w:right="1440" w:bottom="1440" w:left="1440" w:header="708" w:footer="708" w:gutter="0"/>
          <w:cols w:num="2" w:space="708"/>
          <w:docGrid w:linePitch="360"/>
        </w:sectPr>
      </w:pPr>
    </w:p>
    <w:p w14:paraId="336DC2F8" w14:textId="77777777" w:rsidR="00EC21C4" w:rsidRDefault="00EC21C4" w:rsidP="009A79DB">
      <w:pPr>
        <w:rPr>
          <w:rFonts w:ascii="Times New Roman" w:hAnsi="Times New Roman" w:cs="Times New Roman"/>
          <w:b/>
          <w:bCs/>
          <w:sz w:val="24"/>
          <w:szCs w:val="24"/>
        </w:rPr>
      </w:pPr>
    </w:p>
    <w:p w14:paraId="683AF6CE" w14:textId="34BF8C15" w:rsidR="009A79DB" w:rsidRPr="00157BE7" w:rsidRDefault="009A79DB" w:rsidP="009A79DB">
      <w:pPr>
        <w:rPr>
          <w:rFonts w:ascii="Times New Roman" w:hAnsi="Times New Roman" w:cs="Times New Roman"/>
          <w:b/>
          <w:bCs/>
          <w:sz w:val="24"/>
          <w:szCs w:val="24"/>
        </w:rPr>
      </w:pPr>
      <w:r w:rsidRPr="00157BE7">
        <w:rPr>
          <w:rFonts w:ascii="Times New Roman" w:hAnsi="Times New Roman" w:cs="Times New Roman"/>
          <w:b/>
          <w:bCs/>
          <w:sz w:val="24"/>
          <w:szCs w:val="24"/>
        </w:rPr>
        <w:t xml:space="preserve">Table 1 </w:t>
      </w:r>
      <w:bookmarkStart w:id="1" w:name="_Hlk218075006"/>
      <w:r w:rsidRPr="00157BE7">
        <w:rPr>
          <w:rFonts w:ascii="Times New Roman" w:hAnsi="Times New Roman" w:cs="Times New Roman"/>
          <w:b/>
          <w:bCs/>
          <w:sz w:val="24"/>
          <w:szCs w:val="24"/>
        </w:rPr>
        <w:t>Renal function Profile of Control and Adenine- induced Chronic Kidney Disease Male Wistar Rat</w:t>
      </w:r>
      <w:bookmarkEnd w:id="1"/>
    </w:p>
    <w:tbl>
      <w:tblPr>
        <w:tblW w:w="0" w:type="auto"/>
        <w:tblInd w:w="-284" w:type="dxa"/>
        <w:tblBorders>
          <w:top w:val="single" w:sz="4" w:space="0" w:color="auto"/>
          <w:bottom w:val="single" w:sz="4" w:space="0" w:color="auto"/>
        </w:tblBorders>
        <w:tblLook w:val="04A0" w:firstRow="1" w:lastRow="0" w:firstColumn="1" w:lastColumn="0" w:noHBand="0" w:noVBand="1"/>
      </w:tblPr>
      <w:tblGrid>
        <w:gridCol w:w="1301"/>
        <w:gridCol w:w="1020"/>
        <w:gridCol w:w="1036"/>
        <w:gridCol w:w="1077"/>
        <w:gridCol w:w="1016"/>
        <w:gridCol w:w="1195"/>
        <w:gridCol w:w="1154"/>
        <w:gridCol w:w="1274"/>
      </w:tblGrid>
      <w:tr w:rsidR="009A79DB" w:rsidRPr="00157BE7" w14:paraId="707C5ED4" w14:textId="77777777" w:rsidTr="00A40D74">
        <w:tc>
          <w:tcPr>
            <w:tcW w:w="1301" w:type="dxa"/>
            <w:tcBorders>
              <w:top w:val="single" w:sz="4" w:space="0" w:color="auto"/>
              <w:left w:val="nil"/>
              <w:bottom w:val="single" w:sz="4" w:space="0" w:color="auto"/>
              <w:right w:val="nil"/>
            </w:tcBorders>
            <w:hideMark/>
          </w:tcPr>
          <w:p w14:paraId="391B2DD4"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Group</w:t>
            </w:r>
          </w:p>
        </w:tc>
        <w:tc>
          <w:tcPr>
            <w:tcW w:w="1020" w:type="dxa"/>
            <w:tcBorders>
              <w:top w:val="single" w:sz="4" w:space="0" w:color="auto"/>
              <w:left w:val="nil"/>
              <w:bottom w:val="single" w:sz="4" w:space="0" w:color="auto"/>
              <w:right w:val="nil"/>
            </w:tcBorders>
            <w:hideMark/>
          </w:tcPr>
          <w:p w14:paraId="62B9F48E"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eastAsia="Times New Roman" w:hAnsi="Times New Roman" w:cs="Times New Roman"/>
                <w:b/>
                <w:bCs/>
                <w:sz w:val="18"/>
                <w:szCs w:val="18"/>
              </w:rPr>
              <w:t xml:space="preserve">Urea </w:t>
            </w:r>
            <w:r w:rsidRPr="007A4028">
              <w:rPr>
                <w:rFonts w:ascii="Times New Roman" w:eastAsia="Times New Roman" w:hAnsi="Times New Roman" w:cs="Times New Roman"/>
                <w:b/>
                <w:bCs/>
                <w:sz w:val="18"/>
                <w:szCs w:val="18"/>
              </w:rPr>
              <w:t>(mmol/L)</w:t>
            </w:r>
          </w:p>
        </w:tc>
        <w:tc>
          <w:tcPr>
            <w:tcW w:w="1036" w:type="dxa"/>
            <w:tcBorders>
              <w:top w:val="single" w:sz="4" w:space="0" w:color="auto"/>
              <w:left w:val="nil"/>
              <w:bottom w:val="single" w:sz="4" w:space="0" w:color="auto"/>
              <w:right w:val="nil"/>
            </w:tcBorders>
            <w:hideMark/>
          </w:tcPr>
          <w:p w14:paraId="12E7E3ED"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eastAsia="Times New Roman" w:hAnsi="Times New Roman" w:cs="Times New Roman"/>
                <w:b/>
                <w:bCs/>
                <w:sz w:val="18"/>
                <w:szCs w:val="18"/>
              </w:rPr>
              <w:t>Creatinine (mg/dL)</w:t>
            </w:r>
          </w:p>
        </w:tc>
        <w:tc>
          <w:tcPr>
            <w:tcW w:w="1077" w:type="dxa"/>
            <w:tcBorders>
              <w:top w:val="single" w:sz="4" w:space="0" w:color="auto"/>
              <w:left w:val="nil"/>
              <w:bottom w:val="single" w:sz="4" w:space="0" w:color="auto"/>
              <w:right w:val="nil"/>
            </w:tcBorders>
            <w:hideMark/>
          </w:tcPr>
          <w:p w14:paraId="651FA3A2"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 xml:space="preserve">Serum Albumin </w:t>
            </w:r>
            <w:r w:rsidRPr="00157BE7">
              <w:rPr>
                <w:rFonts w:ascii="Times New Roman" w:eastAsia="Times New Roman" w:hAnsi="Times New Roman" w:cs="Times New Roman"/>
                <w:b/>
                <w:bCs/>
                <w:sz w:val="18"/>
                <w:szCs w:val="18"/>
              </w:rPr>
              <w:t>(mg/dL)</w:t>
            </w:r>
          </w:p>
        </w:tc>
        <w:tc>
          <w:tcPr>
            <w:tcW w:w="1016" w:type="dxa"/>
            <w:tcBorders>
              <w:top w:val="single" w:sz="4" w:space="0" w:color="auto"/>
              <w:left w:val="nil"/>
              <w:bottom w:val="single" w:sz="4" w:space="0" w:color="auto"/>
              <w:right w:val="nil"/>
            </w:tcBorders>
            <w:hideMark/>
          </w:tcPr>
          <w:p w14:paraId="09D561F6"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eastAsia="Times New Roman" w:hAnsi="Times New Roman" w:cs="Times New Roman"/>
                <w:b/>
                <w:bCs/>
                <w:sz w:val="18"/>
                <w:szCs w:val="18"/>
              </w:rPr>
              <w:t>Urine Albumin (mg/dL)</w:t>
            </w:r>
          </w:p>
        </w:tc>
        <w:tc>
          <w:tcPr>
            <w:tcW w:w="1195" w:type="dxa"/>
            <w:tcBorders>
              <w:top w:val="single" w:sz="4" w:space="0" w:color="auto"/>
              <w:left w:val="nil"/>
              <w:bottom w:val="single" w:sz="4" w:space="0" w:color="auto"/>
              <w:right w:val="nil"/>
            </w:tcBorders>
            <w:hideMark/>
          </w:tcPr>
          <w:p w14:paraId="5A1BC141"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Na</w:t>
            </w:r>
            <w:r w:rsidRPr="00157BE7">
              <w:rPr>
                <w:rFonts w:ascii="Times New Roman" w:hAnsi="Times New Roman" w:cs="Times New Roman"/>
                <w:sz w:val="18"/>
                <w:szCs w:val="18"/>
                <w:vertAlign w:val="superscript"/>
              </w:rPr>
              <w:t>+</w:t>
            </w:r>
            <w:r w:rsidRPr="00157BE7">
              <w:rPr>
                <w:rFonts w:ascii="Times New Roman" w:hAnsi="Times New Roman" w:cs="Times New Roman"/>
                <w:sz w:val="18"/>
                <w:szCs w:val="18"/>
              </w:rPr>
              <w:t xml:space="preserve"> (</w:t>
            </w:r>
            <w:r w:rsidRPr="00157BE7">
              <w:rPr>
                <w:rFonts w:ascii="Times New Roman" w:eastAsia="Times New Roman" w:hAnsi="Times New Roman" w:cs="Times New Roman"/>
                <w:b/>
                <w:bCs/>
                <w:sz w:val="18"/>
                <w:szCs w:val="18"/>
              </w:rPr>
              <w:t>mmol/L</w:t>
            </w:r>
            <w:r w:rsidRPr="00157BE7">
              <w:rPr>
                <w:rFonts w:ascii="Times New Roman" w:hAnsi="Times New Roman" w:cs="Times New Roman"/>
                <w:sz w:val="18"/>
                <w:szCs w:val="18"/>
              </w:rPr>
              <w:t>)</w:t>
            </w:r>
          </w:p>
        </w:tc>
        <w:tc>
          <w:tcPr>
            <w:tcW w:w="1154" w:type="dxa"/>
            <w:tcBorders>
              <w:top w:val="single" w:sz="4" w:space="0" w:color="auto"/>
              <w:left w:val="nil"/>
              <w:bottom w:val="single" w:sz="4" w:space="0" w:color="auto"/>
              <w:right w:val="nil"/>
            </w:tcBorders>
            <w:hideMark/>
          </w:tcPr>
          <w:p w14:paraId="75D1BEDD"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K</w:t>
            </w:r>
            <w:r w:rsidRPr="00157BE7">
              <w:rPr>
                <w:rFonts w:ascii="Times New Roman" w:hAnsi="Times New Roman" w:cs="Times New Roman"/>
                <w:sz w:val="18"/>
                <w:szCs w:val="18"/>
                <w:vertAlign w:val="superscript"/>
              </w:rPr>
              <w:t xml:space="preserve">+ </w:t>
            </w:r>
            <w:r w:rsidRPr="00157BE7">
              <w:rPr>
                <w:rFonts w:ascii="Times New Roman" w:hAnsi="Times New Roman" w:cs="Times New Roman"/>
                <w:sz w:val="18"/>
                <w:szCs w:val="18"/>
              </w:rPr>
              <w:t>(</w:t>
            </w:r>
            <w:r w:rsidRPr="00157BE7">
              <w:rPr>
                <w:rFonts w:ascii="Times New Roman" w:eastAsia="Times New Roman" w:hAnsi="Times New Roman" w:cs="Times New Roman"/>
                <w:b/>
                <w:bCs/>
                <w:sz w:val="18"/>
                <w:szCs w:val="18"/>
              </w:rPr>
              <w:t>mmol/L</w:t>
            </w:r>
            <w:r w:rsidRPr="00157BE7">
              <w:rPr>
                <w:rFonts w:ascii="Times New Roman" w:hAnsi="Times New Roman" w:cs="Times New Roman"/>
                <w:sz w:val="18"/>
                <w:szCs w:val="18"/>
              </w:rPr>
              <w:t>)</w:t>
            </w:r>
          </w:p>
        </w:tc>
        <w:tc>
          <w:tcPr>
            <w:tcW w:w="1274" w:type="dxa"/>
            <w:tcBorders>
              <w:top w:val="single" w:sz="4" w:space="0" w:color="auto"/>
              <w:left w:val="nil"/>
              <w:bottom w:val="single" w:sz="4" w:space="0" w:color="auto"/>
              <w:right w:val="nil"/>
            </w:tcBorders>
            <w:hideMark/>
          </w:tcPr>
          <w:p w14:paraId="0A9425D7"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Cl</w:t>
            </w:r>
            <w:r w:rsidRPr="00157BE7">
              <w:rPr>
                <w:rFonts w:ascii="Times New Roman" w:hAnsi="Times New Roman" w:cs="Times New Roman"/>
                <w:sz w:val="18"/>
                <w:szCs w:val="18"/>
                <w:vertAlign w:val="superscript"/>
              </w:rPr>
              <w:t xml:space="preserve">- </w:t>
            </w:r>
            <w:r w:rsidRPr="00157BE7">
              <w:rPr>
                <w:rFonts w:ascii="Times New Roman" w:hAnsi="Times New Roman" w:cs="Times New Roman"/>
                <w:sz w:val="18"/>
                <w:szCs w:val="18"/>
              </w:rPr>
              <w:t>(</w:t>
            </w:r>
            <w:r w:rsidRPr="00157BE7">
              <w:rPr>
                <w:rFonts w:ascii="Times New Roman" w:eastAsia="Times New Roman" w:hAnsi="Times New Roman" w:cs="Times New Roman"/>
                <w:b/>
                <w:bCs/>
                <w:sz w:val="18"/>
                <w:szCs w:val="18"/>
              </w:rPr>
              <w:t>mmol/L</w:t>
            </w:r>
            <w:r w:rsidRPr="00157BE7">
              <w:rPr>
                <w:rFonts w:ascii="Times New Roman" w:hAnsi="Times New Roman" w:cs="Times New Roman"/>
                <w:sz w:val="18"/>
                <w:szCs w:val="18"/>
              </w:rPr>
              <w:t>)</w:t>
            </w:r>
          </w:p>
        </w:tc>
      </w:tr>
      <w:tr w:rsidR="009A79DB" w:rsidRPr="00157BE7" w14:paraId="398B43E0" w14:textId="77777777" w:rsidTr="00A40D74">
        <w:tc>
          <w:tcPr>
            <w:tcW w:w="1301" w:type="dxa"/>
            <w:tcBorders>
              <w:top w:val="single" w:sz="4" w:space="0" w:color="auto"/>
              <w:left w:val="nil"/>
              <w:bottom w:val="nil"/>
              <w:right w:val="nil"/>
            </w:tcBorders>
            <w:vAlign w:val="center"/>
            <w:hideMark/>
          </w:tcPr>
          <w:p w14:paraId="6E4ECDEB"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eastAsia="Times New Roman" w:hAnsi="Times New Roman" w:cs="Times New Roman"/>
                <w:sz w:val="18"/>
                <w:szCs w:val="18"/>
              </w:rPr>
              <w:t>Control(A)</w:t>
            </w:r>
          </w:p>
        </w:tc>
        <w:tc>
          <w:tcPr>
            <w:tcW w:w="1020" w:type="dxa"/>
            <w:tcBorders>
              <w:top w:val="single" w:sz="4" w:space="0" w:color="auto"/>
              <w:left w:val="nil"/>
              <w:bottom w:val="nil"/>
              <w:right w:val="nil"/>
            </w:tcBorders>
            <w:hideMark/>
          </w:tcPr>
          <w:p w14:paraId="603EA795"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2.53±0.31</w:t>
            </w:r>
            <w:r w:rsidRPr="00157BE7">
              <w:rPr>
                <w:rFonts w:ascii="Times New Roman" w:hAnsi="Times New Roman" w:cs="Times New Roman"/>
                <w:sz w:val="18"/>
                <w:szCs w:val="18"/>
                <w:vertAlign w:val="superscript"/>
              </w:rPr>
              <w:t>a</w:t>
            </w:r>
          </w:p>
        </w:tc>
        <w:tc>
          <w:tcPr>
            <w:tcW w:w="1036" w:type="dxa"/>
            <w:tcBorders>
              <w:top w:val="single" w:sz="4" w:space="0" w:color="auto"/>
              <w:left w:val="nil"/>
              <w:bottom w:val="nil"/>
              <w:right w:val="nil"/>
            </w:tcBorders>
            <w:hideMark/>
          </w:tcPr>
          <w:p w14:paraId="5EAFD8AB"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0.56±0.03</w:t>
            </w:r>
            <w:r w:rsidRPr="00157BE7">
              <w:rPr>
                <w:rFonts w:ascii="Times New Roman" w:hAnsi="Times New Roman" w:cs="Times New Roman"/>
                <w:sz w:val="18"/>
                <w:szCs w:val="18"/>
                <w:vertAlign w:val="superscript"/>
              </w:rPr>
              <w:t xml:space="preserve"> a</w:t>
            </w:r>
          </w:p>
        </w:tc>
        <w:tc>
          <w:tcPr>
            <w:tcW w:w="1077" w:type="dxa"/>
            <w:tcBorders>
              <w:top w:val="single" w:sz="4" w:space="0" w:color="auto"/>
              <w:left w:val="nil"/>
              <w:bottom w:val="nil"/>
              <w:right w:val="nil"/>
            </w:tcBorders>
            <w:hideMark/>
          </w:tcPr>
          <w:p w14:paraId="1B17F449"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3.30±0.10</w:t>
            </w:r>
            <w:r w:rsidRPr="00157BE7">
              <w:rPr>
                <w:rFonts w:ascii="Times New Roman" w:hAnsi="Times New Roman" w:cs="Times New Roman"/>
                <w:sz w:val="18"/>
                <w:szCs w:val="18"/>
                <w:vertAlign w:val="superscript"/>
              </w:rPr>
              <w:t>ab</w:t>
            </w:r>
          </w:p>
        </w:tc>
        <w:tc>
          <w:tcPr>
            <w:tcW w:w="1016" w:type="dxa"/>
            <w:tcBorders>
              <w:top w:val="single" w:sz="4" w:space="0" w:color="auto"/>
              <w:left w:val="nil"/>
              <w:bottom w:val="nil"/>
              <w:right w:val="nil"/>
            </w:tcBorders>
            <w:hideMark/>
          </w:tcPr>
          <w:p w14:paraId="01035809"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0.32±0.02</w:t>
            </w:r>
            <w:r w:rsidRPr="00157BE7">
              <w:rPr>
                <w:rFonts w:ascii="Times New Roman" w:hAnsi="Times New Roman" w:cs="Times New Roman"/>
                <w:sz w:val="18"/>
                <w:szCs w:val="18"/>
                <w:vertAlign w:val="superscript"/>
              </w:rPr>
              <w:t>a</w:t>
            </w:r>
          </w:p>
        </w:tc>
        <w:tc>
          <w:tcPr>
            <w:tcW w:w="1195" w:type="dxa"/>
            <w:tcBorders>
              <w:top w:val="single" w:sz="4" w:space="0" w:color="auto"/>
              <w:left w:val="nil"/>
              <w:bottom w:val="nil"/>
              <w:right w:val="nil"/>
            </w:tcBorders>
            <w:hideMark/>
          </w:tcPr>
          <w:p w14:paraId="7854F7A1"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139.00±1.22</w:t>
            </w:r>
            <w:r w:rsidRPr="00157BE7">
              <w:rPr>
                <w:rFonts w:ascii="Times New Roman" w:hAnsi="Times New Roman" w:cs="Times New Roman"/>
                <w:sz w:val="18"/>
                <w:szCs w:val="18"/>
                <w:vertAlign w:val="superscript"/>
              </w:rPr>
              <w:t>a</w:t>
            </w:r>
          </w:p>
        </w:tc>
        <w:tc>
          <w:tcPr>
            <w:tcW w:w="1154" w:type="dxa"/>
            <w:tcBorders>
              <w:top w:val="single" w:sz="4" w:space="0" w:color="auto"/>
              <w:left w:val="nil"/>
              <w:bottom w:val="nil"/>
              <w:right w:val="nil"/>
            </w:tcBorders>
            <w:hideMark/>
          </w:tcPr>
          <w:p w14:paraId="6EACDBB0"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3.27±0.09</w:t>
            </w:r>
            <w:r w:rsidRPr="00157BE7">
              <w:rPr>
                <w:rFonts w:ascii="Times New Roman" w:hAnsi="Times New Roman" w:cs="Times New Roman"/>
                <w:sz w:val="18"/>
                <w:szCs w:val="18"/>
                <w:vertAlign w:val="superscript"/>
              </w:rPr>
              <w:t>a</w:t>
            </w:r>
          </w:p>
        </w:tc>
        <w:tc>
          <w:tcPr>
            <w:tcW w:w="1274" w:type="dxa"/>
            <w:tcBorders>
              <w:top w:val="single" w:sz="4" w:space="0" w:color="auto"/>
              <w:left w:val="nil"/>
              <w:bottom w:val="nil"/>
              <w:right w:val="nil"/>
            </w:tcBorders>
            <w:hideMark/>
          </w:tcPr>
          <w:p w14:paraId="7874F295"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96.00±3.03</w:t>
            </w:r>
            <w:r w:rsidRPr="00157BE7">
              <w:rPr>
                <w:rFonts w:ascii="Times New Roman" w:hAnsi="Times New Roman" w:cs="Times New Roman"/>
                <w:sz w:val="18"/>
                <w:szCs w:val="18"/>
                <w:vertAlign w:val="superscript"/>
              </w:rPr>
              <w:t>a</w:t>
            </w:r>
          </w:p>
        </w:tc>
      </w:tr>
      <w:tr w:rsidR="009A79DB" w:rsidRPr="00157BE7" w14:paraId="54F93C19" w14:textId="77777777" w:rsidTr="00A40D74">
        <w:tc>
          <w:tcPr>
            <w:tcW w:w="1301" w:type="dxa"/>
            <w:tcBorders>
              <w:top w:val="nil"/>
              <w:left w:val="nil"/>
              <w:bottom w:val="nil"/>
              <w:right w:val="nil"/>
            </w:tcBorders>
            <w:vAlign w:val="center"/>
            <w:hideMark/>
          </w:tcPr>
          <w:p w14:paraId="2EB7CB0F"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eastAsia="Times New Roman" w:hAnsi="Times New Roman" w:cs="Times New Roman"/>
                <w:sz w:val="18"/>
                <w:szCs w:val="18"/>
              </w:rPr>
              <w:t>CKD (B)</w:t>
            </w:r>
          </w:p>
        </w:tc>
        <w:tc>
          <w:tcPr>
            <w:tcW w:w="1020" w:type="dxa"/>
            <w:tcBorders>
              <w:top w:val="nil"/>
              <w:left w:val="nil"/>
              <w:bottom w:val="nil"/>
              <w:right w:val="nil"/>
            </w:tcBorders>
            <w:hideMark/>
          </w:tcPr>
          <w:p w14:paraId="5BF5BA64"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14.06±0.6</w:t>
            </w:r>
            <w:r w:rsidRPr="00157BE7">
              <w:rPr>
                <w:rFonts w:ascii="Times New Roman" w:hAnsi="Times New Roman" w:cs="Times New Roman"/>
                <w:sz w:val="18"/>
                <w:szCs w:val="18"/>
                <w:vertAlign w:val="superscript"/>
              </w:rPr>
              <w:t>e</w:t>
            </w:r>
          </w:p>
        </w:tc>
        <w:tc>
          <w:tcPr>
            <w:tcW w:w="1036" w:type="dxa"/>
            <w:tcBorders>
              <w:top w:val="nil"/>
              <w:left w:val="nil"/>
              <w:bottom w:val="nil"/>
              <w:right w:val="nil"/>
            </w:tcBorders>
            <w:hideMark/>
          </w:tcPr>
          <w:p w14:paraId="7CFC7427"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4.62±0.14</w:t>
            </w:r>
            <w:r w:rsidRPr="00157BE7">
              <w:rPr>
                <w:rFonts w:ascii="Times New Roman" w:hAnsi="Times New Roman" w:cs="Times New Roman"/>
                <w:sz w:val="18"/>
                <w:szCs w:val="18"/>
                <w:vertAlign w:val="superscript"/>
              </w:rPr>
              <w:t>d</w:t>
            </w:r>
          </w:p>
        </w:tc>
        <w:tc>
          <w:tcPr>
            <w:tcW w:w="1077" w:type="dxa"/>
            <w:tcBorders>
              <w:top w:val="nil"/>
              <w:left w:val="nil"/>
              <w:bottom w:val="nil"/>
              <w:right w:val="nil"/>
            </w:tcBorders>
            <w:hideMark/>
          </w:tcPr>
          <w:p w14:paraId="7C00F699"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5.21±0.12</w:t>
            </w:r>
            <w:r w:rsidRPr="00157BE7">
              <w:rPr>
                <w:rFonts w:ascii="Times New Roman" w:hAnsi="Times New Roman" w:cs="Times New Roman"/>
                <w:sz w:val="18"/>
                <w:szCs w:val="18"/>
                <w:vertAlign w:val="superscript"/>
              </w:rPr>
              <w:t>e</w:t>
            </w:r>
          </w:p>
        </w:tc>
        <w:tc>
          <w:tcPr>
            <w:tcW w:w="1016" w:type="dxa"/>
            <w:tcBorders>
              <w:top w:val="nil"/>
              <w:left w:val="nil"/>
              <w:bottom w:val="nil"/>
              <w:right w:val="nil"/>
            </w:tcBorders>
            <w:hideMark/>
          </w:tcPr>
          <w:p w14:paraId="4C01444B"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2.60±0.24</w:t>
            </w:r>
            <w:r w:rsidRPr="00157BE7">
              <w:rPr>
                <w:rFonts w:ascii="Times New Roman" w:hAnsi="Times New Roman" w:cs="Times New Roman"/>
                <w:sz w:val="18"/>
                <w:szCs w:val="18"/>
                <w:vertAlign w:val="superscript"/>
              </w:rPr>
              <w:t>b</w:t>
            </w:r>
          </w:p>
        </w:tc>
        <w:tc>
          <w:tcPr>
            <w:tcW w:w="1195" w:type="dxa"/>
            <w:tcBorders>
              <w:top w:val="nil"/>
              <w:left w:val="nil"/>
              <w:bottom w:val="nil"/>
              <w:right w:val="nil"/>
            </w:tcBorders>
            <w:hideMark/>
          </w:tcPr>
          <w:p w14:paraId="67A5BCB2"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188.75±2.49</w:t>
            </w:r>
            <w:r w:rsidRPr="00157BE7">
              <w:rPr>
                <w:rFonts w:ascii="Times New Roman" w:hAnsi="Times New Roman" w:cs="Times New Roman"/>
                <w:sz w:val="18"/>
                <w:szCs w:val="18"/>
                <w:vertAlign w:val="superscript"/>
              </w:rPr>
              <w:t>b</w:t>
            </w:r>
          </w:p>
        </w:tc>
        <w:tc>
          <w:tcPr>
            <w:tcW w:w="1154" w:type="dxa"/>
            <w:tcBorders>
              <w:top w:val="nil"/>
              <w:left w:val="nil"/>
              <w:bottom w:val="nil"/>
              <w:right w:val="nil"/>
            </w:tcBorders>
            <w:hideMark/>
          </w:tcPr>
          <w:p w14:paraId="5C44F57E"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7.55±0.22</w:t>
            </w:r>
            <w:r w:rsidRPr="00157BE7">
              <w:rPr>
                <w:rFonts w:ascii="Times New Roman" w:hAnsi="Times New Roman" w:cs="Times New Roman"/>
                <w:sz w:val="18"/>
                <w:szCs w:val="18"/>
                <w:vertAlign w:val="superscript"/>
              </w:rPr>
              <w:t>d</w:t>
            </w:r>
          </w:p>
        </w:tc>
        <w:tc>
          <w:tcPr>
            <w:tcW w:w="1274" w:type="dxa"/>
            <w:tcBorders>
              <w:top w:val="nil"/>
              <w:left w:val="nil"/>
              <w:bottom w:val="nil"/>
              <w:right w:val="nil"/>
            </w:tcBorders>
            <w:hideMark/>
          </w:tcPr>
          <w:p w14:paraId="5C8AD423"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119.75±0.48</w:t>
            </w:r>
            <w:r w:rsidRPr="00157BE7">
              <w:rPr>
                <w:rFonts w:ascii="Times New Roman" w:hAnsi="Times New Roman" w:cs="Times New Roman"/>
                <w:sz w:val="18"/>
                <w:szCs w:val="18"/>
                <w:vertAlign w:val="superscript"/>
              </w:rPr>
              <w:t xml:space="preserve"> d</w:t>
            </w:r>
          </w:p>
        </w:tc>
      </w:tr>
      <w:tr w:rsidR="009A79DB" w:rsidRPr="00157BE7" w14:paraId="45F05A78" w14:textId="77777777" w:rsidTr="00A40D74">
        <w:tc>
          <w:tcPr>
            <w:tcW w:w="1301" w:type="dxa"/>
            <w:tcBorders>
              <w:top w:val="nil"/>
              <w:left w:val="nil"/>
              <w:bottom w:val="nil"/>
              <w:right w:val="nil"/>
            </w:tcBorders>
            <w:vAlign w:val="center"/>
            <w:hideMark/>
          </w:tcPr>
          <w:p w14:paraId="78836ECF"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eastAsia="Times New Roman" w:hAnsi="Times New Roman" w:cs="Times New Roman"/>
                <w:sz w:val="18"/>
                <w:szCs w:val="18"/>
              </w:rPr>
              <w:t>CSNP (C)</w:t>
            </w:r>
          </w:p>
        </w:tc>
        <w:tc>
          <w:tcPr>
            <w:tcW w:w="1020" w:type="dxa"/>
            <w:tcBorders>
              <w:top w:val="nil"/>
              <w:left w:val="nil"/>
              <w:bottom w:val="nil"/>
              <w:right w:val="nil"/>
            </w:tcBorders>
            <w:hideMark/>
          </w:tcPr>
          <w:p w14:paraId="653EF255"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7.50±0.14</w:t>
            </w:r>
            <w:r w:rsidRPr="00157BE7">
              <w:rPr>
                <w:rFonts w:ascii="Times New Roman" w:hAnsi="Times New Roman" w:cs="Times New Roman"/>
                <w:sz w:val="18"/>
                <w:szCs w:val="18"/>
                <w:vertAlign w:val="superscript"/>
              </w:rPr>
              <w:t xml:space="preserve"> cd</w:t>
            </w:r>
          </w:p>
        </w:tc>
        <w:tc>
          <w:tcPr>
            <w:tcW w:w="1036" w:type="dxa"/>
            <w:tcBorders>
              <w:top w:val="nil"/>
              <w:left w:val="nil"/>
              <w:bottom w:val="nil"/>
              <w:right w:val="nil"/>
            </w:tcBorders>
            <w:hideMark/>
          </w:tcPr>
          <w:p w14:paraId="3AE39FE4"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2.06±0.04</w:t>
            </w:r>
            <w:r w:rsidRPr="00157BE7">
              <w:rPr>
                <w:rFonts w:ascii="Times New Roman" w:hAnsi="Times New Roman" w:cs="Times New Roman"/>
                <w:sz w:val="18"/>
                <w:szCs w:val="18"/>
                <w:vertAlign w:val="superscript"/>
              </w:rPr>
              <w:t xml:space="preserve"> c</w:t>
            </w:r>
          </w:p>
        </w:tc>
        <w:tc>
          <w:tcPr>
            <w:tcW w:w="1077" w:type="dxa"/>
            <w:tcBorders>
              <w:top w:val="nil"/>
              <w:left w:val="nil"/>
              <w:bottom w:val="nil"/>
              <w:right w:val="nil"/>
            </w:tcBorders>
            <w:hideMark/>
          </w:tcPr>
          <w:p w14:paraId="4979AEB7"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4.20±0.27</w:t>
            </w:r>
            <w:r w:rsidRPr="00157BE7">
              <w:rPr>
                <w:rFonts w:ascii="Times New Roman" w:hAnsi="Times New Roman" w:cs="Times New Roman"/>
                <w:sz w:val="18"/>
                <w:szCs w:val="18"/>
                <w:vertAlign w:val="superscript"/>
              </w:rPr>
              <w:t xml:space="preserve"> d</w:t>
            </w:r>
          </w:p>
        </w:tc>
        <w:tc>
          <w:tcPr>
            <w:tcW w:w="1016" w:type="dxa"/>
            <w:tcBorders>
              <w:top w:val="nil"/>
              <w:left w:val="nil"/>
              <w:bottom w:val="nil"/>
              <w:right w:val="nil"/>
            </w:tcBorders>
            <w:hideMark/>
          </w:tcPr>
          <w:p w14:paraId="5C3087DB"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0.42±0.03</w:t>
            </w:r>
            <w:r w:rsidRPr="00157BE7">
              <w:rPr>
                <w:rFonts w:ascii="Times New Roman" w:hAnsi="Times New Roman" w:cs="Times New Roman"/>
                <w:sz w:val="18"/>
                <w:szCs w:val="18"/>
                <w:vertAlign w:val="superscript"/>
              </w:rPr>
              <w:t>a</w:t>
            </w:r>
          </w:p>
        </w:tc>
        <w:tc>
          <w:tcPr>
            <w:tcW w:w="1195" w:type="dxa"/>
            <w:tcBorders>
              <w:top w:val="nil"/>
              <w:left w:val="nil"/>
              <w:bottom w:val="nil"/>
              <w:right w:val="nil"/>
            </w:tcBorders>
            <w:hideMark/>
          </w:tcPr>
          <w:p w14:paraId="4CD8D38B"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136.25±0.85</w:t>
            </w:r>
            <w:r w:rsidRPr="00157BE7">
              <w:rPr>
                <w:rFonts w:ascii="Times New Roman" w:hAnsi="Times New Roman" w:cs="Times New Roman"/>
                <w:sz w:val="18"/>
                <w:szCs w:val="18"/>
                <w:vertAlign w:val="superscript"/>
              </w:rPr>
              <w:t>a</w:t>
            </w:r>
          </w:p>
        </w:tc>
        <w:tc>
          <w:tcPr>
            <w:tcW w:w="1154" w:type="dxa"/>
            <w:tcBorders>
              <w:top w:val="nil"/>
              <w:left w:val="nil"/>
              <w:bottom w:val="nil"/>
              <w:right w:val="nil"/>
            </w:tcBorders>
            <w:hideMark/>
          </w:tcPr>
          <w:p w14:paraId="3538666B"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5.15±0.09</w:t>
            </w:r>
            <w:r w:rsidRPr="00157BE7">
              <w:rPr>
                <w:rFonts w:ascii="Times New Roman" w:hAnsi="Times New Roman" w:cs="Times New Roman"/>
                <w:sz w:val="18"/>
                <w:szCs w:val="18"/>
                <w:vertAlign w:val="superscript"/>
              </w:rPr>
              <w:t xml:space="preserve"> </w:t>
            </w:r>
            <w:proofErr w:type="spellStart"/>
            <w:r w:rsidRPr="00157BE7">
              <w:rPr>
                <w:rFonts w:ascii="Times New Roman" w:hAnsi="Times New Roman" w:cs="Times New Roman"/>
                <w:sz w:val="18"/>
                <w:szCs w:val="18"/>
                <w:vertAlign w:val="superscript"/>
              </w:rPr>
              <w:t>bc</w:t>
            </w:r>
            <w:proofErr w:type="spellEnd"/>
          </w:p>
        </w:tc>
        <w:tc>
          <w:tcPr>
            <w:tcW w:w="1274" w:type="dxa"/>
            <w:tcBorders>
              <w:top w:val="nil"/>
              <w:left w:val="nil"/>
              <w:bottom w:val="nil"/>
              <w:right w:val="nil"/>
            </w:tcBorders>
            <w:hideMark/>
          </w:tcPr>
          <w:p w14:paraId="4FBDF86D"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100.25±1.44</w:t>
            </w:r>
            <w:r w:rsidRPr="00157BE7">
              <w:rPr>
                <w:rFonts w:ascii="Times New Roman" w:hAnsi="Times New Roman" w:cs="Times New Roman"/>
                <w:sz w:val="18"/>
                <w:szCs w:val="18"/>
                <w:vertAlign w:val="superscript"/>
              </w:rPr>
              <w:t xml:space="preserve"> ab</w:t>
            </w:r>
          </w:p>
        </w:tc>
      </w:tr>
      <w:tr w:rsidR="009A79DB" w:rsidRPr="00157BE7" w14:paraId="28C0971F" w14:textId="77777777" w:rsidTr="00A40D74">
        <w:tc>
          <w:tcPr>
            <w:tcW w:w="1301" w:type="dxa"/>
            <w:tcBorders>
              <w:top w:val="nil"/>
              <w:left w:val="nil"/>
              <w:bottom w:val="nil"/>
              <w:right w:val="nil"/>
            </w:tcBorders>
            <w:vAlign w:val="center"/>
            <w:hideMark/>
          </w:tcPr>
          <w:p w14:paraId="30CB8483"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eastAsia="Times New Roman" w:hAnsi="Times New Roman" w:cs="Times New Roman"/>
                <w:sz w:val="18"/>
                <w:szCs w:val="18"/>
              </w:rPr>
              <w:t>Vit C (D)</w:t>
            </w:r>
          </w:p>
        </w:tc>
        <w:tc>
          <w:tcPr>
            <w:tcW w:w="1020" w:type="dxa"/>
            <w:tcBorders>
              <w:top w:val="nil"/>
              <w:left w:val="nil"/>
              <w:bottom w:val="nil"/>
              <w:right w:val="nil"/>
            </w:tcBorders>
            <w:hideMark/>
          </w:tcPr>
          <w:p w14:paraId="0AA7640B"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8.83±0.12</w:t>
            </w:r>
            <w:r w:rsidRPr="00157BE7">
              <w:rPr>
                <w:rFonts w:ascii="Times New Roman" w:hAnsi="Times New Roman" w:cs="Times New Roman"/>
                <w:sz w:val="18"/>
                <w:szCs w:val="18"/>
                <w:vertAlign w:val="superscript"/>
              </w:rPr>
              <w:t>d</w:t>
            </w:r>
          </w:p>
        </w:tc>
        <w:tc>
          <w:tcPr>
            <w:tcW w:w="1036" w:type="dxa"/>
            <w:tcBorders>
              <w:top w:val="nil"/>
              <w:left w:val="nil"/>
              <w:bottom w:val="nil"/>
              <w:right w:val="nil"/>
            </w:tcBorders>
            <w:hideMark/>
          </w:tcPr>
          <w:p w14:paraId="52B5B44A"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1.90±0.12</w:t>
            </w:r>
            <w:r w:rsidRPr="00157BE7">
              <w:rPr>
                <w:rFonts w:ascii="Times New Roman" w:hAnsi="Times New Roman" w:cs="Times New Roman"/>
                <w:sz w:val="18"/>
                <w:szCs w:val="18"/>
                <w:vertAlign w:val="superscript"/>
              </w:rPr>
              <w:t xml:space="preserve"> c</w:t>
            </w:r>
          </w:p>
        </w:tc>
        <w:tc>
          <w:tcPr>
            <w:tcW w:w="1077" w:type="dxa"/>
            <w:tcBorders>
              <w:top w:val="nil"/>
              <w:left w:val="nil"/>
              <w:bottom w:val="nil"/>
              <w:right w:val="nil"/>
            </w:tcBorders>
            <w:hideMark/>
          </w:tcPr>
          <w:p w14:paraId="1FD260DD"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3.77±0.09</w:t>
            </w:r>
            <w:r w:rsidRPr="00157BE7">
              <w:rPr>
                <w:rFonts w:ascii="Times New Roman" w:hAnsi="Times New Roman" w:cs="Times New Roman"/>
                <w:sz w:val="18"/>
                <w:szCs w:val="18"/>
                <w:vertAlign w:val="superscript"/>
              </w:rPr>
              <w:t xml:space="preserve"> </w:t>
            </w:r>
            <w:proofErr w:type="spellStart"/>
            <w:r w:rsidRPr="00157BE7">
              <w:rPr>
                <w:rFonts w:ascii="Times New Roman" w:hAnsi="Times New Roman" w:cs="Times New Roman"/>
                <w:sz w:val="18"/>
                <w:szCs w:val="18"/>
                <w:vertAlign w:val="superscript"/>
              </w:rPr>
              <w:t>bcd</w:t>
            </w:r>
            <w:proofErr w:type="spellEnd"/>
          </w:p>
        </w:tc>
        <w:tc>
          <w:tcPr>
            <w:tcW w:w="1016" w:type="dxa"/>
            <w:tcBorders>
              <w:top w:val="nil"/>
              <w:left w:val="nil"/>
              <w:bottom w:val="nil"/>
              <w:right w:val="nil"/>
            </w:tcBorders>
            <w:hideMark/>
          </w:tcPr>
          <w:p w14:paraId="64DAB9ED"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0.42±0.03</w:t>
            </w:r>
            <w:r w:rsidRPr="00157BE7">
              <w:rPr>
                <w:rFonts w:ascii="Times New Roman" w:hAnsi="Times New Roman" w:cs="Times New Roman"/>
                <w:sz w:val="18"/>
                <w:szCs w:val="18"/>
                <w:vertAlign w:val="superscript"/>
              </w:rPr>
              <w:t>a</w:t>
            </w:r>
          </w:p>
        </w:tc>
        <w:tc>
          <w:tcPr>
            <w:tcW w:w="1195" w:type="dxa"/>
            <w:tcBorders>
              <w:top w:val="nil"/>
              <w:left w:val="nil"/>
              <w:bottom w:val="nil"/>
              <w:right w:val="nil"/>
            </w:tcBorders>
            <w:hideMark/>
          </w:tcPr>
          <w:p w14:paraId="361BA96B"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134.00±2.44</w:t>
            </w:r>
            <w:r w:rsidRPr="00157BE7">
              <w:rPr>
                <w:rFonts w:ascii="Times New Roman" w:hAnsi="Times New Roman" w:cs="Times New Roman"/>
                <w:sz w:val="18"/>
                <w:szCs w:val="18"/>
                <w:vertAlign w:val="superscript"/>
              </w:rPr>
              <w:t>a</w:t>
            </w:r>
          </w:p>
        </w:tc>
        <w:tc>
          <w:tcPr>
            <w:tcW w:w="1154" w:type="dxa"/>
            <w:tcBorders>
              <w:top w:val="nil"/>
              <w:left w:val="nil"/>
              <w:bottom w:val="nil"/>
              <w:right w:val="nil"/>
            </w:tcBorders>
            <w:hideMark/>
          </w:tcPr>
          <w:p w14:paraId="5E3F2C0F"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5.42±0.09</w:t>
            </w:r>
            <w:r w:rsidRPr="00157BE7">
              <w:rPr>
                <w:rFonts w:ascii="Times New Roman" w:hAnsi="Times New Roman" w:cs="Times New Roman"/>
                <w:sz w:val="18"/>
                <w:szCs w:val="18"/>
                <w:vertAlign w:val="superscript"/>
              </w:rPr>
              <w:t>c</w:t>
            </w:r>
          </w:p>
        </w:tc>
        <w:tc>
          <w:tcPr>
            <w:tcW w:w="1274" w:type="dxa"/>
            <w:tcBorders>
              <w:top w:val="nil"/>
              <w:left w:val="nil"/>
              <w:bottom w:val="nil"/>
              <w:right w:val="nil"/>
            </w:tcBorders>
            <w:hideMark/>
          </w:tcPr>
          <w:p w14:paraId="388A3283"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103.50±0.29</w:t>
            </w:r>
            <w:r w:rsidRPr="00157BE7">
              <w:rPr>
                <w:rFonts w:ascii="Times New Roman" w:hAnsi="Times New Roman" w:cs="Times New Roman"/>
                <w:sz w:val="18"/>
                <w:szCs w:val="18"/>
                <w:vertAlign w:val="superscript"/>
              </w:rPr>
              <w:t xml:space="preserve"> </w:t>
            </w:r>
            <w:proofErr w:type="spellStart"/>
            <w:r w:rsidRPr="00157BE7">
              <w:rPr>
                <w:rFonts w:ascii="Times New Roman" w:hAnsi="Times New Roman" w:cs="Times New Roman"/>
                <w:sz w:val="18"/>
                <w:szCs w:val="18"/>
                <w:vertAlign w:val="superscript"/>
              </w:rPr>
              <w:t>bc</w:t>
            </w:r>
            <w:proofErr w:type="spellEnd"/>
          </w:p>
        </w:tc>
      </w:tr>
      <w:tr w:rsidR="009A79DB" w:rsidRPr="00157BE7" w14:paraId="57D13CC3" w14:textId="77777777" w:rsidTr="00A40D74">
        <w:tc>
          <w:tcPr>
            <w:tcW w:w="1301" w:type="dxa"/>
            <w:tcBorders>
              <w:top w:val="nil"/>
              <w:left w:val="nil"/>
              <w:bottom w:val="nil"/>
              <w:right w:val="nil"/>
            </w:tcBorders>
            <w:vAlign w:val="center"/>
            <w:hideMark/>
          </w:tcPr>
          <w:p w14:paraId="7F723755"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eastAsia="Times New Roman" w:hAnsi="Times New Roman" w:cs="Times New Roman"/>
                <w:sz w:val="18"/>
                <w:szCs w:val="18"/>
              </w:rPr>
              <w:t>Curcumin (E)</w:t>
            </w:r>
          </w:p>
        </w:tc>
        <w:tc>
          <w:tcPr>
            <w:tcW w:w="1020" w:type="dxa"/>
            <w:tcBorders>
              <w:top w:val="nil"/>
              <w:left w:val="nil"/>
              <w:bottom w:val="nil"/>
              <w:right w:val="nil"/>
            </w:tcBorders>
            <w:hideMark/>
          </w:tcPr>
          <w:p w14:paraId="5BC1A51F"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6.86±0.63</w:t>
            </w:r>
            <w:r w:rsidRPr="00157BE7">
              <w:rPr>
                <w:rFonts w:ascii="Times New Roman" w:hAnsi="Times New Roman" w:cs="Times New Roman"/>
                <w:sz w:val="18"/>
                <w:szCs w:val="18"/>
                <w:vertAlign w:val="superscript"/>
              </w:rPr>
              <w:t xml:space="preserve"> </w:t>
            </w:r>
            <w:proofErr w:type="spellStart"/>
            <w:r w:rsidRPr="00157BE7">
              <w:rPr>
                <w:rFonts w:ascii="Times New Roman" w:hAnsi="Times New Roman" w:cs="Times New Roman"/>
                <w:sz w:val="18"/>
                <w:szCs w:val="18"/>
                <w:vertAlign w:val="superscript"/>
              </w:rPr>
              <w:t>bc</w:t>
            </w:r>
            <w:proofErr w:type="spellEnd"/>
          </w:p>
        </w:tc>
        <w:tc>
          <w:tcPr>
            <w:tcW w:w="1036" w:type="dxa"/>
            <w:tcBorders>
              <w:top w:val="nil"/>
              <w:left w:val="nil"/>
              <w:bottom w:val="nil"/>
              <w:right w:val="nil"/>
            </w:tcBorders>
            <w:hideMark/>
          </w:tcPr>
          <w:p w14:paraId="2EE8902C"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1.91±0.09</w:t>
            </w:r>
            <w:r w:rsidRPr="00157BE7">
              <w:rPr>
                <w:rFonts w:ascii="Times New Roman" w:hAnsi="Times New Roman" w:cs="Times New Roman"/>
                <w:sz w:val="18"/>
                <w:szCs w:val="18"/>
                <w:vertAlign w:val="superscript"/>
              </w:rPr>
              <w:t xml:space="preserve"> c</w:t>
            </w:r>
          </w:p>
        </w:tc>
        <w:tc>
          <w:tcPr>
            <w:tcW w:w="1077" w:type="dxa"/>
            <w:tcBorders>
              <w:top w:val="nil"/>
              <w:left w:val="nil"/>
              <w:bottom w:val="nil"/>
              <w:right w:val="nil"/>
            </w:tcBorders>
            <w:hideMark/>
          </w:tcPr>
          <w:p w14:paraId="2AEFAFC4"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3.55±0.05</w:t>
            </w:r>
            <w:r w:rsidRPr="00157BE7">
              <w:rPr>
                <w:rFonts w:ascii="Times New Roman" w:hAnsi="Times New Roman" w:cs="Times New Roman"/>
                <w:sz w:val="18"/>
                <w:szCs w:val="18"/>
                <w:vertAlign w:val="superscript"/>
              </w:rPr>
              <w:t xml:space="preserve"> </w:t>
            </w:r>
            <w:proofErr w:type="spellStart"/>
            <w:r w:rsidRPr="00157BE7">
              <w:rPr>
                <w:rFonts w:ascii="Times New Roman" w:hAnsi="Times New Roman" w:cs="Times New Roman"/>
                <w:sz w:val="18"/>
                <w:szCs w:val="18"/>
                <w:vertAlign w:val="superscript"/>
              </w:rPr>
              <w:t>bc</w:t>
            </w:r>
            <w:proofErr w:type="spellEnd"/>
          </w:p>
        </w:tc>
        <w:tc>
          <w:tcPr>
            <w:tcW w:w="1016" w:type="dxa"/>
            <w:tcBorders>
              <w:top w:val="nil"/>
              <w:left w:val="nil"/>
              <w:bottom w:val="nil"/>
              <w:right w:val="nil"/>
            </w:tcBorders>
            <w:hideMark/>
          </w:tcPr>
          <w:p w14:paraId="4836CC7E"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0.35±0.03</w:t>
            </w:r>
            <w:r w:rsidRPr="00157BE7">
              <w:rPr>
                <w:rFonts w:ascii="Times New Roman" w:hAnsi="Times New Roman" w:cs="Times New Roman"/>
                <w:sz w:val="18"/>
                <w:szCs w:val="18"/>
                <w:vertAlign w:val="superscript"/>
              </w:rPr>
              <w:t>a</w:t>
            </w:r>
          </w:p>
        </w:tc>
        <w:tc>
          <w:tcPr>
            <w:tcW w:w="1195" w:type="dxa"/>
            <w:tcBorders>
              <w:top w:val="nil"/>
              <w:left w:val="nil"/>
              <w:bottom w:val="nil"/>
              <w:right w:val="nil"/>
            </w:tcBorders>
            <w:hideMark/>
          </w:tcPr>
          <w:p w14:paraId="794FD2E4"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139.25±0.47</w:t>
            </w:r>
            <w:r w:rsidRPr="00157BE7">
              <w:rPr>
                <w:rFonts w:ascii="Times New Roman" w:hAnsi="Times New Roman" w:cs="Times New Roman"/>
                <w:sz w:val="18"/>
                <w:szCs w:val="18"/>
                <w:vertAlign w:val="superscript"/>
              </w:rPr>
              <w:t>a</w:t>
            </w:r>
          </w:p>
        </w:tc>
        <w:tc>
          <w:tcPr>
            <w:tcW w:w="1154" w:type="dxa"/>
            <w:tcBorders>
              <w:top w:val="nil"/>
              <w:left w:val="nil"/>
              <w:bottom w:val="nil"/>
              <w:right w:val="nil"/>
            </w:tcBorders>
            <w:hideMark/>
          </w:tcPr>
          <w:p w14:paraId="065A5BDC"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5.35±0.06</w:t>
            </w:r>
            <w:r w:rsidRPr="00157BE7">
              <w:rPr>
                <w:rFonts w:ascii="Times New Roman" w:hAnsi="Times New Roman" w:cs="Times New Roman"/>
                <w:sz w:val="18"/>
                <w:szCs w:val="18"/>
                <w:vertAlign w:val="superscript"/>
              </w:rPr>
              <w:t>c</w:t>
            </w:r>
          </w:p>
        </w:tc>
        <w:tc>
          <w:tcPr>
            <w:tcW w:w="1274" w:type="dxa"/>
            <w:tcBorders>
              <w:top w:val="nil"/>
              <w:left w:val="nil"/>
              <w:bottom w:val="nil"/>
              <w:right w:val="nil"/>
            </w:tcBorders>
            <w:hideMark/>
          </w:tcPr>
          <w:p w14:paraId="5382B11B"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108.00±0.4</w:t>
            </w:r>
            <w:r w:rsidRPr="00157BE7">
              <w:rPr>
                <w:rFonts w:ascii="Times New Roman" w:hAnsi="Times New Roman" w:cs="Times New Roman"/>
                <w:sz w:val="18"/>
                <w:szCs w:val="18"/>
                <w:vertAlign w:val="superscript"/>
              </w:rPr>
              <w:t>c</w:t>
            </w:r>
          </w:p>
        </w:tc>
      </w:tr>
      <w:tr w:rsidR="009A79DB" w:rsidRPr="00157BE7" w14:paraId="4DE173E9" w14:textId="77777777" w:rsidTr="00A40D74">
        <w:tc>
          <w:tcPr>
            <w:tcW w:w="1301" w:type="dxa"/>
            <w:tcBorders>
              <w:top w:val="nil"/>
              <w:left w:val="nil"/>
              <w:bottom w:val="nil"/>
              <w:right w:val="nil"/>
            </w:tcBorders>
            <w:vAlign w:val="center"/>
            <w:hideMark/>
          </w:tcPr>
          <w:p w14:paraId="1114EA85"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eastAsia="Times New Roman" w:hAnsi="Times New Roman" w:cs="Times New Roman"/>
                <w:sz w:val="18"/>
                <w:szCs w:val="18"/>
              </w:rPr>
              <w:t>Vit C NP (F)</w:t>
            </w:r>
          </w:p>
        </w:tc>
        <w:tc>
          <w:tcPr>
            <w:tcW w:w="1020" w:type="dxa"/>
            <w:tcBorders>
              <w:top w:val="nil"/>
              <w:left w:val="nil"/>
              <w:bottom w:val="nil"/>
              <w:right w:val="nil"/>
            </w:tcBorders>
            <w:hideMark/>
          </w:tcPr>
          <w:p w14:paraId="6A75B672"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5.90±0.37</w:t>
            </w:r>
            <w:r w:rsidRPr="00157BE7">
              <w:rPr>
                <w:rFonts w:ascii="Times New Roman" w:hAnsi="Times New Roman" w:cs="Times New Roman"/>
                <w:sz w:val="18"/>
                <w:szCs w:val="18"/>
                <w:vertAlign w:val="superscript"/>
              </w:rPr>
              <w:t>b</w:t>
            </w:r>
          </w:p>
        </w:tc>
        <w:tc>
          <w:tcPr>
            <w:tcW w:w="1036" w:type="dxa"/>
            <w:tcBorders>
              <w:top w:val="nil"/>
              <w:left w:val="nil"/>
              <w:bottom w:val="nil"/>
              <w:right w:val="nil"/>
            </w:tcBorders>
            <w:hideMark/>
          </w:tcPr>
          <w:p w14:paraId="40E53437"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1.06±0.01</w:t>
            </w:r>
            <w:r w:rsidRPr="00157BE7">
              <w:rPr>
                <w:rFonts w:ascii="Times New Roman" w:hAnsi="Times New Roman" w:cs="Times New Roman"/>
                <w:sz w:val="18"/>
                <w:szCs w:val="18"/>
                <w:vertAlign w:val="superscript"/>
              </w:rPr>
              <w:t>b</w:t>
            </w:r>
          </w:p>
        </w:tc>
        <w:tc>
          <w:tcPr>
            <w:tcW w:w="1077" w:type="dxa"/>
            <w:tcBorders>
              <w:top w:val="nil"/>
              <w:left w:val="nil"/>
              <w:bottom w:val="nil"/>
              <w:right w:val="nil"/>
            </w:tcBorders>
            <w:hideMark/>
          </w:tcPr>
          <w:p w14:paraId="34110509"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3.92±0.13</w:t>
            </w:r>
            <w:r w:rsidRPr="00157BE7">
              <w:rPr>
                <w:rFonts w:ascii="Times New Roman" w:hAnsi="Times New Roman" w:cs="Times New Roman"/>
                <w:sz w:val="18"/>
                <w:szCs w:val="18"/>
                <w:vertAlign w:val="superscript"/>
              </w:rPr>
              <w:t xml:space="preserve"> cd</w:t>
            </w:r>
          </w:p>
        </w:tc>
        <w:tc>
          <w:tcPr>
            <w:tcW w:w="1016" w:type="dxa"/>
            <w:tcBorders>
              <w:top w:val="nil"/>
              <w:left w:val="nil"/>
              <w:bottom w:val="nil"/>
              <w:right w:val="nil"/>
            </w:tcBorders>
            <w:hideMark/>
          </w:tcPr>
          <w:p w14:paraId="0BFB090F"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0.37±0.03</w:t>
            </w:r>
            <w:r w:rsidRPr="00157BE7">
              <w:rPr>
                <w:rFonts w:ascii="Times New Roman" w:hAnsi="Times New Roman" w:cs="Times New Roman"/>
                <w:sz w:val="18"/>
                <w:szCs w:val="18"/>
                <w:vertAlign w:val="superscript"/>
              </w:rPr>
              <w:t>a</w:t>
            </w:r>
          </w:p>
        </w:tc>
        <w:tc>
          <w:tcPr>
            <w:tcW w:w="1195" w:type="dxa"/>
            <w:tcBorders>
              <w:top w:val="nil"/>
              <w:left w:val="nil"/>
              <w:bottom w:val="nil"/>
              <w:right w:val="nil"/>
            </w:tcBorders>
            <w:hideMark/>
          </w:tcPr>
          <w:p w14:paraId="38972F4F"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134.75±0.75</w:t>
            </w:r>
            <w:r w:rsidRPr="00157BE7">
              <w:rPr>
                <w:rFonts w:ascii="Times New Roman" w:hAnsi="Times New Roman" w:cs="Times New Roman"/>
                <w:sz w:val="18"/>
                <w:szCs w:val="18"/>
                <w:vertAlign w:val="superscript"/>
              </w:rPr>
              <w:t>a</w:t>
            </w:r>
          </w:p>
        </w:tc>
        <w:tc>
          <w:tcPr>
            <w:tcW w:w="1154" w:type="dxa"/>
            <w:tcBorders>
              <w:top w:val="nil"/>
              <w:left w:val="nil"/>
              <w:bottom w:val="nil"/>
              <w:right w:val="nil"/>
            </w:tcBorders>
            <w:hideMark/>
          </w:tcPr>
          <w:p w14:paraId="1AFEBFA5"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4.73±0.37</w:t>
            </w:r>
            <w:r w:rsidRPr="00157BE7">
              <w:rPr>
                <w:rFonts w:ascii="Times New Roman" w:hAnsi="Times New Roman" w:cs="Times New Roman"/>
                <w:sz w:val="18"/>
                <w:szCs w:val="18"/>
                <w:vertAlign w:val="superscript"/>
              </w:rPr>
              <w:t xml:space="preserve"> </w:t>
            </w:r>
            <w:proofErr w:type="spellStart"/>
            <w:r w:rsidRPr="00157BE7">
              <w:rPr>
                <w:rFonts w:ascii="Times New Roman" w:hAnsi="Times New Roman" w:cs="Times New Roman"/>
                <w:sz w:val="18"/>
                <w:szCs w:val="18"/>
                <w:vertAlign w:val="superscript"/>
              </w:rPr>
              <w:t>bc</w:t>
            </w:r>
            <w:proofErr w:type="spellEnd"/>
          </w:p>
        </w:tc>
        <w:tc>
          <w:tcPr>
            <w:tcW w:w="1274" w:type="dxa"/>
            <w:tcBorders>
              <w:top w:val="nil"/>
              <w:left w:val="nil"/>
              <w:bottom w:val="nil"/>
              <w:right w:val="nil"/>
            </w:tcBorders>
            <w:hideMark/>
          </w:tcPr>
          <w:p w14:paraId="3A0ADD88"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107.75±1.9</w:t>
            </w:r>
            <w:r w:rsidRPr="00157BE7">
              <w:rPr>
                <w:rFonts w:ascii="Times New Roman" w:hAnsi="Times New Roman" w:cs="Times New Roman"/>
                <w:sz w:val="18"/>
                <w:szCs w:val="18"/>
                <w:vertAlign w:val="superscript"/>
              </w:rPr>
              <w:t>c</w:t>
            </w:r>
          </w:p>
        </w:tc>
      </w:tr>
      <w:tr w:rsidR="009A79DB" w:rsidRPr="00157BE7" w14:paraId="0856B59D" w14:textId="77777777" w:rsidTr="00A40D74">
        <w:tc>
          <w:tcPr>
            <w:tcW w:w="1301" w:type="dxa"/>
            <w:tcBorders>
              <w:top w:val="nil"/>
              <w:left w:val="nil"/>
              <w:bottom w:val="nil"/>
              <w:right w:val="nil"/>
            </w:tcBorders>
            <w:vAlign w:val="center"/>
            <w:hideMark/>
          </w:tcPr>
          <w:p w14:paraId="5D2892C0"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eastAsia="Times New Roman" w:hAnsi="Times New Roman" w:cs="Times New Roman"/>
                <w:sz w:val="18"/>
                <w:szCs w:val="18"/>
              </w:rPr>
              <w:t>CNP (G)</w:t>
            </w:r>
          </w:p>
        </w:tc>
        <w:tc>
          <w:tcPr>
            <w:tcW w:w="1020" w:type="dxa"/>
            <w:tcBorders>
              <w:top w:val="nil"/>
              <w:left w:val="nil"/>
              <w:bottom w:val="nil"/>
              <w:right w:val="nil"/>
            </w:tcBorders>
            <w:hideMark/>
          </w:tcPr>
          <w:p w14:paraId="7892B92C"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4.06±0.24</w:t>
            </w:r>
            <w:r w:rsidRPr="00157BE7">
              <w:rPr>
                <w:rFonts w:ascii="Times New Roman" w:hAnsi="Times New Roman" w:cs="Times New Roman"/>
                <w:sz w:val="18"/>
                <w:szCs w:val="18"/>
                <w:vertAlign w:val="superscript"/>
              </w:rPr>
              <w:t>a</w:t>
            </w:r>
          </w:p>
        </w:tc>
        <w:tc>
          <w:tcPr>
            <w:tcW w:w="1036" w:type="dxa"/>
            <w:tcBorders>
              <w:top w:val="nil"/>
              <w:left w:val="nil"/>
              <w:bottom w:val="nil"/>
              <w:right w:val="nil"/>
            </w:tcBorders>
            <w:hideMark/>
          </w:tcPr>
          <w:p w14:paraId="2FD6BCA1"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1.04±0.05</w:t>
            </w:r>
            <w:r w:rsidRPr="00157BE7">
              <w:rPr>
                <w:rFonts w:ascii="Times New Roman" w:hAnsi="Times New Roman" w:cs="Times New Roman"/>
                <w:sz w:val="18"/>
                <w:szCs w:val="18"/>
                <w:vertAlign w:val="superscript"/>
              </w:rPr>
              <w:t>b</w:t>
            </w:r>
          </w:p>
        </w:tc>
        <w:tc>
          <w:tcPr>
            <w:tcW w:w="1077" w:type="dxa"/>
            <w:tcBorders>
              <w:top w:val="nil"/>
              <w:left w:val="nil"/>
              <w:bottom w:val="nil"/>
              <w:right w:val="nil"/>
            </w:tcBorders>
            <w:hideMark/>
          </w:tcPr>
          <w:p w14:paraId="5C0F38D7"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3.25±0.06</w:t>
            </w:r>
            <w:r w:rsidRPr="00157BE7">
              <w:rPr>
                <w:rFonts w:ascii="Times New Roman" w:hAnsi="Times New Roman" w:cs="Times New Roman"/>
                <w:sz w:val="18"/>
                <w:szCs w:val="18"/>
                <w:vertAlign w:val="superscript"/>
              </w:rPr>
              <w:t xml:space="preserve"> ab</w:t>
            </w:r>
          </w:p>
        </w:tc>
        <w:tc>
          <w:tcPr>
            <w:tcW w:w="1016" w:type="dxa"/>
            <w:tcBorders>
              <w:top w:val="nil"/>
              <w:left w:val="nil"/>
              <w:bottom w:val="nil"/>
              <w:right w:val="nil"/>
            </w:tcBorders>
            <w:hideMark/>
          </w:tcPr>
          <w:p w14:paraId="4F046D77"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0.35±0.03</w:t>
            </w:r>
            <w:r w:rsidRPr="00157BE7">
              <w:rPr>
                <w:rFonts w:ascii="Times New Roman" w:hAnsi="Times New Roman" w:cs="Times New Roman"/>
                <w:sz w:val="18"/>
                <w:szCs w:val="18"/>
                <w:vertAlign w:val="superscript"/>
              </w:rPr>
              <w:t>a</w:t>
            </w:r>
          </w:p>
        </w:tc>
        <w:tc>
          <w:tcPr>
            <w:tcW w:w="1195" w:type="dxa"/>
            <w:tcBorders>
              <w:top w:val="nil"/>
              <w:left w:val="nil"/>
              <w:bottom w:val="nil"/>
              <w:right w:val="nil"/>
            </w:tcBorders>
            <w:hideMark/>
          </w:tcPr>
          <w:p w14:paraId="77E85481"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140.00±0.91</w:t>
            </w:r>
            <w:r w:rsidRPr="00157BE7">
              <w:rPr>
                <w:rFonts w:ascii="Times New Roman" w:hAnsi="Times New Roman" w:cs="Times New Roman"/>
                <w:sz w:val="18"/>
                <w:szCs w:val="18"/>
                <w:vertAlign w:val="superscript"/>
              </w:rPr>
              <w:t>a</w:t>
            </w:r>
          </w:p>
        </w:tc>
        <w:tc>
          <w:tcPr>
            <w:tcW w:w="1154" w:type="dxa"/>
            <w:tcBorders>
              <w:top w:val="nil"/>
              <w:left w:val="nil"/>
              <w:bottom w:val="nil"/>
              <w:right w:val="nil"/>
            </w:tcBorders>
            <w:hideMark/>
          </w:tcPr>
          <w:p w14:paraId="26FED6BF"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4.35±0.06</w:t>
            </w:r>
            <w:r w:rsidRPr="00157BE7">
              <w:rPr>
                <w:rFonts w:ascii="Times New Roman" w:hAnsi="Times New Roman" w:cs="Times New Roman"/>
                <w:sz w:val="18"/>
                <w:szCs w:val="18"/>
                <w:vertAlign w:val="superscript"/>
              </w:rPr>
              <w:t>b</w:t>
            </w:r>
          </w:p>
        </w:tc>
        <w:tc>
          <w:tcPr>
            <w:tcW w:w="1274" w:type="dxa"/>
            <w:tcBorders>
              <w:top w:val="nil"/>
              <w:left w:val="nil"/>
              <w:bottom w:val="nil"/>
              <w:right w:val="nil"/>
            </w:tcBorders>
            <w:hideMark/>
          </w:tcPr>
          <w:p w14:paraId="198116DC"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103.50±0.64</w:t>
            </w:r>
            <w:r w:rsidRPr="00157BE7">
              <w:rPr>
                <w:rFonts w:ascii="Times New Roman" w:hAnsi="Times New Roman" w:cs="Times New Roman"/>
                <w:sz w:val="18"/>
                <w:szCs w:val="18"/>
                <w:vertAlign w:val="superscript"/>
              </w:rPr>
              <w:t xml:space="preserve"> </w:t>
            </w:r>
            <w:proofErr w:type="spellStart"/>
            <w:r w:rsidRPr="00157BE7">
              <w:rPr>
                <w:rFonts w:ascii="Times New Roman" w:hAnsi="Times New Roman" w:cs="Times New Roman"/>
                <w:sz w:val="18"/>
                <w:szCs w:val="18"/>
                <w:vertAlign w:val="superscript"/>
              </w:rPr>
              <w:t>bc</w:t>
            </w:r>
            <w:proofErr w:type="spellEnd"/>
          </w:p>
        </w:tc>
      </w:tr>
      <w:tr w:rsidR="009A79DB" w:rsidRPr="00157BE7" w14:paraId="69C34F78" w14:textId="77777777" w:rsidTr="00A40D74">
        <w:tc>
          <w:tcPr>
            <w:tcW w:w="1301" w:type="dxa"/>
            <w:tcBorders>
              <w:top w:val="nil"/>
              <w:left w:val="nil"/>
              <w:bottom w:val="single" w:sz="4" w:space="0" w:color="auto"/>
              <w:right w:val="nil"/>
            </w:tcBorders>
            <w:vAlign w:val="center"/>
            <w:hideMark/>
          </w:tcPr>
          <w:p w14:paraId="01820AA7"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eastAsia="Times New Roman" w:hAnsi="Times New Roman" w:cs="Times New Roman"/>
                <w:sz w:val="18"/>
                <w:szCs w:val="18"/>
              </w:rPr>
              <w:lastRenderedPageBreak/>
              <w:t>Vit C CNP (H)</w:t>
            </w:r>
          </w:p>
        </w:tc>
        <w:tc>
          <w:tcPr>
            <w:tcW w:w="1020" w:type="dxa"/>
            <w:tcBorders>
              <w:top w:val="nil"/>
              <w:left w:val="nil"/>
              <w:bottom w:val="single" w:sz="4" w:space="0" w:color="auto"/>
              <w:right w:val="nil"/>
            </w:tcBorders>
            <w:hideMark/>
          </w:tcPr>
          <w:p w14:paraId="74DF4823"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2.70±0.31</w:t>
            </w:r>
            <w:r w:rsidRPr="00157BE7">
              <w:rPr>
                <w:rFonts w:ascii="Times New Roman" w:hAnsi="Times New Roman" w:cs="Times New Roman"/>
                <w:sz w:val="18"/>
                <w:szCs w:val="18"/>
                <w:vertAlign w:val="superscript"/>
              </w:rPr>
              <w:t>a</w:t>
            </w:r>
          </w:p>
        </w:tc>
        <w:tc>
          <w:tcPr>
            <w:tcW w:w="1036" w:type="dxa"/>
            <w:tcBorders>
              <w:top w:val="nil"/>
              <w:left w:val="nil"/>
              <w:bottom w:val="single" w:sz="4" w:space="0" w:color="auto"/>
              <w:right w:val="nil"/>
            </w:tcBorders>
            <w:hideMark/>
          </w:tcPr>
          <w:p w14:paraId="34DF4BA5"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0.62±0.02</w:t>
            </w:r>
            <w:r w:rsidRPr="00157BE7">
              <w:rPr>
                <w:rFonts w:ascii="Times New Roman" w:hAnsi="Times New Roman" w:cs="Times New Roman"/>
                <w:sz w:val="18"/>
                <w:szCs w:val="18"/>
                <w:vertAlign w:val="superscript"/>
              </w:rPr>
              <w:t xml:space="preserve"> a</w:t>
            </w:r>
          </w:p>
        </w:tc>
        <w:tc>
          <w:tcPr>
            <w:tcW w:w="1077" w:type="dxa"/>
            <w:tcBorders>
              <w:top w:val="nil"/>
              <w:left w:val="nil"/>
              <w:bottom w:val="single" w:sz="4" w:space="0" w:color="auto"/>
              <w:right w:val="nil"/>
            </w:tcBorders>
            <w:hideMark/>
          </w:tcPr>
          <w:p w14:paraId="7565D1BA"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2.85±0.64</w:t>
            </w:r>
            <w:r w:rsidRPr="00157BE7">
              <w:rPr>
                <w:rFonts w:ascii="Times New Roman" w:hAnsi="Times New Roman" w:cs="Times New Roman"/>
                <w:sz w:val="18"/>
                <w:szCs w:val="18"/>
                <w:vertAlign w:val="superscript"/>
              </w:rPr>
              <w:t xml:space="preserve"> a</w:t>
            </w:r>
          </w:p>
        </w:tc>
        <w:tc>
          <w:tcPr>
            <w:tcW w:w="1016" w:type="dxa"/>
            <w:tcBorders>
              <w:top w:val="nil"/>
              <w:left w:val="nil"/>
              <w:bottom w:val="single" w:sz="4" w:space="0" w:color="auto"/>
              <w:right w:val="nil"/>
            </w:tcBorders>
            <w:hideMark/>
          </w:tcPr>
          <w:p w14:paraId="5E2BD623"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0.25±0.03</w:t>
            </w:r>
            <w:r w:rsidRPr="00157BE7">
              <w:rPr>
                <w:rFonts w:ascii="Times New Roman" w:hAnsi="Times New Roman" w:cs="Times New Roman"/>
                <w:sz w:val="18"/>
                <w:szCs w:val="18"/>
                <w:vertAlign w:val="superscript"/>
              </w:rPr>
              <w:t>a</w:t>
            </w:r>
          </w:p>
        </w:tc>
        <w:tc>
          <w:tcPr>
            <w:tcW w:w="1195" w:type="dxa"/>
            <w:tcBorders>
              <w:top w:val="nil"/>
              <w:left w:val="nil"/>
              <w:bottom w:val="single" w:sz="4" w:space="0" w:color="auto"/>
              <w:right w:val="nil"/>
            </w:tcBorders>
            <w:hideMark/>
          </w:tcPr>
          <w:p w14:paraId="52C2E96F"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140.00±2.70</w:t>
            </w:r>
            <w:r w:rsidRPr="00157BE7">
              <w:rPr>
                <w:rFonts w:ascii="Times New Roman" w:hAnsi="Times New Roman" w:cs="Times New Roman"/>
                <w:sz w:val="18"/>
                <w:szCs w:val="18"/>
                <w:vertAlign w:val="superscript"/>
              </w:rPr>
              <w:t>a</w:t>
            </w:r>
          </w:p>
        </w:tc>
        <w:tc>
          <w:tcPr>
            <w:tcW w:w="1154" w:type="dxa"/>
            <w:tcBorders>
              <w:top w:val="nil"/>
              <w:left w:val="nil"/>
              <w:bottom w:val="single" w:sz="4" w:space="0" w:color="auto"/>
              <w:right w:val="nil"/>
            </w:tcBorders>
            <w:hideMark/>
          </w:tcPr>
          <w:p w14:paraId="1A8236AC"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3.42±0.20</w:t>
            </w:r>
            <w:r w:rsidRPr="00157BE7">
              <w:rPr>
                <w:rFonts w:ascii="Times New Roman" w:hAnsi="Times New Roman" w:cs="Times New Roman"/>
                <w:sz w:val="18"/>
                <w:szCs w:val="18"/>
                <w:vertAlign w:val="superscript"/>
              </w:rPr>
              <w:t>a</w:t>
            </w:r>
          </w:p>
        </w:tc>
        <w:tc>
          <w:tcPr>
            <w:tcW w:w="1274" w:type="dxa"/>
            <w:tcBorders>
              <w:top w:val="nil"/>
              <w:left w:val="nil"/>
              <w:bottom w:val="single" w:sz="4" w:space="0" w:color="auto"/>
              <w:right w:val="nil"/>
            </w:tcBorders>
            <w:hideMark/>
          </w:tcPr>
          <w:p w14:paraId="107814D1"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98.00±0.41</w:t>
            </w:r>
            <w:r w:rsidRPr="00157BE7">
              <w:rPr>
                <w:rFonts w:ascii="Times New Roman" w:hAnsi="Times New Roman" w:cs="Times New Roman"/>
                <w:sz w:val="18"/>
                <w:szCs w:val="18"/>
                <w:vertAlign w:val="superscript"/>
              </w:rPr>
              <w:t xml:space="preserve"> ab</w:t>
            </w:r>
          </w:p>
        </w:tc>
      </w:tr>
    </w:tbl>
    <w:p w14:paraId="733E4F5C" w14:textId="1D1FF7CD" w:rsidR="006920AB" w:rsidRPr="007A4028" w:rsidRDefault="009A79DB" w:rsidP="00A31DF5">
      <w:pPr>
        <w:spacing w:after="0"/>
        <w:jc w:val="both"/>
        <w:rPr>
          <w:rFonts w:ascii="Times New Roman" w:hAnsi="Times New Roman" w:cs="Times New Roman"/>
          <w:sz w:val="20"/>
          <w:szCs w:val="20"/>
        </w:rPr>
        <w:sectPr w:rsidR="006920AB" w:rsidRPr="007A4028" w:rsidSect="006920AB">
          <w:type w:val="continuous"/>
          <w:pgSz w:w="11906" w:h="16838"/>
          <w:pgMar w:top="1440" w:right="1440" w:bottom="1440" w:left="1440" w:header="708" w:footer="708" w:gutter="0"/>
          <w:cols w:space="708"/>
          <w:docGrid w:linePitch="360"/>
        </w:sectPr>
      </w:pPr>
      <w:r w:rsidRPr="007A4028">
        <w:rPr>
          <w:rFonts w:ascii="Times New Roman" w:hAnsi="Times New Roman" w:cs="Times New Roman"/>
          <w:sz w:val="20"/>
          <w:szCs w:val="20"/>
        </w:rPr>
        <w:t>Values are expressed as mean ± SEM. Different superscripts in the same column differ significantly (p ≤ 0.05). CSNP = Chitosan nanoparticle, Vit C = Vitamin C, CNP = Curcumin nanoparticle, Vit C NP = Vitamin C nanoparticle, Vit C CNP = Vitamin C–Curcumin nanoparticle, Na⁺ = Sodium; K⁺ = Potassium, Cl⁻ = Chloride.</w:t>
      </w:r>
      <w:bookmarkStart w:id="2" w:name="_Toc218759216"/>
    </w:p>
    <w:bookmarkEnd w:id="2"/>
    <w:p w14:paraId="5C1A0AAE" w14:textId="77777777" w:rsidR="006920AB" w:rsidRDefault="006920AB" w:rsidP="00A31DF5">
      <w:pPr>
        <w:spacing w:after="0"/>
        <w:rPr>
          <w:rFonts w:ascii="Times New Roman" w:hAnsi="Times New Roman" w:cs="Times New Roman"/>
          <w:b/>
          <w:bCs/>
          <w:sz w:val="24"/>
          <w:szCs w:val="24"/>
        </w:rPr>
        <w:sectPr w:rsidR="006920AB" w:rsidSect="00F24F5B">
          <w:type w:val="continuous"/>
          <w:pgSz w:w="11906" w:h="16838"/>
          <w:pgMar w:top="1440" w:right="1440" w:bottom="1440" w:left="1440" w:header="708" w:footer="708" w:gutter="0"/>
          <w:cols w:num="2" w:space="708"/>
          <w:docGrid w:linePitch="360"/>
        </w:sectPr>
      </w:pPr>
    </w:p>
    <w:p w14:paraId="3626FDA8" w14:textId="36FF220F" w:rsidR="009A79DB" w:rsidRPr="00157BE7" w:rsidRDefault="009A79DB" w:rsidP="00A31DF5">
      <w:pPr>
        <w:spacing w:after="0"/>
        <w:rPr>
          <w:rFonts w:ascii="Times New Roman" w:hAnsi="Times New Roman" w:cs="Times New Roman"/>
          <w:b/>
          <w:bCs/>
          <w:sz w:val="24"/>
          <w:szCs w:val="24"/>
        </w:rPr>
      </w:pPr>
      <w:r w:rsidRPr="00157BE7">
        <w:rPr>
          <w:rFonts w:ascii="Times New Roman" w:hAnsi="Times New Roman" w:cs="Times New Roman"/>
          <w:b/>
          <w:bCs/>
          <w:sz w:val="24"/>
          <w:szCs w:val="24"/>
        </w:rPr>
        <w:t xml:space="preserve">Table </w:t>
      </w:r>
      <w:r w:rsidR="00283F80" w:rsidRPr="00157BE7">
        <w:rPr>
          <w:rFonts w:ascii="Times New Roman" w:hAnsi="Times New Roman" w:cs="Times New Roman"/>
          <w:b/>
          <w:bCs/>
          <w:sz w:val="24"/>
          <w:szCs w:val="24"/>
        </w:rPr>
        <w:t>2</w:t>
      </w:r>
      <w:r w:rsidRPr="00157BE7">
        <w:rPr>
          <w:rFonts w:ascii="Times New Roman" w:hAnsi="Times New Roman" w:cs="Times New Roman"/>
          <w:b/>
          <w:bCs/>
          <w:sz w:val="24"/>
          <w:szCs w:val="24"/>
        </w:rPr>
        <w:t>: Serum Lipid Profile of Control and Adenine-Induced Chronic Kidney Disease Male Wistar Rat</w:t>
      </w:r>
    </w:p>
    <w:tbl>
      <w:tblPr>
        <w:tblW w:w="9067" w:type="dxa"/>
        <w:tblBorders>
          <w:top w:val="single" w:sz="4" w:space="0" w:color="auto"/>
          <w:bottom w:val="single" w:sz="4" w:space="0" w:color="auto"/>
        </w:tblBorders>
        <w:tblLook w:val="04A0" w:firstRow="1" w:lastRow="0" w:firstColumn="1" w:lastColumn="0" w:noHBand="0" w:noVBand="1"/>
      </w:tblPr>
      <w:tblGrid>
        <w:gridCol w:w="1275"/>
        <w:gridCol w:w="1560"/>
        <w:gridCol w:w="1418"/>
        <w:gridCol w:w="1276"/>
        <w:gridCol w:w="1559"/>
        <w:gridCol w:w="1979"/>
      </w:tblGrid>
      <w:tr w:rsidR="009A79DB" w:rsidRPr="00157BE7" w14:paraId="32622730" w14:textId="77777777" w:rsidTr="006B7026">
        <w:tc>
          <w:tcPr>
            <w:tcW w:w="1275" w:type="dxa"/>
            <w:tcBorders>
              <w:top w:val="single" w:sz="4" w:space="0" w:color="auto"/>
              <w:left w:val="nil"/>
              <w:bottom w:val="single" w:sz="4" w:space="0" w:color="auto"/>
              <w:right w:val="nil"/>
            </w:tcBorders>
            <w:hideMark/>
          </w:tcPr>
          <w:p w14:paraId="10DDF0EC" w14:textId="77777777" w:rsidR="009A79DB" w:rsidRPr="007A4028" w:rsidRDefault="009A79DB" w:rsidP="007973A0">
            <w:pPr>
              <w:spacing w:after="0" w:line="240" w:lineRule="auto"/>
              <w:jc w:val="both"/>
              <w:rPr>
                <w:rFonts w:ascii="Times New Roman" w:hAnsi="Times New Roman" w:cs="Times New Roman"/>
                <w:sz w:val="18"/>
                <w:szCs w:val="18"/>
              </w:rPr>
            </w:pPr>
            <w:r w:rsidRPr="007A4028">
              <w:rPr>
                <w:rFonts w:ascii="Times New Roman" w:hAnsi="Times New Roman" w:cs="Times New Roman"/>
                <w:sz w:val="18"/>
                <w:szCs w:val="18"/>
              </w:rPr>
              <w:t>Group</w:t>
            </w:r>
          </w:p>
        </w:tc>
        <w:tc>
          <w:tcPr>
            <w:tcW w:w="1560" w:type="dxa"/>
            <w:tcBorders>
              <w:top w:val="single" w:sz="4" w:space="0" w:color="auto"/>
              <w:left w:val="nil"/>
              <w:bottom w:val="single" w:sz="4" w:space="0" w:color="auto"/>
              <w:right w:val="nil"/>
            </w:tcBorders>
            <w:hideMark/>
          </w:tcPr>
          <w:p w14:paraId="2D704DE0" w14:textId="77777777" w:rsidR="009A79DB" w:rsidRPr="007A4028" w:rsidRDefault="009A79DB" w:rsidP="007973A0">
            <w:pPr>
              <w:spacing w:after="0" w:line="240" w:lineRule="auto"/>
              <w:jc w:val="both"/>
              <w:rPr>
                <w:rFonts w:ascii="Times New Roman" w:hAnsi="Times New Roman" w:cs="Times New Roman"/>
                <w:sz w:val="18"/>
                <w:szCs w:val="18"/>
              </w:rPr>
            </w:pPr>
            <w:r w:rsidRPr="007A4028">
              <w:rPr>
                <w:rFonts w:ascii="Times New Roman" w:eastAsia="Times New Roman" w:hAnsi="Times New Roman" w:cs="Times New Roman"/>
                <w:b/>
                <w:bCs/>
                <w:sz w:val="18"/>
                <w:szCs w:val="18"/>
              </w:rPr>
              <w:t>TC (mg/dL)</w:t>
            </w:r>
          </w:p>
        </w:tc>
        <w:tc>
          <w:tcPr>
            <w:tcW w:w="1418" w:type="dxa"/>
            <w:tcBorders>
              <w:top w:val="single" w:sz="4" w:space="0" w:color="auto"/>
              <w:left w:val="nil"/>
              <w:bottom w:val="single" w:sz="4" w:space="0" w:color="auto"/>
              <w:right w:val="nil"/>
            </w:tcBorders>
            <w:hideMark/>
          </w:tcPr>
          <w:p w14:paraId="4868506F" w14:textId="77777777" w:rsidR="009A79DB" w:rsidRPr="007A4028" w:rsidRDefault="009A79DB" w:rsidP="007973A0">
            <w:pPr>
              <w:spacing w:after="0" w:line="240" w:lineRule="auto"/>
              <w:jc w:val="both"/>
              <w:rPr>
                <w:rFonts w:ascii="Times New Roman" w:hAnsi="Times New Roman" w:cs="Times New Roman"/>
                <w:sz w:val="18"/>
                <w:szCs w:val="18"/>
              </w:rPr>
            </w:pPr>
            <w:r w:rsidRPr="007A4028">
              <w:rPr>
                <w:rFonts w:ascii="Times New Roman" w:eastAsia="Times New Roman" w:hAnsi="Times New Roman" w:cs="Times New Roman"/>
                <w:b/>
                <w:bCs/>
                <w:sz w:val="18"/>
                <w:szCs w:val="18"/>
              </w:rPr>
              <w:t>TG (mg/dL)</w:t>
            </w:r>
          </w:p>
        </w:tc>
        <w:tc>
          <w:tcPr>
            <w:tcW w:w="1276" w:type="dxa"/>
            <w:tcBorders>
              <w:top w:val="single" w:sz="4" w:space="0" w:color="auto"/>
              <w:left w:val="nil"/>
              <w:bottom w:val="single" w:sz="4" w:space="0" w:color="auto"/>
              <w:right w:val="nil"/>
            </w:tcBorders>
            <w:hideMark/>
          </w:tcPr>
          <w:p w14:paraId="64E285CB" w14:textId="77777777" w:rsidR="009A79DB" w:rsidRPr="007A4028" w:rsidRDefault="009A79DB" w:rsidP="007973A0">
            <w:pPr>
              <w:spacing w:after="0" w:line="240" w:lineRule="auto"/>
              <w:jc w:val="both"/>
              <w:rPr>
                <w:rFonts w:ascii="Times New Roman" w:hAnsi="Times New Roman" w:cs="Times New Roman"/>
                <w:sz w:val="18"/>
                <w:szCs w:val="18"/>
              </w:rPr>
            </w:pPr>
            <w:r w:rsidRPr="007A4028">
              <w:rPr>
                <w:rFonts w:ascii="Times New Roman" w:hAnsi="Times New Roman" w:cs="Times New Roman"/>
                <w:sz w:val="18"/>
                <w:szCs w:val="18"/>
              </w:rPr>
              <w:t xml:space="preserve">HDL </w:t>
            </w:r>
            <w:r w:rsidRPr="007A4028">
              <w:rPr>
                <w:rFonts w:ascii="Times New Roman" w:eastAsia="Times New Roman" w:hAnsi="Times New Roman" w:cs="Times New Roman"/>
                <w:b/>
                <w:bCs/>
                <w:sz w:val="18"/>
                <w:szCs w:val="18"/>
              </w:rPr>
              <w:t>(mg/dL)</w:t>
            </w:r>
          </w:p>
        </w:tc>
        <w:tc>
          <w:tcPr>
            <w:tcW w:w="1559" w:type="dxa"/>
            <w:tcBorders>
              <w:top w:val="single" w:sz="4" w:space="0" w:color="auto"/>
              <w:left w:val="nil"/>
              <w:bottom w:val="single" w:sz="4" w:space="0" w:color="auto"/>
              <w:right w:val="nil"/>
            </w:tcBorders>
            <w:hideMark/>
          </w:tcPr>
          <w:p w14:paraId="6133A3EC" w14:textId="77777777" w:rsidR="009A79DB" w:rsidRPr="007A4028" w:rsidRDefault="009A79DB" w:rsidP="007973A0">
            <w:pPr>
              <w:spacing w:after="0" w:line="240" w:lineRule="auto"/>
              <w:jc w:val="both"/>
              <w:rPr>
                <w:rFonts w:ascii="Times New Roman" w:hAnsi="Times New Roman" w:cs="Times New Roman"/>
                <w:sz w:val="18"/>
                <w:szCs w:val="18"/>
              </w:rPr>
            </w:pPr>
            <w:r w:rsidRPr="007A4028">
              <w:rPr>
                <w:rFonts w:ascii="Times New Roman" w:eastAsia="Times New Roman" w:hAnsi="Times New Roman" w:cs="Times New Roman"/>
                <w:b/>
                <w:bCs/>
                <w:sz w:val="18"/>
                <w:szCs w:val="18"/>
              </w:rPr>
              <w:t>VLDL (mg/dL)</w:t>
            </w:r>
          </w:p>
        </w:tc>
        <w:tc>
          <w:tcPr>
            <w:tcW w:w="1979" w:type="dxa"/>
            <w:tcBorders>
              <w:top w:val="single" w:sz="4" w:space="0" w:color="auto"/>
              <w:left w:val="nil"/>
              <w:bottom w:val="single" w:sz="4" w:space="0" w:color="auto"/>
              <w:right w:val="nil"/>
            </w:tcBorders>
            <w:hideMark/>
          </w:tcPr>
          <w:p w14:paraId="15247326" w14:textId="77777777" w:rsidR="009A79DB" w:rsidRPr="007A4028" w:rsidRDefault="009A79DB" w:rsidP="007973A0">
            <w:pPr>
              <w:spacing w:after="0" w:line="240" w:lineRule="auto"/>
              <w:jc w:val="both"/>
              <w:rPr>
                <w:rFonts w:ascii="Times New Roman" w:hAnsi="Times New Roman" w:cs="Times New Roman"/>
                <w:sz w:val="18"/>
                <w:szCs w:val="18"/>
              </w:rPr>
            </w:pPr>
            <w:r w:rsidRPr="007A4028">
              <w:rPr>
                <w:rFonts w:ascii="Times New Roman" w:eastAsia="Times New Roman" w:hAnsi="Times New Roman" w:cs="Times New Roman"/>
                <w:b/>
                <w:bCs/>
                <w:sz w:val="18"/>
                <w:szCs w:val="18"/>
              </w:rPr>
              <w:t>LDL (mg/dL)</w:t>
            </w:r>
          </w:p>
        </w:tc>
      </w:tr>
      <w:tr w:rsidR="009A79DB" w:rsidRPr="00157BE7" w14:paraId="0A21CFC9" w14:textId="77777777" w:rsidTr="006B7026">
        <w:tc>
          <w:tcPr>
            <w:tcW w:w="1275" w:type="dxa"/>
            <w:tcBorders>
              <w:top w:val="single" w:sz="4" w:space="0" w:color="auto"/>
              <w:left w:val="nil"/>
              <w:bottom w:val="nil"/>
              <w:right w:val="nil"/>
            </w:tcBorders>
            <w:vAlign w:val="center"/>
            <w:hideMark/>
          </w:tcPr>
          <w:p w14:paraId="7A86209E"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eastAsia="Times New Roman" w:hAnsi="Times New Roman" w:cs="Times New Roman"/>
                <w:sz w:val="18"/>
                <w:szCs w:val="18"/>
              </w:rPr>
              <w:t>Control(A)</w:t>
            </w:r>
          </w:p>
        </w:tc>
        <w:tc>
          <w:tcPr>
            <w:tcW w:w="1560" w:type="dxa"/>
            <w:tcBorders>
              <w:top w:val="single" w:sz="4" w:space="0" w:color="auto"/>
              <w:left w:val="nil"/>
              <w:bottom w:val="nil"/>
              <w:right w:val="nil"/>
            </w:tcBorders>
            <w:hideMark/>
          </w:tcPr>
          <w:p w14:paraId="069E58D8"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68.00±0.57</w:t>
            </w:r>
            <w:r w:rsidRPr="00157BE7">
              <w:rPr>
                <w:rFonts w:ascii="Times New Roman" w:hAnsi="Times New Roman" w:cs="Times New Roman"/>
                <w:sz w:val="18"/>
                <w:szCs w:val="18"/>
                <w:vertAlign w:val="superscript"/>
              </w:rPr>
              <w:t xml:space="preserve"> f</w:t>
            </w:r>
          </w:p>
        </w:tc>
        <w:tc>
          <w:tcPr>
            <w:tcW w:w="1418" w:type="dxa"/>
            <w:tcBorders>
              <w:top w:val="single" w:sz="4" w:space="0" w:color="auto"/>
              <w:left w:val="nil"/>
              <w:bottom w:val="nil"/>
              <w:right w:val="nil"/>
            </w:tcBorders>
            <w:hideMark/>
          </w:tcPr>
          <w:p w14:paraId="03C30B4C"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49.75±3.88</w:t>
            </w:r>
            <w:r w:rsidRPr="00157BE7">
              <w:rPr>
                <w:rFonts w:ascii="Times New Roman" w:hAnsi="Times New Roman" w:cs="Times New Roman"/>
                <w:sz w:val="18"/>
                <w:szCs w:val="18"/>
                <w:vertAlign w:val="superscript"/>
              </w:rPr>
              <w:t xml:space="preserve"> a</w:t>
            </w:r>
          </w:p>
        </w:tc>
        <w:tc>
          <w:tcPr>
            <w:tcW w:w="1276" w:type="dxa"/>
            <w:tcBorders>
              <w:top w:val="single" w:sz="4" w:space="0" w:color="auto"/>
              <w:left w:val="nil"/>
              <w:bottom w:val="nil"/>
              <w:right w:val="nil"/>
            </w:tcBorders>
            <w:hideMark/>
          </w:tcPr>
          <w:p w14:paraId="6C951841"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1.59±0.21</w:t>
            </w:r>
            <w:r w:rsidRPr="00157BE7">
              <w:rPr>
                <w:rFonts w:ascii="Times New Roman" w:hAnsi="Times New Roman" w:cs="Times New Roman"/>
                <w:sz w:val="18"/>
                <w:szCs w:val="18"/>
                <w:vertAlign w:val="superscript"/>
              </w:rPr>
              <w:t xml:space="preserve"> c</w:t>
            </w:r>
          </w:p>
        </w:tc>
        <w:tc>
          <w:tcPr>
            <w:tcW w:w="1559" w:type="dxa"/>
            <w:tcBorders>
              <w:top w:val="single" w:sz="4" w:space="0" w:color="auto"/>
              <w:left w:val="nil"/>
              <w:bottom w:val="nil"/>
              <w:right w:val="nil"/>
            </w:tcBorders>
            <w:hideMark/>
          </w:tcPr>
          <w:p w14:paraId="2ED077EA"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61.75±5.43</w:t>
            </w:r>
            <w:r w:rsidRPr="00157BE7">
              <w:rPr>
                <w:rFonts w:ascii="Times New Roman" w:hAnsi="Times New Roman" w:cs="Times New Roman"/>
                <w:sz w:val="18"/>
                <w:szCs w:val="18"/>
                <w:vertAlign w:val="superscript"/>
              </w:rPr>
              <w:t xml:space="preserve"> ab</w:t>
            </w:r>
          </w:p>
        </w:tc>
        <w:tc>
          <w:tcPr>
            <w:tcW w:w="1979" w:type="dxa"/>
            <w:tcBorders>
              <w:top w:val="single" w:sz="4" w:space="0" w:color="auto"/>
              <w:left w:val="nil"/>
              <w:bottom w:val="nil"/>
              <w:right w:val="nil"/>
            </w:tcBorders>
            <w:hideMark/>
          </w:tcPr>
          <w:p w14:paraId="0E95210E"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57.75±0.60</w:t>
            </w:r>
            <w:r w:rsidRPr="00157BE7">
              <w:rPr>
                <w:rFonts w:ascii="Times New Roman" w:hAnsi="Times New Roman" w:cs="Times New Roman"/>
                <w:sz w:val="18"/>
                <w:szCs w:val="18"/>
                <w:vertAlign w:val="superscript"/>
              </w:rPr>
              <w:t xml:space="preserve"> a</w:t>
            </w:r>
          </w:p>
        </w:tc>
      </w:tr>
      <w:tr w:rsidR="009A79DB" w:rsidRPr="00157BE7" w14:paraId="49FE36D6" w14:textId="77777777" w:rsidTr="006B7026">
        <w:tc>
          <w:tcPr>
            <w:tcW w:w="1275" w:type="dxa"/>
            <w:tcBorders>
              <w:top w:val="nil"/>
              <w:left w:val="nil"/>
              <w:bottom w:val="nil"/>
              <w:right w:val="nil"/>
            </w:tcBorders>
            <w:vAlign w:val="center"/>
            <w:hideMark/>
          </w:tcPr>
          <w:p w14:paraId="4E2D0040"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eastAsia="Times New Roman" w:hAnsi="Times New Roman" w:cs="Times New Roman"/>
                <w:sz w:val="18"/>
                <w:szCs w:val="18"/>
              </w:rPr>
              <w:t>CKD (B)</w:t>
            </w:r>
          </w:p>
        </w:tc>
        <w:tc>
          <w:tcPr>
            <w:tcW w:w="1560" w:type="dxa"/>
            <w:tcBorders>
              <w:top w:val="nil"/>
              <w:left w:val="nil"/>
              <w:bottom w:val="nil"/>
              <w:right w:val="nil"/>
            </w:tcBorders>
            <w:hideMark/>
          </w:tcPr>
          <w:p w14:paraId="2F6F73DD"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192.75±2.25</w:t>
            </w:r>
            <w:r w:rsidRPr="00157BE7">
              <w:rPr>
                <w:rFonts w:ascii="Times New Roman" w:hAnsi="Times New Roman" w:cs="Times New Roman"/>
                <w:sz w:val="18"/>
                <w:szCs w:val="18"/>
                <w:vertAlign w:val="superscript"/>
              </w:rPr>
              <w:t xml:space="preserve"> e</w:t>
            </w:r>
          </w:p>
        </w:tc>
        <w:tc>
          <w:tcPr>
            <w:tcW w:w="1418" w:type="dxa"/>
            <w:tcBorders>
              <w:top w:val="nil"/>
              <w:left w:val="nil"/>
              <w:bottom w:val="nil"/>
              <w:right w:val="nil"/>
            </w:tcBorders>
            <w:hideMark/>
          </w:tcPr>
          <w:p w14:paraId="61BCAC3E"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219.00±1.47</w:t>
            </w:r>
            <w:r w:rsidRPr="00157BE7">
              <w:rPr>
                <w:rFonts w:ascii="Times New Roman" w:hAnsi="Times New Roman" w:cs="Times New Roman"/>
                <w:sz w:val="18"/>
                <w:szCs w:val="18"/>
                <w:vertAlign w:val="superscript"/>
              </w:rPr>
              <w:t xml:space="preserve"> d</w:t>
            </w:r>
          </w:p>
        </w:tc>
        <w:tc>
          <w:tcPr>
            <w:tcW w:w="1276" w:type="dxa"/>
            <w:tcBorders>
              <w:top w:val="nil"/>
              <w:left w:val="nil"/>
              <w:bottom w:val="nil"/>
              <w:right w:val="nil"/>
            </w:tcBorders>
            <w:hideMark/>
          </w:tcPr>
          <w:p w14:paraId="1E28A0E4"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0.18±0.01</w:t>
            </w:r>
            <w:r w:rsidRPr="00157BE7">
              <w:rPr>
                <w:rFonts w:ascii="Times New Roman" w:hAnsi="Times New Roman" w:cs="Times New Roman"/>
                <w:sz w:val="18"/>
                <w:szCs w:val="18"/>
                <w:vertAlign w:val="superscript"/>
              </w:rPr>
              <w:t xml:space="preserve"> a</w:t>
            </w:r>
          </w:p>
        </w:tc>
        <w:tc>
          <w:tcPr>
            <w:tcW w:w="1559" w:type="dxa"/>
            <w:tcBorders>
              <w:top w:val="nil"/>
              <w:left w:val="nil"/>
              <w:bottom w:val="nil"/>
              <w:right w:val="nil"/>
            </w:tcBorders>
            <w:hideMark/>
          </w:tcPr>
          <w:p w14:paraId="17B1008E"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96.75±7.61</w:t>
            </w:r>
            <w:r w:rsidRPr="00157BE7">
              <w:rPr>
                <w:rFonts w:ascii="Times New Roman" w:hAnsi="Times New Roman" w:cs="Times New Roman"/>
                <w:sz w:val="18"/>
                <w:szCs w:val="18"/>
                <w:vertAlign w:val="superscript"/>
              </w:rPr>
              <w:t xml:space="preserve"> d</w:t>
            </w:r>
          </w:p>
        </w:tc>
        <w:tc>
          <w:tcPr>
            <w:tcW w:w="1979" w:type="dxa"/>
            <w:tcBorders>
              <w:top w:val="nil"/>
              <w:left w:val="nil"/>
              <w:bottom w:val="nil"/>
              <w:right w:val="nil"/>
            </w:tcBorders>
            <w:hideMark/>
          </w:tcPr>
          <w:p w14:paraId="7C6F0420"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149.02±2.08</w:t>
            </w:r>
            <w:r w:rsidRPr="00157BE7">
              <w:rPr>
                <w:rFonts w:ascii="Times New Roman" w:hAnsi="Times New Roman" w:cs="Times New Roman"/>
                <w:sz w:val="18"/>
                <w:szCs w:val="18"/>
                <w:vertAlign w:val="superscript"/>
              </w:rPr>
              <w:t xml:space="preserve"> f</w:t>
            </w:r>
          </w:p>
        </w:tc>
      </w:tr>
      <w:tr w:rsidR="009A79DB" w:rsidRPr="00157BE7" w14:paraId="0B3992A5" w14:textId="77777777" w:rsidTr="006B7026">
        <w:tc>
          <w:tcPr>
            <w:tcW w:w="1275" w:type="dxa"/>
            <w:tcBorders>
              <w:top w:val="nil"/>
              <w:left w:val="nil"/>
              <w:bottom w:val="nil"/>
              <w:right w:val="nil"/>
            </w:tcBorders>
            <w:vAlign w:val="center"/>
            <w:hideMark/>
          </w:tcPr>
          <w:p w14:paraId="388A8948"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eastAsia="Times New Roman" w:hAnsi="Times New Roman" w:cs="Times New Roman"/>
                <w:sz w:val="18"/>
                <w:szCs w:val="18"/>
              </w:rPr>
              <w:t>CSNP (C)</w:t>
            </w:r>
          </w:p>
        </w:tc>
        <w:tc>
          <w:tcPr>
            <w:tcW w:w="1560" w:type="dxa"/>
            <w:tcBorders>
              <w:top w:val="nil"/>
              <w:left w:val="nil"/>
              <w:bottom w:val="nil"/>
              <w:right w:val="nil"/>
            </w:tcBorders>
            <w:hideMark/>
          </w:tcPr>
          <w:p w14:paraId="35C16B52"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108.50±0.65</w:t>
            </w:r>
            <w:r w:rsidRPr="00157BE7">
              <w:rPr>
                <w:rFonts w:ascii="Times New Roman" w:hAnsi="Times New Roman" w:cs="Times New Roman"/>
                <w:sz w:val="18"/>
                <w:szCs w:val="18"/>
                <w:vertAlign w:val="superscript"/>
              </w:rPr>
              <w:t xml:space="preserve"> c</w:t>
            </w:r>
          </w:p>
        </w:tc>
        <w:tc>
          <w:tcPr>
            <w:tcW w:w="1418" w:type="dxa"/>
            <w:tcBorders>
              <w:top w:val="nil"/>
              <w:left w:val="nil"/>
              <w:bottom w:val="nil"/>
              <w:right w:val="nil"/>
            </w:tcBorders>
            <w:hideMark/>
          </w:tcPr>
          <w:p w14:paraId="583EEC4C"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80.00±4.08</w:t>
            </w:r>
            <w:r w:rsidRPr="00157BE7">
              <w:rPr>
                <w:rFonts w:ascii="Times New Roman" w:hAnsi="Times New Roman" w:cs="Times New Roman"/>
                <w:sz w:val="18"/>
                <w:szCs w:val="18"/>
                <w:vertAlign w:val="superscript"/>
              </w:rPr>
              <w:t xml:space="preserve"> </w:t>
            </w:r>
            <w:proofErr w:type="spellStart"/>
            <w:r w:rsidRPr="00157BE7">
              <w:rPr>
                <w:rFonts w:ascii="Times New Roman" w:hAnsi="Times New Roman" w:cs="Times New Roman"/>
                <w:sz w:val="18"/>
                <w:szCs w:val="18"/>
                <w:vertAlign w:val="superscript"/>
              </w:rPr>
              <w:t>bc</w:t>
            </w:r>
            <w:proofErr w:type="spellEnd"/>
          </w:p>
        </w:tc>
        <w:tc>
          <w:tcPr>
            <w:tcW w:w="1276" w:type="dxa"/>
            <w:tcBorders>
              <w:top w:val="nil"/>
              <w:left w:val="nil"/>
              <w:bottom w:val="nil"/>
              <w:right w:val="nil"/>
            </w:tcBorders>
            <w:hideMark/>
          </w:tcPr>
          <w:p w14:paraId="00FC12B4"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0.18±0.01</w:t>
            </w:r>
            <w:r w:rsidRPr="00157BE7">
              <w:rPr>
                <w:rFonts w:ascii="Times New Roman" w:hAnsi="Times New Roman" w:cs="Times New Roman"/>
                <w:sz w:val="18"/>
                <w:szCs w:val="18"/>
                <w:vertAlign w:val="superscript"/>
              </w:rPr>
              <w:t xml:space="preserve"> a</w:t>
            </w:r>
          </w:p>
        </w:tc>
        <w:tc>
          <w:tcPr>
            <w:tcW w:w="1559" w:type="dxa"/>
            <w:tcBorders>
              <w:top w:val="nil"/>
              <w:left w:val="nil"/>
              <w:bottom w:val="nil"/>
              <w:right w:val="nil"/>
            </w:tcBorders>
            <w:hideMark/>
          </w:tcPr>
          <w:p w14:paraId="616636DD"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74.75±3.77</w:t>
            </w:r>
            <w:r w:rsidRPr="00157BE7">
              <w:rPr>
                <w:rFonts w:ascii="Times New Roman" w:hAnsi="Times New Roman" w:cs="Times New Roman"/>
                <w:sz w:val="18"/>
                <w:szCs w:val="18"/>
                <w:vertAlign w:val="superscript"/>
              </w:rPr>
              <w:t xml:space="preserve"> </w:t>
            </w:r>
            <w:proofErr w:type="spellStart"/>
            <w:r w:rsidRPr="00157BE7">
              <w:rPr>
                <w:rFonts w:ascii="Times New Roman" w:hAnsi="Times New Roman" w:cs="Times New Roman"/>
                <w:sz w:val="18"/>
                <w:szCs w:val="18"/>
                <w:vertAlign w:val="superscript"/>
              </w:rPr>
              <w:t>bc</w:t>
            </w:r>
            <w:proofErr w:type="spellEnd"/>
          </w:p>
        </w:tc>
        <w:tc>
          <w:tcPr>
            <w:tcW w:w="1979" w:type="dxa"/>
            <w:tcBorders>
              <w:top w:val="nil"/>
              <w:left w:val="nil"/>
              <w:bottom w:val="nil"/>
              <w:right w:val="nil"/>
            </w:tcBorders>
            <w:hideMark/>
          </w:tcPr>
          <w:p w14:paraId="2953B453"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92.47±0.65</w:t>
            </w:r>
            <w:r w:rsidRPr="00157BE7">
              <w:rPr>
                <w:rFonts w:ascii="Times New Roman" w:hAnsi="Times New Roman" w:cs="Times New Roman"/>
                <w:sz w:val="18"/>
                <w:szCs w:val="18"/>
                <w:vertAlign w:val="superscript"/>
              </w:rPr>
              <w:t xml:space="preserve"> c</w:t>
            </w:r>
          </w:p>
        </w:tc>
      </w:tr>
      <w:tr w:rsidR="009A79DB" w:rsidRPr="00157BE7" w14:paraId="3A03484F" w14:textId="77777777" w:rsidTr="006B7026">
        <w:tc>
          <w:tcPr>
            <w:tcW w:w="1275" w:type="dxa"/>
            <w:tcBorders>
              <w:top w:val="nil"/>
              <w:left w:val="nil"/>
              <w:bottom w:val="nil"/>
              <w:right w:val="nil"/>
            </w:tcBorders>
            <w:vAlign w:val="center"/>
            <w:hideMark/>
          </w:tcPr>
          <w:p w14:paraId="3ABB8A26"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eastAsia="Times New Roman" w:hAnsi="Times New Roman" w:cs="Times New Roman"/>
                <w:sz w:val="18"/>
                <w:szCs w:val="18"/>
              </w:rPr>
              <w:t>Vit C (D)</w:t>
            </w:r>
          </w:p>
        </w:tc>
        <w:tc>
          <w:tcPr>
            <w:tcW w:w="1560" w:type="dxa"/>
            <w:tcBorders>
              <w:top w:val="nil"/>
              <w:left w:val="nil"/>
              <w:bottom w:val="nil"/>
              <w:right w:val="nil"/>
            </w:tcBorders>
            <w:hideMark/>
          </w:tcPr>
          <w:p w14:paraId="47AFB536"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138.50±5.62</w:t>
            </w:r>
            <w:r w:rsidRPr="00157BE7">
              <w:rPr>
                <w:rFonts w:ascii="Times New Roman" w:hAnsi="Times New Roman" w:cs="Times New Roman"/>
                <w:sz w:val="18"/>
                <w:szCs w:val="18"/>
                <w:vertAlign w:val="superscript"/>
              </w:rPr>
              <w:t xml:space="preserve"> de</w:t>
            </w:r>
          </w:p>
        </w:tc>
        <w:tc>
          <w:tcPr>
            <w:tcW w:w="1418" w:type="dxa"/>
            <w:tcBorders>
              <w:top w:val="nil"/>
              <w:left w:val="nil"/>
              <w:bottom w:val="nil"/>
              <w:right w:val="nil"/>
            </w:tcBorders>
            <w:hideMark/>
          </w:tcPr>
          <w:p w14:paraId="3AC7B78D"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100.00±0.00</w:t>
            </w:r>
            <w:r w:rsidRPr="00157BE7">
              <w:rPr>
                <w:rFonts w:ascii="Times New Roman" w:hAnsi="Times New Roman" w:cs="Times New Roman"/>
                <w:sz w:val="18"/>
                <w:szCs w:val="18"/>
                <w:vertAlign w:val="superscript"/>
              </w:rPr>
              <w:t xml:space="preserve"> c</w:t>
            </w:r>
          </w:p>
        </w:tc>
        <w:tc>
          <w:tcPr>
            <w:tcW w:w="1276" w:type="dxa"/>
            <w:tcBorders>
              <w:top w:val="nil"/>
              <w:left w:val="nil"/>
              <w:bottom w:val="nil"/>
              <w:right w:val="nil"/>
            </w:tcBorders>
            <w:hideMark/>
          </w:tcPr>
          <w:p w14:paraId="1AD97B62"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0.15±0.03</w:t>
            </w:r>
            <w:r w:rsidRPr="00157BE7">
              <w:rPr>
                <w:rFonts w:ascii="Times New Roman" w:hAnsi="Times New Roman" w:cs="Times New Roman"/>
                <w:sz w:val="18"/>
                <w:szCs w:val="18"/>
                <w:vertAlign w:val="superscript"/>
              </w:rPr>
              <w:t xml:space="preserve"> a</w:t>
            </w:r>
          </w:p>
        </w:tc>
        <w:tc>
          <w:tcPr>
            <w:tcW w:w="1559" w:type="dxa"/>
            <w:tcBorders>
              <w:top w:val="nil"/>
              <w:left w:val="nil"/>
              <w:bottom w:val="nil"/>
              <w:right w:val="nil"/>
            </w:tcBorders>
            <w:hideMark/>
          </w:tcPr>
          <w:p w14:paraId="245F2C4E"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47.50±2.10</w:t>
            </w:r>
            <w:r w:rsidRPr="00157BE7">
              <w:rPr>
                <w:rFonts w:ascii="Times New Roman" w:hAnsi="Times New Roman" w:cs="Times New Roman"/>
                <w:sz w:val="18"/>
                <w:szCs w:val="18"/>
                <w:vertAlign w:val="superscript"/>
              </w:rPr>
              <w:t xml:space="preserve"> a</w:t>
            </w:r>
          </w:p>
        </w:tc>
        <w:tc>
          <w:tcPr>
            <w:tcW w:w="1979" w:type="dxa"/>
            <w:tcBorders>
              <w:top w:val="nil"/>
              <w:left w:val="nil"/>
              <w:bottom w:val="nil"/>
              <w:right w:val="nil"/>
            </w:tcBorders>
            <w:hideMark/>
          </w:tcPr>
          <w:p w14:paraId="72336DAC"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118.47±5.62</w:t>
            </w:r>
            <w:r w:rsidRPr="00157BE7">
              <w:rPr>
                <w:rFonts w:ascii="Times New Roman" w:hAnsi="Times New Roman" w:cs="Times New Roman"/>
                <w:sz w:val="18"/>
                <w:szCs w:val="18"/>
                <w:vertAlign w:val="superscript"/>
              </w:rPr>
              <w:t xml:space="preserve"> e</w:t>
            </w:r>
          </w:p>
        </w:tc>
      </w:tr>
      <w:tr w:rsidR="009A79DB" w:rsidRPr="00157BE7" w14:paraId="2EB856FE" w14:textId="77777777" w:rsidTr="006B7026">
        <w:tc>
          <w:tcPr>
            <w:tcW w:w="1275" w:type="dxa"/>
            <w:tcBorders>
              <w:top w:val="nil"/>
              <w:left w:val="nil"/>
              <w:bottom w:val="nil"/>
              <w:right w:val="nil"/>
            </w:tcBorders>
            <w:vAlign w:val="center"/>
            <w:hideMark/>
          </w:tcPr>
          <w:p w14:paraId="2AF9DD09"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eastAsia="Times New Roman" w:hAnsi="Times New Roman" w:cs="Times New Roman"/>
                <w:sz w:val="18"/>
                <w:szCs w:val="18"/>
              </w:rPr>
              <w:t>Curcumin (E)</w:t>
            </w:r>
          </w:p>
        </w:tc>
        <w:tc>
          <w:tcPr>
            <w:tcW w:w="1560" w:type="dxa"/>
            <w:tcBorders>
              <w:top w:val="nil"/>
              <w:left w:val="nil"/>
              <w:bottom w:val="nil"/>
              <w:right w:val="nil"/>
            </w:tcBorders>
            <w:hideMark/>
          </w:tcPr>
          <w:p w14:paraId="4EA1700B"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128.25±2.84</w:t>
            </w:r>
            <w:r w:rsidRPr="00157BE7">
              <w:rPr>
                <w:rFonts w:ascii="Times New Roman" w:hAnsi="Times New Roman" w:cs="Times New Roman"/>
                <w:sz w:val="18"/>
                <w:szCs w:val="18"/>
                <w:vertAlign w:val="superscript"/>
              </w:rPr>
              <w:t xml:space="preserve"> d</w:t>
            </w:r>
          </w:p>
        </w:tc>
        <w:tc>
          <w:tcPr>
            <w:tcW w:w="1418" w:type="dxa"/>
            <w:tcBorders>
              <w:top w:val="nil"/>
              <w:left w:val="nil"/>
              <w:bottom w:val="nil"/>
              <w:right w:val="nil"/>
            </w:tcBorders>
            <w:hideMark/>
          </w:tcPr>
          <w:p w14:paraId="225444AB"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87.50±4.79</w:t>
            </w:r>
            <w:r w:rsidRPr="00157BE7">
              <w:rPr>
                <w:rFonts w:ascii="Times New Roman" w:hAnsi="Times New Roman" w:cs="Times New Roman"/>
                <w:sz w:val="18"/>
                <w:szCs w:val="18"/>
                <w:vertAlign w:val="superscript"/>
              </w:rPr>
              <w:t xml:space="preserve"> </w:t>
            </w:r>
            <w:proofErr w:type="spellStart"/>
            <w:r w:rsidRPr="00157BE7">
              <w:rPr>
                <w:rFonts w:ascii="Times New Roman" w:hAnsi="Times New Roman" w:cs="Times New Roman"/>
                <w:sz w:val="18"/>
                <w:szCs w:val="18"/>
                <w:vertAlign w:val="superscript"/>
              </w:rPr>
              <w:t>bc</w:t>
            </w:r>
            <w:proofErr w:type="spellEnd"/>
          </w:p>
        </w:tc>
        <w:tc>
          <w:tcPr>
            <w:tcW w:w="1276" w:type="dxa"/>
            <w:tcBorders>
              <w:top w:val="nil"/>
              <w:left w:val="nil"/>
              <w:bottom w:val="nil"/>
              <w:right w:val="nil"/>
            </w:tcBorders>
            <w:hideMark/>
          </w:tcPr>
          <w:p w14:paraId="15DB1277"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0.18±0.00</w:t>
            </w:r>
            <w:r w:rsidRPr="00157BE7">
              <w:rPr>
                <w:rFonts w:ascii="Times New Roman" w:hAnsi="Times New Roman" w:cs="Times New Roman"/>
                <w:sz w:val="18"/>
                <w:szCs w:val="18"/>
                <w:vertAlign w:val="superscript"/>
              </w:rPr>
              <w:t xml:space="preserve"> a</w:t>
            </w:r>
          </w:p>
        </w:tc>
        <w:tc>
          <w:tcPr>
            <w:tcW w:w="1559" w:type="dxa"/>
            <w:tcBorders>
              <w:top w:val="nil"/>
              <w:left w:val="nil"/>
              <w:bottom w:val="nil"/>
              <w:right w:val="nil"/>
            </w:tcBorders>
            <w:hideMark/>
          </w:tcPr>
          <w:p w14:paraId="10601781"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93.00±3.19</w:t>
            </w:r>
            <w:r w:rsidRPr="00157BE7">
              <w:rPr>
                <w:rFonts w:ascii="Times New Roman" w:hAnsi="Times New Roman" w:cs="Times New Roman"/>
                <w:sz w:val="18"/>
                <w:szCs w:val="18"/>
                <w:vertAlign w:val="superscript"/>
              </w:rPr>
              <w:t xml:space="preserve"> cd</w:t>
            </w:r>
          </w:p>
        </w:tc>
        <w:tc>
          <w:tcPr>
            <w:tcW w:w="1979" w:type="dxa"/>
            <w:tcBorders>
              <w:top w:val="nil"/>
              <w:left w:val="nil"/>
              <w:bottom w:val="nil"/>
              <w:right w:val="nil"/>
            </w:tcBorders>
            <w:hideMark/>
          </w:tcPr>
          <w:p w14:paraId="51727326"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110.72±3.59</w:t>
            </w:r>
            <w:r w:rsidRPr="00157BE7">
              <w:rPr>
                <w:rFonts w:ascii="Times New Roman" w:hAnsi="Times New Roman" w:cs="Times New Roman"/>
                <w:sz w:val="18"/>
                <w:szCs w:val="18"/>
                <w:vertAlign w:val="superscript"/>
              </w:rPr>
              <w:t xml:space="preserve"> de</w:t>
            </w:r>
          </w:p>
        </w:tc>
      </w:tr>
      <w:tr w:rsidR="009A79DB" w:rsidRPr="00157BE7" w14:paraId="5B8A350D" w14:textId="77777777" w:rsidTr="006B7026">
        <w:tc>
          <w:tcPr>
            <w:tcW w:w="1275" w:type="dxa"/>
            <w:tcBorders>
              <w:top w:val="nil"/>
              <w:left w:val="nil"/>
              <w:bottom w:val="nil"/>
              <w:right w:val="nil"/>
            </w:tcBorders>
            <w:vAlign w:val="center"/>
            <w:hideMark/>
          </w:tcPr>
          <w:p w14:paraId="70EE0E1C"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eastAsia="Times New Roman" w:hAnsi="Times New Roman" w:cs="Times New Roman"/>
                <w:sz w:val="18"/>
                <w:szCs w:val="18"/>
              </w:rPr>
              <w:t>Vit C NP (F)</w:t>
            </w:r>
          </w:p>
        </w:tc>
        <w:tc>
          <w:tcPr>
            <w:tcW w:w="1560" w:type="dxa"/>
            <w:tcBorders>
              <w:top w:val="nil"/>
              <w:left w:val="nil"/>
              <w:bottom w:val="nil"/>
              <w:right w:val="nil"/>
            </w:tcBorders>
            <w:hideMark/>
          </w:tcPr>
          <w:p w14:paraId="77A03F14"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86.50±2.25</w:t>
            </w:r>
            <w:r w:rsidRPr="00157BE7">
              <w:rPr>
                <w:rFonts w:ascii="Times New Roman" w:hAnsi="Times New Roman" w:cs="Times New Roman"/>
                <w:sz w:val="18"/>
                <w:szCs w:val="18"/>
                <w:vertAlign w:val="superscript"/>
              </w:rPr>
              <w:t xml:space="preserve"> b</w:t>
            </w:r>
          </w:p>
        </w:tc>
        <w:tc>
          <w:tcPr>
            <w:tcW w:w="1418" w:type="dxa"/>
            <w:tcBorders>
              <w:top w:val="nil"/>
              <w:left w:val="nil"/>
              <w:bottom w:val="nil"/>
              <w:right w:val="nil"/>
            </w:tcBorders>
            <w:hideMark/>
          </w:tcPr>
          <w:p w14:paraId="59A0ECA8"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66.75±2.35</w:t>
            </w:r>
            <w:r w:rsidRPr="00157BE7">
              <w:rPr>
                <w:rFonts w:ascii="Times New Roman" w:hAnsi="Times New Roman" w:cs="Times New Roman"/>
                <w:sz w:val="18"/>
                <w:szCs w:val="18"/>
                <w:vertAlign w:val="superscript"/>
              </w:rPr>
              <w:t xml:space="preserve"> ab</w:t>
            </w:r>
          </w:p>
        </w:tc>
        <w:tc>
          <w:tcPr>
            <w:tcW w:w="1276" w:type="dxa"/>
            <w:tcBorders>
              <w:top w:val="nil"/>
              <w:left w:val="nil"/>
              <w:bottom w:val="nil"/>
              <w:right w:val="nil"/>
            </w:tcBorders>
            <w:hideMark/>
          </w:tcPr>
          <w:p w14:paraId="0DA3D5C1"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0.17±0.03</w:t>
            </w:r>
            <w:r w:rsidRPr="00157BE7">
              <w:rPr>
                <w:rFonts w:ascii="Times New Roman" w:hAnsi="Times New Roman" w:cs="Times New Roman"/>
                <w:sz w:val="18"/>
                <w:szCs w:val="18"/>
                <w:vertAlign w:val="superscript"/>
              </w:rPr>
              <w:t xml:space="preserve"> a</w:t>
            </w:r>
          </w:p>
        </w:tc>
        <w:tc>
          <w:tcPr>
            <w:tcW w:w="1559" w:type="dxa"/>
            <w:tcBorders>
              <w:top w:val="nil"/>
              <w:left w:val="nil"/>
              <w:bottom w:val="nil"/>
              <w:right w:val="nil"/>
            </w:tcBorders>
            <w:hideMark/>
          </w:tcPr>
          <w:p w14:paraId="614C1617"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65.00±01.47</w:t>
            </w:r>
            <w:r w:rsidRPr="00157BE7">
              <w:rPr>
                <w:rFonts w:ascii="Times New Roman" w:hAnsi="Times New Roman" w:cs="Times New Roman"/>
                <w:sz w:val="18"/>
                <w:szCs w:val="18"/>
                <w:vertAlign w:val="superscript"/>
              </w:rPr>
              <w:t xml:space="preserve"> ab</w:t>
            </w:r>
          </w:p>
        </w:tc>
        <w:tc>
          <w:tcPr>
            <w:tcW w:w="1979" w:type="dxa"/>
            <w:tcBorders>
              <w:top w:val="nil"/>
              <w:left w:val="nil"/>
              <w:bottom w:val="nil"/>
              <w:right w:val="nil"/>
            </w:tcBorders>
            <w:hideMark/>
          </w:tcPr>
          <w:p w14:paraId="3EF86D69"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73.23±2.63</w:t>
            </w:r>
            <w:r w:rsidRPr="00157BE7">
              <w:rPr>
                <w:rFonts w:ascii="Times New Roman" w:hAnsi="Times New Roman" w:cs="Times New Roman"/>
                <w:sz w:val="18"/>
                <w:szCs w:val="18"/>
                <w:vertAlign w:val="superscript"/>
              </w:rPr>
              <w:t xml:space="preserve"> b</w:t>
            </w:r>
          </w:p>
        </w:tc>
      </w:tr>
      <w:tr w:rsidR="009A79DB" w:rsidRPr="00157BE7" w14:paraId="1ABB82DA" w14:textId="77777777" w:rsidTr="006B7026">
        <w:tc>
          <w:tcPr>
            <w:tcW w:w="1275" w:type="dxa"/>
            <w:tcBorders>
              <w:top w:val="nil"/>
              <w:left w:val="nil"/>
              <w:bottom w:val="nil"/>
              <w:right w:val="nil"/>
            </w:tcBorders>
            <w:vAlign w:val="center"/>
            <w:hideMark/>
          </w:tcPr>
          <w:p w14:paraId="602220BE"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eastAsia="Times New Roman" w:hAnsi="Times New Roman" w:cs="Times New Roman"/>
                <w:sz w:val="18"/>
                <w:szCs w:val="18"/>
              </w:rPr>
              <w:t>CNP (G)</w:t>
            </w:r>
          </w:p>
        </w:tc>
        <w:tc>
          <w:tcPr>
            <w:tcW w:w="1560" w:type="dxa"/>
            <w:tcBorders>
              <w:top w:val="nil"/>
              <w:left w:val="nil"/>
              <w:bottom w:val="nil"/>
              <w:right w:val="nil"/>
            </w:tcBorders>
            <w:hideMark/>
          </w:tcPr>
          <w:p w14:paraId="184EFDE1"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145.50 ± 1.85</w:t>
            </w:r>
            <w:r w:rsidRPr="00157BE7">
              <w:rPr>
                <w:rFonts w:ascii="Times New Roman" w:hAnsi="Times New Roman" w:cs="Times New Roman"/>
                <w:sz w:val="18"/>
                <w:szCs w:val="18"/>
                <w:vertAlign w:val="superscript"/>
              </w:rPr>
              <w:t xml:space="preserve"> e</w:t>
            </w:r>
          </w:p>
        </w:tc>
        <w:tc>
          <w:tcPr>
            <w:tcW w:w="1418" w:type="dxa"/>
            <w:tcBorders>
              <w:top w:val="nil"/>
              <w:left w:val="nil"/>
              <w:bottom w:val="nil"/>
              <w:right w:val="nil"/>
            </w:tcBorders>
            <w:hideMark/>
          </w:tcPr>
          <w:p w14:paraId="296E66F3"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264.25 ± 10.55</w:t>
            </w:r>
            <w:r w:rsidRPr="00157BE7">
              <w:rPr>
                <w:rFonts w:ascii="Times New Roman" w:hAnsi="Times New Roman" w:cs="Times New Roman"/>
                <w:sz w:val="18"/>
                <w:szCs w:val="18"/>
                <w:vertAlign w:val="superscript"/>
              </w:rPr>
              <w:t xml:space="preserve"> e</w:t>
            </w:r>
          </w:p>
        </w:tc>
        <w:tc>
          <w:tcPr>
            <w:tcW w:w="1276" w:type="dxa"/>
            <w:tcBorders>
              <w:top w:val="nil"/>
              <w:left w:val="nil"/>
              <w:bottom w:val="nil"/>
              <w:right w:val="nil"/>
            </w:tcBorders>
            <w:hideMark/>
          </w:tcPr>
          <w:p w14:paraId="0B703353"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0.94 ± 0.02</w:t>
            </w:r>
            <w:r w:rsidRPr="00157BE7">
              <w:rPr>
                <w:rFonts w:ascii="Times New Roman" w:hAnsi="Times New Roman" w:cs="Times New Roman"/>
                <w:sz w:val="18"/>
                <w:szCs w:val="18"/>
                <w:vertAlign w:val="superscript"/>
              </w:rPr>
              <w:t xml:space="preserve"> b</w:t>
            </w:r>
          </w:p>
        </w:tc>
        <w:tc>
          <w:tcPr>
            <w:tcW w:w="1559" w:type="dxa"/>
            <w:tcBorders>
              <w:top w:val="nil"/>
              <w:left w:val="nil"/>
              <w:bottom w:val="nil"/>
              <w:right w:val="nil"/>
            </w:tcBorders>
            <w:hideMark/>
          </w:tcPr>
          <w:p w14:paraId="6A6DAFB9"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51.75 ± 2.95</w:t>
            </w:r>
            <w:r w:rsidRPr="00157BE7">
              <w:rPr>
                <w:rFonts w:ascii="Times New Roman" w:hAnsi="Times New Roman" w:cs="Times New Roman"/>
                <w:sz w:val="18"/>
                <w:szCs w:val="18"/>
                <w:vertAlign w:val="superscript"/>
              </w:rPr>
              <w:t xml:space="preserve"> a</w:t>
            </w:r>
          </w:p>
        </w:tc>
        <w:tc>
          <w:tcPr>
            <w:tcW w:w="1979" w:type="dxa"/>
            <w:tcBorders>
              <w:top w:val="nil"/>
              <w:left w:val="nil"/>
              <w:bottom w:val="nil"/>
              <w:right w:val="nil"/>
            </w:tcBorders>
            <w:hideMark/>
          </w:tcPr>
          <w:p w14:paraId="0CFB2B5F"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92.35±3.04</w:t>
            </w:r>
            <w:r w:rsidRPr="00157BE7">
              <w:rPr>
                <w:rFonts w:ascii="Times New Roman" w:hAnsi="Times New Roman" w:cs="Times New Roman"/>
                <w:sz w:val="18"/>
                <w:szCs w:val="18"/>
                <w:vertAlign w:val="superscript"/>
              </w:rPr>
              <w:t xml:space="preserve"> c</w:t>
            </w:r>
          </w:p>
        </w:tc>
      </w:tr>
      <w:tr w:rsidR="009A79DB" w:rsidRPr="00157BE7" w14:paraId="70078DB0" w14:textId="77777777" w:rsidTr="006B7026">
        <w:tc>
          <w:tcPr>
            <w:tcW w:w="1275" w:type="dxa"/>
            <w:tcBorders>
              <w:top w:val="nil"/>
              <w:left w:val="nil"/>
              <w:bottom w:val="single" w:sz="4" w:space="0" w:color="auto"/>
              <w:right w:val="nil"/>
            </w:tcBorders>
            <w:vAlign w:val="center"/>
            <w:hideMark/>
          </w:tcPr>
          <w:p w14:paraId="2697A689"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eastAsia="Times New Roman" w:hAnsi="Times New Roman" w:cs="Times New Roman"/>
                <w:sz w:val="18"/>
                <w:szCs w:val="18"/>
              </w:rPr>
              <w:t>Vit C CNP (H)</w:t>
            </w:r>
          </w:p>
        </w:tc>
        <w:tc>
          <w:tcPr>
            <w:tcW w:w="1560" w:type="dxa"/>
            <w:tcBorders>
              <w:top w:val="nil"/>
              <w:left w:val="nil"/>
              <w:bottom w:val="single" w:sz="4" w:space="0" w:color="auto"/>
              <w:right w:val="nil"/>
            </w:tcBorders>
            <w:hideMark/>
          </w:tcPr>
          <w:p w14:paraId="22DC983C"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110.00±3.34</w:t>
            </w:r>
            <w:r w:rsidRPr="00157BE7">
              <w:rPr>
                <w:rFonts w:ascii="Times New Roman" w:hAnsi="Times New Roman" w:cs="Times New Roman"/>
                <w:sz w:val="18"/>
                <w:szCs w:val="18"/>
                <w:vertAlign w:val="superscript"/>
              </w:rPr>
              <w:t xml:space="preserve"> a</w:t>
            </w:r>
          </w:p>
        </w:tc>
        <w:tc>
          <w:tcPr>
            <w:tcW w:w="1418" w:type="dxa"/>
            <w:tcBorders>
              <w:top w:val="nil"/>
              <w:left w:val="nil"/>
              <w:bottom w:val="single" w:sz="4" w:space="0" w:color="auto"/>
              <w:right w:val="nil"/>
            </w:tcBorders>
            <w:hideMark/>
          </w:tcPr>
          <w:p w14:paraId="03C8EDB3"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48.25±1.49</w:t>
            </w:r>
            <w:r w:rsidRPr="00157BE7">
              <w:rPr>
                <w:rFonts w:ascii="Times New Roman" w:hAnsi="Times New Roman" w:cs="Times New Roman"/>
                <w:sz w:val="18"/>
                <w:szCs w:val="18"/>
                <w:vertAlign w:val="superscript"/>
              </w:rPr>
              <w:t xml:space="preserve"> a</w:t>
            </w:r>
          </w:p>
        </w:tc>
        <w:tc>
          <w:tcPr>
            <w:tcW w:w="1276" w:type="dxa"/>
            <w:tcBorders>
              <w:top w:val="nil"/>
              <w:left w:val="nil"/>
              <w:bottom w:val="single" w:sz="4" w:space="0" w:color="auto"/>
              <w:right w:val="nil"/>
            </w:tcBorders>
            <w:hideMark/>
          </w:tcPr>
          <w:p w14:paraId="4E538C79"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1.12±0.01</w:t>
            </w:r>
            <w:r w:rsidRPr="00157BE7">
              <w:rPr>
                <w:rFonts w:ascii="Times New Roman" w:hAnsi="Times New Roman" w:cs="Times New Roman"/>
                <w:sz w:val="18"/>
                <w:szCs w:val="18"/>
                <w:vertAlign w:val="superscript"/>
              </w:rPr>
              <w:t xml:space="preserve"> b</w:t>
            </w:r>
          </w:p>
        </w:tc>
        <w:tc>
          <w:tcPr>
            <w:tcW w:w="1559" w:type="dxa"/>
            <w:tcBorders>
              <w:top w:val="nil"/>
              <w:left w:val="nil"/>
              <w:bottom w:val="single" w:sz="4" w:space="0" w:color="auto"/>
              <w:right w:val="nil"/>
            </w:tcBorders>
            <w:hideMark/>
          </w:tcPr>
          <w:p w14:paraId="7640CA62"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53.75±1.31</w:t>
            </w:r>
            <w:r w:rsidRPr="00157BE7">
              <w:rPr>
                <w:rFonts w:ascii="Times New Roman" w:hAnsi="Times New Roman" w:cs="Times New Roman"/>
                <w:sz w:val="18"/>
                <w:szCs w:val="18"/>
                <w:vertAlign w:val="superscript"/>
              </w:rPr>
              <w:t xml:space="preserve"> a</w:t>
            </w:r>
          </w:p>
        </w:tc>
        <w:tc>
          <w:tcPr>
            <w:tcW w:w="1979" w:type="dxa"/>
            <w:tcBorders>
              <w:top w:val="nil"/>
              <w:left w:val="nil"/>
              <w:bottom w:val="single" w:sz="4" w:space="0" w:color="auto"/>
              <w:right w:val="nil"/>
            </w:tcBorders>
            <w:hideMark/>
          </w:tcPr>
          <w:p w14:paraId="2EA0F5EF" w14:textId="77777777" w:rsidR="009A79DB" w:rsidRPr="00157BE7" w:rsidRDefault="009A79DB" w:rsidP="007973A0">
            <w:pPr>
              <w:spacing w:after="0" w:line="240" w:lineRule="auto"/>
              <w:jc w:val="both"/>
              <w:rPr>
                <w:rFonts w:ascii="Times New Roman" w:hAnsi="Times New Roman" w:cs="Times New Roman"/>
                <w:sz w:val="18"/>
                <w:szCs w:val="18"/>
              </w:rPr>
            </w:pPr>
            <w:r w:rsidRPr="00157BE7">
              <w:rPr>
                <w:rFonts w:ascii="Times New Roman" w:hAnsi="Times New Roman" w:cs="Times New Roman"/>
                <w:sz w:val="18"/>
                <w:szCs w:val="18"/>
              </w:rPr>
              <w:t>100.03±3.56</w:t>
            </w:r>
            <w:r w:rsidRPr="00157BE7">
              <w:rPr>
                <w:rFonts w:ascii="Times New Roman" w:hAnsi="Times New Roman" w:cs="Times New Roman"/>
                <w:sz w:val="18"/>
                <w:szCs w:val="18"/>
                <w:vertAlign w:val="superscript"/>
              </w:rPr>
              <w:t xml:space="preserve"> cd</w:t>
            </w:r>
          </w:p>
        </w:tc>
      </w:tr>
    </w:tbl>
    <w:p w14:paraId="4F2FA873" w14:textId="452612EC" w:rsidR="00050EE5" w:rsidRPr="00157BE7" w:rsidRDefault="009A79DB" w:rsidP="009A79DB">
      <w:pPr>
        <w:jc w:val="both"/>
        <w:rPr>
          <w:rFonts w:ascii="Times New Roman" w:hAnsi="Times New Roman" w:cs="Times New Roman"/>
          <w:sz w:val="20"/>
          <w:szCs w:val="20"/>
        </w:rPr>
      </w:pPr>
      <w:r w:rsidRPr="00157BE7">
        <w:rPr>
          <w:rFonts w:ascii="Times New Roman" w:hAnsi="Times New Roman" w:cs="Times New Roman"/>
          <w:sz w:val="20"/>
          <w:szCs w:val="20"/>
        </w:rPr>
        <w:t>Values are expressed as mean ± SEM. Different superscripts in the same column differ significantly (p ≤ 0.05). CKD = Chronic kidney disease, CSNP = Chitosan nanoparticle, Vit C = Vitamin C, CNP = Curcumin nanoparticle, Vit C NP = Vitamin C nanoparticle, Vit C CNP = Vitamin C–Curcumin nanoparticle, TC = Total cholesterol, TG = Triglycerides; HDL = High-density lipoprotein, LDL = Low-density lipoprotein, VLDL = Very-low-density lipoprotein.</w:t>
      </w:r>
    </w:p>
    <w:p w14:paraId="406E094C" w14:textId="77777777" w:rsidR="006920AB" w:rsidRDefault="006920AB" w:rsidP="00566A26">
      <w:pPr>
        <w:spacing w:line="360" w:lineRule="auto"/>
        <w:rPr>
          <w:rFonts w:ascii="Times New Roman" w:hAnsi="Times New Roman" w:cs="Times New Roman"/>
          <w:sz w:val="24"/>
          <w:szCs w:val="24"/>
        </w:rPr>
        <w:sectPr w:rsidR="006920AB" w:rsidSect="006920AB">
          <w:type w:val="continuous"/>
          <w:pgSz w:w="11906" w:h="16838"/>
          <w:pgMar w:top="1440" w:right="1440" w:bottom="1440" w:left="1440" w:header="708" w:footer="708" w:gutter="0"/>
          <w:cols w:space="708"/>
          <w:docGrid w:linePitch="360"/>
        </w:sectPr>
      </w:pPr>
      <w:bookmarkStart w:id="3" w:name="_Toc218759219"/>
    </w:p>
    <w:bookmarkEnd w:id="3"/>
    <w:p w14:paraId="0D0360B6" w14:textId="5CDC7C41" w:rsidR="00942BE3" w:rsidRPr="00157BE7" w:rsidRDefault="00942BE3" w:rsidP="00566A26">
      <w:pPr>
        <w:spacing w:line="360" w:lineRule="auto"/>
        <w:jc w:val="both"/>
        <w:rPr>
          <w:rFonts w:ascii="Times New Roman" w:hAnsi="Times New Roman" w:cs="Times New Roman"/>
          <w:sz w:val="24"/>
          <w:szCs w:val="24"/>
        </w:rPr>
      </w:pPr>
      <w:r w:rsidRPr="00157BE7">
        <w:rPr>
          <w:rFonts w:ascii="Times New Roman" w:hAnsi="Times New Roman" w:cs="Times New Roman"/>
          <w:sz w:val="24"/>
          <w:szCs w:val="24"/>
        </w:rPr>
        <w:t xml:space="preserve">Histological analysis of H&amp;E-stained kidney sections revealed marked differences across groups (Figure 1). The control group showed normal renal architecture with intact glomeruli and preserved tubules. Adenine-induced CKD caused severe changes, including glomerular sclerosis, widened Bowman’s spaces, tubular atrophy, and inflammatory infiltration. Treatment with chitosan </w:t>
      </w:r>
      <w:r w:rsidRPr="00157BE7">
        <w:rPr>
          <w:rFonts w:ascii="Times New Roman" w:hAnsi="Times New Roman" w:cs="Times New Roman"/>
          <w:sz w:val="24"/>
          <w:szCs w:val="24"/>
        </w:rPr>
        <w:t>nanoparticles and single antioxidant formulations produced mild to moderate improvement. Nanoparticle-based treatments showed greater restoration of renal structure, with the combined vitamin C–curcumin nanoparticle group exhibiting near-normal histology.</w:t>
      </w:r>
    </w:p>
    <w:p w14:paraId="3C32D86A" w14:textId="77777777" w:rsidR="007973A0" w:rsidRPr="00157BE7" w:rsidRDefault="007973A0" w:rsidP="00BD29CB">
      <w:pPr>
        <w:spacing w:line="276" w:lineRule="auto"/>
        <w:jc w:val="both"/>
        <w:rPr>
          <w:rFonts w:ascii="Times New Roman" w:hAnsi="Times New Roman" w:cs="Times New Roman"/>
          <w:sz w:val="24"/>
          <w:szCs w:val="24"/>
        </w:rPr>
      </w:pPr>
    </w:p>
    <w:p w14:paraId="17A234D4" w14:textId="3337B52D" w:rsidR="006920AB" w:rsidRDefault="00283F80" w:rsidP="00283F80">
      <w:pPr>
        <w:rPr>
          <w:rFonts w:ascii="Times New Roman" w:hAnsi="Times New Roman" w:cs="Times New Roman"/>
        </w:rPr>
        <w:sectPr w:rsidR="006920AB" w:rsidSect="00F24F5B">
          <w:type w:val="continuous"/>
          <w:pgSz w:w="11906" w:h="16838"/>
          <w:pgMar w:top="1440" w:right="1440" w:bottom="1440" w:left="1440" w:header="708" w:footer="708" w:gutter="0"/>
          <w:cols w:num="2" w:space="708"/>
          <w:docGrid w:linePitch="360"/>
        </w:sectPr>
      </w:pPr>
      <w:r w:rsidRPr="00157BE7">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51A3BAB" wp14:editId="2A6FC9B7">
                <wp:simplePos x="0" y="0"/>
                <wp:positionH relativeFrom="column">
                  <wp:posOffset>3521075</wp:posOffset>
                </wp:positionH>
                <wp:positionV relativeFrom="paragraph">
                  <wp:posOffset>1009650</wp:posOffset>
                </wp:positionV>
                <wp:extent cx="177165" cy="129540"/>
                <wp:effectExtent l="0" t="0" r="32385" b="22860"/>
                <wp:wrapNone/>
                <wp:docPr id="31" name="Straight Connector 31"/>
                <wp:cNvGraphicFramePr/>
                <a:graphic xmlns:a="http://schemas.openxmlformats.org/drawingml/2006/main">
                  <a:graphicData uri="http://schemas.microsoft.com/office/word/2010/wordprocessingShape">
                    <wps:wsp>
                      <wps:cNvCnPr/>
                      <wps:spPr>
                        <a:xfrm>
                          <a:off x="0" y="0"/>
                          <a:ext cx="177165" cy="1295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BAED312" id="Straight Connector 3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25pt,79.5pt" to="291.2pt,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" strokecolor="black [3213]" strokeweight=".5pt">
                <v:stroke joinstyle="miter"/>
              </v:line>
            </w:pict>
          </mc:Fallback>
        </mc:AlternateContent>
      </w:r>
      <w:r w:rsidRPr="00157BE7">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D9A4CF8" wp14:editId="4387979E">
                <wp:simplePos x="0" y="0"/>
                <wp:positionH relativeFrom="column">
                  <wp:posOffset>4325620</wp:posOffset>
                </wp:positionH>
                <wp:positionV relativeFrom="paragraph">
                  <wp:posOffset>368300</wp:posOffset>
                </wp:positionV>
                <wp:extent cx="142875" cy="114300"/>
                <wp:effectExtent l="19050" t="0" r="28575" b="38100"/>
                <wp:wrapNone/>
                <wp:docPr id="30" name="Arrow: Down 30"/>
                <wp:cNvGraphicFramePr/>
                <a:graphic xmlns:a="http://schemas.openxmlformats.org/drawingml/2006/main">
                  <a:graphicData uri="http://schemas.microsoft.com/office/word/2010/wordprocessingShape">
                    <wps:wsp>
                      <wps:cNvSpPr/>
                      <wps:spPr>
                        <a:xfrm>
                          <a:off x="0" y="0"/>
                          <a:ext cx="142875" cy="114300"/>
                        </a:xfrm>
                        <a:prstGeom prst="down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2A0E1D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0" o:spid="_x0000_s1026" type="#_x0000_t67" style="position:absolute;margin-left:340.6pt;margin-top:29pt;width:11.2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" adj="10800" fillcolor="windowText" strokecolor="#2f528f" strokeweight="1pt"/>
            </w:pict>
          </mc:Fallback>
        </mc:AlternateContent>
      </w:r>
      <w:r w:rsidRPr="00157BE7">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3D053DA" wp14:editId="2A2DA8AA">
                <wp:simplePos x="0" y="0"/>
                <wp:positionH relativeFrom="column">
                  <wp:posOffset>3704590</wp:posOffset>
                </wp:positionH>
                <wp:positionV relativeFrom="paragraph">
                  <wp:posOffset>634365</wp:posOffset>
                </wp:positionV>
                <wp:extent cx="504825" cy="361950"/>
                <wp:effectExtent l="0" t="0" r="0" b="0"/>
                <wp:wrapNone/>
                <wp:docPr id="29" name="Rectangle 29"/>
                <wp:cNvGraphicFramePr/>
                <a:graphic xmlns:a="http://schemas.openxmlformats.org/drawingml/2006/main">
                  <a:graphicData uri="http://schemas.microsoft.com/office/word/2010/wordprocessingShape">
                    <wps:wsp>
                      <wps:cNvSpPr/>
                      <wps:spPr>
                        <a:xfrm>
                          <a:off x="0" y="0"/>
                          <a:ext cx="504825" cy="361950"/>
                        </a:xfrm>
                        <a:prstGeom prst="rect">
                          <a:avLst/>
                        </a:prstGeom>
                        <a:noFill/>
                        <a:ln w="12700" cap="flat" cmpd="sng" algn="ctr">
                          <a:noFill/>
                          <a:prstDash val="solid"/>
                          <a:miter lim="800000"/>
                        </a:ln>
                        <a:effectLst/>
                      </wps:spPr>
                      <wps:txbx>
                        <w:txbxContent>
                          <w:p w14:paraId="18A43F3D" w14:textId="77777777" w:rsidR="006B7026" w:rsidRDefault="006B7026" w:rsidP="00283F80">
                            <w:pPr>
                              <w:jc w:val="center"/>
                              <w:rPr>
                                <w:color w:val="000000" w:themeColor="text1"/>
                                <w:sz w:val="36"/>
                                <w:szCs w:val="36"/>
                              </w:rPr>
                            </w:pPr>
                            <w:r>
                              <w:rPr>
                                <w:color w:val="000000" w:themeColor="text1"/>
                                <w:sz w:val="36"/>
                                <w:szCs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053DA" id="Rectangle 29" o:spid="_x0000_s1026" style="position:absolute;margin-left:291.7pt;margin-top:49.95pt;width:39.7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" filled="f" stroked="f" strokeweight="1pt">
                <v:textbox>
                  <w:txbxContent>
                    <w:p w14:paraId="18A43F3D" w14:textId="77777777" w:rsidR="006B7026" w:rsidRDefault="006B7026" w:rsidP="00283F80">
                      <w:pPr>
                        <w:jc w:val="center"/>
                        <w:rPr>
                          <w:color w:val="000000" w:themeColor="text1"/>
                          <w:sz w:val="36"/>
                          <w:szCs w:val="36"/>
                        </w:rPr>
                      </w:pPr>
                      <w:r>
                        <w:rPr>
                          <w:color w:val="000000" w:themeColor="text1"/>
                          <w:sz w:val="36"/>
                          <w:szCs w:val="36"/>
                        </w:rPr>
                        <w:t>*</w:t>
                      </w:r>
                    </w:p>
                  </w:txbxContent>
                </v:textbox>
              </v:rect>
            </w:pict>
          </mc:Fallback>
        </mc:AlternateContent>
      </w:r>
    </w:p>
    <w:p w14:paraId="417CD7D9" w14:textId="7C96F9C3" w:rsidR="007871EA" w:rsidRDefault="007871EA" w:rsidP="00873716">
      <w:pPr>
        <w:jc w:val="both"/>
        <w:rPr>
          <w:rFonts w:ascii="Times New Roman" w:hAnsi="Times New Roman" w:cs="Times New Roman"/>
        </w:rPr>
      </w:pPr>
      <w:bookmarkStart w:id="4" w:name="_Hlk224998365"/>
    </w:p>
    <w:p w14:paraId="1CFA76B6" w14:textId="040DA4C3" w:rsidR="007871EA" w:rsidRDefault="007871EA" w:rsidP="00873716">
      <w:pPr>
        <w:jc w:val="both"/>
        <w:rPr>
          <w:rFonts w:ascii="Times New Roman" w:hAnsi="Times New Roman" w:cs="Times New Roman"/>
        </w:rPr>
      </w:pPr>
    </w:p>
    <w:p w14:paraId="241F461E" w14:textId="77777777" w:rsidR="006155BD" w:rsidRDefault="007D050D" w:rsidP="00873716">
      <w:pPr>
        <w:jc w:val="both"/>
        <w:rPr>
          <w:rFonts w:ascii="Times New Roman" w:hAnsi="Times New Roman" w:cs="Times New Roman"/>
          <w:noProof/>
        </w:rPr>
      </w:pPr>
      <w:r>
        <w:rPr>
          <w:rFonts w:ascii="Times New Roman" w:hAnsi="Times New Roman" w:cs="Times New Roman"/>
          <w:noProof/>
        </w:rPr>
        <mc:AlternateContent>
          <mc:Choice Requires="wps">
            <w:drawing>
              <wp:anchor distT="0" distB="0" distL="114300" distR="114300" simplePos="0" relativeHeight="251703296" behindDoc="0" locked="0" layoutInCell="1" allowOverlap="1" wp14:anchorId="7661C0B7" wp14:editId="57AB9FDF">
                <wp:simplePos x="0" y="0"/>
                <wp:positionH relativeFrom="column">
                  <wp:posOffset>4524375</wp:posOffset>
                </wp:positionH>
                <wp:positionV relativeFrom="paragraph">
                  <wp:posOffset>4010025</wp:posOffset>
                </wp:positionV>
                <wp:extent cx="247650" cy="190500"/>
                <wp:effectExtent l="0" t="0" r="76200" b="57150"/>
                <wp:wrapNone/>
                <wp:docPr id="28" name="Straight Arrow Connector 28"/>
                <wp:cNvGraphicFramePr/>
                <a:graphic xmlns:a="http://schemas.openxmlformats.org/drawingml/2006/main">
                  <a:graphicData uri="http://schemas.microsoft.com/office/word/2010/wordprocessingShape">
                    <wps:wsp>
                      <wps:cNvCnPr/>
                      <wps:spPr>
                        <a:xfrm>
                          <a:off x="0" y="0"/>
                          <a:ext cx="247650" cy="190500"/>
                        </a:xfrm>
                        <a:prstGeom prst="straightConnector1">
                          <a:avLst/>
                        </a:prstGeom>
                        <a:ln>
                          <a:solidFill>
                            <a:srgbClr val="FFC000"/>
                          </a:solidFill>
                          <a:tailEnd type="triangle"/>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335A1FA" id="_x0000_t32" coordsize="21600,21600" o:spt="32" o:oned="t" path="m,l21600,21600e" filled="f">
                <v:path arrowok="t" fillok="f" o:connecttype="none"/>
                <o:lock v:ext="edit" shapetype="t"/>
              </v:shapetype>
              <v:shape id="Straight Arrow Connector 28" o:spid="_x0000_s1026" type="#_x0000_t32" style="position:absolute;margin-left:356.25pt;margin-top:315.75pt;width:19.5pt;height: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" strokecolor="#ffc000" strokeweight="1.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623ECC88" wp14:editId="28348492">
                <wp:simplePos x="0" y="0"/>
                <wp:positionH relativeFrom="column">
                  <wp:posOffset>3067050</wp:posOffset>
                </wp:positionH>
                <wp:positionV relativeFrom="paragraph">
                  <wp:posOffset>4257675</wp:posOffset>
                </wp:positionV>
                <wp:extent cx="247650" cy="190500"/>
                <wp:effectExtent l="0" t="0" r="76200" b="57150"/>
                <wp:wrapNone/>
                <wp:docPr id="27" name="Straight Arrow Connector 27"/>
                <wp:cNvGraphicFramePr/>
                <a:graphic xmlns:a="http://schemas.openxmlformats.org/drawingml/2006/main">
                  <a:graphicData uri="http://schemas.microsoft.com/office/word/2010/wordprocessingShape">
                    <wps:wsp>
                      <wps:cNvCnPr/>
                      <wps:spPr>
                        <a:xfrm>
                          <a:off x="0" y="0"/>
                          <a:ext cx="247650" cy="190500"/>
                        </a:xfrm>
                        <a:prstGeom prst="straightConnector1">
                          <a:avLst/>
                        </a:prstGeom>
                        <a:ln>
                          <a:solidFill>
                            <a:srgbClr val="FF0000"/>
                          </a:solidFill>
                          <a:tailEnd type="triangle"/>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62EB70" id="Straight Arrow Connector 27" o:spid="_x0000_s1026" type="#_x0000_t32" style="position:absolute;margin-left:241.5pt;margin-top:335.25pt;width:19.5pt;height: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" strokecolor="red" strokeweight="1.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99200" behindDoc="0" locked="0" layoutInCell="1" allowOverlap="1" wp14:anchorId="23EE0C4F" wp14:editId="24DD01D7">
                <wp:simplePos x="0" y="0"/>
                <wp:positionH relativeFrom="column">
                  <wp:posOffset>3686175</wp:posOffset>
                </wp:positionH>
                <wp:positionV relativeFrom="paragraph">
                  <wp:posOffset>3619500</wp:posOffset>
                </wp:positionV>
                <wp:extent cx="247650" cy="190500"/>
                <wp:effectExtent l="0" t="0" r="76200" b="57150"/>
                <wp:wrapNone/>
                <wp:docPr id="26" name="Straight Arrow Connector 26"/>
                <wp:cNvGraphicFramePr/>
                <a:graphic xmlns:a="http://schemas.openxmlformats.org/drawingml/2006/main">
                  <a:graphicData uri="http://schemas.microsoft.com/office/word/2010/wordprocessingShape">
                    <wps:wsp>
                      <wps:cNvCnPr/>
                      <wps:spPr>
                        <a:xfrm>
                          <a:off x="0" y="0"/>
                          <a:ext cx="247650" cy="190500"/>
                        </a:xfrm>
                        <a:prstGeom prst="straightConnector1">
                          <a:avLst/>
                        </a:prstGeom>
                        <a:ln>
                          <a:solidFill>
                            <a:schemeClr val="accent1">
                              <a:lumMod val="50000"/>
                            </a:schemeClr>
                          </a:solidFill>
                          <a:tailEnd type="triangle"/>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FF66A6" id="Straight Arrow Connector 26" o:spid="_x0000_s1026" type="#_x0000_t32" style="position:absolute;margin-left:290.25pt;margin-top:285pt;width:19.5pt;height: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" strokecolor="#1f3763 [1604]" strokeweight="1.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97152" behindDoc="0" locked="0" layoutInCell="1" allowOverlap="1" wp14:anchorId="2F86F0A9" wp14:editId="70A260D5">
                <wp:simplePos x="0" y="0"/>
                <wp:positionH relativeFrom="column">
                  <wp:posOffset>952500</wp:posOffset>
                </wp:positionH>
                <wp:positionV relativeFrom="paragraph">
                  <wp:posOffset>4495800</wp:posOffset>
                </wp:positionV>
                <wp:extent cx="247650" cy="190500"/>
                <wp:effectExtent l="0" t="0" r="76200" b="57150"/>
                <wp:wrapNone/>
                <wp:docPr id="25" name="Straight Arrow Connector 25"/>
                <wp:cNvGraphicFramePr/>
                <a:graphic xmlns:a="http://schemas.openxmlformats.org/drawingml/2006/main">
                  <a:graphicData uri="http://schemas.microsoft.com/office/word/2010/wordprocessingShape">
                    <wps:wsp>
                      <wps:cNvCnPr/>
                      <wps:spPr>
                        <a:xfrm>
                          <a:off x="0" y="0"/>
                          <a:ext cx="247650" cy="190500"/>
                        </a:xfrm>
                        <a:prstGeom prst="straightConnector1">
                          <a:avLst/>
                        </a:prstGeom>
                        <a:ln>
                          <a:solidFill>
                            <a:srgbClr val="FFC000"/>
                          </a:solidFill>
                          <a:tailEnd type="triangle"/>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B889ED" id="Straight Arrow Connector 25" o:spid="_x0000_s1026" type="#_x0000_t32" style="position:absolute;margin-left:75pt;margin-top:354pt;width:19.5pt;height: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" strokecolor="#ffc000" strokeweight="1.5pt">
                <v:stroke endarrow="block" joinstyle="miter"/>
              </v:shape>
            </w:pict>
          </mc:Fallback>
        </mc:AlternateContent>
      </w:r>
      <w:r w:rsidR="00847802">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151FB20B" wp14:editId="142D00A2">
                <wp:simplePos x="0" y="0"/>
                <wp:positionH relativeFrom="column">
                  <wp:posOffset>714375</wp:posOffset>
                </wp:positionH>
                <wp:positionV relativeFrom="paragraph">
                  <wp:posOffset>4248150</wp:posOffset>
                </wp:positionV>
                <wp:extent cx="247650" cy="190500"/>
                <wp:effectExtent l="0" t="0" r="76200" b="57150"/>
                <wp:wrapNone/>
                <wp:docPr id="24" name="Straight Arrow Connector 24"/>
                <wp:cNvGraphicFramePr/>
                <a:graphic xmlns:a="http://schemas.openxmlformats.org/drawingml/2006/main">
                  <a:graphicData uri="http://schemas.microsoft.com/office/word/2010/wordprocessingShape">
                    <wps:wsp>
                      <wps:cNvCnPr/>
                      <wps:spPr>
                        <a:xfrm>
                          <a:off x="0" y="0"/>
                          <a:ext cx="247650" cy="190500"/>
                        </a:xfrm>
                        <a:prstGeom prst="straightConnector1">
                          <a:avLst/>
                        </a:prstGeom>
                        <a:ln>
                          <a:solidFill>
                            <a:srgbClr val="FF0000"/>
                          </a:solidFill>
                          <a:tailEnd type="triangle"/>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526E6D" id="Straight Arrow Connector 24" o:spid="_x0000_s1026" type="#_x0000_t32" style="position:absolute;margin-left:56.25pt;margin-top:334.5pt;width:19.5pt;height: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" strokecolor="red" strokeweight="1.5pt">
                <v:stroke endarrow="block" joinstyle="miter"/>
              </v:shape>
            </w:pict>
          </mc:Fallback>
        </mc:AlternateContent>
      </w:r>
      <w:r w:rsidR="00847802">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00C9AAE3" wp14:editId="721D6EDE">
                <wp:simplePos x="0" y="0"/>
                <wp:positionH relativeFrom="column">
                  <wp:posOffset>1019175</wp:posOffset>
                </wp:positionH>
                <wp:positionV relativeFrom="paragraph">
                  <wp:posOffset>3924300</wp:posOffset>
                </wp:positionV>
                <wp:extent cx="247650" cy="190500"/>
                <wp:effectExtent l="0" t="0" r="76200" b="57150"/>
                <wp:wrapNone/>
                <wp:docPr id="23" name="Straight Arrow Connector 23"/>
                <wp:cNvGraphicFramePr/>
                <a:graphic xmlns:a="http://schemas.openxmlformats.org/drawingml/2006/main">
                  <a:graphicData uri="http://schemas.microsoft.com/office/word/2010/wordprocessingShape">
                    <wps:wsp>
                      <wps:cNvCnPr/>
                      <wps:spPr>
                        <a:xfrm>
                          <a:off x="0" y="0"/>
                          <a:ext cx="247650" cy="190500"/>
                        </a:xfrm>
                        <a:prstGeom prst="straightConnector1">
                          <a:avLst/>
                        </a:prstGeom>
                        <a:ln>
                          <a:solidFill>
                            <a:schemeClr val="accent1">
                              <a:lumMod val="50000"/>
                            </a:schemeClr>
                          </a:solidFill>
                          <a:tailEnd type="triangle"/>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BA3227" id="Straight Arrow Connector 23" o:spid="_x0000_s1026" type="#_x0000_t32" style="position:absolute;margin-left:80.25pt;margin-top:309pt;width:19.5pt;height: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" strokecolor="#1f3763 [1604]" strokeweight="1.5pt">
                <v:stroke endarrow="block" joinstyle="miter"/>
              </v:shape>
            </w:pict>
          </mc:Fallback>
        </mc:AlternateContent>
      </w:r>
      <w:r w:rsidR="00847802">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6353917C" wp14:editId="314661CF">
                <wp:simplePos x="0" y="0"/>
                <wp:positionH relativeFrom="column">
                  <wp:posOffset>3514725</wp:posOffset>
                </wp:positionH>
                <wp:positionV relativeFrom="paragraph">
                  <wp:posOffset>2876550</wp:posOffset>
                </wp:positionV>
                <wp:extent cx="247650" cy="190500"/>
                <wp:effectExtent l="0" t="0" r="76200" b="57150"/>
                <wp:wrapNone/>
                <wp:docPr id="22" name="Straight Arrow Connector 22"/>
                <wp:cNvGraphicFramePr/>
                <a:graphic xmlns:a="http://schemas.openxmlformats.org/drawingml/2006/main">
                  <a:graphicData uri="http://schemas.microsoft.com/office/word/2010/wordprocessingShape">
                    <wps:wsp>
                      <wps:cNvCnPr/>
                      <wps:spPr>
                        <a:xfrm>
                          <a:off x="0" y="0"/>
                          <a:ext cx="247650" cy="190500"/>
                        </a:xfrm>
                        <a:prstGeom prst="straightConnector1">
                          <a:avLst/>
                        </a:prstGeom>
                        <a:ln>
                          <a:solidFill>
                            <a:srgbClr val="FFC000"/>
                          </a:solidFill>
                          <a:tailEnd type="triangle"/>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77133C" id="Straight Arrow Connector 22" o:spid="_x0000_s1026" type="#_x0000_t32" style="position:absolute;margin-left:276.75pt;margin-top:226.5pt;width:19.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" strokecolor="#ffc000" strokeweight="1.5pt">
                <v:stroke endarrow="block" joinstyle="miter"/>
              </v:shape>
            </w:pict>
          </mc:Fallback>
        </mc:AlternateContent>
      </w:r>
      <w:r w:rsidR="00847802">
        <w:rPr>
          <w:rFonts w:ascii="Times New Roman" w:hAnsi="Times New Roman" w:cs="Times New Roman"/>
          <w:noProof/>
        </w:rPr>
        <mc:AlternateContent>
          <mc:Choice Requires="wps">
            <w:drawing>
              <wp:anchor distT="0" distB="0" distL="114300" distR="114300" simplePos="0" relativeHeight="251688960" behindDoc="0" locked="0" layoutInCell="1" allowOverlap="1" wp14:anchorId="2257BF48" wp14:editId="77883387">
                <wp:simplePos x="0" y="0"/>
                <wp:positionH relativeFrom="column">
                  <wp:posOffset>3086100</wp:posOffset>
                </wp:positionH>
                <wp:positionV relativeFrom="paragraph">
                  <wp:posOffset>3028950</wp:posOffset>
                </wp:positionV>
                <wp:extent cx="247650" cy="190500"/>
                <wp:effectExtent l="0" t="0" r="76200" b="57150"/>
                <wp:wrapNone/>
                <wp:docPr id="21" name="Straight Arrow Connector 21"/>
                <wp:cNvGraphicFramePr/>
                <a:graphic xmlns:a="http://schemas.openxmlformats.org/drawingml/2006/main">
                  <a:graphicData uri="http://schemas.microsoft.com/office/word/2010/wordprocessingShape">
                    <wps:wsp>
                      <wps:cNvCnPr/>
                      <wps:spPr>
                        <a:xfrm>
                          <a:off x="0" y="0"/>
                          <a:ext cx="247650" cy="190500"/>
                        </a:xfrm>
                        <a:prstGeom prst="straightConnector1">
                          <a:avLst/>
                        </a:prstGeom>
                        <a:ln>
                          <a:solidFill>
                            <a:srgbClr val="FF0000"/>
                          </a:solidFill>
                          <a:tailEnd type="triangle"/>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2CF5AB" id="Straight Arrow Connector 21" o:spid="_x0000_s1026" type="#_x0000_t32" style="position:absolute;margin-left:243pt;margin-top:238.5pt;width:19.5pt;height: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" strokecolor="red" strokeweight="1.5pt">
                <v:stroke endarrow="block" joinstyle="miter"/>
              </v:shape>
            </w:pict>
          </mc:Fallback>
        </mc:AlternateContent>
      </w:r>
      <w:r w:rsidR="00847802">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04D0F25F" wp14:editId="23E1DDBC">
                <wp:simplePos x="0" y="0"/>
                <wp:positionH relativeFrom="column">
                  <wp:posOffset>4210050</wp:posOffset>
                </wp:positionH>
                <wp:positionV relativeFrom="paragraph">
                  <wp:posOffset>2619375</wp:posOffset>
                </wp:positionV>
                <wp:extent cx="247650" cy="190500"/>
                <wp:effectExtent l="0" t="0" r="76200" b="57150"/>
                <wp:wrapNone/>
                <wp:docPr id="20" name="Straight Arrow Connector 20"/>
                <wp:cNvGraphicFramePr/>
                <a:graphic xmlns:a="http://schemas.openxmlformats.org/drawingml/2006/main">
                  <a:graphicData uri="http://schemas.microsoft.com/office/word/2010/wordprocessingShape">
                    <wps:wsp>
                      <wps:cNvCnPr/>
                      <wps:spPr>
                        <a:xfrm>
                          <a:off x="0" y="0"/>
                          <a:ext cx="247650" cy="190500"/>
                        </a:xfrm>
                        <a:prstGeom prst="straightConnector1">
                          <a:avLst/>
                        </a:prstGeom>
                        <a:ln>
                          <a:solidFill>
                            <a:schemeClr val="accent1">
                              <a:lumMod val="50000"/>
                            </a:schemeClr>
                          </a:solidFill>
                          <a:tailEnd type="triangle"/>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087750" id="Straight Arrow Connector 20" o:spid="_x0000_s1026" type="#_x0000_t32" style="position:absolute;margin-left:331.5pt;margin-top:206.25pt;width:19.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" strokecolor="#1f3763 [1604]" strokeweight="1.5pt">
                <v:stroke endarrow="block" joinstyle="miter"/>
              </v:shape>
            </w:pict>
          </mc:Fallback>
        </mc:AlternateContent>
      </w:r>
      <w:r w:rsidR="00847802">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206A02E4" wp14:editId="04B6864F">
                <wp:simplePos x="0" y="0"/>
                <wp:positionH relativeFrom="column">
                  <wp:posOffset>1514475</wp:posOffset>
                </wp:positionH>
                <wp:positionV relativeFrom="paragraph">
                  <wp:posOffset>2571750</wp:posOffset>
                </wp:positionV>
                <wp:extent cx="247650" cy="190500"/>
                <wp:effectExtent l="0" t="0" r="76200" b="57150"/>
                <wp:wrapNone/>
                <wp:docPr id="19" name="Straight Arrow Connector 19"/>
                <wp:cNvGraphicFramePr/>
                <a:graphic xmlns:a="http://schemas.openxmlformats.org/drawingml/2006/main">
                  <a:graphicData uri="http://schemas.microsoft.com/office/word/2010/wordprocessingShape">
                    <wps:wsp>
                      <wps:cNvCnPr/>
                      <wps:spPr>
                        <a:xfrm>
                          <a:off x="0" y="0"/>
                          <a:ext cx="247650" cy="190500"/>
                        </a:xfrm>
                        <a:prstGeom prst="straightConnector1">
                          <a:avLst/>
                        </a:prstGeom>
                        <a:ln>
                          <a:solidFill>
                            <a:srgbClr val="FF0000"/>
                          </a:solidFill>
                          <a:tailEnd type="triangle"/>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D304C0" id="Straight Arrow Connector 19" o:spid="_x0000_s1026" type="#_x0000_t32" style="position:absolute;margin-left:119.25pt;margin-top:202.5pt;width:19.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" strokecolor="red" strokeweight="1.5pt">
                <v:stroke endarrow="block" joinstyle="miter"/>
              </v:shape>
            </w:pict>
          </mc:Fallback>
        </mc:AlternateContent>
      </w:r>
      <w:r w:rsidR="00847802">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55AB3DC9" wp14:editId="6EBABA8A">
                <wp:simplePos x="0" y="0"/>
                <wp:positionH relativeFrom="column">
                  <wp:posOffset>1476375</wp:posOffset>
                </wp:positionH>
                <wp:positionV relativeFrom="paragraph">
                  <wp:posOffset>2867025</wp:posOffset>
                </wp:positionV>
                <wp:extent cx="247650" cy="190500"/>
                <wp:effectExtent l="0" t="0" r="76200" b="57150"/>
                <wp:wrapNone/>
                <wp:docPr id="18" name="Straight Arrow Connector 18"/>
                <wp:cNvGraphicFramePr/>
                <a:graphic xmlns:a="http://schemas.openxmlformats.org/drawingml/2006/main">
                  <a:graphicData uri="http://schemas.microsoft.com/office/word/2010/wordprocessingShape">
                    <wps:wsp>
                      <wps:cNvCnPr/>
                      <wps:spPr>
                        <a:xfrm>
                          <a:off x="0" y="0"/>
                          <a:ext cx="247650" cy="190500"/>
                        </a:xfrm>
                        <a:prstGeom prst="straightConnector1">
                          <a:avLst/>
                        </a:prstGeom>
                        <a:ln>
                          <a:solidFill>
                            <a:schemeClr val="accent1">
                              <a:lumMod val="50000"/>
                            </a:schemeClr>
                          </a:solidFill>
                          <a:tailEnd type="triangle"/>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B2E452" id="Straight Arrow Connector 18" o:spid="_x0000_s1026" type="#_x0000_t32" style="position:absolute;margin-left:116.25pt;margin-top:225.75pt;width:19.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" strokecolor="#1f3763 [1604]" strokeweight="1.5pt">
                <v:stroke endarrow="block" joinstyle="miter"/>
              </v:shape>
            </w:pict>
          </mc:Fallback>
        </mc:AlternateContent>
      </w:r>
      <w:r w:rsidR="00847802">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6E6750D8" wp14:editId="417FA183">
                <wp:simplePos x="0" y="0"/>
                <wp:positionH relativeFrom="column">
                  <wp:posOffset>3714750</wp:posOffset>
                </wp:positionH>
                <wp:positionV relativeFrom="paragraph">
                  <wp:posOffset>1885950</wp:posOffset>
                </wp:positionV>
                <wp:extent cx="247650" cy="190500"/>
                <wp:effectExtent l="0" t="0" r="76200" b="57150"/>
                <wp:wrapNone/>
                <wp:docPr id="16" name="Straight Arrow Connector 16"/>
                <wp:cNvGraphicFramePr/>
                <a:graphic xmlns:a="http://schemas.openxmlformats.org/drawingml/2006/main">
                  <a:graphicData uri="http://schemas.microsoft.com/office/word/2010/wordprocessingShape">
                    <wps:wsp>
                      <wps:cNvCnPr/>
                      <wps:spPr>
                        <a:xfrm>
                          <a:off x="0" y="0"/>
                          <a:ext cx="247650" cy="190500"/>
                        </a:xfrm>
                        <a:prstGeom prst="straightConnector1">
                          <a:avLst/>
                        </a:prstGeom>
                        <a:ln>
                          <a:solidFill>
                            <a:schemeClr val="accent1">
                              <a:lumMod val="50000"/>
                            </a:schemeClr>
                          </a:solidFill>
                          <a:tailEnd type="triangle"/>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7D5DB91" id="_x0000_t32" coordsize="21600,21600" o:spt="32" o:oned="t" path="m,l21600,21600e" filled="f">
                <v:path arrowok="t" fillok="f" o:connecttype="none"/>
                <o:lock v:ext="edit" shapetype="t"/>
              </v:shapetype>
              <v:shape id="Straight Arrow Connector 16" o:spid="_x0000_s1026" type="#_x0000_t32" style="position:absolute;margin-left:292.5pt;margin-top:148.5pt;width:19.5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" strokecolor="#1f3763 [1604]" strokeweight="1.5pt">
                <v:stroke endarrow="block" joinstyle="miter"/>
              </v:shape>
            </w:pict>
          </mc:Fallback>
        </mc:AlternateContent>
      </w:r>
    </w:p>
    <w:p w14:paraId="2ED3A894" w14:textId="77777777" w:rsidR="006155BD" w:rsidRDefault="006155BD" w:rsidP="00873716">
      <w:pPr>
        <w:jc w:val="both"/>
        <w:rPr>
          <w:rFonts w:ascii="Times New Roman" w:hAnsi="Times New Roman" w:cs="Times New Roman"/>
          <w:noProof/>
        </w:rPr>
      </w:pPr>
    </w:p>
    <w:p w14:paraId="060AE26B" w14:textId="77777777" w:rsidR="006155BD" w:rsidRDefault="006155BD" w:rsidP="00873716">
      <w:pPr>
        <w:jc w:val="both"/>
        <w:rPr>
          <w:rFonts w:ascii="Times New Roman" w:hAnsi="Times New Roman" w:cs="Times New Roman"/>
          <w:noProof/>
        </w:rPr>
      </w:pPr>
    </w:p>
    <w:p w14:paraId="4BC34CD2" w14:textId="77777777" w:rsidR="009A3CCC" w:rsidRDefault="009A3CCC" w:rsidP="00873716">
      <w:pPr>
        <w:jc w:val="both"/>
        <w:rPr>
          <w:rFonts w:ascii="Times New Roman" w:hAnsi="Times New Roman" w:cs="Times New Roman"/>
          <w:noProof/>
        </w:rPr>
      </w:pPr>
    </w:p>
    <w:p w14:paraId="2044CA12" w14:textId="545B406C" w:rsidR="006155BD" w:rsidRDefault="006155BD" w:rsidP="00873716">
      <w:pPr>
        <w:jc w:val="both"/>
        <w:rPr>
          <w:rFonts w:ascii="Times New Roman" w:hAnsi="Times New Roman" w:cs="Times New Roman"/>
          <w:noProof/>
        </w:rPr>
      </w:pPr>
      <w:r>
        <w:rPr>
          <w:rFonts w:ascii="Times New Roman" w:hAnsi="Times New Roman" w:cs="Times New Roman"/>
          <w:noProof/>
        </w:rPr>
        <w:lastRenderedPageBreak/>
        <w:drawing>
          <wp:inline distT="0" distB="0" distL="0" distR="0" wp14:anchorId="6E2F88AE" wp14:editId="55987206">
            <wp:extent cx="5343525" cy="47815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1217" t="1737" r="1217" b="1351"/>
                    <a:stretch/>
                  </pic:blipFill>
                  <pic:spPr bwMode="auto">
                    <a:xfrm>
                      <a:off x="0" y="0"/>
                      <a:ext cx="5343525" cy="4781550"/>
                    </a:xfrm>
                    <a:prstGeom prst="rect">
                      <a:avLst/>
                    </a:prstGeom>
                    <a:noFill/>
                    <a:ln>
                      <a:noFill/>
                    </a:ln>
                    <a:extLst>
                      <a:ext uri="{53640926-AAD7-44D8-BBD7-CCE9431645EC}">
                        <a14:shadowObscured xmlns:a14="http://schemas.microsoft.com/office/drawing/2010/main"/>
                      </a:ext>
                    </a:extLst>
                  </pic:spPr>
                </pic:pic>
              </a:graphicData>
            </a:graphic>
          </wp:inline>
        </w:drawing>
      </w:r>
    </w:p>
    <w:p w14:paraId="31D2BD0C" w14:textId="477EE3DD" w:rsidR="006920AB" w:rsidRPr="006155BD" w:rsidRDefault="00283F80" w:rsidP="00873716">
      <w:pPr>
        <w:jc w:val="both"/>
        <w:rPr>
          <w:rFonts w:ascii="Times New Roman" w:hAnsi="Times New Roman" w:cs="Times New Roman"/>
          <w:b/>
          <w:bCs/>
          <w:sz w:val="20"/>
          <w:szCs w:val="20"/>
        </w:rPr>
        <w:sectPr w:rsidR="006920AB" w:rsidRPr="006155BD" w:rsidSect="006920AB">
          <w:type w:val="continuous"/>
          <w:pgSz w:w="11906" w:h="16838"/>
          <w:pgMar w:top="1440" w:right="1440" w:bottom="1440" w:left="1440" w:header="708" w:footer="708" w:gutter="0"/>
          <w:cols w:space="708"/>
          <w:docGrid w:linePitch="360"/>
        </w:sectPr>
      </w:pPr>
      <w:r w:rsidRPr="00157BE7">
        <w:rPr>
          <w:rStyle w:val="Strong"/>
          <w:rFonts w:ascii="Times New Roman" w:hAnsi="Times New Roman" w:cs="Times New Roman"/>
          <w:sz w:val="20"/>
          <w:szCs w:val="20"/>
        </w:rPr>
        <w:t>Fig</w:t>
      </w:r>
      <w:r w:rsidR="00EC21C4">
        <w:rPr>
          <w:rStyle w:val="Strong"/>
          <w:rFonts w:ascii="Times New Roman" w:hAnsi="Times New Roman" w:cs="Times New Roman"/>
          <w:sz w:val="20"/>
          <w:szCs w:val="20"/>
        </w:rPr>
        <w:t xml:space="preserve">ure </w:t>
      </w:r>
      <w:r w:rsidR="00104F19">
        <w:rPr>
          <w:rStyle w:val="Strong"/>
          <w:rFonts w:ascii="Times New Roman" w:hAnsi="Times New Roman" w:cs="Times New Roman"/>
          <w:sz w:val="20"/>
          <w:szCs w:val="20"/>
        </w:rPr>
        <w:t>1</w:t>
      </w:r>
      <w:r w:rsidRPr="00157BE7">
        <w:rPr>
          <w:rStyle w:val="Strong"/>
          <w:rFonts w:ascii="Times New Roman" w:hAnsi="Times New Roman" w:cs="Times New Roman"/>
          <w:sz w:val="20"/>
          <w:szCs w:val="20"/>
        </w:rPr>
        <w:t>:</w:t>
      </w:r>
      <w:r w:rsidRPr="00157BE7">
        <w:rPr>
          <w:rFonts w:ascii="Times New Roman" w:hAnsi="Times New Roman" w:cs="Times New Roman"/>
          <w:sz w:val="20"/>
          <w:szCs w:val="20"/>
        </w:rPr>
        <w:t xml:space="preserve"> </w:t>
      </w:r>
      <w:r w:rsidR="007D050D">
        <w:rPr>
          <w:rFonts w:ascii="Times New Roman" w:hAnsi="Times New Roman" w:cs="Times New Roman"/>
          <w:sz w:val="20"/>
          <w:szCs w:val="20"/>
        </w:rPr>
        <w:t xml:space="preserve">Photomicrography of the </w:t>
      </w:r>
      <w:r w:rsidR="007D050D" w:rsidRPr="00157BE7">
        <w:rPr>
          <w:rStyle w:val="Emphasis"/>
          <w:rFonts w:ascii="Times New Roman" w:hAnsi="Times New Roman" w:cs="Times New Roman"/>
          <w:sz w:val="20"/>
          <w:szCs w:val="20"/>
        </w:rPr>
        <w:t>kidney sections</w:t>
      </w:r>
      <w:r w:rsidR="007D050D">
        <w:rPr>
          <w:rStyle w:val="Emphasis"/>
          <w:rFonts w:ascii="Times New Roman" w:hAnsi="Times New Roman" w:cs="Times New Roman"/>
          <w:sz w:val="20"/>
          <w:szCs w:val="20"/>
        </w:rPr>
        <w:t xml:space="preserve"> showing effect of free antioxidant and chitosan nanoparticle formulation on Adenine induced CKD in </w:t>
      </w:r>
      <w:r w:rsidR="007D050D" w:rsidRPr="00157BE7">
        <w:rPr>
          <w:rStyle w:val="Emphasis"/>
          <w:rFonts w:ascii="Times New Roman" w:hAnsi="Times New Roman" w:cs="Times New Roman"/>
          <w:sz w:val="20"/>
          <w:szCs w:val="20"/>
        </w:rPr>
        <w:t xml:space="preserve">Wistar rats </w:t>
      </w:r>
      <w:r w:rsidR="007D050D">
        <w:rPr>
          <w:rStyle w:val="Emphasis"/>
          <w:rFonts w:ascii="Times New Roman" w:hAnsi="Times New Roman" w:cs="Times New Roman"/>
          <w:sz w:val="20"/>
          <w:szCs w:val="20"/>
        </w:rPr>
        <w:t>H &amp; E X 400</w:t>
      </w:r>
      <w:r w:rsidRPr="00157BE7">
        <w:rPr>
          <w:rStyle w:val="Emphasis"/>
          <w:rFonts w:ascii="Times New Roman" w:hAnsi="Times New Roman" w:cs="Times New Roman"/>
          <w:sz w:val="20"/>
          <w:szCs w:val="20"/>
        </w:rPr>
        <w:t>.</w:t>
      </w:r>
      <w:r w:rsidRPr="00157BE7">
        <w:rPr>
          <w:rFonts w:ascii="Times New Roman" w:hAnsi="Times New Roman" w:cs="Times New Roman"/>
          <w:sz w:val="20"/>
          <w:szCs w:val="20"/>
        </w:rPr>
        <w:br/>
      </w:r>
      <w:r w:rsidR="007D050D">
        <w:rPr>
          <w:rFonts w:ascii="Times New Roman" w:hAnsi="Times New Roman" w:cs="Times New Roman"/>
          <w:sz w:val="20"/>
          <w:szCs w:val="20"/>
        </w:rPr>
        <w:t>Control:</w:t>
      </w:r>
      <w:r w:rsidR="00DB1FB3">
        <w:rPr>
          <w:rFonts w:ascii="Times New Roman" w:hAnsi="Times New Roman" w:cs="Times New Roman"/>
          <w:sz w:val="20"/>
          <w:szCs w:val="20"/>
        </w:rPr>
        <w:t xml:space="preserve"> </w:t>
      </w:r>
      <w:r w:rsidR="007F185A">
        <w:rPr>
          <w:rFonts w:ascii="Times New Roman" w:hAnsi="Times New Roman" w:cs="Times New Roman"/>
          <w:sz w:val="20"/>
          <w:szCs w:val="20"/>
        </w:rPr>
        <w:t>GRP 1</w:t>
      </w:r>
      <w:r w:rsidRPr="00157BE7">
        <w:rPr>
          <w:rFonts w:ascii="Times New Roman" w:hAnsi="Times New Roman" w:cs="Times New Roman"/>
          <w:sz w:val="20"/>
          <w:szCs w:val="20"/>
        </w:rPr>
        <w:t xml:space="preserve"> shows normal renal architectur</w:t>
      </w:r>
      <w:r w:rsidR="00B034D5">
        <w:rPr>
          <w:rFonts w:ascii="Times New Roman" w:hAnsi="Times New Roman" w:cs="Times New Roman"/>
          <w:sz w:val="20"/>
          <w:szCs w:val="20"/>
        </w:rPr>
        <w:t>al glomerular (Blue arrow)</w:t>
      </w:r>
      <w:r w:rsidRPr="00157BE7">
        <w:rPr>
          <w:rFonts w:ascii="Times New Roman" w:hAnsi="Times New Roman" w:cs="Times New Roman"/>
          <w:sz w:val="20"/>
          <w:szCs w:val="20"/>
        </w:rPr>
        <w:t xml:space="preserve"> with distinct renal corpuscles, intact glomerular tuft capillaries, and a parietal layer of Bowman’s capsule lined by single squamous cells enclosing a narrow Bowman’s space. The proximal convoluted tubules (</w:t>
      </w:r>
      <w:r w:rsidR="000201B5">
        <w:rPr>
          <w:rFonts w:ascii="Times New Roman" w:hAnsi="Times New Roman" w:cs="Times New Roman"/>
          <w:sz w:val="20"/>
          <w:szCs w:val="20"/>
        </w:rPr>
        <w:t>Y</w:t>
      </w:r>
      <w:r w:rsidR="00B034D5">
        <w:rPr>
          <w:rFonts w:ascii="Times New Roman" w:hAnsi="Times New Roman" w:cs="Times New Roman"/>
          <w:sz w:val="20"/>
          <w:szCs w:val="20"/>
        </w:rPr>
        <w:t>ellow arrow</w:t>
      </w:r>
      <w:r w:rsidRPr="00157BE7">
        <w:rPr>
          <w:rFonts w:ascii="Times New Roman" w:hAnsi="Times New Roman" w:cs="Times New Roman"/>
          <w:sz w:val="20"/>
          <w:szCs w:val="20"/>
        </w:rPr>
        <w:t xml:space="preserve">) exhibit star-shaped </w:t>
      </w:r>
      <w:proofErr w:type="spellStart"/>
      <w:r w:rsidRPr="00157BE7">
        <w:rPr>
          <w:rFonts w:ascii="Times New Roman" w:hAnsi="Times New Roman" w:cs="Times New Roman"/>
          <w:sz w:val="20"/>
          <w:szCs w:val="20"/>
        </w:rPr>
        <w:t>lumina</w:t>
      </w:r>
      <w:proofErr w:type="spellEnd"/>
      <w:r w:rsidR="00B034D5">
        <w:rPr>
          <w:rFonts w:ascii="Times New Roman" w:hAnsi="Times New Roman" w:cs="Times New Roman"/>
          <w:sz w:val="20"/>
          <w:szCs w:val="20"/>
        </w:rPr>
        <w:t>,</w:t>
      </w:r>
      <w:r w:rsidRPr="00157BE7">
        <w:rPr>
          <w:rFonts w:ascii="Times New Roman" w:hAnsi="Times New Roman" w:cs="Times New Roman"/>
          <w:sz w:val="20"/>
          <w:szCs w:val="20"/>
        </w:rPr>
        <w:t xml:space="preserve"> lined with cuboidal, deeply acidophilic cells possessing basal rounded nuclei and apical brush borders. The distal convoluted </w:t>
      </w:r>
      <w:r w:rsidR="00B034D5" w:rsidRPr="00157BE7">
        <w:rPr>
          <w:rFonts w:ascii="Times New Roman" w:hAnsi="Times New Roman" w:cs="Times New Roman"/>
          <w:sz w:val="20"/>
          <w:szCs w:val="20"/>
        </w:rPr>
        <w:t>tubules</w:t>
      </w:r>
      <w:r w:rsidR="00B034D5">
        <w:rPr>
          <w:rFonts w:ascii="Times New Roman" w:hAnsi="Times New Roman" w:cs="Times New Roman"/>
          <w:sz w:val="20"/>
          <w:szCs w:val="20"/>
        </w:rPr>
        <w:t xml:space="preserve"> (</w:t>
      </w:r>
      <w:r w:rsidR="000201B5">
        <w:rPr>
          <w:rFonts w:ascii="Times New Roman" w:hAnsi="Times New Roman" w:cs="Times New Roman"/>
          <w:sz w:val="20"/>
          <w:szCs w:val="20"/>
        </w:rPr>
        <w:t>R</w:t>
      </w:r>
      <w:r w:rsidR="00B034D5">
        <w:rPr>
          <w:rFonts w:ascii="Times New Roman" w:hAnsi="Times New Roman" w:cs="Times New Roman"/>
          <w:sz w:val="20"/>
          <w:szCs w:val="20"/>
        </w:rPr>
        <w:t>ed arrow)</w:t>
      </w:r>
      <w:r w:rsidR="00B034D5" w:rsidRPr="00157BE7">
        <w:rPr>
          <w:rFonts w:ascii="Times New Roman" w:hAnsi="Times New Roman" w:cs="Times New Roman"/>
          <w:sz w:val="20"/>
          <w:szCs w:val="20"/>
        </w:rPr>
        <w:t xml:space="preserve"> display</w:t>
      </w:r>
      <w:r w:rsidRPr="00157BE7">
        <w:rPr>
          <w:rFonts w:ascii="Times New Roman" w:hAnsi="Times New Roman" w:cs="Times New Roman"/>
          <w:sz w:val="20"/>
          <w:szCs w:val="20"/>
        </w:rPr>
        <w:t xml:space="preserve"> wider </w:t>
      </w:r>
      <w:proofErr w:type="spellStart"/>
      <w:r w:rsidRPr="00157BE7">
        <w:rPr>
          <w:rFonts w:ascii="Times New Roman" w:hAnsi="Times New Roman" w:cs="Times New Roman"/>
          <w:sz w:val="20"/>
          <w:szCs w:val="20"/>
        </w:rPr>
        <w:t>lumina</w:t>
      </w:r>
      <w:proofErr w:type="spellEnd"/>
      <w:r w:rsidRPr="00157BE7">
        <w:rPr>
          <w:rFonts w:ascii="Times New Roman" w:hAnsi="Times New Roman" w:cs="Times New Roman"/>
          <w:sz w:val="20"/>
          <w:szCs w:val="20"/>
        </w:rPr>
        <w:t xml:space="preserve"> lined by less acidophilic cells with centrally placed nuclei and a less prominent brush border.</w:t>
      </w:r>
      <w:r w:rsidR="007D050D">
        <w:rPr>
          <w:rFonts w:ascii="Times New Roman" w:hAnsi="Times New Roman" w:cs="Times New Roman"/>
          <w:sz w:val="20"/>
          <w:szCs w:val="20"/>
        </w:rPr>
        <w:t xml:space="preserve"> Positive control: GRP 2</w:t>
      </w:r>
      <w:r w:rsidRPr="00157BE7">
        <w:rPr>
          <w:rFonts w:ascii="Times New Roman" w:hAnsi="Times New Roman" w:cs="Times New Roman"/>
          <w:sz w:val="20"/>
          <w:szCs w:val="20"/>
        </w:rPr>
        <w:t xml:space="preserve"> shows marked pathological alterations including</w:t>
      </w:r>
      <w:r w:rsidR="00B034D5">
        <w:rPr>
          <w:rFonts w:ascii="Times New Roman" w:hAnsi="Times New Roman" w:cs="Times New Roman"/>
          <w:sz w:val="20"/>
          <w:szCs w:val="20"/>
        </w:rPr>
        <w:t xml:space="preserve"> glomerular</w:t>
      </w:r>
      <w:r w:rsidR="000201B5">
        <w:rPr>
          <w:rFonts w:ascii="Times New Roman" w:hAnsi="Times New Roman" w:cs="Times New Roman"/>
          <w:sz w:val="20"/>
          <w:szCs w:val="20"/>
        </w:rPr>
        <w:t xml:space="preserve"> (Blue arrow)</w:t>
      </w:r>
      <w:r w:rsidR="00B034D5">
        <w:rPr>
          <w:rFonts w:ascii="Times New Roman" w:hAnsi="Times New Roman" w:cs="Times New Roman"/>
          <w:sz w:val="20"/>
          <w:szCs w:val="20"/>
        </w:rPr>
        <w:t xml:space="preserve"> with</w:t>
      </w:r>
      <w:r w:rsidRPr="00157BE7">
        <w:rPr>
          <w:rFonts w:ascii="Times New Roman" w:hAnsi="Times New Roman" w:cs="Times New Roman"/>
          <w:sz w:val="20"/>
          <w:szCs w:val="20"/>
        </w:rPr>
        <w:t xml:space="preserve"> widened Bowman’s </w:t>
      </w:r>
      <w:r w:rsidR="000201B5" w:rsidRPr="00157BE7">
        <w:rPr>
          <w:rFonts w:ascii="Times New Roman" w:hAnsi="Times New Roman" w:cs="Times New Roman"/>
          <w:sz w:val="20"/>
          <w:szCs w:val="20"/>
        </w:rPr>
        <w:t>spaces,</w:t>
      </w:r>
      <w:r w:rsidRPr="00157BE7">
        <w:rPr>
          <w:rFonts w:ascii="Times New Roman" w:hAnsi="Times New Roman" w:cs="Times New Roman"/>
          <w:sz w:val="20"/>
          <w:szCs w:val="20"/>
        </w:rPr>
        <w:t xml:space="preserve"> glomerular sclerosis, tubular atrophy (</w:t>
      </w:r>
      <w:r w:rsidR="000201B5">
        <w:rPr>
          <w:rFonts w:ascii="Times New Roman" w:hAnsi="Times New Roman" w:cs="Times New Roman"/>
          <w:sz w:val="20"/>
          <w:szCs w:val="20"/>
        </w:rPr>
        <w:t>Yellow arrow</w:t>
      </w:r>
      <w:r w:rsidRPr="00157BE7">
        <w:rPr>
          <w:rFonts w:ascii="Times New Roman" w:hAnsi="Times New Roman" w:cs="Times New Roman"/>
          <w:sz w:val="20"/>
          <w:szCs w:val="20"/>
        </w:rPr>
        <w:t>), and dense inflammatory infiltration (</w:t>
      </w:r>
      <w:r w:rsidR="000201B5">
        <w:rPr>
          <w:rFonts w:ascii="Times New Roman" w:hAnsi="Times New Roman" w:cs="Times New Roman"/>
        </w:rPr>
        <w:t>Red arrow</w:t>
      </w:r>
      <w:r w:rsidRPr="00157BE7">
        <w:rPr>
          <w:rFonts w:ascii="Times New Roman" w:hAnsi="Times New Roman" w:cs="Times New Roman"/>
          <w:sz w:val="20"/>
          <w:szCs w:val="20"/>
        </w:rPr>
        <w:t xml:space="preserve">). Sections </w:t>
      </w:r>
      <w:r w:rsidR="007D050D">
        <w:rPr>
          <w:rFonts w:ascii="Times New Roman" w:hAnsi="Times New Roman" w:cs="Times New Roman"/>
          <w:sz w:val="20"/>
          <w:szCs w:val="20"/>
        </w:rPr>
        <w:t>GRP 3</w:t>
      </w:r>
      <w:r w:rsidRPr="00157BE7">
        <w:rPr>
          <w:rFonts w:ascii="Times New Roman" w:hAnsi="Times New Roman" w:cs="Times New Roman"/>
          <w:sz w:val="20"/>
          <w:szCs w:val="20"/>
        </w:rPr>
        <w:t xml:space="preserve">, </w:t>
      </w:r>
      <w:r w:rsidR="007D050D">
        <w:rPr>
          <w:rFonts w:ascii="Times New Roman" w:hAnsi="Times New Roman" w:cs="Times New Roman"/>
          <w:sz w:val="20"/>
          <w:szCs w:val="20"/>
        </w:rPr>
        <w:t>GRP 4</w:t>
      </w:r>
      <w:r w:rsidRPr="00157BE7">
        <w:rPr>
          <w:rFonts w:ascii="Times New Roman" w:hAnsi="Times New Roman" w:cs="Times New Roman"/>
          <w:sz w:val="20"/>
          <w:szCs w:val="20"/>
        </w:rPr>
        <w:t>, and</w:t>
      </w:r>
      <w:r w:rsidR="007D050D">
        <w:rPr>
          <w:rFonts w:ascii="Times New Roman" w:hAnsi="Times New Roman" w:cs="Times New Roman"/>
          <w:sz w:val="20"/>
          <w:szCs w:val="20"/>
        </w:rPr>
        <w:t xml:space="preserve"> GRP 5</w:t>
      </w:r>
      <w:r w:rsidRPr="00157BE7">
        <w:rPr>
          <w:rFonts w:ascii="Times New Roman" w:hAnsi="Times New Roman" w:cs="Times New Roman"/>
          <w:sz w:val="20"/>
          <w:szCs w:val="20"/>
        </w:rPr>
        <w:t xml:space="preserve"> reveal mild to moderate histopathological changes, whereas sections </w:t>
      </w:r>
      <w:r w:rsidR="007D050D">
        <w:rPr>
          <w:rFonts w:ascii="Times New Roman" w:hAnsi="Times New Roman" w:cs="Times New Roman"/>
          <w:sz w:val="20"/>
          <w:szCs w:val="20"/>
        </w:rPr>
        <w:t>GRP 7</w:t>
      </w:r>
      <w:r w:rsidRPr="00157BE7">
        <w:rPr>
          <w:rFonts w:ascii="Times New Roman" w:hAnsi="Times New Roman" w:cs="Times New Roman"/>
          <w:sz w:val="20"/>
          <w:szCs w:val="20"/>
        </w:rPr>
        <w:t xml:space="preserve"> and </w:t>
      </w:r>
      <w:r w:rsidR="007931E6">
        <w:rPr>
          <w:rFonts w:ascii="Times New Roman" w:hAnsi="Times New Roman" w:cs="Times New Roman"/>
          <w:sz w:val="20"/>
          <w:szCs w:val="20"/>
        </w:rPr>
        <w:t>GRP 8</w:t>
      </w:r>
      <w:r w:rsidRPr="00157BE7">
        <w:rPr>
          <w:rFonts w:ascii="Times New Roman" w:hAnsi="Times New Roman" w:cs="Times New Roman"/>
          <w:sz w:val="20"/>
          <w:szCs w:val="20"/>
        </w:rPr>
        <w:t xml:space="preserve"> demonstrate improved renal architecture, with </w:t>
      </w:r>
      <w:r w:rsidR="007931E6">
        <w:rPr>
          <w:rFonts w:ascii="Times New Roman" w:hAnsi="Times New Roman" w:cs="Times New Roman"/>
          <w:sz w:val="20"/>
          <w:szCs w:val="20"/>
        </w:rPr>
        <w:t>GRP 2</w:t>
      </w:r>
      <w:r w:rsidRPr="00157BE7">
        <w:rPr>
          <w:rFonts w:ascii="Times New Roman" w:hAnsi="Times New Roman" w:cs="Times New Roman"/>
          <w:sz w:val="20"/>
          <w:szCs w:val="20"/>
        </w:rPr>
        <w:t xml:space="preserve"> exhibiting the most pronounced restoration toward normal histological structure</w:t>
      </w:r>
    </w:p>
    <w:bookmarkEnd w:id="4"/>
    <w:p w14:paraId="6227149A" w14:textId="2F53ABF1" w:rsidR="00DF6641" w:rsidRPr="00157BE7" w:rsidRDefault="00104F19" w:rsidP="00566A2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4.0 </w:t>
      </w:r>
      <w:r w:rsidR="00DF6641" w:rsidRPr="00157BE7">
        <w:rPr>
          <w:rFonts w:ascii="Times New Roman" w:hAnsi="Times New Roman" w:cs="Times New Roman"/>
          <w:sz w:val="24"/>
          <w:szCs w:val="24"/>
        </w:rPr>
        <w:t>Discussion</w:t>
      </w:r>
    </w:p>
    <w:p w14:paraId="6A179763" w14:textId="0E5D7FCB" w:rsidR="00BD29CB" w:rsidRPr="00157BE7" w:rsidRDefault="0084359B" w:rsidP="00566A26">
      <w:pPr>
        <w:spacing w:line="360" w:lineRule="auto"/>
        <w:jc w:val="both"/>
        <w:rPr>
          <w:rFonts w:ascii="Times New Roman" w:hAnsi="Times New Roman" w:cs="Times New Roman"/>
          <w:sz w:val="24"/>
          <w:szCs w:val="24"/>
        </w:rPr>
      </w:pPr>
      <w:r w:rsidRPr="00157BE7">
        <w:rPr>
          <w:rFonts w:ascii="Times New Roman" w:hAnsi="Times New Roman" w:cs="Times New Roman"/>
          <w:sz w:val="24"/>
          <w:szCs w:val="24"/>
        </w:rPr>
        <w:t xml:space="preserve">In this study, adenine administration successfully induced CKD in the male Wistar rats, as evidenced by significant alterations in renal function parameters compared with the control group. The CKD group showed significantly elevated serum </w:t>
      </w:r>
      <w:r w:rsidRPr="00157BE7">
        <w:rPr>
          <w:rFonts w:ascii="Times New Roman" w:hAnsi="Times New Roman" w:cs="Times New Roman"/>
          <w:sz w:val="24"/>
          <w:szCs w:val="24"/>
        </w:rPr>
        <w:t xml:space="preserve">urea (14.06 ± 0.61 mmol/L), creatinine (4.62 ± 0.14 mg/dL), sodium (188.75 ± 2.49 mmol/L), potassium (7.55 ± 0.22 mmol/L), chloride (119.75 ± 0.48 mmol/L), and urine albumin (2.60 ± 0.24 mg/dL) compared with the control group, which presented lower values for urea (2.53 ± 0.31 mmol/L), </w:t>
      </w:r>
      <w:r w:rsidRPr="00157BE7">
        <w:rPr>
          <w:rFonts w:ascii="Times New Roman" w:hAnsi="Times New Roman" w:cs="Times New Roman"/>
          <w:sz w:val="24"/>
          <w:szCs w:val="24"/>
        </w:rPr>
        <w:lastRenderedPageBreak/>
        <w:t xml:space="preserve">creatinine (0.56 ± 0.03 mg/dL), sodium (139.00 ± 1.22 mmol/L), potassium (3.27 ± 0.09 mmol/L), and urine albumin (0.32 ± 0.02 mg/dL). Serum albumin concentration was significantly higher in the CKD group (5.21 ± 0.12 g/dL) compared to the control (3.30 ± 0.10 g/dL) and treatment groups. This increase may reflect a physiological response to renal injury, possibly due to altered protein metabolism and compensatory mechanisms during early-stage CKD. These results are consistent with previous studies </w:t>
      </w:r>
      <w:r w:rsidR="001802D1">
        <w:rPr>
          <w:rFonts w:ascii="Times New Roman" w:hAnsi="Times New Roman" w:cs="Times New Roman"/>
          <w:sz w:val="24"/>
          <w:szCs w:val="24"/>
        </w:rPr>
        <w:t>[17,18]</w:t>
      </w:r>
      <w:r w:rsidRPr="00157BE7">
        <w:rPr>
          <w:rFonts w:ascii="Times New Roman" w:hAnsi="Times New Roman" w:cs="Times New Roman"/>
          <w:sz w:val="24"/>
          <w:szCs w:val="24"/>
        </w:rPr>
        <w:t xml:space="preserve">, which also reported elevated urea, creatinine, and urinary albumin in adenine-induced CKD compared with control and treated groups. In this study, significant electrolyte disturbances were observed, which may be attributed to differences in adenine administration methods. Adenine was administered via oral gavage rather than being incorporated into the diet (0.2% w/w, 0.7% w/w), as commonly used in previous experiments, likely resulting in a higher effective dose and more severe renal </w:t>
      </w:r>
      <w:r w:rsidR="00627218" w:rsidRPr="00157BE7">
        <w:rPr>
          <w:rFonts w:ascii="Times New Roman" w:hAnsi="Times New Roman" w:cs="Times New Roman"/>
          <w:sz w:val="24"/>
          <w:szCs w:val="24"/>
        </w:rPr>
        <w:t>impairment. Treatment</w:t>
      </w:r>
      <w:r w:rsidRPr="00157BE7">
        <w:rPr>
          <w:rFonts w:ascii="Times New Roman" w:hAnsi="Times New Roman" w:cs="Times New Roman"/>
          <w:sz w:val="24"/>
          <w:szCs w:val="24"/>
        </w:rPr>
        <w:t xml:space="preserve"> with antioxidants, particularly nanoparticle-based formulations, improved renal function parameters. The vitamin C–curcumin nanoparticle complex showed the greatest effect in restoring renal function markers, highlighting its enhanced bioavailability and synergistic therapeutic effect.</w:t>
      </w:r>
    </w:p>
    <w:p w14:paraId="33190E3D" w14:textId="5F7AB622" w:rsidR="00BD29CB" w:rsidRPr="00157BE7" w:rsidRDefault="0084359B" w:rsidP="00566A26">
      <w:pPr>
        <w:spacing w:line="360" w:lineRule="auto"/>
        <w:jc w:val="both"/>
        <w:rPr>
          <w:rFonts w:ascii="Times New Roman" w:hAnsi="Times New Roman" w:cs="Times New Roman"/>
          <w:sz w:val="24"/>
          <w:szCs w:val="24"/>
        </w:rPr>
      </w:pPr>
      <w:r w:rsidRPr="00157BE7">
        <w:rPr>
          <w:rFonts w:ascii="Times New Roman" w:hAnsi="Times New Roman" w:cs="Times New Roman"/>
          <w:sz w:val="24"/>
          <w:szCs w:val="24"/>
        </w:rPr>
        <w:t>The lipid profile results showed significant elevation in total cholesterol (192.75 ± 2.25 mg/dL), triglycerides (219.00 ± 1.47 mg/dL), very low-density lipoprotein (96.75 ± 7.61 mg/dL), and low-density lipoprotein (LDL: 149.02 ± 2.08 mg/dL), accompanied by a marked reduction in high-density lipoprotein (HDL: 0.18 ± 0.01 mg/dL) in the CKD group compared to the control and treatment groups. This pattern is consistent with previous studies by Ghelani et al., 2019 and Ceja-Galicia et al., 2023,</w:t>
      </w:r>
      <w:r w:rsidR="001802D1">
        <w:rPr>
          <w:rFonts w:ascii="Times New Roman" w:hAnsi="Times New Roman" w:cs="Times New Roman"/>
          <w:sz w:val="24"/>
          <w:szCs w:val="24"/>
        </w:rPr>
        <w:t xml:space="preserve"> [20,21]</w:t>
      </w:r>
      <w:r w:rsidRPr="00157BE7">
        <w:rPr>
          <w:rFonts w:ascii="Times New Roman" w:hAnsi="Times New Roman" w:cs="Times New Roman"/>
          <w:sz w:val="24"/>
          <w:szCs w:val="24"/>
        </w:rPr>
        <w:t xml:space="preserve"> which reported elevated lipid parameters in adenine-induced CKD </w:t>
      </w:r>
      <w:r w:rsidR="00627218" w:rsidRPr="00157BE7">
        <w:rPr>
          <w:rFonts w:ascii="Times New Roman" w:hAnsi="Times New Roman" w:cs="Times New Roman"/>
          <w:sz w:val="24"/>
          <w:szCs w:val="24"/>
        </w:rPr>
        <w:t>models. The</w:t>
      </w:r>
      <w:r w:rsidRPr="00157BE7">
        <w:rPr>
          <w:rFonts w:ascii="Times New Roman" w:hAnsi="Times New Roman" w:cs="Times New Roman"/>
          <w:sz w:val="24"/>
          <w:szCs w:val="24"/>
        </w:rPr>
        <w:t xml:space="preserve"> observed dyslipidemia suggests the impact of inflammation and oxidative stress triggered by adenine administration, which increases the risk of cardiovascular complications. Inflammatory cytokines released during CKD activate macrophages that engulf oxidized lipoproteins, perpetuating cytokine release and forming a vicious cycle that contributes to atheroma formation. Furthermore, hemodynamic alterations and renal hypertrophy stimulate hypoxia-inducible factor (HIF)-1α activation, which disrupts mitochondrial fatty acid oxidation and enhances lipid accumulation. Reactive oxygen species (ROS) generated during this process oxidize lipoproteins, impair lipoprotein lipase activity, and reduce HDL functionality, thereby aggravating lipid </w:t>
      </w:r>
      <w:r w:rsidRPr="00157BE7">
        <w:rPr>
          <w:rFonts w:ascii="Times New Roman" w:hAnsi="Times New Roman" w:cs="Times New Roman"/>
          <w:sz w:val="24"/>
          <w:szCs w:val="24"/>
        </w:rPr>
        <w:lastRenderedPageBreak/>
        <w:t>imbalance. The marked reduction in dyslipidemia observed in the treatment groups, particularly the vitamin C nanoparticle and vitamin C–curcumin nanoparticle formulations, suggests restored antioxidant activity. These findings indicate their enhanced capacity to mitigate oxidative stress and inflammation, thereby restoring lipid homeostasis in adenine-induced CKD.</w:t>
      </w:r>
      <w:r w:rsidR="00BD29CB" w:rsidRPr="00157BE7">
        <w:rPr>
          <w:rFonts w:ascii="Times New Roman" w:hAnsi="Times New Roman" w:cs="Times New Roman"/>
          <w:sz w:val="24"/>
          <w:szCs w:val="24"/>
        </w:rPr>
        <w:t xml:space="preserve"> </w:t>
      </w:r>
    </w:p>
    <w:p w14:paraId="26E3C11B" w14:textId="32A3E2C5" w:rsidR="0084359B" w:rsidRPr="00157BE7" w:rsidRDefault="0084359B" w:rsidP="00566A26">
      <w:pPr>
        <w:spacing w:line="360" w:lineRule="auto"/>
        <w:jc w:val="both"/>
        <w:rPr>
          <w:rFonts w:ascii="Times New Roman" w:hAnsi="Times New Roman" w:cs="Times New Roman"/>
          <w:sz w:val="24"/>
          <w:szCs w:val="24"/>
        </w:rPr>
      </w:pPr>
      <w:r w:rsidRPr="00157BE7">
        <w:rPr>
          <w:rFonts w:ascii="Times New Roman" w:hAnsi="Times New Roman" w:cs="Times New Roman"/>
          <w:sz w:val="24"/>
          <w:szCs w:val="24"/>
        </w:rPr>
        <w:t xml:space="preserve">Representative H&amp;E-stained kidney sections are shown in Figure </w:t>
      </w:r>
      <w:r w:rsidR="001802D1">
        <w:rPr>
          <w:rFonts w:ascii="Times New Roman" w:hAnsi="Times New Roman" w:cs="Times New Roman"/>
          <w:sz w:val="24"/>
          <w:szCs w:val="24"/>
        </w:rPr>
        <w:t>1</w:t>
      </w:r>
      <w:r w:rsidRPr="00157BE7">
        <w:rPr>
          <w:rFonts w:ascii="Times New Roman" w:hAnsi="Times New Roman" w:cs="Times New Roman"/>
          <w:sz w:val="24"/>
          <w:szCs w:val="24"/>
        </w:rPr>
        <w:t>. The control group exhibited normal renal architecture with intact glomeruli and well-preserved tubular structures. In contrast, adenine-treated rats showed severe histopathological alterations, including glomerular sclerosis, widened Bowman’s space, tubular atrophy, interstitial fibrosis, and inflammatory cell infiltration, indicating advanced renal damage.</w:t>
      </w:r>
      <w:r w:rsidR="00BD29CB" w:rsidRPr="00157BE7">
        <w:rPr>
          <w:rFonts w:ascii="Times New Roman" w:hAnsi="Times New Roman" w:cs="Times New Roman"/>
          <w:sz w:val="24"/>
          <w:szCs w:val="24"/>
        </w:rPr>
        <w:t xml:space="preserve"> </w:t>
      </w:r>
      <w:r w:rsidRPr="00157BE7">
        <w:rPr>
          <w:rFonts w:ascii="Times New Roman" w:hAnsi="Times New Roman" w:cs="Times New Roman"/>
          <w:sz w:val="24"/>
          <w:szCs w:val="24"/>
        </w:rPr>
        <w:t xml:space="preserve">Treatment with chitosan nanoparticles, vitamin C, and curcumin produced mild to moderate histological improvement. More pronounced restoration of renal architecture observed in nanoparticle-treated groups. The combined vitamin C–curcumin nanoparticle group demonstrated near-normal renal histology with minimal degenerative changes, indicating </w:t>
      </w:r>
      <w:r w:rsidR="005A73C7" w:rsidRPr="00157BE7">
        <w:rPr>
          <w:rFonts w:ascii="Times New Roman" w:hAnsi="Times New Roman" w:cs="Times New Roman"/>
          <w:sz w:val="24"/>
          <w:szCs w:val="24"/>
        </w:rPr>
        <w:t>better</w:t>
      </w:r>
      <w:r w:rsidRPr="00157BE7">
        <w:rPr>
          <w:rFonts w:ascii="Times New Roman" w:hAnsi="Times New Roman" w:cs="Times New Roman"/>
          <w:sz w:val="24"/>
          <w:szCs w:val="24"/>
        </w:rPr>
        <w:t xml:space="preserve"> nephroprotective </w:t>
      </w:r>
      <w:r w:rsidR="001802D1" w:rsidRPr="00157BE7">
        <w:rPr>
          <w:rFonts w:ascii="Times New Roman" w:hAnsi="Times New Roman" w:cs="Times New Roman"/>
          <w:sz w:val="24"/>
          <w:szCs w:val="24"/>
        </w:rPr>
        <w:t>effects. These</w:t>
      </w:r>
      <w:r w:rsidRPr="00157BE7">
        <w:rPr>
          <w:rFonts w:ascii="Times New Roman" w:hAnsi="Times New Roman" w:cs="Times New Roman"/>
          <w:sz w:val="24"/>
          <w:szCs w:val="24"/>
        </w:rPr>
        <w:t xml:space="preserve"> findings are consistent with previous report</w:t>
      </w:r>
      <w:r w:rsidR="005A73C7" w:rsidRPr="00157BE7">
        <w:rPr>
          <w:rFonts w:ascii="Times New Roman" w:hAnsi="Times New Roman" w:cs="Times New Roman"/>
          <w:sz w:val="24"/>
          <w:szCs w:val="24"/>
        </w:rPr>
        <w:t xml:space="preserve"> by Diwan et al., 2013 and </w:t>
      </w:r>
      <w:proofErr w:type="spellStart"/>
      <w:r w:rsidR="005A73C7" w:rsidRPr="00157BE7">
        <w:rPr>
          <w:rFonts w:ascii="Times New Roman" w:hAnsi="Times New Roman" w:cs="Times New Roman"/>
          <w:sz w:val="24"/>
          <w:szCs w:val="24"/>
        </w:rPr>
        <w:t>Elakabawy</w:t>
      </w:r>
      <w:proofErr w:type="spellEnd"/>
      <w:r w:rsidR="005A73C7" w:rsidRPr="00157BE7">
        <w:rPr>
          <w:rFonts w:ascii="Times New Roman" w:hAnsi="Times New Roman" w:cs="Times New Roman"/>
          <w:sz w:val="24"/>
          <w:szCs w:val="24"/>
        </w:rPr>
        <w:t xml:space="preserve"> et al., 2024</w:t>
      </w:r>
      <w:r w:rsidR="00885FD3">
        <w:rPr>
          <w:rFonts w:ascii="Times New Roman" w:hAnsi="Times New Roman" w:cs="Times New Roman"/>
          <w:sz w:val="24"/>
          <w:szCs w:val="24"/>
        </w:rPr>
        <w:t xml:space="preserve"> [22,23]</w:t>
      </w:r>
      <w:r w:rsidRPr="00157BE7">
        <w:rPr>
          <w:rFonts w:ascii="Times New Roman" w:hAnsi="Times New Roman" w:cs="Times New Roman"/>
          <w:sz w:val="24"/>
          <w:szCs w:val="24"/>
        </w:rPr>
        <w:t xml:space="preserve"> </w:t>
      </w:r>
      <w:r w:rsidRPr="00157BE7">
        <w:rPr>
          <w:rFonts w:ascii="Times New Roman" w:hAnsi="Times New Roman" w:cs="Times New Roman"/>
          <w:sz w:val="24"/>
          <w:szCs w:val="24"/>
        </w:rPr>
        <w:t>on adenine-induced renal injury and the enhanced protective efficacy of nanoparticle-based antioxidant formulations.</w:t>
      </w:r>
    </w:p>
    <w:p w14:paraId="63A645E5" w14:textId="7217B599" w:rsidR="00DF6641" w:rsidRPr="00157BE7" w:rsidRDefault="00104F19" w:rsidP="00566A2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sidR="00DF6641" w:rsidRPr="00157BE7">
        <w:rPr>
          <w:rFonts w:ascii="Times New Roman" w:hAnsi="Times New Roman" w:cs="Times New Roman"/>
          <w:sz w:val="24"/>
          <w:szCs w:val="24"/>
        </w:rPr>
        <w:t>Conclusion</w:t>
      </w:r>
    </w:p>
    <w:p w14:paraId="4978466C" w14:textId="2D84C4C2" w:rsidR="001F64A8" w:rsidRDefault="00546399" w:rsidP="00566A26">
      <w:pPr>
        <w:spacing w:line="360" w:lineRule="auto"/>
        <w:jc w:val="both"/>
        <w:rPr>
          <w:rFonts w:ascii="Times New Roman" w:hAnsi="Times New Roman" w:cs="Times New Roman"/>
          <w:sz w:val="24"/>
          <w:szCs w:val="24"/>
        </w:rPr>
      </w:pPr>
      <w:r w:rsidRPr="00157BE7">
        <w:rPr>
          <w:rFonts w:ascii="Times New Roman" w:hAnsi="Times New Roman" w:cs="Times New Roman"/>
          <w:sz w:val="24"/>
          <w:szCs w:val="24"/>
        </w:rPr>
        <w:t xml:space="preserve">The vitamin C–curcumin chitosan nanoparticle demonstrated better physicochemical properties and more pronounced biological benefits, via decreasing urea and creatinine levels, alongside correction of dyslipidemia and improvement in histological architecture. These results indicate that nanoparticle delivery substantially enhances antioxidant bioavailability and efficacy, producing synergistic </w:t>
      </w:r>
      <w:proofErr w:type="spellStart"/>
      <w:r w:rsidRPr="00157BE7">
        <w:rPr>
          <w:rFonts w:ascii="Times New Roman" w:hAnsi="Times New Roman" w:cs="Times New Roman"/>
          <w:sz w:val="24"/>
          <w:szCs w:val="24"/>
        </w:rPr>
        <w:t>renoprotective</w:t>
      </w:r>
      <w:proofErr w:type="spellEnd"/>
      <w:r w:rsidRPr="00157BE7">
        <w:rPr>
          <w:rFonts w:ascii="Times New Roman" w:hAnsi="Times New Roman" w:cs="Times New Roman"/>
          <w:sz w:val="24"/>
          <w:szCs w:val="24"/>
        </w:rPr>
        <w:t>, antioxidant, and anti-inflammatory effects in adenine-induced chronic kidney disease.</w:t>
      </w:r>
    </w:p>
    <w:p w14:paraId="169BEF6C" w14:textId="77777777" w:rsidR="005F10A8" w:rsidRPr="005F10A8" w:rsidRDefault="005F10A8" w:rsidP="005F10A8">
      <w:pPr>
        <w:spacing w:line="360" w:lineRule="auto"/>
        <w:jc w:val="both"/>
        <w:rPr>
          <w:rFonts w:ascii="Times New Roman" w:hAnsi="Times New Roman" w:cs="Times New Roman"/>
          <w:sz w:val="24"/>
          <w:szCs w:val="24"/>
        </w:rPr>
      </w:pPr>
      <w:r w:rsidRPr="005F10A8">
        <w:rPr>
          <w:rFonts w:ascii="Times New Roman" w:hAnsi="Times New Roman" w:cs="Times New Roman"/>
          <w:sz w:val="24"/>
          <w:szCs w:val="24"/>
        </w:rPr>
        <w:t>Ethical Approval</w:t>
      </w:r>
    </w:p>
    <w:p w14:paraId="597CFF32" w14:textId="773CAEED" w:rsidR="005F10A8" w:rsidRDefault="005F10A8" w:rsidP="005F10A8">
      <w:pPr>
        <w:spacing w:line="360" w:lineRule="auto"/>
        <w:jc w:val="both"/>
        <w:rPr>
          <w:rFonts w:ascii="Times New Roman" w:hAnsi="Times New Roman" w:cs="Times New Roman"/>
          <w:sz w:val="24"/>
          <w:szCs w:val="24"/>
        </w:rPr>
      </w:pPr>
      <w:r w:rsidRPr="005F10A8">
        <w:rPr>
          <w:rFonts w:ascii="Times New Roman" w:hAnsi="Times New Roman" w:cs="Times New Roman"/>
          <w:sz w:val="24"/>
          <w:szCs w:val="24"/>
        </w:rPr>
        <w:t xml:space="preserve">Ethical clearance involving experimental animal was obtained from </w:t>
      </w:r>
      <w:proofErr w:type="spellStart"/>
      <w:r w:rsidRPr="005F10A8">
        <w:rPr>
          <w:rFonts w:ascii="Times New Roman" w:hAnsi="Times New Roman" w:cs="Times New Roman"/>
          <w:sz w:val="24"/>
          <w:szCs w:val="24"/>
        </w:rPr>
        <w:t>Usmanu</w:t>
      </w:r>
      <w:proofErr w:type="spellEnd"/>
      <w:r w:rsidRPr="005F10A8">
        <w:rPr>
          <w:rFonts w:ascii="Times New Roman" w:hAnsi="Times New Roman" w:cs="Times New Roman"/>
          <w:sz w:val="24"/>
          <w:szCs w:val="24"/>
        </w:rPr>
        <w:t xml:space="preserve"> </w:t>
      </w:r>
      <w:proofErr w:type="spellStart"/>
      <w:r w:rsidRPr="005F10A8">
        <w:rPr>
          <w:rFonts w:ascii="Times New Roman" w:hAnsi="Times New Roman" w:cs="Times New Roman"/>
          <w:sz w:val="24"/>
          <w:szCs w:val="24"/>
        </w:rPr>
        <w:t>Danfodiyo</w:t>
      </w:r>
      <w:proofErr w:type="spellEnd"/>
      <w:r w:rsidRPr="005F10A8">
        <w:rPr>
          <w:rFonts w:ascii="Times New Roman" w:hAnsi="Times New Roman" w:cs="Times New Roman"/>
          <w:sz w:val="24"/>
          <w:szCs w:val="24"/>
        </w:rPr>
        <w:t xml:space="preserve"> University Health Research and Ethical Committee (UHREC), Sokoto with ethical number NHREC/UDU-HREC/25/06/2023-PGM24. All study protocol was in compliance with international practice for the care and use of Laboratory Animals.</w:t>
      </w:r>
      <w:bookmarkStart w:id="5" w:name="_GoBack"/>
      <w:bookmarkEnd w:id="5"/>
    </w:p>
    <w:p w14:paraId="11624101" w14:textId="77777777" w:rsidR="000F3812" w:rsidRPr="00CA3906" w:rsidRDefault="000F3812" w:rsidP="000F3812">
      <w:pPr>
        <w:rPr>
          <w:b/>
          <w:highlight w:val="yellow"/>
        </w:rPr>
      </w:pPr>
      <w:r w:rsidRPr="00CA3906">
        <w:rPr>
          <w:b/>
          <w:highlight w:val="yellow"/>
        </w:rPr>
        <w:t>Disclaimer (Artificial intelligence)</w:t>
      </w:r>
    </w:p>
    <w:p w14:paraId="14AC164D" w14:textId="18E14565" w:rsidR="000F3812" w:rsidRPr="00114E50" w:rsidRDefault="000F3812" w:rsidP="00114E50">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COPILOT, etc.) and text-to-</w:t>
      </w:r>
      <w:r w:rsidRPr="00740879">
        <w:rPr>
          <w:highlight w:val="yellow"/>
        </w:rPr>
        <w:lastRenderedPageBreak/>
        <w:t xml:space="preserve">image generators have been used during the writing or editing of this manuscript. </w:t>
      </w:r>
    </w:p>
    <w:p w14:paraId="18CB0A31" w14:textId="291C116C" w:rsidR="00DF6641" w:rsidRPr="00157BE7" w:rsidRDefault="00DF6641" w:rsidP="0026276C">
      <w:pPr>
        <w:spacing w:after="0" w:line="276" w:lineRule="auto"/>
        <w:jc w:val="both"/>
        <w:rPr>
          <w:rFonts w:ascii="Times New Roman" w:hAnsi="Times New Roman" w:cs="Times New Roman"/>
          <w:sz w:val="24"/>
          <w:szCs w:val="24"/>
        </w:rPr>
      </w:pPr>
      <w:bookmarkStart w:id="6" w:name="_Hlk220401197"/>
      <w:r w:rsidRPr="00157BE7">
        <w:rPr>
          <w:rFonts w:ascii="Times New Roman" w:hAnsi="Times New Roman" w:cs="Times New Roman"/>
          <w:sz w:val="24"/>
          <w:szCs w:val="24"/>
        </w:rPr>
        <w:t>References</w:t>
      </w:r>
    </w:p>
    <w:bookmarkEnd w:id="6"/>
    <w:p w14:paraId="52E09D2A" w14:textId="25E20CEE" w:rsidR="00885FD3" w:rsidRPr="006C5338" w:rsidRDefault="00885FD3" w:rsidP="00D75AF8">
      <w:pPr>
        <w:pStyle w:val="ListParagraph"/>
        <w:numPr>
          <w:ilvl w:val="0"/>
          <w:numId w:val="3"/>
        </w:numPr>
        <w:spacing w:line="240" w:lineRule="auto"/>
        <w:jc w:val="both"/>
        <w:rPr>
          <w:rFonts w:ascii="Times New Roman" w:hAnsi="Times New Roman" w:cs="Times New Roman"/>
          <w:sz w:val="24"/>
          <w:szCs w:val="24"/>
        </w:rPr>
      </w:pPr>
      <w:proofErr w:type="spellStart"/>
      <w:r w:rsidRPr="006C5338">
        <w:rPr>
          <w:rFonts w:ascii="Times New Roman" w:hAnsi="Times New Roman" w:cs="Times New Roman"/>
          <w:sz w:val="24"/>
          <w:szCs w:val="24"/>
        </w:rPr>
        <w:t>Cockwell</w:t>
      </w:r>
      <w:proofErr w:type="spellEnd"/>
      <w:r w:rsidRPr="006C5338">
        <w:rPr>
          <w:rFonts w:ascii="Times New Roman" w:hAnsi="Times New Roman" w:cs="Times New Roman"/>
          <w:sz w:val="24"/>
          <w:szCs w:val="24"/>
        </w:rPr>
        <w:t>, P. and Fisher, L.A. (2020). The global burden of chronic kidney disease. The Lancet, 395, pp.662–664. https://doi.org/10.1016/S0140-6736(19)32977-0</w:t>
      </w:r>
    </w:p>
    <w:p w14:paraId="0DFA2303" w14:textId="597DD053" w:rsidR="00885FD3" w:rsidRPr="006C5338" w:rsidRDefault="00885FD3" w:rsidP="00D75AF8">
      <w:pPr>
        <w:pStyle w:val="ListParagraph"/>
        <w:numPr>
          <w:ilvl w:val="0"/>
          <w:numId w:val="3"/>
        </w:numPr>
        <w:spacing w:line="240" w:lineRule="auto"/>
        <w:jc w:val="both"/>
        <w:rPr>
          <w:rFonts w:ascii="Times New Roman" w:hAnsi="Times New Roman" w:cs="Times New Roman"/>
          <w:sz w:val="24"/>
          <w:szCs w:val="24"/>
        </w:rPr>
      </w:pPr>
      <w:proofErr w:type="spellStart"/>
      <w:r w:rsidRPr="006C5338">
        <w:rPr>
          <w:rFonts w:ascii="Times New Roman" w:hAnsi="Times New Roman" w:cs="Times New Roman"/>
          <w:sz w:val="24"/>
          <w:szCs w:val="24"/>
        </w:rPr>
        <w:t>Mallamaci</w:t>
      </w:r>
      <w:proofErr w:type="spellEnd"/>
      <w:r w:rsidRPr="006C5338">
        <w:rPr>
          <w:rFonts w:ascii="Times New Roman" w:hAnsi="Times New Roman" w:cs="Times New Roman"/>
          <w:sz w:val="24"/>
          <w:szCs w:val="24"/>
        </w:rPr>
        <w:t xml:space="preserve"> F. and </w:t>
      </w:r>
      <w:proofErr w:type="spellStart"/>
      <w:r w:rsidRPr="006C5338">
        <w:rPr>
          <w:rFonts w:ascii="Times New Roman" w:hAnsi="Times New Roman" w:cs="Times New Roman"/>
          <w:sz w:val="24"/>
          <w:szCs w:val="24"/>
        </w:rPr>
        <w:t>Tripepi</w:t>
      </w:r>
      <w:proofErr w:type="spellEnd"/>
      <w:r w:rsidRPr="006C5338">
        <w:rPr>
          <w:rFonts w:ascii="Times New Roman" w:hAnsi="Times New Roman" w:cs="Times New Roman"/>
          <w:sz w:val="24"/>
          <w:szCs w:val="24"/>
        </w:rPr>
        <w:t xml:space="preserve"> G. (2024) Risk Factors of Chronic Kidney Disease Progression: Between Old and New Concepts. Journal of Clinical Medicine, 24;13(3):678. </w:t>
      </w:r>
      <w:proofErr w:type="spellStart"/>
      <w:r w:rsidRPr="006C5338">
        <w:rPr>
          <w:rFonts w:ascii="Times New Roman" w:hAnsi="Times New Roman" w:cs="Times New Roman"/>
          <w:sz w:val="24"/>
          <w:szCs w:val="24"/>
        </w:rPr>
        <w:t>doi</w:t>
      </w:r>
      <w:proofErr w:type="spellEnd"/>
      <w:r w:rsidRPr="006C5338">
        <w:rPr>
          <w:rFonts w:ascii="Times New Roman" w:hAnsi="Times New Roman" w:cs="Times New Roman"/>
          <w:sz w:val="24"/>
          <w:szCs w:val="24"/>
        </w:rPr>
        <w:t>: 10.3390/jcm13030678. PMID: 38337372; PMCID: PMC10856768.</w:t>
      </w:r>
    </w:p>
    <w:p w14:paraId="501DD9E5" w14:textId="5D119ED7" w:rsidR="00885FD3" w:rsidRPr="006C5338" w:rsidRDefault="00885FD3" w:rsidP="00D75AF8">
      <w:pPr>
        <w:pStyle w:val="ListParagraph"/>
        <w:numPr>
          <w:ilvl w:val="0"/>
          <w:numId w:val="3"/>
        </w:numPr>
        <w:spacing w:line="240" w:lineRule="auto"/>
        <w:jc w:val="both"/>
        <w:rPr>
          <w:rFonts w:ascii="Times New Roman" w:hAnsi="Times New Roman" w:cs="Times New Roman"/>
          <w:sz w:val="24"/>
          <w:szCs w:val="24"/>
        </w:rPr>
      </w:pPr>
      <w:r w:rsidRPr="006C5338">
        <w:rPr>
          <w:rFonts w:ascii="Times New Roman" w:hAnsi="Times New Roman" w:cs="Times New Roman"/>
          <w:sz w:val="24"/>
          <w:szCs w:val="24"/>
        </w:rPr>
        <w:t>Fa, A., Ck, I. and Jo, A. (2011). Guidelines for the Detection and Management of Chronic Kidney Disease (CKD).</w:t>
      </w:r>
    </w:p>
    <w:p w14:paraId="243CFBB0" w14:textId="51EEE00D" w:rsidR="00885FD3" w:rsidRPr="006C5338" w:rsidRDefault="00885FD3" w:rsidP="00D75AF8">
      <w:pPr>
        <w:pStyle w:val="ListParagraph"/>
        <w:numPr>
          <w:ilvl w:val="0"/>
          <w:numId w:val="3"/>
        </w:numPr>
        <w:spacing w:line="240" w:lineRule="auto"/>
        <w:jc w:val="both"/>
        <w:rPr>
          <w:rFonts w:ascii="Times New Roman" w:hAnsi="Times New Roman" w:cs="Times New Roman"/>
          <w:sz w:val="24"/>
          <w:szCs w:val="24"/>
        </w:rPr>
      </w:pPr>
      <w:r w:rsidRPr="006C5338">
        <w:rPr>
          <w:rFonts w:ascii="Times New Roman" w:hAnsi="Times New Roman" w:cs="Times New Roman"/>
          <w:sz w:val="24"/>
          <w:szCs w:val="24"/>
        </w:rPr>
        <w:t>Sabra, M.S., Allam, E.A.H., El-</w:t>
      </w:r>
      <w:proofErr w:type="spellStart"/>
      <w:r w:rsidRPr="006C5338">
        <w:rPr>
          <w:rFonts w:ascii="Times New Roman" w:hAnsi="Times New Roman" w:cs="Times New Roman"/>
          <w:sz w:val="24"/>
          <w:szCs w:val="24"/>
        </w:rPr>
        <w:t>Aal</w:t>
      </w:r>
      <w:proofErr w:type="spellEnd"/>
      <w:r w:rsidRPr="006C5338">
        <w:rPr>
          <w:rFonts w:ascii="Times New Roman" w:hAnsi="Times New Roman" w:cs="Times New Roman"/>
          <w:sz w:val="24"/>
          <w:szCs w:val="24"/>
        </w:rPr>
        <w:t xml:space="preserve">, M.A., Hassan, N.H., Mostafa, A.-H.M. and Ahmed, A.A.N. (2024). A novel pharmacological strategy using nanoparticles with glutathione and virgin coconut oil to treat gentamicin-induced acute renal failure in rats. </w:t>
      </w:r>
      <w:proofErr w:type="spellStart"/>
      <w:r w:rsidRPr="006C5338">
        <w:rPr>
          <w:rFonts w:ascii="Times New Roman" w:hAnsi="Times New Roman" w:cs="Times New Roman"/>
          <w:sz w:val="24"/>
          <w:szCs w:val="24"/>
        </w:rPr>
        <w:t>Naunyn</w:t>
      </w:r>
      <w:proofErr w:type="spellEnd"/>
      <w:r w:rsidRPr="006C5338">
        <w:rPr>
          <w:rFonts w:ascii="Times New Roman" w:hAnsi="Times New Roman" w:cs="Times New Roman"/>
          <w:sz w:val="24"/>
          <w:szCs w:val="24"/>
        </w:rPr>
        <w:t xml:space="preserve">. </w:t>
      </w:r>
      <w:proofErr w:type="spellStart"/>
      <w:r w:rsidRPr="006C5338">
        <w:rPr>
          <w:rFonts w:ascii="Times New Roman" w:hAnsi="Times New Roman" w:cs="Times New Roman"/>
          <w:sz w:val="24"/>
          <w:szCs w:val="24"/>
        </w:rPr>
        <w:t>Schmiedebergs</w:t>
      </w:r>
      <w:proofErr w:type="spellEnd"/>
      <w:r w:rsidRPr="006C5338">
        <w:rPr>
          <w:rFonts w:ascii="Times New Roman" w:hAnsi="Times New Roman" w:cs="Times New Roman"/>
          <w:sz w:val="24"/>
          <w:szCs w:val="24"/>
        </w:rPr>
        <w:t xml:space="preserve"> Arch. Pharmacology, https://doi.org/10.1007/s00210-024-03303-4</w:t>
      </w:r>
    </w:p>
    <w:p w14:paraId="52904C14" w14:textId="2F92ABE5" w:rsidR="00885FD3" w:rsidRPr="006C5338" w:rsidRDefault="00885FD3" w:rsidP="00D75AF8">
      <w:pPr>
        <w:pStyle w:val="ListParagraph"/>
        <w:numPr>
          <w:ilvl w:val="0"/>
          <w:numId w:val="3"/>
        </w:numPr>
        <w:spacing w:line="240" w:lineRule="auto"/>
        <w:jc w:val="both"/>
        <w:rPr>
          <w:rFonts w:ascii="Times New Roman" w:hAnsi="Times New Roman" w:cs="Times New Roman"/>
          <w:sz w:val="24"/>
          <w:szCs w:val="24"/>
        </w:rPr>
      </w:pPr>
      <w:r w:rsidRPr="006C5338">
        <w:rPr>
          <w:rFonts w:ascii="Times New Roman" w:hAnsi="Times New Roman" w:cs="Times New Roman"/>
          <w:sz w:val="24"/>
          <w:szCs w:val="24"/>
        </w:rPr>
        <w:t xml:space="preserve">Evans, P.D. and </w:t>
      </w:r>
      <w:proofErr w:type="spellStart"/>
      <w:r w:rsidRPr="006C5338">
        <w:rPr>
          <w:rFonts w:ascii="Times New Roman" w:hAnsi="Times New Roman" w:cs="Times New Roman"/>
          <w:sz w:val="24"/>
          <w:szCs w:val="24"/>
        </w:rPr>
        <w:t>Taal</w:t>
      </w:r>
      <w:proofErr w:type="spellEnd"/>
      <w:r w:rsidRPr="006C5338">
        <w:rPr>
          <w:rFonts w:ascii="Times New Roman" w:hAnsi="Times New Roman" w:cs="Times New Roman"/>
          <w:sz w:val="24"/>
          <w:szCs w:val="24"/>
        </w:rPr>
        <w:t>, M.W. (2011). Epidemiology and causes of chronic kidney disease. Medicine. Baltimore, 39, 402–406.</w:t>
      </w:r>
    </w:p>
    <w:p w14:paraId="04C37D80" w14:textId="561DA240" w:rsidR="00885FD3" w:rsidRPr="006C5338" w:rsidRDefault="00885FD3" w:rsidP="00D75AF8">
      <w:pPr>
        <w:pStyle w:val="ListParagraph"/>
        <w:numPr>
          <w:ilvl w:val="0"/>
          <w:numId w:val="3"/>
        </w:numPr>
        <w:spacing w:line="240" w:lineRule="auto"/>
        <w:jc w:val="both"/>
        <w:rPr>
          <w:rFonts w:ascii="Times New Roman" w:hAnsi="Times New Roman" w:cs="Times New Roman"/>
          <w:sz w:val="24"/>
          <w:szCs w:val="24"/>
        </w:rPr>
      </w:pPr>
      <w:r w:rsidRPr="006C5338">
        <w:rPr>
          <w:rFonts w:ascii="Times New Roman" w:hAnsi="Times New Roman" w:cs="Times New Roman"/>
          <w:sz w:val="24"/>
          <w:szCs w:val="24"/>
        </w:rPr>
        <w:t>Ku, E., Lee, B.J., Wei, J. and Weir, M.R. (2019). Hypertension in CKD: Core Curriculum 2019. American Journal of Kidney Disease, 74, 120–131. https://doi.org/10.1053/j.ajkd.2018.12.044</w:t>
      </w:r>
    </w:p>
    <w:p w14:paraId="5AB24FFF" w14:textId="4886604C" w:rsidR="00885FD3" w:rsidRPr="006C5338" w:rsidRDefault="00885FD3" w:rsidP="00D75AF8">
      <w:pPr>
        <w:pStyle w:val="ListParagraph"/>
        <w:numPr>
          <w:ilvl w:val="0"/>
          <w:numId w:val="3"/>
        </w:numPr>
        <w:spacing w:line="240" w:lineRule="auto"/>
        <w:jc w:val="both"/>
        <w:rPr>
          <w:rFonts w:ascii="Times New Roman" w:hAnsi="Times New Roman" w:cs="Times New Roman"/>
          <w:sz w:val="24"/>
          <w:szCs w:val="24"/>
        </w:rPr>
      </w:pPr>
      <w:proofErr w:type="spellStart"/>
      <w:r w:rsidRPr="006C5338">
        <w:rPr>
          <w:rFonts w:ascii="Times New Roman" w:hAnsi="Times New Roman" w:cs="Times New Roman"/>
          <w:sz w:val="24"/>
          <w:szCs w:val="24"/>
        </w:rPr>
        <w:t>Libetta</w:t>
      </w:r>
      <w:proofErr w:type="spellEnd"/>
      <w:r w:rsidRPr="006C5338">
        <w:rPr>
          <w:rFonts w:ascii="Times New Roman" w:hAnsi="Times New Roman" w:cs="Times New Roman"/>
          <w:sz w:val="24"/>
          <w:szCs w:val="24"/>
        </w:rPr>
        <w:t xml:space="preserve">, C., </w:t>
      </w:r>
      <w:proofErr w:type="spellStart"/>
      <w:r w:rsidRPr="006C5338">
        <w:rPr>
          <w:rFonts w:ascii="Times New Roman" w:hAnsi="Times New Roman" w:cs="Times New Roman"/>
          <w:sz w:val="24"/>
          <w:szCs w:val="24"/>
        </w:rPr>
        <w:t>Sepe</w:t>
      </w:r>
      <w:proofErr w:type="spellEnd"/>
      <w:r w:rsidRPr="006C5338">
        <w:rPr>
          <w:rFonts w:ascii="Times New Roman" w:hAnsi="Times New Roman" w:cs="Times New Roman"/>
          <w:sz w:val="24"/>
          <w:szCs w:val="24"/>
        </w:rPr>
        <w:t>, V., Esposito, P., Galli, F. and Dal Canton, A. (2011). Oxidative stress and inflammation: Implications in uremia and hemodialysis. Clinical Biochemistry, 44, 1189–1198. https://doi.org/10.1016/j.clinbiochem.2011.06.988</w:t>
      </w:r>
    </w:p>
    <w:p w14:paraId="05B3C1D5" w14:textId="0EB4816F" w:rsidR="00885FD3" w:rsidRPr="006C5338" w:rsidRDefault="00885FD3" w:rsidP="00D75AF8">
      <w:pPr>
        <w:pStyle w:val="ListParagraph"/>
        <w:numPr>
          <w:ilvl w:val="0"/>
          <w:numId w:val="3"/>
        </w:numPr>
        <w:spacing w:line="240" w:lineRule="auto"/>
        <w:jc w:val="both"/>
        <w:rPr>
          <w:rFonts w:ascii="Times New Roman" w:hAnsi="Times New Roman" w:cs="Times New Roman"/>
          <w:sz w:val="24"/>
          <w:szCs w:val="24"/>
        </w:rPr>
      </w:pPr>
      <w:r w:rsidRPr="006C5338">
        <w:rPr>
          <w:rFonts w:ascii="Times New Roman" w:hAnsi="Times New Roman" w:cs="Times New Roman"/>
          <w:sz w:val="24"/>
          <w:szCs w:val="24"/>
        </w:rPr>
        <w:t>Mandal, A.K. (2015). Pathogenesis and Prevention of Progression of Chronic Kidney Disease. Open Journal International Medicine 5, 58–73. https://doi.org/10.4236/ojim.2015.53010</w:t>
      </w:r>
    </w:p>
    <w:p w14:paraId="5C1FB3D6" w14:textId="32A1DF89" w:rsidR="00885FD3" w:rsidRPr="006C5338" w:rsidRDefault="00885FD3" w:rsidP="00D75AF8">
      <w:pPr>
        <w:pStyle w:val="ListParagraph"/>
        <w:numPr>
          <w:ilvl w:val="0"/>
          <w:numId w:val="3"/>
        </w:numPr>
        <w:spacing w:line="240" w:lineRule="auto"/>
        <w:jc w:val="both"/>
        <w:rPr>
          <w:rFonts w:ascii="Times New Roman" w:hAnsi="Times New Roman" w:cs="Times New Roman"/>
          <w:sz w:val="24"/>
          <w:szCs w:val="24"/>
        </w:rPr>
      </w:pPr>
      <w:r w:rsidRPr="006C5338">
        <w:rPr>
          <w:rFonts w:ascii="Times New Roman" w:hAnsi="Times New Roman" w:cs="Times New Roman"/>
          <w:sz w:val="24"/>
          <w:szCs w:val="24"/>
        </w:rPr>
        <w:t xml:space="preserve">Ling, X.C. and </w:t>
      </w:r>
      <w:proofErr w:type="spellStart"/>
      <w:r w:rsidRPr="006C5338">
        <w:rPr>
          <w:rFonts w:ascii="Times New Roman" w:hAnsi="Times New Roman" w:cs="Times New Roman"/>
          <w:sz w:val="24"/>
          <w:szCs w:val="24"/>
        </w:rPr>
        <w:t>Kuo</w:t>
      </w:r>
      <w:proofErr w:type="spellEnd"/>
      <w:r w:rsidRPr="006C5338">
        <w:rPr>
          <w:rFonts w:ascii="Times New Roman" w:hAnsi="Times New Roman" w:cs="Times New Roman"/>
          <w:sz w:val="24"/>
          <w:szCs w:val="24"/>
        </w:rPr>
        <w:t>, K.L., 2018. Oxidative stress in chronic kidney disease. Renal Replacement Therapy, 4(1), pp.1-9.</w:t>
      </w:r>
    </w:p>
    <w:p w14:paraId="47430011" w14:textId="0458B58E" w:rsidR="00885FD3" w:rsidRPr="006C5338" w:rsidRDefault="00885FD3" w:rsidP="00D75AF8">
      <w:pPr>
        <w:pStyle w:val="ListParagraph"/>
        <w:numPr>
          <w:ilvl w:val="0"/>
          <w:numId w:val="3"/>
        </w:numPr>
        <w:spacing w:line="240" w:lineRule="auto"/>
        <w:jc w:val="both"/>
        <w:rPr>
          <w:rFonts w:ascii="Times New Roman" w:hAnsi="Times New Roman" w:cs="Times New Roman"/>
          <w:sz w:val="24"/>
          <w:szCs w:val="24"/>
        </w:rPr>
      </w:pPr>
      <w:proofErr w:type="spellStart"/>
      <w:r w:rsidRPr="006C5338">
        <w:rPr>
          <w:rFonts w:ascii="Times New Roman" w:hAnsi="Times New Roman" w:cs="Times New Roman"/>
          <w:sz w:val="24"/>
          <w:szCs w:val="24"/>
        </w:rPr>
        <w:t>Rysz</w:t>
      </w:r>
      <w:proofErr w:type="spellEnd"/>
      <w:r w:rsidRPr="006C5338">
        <w:rPr>
          <w:rFonts w:ascii="Times New Roman" w:hAnsi="Times New Roman" w:cs="Times New Roman"/>
          <w:sz w:val="24"/>
          <w:szCs w:val="24"/>
        </w:rPr>
        <w:t xml:space="preserve">, J., </w:t>
      </w:r>
      <w:proofErr w:type="spellStart"/>
      <w:r w:rsidRPr="006C5338">
        <w:rPr>
          <w:rFonts w:ascii="Times New Roman" w:hAnsi="Times New Roman" w:cs="Times New Roman"/>
          <w:sz w:val="24"/>
          <w:szCs w:val="24"/>
        </w:rPr>
        <w:t>Gluba-Brzózka</w:t>
      </w:r>
      <w:proofErr w:type="spellEnd"/>
      <w:r w:rsidRPr="006C5338">
        <w:rPr>
          <w:rFonts w:ascii="Times New Roman" w:hAnsi="Times New Roman" w:cs="Times New Roman"/>
          <w:sz w:val="24"/>
          <w:szCs w:val="24"/>
        </w:rPr>
        <w:t xml:space="preserve">, A., </w:t>
      </w:r>
      <w:proofErr w:type="spellStart"/>
      <w:r w:rsidRPr="006C5338">
        <w:rPr>
          <w:rFonts w:ascii="Times New Roman" w:hAnsi="Times New Roman" w:cs="Times New Roman"/>
          <w:sz w:val="24"/>
          <w:szCs w:val="24"/>
        </w:rPr>
        <w:t>Rysz-Górzyńska</w:t>
      </w:r>
      <w:proofErr w:type="spellEnd"/>
      <w:r w:rsidRPr="006C5338">
        <w:rPr>
          <w:rFonts w:ascii="Times New Roman" w:hAnsi="Times New Roman" w:cs="Times New Roman"/>
          <w:sz w:val="24"/>
          <w:szCs w:val="24"/>
        </w:rPr>
        <w:t xml:space="preserve">, M. and </w:t>
      </w:r>
      <w:proofErr w:type="spellStart"/>
      <w:r w:rsidRPr="006C5338">
        <w:rPr>
          <w:rFonts w:ascii="Times New Roman" w:hAnsi="Times New Roman" w:cs="Times New Roman"/>
          <w:sz w:val="24"/>
          <w:szCs w:val="24"/>
        </w:rPr>
        <w:t>Franczyk</w:t>
      </w:r>
      <w:proofErr w:type="spellEnd"/>
      <w:r w:rsidRPr="006C5338">
        <w:rPr>
          <w:rFonts w:ascii="Times New Roman" w:hAnsi="Times New Roman" w:cs="Times New Roman"/>
          <w:sz w:val="24"/>
          <w:szCs w:val="24"/>
        </w:rPr>
        <w:t>, B. (2020). The Role and Function of HDL in Patients with Chronic Kidney Disease and the Risk of Cardiovascular Disease. International Journal of Molecular Science, 21, 601. https://doi.org/10.3390/ijms21020601</w:t>
      </w:r>
    </w:p>
    <w:p w14:paraId="70667885" w14:textId="74CFE229" w:rsidR="00885FD3" w:rsidRPr="006C5338" w:rsidRDefault="00885FD3" w:rsidP="00D75AF8">
      <w:pPr>
        <w:pStyle w:val="ListParagraph"/>
        <w:numPr>
          <w:ilvl w:val="0"/>
          <w:numId w:val="3"/>
        </w:numPr>
        <w:spacing w:line="240" w:lineRule="auto"/>
        <w:jc w:val="both"/>
        <w:rPr>
          <w:rFonts w:ascii="Times New Roman" w:hAnsi="Times New Roman" w:cs="Times New Roman"/>
          <w:sz w:val="24"/>
          <w:szCs w:val="24"/>
        </w:rPr>
      </w:pPr>
      <w:r w:rsidRPr="006C5338">
        <w:rPr>
          <w:rFonts w:ascii="Times New Roman" w:hAnsi="Times New Roman" w:cs="Times New Roman"/>
          <w:sz w:val="24"/>
          <w:szCs w:val="24"/>
        </w:rPr>
        <w:t xml:space="preserve">Rapa, S.F., Di </w:t>
      </w:r>
      <w:proofErr w:type="spellStart"/>
      <w:r w:rsidRPr="006C5338">
        <w:rPr>
          <w:rFonts w:ascii="Times New Roman" w:hAnsi="Times New Roman" w:cs="Times New Roman"/>
          <w:sz w:val="24"/>
          <w:szCs w:val="24"/>
        </w:rPr>
        <w:t>Iorio</w:t>
      </w:r>
      <w:proofErr w:type="spellEnd"/>
      <w:r w:rsidRPr="006C5338">
        <w:rPr>
          <w:rFonts w:ascii="Times New Roman" w:hAnsi="Times New Roman" w:cs="Times New Roman"/>
          <w:sz w:val="24"/>
          <w:szCs w:val="24"/>
        </w:rPr>
        <w:t xml:space="preserve">, B.R., </w:t>
      </w:r>
      <w:proofErr w:type="spellStart"/>
      <w:r w:rsidRPr="006C5338">
        <w:rPr>
          <w:rFonts w:ascii="Times New Roman" w:hAnsi="Times New Roman" w:cs="Times New Roman"/>
          <w:sz w:val="24"/>
          <w:szCs w:val="24"/>
        </w:rPr>
        <w:t>Campiglia</w:t>
      </w:r>
      <w:proofErr w:type="spellEnd"/>
      <w:r w:rsidRPr="006C5338">
        <w:rPr>
          <w:rFonts w:ascii="Times New Roman" w:hAnsi="Times New Roman" w:cs="Times New Roman"/>
          <w:sz w:val="24"/>
          <w:szCs w:val="24"/>
        </w:rPr>
        <w:t xml:space="preserve">, P., </w:t>
      </w:r>
      <w:proofErr w:type="spellStart"/>
      <w:r w:rsidRPr="006C5338">
        <w:rPr>
          <w:rFonts w:ascii="Times New Roman" w:hAnsi="Times New Roman" w:cs="Times New Roman"/>
          <w:sz w:val="24"/>
          <w:szCs w:val="24"/>
        </w:rPr>
        <w:t>Heidland</w:t>
      </w:r>
      <w:proofErr w:type="spellEnd"/>
      <w:r w:rsidRPr="006C5338">
        <w:rPr>
          <w:rFonts w:ascii="Times New Roman" w:hAnsi="Times New Roman" w:cs="Times New Roman"/>
          <w:sz w:val="24"/>
          <w:szCs w:val="24"/>
        </w:rPr>
        <w:t xml:space="preserve">, A. and Marzocco, S. (2019). Inflammation and Oxidative Stress in Chronic Kidney Disease—Potential Therapeutic Role of Minerals, Vitamins and Plant-Derived Metabolites. </w:t>
      </w:r>
      <w:proofErr w:type="spellStart"/>
      <w:r w:rsidRPr="006C5338">
        <w:rPr>
          <w:rFonts w:ascii="Times New Roman" w:hAnsi="Times New Roman" w:cs="Times New Roman"/>
          <w:sz w:val="24"/>
          <w:szCs w:val="24"/>
        </w:rPr>
        <w:t>Internation</w:t>
      </w:r>
      <w:proofErr w:type="spellEnd"/>
      <w:r w:rsidRPr="006C5338">
        <w:rPr>
          <w:rFonts w:ascii="Times New Roman" w:hAnsi="Times New Roman" w:cs="Times New Roman"/>
          <w:sz w:val="24"/>
          <w:szCs w:val="24"/>
        </w:rPr>
        <w:t xml:space="preserve"> Journal of Molecular Science, 21, 263. https://doi.org/10.3390/ijms21010263</w:t>
      </w:r>
    </w:p>
    <w:p w14:paraId="262A792F" w14:textId="72CBFDD2" w:rsidR="00885FD3" w:rsidRPr="006C5338" w:rsidRDefault="00885FD3" w:rsidP="00D75AF8">
      <w:pPr>
        <w:pStyle w:val="ListParagraph"/>
        <w:numPr>
          <w:ilvl w:val="0"/>
          <w:numId w:val="3"/>
        </w:numPr>
        <w:spacing w:line="240" w:lineRule="auto"/>
        <w:jc w:val="both"/>
        <w:rPr>
          <w:rFonts w:ascii="Times New Roman" w:hAnsi="Times New Roman" w:cs="Times New Roman"/>
          <w:sz w:val="24"/>
          <w:szCs w:val="24"/>
        </w:rPr>
      </w:pPr>
      <w:proofErr w:type="spellStart"/>
      <w:r w:rsidRPr="006C5338">
        <w:rPr>
          <w:rFonts w:ascii="Times New Roman" w:hAnsi="Times New Roman" w:cs="Times New Roman"/>
          <w:sz w:val="24"/>
          <w:szCs w:val="24"/>
        </w:rPr>
        <w:t>Mohany</w:t>
      </w:r>
      <w:proofErr w:type="spellEnd"/>
      <w:r w:rsidRPr="006C5338">
        <w:rPr>
          <w:rFonts w:ascii="Times New Roman" w:hAnsi="Times New Roman" w:cs="Times New Roman"/>
          <w:sz w:val="24"/>
          <w:szCs w:val="24"/>
        </w:rPr>
        <w:t>, M., Ahmed, M.M. and Al-</w:t>
      </w:r>
      <w:proofErr w:type="spellStart"/>
      <w:r w:rsidRPr="006C5338">
        <w:rPr>
          <w:rFonts w:ascii="Times New Roman" w:hAnsi="Times New Roman" w:cs="Times New Roman"/>
          <w:sz w:val="24"/>
          <w:szCs w:val="24"/>
        </w:rPr>
        <w:t>Rejaie</w:t>
      </w:r>
      <w:proofErr w:type="spellEnd"/>
      <w:r w:rsidRPr="006C5338">
        <w:rPr>
          <w:rFonts w:ascii="Times New Roman" w:hAnsi="Times New Roman" w:cs="Times New Roman"/>
          <w:sz w:val="24"/>
          <w:szCs w:val="24"/>
        </w:rPr>
        <w:t xml:space="preserve">, S.S. (2022). Molecular Mechanistic Pathways Targeted by Natural Antioxidants in the Prevention and Treatment of Chronic </w:t>
      </w:r>
      <w:r w:rsidRPr="006C5338">
        <w:rPr>
          <w:rFonts w:ascii="Times New Roman" w:hAnsi="Times New Roman" w:cs="Times New Roman"/>
          <w:sz w:val="24"/>
          <w:szCs w:val="24"/>
        </w:rPr>
        <w:lastRenderedPageBreak/>
        <w:t>Kidney Disease. Antioxidants, 11, 15. https://doi.org/10.3390/antiox11010015</w:t>
      </w:r>
    </w:p>
    <w:p w14:paraId="4677C515" w14:textId="5B2070F0" w:rsidR="00885FD3" w:rsidRPr="006C5338" w:rsidRDefault="00885FD3" w:rsidP="00D75AF8">
      <w:pPr>
        <w:pStyle w:val="ListParagraph"/>
        <w:numPr>
          <w:ilvl w:val="0"/>
          <w:numId w:val="3"/>
        </w:numPr>
        <w:spacing w:line="240" w:lineRule="auto"/>
        <w:jc w:val="both"/>
        <w:rPr>
          <w:rFonts w:ascii="Times New Roman" w:hAnsi="Times New Roman" w:cs="Times New Roman"/>
          <w:sz w:val="24"/>
          <w:szCs w:val="24"/>
        </w:rPr>
      </w:pPr>
      <w:proofErr w:type="spellStart"/>
      <w:r w:rsidRPr="006C5338">
        <w:rPr>
          <w:rFonts w:ascii="Times New Roman" w:hAnsi="Times New Roman" w:cs="Times New Roman"/>
          <w:sz w:val="24"/>
          <w:szCs w:val="24"/>
        </w:rPr>
        <w:t>Alishahi</w:t>
      </w:r>
      <w:proofErr w:type="spellEnd"/>
      <w:r w:rsidRPr="006C5338">
        <w:rPr>
          <w:rFonts w:ascii="Times New Roman" w:hAnsi="Times New Roman" w:cs="Times New Roman"/>
          <w:sz w:val="24"/>
          <w:szCs w:val="24"/>
        </w:rPr>
        <w:t xml:space="preserve">, A., </w:t>
      </w:r>
      <w:proofErr w:type="spellStart"/>
      <w:r w:rsidRPr="006C5338">
        <w:rPr>
          <w:rFonts w:ascii="Times New Roman" w:hAnsi="Times New Roman" w:cs="Times New Roman"/>
          <w:sz w:val="24"/>
          <w:szCs w:val="24"/>
        </w:rPr>
        <w:t>Mirvaghefi</w:t>
      </w:r>
      <w:proofErr w:type="spellEnd"/>
      <w:r w:rsidRPr="006C5338">
        <w:rPr>
          <w:rFonts w:ascii="Times New Roman" w:hAnsi="Times New Roman" w:cs="Times New Roman"/>
          <w:sz w:val="24"/>
          <w:szCs w:val="24"/>
        </w:rPr>
        <w:t xml:space="preserve">, A., Tehrani, M.R., </w:t>
      </w:r>
      <w:proofErr w:type="spellStart"/>
      <w:r w:rsidRPr="006C5338">
        <w:rPr>
          <w:rFonts w:ascii="Times New Roman" w:hAnsi="Times New Roman" w:cs="Times New Roman"/>
          <w:sz w:val="24"/>
          <w:szCs w:val="24"/>
        </w:rPr>
        <w:t>Farahmand</w:t>
      </w:r>
      <w:proofErr w:type="spellEnd"/>
      <w:r w:rsidRPr="006C5338">
        <w:rPr>
          <w:rFonts w:ascii="Times New Roman" w:hAnsi="Times New Roman" w:cs="Times New Roman"/>
          <w:sz w:val="24"/>
          <w:szCs w:val="24"/>
        </w:rPr>
        <w:t xml:space="preserve">, H., </w:t>
      </w:r>
      <w:proofErr w:type="spellStart"/>
      <w:r w:rsidRPr="006C5338">
        <w:rPr>
          <w:rFonts w:ascii="Times New Roman" w:hAnsi="Times New Roman" w:cs="Times New Roman"/>
          <w:sz w:val="24"/>
          <w:szCs w:val="24"/>
        </w:rPr>
        <w:t>Koshio</w:t>
      </w:r>
      <w:proofErr w:type="spellEnd"/>
      <w:r w:rsidRPr="006C5338">
        <w:rPr>
          <w:rFonts w:ascii="Times New Roman" w:hAnsi="Times New Roman" w:cs="Times New Roman"/>
          <w:sz w:val="24"/>
          <w:szCs w:val="24"/>
        </w:rPr>
        <w:t xml:space="preserve">, S., </w:t>
      </w:r>
      <w:proofErr w:type="spellStart"/>
      <w:r w:rsidRPr="006C5338">
        <w:rPr>
          <w:rFonts w:ascii="Times New Roman" w:hAnsi="Times New Roman" w:cs="Times New Roman"/>
          <w:sz w:val="24"/>
          <w:szCs w:val="24"/>
        </w:rPr>
        <w:t>Dorkoosh</w:t>
      </w:r>
      <w:proofErr w:type="spellEnd"/>
      <w:r w:rsidRPr="006C5338">
        <w:rPr>
          <w:rFonts w:ascii="Times New Roman" w:hAnsi="Times New Roman" w:cs="Times New Roman"/>
          <w:sz w:val="24"/>
          <w:szCs w:val="24"/>
        </w:rPr>
        <w:t xml:space="preserve">, F.A. and </w:t>
      </w:r>
      <w:proofErr w:type="spellStart"/>
      <w:r w:rsidRPr="006C5338">
        <w:rPr>
          <w:rFonts w:ascii="Times New Roman" w:hAnsi="Times New Roman" w:cs="Times New Roman"/>
          <w:sz w:val="24"/>
          <w:szCs w:val="24"/>
        </w:rPr>
        <w:t>Elsabee</w:t>
      </w:r>
      <w:proofErr w:type="spellEnd"/>
      <w:r w:rsidRPr="006C5338">
        <w:rPr>
          <w:rFonts w:ascii="Times New Roman" w:hAnsi="Times New Roman" w:cs="Times New Roman"/>
          <w:sz w:val="24"/>
          <w:szCs w:val="24"/>
        </w:rPr>
        <w:t>, M.Z. (2011). Chitosan nanoparticle to carry vitamin C through the gastrointestinal tract and induce the non-specific immunity system of rainbow trout (Oncorhynchus mykiss). Carbohydrate Polymorphism, 86, 142–146. https://doi.org/10.1016/j.carbpol.2011.04.028</w:t>
      </w:r>
    </w:p>
    <w:p w14:paraId="7BD09BA1" w14:textId="11E3FB92" w:rsidR="00885FD3" w:rsidRPr="006C5338" w:rsidRDefault="00885FD3" w:rsidP="00D75AF8">
      <w:pPr>
        <w:pStyle w:val="ListParagraph"/>
        <w:numPr>
          <w:ilvl w:val="0"/>
          <w:numId w:val="3"/>
        </w:numPr>
        <w:spacing w:line="240" w:lineRule="auto"/>
        <w:jc w:val="both"/>
        <w:rPr>
          <w:rFonts w:ascii="Times New Roman" w:hAnsi="Times New Roman" w:cs="Times New Roman"/>
          <w:sz w:val="24"/>
          <w:szCs w:val="24"/>
        </w:rPr>
      </w:pPr>
      <w:proofErr w:type="spellStart"/>
      <w:r w:rsidRPr="006C5338">
        <w:rPr>
          <w:rFonts w:ascii="Times New Roman" w:hAnsi="Times New Roman" w:cs="Times New Roman"/>
          <w:sz w:val="24"/>
          <w:szCs w:val="24"/>
        </w:rPr>
        <w:t>Padayatty</w:t>
      </w:r>
      <w:proofErr w:type="spellEnd"/>
      <w:r w:rsidRPr="006C5338">
        <w:rPr>
          <w:rFonts w:ascii="Times New Roman" w:hAnsi="Times New Roman" w:cs="Times New Roman"/>
          <w:sz w:val="24"/>
          <w:szCs w:val="24"/>
        </w:rPr>
        <w:t xml:space="preserve">, S.J., Katz, A., Wang, Y., Eck, P., Kwon, O., Lee, J.-H., Chen, S., </w:t>
      </w:r>
      <w:proofErr w:type="spellStart"/>
      <w:r w:rsidRPr="006C5338">
        <w:rPr>
          <w:rFonts w:ascii="Times New Roman" w:hAnsi="Times New Roman" w:cs="Times New Roman"/>
          <w:sz w:val="24"/>
          <w:szCs w:val="24"/>
        </w:rPr>
        <w:t>Corpe</w:t>
      </w:r>
      <w:proofErr w:type="spellEnd"/>
      <w:r w:rsidRPr="006C5338">
        <w:rPr>
          <w:rFonts w:ascii="Times New Roman" w:hAnsi="Times New Roman" w:cs="Times New Roman"/>
          <w:sz w:val="24"/>
          <w:szCs w:val="24"/>
        </w:rPr>
        <w:t>, C., Dutta, A., Dutta, S.K. and Levine, M., (2003). Vitamin C as an Antioxidant: Evaluation of Its Role in Disease Prevention. Journal of American College of Nutrition. 22, 18–35. https://doi.org/10.1080/07315724.2003.10719272</w:t>
      </w:r>
    </w:p>
    <w:p w14:paraId="0CEF6A00" w14:textId="1E5B7AFD" w:rsidR="00885FD3" w:rsidRPr="006C5338" w:rsidRDefault="00885FD3" w:rsidP="00D75AF8">
      <w:pPr>
        <w:pStyle w:val="ListParagraph"/>
        <w:numPr>
          <w:ilvl w:val="0"/>
          <w:numId w:val="3"/>
        </w:numPr>
        <w:spacing w:line="240" w:lineRule="auto"/>
        <w:jc w:val="both"/>
        <w:rPr>
          <w:rFonts w:ascii="Times New Roman" w:hAnsi="Times New Roman" w:cs="Times New Roman"/>
          <w:sz w:val="24"/>
          <w:szCs w:val="24"/>
        </w:rPr>
      </w:pPr>
      <w:r w:rsidRPr="006C5338">
        <w:rPr>
          <w:rFonts w:ascii="Times New Roman" w:hAnsi="Times New Roman" w:cs="Times New Roman"/>
          <w:sz w:val="24"/>
          <w:szCs w:val="24"/>
        </w:rPr>
        <w:t xml:space="preserve">Duse, L., </w:t>
      </w:r>
      <w:proofErr w:type="spellStart"/>
      <w:r w:rsidRPr="006C5338">
        <w:rPr>
          <w:rFonts w:ascii="Times New Roman" w:hAnsi="Times New Roman" w:cs="Times New Roman"/>
          <w:sz w:val="24"/>
          <w:szCs w:val="24"/>
        </w:rPr>
        <w:t>Baghdan</w:t>
      </w:r>
      <w:proofErr w:type="spellEnd"/>
      <w:r w:rsidRPr="006C5338">
        <w:rPr>
          <w:rFonts w:ascii="Times New Roman" w:hAnsi="Times New Roman" w:cs="Times New Roman"/>
          <w:sz w:val="24"/>
          <w:szCs w:val="24"/>
        </w:rPr>
        <w:t xml:space="preserve">, E., </w:t>
      </w:r>
      <w:proofErr w:type="spellStart"/>
      <w:r w:rsidRPr="006C5338">
        <w:rPr>
          <w:rFonts w:ascii="Times New Roman" w:hAnsi="Times New Roman" w:cs="Times New Roman"/>
          <w:sz w:val="24"/>
          <w:szCs w:val="24"/>
        </w:rPr>
        <w:t>Pinnapireddy</w:t>
      </w:r>
      <w:proofErr w:type="spellEnd"/>
      <w:r w:rsidRPr="006C5338">
        <w:rPr>
          <w:rFonts w:ascii="Times New Roman" w:hAnsi="Times New Roman" w:cs="Times New Roman"/>
          <w:sz w:val="24"/>
          <w:szCs w:val="24"/>
        </w:rPr>
        <w:t xml:space="preserve">, S.R., Engelhardt, K.H., </w:t>
      </w:r>
      <w:proofErr w:type="spellStart"/>
      <w:r w:rsidRPr="006C5338">
        <w:rPr>
          <w:rFonts w:ascii="Times New Roman" w:hAnsi="Times New Roman" w:cs="Times New Roman"/>
          <w:sz w:val="24"/>
          <w:szCs w:val="24"/>
        </w:rPr>
        <w:t>Jedelská</w:t>
      </w:r>
      <w:proofErr w:type="spellEnd"/>
      <w:r w:rsidRPr="006C5338">
        <w:rPr>
          <w:rFonts w:ascii="Times New Roman" w:hAnsi="Times New Roman" w:cs="Times New Roman"/>
          <w:sz w:val="24"/>
          <w:szCs w:val="24"/>
        </w:rPr>
        <w:t xml:space="preserve">, J., Schaefer, J., </w:t>
      </w:r>
      <w:proofErr w:type="spellStart"/>
      <w:r w:rsidRPr="006C5338">
        <w:rPr>
          <w:rFonts w:ascii="Times New Roman" w:hAnsi="Times New Roman" w:cs="Times New Roman"/>
          <w:sz w:val="24"/>
          <w:szCs w:val="24"/>
        </w:rPr>
        <w:t>Quendt</w:t>
      </w:r>
      <w:proofErr w:type="spellEnd"/>
      <w:r w:rsidRPr="006C5338">
        <w:rPr>
          <w:rFonts w:ascii="Times New Roman" w:hAnsi="Times New Roman" w:cs="Times New Roman"/>
          <w:sz w:val="24"/>
          <w:szCs w:val="24"/>
        </w:rPr>
        <w:t xml:space="preserve">, P. and </w:t>
      </w:r>
      <w:proofErr w:type="spellStart"/>
      <w:r w:rsidRPr="006C5338">
        <w:rPr>
          <w:rFonts w:ascii="Times New Roman" w:hAnsi="Times New Roman" w:cs="Times New Roman"/>
          <w:sz w:val="24"/>
          <w:szCs w:val="24"/>
        </w:rPr>
        <w:t>Bakowsky</w:t>
      </w:r>
      <w:proofErr w:type="spellEnd"/>
      <w:r w:rsidRPr="006C5338">
        <w:rPr>
          <w:rFonts w:ascii="Times New Roman" w:hAnsi="Times New Roman" w:cs="Times New Roman"/>
          <w:sz w:val="24"/>
          <w:szCs w:val="24"/>
        </w:rPr>
        <w:t xml:space="preserve">, U. (2018). Preparation and characterization of curcumin-loaded chitosan nanoparticles for photodynamic therapy. </w:t>
      </w:r>
      <w:proofErr w:type="spellStart"/>
      <w:r w:rsidRPr="006C5338">
        <w:rPr>
          <w:rFonts w:ascii="Times New Roman" w:hAnsi="Times New Roman" w:cs="Times New Roman"/>
          <w:sz w:val="24"/>
          <w:szCs w:val="24"/>
        </w:rPr>
        <w:t>Physica</w:t>
      </w:r>
      <w:proofErr w:type="spellEnd"/>
      <w:r w:rsidRPr="006C5338">
        <w:rPr>
          <w:rFonts w:ascii="Times New Roman" w:hAnsi="Times New Roman" w:cs="Times New Roman"/>
          <w:sz w:val="24"/>
          <w:szCs w:val="24"/>
        </w:rPr>
        <w:t xml:space="preserve"> Status Solidi A, 215, p.1700709. https://doi.org/10.1002/pssa.201700709</w:t>
      </w:r>
    </w:p>
    <w:p w14:paraId="57C234E0" w14:textId="03B900BA" w:rsidR="00885FD3" w:rsidRPr="006C5338" w:rsidRDefault="00885FD3" w:rsidP="00D75AF8">
      <w:pPr>
        <w:pStyle w:val="ListParagraph"/>
        <w:numPr>
          <w:ilvl w:val="0"/>
          <w:numId w:val="3"/>
        </w:numPr>
        <w:spacing w:line="240" w:lineRule="auto"/>
        <w:jc w:val="both"/>
        <w:rPr>
          <w:rFonts w:ascii="Times New Roman" w:hAnsi="Times New Roman" w:cs="Times New Roman"/>
          <w:sz w:val="24"/>
          <w:szCs w:val="24"/>
        </w:rPr>
      </w:pPr>
      <w:proofErr w:type="spellStart"/>
      <w:r w:rsidRPr="006C5338">
        <w:rPr>
          <w:rFonts w:ascii="Times New Roman" w:hAnsi="Times New Roman" w:cs="Times New Roman"/>
          <w:sz w:val="24"/>
          <w:szCs w:val="24"/>
        </w:rPr>
        <w:t>Lagumdžija</w:t>
      </w:r>
      <w:proofErr w:type="spellEnd"/>
      <w:r w:rsidRPr="006C5338">
        <w:rPr>
          <w:rFonts w:ascii="Times New Roman" w:hAnsi="Times New Roman" w:cs="Times New Roman"/>
          <w:sz w:val="24"/>
          <w:szCs w:val="24"/>
        </w:rPr>
        <w:t xml:space="preserve">, D., </w:t>
      </w:r>
      <w:proofErr w:type="spellStart"/>
      <w:r w:rsidRPr="006C5338">
        <w:rPr>
          <w:rFonts w:ascii="Times New Roman" w:hAnsi="Times New Roman" w:cs="Times New Roman"/>
          <w:sz w:val="24"/>
          <w:szCs w:val="24"/>
        </w:rPr>
        <w:t>Mehmedbašić</w:t>
      </w:r>
      <w:proofErr w:type="spellEnd"/>
      <w:r w:rsidRPr="006C5338">
        <w:rPr>
          <w:rFonts w:ascii="Times New Roman" w:hAnsi="Times New Roman" w:cs="Times New Roman"/>
          <w:sz w:val="24"/>
          <w:szCs w:val="24"/>
        </w:rPr>
        <w:t xml:space="preserve">, A.H., </w:t>
      </w:r>
      <w:proofErr w:type="spellStart"/>
      <w:r w:rsidRPr="006C5338">
        <w:rPr>
          <w:rFonts w:ascii="Times New Roman" w:hAnsi="Times New Roman" w:cs="Times New Roman"/>
          <w:sz w:val="24"/>
          <w:szCs w:val="24"/>
        </w:rPr>
        <w:t>Jesenković</w:t>
      </w:r>
      <w:proofErr w:type="spellEnd"/>
      <w:r w:rsidRPr="006C5338">
        <w:rPr>
          <w:rFonts w:ascii="Times New Roman" w:hAnsi="Times New Roman" w:cs="Times New Roman"/>
          <w:sz w:val="24"/>
          <w:szCs w:val="24"/>
        </w:rPr>
        <w:t xml:space="preserve">, D.A., </w:t>
      </w:r>
      <w:proofErr w:type="spellStart"/>
      <w:r w:rsidRPr="006C5338">
        <w:rPr>
          <w:rFonts w:ascii="Times New Roman" w:hAnsi="Times New Roman" w:cs="Times New Roman"/>
          <w:sz w:val="24"/>
          <w:szCs w:val="24"/>
        </w:rPr>
        <w:t>Kudić</w:t>
      </w:r>
      <w:proofErr w:type="spellEnd"/>
      <w:r w:rsidRPr="006C5338">
        <w:rPr>
          <w:rFonts w:ascii="Times New Roman" w:hAnsi="Times New Roman" w:cs="Times New Roman"/>
          <w:sz w:val="24"/>
          <w:szCs w:val="24"/>
        </w:rPr>
        <w:t xml:space="preserve">, B., </w:t>
      </w:r>
      <w:proofErr w:type="spellStart"/>
      <w:r w:rsidRPr="006C5338">
        <w:rPr>
          <w:rFonts w:ascii="Times New Roman" w:hAnsi="Times New Roman" w:cs="Times New Roman"/>
          <w:sz w:val="24"/>
          <w:szCs w:val="24"/>
        </w:rPr>
        <w:t>Kapić</w:t>
      </w:r>
      <w:proofErr w:type="spellEnd"/>
      <w:r w:rsidRPr="006C5338">
        <w:rPr>
          <w:rFonts w:ascii="Times New Roman" w:hAnsi="Times New Roman" w:cs="Times New Roman"/>
          <w:sz w:val="24"/>
          <w:szCs w:val="24"/>
        </w:rPr>
        <w:t xml:space="preserve">, D., </w:t>
      </w:r>
      <w:proofErr w:type="spellStart"/>
      <w:r w:rsidRPr="006C5338">
        <w:rPr>
          <w:rFonts w:ascii="Times New Roman" w:hAnsi="Times New Roman" w:cs="Times New Roman"/>
          <w:sz w:val="24"/>
          <w:szCs w:val="24"/>
        </w:rPr>
        <w:t>Ćosović</w:t>
      </w:r>
      <w:proofErr w:type="spellEnd"/>
      <w:r w:rsidRPr="006C5338">
        <w:rPr>
          <w:rFonts w:ascii="Times New Roman" w:hAnsi="Times New Roman" w:cs="Times New Roman"/>
          <w:sz w:val="24"/>
          <w:szCs w:val="24"/>
        </w:rPr>
        <w:t xml:space="preserve">, E., </w:t>
      </w:r>
      <w:proofErr w:type="spellStart"/>
      <w:r w:rsidRPr="006C5338">
        <w:rPr>
          <w:rFonts w:ascii="Times New Roman" w:hAnsi="Times New Roman" w:cs="Times New Roman"/>
          <w:sz w:val="24"/>
          <w:szCs w:val="24"/>
        </w:rPr>
        <w:t>Lepara</w:t>
      </w:r>
      <w:proofErr w:type="spellEnd"/>
      <w:r w:rsidRPr="006C5338">
        <w:rPr>
          <w:rFonts w:ascii="Times New Roman" w:hAnsi="Times New Roman" w:cs="Times New Roman"/>
          <w:sz w:val="24"/>
          <w:szCs w:val="24"/>
        </w:rPr>
        <w:t xml:space="preserve">, O., Kelle, B.P., </w:t>
      </w:r>
      <w:proofErr w:type="spellStart"/>
      <w:r w:rsidRPr="006C5338">
        <w:rPr>
          <w:rFonts w:ascii="Times New Roman" w:hAnsi="Times New Roman" w:cs="Times New Roman"/>
          <w:sz w:val="24"/>
          <w:szCs w:val="24"/>
        </w:rPr>
        <w:t>Prguda-Mujić</w:t>
      </w:r>
      <w:proofErr w:type="spellEnd"/>
      <w:r w:rsidRPr="006C5338">
        <w:rPr>
          <w:rFonts w:ascii="Times New Roman" w:hAnsi="Times New Roman" w:cs="Times New Roman"/>
          <w:sz w:val="24"/>
          <w:szCs w:val="24"/>
        </w:rPr>
        <w:t xml:space="preserve">, J., </w:t>
      </w:r>
      <w:proofErr w:type="spellStart"/>
      <w:r w:rsidRPr="006C5338">
        <w:rPr>
          <w:rFonts w:ascii="Times New Roman" w:hAnsi="Times New Roman" w:cs="Times New Roman"/>
          <w:sz w:val="24"/>
          <w:szCs w:val="24"/>
        </w:rPr>
        <w:t>Kusturica</w:t>
      </w:r>
      <w:proofErr w:type="spellEnd"/>
      <w:r w:rsidRPr="006C5338">
        <w:rPr>
          <w:rFonts w:ascii="Times New Roman" w:hAnsi="Times New Roman" w:cs="Times New Roman"/>
          <w:sz w:val="24"/>
          <w:szCs w:val="24"/>
        </w:rPr>
        <w:t xml:space="preserve">, J., </w:t>
      </w:r>
      <w:proofErr w:type="spellStart"/>
      <w:r w:rsidRPr="006C5338">
        <w:rPr>
          <w:rFonts w:ascii="Times New Roman" w:hAnsi="Times New Roman" w:cs="Times New Roman"/>
          <w:sz w:val="24"/>
          <w:szCs w:val="24"/>
        </w:rPr>
        <w:t>Pušina</w:t>
      </w:r>
      <w:proofErr w:type="spellEnd"/>
      <w:r w:rsidRPr="006C5338">
        <w:rPr>
          <w:rFonts w:ascii="Times New Roman" w:hAnsi="Times New Roman" w:cs="Times New Roman"/>
          <w:sz w:val="24"/>
          <w:szCs w:val="24"/>
        </w:rPr>
        <w:t xml:space="preserve">, N.H., </w:t>
      </w:r>
      <w:proofErr w:type="spellStart"/>
      <w:r w:rsidRPr="006C5338">
        <w:rPr>
          <w:rFonts w:ascii="Times New Roman" w:hAnsi="Times New Roman" w:cs="Times New Roman"/>
          <w:sz w:val="24"/>
          <w:szCs w:val="24"/>
        </w:rPr>
        <w:t>Bečić</w:t>
      </w:r>
      <w:proofErr w:type="spellEnd"/>
      <w:r w:rsidRPr="006C5338">
        <w:rPr>
          <w:rFonts w:ascii="Times New Roman" w:hAnsi="Times New Roman" w:cs="Times New Roman"/>
          <w:sz w:val="24"/>
          <w:szCs w:val="24"/>
        </w:rPr>
        <w:t xml:space="preserve">, F. and </w:t>
      </w:r>
      <w:proofErr w:type="spellStart"/>
      <w:r w:rsidRPr="006C5338">
        <w:rPr>
          <w:rFonts w:ascii="Times New Roman" w:hAnsi="Times New Roman" w:cs="Times New Roman"/>
          <w:sz w:val="24"/>
          <w:szCs w:val="24"/>
        </w:rPr>
        <w:t>Ćesić</w:t>
      </w:r>
      <w:proofErr w:type="spellEnd"/>
      <w:r w:rsidRPr="006C5338">
        <w:rPr>
          <w:rFonts w:ascii="Times New Roman" w:hAnsi="Times New Roman" w:cs="Times New Roman"/>
          <w:sz w:val="24"/>
          <w:szCs w:val="24"/>
        </w:rPr>
        <w:t xml:space="preserve">, A.K. (2024). Curcumin and its combination with a reduced dose of rosuvastatin: A promising therapy for chronic </w:t>
      </w:r>
      <w:r w:rsidRPr="006C5338">
        <w:rPr>
          <w:rFonts w:ascii="Times New Roman" w:hAnsi="Times New Roman" w:cs="Times New Roman"/>
          <w:sz w:val="24"/>
          <w:szCs w:val="24"/>
        </w:rPr>
        <w:t>kidney disease and associated dyslipidemia in rat models. Biomolecules and Biomedicine. https://doi.org/10.17305/bb.2024.11091</w:t>
      </w:r>
    </w:p>
    <w:p w14:paraId="50735C07" w14:textId="64F338CD" w:rsidR="00885FD3" w:rsidRPr="006C5338" w:rsidRDefault="00885FD3" w:rsidP="00D75AF8">
      <w:pPr>
        <w:pStyle w:val="ListParagraph"/>
        <w:numPr>
          <w:ilvl w:val="0"/>
          <w:numId w:val="3"/>
        </w:numPr>
        <w:spacing w:line="240" w:lineRule="auto"/>
        <w:jc w:val="both"/>
        <w:rPr>
          <w:rFonts w:ascii="Times New Roman" w:hAnsi="Times New Roman" w:cs="Times New Roman"/>
          <w:sz w:val="24"/>
          <w:szCs w:val="24"/>
        </w:rPr>
      </w:pPr>
      <w:proofErr w:type="spellStart"/>
      <w:r w:rsidRPr="006C5338">
        <w:rPr>
          <w:rFonts w:ascii="Times New Roman" w:hAnsi="Times New Roman" w:cs="Times New Roman"/>
          <w:sz w:val="24"/>
          <w:szCs w:val="24"/>
        </w:rPr>
        <w:t>Bartani</w:t>
      </w:r>
      <w:proofErr w:type="spellEnd"/>
      <w:r w:rsidRPr="006C5338">
        <w:rPr>
          <w:rFonts w:ascii="Times New Roman" w:hAnsi="Times New Roman" w:cs="Times New Roman"/>
          <w:sz w:val="24"/>
          <w:szCs w:val="24"/>
        </w:rPr>
        <w:t xml:space="preserve">, Z., Nemati, H., </w:t>
      </w:r>
      <w:proofErr w:type="spellStart"/>
      <w:r w:rsidRPr="006C5338">
        <w:rPr>
          <w:rFonts w:ascii="Times New Roman" w:hAnsi="Times New Roman" w:cs="Times New Roman"/>
          <w:sz w:val="24"/>
          <w:szCs w:val="24"/>
        </w:rPr>
        <w:t>Heshmati</w:t>
      </w:r>
      <w:proofErr w:type="spellEnd"/>
      <w:r w:rsidRPr="006C5338">
        <w:rPr>
          <w:rFonts w:ascii="Times New Roman" w:hAnsi="Times New Roman" w:cs="Times New Roman"/>
          <w:sz w:val="24"/>
          <w:szCs w:val="24"/>
        </w:rPr>
        <w:t xml:space="preserve">, S., </w:t>
      </w:r>
      <w:proofErr w:type="spellStart"/>
      <w:r w:rsidRPr="006C5338">
        <w:rPr>
          <w:rFonts w:ascii="Times New Roman" w:hAnsi="Times New Roman" w:cs="Times New Roman"/>
          <w:sz w:val="24"/>
          <w:szCs w:val="24"/>
        </w:rPr>
        <w:t>Tarlan</w:t>
      </w:r>
      <w:proofErr w:type="spellEnd"/>
      <w:r w:rsidRPr="006C5338">
        <w:rPr>
          <w:rFonts w:ascii="Times New Roman" w:hAnsi="Times New Roman" w:cs="Times New Roman"/>
          <w:sz w:val="24"/>
          <w:szCs w:val="24"/>
        </w:rPr>
        <w:t>, M. and Sadeghi, M. (2025). The protective effect of curcumin nanoparticles on renal damage caused by a combination of bleomycin, etoposide, and cisplatin. BMC Nephrology. 26, 354. https://doi.org/10.1186/s12882-025-04286-x</w:t>
      </w:r>
    </w:p>
    <w:p w14:paraId="749E4C89" w14:textId="31402C1C" w:rsidR="00885FD3" w:rsidRPr="006C5338" w:rsidRDefault="00885FD3" w:rsidP="00D75AF8">
      <w:pPr>
        <w:pStyle w:val="ListParagraph"/>
        <w:numPr>
          <w:ilvl w:val="0"/>
          <w:numId w:val="3"/>
        </w:numPr>
        <w:spacing w:line="240" w:lineRule="auto"/>
        <w:jc w:val="both"/>
        <w:rPr>
          <w:rFonts w:ascii="Times New Roman" w:hAnsi="Times New Roman" w:cs="Times New Roman"/>
          <w:sz w:val="24"/>
          <w:szCs w:val="24"/>
        </w:rPr>
      </w:pPr>
      <w:proofErr w:type="spellStart"/>
      <w:r w:rsidRPr="006C5338">
        <w:rPr>
          <w:rFonts w:ascii="Times New Roman" w:hAnsi="Times New Roman" w:cs="Times New Roman"/>
          <w:sz w:val="24"/>
          <w:szCs w:val="24"/>
        </w:rPr>
        <w:t>Zaaba</w:t>
      </w:r>
      <w:proofErr w:type="spellEnd"/>
      <w:r w:rsidRPr="006C5338">
        <w:rPr>
          <w:rFonts w:ascii="Times New Roman" w:hAnsi="Times New Roman" w:cs="Times New Roman"/>
          <w:sz w:val="24"/>
          <w:szCs w:val="24"/>
        </w:rPr>
        <w:t xml:space="preserve">, N.E., Al-Salam, S., </w:t>
      </w:r>
      <w:proofErr w:type="spellStart"/>
      <w:r w:rsidRPr="006C5338">
        <w:rPr>
          <w:rFonts w:ascii="Times New Roman" w:hAnsi="Times New Roman" w:cs="Times New Roman"/>
          <w:sz w:val="24"/>
          <w:szCs w:val="24"/>
        </w:rPr>
        <w:t>Beegam</w:t>
      </w:r>
      <w:proofErr w:type="spellEnd"/>
      <w:r w:rsidRPr="006C5338">
        <w:rPr>
          <w:rFonts w:ascii="Times New Roman" w:hAnsi="Times New Roman" w:cs="Times New Roman"/>
          <w:sz w:val="24"/>
          <w:szCs w:val="24"/>
        </w:rPr>
        <w:t xml:space="preserve">, S., </w:t>
      </w:r>
      <w:proofErr w:type="spellStart"/>
      <w:r w:rsidRPr="006C5338">
        <w:rPr>
          <w:rFonts w:ascii="Times New Roman" w:hAnsi="Times New Roman" w:cs="Times New Roman"/>
          <w:sz w:val="24"/>
          <w:szCs w:val="24"/>
        </w:rPr>
        <w:t>Elzaki</w:t>
      </w:r>
      <w:proofErr w:type="spellEnd"/>
      <w:r w:rsidRPr="006C5338">
        <w:rPr>
          <w:rFonts w:ascii="Times New Roman" w:hAnsi="Times New Roman" w:cs="Times New Roman"/>
          <w:sz w:val="24"/>
          <w:szCs w:val="24"/>
        </w:rPr>
        <w:t xml:space="preserve">, O., Yasin, J. and </w:t>
      </w:r>
      <w:proofErr w:type="spellStart"/>
      <w:r w:rsidRPr="006C5338">
        <w:rPr>
          <w:rFonts w:ascii="Times New Roman" w:hAnsi="Times New Roman" w:cs="Times New Roman"/>
          <w:sz w:val="24"/>
          <w:szCs w:val="24"/>
        </w:rPr>
        <w:t>Nemmar</w:t>
      </w:r>
      <w:proofErr w:type="spellEnd"/>
      <w:r w:rsidRPr="006C5338">
        <w:rPr>
          <w:rFonts w:ascii="Times New Roman" w:hAnsi="Times New Roman" w:cs="Times New Roman"/>
          <w:sz w:val="24"/>
          <w:szCs w:val="24"/>
        </w:rPr>
        <w:t xml:space="preserve">, A. (2023). </w:t>
      </w:r>
      <w:proofErr w:type="spellStart"/>
      <w:r w:rsidRPr="006C5338">
        <w:rPr>
          <w:rFonts w:ascii="Times New Roman" w:hAnsi="Times New Roman" w:cs="Times New Roman"/>
          <w:sz w:val="24"/>
          <w:szCs w:val="24"/>
        </w:rPr>
        <w:t>Catalpol</w:t>
      </w:r>
      <w:proofErr w:type="spellEnd"/>
      <w:r w:rsidRPr="006C5338">
        <w:rPr>
          <w:rFonts w:ascii="Times New Roman" w:hAnsi="Times New Roman" w:cs="Times New Roman"/>
          <w:sz w:val="24"/>
          <w:szCs w:val="24"/>
        </w:rPr>
        <w:t xml:space="preserve"> Attenuates Oxidative Stress and Inflammation via Mechanisms Involving Sirtuin-1 Activation and NF-</w:t>
      </w:r>
      <w:proofErr w:type="spellStart"/>
      <w:r w:rsidRPr="006C5338">
        <w:rPr>
          <w:rFonts w:ascii="Times New Roman" w:hAnsi="Times New Roman" w:cs="Times New Roman"/>
          <w:sz w:val="24"/>
          <w:szCs w:val="24"/>
        </w:rPr>
        <w:t>κB</w:t>
      </w:r>
      <w:proofErr w:type="spellEnd"/>
      <w:r w:rsidRPr="006C5338">
        <w:rPr>
          <w:rFonts w:ascii="Times New Roman" w:hAnsi="Times New Roman" w:cs="Times New Roman"/>
          <w:sz w:val="24"/>
          <w:szCs w:val="24"/>
        </w:rPr>
        <w:t xml:space="preserve"> Inhibition in Experimentally-Induced Chronic Kidney Disease. Nutrients, 15, 237. https://doi.org/10.3390/nu15010237</w:t>
      </w:r>
    </w:p>
    <w:p w14:paraId="77EB155C" w14:textId="35C8C7FB" w:rsidR="00885FD3" w:rsidRPr="006C5338" w:rsidRDefault="00885FD3" w:rsidP="00D75AF8">
      <w:pPr>
        <w:pStyle w:val="ListParagraph"/>
        <w:numPr>
          <w:ilvl w:val="0"/>
          <w:numId w:val="3"/>
        </w:numPr>
        <w:spacing w:line="240" w:lineRule="auto"/>
        <w:jc w:val="both"/>
        <w:rPr>
          <w:rFonts w:ascii="Times New Roman" w:hAnsi="Times New Roman" w:cs="Times New Roman"/>
          <w:sz w:val="24"/>
          <w:szCs w:val="24"/>
        </w:rPr>
      </w:pPr>
      <w:proofErr w:type="spellStart"/>
      <w:r w:rsidRPr="006C5338">
        <w:rPr>
          <w:rFonts w:ascii="Times New Roman" w:hAnsi="Times New Roman" w:cs="Times New Roman"/>
          <w:sz w:val="24"/>
          <w:szCs w:val="24"/>
        </w:rPr>
        <w:t>Aljebory</w:t>
      </w:r>
      <w:proofErr w:type="spellEnd"/>
      <w:r w:rsidRPr="006C5338">
        <w:rPr>
          <w:rFonts w:ascii="Times New Roman" w:hAnsi="Times New Roman" w:cs="Times New Roman"/>
          <w:sz w:val="24"/>
          <w:szCs w:val="24"/>
        </w:rPr>
        <w:t xml:space="preserve">, A.M. and </w:t>
      </w:r>
      <w:proofErr w:type="spellStart"/>
      <w:r w:rsidRPr="006C5338">
        <w:rPr>
          <w:rFonts w:ascii="Times New Roman" w:hAnsi="Times New Roman" w:cs="Times New Roman"/>
          <w:sz w:val="24"/>
          <w:szCs w:val="24"/>
        </w:rPr>
        <w:t>Alsalman</w:t>
      </w:r>
      <w:proofErr w:type="spellEnd"/>
      <w:r w:rsidRPr="006C5338">
        <w:rPr>
          <w:rFonts w:ascii="Times New Roman" w:hAnsi="Times New Roman" w:cs="Times New Roman"/>
          <w:sz w:val="24"/>
          <w:szCs w:val="24"/>
        </w:rPr>
        <w:t>, T.M. (2017). Chitosan Nanoparticles: Review Article, 3.</w:t>
      </w:r>
    </w:p>
    <w:p w14:paraId="109F525A" w14:textId="5D98D6DC" w:rsidR="00885FD3" w:rsidRPr="006C5338" w:rsidRDefault="00885FD3" w:rsidP="00D75AF8">
      <w:pPr>
        <w:pStyle w:val="ListParagraph"/>
        <w:numPr>
          <w:ilvl w:val="0"/>
          <w:numId w:val="3"/>
        </w:numPr>
        <w:spacing w:line="240" w:lineRule="auto"/>
        <w:jc w:val="both"/>
        <w:rPr>
          <w:rFonts w:ascii="Times New Roman" w:hAnsi="Times New Roman" w:cs="Times New Roman"/>
          <w:sz w:val="24"/>
          <w:szCs w:val="24"/>
        </w:rPr>
      </w:pPr>
      <w:r w:rsidRPr="006C5338">
        <w:rPr>
          <w:rFonts w:ascii="Times New Roman" w:hAnsi="Times New Roman" w:cs="Times New Roman"/>
          <w:sz w:val="24"/>
          <w:szCs w:val="24"/>
        </w:rPr>
        <w:t xml:space="preserve">Ghelani, H., </w:t>
      </w:r>
      <w:proofErr w:type="spellStart"/>
      <w:r w:rsidRPr="006C5338">
        <w:rPr>
          <w:rFonts w:ascii="Times New Roman" w:hAnsi="Times New Roman" w:cs="Times New Roman"/>
          <w:sz w:val="24"/>
          <w:szCs w:val="24"/>
        </w:rPr>
        <w:t>Razmovski-Naumovski</w:t>
      </w:r>
      <w:proofErr w:type="spellEnd"/>
      <w:r w:rsidRPr="006C5338">
        <w:rPr>
          <w:rFonts w:ascii="Times New Roman" w:hAnsi="Times New Roman" w:cs="Times New Roman"/>
          <w:sz w:val="24"/>
          <w:szCs w:val="24"/>
        </w:rPr>
        <w:t xml:space="preserve">, V., Chang, D. and </w:t>
      </w:r>
      <w:proofErr w:type="spellStart"/>
      <w:r w:rsidRPr="006C5338">
        <w:rPr>
          <w:rFonts w:ascii="Times New Roman" w:hAnsi="Times New Roman" w:cs="Times New Roman"/>
          <w:sz w:val="24"/>
          <w:szCs w:val="24"/>
        </w:rPr>
        <w:t>Nammi</w:t>
      </w:r>
      <w:proofErr w:type="spellEnd"/>
      <w:r w:rsidRPr="006C5338">
        <w:rPr>
          <w:rFonts w:ascii="Times New Roman" w:hAnsi="Times New Roman" w:cs="Times New Roman"/>
          <w:sz w:val="24"/>
          <w:szCs w:val="24"/>
        </w:rPr>
        <w:t>, S. (2019a). Chronic treatment of curcumin improves hepatic lipid metabolism and alleviates the renal damage in adenine-induced chronic kidney disease in Sprague-Dawley rats. BMC Nephrology, 20, 431. https://doi.org/10.1186/s12882-019-1621-6</w:t>
      </w:r>
    </w:p>
    <w:p w14:paraId="4B26F7C6" w14:textId="5A15D76F" w:rsidR="00885FD3" w:rsidRPr="006C5338" w:rsidRDefault="00885FD3" w:rsidP="00D75AF8">
      <w:pPr>
        <w:pStyle w:val="ListParagraph"/>
        <w:numPr>
          <w:ilvl w:val="0"/>
          <w:numId w:val="3"/>
        </w:numPr>
        <w:spacing w:line="240" w:lineRule="auto"/>
        <w:jc w:val="both"/>
        <w:rPr>
          <w:rFonts w:ascii="Times New Roman" w:hAnsi="Times New Roman" w:cs="Times New Roman"/>
          <w:sz w:val="24"/>
          <w:szCs w:val="24"/>
        </w:rPr>
      </w:pPr>
      <w:r w:rsidRPr="006C5338">
        <w:rPr>
          <w:rFonts w:ascii="Times New Roman" w:hAnsi="Times New Roman" w:cs="Times New Roman"/>
          <w:sz w:val="24"/>
          <w:szCs w:val="24"/>
        </w:rPr>
        <w:t>Ceja-Galicia, Z.A., Aranda-Rivera, A.K., Amador-Martínez, I., Aparicio-Trejo, O.E., Tapia, E., Trujillo, J., Ramírez, V. and Pedraza-</w:t>
      </w:r>
      <w:proofErr w:type="spellStart"/>
      <w:r w:rsidRPr="006C5338">
        <w:rPr>
          <w:rFonts w:ascii="Times New Roman" w:hAnsi="Times New Roman" w:cs="Times New Roman"/>
          <w:sz w:val="24"/>
          <w:szCs w:val="24"/>
        </w:rPr>
        <w:t>Chaverri</w:t>
      </w:r>
      <w:proofErr w:type="spellEnd"/>
      <w:r w:rsidRPr="006C5338">
        <w:rPr>
          <w:rFonts w:ascii="Times New Roman" w:hAnsi="Times New Roman" w:cs="Times New Roman"/>
          <w:sz w:val="24"/>
          <w:szCs w:val="24"/>
        </w:rPr>
        <w:t xml:space="preserve">, J. (2023). The Development of Dyslipidemia </w:t>
      </w:r>
      <w:r w:rsidRPr="006C5338">
        <w:rPr>
          <w:rFonts w:ascii="Times New Roman" w:hAnsi="Times New Roman" w:cs="Times New Roman"/>
          <w:sz w:val="24"/>
          <w:szCs w:val="24"/>
        </w:rPr>
        <w:lastRenderedPageBreak/>
        <w:t>in Chronic Kidney Disease and Associated Cardiovascular Damage, and the Protective Effects of Curcuminoids. Foods 12, 921. https://doi.org/10.3390/foods12050921</w:t>
      </w:r>
    </w:p>
    <w:p w14:paraId="30FC3FCC" w14:textId="3F335BF4" w:rsidR="00885FD3" w:rsidRPr="00D75AF8" w:rsidRDefault="00885FD3" w:rsidP="00D75AF8">
      <w:pPr>
        <w:pStyle w:val="ListParagraph"/>
        <w:numPr>
          <w:ilvl w:val="0"/>
          <w:numId w:val="3"/>
        </w:numPr>
        <w:spacing w:line="240" w:lineRule="auto"/>
        <w:jc w:val="both"/>
        <w:rPr>
          <w:rFonts w:ascii="Times New Roman" w:hAnsi="Times New Roman" w:cs="Times New Roman"/>
          <w:sz w:val="20"/>
          <w:szCs w:val="20"/>
        </w:rPr>
      </w:pPr>
      <w:r w:rsidRPr="00D75AF8">
        <w:rPr>
          <w:rFonts w:ascii="Times New Roman" w:hAnsi="Times New Roman" w:cs="Times New Roman"/>
          <w:sz w:val="20"/>
          <w:szCs w:val="20"/>
        </w:rPr>
        <w:t xml:space="preserve">Diwan, V., Mistry, A., </w:t>
      </w:r>
      <w:proofErr w:type="spellStart"/>
      <w:r w:rsidRPr="00D75AF8">
        <w:rPr>
          <w:rFonts w:ascii="Times New Roman" w:hAnsi="Times New Roman" w:cs="Times New Roman"/>
          <w:sz w:val="20"/>
          <w:szCs w:val="20"/>
        </w:rPr>
        <w:t>Gobe</w:t>
      </w:r>
      <w:proofErr w:type="spellEnd"/>
      <w:r w:rsidRPr="00D75AF8">
        <w:rPr>
          <w:rFonts w:ascii="Times New Roman" w:hAnsi="Times New Roman" w:cs="Times New Roman"/>
          <w:sz w:val="20"/>
          <w:szCs w:val="20"/>
        </w:rPr>
        <w:t xml:space="preserve">, G. and Brown, L. (2013). Adenine-induced chronic kidney and cardiovascular damage in rats. Journal of </w:t>
      </w:r>
      <w:proofErr w:type="spellStart"/>
      <w:r w:rsidRPr="00D75AF8">
        <w:rPr>
          <w:rFonts w:ascii="Times New Roman" w:hAnsi="Times New Roman" w:cs="Times New Roman"/>
          <w:sz w:val="20"/>
          <w:szCs w:val="20"/>
        </w:rPr>
        <w:t>Pharmacolical</w:t>
      </w:r>
      <w:proofErr w:type="spellEnd"/>
      <w:r w:rsidRPr="00D75AF8">
        <w:rPr>
          <w:rFonts w:ascii="Times New Roman" w:hAnsi="Times New Roman" w:cs="Times New Roman"/>
          <w:sz w:val="20"/>
          <w:szCs w:val="20"/>
        </w:rPr>
        <w:t>. Toxicology Methods, 68, 197–207. https://doi.org/10.1016/j.vascn.2013.05.006</w:t>
      </w:r>
    </w:p>
    <w:p w14:paraId="582838EB" w14:textId="18BFEE99" w:rsidR="00885FD3" w:rsidRPr="00D75AF8" w:rsidRDefault="00885FD3" w:rsidP="00D75AF8">
      <w:pPr>
        <w:pStyle w:val="ListParagraph"/>
        <w:numPr>
          <w:ilvl w:val="0"/>
          <w:numId w:val="3"/>
        </w:numPr>
        <w:spacing w:line="240" w:lineRule="auto"/>
        <w:jc w:val="both"/>
        <w:rPr>
          <w:rFonts w:ascii="Times New Roman" w:hAnsi="Times New Roman" w:cs="Times New Roman"/>
          <w:sz w:val="20"/>
          <w:szCs w:val="20"/>
        </w:rPr>
      </w:pPr>
      <w:proofErr w:type="spellStart"/>
      <w:r w:rsidRPr="00D75AF8">
        <w:rPr>
          <w:rFonts w:ascii="Times New Roman" w:hAnsi="Times New Roman" w:cs="Times New Roman"/>
          <w:sz w:val="20"/>
          <w:szCs w:val="20"/>
        </w:rPr>
        <w:t>Elakabawy</w:t>
      </w:r>
      <w:proofErr w:type="spellEnd"/>
      <w:r w:rsidRPr="00D75AF8">
        <w:rPr>
          <w:rFonts w:ascii="Times New Roman" w:hAnsi="Times New Roman" w:cs="Times New Roman"/>
          <w:sz w:val="20"/>
          <w:szCs w:val="20"/>
        </w:rPr>
        <w:t xml:space="preserve">, N., </w:t>
      </w:r>
      <w:proofErr w:type="spellStart"/>
      <w:r w:rsidRPr="00D75AF8">
        <w:rPr>
          <w:rFonts w:ascii="Times New Roman" w:hAnsi="Times New Roman" w:cs="Times New Roman"/>
          <w:sz w:val="20"/>
          <w:szCs w:val="20"/>
        </w:rPr>
        <w:t>Elnegris</w:t>
      </w:r>
      <w:proofErr w:type="spellEnd"/>
      <w:r w:rsidRPr="00D75AF8">
        <w:rPr>
          <w:rFonts w:ascii="Times New Roman" w:hAnsi="Times New Roman" w:cs="Times New Roman"/>
          <w:sz w:val="20"/>
          <w:szCs w:val="20"/>
        </w:rPr>
        <w:t>, H., Abdelrahman, A. and Hassan, E. (2024). Histological and Immunohistochemical study on the possible ameliorative effect of propolis in experimental adenine -induced chronic kidney disease of adult male albino rats. Egypt. Journal of Histology, 0, 0–0. https://doi.org/10.21608/ejh.2024.254345.1983</w:t>
      </w:r>
    </w:p>
    <w:p w14:paraId="7F7479B6" w14:textId="326E4463" w:rsidR="00873716" w:rsidRPr="00885FD3" w:rsidRDefault="00873716" w:rsidP="00D75AF8">
      <w:pPr>
        <w:jc w:val="both"/>
        <w:rPr>
          <w:rFonts w:ascii="Times New Roman" w:hAnsi="Times New Roman" w:cs="Times New Roman"/>
          <w:sz w:val="20"/>
          <w:szCs w:val="20"/>
        </w:rPr>
      </w:pPr>
    </w:p>
    <w:p w14:paraId="4B425AD0" w14:textId="3FC44BFE" w:rsidR="00873716" w:rsidRDefault="00873716" w:rsidP="00D75AF8">
      <w:pPr>
        <w:jc w:val="both"/>
        <w:rPr>
          <w:rFonts w:ascii="Times New Roman" w:hAnsi="Times New Roman" w:cs="Times New Roman"/>
          <w:sz w:val="20"/>
          <w:szCs w:val="20"/>
        </w:rPr>
      </w:pPr>
    </w:p>
    <w:p w14:paraId="68A4260A" w14:textId="7C543482" w:rsidR="006022F0" w:rsidRDefault="006022F0" w:rsidP="00D75AF8">
      <w:pPr>
        <w:jc w:val="both"/>
        <w:rPr>
          <w:rFonts w:ascii="Times New Roman" w:hAnsi="Times New Roman" w:cs="Times New Roman"/>
          <w:sz w:val="20"/>
          <w:szCs w:val="20"/>
        </w:rPr>
      </w:pPr>
    </w:p>
    <w:p w14:paraId="456F4820" w14:textId="6A3F11E3" w:rsidR="006022F0" w:rsidRPr="00885FD3" w:rsidRDefault="006022F0" w:rsidP="00D75AF8">
      <w:pPr>
        <w:jc w:val="both"/>
        <w:rPr>
          <w:rFonts w:ascii="Times New Roman" w:hAnsi="Times New Roman" w:cs="Times New Roman"/>
          <w:sz w:val="20"/>
          <w:szCs w:val="20"/>
        </w:rPr>
      </w:pPr>
    </w:p>
    <w:sectPr w:rsidR="006022F0" w:rsidRPr="00885FD3" w:rsidSect="00F24F5B">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9928E" w14:textId="77777777" w:rsidR="007E0602" w:rsidRDefault="007E0602" w:rsidP="00887725">
      <w:pPr>
        <w:spacing w:after="0" w:line="240" w:lineRule="auto"/>
      </w:pPr>
      <w:r>
        <w:separator/>
      </w:r>
    </w:p>
  </w:endnote>
  <w:endnote w:type="continuationSeparator" w:id="0">
    <w:p w14:paraId="49299596" w14:textId="77777777" w:rsidR="007E0602" w:rsidRDefault="007E0602" w:rsidP="00887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A50B6" w14:textId="77777777" w:rsidR="007E0602" w:rsidRDefault="007E0602" w:rsidP="00887725">
      <w:pPr>
        <w:spacing w:after="0" w:line="240" w:lineRule="auto"/>
      </w:pPr>
      <w:r>
        <w:separator/>
      </w:r>
    </w:p>
  </w:footnote>
  <w:footnote w:type="continuationSeparator" w:id="0">
    <w:p w14:paraId="52690669" w14:textId="77777777" w:rsidR="007E0602" w:rsidRDefault="007E0602" w:rsidP="00887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E00B1" w14:textId="6A020DF9" w:rsidR="006B7026" w:rsidRDefault="007E0602">
    <w:pPr>
      <w:pStyle w:val="Header"/>
    </w:pPr>
    <w:r>
      <w:rPr>
        <w:noProof/>
      </w:rPr>
      <w:pict w14:anchorId="177476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01063" o:sp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2C8EF" w14:textId="7D12B417" w:rsidR="006B7026" w:rsidRDefault="007E0602">
    <w:pPr>
      <w:pStyle w:val="Header"/>
    </w:pPr>
    <w:r>
      <w:rPr>
        <w:noProof/>
      </w:rPr>
      <w:pict w14:anchorId="598FCF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01064" o:spid="_x0000_s2051" type="#_x0000_t136" style="position:absolute;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83FF5" w14:textId="02D3228A" w:rsidR="006B7026" w:rsidRDefault="007E0602">
    <w:pPr>
      <w:pStyle w:val="Header"/>
    </w:pPr>
    <w:r>
      <w:rPr>
        <w:noProof/>
      </w:rPr>
      <w:pict w14:anchorId="7A394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01062" o:spid="_x0000_s2049"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E6394"/>
    <w:multiLevelType w:val="hybridMultilevel"/>
    <w:tmpl w:val="DA2C61D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C154196"/>
    <w:multiLevelType w:val="hybridMultilevel"/>
    <w:tmpl w:val="F39AFE6C"/>
    <w:lvl w:ilvl="0" w:tplc="B04015AE">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FAB4A52"/>
    <w:multiLevelType w:val="hybridMultilevel"/>
    <w:tmpl w:val="DBEC80F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716"/>
    <w:rsid w:val="000135DD"/>
    <w:rsid w:val="000201B5"/>
    <w:rsid w:val="00050EE5"/>
    <w:rsid w:val="00091D49"/>
    <w:rsid w:val="000A005D"/>
    <w:rsid w:val="000F3812"/>
    <w:rsid w:val="00104F19"/>
    <w:rsid w:val="00113259"/>
    <w:rsid w:val="00114E50"/>
    <w:rsid w:val="00141103"/>
    <w:rsid w:val="00145E99"/>
    <w:rsid w:val="001530BB"/>
    <w:rsid w:val="00157BE7"/>
    <w:rsid w:val="001802D1"/>
    <w:rsid w:val="001F64A8"/>
    <w:rsid w:val="002035DA"/>
    <w:rsid w:val="00233466"/>
    <w:rsid w:val="0024269E"/>
    <w:rsid w:val="00245E2C"/>
    <w:rsid w:val="0026276C"/>
    <w:rsid w:val="00266C4E"/>
    <w:rsid w:val="00283F80"/>
    <w:rsid w:val="00320E62"/>
    <w:rsid w:val="00371CC2"/>
    <w:rsid w:val="003A19DC"/>
    <w:rsid w:val="003C67DB"/>
    <w:rsid w:val="003E6E78"/>
    <w:rsid w:val="00432DA1"/>
    <w:rsid w:val="00457F8D"/>
    <w:rsid w:val="00481E71"/>
    <w:rsid w:val="00486F5C"/>
    <w:rsid w:val="004D0F6F"/>
    <w:rsid w:val="00546399"/>
    <w:rsid w:val="00566A26"/>
    <w:rsid w:val="00567730"/>
    <w:rsid w:val="005A378C"/>
    <w:rsid w:val="005A73C7"/>
    <w:rsid w:val="005C4310"/>
    <w:rsid w:val="005F10A8"/>
    <w:rsid w:val="006022F0"/>
    <w:rsid w:val="00612F14"/>
    <w:rsid w:val="006155BD"/>
    <w:rsid w:val="00627218"/>
    <w:rsid w:val="00631063"/>
    <w:rsid w:val="00647006"/>
    <w:rsid w:val="00672707"/>
    <w:rsid w:val="00681BF4"/>
    <w:rsid w:val="00683508"/>
    <w:rsid w:val="006920AB"/>
    <w:rsid w:val="00695221"/>
    <w:rsid w:val="006B46BB"/>
    <w:rsid w:val="006B7026"/>
    <w:rsid w:val="006C5338"/>
    <w:rsid w:val="006F0111"/>
    <w:rsid w:val="006F3DA8"/>
    <w:rsid w:val="00712985"/>
    <w:rsid w:val="00715B80"/>
    <w:rsid w:val="00741222"/>
    <w:rsid w:val="007871EA"/>
    <w:rsid w:val="00790110"/>
    <w:rsid w:val="007931E6"/>
    <w:rsid w:val="007973A0"/>
    <w:rsid w:val="007A4028"/>
    <w:rsid w:val="007B1A13"/>
    <w:rsid w:val="007B53D5"/>
    <w:rsid w:val="007D050D"/>
    <w:rsid w:val="007D4C5C"/>
    <w:rsid w:val="007E0602"/>
    <w:rsid w:val="007E524F"/>
    <w:rsid w:val="007F185A"/>
    <w:rsid w:val="007F6BC3"/>
    <w:rsid w:val="00820CB4"/>
    <w:rsid w:val="00821E82"/>
    <w:rsid w:val="00834A56"/>
    <w:rsid w:val="00837EE0"/>
    <w:rsid w:val="0084359B"/>
    <w:rsid w:val="00845E32"/>
    <w:rsid w:val="00847802"/>
    <w:rsid w:val="00873716"/>
    <w:rsid w:val="00885FD3"/>
    <w:rsid w:val="00887725"/>
    <w:rsid w:val="008C0490"/>
    <w:rsid w:val="008F7DF5"/>
    <w:rsid w:val="00906102"/>
    <w:rsid w:val="00915D62"/>
    <w:rsid w:val="00941EEE"/>
    <w:rsid w:val="00942BE3"/>
    <w:rsid w:val="00952579"/>
    <w:rsid w:val="009628E4"/>
    <w:rsid w:val="00962DA3"/>
    <w:rsid w:val="00972494"/>
    <w:rsid w:val="0099455B"/>
    <w:rsid w:val="009A2284"/>
    <w:rsid w:val="009A3CCC"/>
    <w:rsid w:val="009A79DB"/>
    <w:rsid w:val="00A0180F"/>
    <w:rsid w:val="00A31DF5"/>
    <w:rsid w:val="00A40D74"/>
    <w:rsid w:val="00AA4BE4"/>
    <w:rsid w:val="00AB5E19"/>
    <w:rsid w:val="00AD7696"/>
    <w:rsid w:val="00AF0ABF"/>
    <w:rsid w:val="00B034D5"/>
    <w:rsid w:val="00B225A2"/>
    <w:rsid w:val="00B33D40"/>
    <w:rsid w:val="00B4089F"/>
    <w:rsid w:val="00B625EC"/>
    <w:rsid w:val="00B80E2A"/>
    <w:rsid w:val="00B93EBD"/>
    <w:rsid w:val="00BD29CB"/>
    <w:rsid w:val="00BD2DD5"/>
    <w:rsid w:val="00BD43D9"/>
    <w:rsid w:val="00C4331A"/>
    <w:rsid w:val="00C57C08"/>
    <w:rsid w:val="00C71524"/>
    <w:rsid w:val="00C82488"/>
    <w:rsid w:val="00CF7AC7"/>
    <w:rsid w:val="00D002AC"/>
    <w:rsid w:val="00D261BC"/>
    <w:rsid w:val="00D37387"/>
    <w:rsid w:val="00D75AF8"/>
    <w:rsid w:val="00DB1FB3"/>
    <w:rsid w:val="00DB41E6"/>
    <w:rsid w:val="00DD5227"/>
    <w:rsid w:val="00DE3EAB"/>
    <w:rsid w:val="00DF6641"/>
    <w:rsid w:val="00E3125D"/>
    <w:rsid w:val="00E522C2"/>
    <w:rsid w:val="00E568A1"/>
    <w:rsid w:val="00E57068"/>
    <w:rsid w:val="00E66655"/>
    <w:rsid w:val="00EA025B"/>
    <w:rsid w:val="00EB5EAA"/>
    <w:rsid w:val="00EC21C4"/>
    <w:rsid w:val="00EF1DE7"/>
    <w:rsid w:val="00F24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6DB773"/>
  <w15:chartTrackingRefBased/>
  <w15:docId w15:val="{D67606B8-0725-4DDB-BA1B-17903CEFF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79DB"/>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9DB"/>
    <w:rPr>
      <w:rFonts w:asciiTheme="majorHAnsi" w:eastAsiaTheme="majorEastAsia" w:hAnsiTheme="majorHAnsi" w:cstheme="majorBidi"/>
      <w:color w:val="2F5496" w:themeColor="accent1" w:themeShade="BF"/>
      <w:kern w:val="2"/>
      <w:sz w:val="40"/>
      <w:szCs w:val="40"/>
      <w:lang w:val="en-US"/>
      <w14:ligatures w14:val="standardContextual"/>
    </w:rPr>
  </w:style>
  <w:style w:type="character" w:styleId="Strong">
    <w:name w:val="Strong"/>
    <w:basedOn w:val="DefaultParagraphFont"/>
    <w:uiPriority w:val="22"/>
    <w:qFormat/>
    <w:rsid w:val="00283F80"/>
    <w:rPr>
      <w:b/>
      <w:bCs/>
    </w:rPr>
  </w:style>
  <w:style w:type="character" w:styleId="Emphasis">
    <w:name w:val="Emphasis"/>
    <w:basedOn w:val="DefaultParagraphFont"/>
    <w:uiPriority w:val="20"/>
    <w:qFormat/>
    <w:rsid w:val="00283F80"/>
    <w:rPr>
      <w:i/>
      <w:iCs/>
    </w:rPr>
  </w:style>
  <w:style w:type="character" w:styleId="Hyperlink">
    <w:name w:val="Hyperlink"/>
    <w:basedOn w:val="DefaultParagraphFont"/>
    <w:uiPriority w:val="99"/>
    <w:unhideWhenUsed/>
    <w:rsid w:val="007D4C5C"/>
    <w:rPr>
      <w:color w:val="0563C1" w:themeColor="hyperlink"/>
      <w:u w:val="single"/>
    </w:rPr>
  </w:style>
  <w:style w:type="character" w:styleId="UnresolvedMention">
    <w:name w:val="Unresolved Mention"/>
    <w:basedOn w:val="DefaultParagraphFont"/>
    <w:uiPriority w:val="99"/>
    <w:semiHidden/>
    <w:unhideWhenUsed/>
    <w:rsid w:val="007D4C5C"/>
    <w:rPr>
      <w:color w:val="605E5C"/>
      <w:shd w:val="clear" w:color="auto" w:fill="E1DFDD"/>
    </w:rPr>
  </w:style>
  <w:style w:type="paragraph" w:styleId="ListParagraph">
    <w:name w:val="List Paragraph"/>
    <w:basedOn w:val="Normal"/>
    <w:uiPriority w:val="34"/>
    <w:qFormat/>
    <w:rsid w:val="00837EE0"/>
    <w:pPr>
      <w:ind w:left="720"/>
      <w:contextualSpacing/>
    </w:pPr>
  </w:style>
  <w:style w:type="character" w:styleId="LineNumber">
    <w:name w:val="line number"/>
    <w:basedOn w:val="DefaultParagraphFont"/>
    <w:uiPriority w:val="99"/>
    <w:semiHidden/>
    <w:unhideWhenUsed/>
    <w:rsid w:val="00A40D74"/>
  </w:style>
  <w:style w:type="paragraph" w:styleId="Header">
    <w:name w:val="header"/>
    <w:basedOn w:val="Normal"/>
    <w:link w:val="HeaderChar"/>
    <w:uiPriority w:val="99"/>
    <w:unhideWhenUsed/>
    <w:rsid w:val="00887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725"/>
  </w:style>
  <w:style w:type="paragraph" w:styleId="Footer">
    <w:name w:val="footer"/>
    <w:basedOn w:val="Normal"/>
    <w:link w:val="FooterChar"/>
    <w:uiPriority w:val="99"/>
    <w:unhideWhenUsed/>
    <w:rsid w:val="00887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725"/>
  </w:style>
  <w:style w:type="paragraph" w:styleId="BalloonText">
    <w:name w:val="Balloon Text"/>
    <w:basedOn w:val="Normal"/>
    <w:link w:val="BalloonTextChar"/>
    <w:uiPriority w:val="99"/>
    <w:semiHidden/>
    <w:unhideWhenUsed/>
    <w:rsid w:val="00EC21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1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10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B7F17-40A2-44AF-813E-5199B361B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12</Pages>
  <Words>3922</Words>
  <Characters>22361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1158</cp:lastModifiedBy>
  <cp:revision>69</cp:revision>
  <dcterms:created xsi:type="dcterms:W3CDTF">2026-01-16T14:08:00Z</dcterms:created>
  <dcterms:modified xsi:type="dcterms:W3CDTF">2026-03-25T08:42:00Z</dcterms:modified>
</cp:coreProperties>
</file>