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7341" w:rsidRDefault="00CA51A5">
      <w:pPr>
        <w:jc w:val="center"/>
        <w:rPr>
          <w:rFonts w:ascii="Times New Roman" w:hAnsi="Times New Roman"/>
          <w:sz w:val="24"/>
          <w:szCs w:val="24"/>
        </w:rPr>
      </w:pPr>
      <w:r>
        <w:rPr>
          <w:rFonts w:ascii="Times New Roman" w:hAnsi="Times New Roman"/>
          <w:b/>
          <w:sz w:val="24"/>
          <w:szCs w:val="24"/>
        </w:rPr>
        <w:t xml:space="preserve">Emergence of Wetland </w:t>
      </w:r>
      <w:proofErr w:type="spellStart"/>
      <w:r>
        <w:rPr>
          <w:rFonts w:ascii="Times New Roman" w:hAnsi="Times New Roman"/>
          <w:b/>
          <w:sz w:val="24"/>
          <w:szCs w:val="24"/>
        </w:rPr>
        <w:t>Neighbourhoods</w:t>
      </w:r>
      <w:proofErr w:type="spellEnd"/>
      <w:r>
        <w:rPr>
          <w:rFonts w:ascii="Times New Roman" w:hAnsi="Times New Roman"/>
          <w:b/>
          <w:sz w:val="24"/>
          <w:szCs w:val="24"/>
        </w:rPr>
        <w:t xml:space="preserve"> in Port Harcourt and the Challenge to the Urban Planner</w:t>
      </w:r>
    </w:p>
    <w:p w:rsidR="00201BE2" w:rsidRDefault="00201BE2" w:rsidP="00201BE2">
      <w:pPr>
        <w:pStyle w:val="Heading2"/>
        <w:spacing w:beforeAutospacing="0" w:afterAutospacing="0"/>
        <w:jc w:val="both"/>
        <w:rPr>
          <w:rStyle w:val="Strong"/>
          <w:rFonts w:ascii="Times New Roman" w:hAnsi="Times New Roman" w:hint="default"/>
          <w:b/>
          <w:bCs/>
          <w:sz w:val="24"/>
          <w:szCs w:val="24"/>
        </w:rPr>
      </w:pPr>
      <w:r w:rsidRPr="00201BE2">
        <w:rPr>
          <w:rStyle w:val="Strong"/>
          <w:rFonts w:ascii="Times New Roman" w:hAnsi="Times New Roman" w:hint="default"/>
          <w:b/>
          <w:bCs/>
          <w:sz w:val="24"/>
          <w:szCs w:val="24"/>
        </w:rPr>
        <w:t xml:space="preserve">Abstract </w:t>
      </w:r>
    </w:p>
    <w:p w:rsidR="00751B1A" w:rsidRPr="00751B1A" w:rsidRDefault="00751B1A" w:rsidP="00751B1A"/>
    <w:p w:rsidR="00201BE2" w:rsidRPr="00201BE2" w:rsidRDefault="006124C1" w:rsidP="00201BE2">
      <w:pPr>
        <w:pStyle w:val="NormalWeb"/>
        <w:spacing w:beforeAutospacing="0" w:afterAutospacing="0"/>
        <w:jc w:val="both"/>
        <w:rPr>
          <w:rFonts w:ascii="Times New Roman" w:hAnsi="Times New Roman"/>
        </w:rPr>
      </w:pPr>
      <w:r w:rsidRPr="006124C1">
        <w:rPr>
          <w:rFonts w:ascii="Times New Roman" w:hAnsi="Times New Roman"/>
        </w:rPr>
        <w:t>Rapid urban expansion and land-use changes have increasingly encroached upon wetland ecosystems, leading to their degradation and loss, particularly in developing regions where planning control is limited. In cities like Port Harcourt, this has resulted in a transition from informal wetland settlements to more structured residential developments, raising critical concerns for sustainable urban planning and environmental management.</w:t>
      </w:r>
      <w:r>
        <w:rPr>
          <w:rFonts w:ascii="Times New Roman" w:hAnsi="Times New Roman"/>
        </w:rPr>
        <w:t xml:space="preserve"> </w:t>
      </w:r>
      <w:r w:rsidR="00201BE2" w:rsidRPr="00201BE2">
        <w:rPr>
          <w:rFonts w:ascii="Times New Roman" w:hAnsi="Times New Roman"/>
        </w:rPr>
        <w:t xml:space="preserve">This study examines the emergence and expansion of wetland </w:t>
      </w:r>
      <w:proofErr w:type="spellStart"/>
      <w:r w:rsidR="00201BE2" w:rsidRPr="00201BE2">
        <w:rPr>
          <w:rFonts w:ascii="Times New Roman" w:hAnsi="Times New Roman"/>
        </w:rPr>
        <w:t>neighbourhoods</w:t>
      </w:r>
      <w:proofErr w:type="spellEnd"/>
      <w:r w:rsidR="00201BE2" w:rsidRPr="00201BE2">
        <w:rPr>
          <w:rFonts w:ascii="Times New Roman" w:hAnsi="Times New Roman"/>
        </w:rPr>
        <w:t xml:space="preserve"> in Port Harcourt, focusing on their spatial patterns, socio-economic characteristics, underlying drivers, and implications for urban planning. Rapid urbanization, rising land values, and increasing housing costs within the formal urban core have intensified pressure on marginal lands, leading to settlement growth in environmentally sensitive wetland areas. A mixed-method approach was adopted, combining 131 structured questionnaires across six purposively selected </w:t>
      </w:r>
      <w:proofErr w:type="spellStart"/>
      <w:r w:rsidR="00201BE2" w:rsidRPr="00201BE2">
        <w:rPr>
          <w:rFonts w:ascii="Times New Roman" w:hAnsi="Times New Roman"/>
        </w:rPr>
        <w:t>neighbourhoods</w:t>
      </w:r>
      <w:proofErr w:type="spellEnd"/>
      <w:r w:rsidR="00201BE2" w:rsidRPr="00201BE2">
        <w:rPr>
          <w:rFonts w:ascii="Times New Roman" w:hAnsi="Times New Roman"/>
        </w:rPr>
        <w:t xml:space="preserve"> with field observations and geospatial analysis. Spatial techniques, including a distance matrix, were used to assess the relationship between settlement location and proximity to major road infrastructure. Findings reveal that wetland </w:t>
      </w:r>
      <w:proofErr w:type="spellStart"/>
      <w:r w:rsidR="00201BE2" w:rsidRPr="00201BE2">
        <w:rPr>
          <w:rFonts w:ascii="Times New Roman" w:hAnsi="Times New Roman"/>
        </w:rPr>
        <w:t>neighbourhoods</w:t>
      </w:r>
      <w:proofErr w:type="spellEnd"/>
      <w:r w:rsidR="00201BE2" w:rsidRPr="00201BE2">
        <w:rPr>
          <w:rFonts w:ascii="Times New Roman" w:hAnsi="Times New Roman"/>
        </w:rPr>
        <w:t xml:space="preserve"> are increasingly occupied by middle-income residents, indicating a transition from traditional low-income informal settlements to more hybrid development forms. Key drivers include housing affordability constraints, accessibility to transport corridors, availability of low-cost land, and weak development control mechanisms. Despite their accessibility, these </w:t>
      </w:r>
      <w:proofErr w:type="spellStart"/>
      <w:r w:rsidR="00201BE2" w:rsidRPr="00201BE2">
        <w:rPr>
          <w:rFonts w:ascii="Times New Roman" w:hAnsi="Times New Roman"/>
        </w:rPr>
        <w:t>neighbourhoods</w:t>
      </w:r>
      <w:proofErr w:type="spellEnd"/>
      <w:r w:rsidR="00201BE2" w:rsidRPr="00201BE2">
        <w:rPr>
          <w:rFonts w:ascii="Times New Roman" w:hAnsi="Times New Roman"/>
        </w:rPr>
        <w:t xml:space="preserve"> exhibit planning deficiencies such as irregular layouts, inadequate infrastructure, encroachment into drainage channels, and heightened flood vulnerability. The study concludes that wetland urbanization reflects structural housing and governance challenges and underscores the need for integrated, risk-sensitive planning approaches supported by geospatial technologies.</w:t>
      </w:r>
    </w:p>
    <w:p w:rsidR="00817341" w:rsidRDefault="00817341">
      <w:pPr>
        <w:spacing w:after="0" w:line="240" w:lineRule="auto"/>
        <w:jc w:val="both"/>
        <w:rPr>
          <w:rFonts w:ascii="Times New Roman" w:eastAsia="Times New Roman" w:hAnsi="Times New Roman"/>
          <w:b/>
          <w:bCs/>
          <w:sz w:val="24"/>
          <w:szCs w:val="24"/>
          <w:lang w:val="en-GB" w:eastAsia="en-GB"/>
        </w:rPr>
      </w:pPr>
    </w:p>
    <w:p w:rsidR="00817341" w:rsidRDefault="00CA51A5" w:rsidP="00450807">
      <w:pPr>
        <w:spacing w:after="0" w:line="240" w:lineRule="auto"/>
        <w:jc w:val="both"/>
        <w:rPr>
          <w:rFonts w:ascii="Times New Roman" w:hAnsi="Times New Roman"/>
          <w:sz w:val="24"/>
          <w:szCs w:val="24"/>
        </w:rPr>
      </w:pPr>
      <w:r>
        <w:rPr>
          <w:rFonts w:ascii="Times New Roman" w:eastAsia="Times New Roman" w:hAnsi="Times New Roman"/>
          <w:b/>
          <w:bCs/>
          <w:sz w:val="24"/>
          <w:szCs w:val="24"/>
          <w:lang w:val="en-GB" w:eastAsia="en-GB"/>
        </w:rPr>
        <w:t>Keywords:</w:t>
      </w:r>
      <w:r>
        <w:rPr>
          <w:rFonts w:ascii="Times New Roman" w:eastAsia="Times New Roman" w:hAnsi="Times New Roman"/>
          <w:sz w:val="24"/>
          <w:szCs w:val="24"/>
          <w:lang w:val="en-GB" w:eastAsia="en-GB"/>
        </w:rPr>
        <w:t xml:space="preserve"> </w:t>
      </w:r>
      <w:r w:rsidR="00450807" w:rsidRPr="00450807">
        <w:rPr>
          <w:rFonts w:ascii="Times New Roman" w:hAnsi="Times New Roman"/>
          <w:sz w:val="24"/>
          <w:szCs w:val="24"/>
        </w:rPr>
        <w:t>Wetland Urbanization, Spatial Analysis, Distance Matrix, Urban Informality, Accessibility, Flood Risk</w:t>
      </w:r>
    </w:p>
    <w:p w:rsidR="00CA51A5" w:rsidRDefault="00CA51A5" w:rsidP="00450807">
      <w:pPr>
        <w:spacing w:after="0" w:line="240" w:lineRule="auto"/>
        <w:jc w:val="both"/>
        <w:rPr>
          <w:rFonts w:ascii="Times New Roman" w:hAnsi="Times New Roman"/>
          <w:sz w:val="24"/>
          <w:szCs w:val="24"/>
        </w:rPr>
      </w:pPr>
    </w:p>
    <w:p w:rsidR="00CA51A5" w:rsidRPr="00CA51A5" w:rsidRDefault="00CA51A5" w:rsidP="00CA51A5">
      <w:pPr>
        <w:pStyle w:val="Heading2"/>
        <w:spacing w:beforeAutospacing="0" w:afterAutospacing="0" w:line="360" w:lineRule="auto"/>
        <w:jc w:val="both"/>
        <w:rPr>
          <w:rFonts w:ascii="Times New Roman" w:hAnsi="Times New Roman" w:hint="default"/>
          <w:b w:val="0"/>
          <w:sz w:val="24"/>
          <w:szCs w:val="24"/>
        </w:rPr>
      </w:pPr>
      <w:r w:rsidRPr="00CA51A5">
        <w:rPr>
          <w:rStyle w:val="Strong"/>
          <w:rFonts w:ascii="Times New Roman" w:hAnsi="Times New Roman" w:hint="default"/>
          <w:b/>
          <w:sz w:val="24"/>
          <w:szCs w:val="24"/>
        </w:rPr>
        <w:t xml:space="preserve">1. Introduction </w:t>
      </w:r>
    </w:p>
    <w:p w:rsidR="00CA51A5" w:rsidRPr="00CA51A5" w:rsidRDefault="00CA51A5" w:rsidP="00CA51A5">
      <w:pPr>
        <w:pStyle w:val="NormalWeb"/>
        <w:spacing w:beforeAutospacing="0" w:afterAutospacing="0" w:line="360" w:lineRule="auto"/>
        <w:jc w:val="both"/>
        <w:rPr>
          <w:rFonts w:ascii="Times New Roman" w:hAnsi="Times New Roman"/>
        </w:rPr>
      </w:pPr>
      <w:r w:rsidRPr="00CA51A5">
        <w:rPr>
          <w:rFonts w:ascii="Times New Roman" w:hAnsi="Times New Roman"/>
        </w:rPr>
        <w:t>The expansion of land-use activities across the globe has significantly altered wetland ecosystems, particularly in developing countries where regulatory control is often weak. These transformations have resulted in widespread degradation and, in many cases, the irreversible loss of natural wetland systems (Darrah et al., 2019; Hu et al., 2017). Contemporary urban expansion continues to exert intense pressure on ecologically sensitive landscapes, especially wetlands in rapidly growing cities, where land conversion often outpaces planning control and environmental protection (</w:t>
      </w:r>
      <w:proofErr w:type="spellStart"/>
      <w:r w:rsidRPr="00CA51A5">
        <w:rPr>
          <w:rFonts w:ascii="Times New Roman" w:hAnsi="Times New Roman"/>
        </w:rPr>
        <w:t>Güneralp</w:t>
      </w:r>
      <w:proofErr w:type="spellEnd"/>
      <w:r w:rsidRPr="00CA51A5">
        <w:rPr>
          <w:rFonts w:ascii="Times New Roman" w:hAnsi="Times New Roman"/>
        </w:rPr>
        <w:t xml:space="preserve"> et al., 2020; Huang et al., 2019). In many cities of the Global South, wetlands have increasingly become sites of urban encroachment, reflecting broader tensions between </w:t>
      </w:r>
      <w:r w:rsidRPr="00CA51A5">
        <w:rPr>
          <w:rFonts w:ascii="Times New Roman" w:hAnsi="Times New Roman"/>
        </w:rPr>
        <w:lastRenderedPageBreak/>
        <w:t>environmental sustainability and urban development (</w:t>
      </w:r>
      <w:proofErr w:type="spellStart"/>
      <w:r w:rsidRPr="00CA51A5">
        <w:rPr>
          <w:rFonts w:ascii="Times New Roman" w:hAnsi="Times New Roman"/>
        </w:rPr>
        <w:t>Cobbinah</w:t>
      </w:r>
      <w:proofErr w:type="spellEnd"/>
      <w:r w:rsidRPr="00CA51A5">
        <w:rPr>
          <w:rFonts w:ascii="Times New Roman" w:hAnsi="Times New Roman"/>
        </w:rPr>
        <w:t xml:space="preserve"> et al., 2015; </w:t>
      </w:r>
      <w:proofErr w:type="spellStart"/>
      <w:r w:rsidRPr="00CA51A5">
        <w:rPr>
          <w:rFonts w:ascii="Times New Roman" w:hAnsi="Times New Roman"/>
        </w:rPr>
        <w:t>Hettiarachchi</w:t>
      </w:r>
      <w:proofErr w:type="spellEnd"/>
      <w:r w:rsidRPr="00CA51A5">
        <w:rPr>
          <w:rFonts w:ascii="Times New Roman" w:hAnsi="Times New Roman"/>
        </w:rPr>
        <w:t xml:space="preserve"> et al., 2018).</w:t>
      </w:r>
    </w:p>
    <w:p w:rsidR="00CA51A5" w:rsidRPr="00CA51A5" w:rsidRDefault="00CA51A5" w:rsidP="00CA51A5">
      <w:pPr>
        <w:pStyle w:val="NormalWeb"/>
        <w:spacing w:beforeAutospacing="0" w:afterAutospacing="0" w:line="360" w:lineRule="auto"/>
        <w:jc w:val="both"/>
        <w:rPr>
          <w:rFonts w:ascii="Times New Roman" w:hAnsi="Times New Roman"/>
        </w:rPr>
      </w:pPr>
      <w:r w:rsidRPr="00CA51A5">
        <w:rPr>
          <w:rFonts w:ascii="Times New Roman" w:hAnsi="Times New Roman"/>
        </w:rPr>
        <w:t>Wetlands provide critical ecosystem services, including water storage, flood regulation, purification, and pollution control, as well as habitat for diverse plant and animal species. These ecosystem functions are essential for maintaining ecological balance and enhancing urban resilience, particularly in flood-prone deltaic environments (Acreman et al., 2020; Finlayson et al., 2019). However, the conversion of wetlands into built-up areas disrupts these ecological processes, reducing their capacity to deliver long-term environmental benefits. As urbanization intensifies, the loss and degradation of wetlands have become a major sustainability concern in rapidly developing regions (</w:t>
      </w:r>
      <w:proofErr w:type="spellStart"/>
      <w:r w:rsidRPr="00CA51A5">
        <w:rPr>
          <w:rFonts w:ascii="Times New Roman" w:hAnsi="Times New Roman"/>
        </w:rPr>
        <w:t>Hettiarachchi</w:t>
      </w:r>
      <w:proofErr w:type="spellEnd"/>
      <w:r w:rsidRPr="00CA51A5">
        <w:rPr>
          <w:rFonts w:ascii="Times New Roman" w:hAnsi="Times New Roman"/>
        </w:rPr>
        <w:t xml:space="preserve"> et al., 2018; </w:t>
      </w:r>
      <w:proofErr w:type="spellStart"/>
      <w:r w:rsidRPr="00CA51A5">
        <w:rPr>
          <w:rFonts w:ascii="Times New Roman" w:hAnsi="Times New Roman"/>
        </w:rPr>
        <w:t>Alikhani</w:t>
      </w:r>
      <w:proofErr w:type="spellEnd"/>
      <w:r w:rsidRPr="00CA51A5">
        <w:rPr>
          <w:rFonts w:ascii="Times New Roman" w:hAnsi="Times New Roman"/>
        </w:rPr>
        <w:t xml:space="preserve"> et al., 2021).</w:t>
      </w:r>
    </w:p>
    <w:p w:rsidR="00CA51A5" w:rsidRPr="00CA51A5" w:rsidRDefault="00CA51A5" w:rsidP="00CA51A5">
      <w:pPr>
        <w:pStyle w:val="NormalWeb"/>
        <w:spacing w:beforeAutospacing="0" w:afterAutospacing="0" w:line="360" w:lineRule="auto"/>
        <w:jc w:val="both"/>
        <w:rPr>
          <w:rFonts w:ascii="Times New Roman" w:hAnsi="Times New Roman"/>
        </w:rPr>
      </w:pPr>
      <w:r w:rsidRPr="00CA51A5">
        <w:rPr>
          <w:rFonts w:ascii="Times New Roman" w:hAnsi="Times New Roman"/>
        </w:rPr>
        <w:t xml:space="preserve">Port Harcourt, a rapidly growing urban </w:t>
      </w:r>
      <w:proofErr w:type="spellStart"/>
      <w:r w:rsidRPr="00CA51A5">
        <w:rPr>
          <w:rFonts w:ascii="Times New Roman" w:hAnsi="Times New Roman"/>
        </w:rPr>
        <w:t>centre</w:t>
      </w:r>
      <w:proofErr w:type="spellEnd"/>
      <w:r w:rsidRPr="00CA51A5">
        <w:rPr>
          <w:rFonts w:ascii="Times New Roman" w:hAnsi="Times New Roman"/>
        </w:rPr>
        <w:t xml:space="preserve"> in the Niger Delta, is characterized by extensive wetland ecosystems and limited arable land suitable for development. Rapid population growth and economic expansion—driven largely by oil and commercial activities—have intensified pressure on land resources, forcing urban expansion into marginal environments such as wetlands. This pattern reflects a broader phenomenon observed across cities in the Global South, where land scarcity and housing demand drive development into environmentally sensitive areas (</w:t>
      </w:r>
      <w:proofErr w:type="spellStart"/>
      <w:r w:rsidRPr="00CA51A5">
        <w:rPr>
          <w:rFonts w:ascii="Times New Roman" w:hAnsi="Times New Roman"/>
        </w:rPr>
        <w:t>Cobbinah</w:t>
      </w:r>
      <w:proofErr w:type="spellEnd"/>
      <w:r w:rsidRPr="00CA51A5">
        <w:rPr>
          <w:rFonts w:ascii="Times New Roman" w:hAnsi="Times New Roman"/>
        </w:rPr>
        <w:t xml:space="preserve"> et al., 2015; </w:t>
      </w:r>
      <w:proofErr w:type="spellStart"/>
      <w:r w:rsidRPr="00CA51A5">
        <w:rPr>
          <w:rFonts w:ascii="Times New Roman" w:hAnsi="Times New Roman"/>
        </w:rPr>
        <w:t>Güneralp</w:t>
      </w:r>
      <w:proofErr w:type="spellEnd"/>
      <w:r w:rsidRPr="00CA51A5">
        <w:rPr>
          <w:rFonts w:ascii="Times New Roman" w:hAnsi="Times New Roman"/>
        </w:rPr>
        <w:t xml:space="preserve"> et al., 2020).</w:t>
      </w:r>
    </w:p>
    <w:p w:rsidR="00CA51A5" w:rsidRPr="00CA51A5" w:rsidRDefault="00CA51A5" w:rsidP="00CA51A5">
      <w:pPr>
        <w:pStyle w:val="NormalWeb"/>
        <w:spacing w:beforeAutospacing="0" w:afterAutospacing="0" w:line="360" w:lineRule="auto"/>
        <w:jc w:val="both"/>
        <w:rPr>
          <w:rFonts w:ascii="Times New Roman" w:hAnsi="Times New Roman"/>
        </w:rPr>
      </w:pPr>
      <w:r w:rsidRPr="00CA51A5">
        <w:rPr>
          <w:rFonts w:ascii="Times New Roman" w:hAnsi="Times New Roman"/>
        </w:rPr>
        <w:t>Early wetland occupation in Port Harcourt was primarily associated with informal “waterside settlements,” largely inhabited by low-income populations unable to access formal housing. These settlements were typically characterized by poor infrastructure, high density, environmental degradation, and weak regulatory oversight. Existing literature has extensively examined such forms of urban informality, emphasizing their links to poverty, exclusion, and environmental vulnerability (</w:t>
      </w:r>
      <w:proofErr w:type="spellStart"/>
      <w:r w:rsidRPr="00CA51A5">
        <w:rPr>
          <w:rFonts w:ascii="Times New Roman" w:hAnsi="Times New Roman"/>
        </w:rPr>
        <w:t>Dovey</w:t>
      </w:r>
      <w:proofErr w:type="spellEnd"/>
      <w:r w:rsidRPr="00CA51A5">
        <w:rPr>
          <w:rFonts w:ascii="Times New Roman" w:hAnsi="Times New Roman"/>
        </w:rPr>
        <w:t xml:space="preserve"> et al., 2020; Satterthwaite et al., 2020).</w:t>
      </w:r>
    </w:p>
    <w:p w:rsidR="00CA51A5" w:rsidRPr="00CA51A5" w:rsidRDefault="00CA51A5" w:rsidP="00CA51A5">
      <w:pPr>
        <w:pStyle w:val="NormalWeb"/>
        <w:spacing w:beforeAutospacing="0" w:afterAutospacing="0" w:line="360" w:lineRule="auto"/>
        <w:jc w:val="both"/>
        <w:rPr>
          <w:rFonts w:ascii="Times New Roman" w:hAnsi="Times New Roman"/>
        </w:rPr>
      </w:pPr>
      <w:r w:rsidRPr="00CA51A5">
        <w:rPr>
          <w:rFonts w:ascii="Times New Roman" w:hAnsi="Times New Roman"/>
        </w:rPr>
        <w:t xml:space="preserve">However, recent urban development trends indicate a significant transition in the nature of wetland occupation. Contrary to earlier patterns dominated by informal settlements, wetland areas are increasingly being developed into more structured residential </w:t>
      </w:r>
      <w:proofErr w:type="spellStart"/>
      <w:r w:rsidRPr="00CA51A5">
        <w:rPr>
          <w:rFonts w:ascii="Times New Roman" w:hAnsi="Times New Roman"/>
        </w:rPr>
        <w:t>neighbourhoods</w:t>
      </w:r>
      <w:proofErr w:type="spellEnd"/>
      <w:r w:rsidRPr="00CA51A5">
        <w:rPr>
          <w:rFonts w:ascii="Times New Roman" w:hAnsi="Times New Roman"/>
        </w:rPr>
        <w:t xml:space="preserve"> exhibiting elements of formal planning, improved building materials, and emerging infrastructure systems. These evolving </w:t>
      </w:r>
      <w:proofErr w:type="spellStart"/>
      <w:r w:rsidRPr="00CA51A5">
        <w:rPr>
          <w:rFonts w:ascii="Times New Roman" w:hAnsi="Times New Roman"/>
        </w:rPr>
        <w:t>neighbourhoods</w:t>
      </w:r>
      <w:proofErr w:type="spellEnd"/>
      <w:r w:rsidRPr="00CA51A5">
        <w:rPr>
          <w:rFonts w:ascii="Times New Roman" w:hAnsi="Times New Roman"/>
        </w:rPr>
        <w:t xml:space="preserve"> are attracting not only low-income groups but also segments of the middle-income population seeking affordable alternatives within the city. Similar transformations have been observed in rapidly urbanizing regions of Africa and Asia, where hybrid settlement </w:t>
      </w:r>
      <w:r w:rsidRPr="00CA51A5">
        <w:rPr>
          <w:rFonts w:ascii="Times New Roman" w:hAnsi="Times New Roman"/>
        </w:rPr>
        <w:lastRenderedPageBreak/>
        <w:t xml:space="preserve">forms blur the boundary between informality and formality and reflect evolving housing delivery systems (Akinwande &amp; Hui, 2024; </w:t>
      </w:r>
      <w:proofErr w:type="spellStart"/>
      <w:r w:rsidRPr="00CA51A5">
        <w:rPr>
          <w:rFonts w:ascii="Times New Roman" w:hAnsi="Times New Roman"/>
        </w:rPr>
        <w:t>Dovey</w:t>
      </w:r>
      <w:proofErr w:type="spellEnd"/>
      <w:r w:rsidRPr="00CA51A5">
        <w:rPr>
          <w:rFonts w:ascii="Times New Roman" w:hAnsi="Times New Roman"/>
        </w:rPr>
        <w:t xml:space="preserve"> et al., 2020; Horn, 2021).</w:t>
      </w:r>
    </w:p>
    <w:p w:rsidR="00CA51A5" w:rsidRPr="00CA51A5" w:rsidRDefault="00CA51A5" w:rsidP="00CA51A5">
      <w:pPr>
        <w:pStyle w:val="NormalWeb"/>
        <w:spacing w:beforeAutospacing="0" w:afterAutospacing="0" w:line="360" w:lineRule="auto"/>
        <w:jc w:val="both"/>
        <w:rPr>
          <w:rFonts w:ascii="Times New Roman" w:hAnsi="Times New Roman"/>
        </w:rPr>
      </w:pPr>
      <w:r w:rsidRPr="00CA51A5">
        <w:rPr>
          <w:rFonts w:ascii="Times New Roman" w:hAnsi="Times New Roman"/>
        </w:rPr>
        <w:t xml:space="preserve">Despite growing scholarly attention to wetland encroachment, a key gap persists in understanding this transition from purely informal settlements to semi-organized and increasingly formalized wetland </w:t>
      </w:r>
      <w:proofErr w:type="spellStart"/>
      <w:r w:rsidRPr="00CA51A5">
        <w:rPr>
          <w:rFonts w:ascii="Times New Roman" w:hAnsi="Times New Roman"/>
        </w:rPr>
        <w:t>neighbourhoods</w:t>
      </w:r>
      <w:proofErr w:type="spellEnd"/>
      <w:r w:rsidRPr="00CA51A5">
        <w:rPr>
          <w:rFonts w:ascii="Times New Roman" w:hAnsi="Times New Roman"/>
        </w:rPr>
        <w:t>. Specifically, there is limited empirical research that integrates socio-economic profiling, spatial characteristics, and planning implications of these emerging developments within a single analytical framework (</w:t>
      </w:r>
      <w:proofErr w:type="spellStart"/>
      <w:r w:rsidRPr="00CA51A5">
        <w:rPr>
          <w:rFonts w:ascii="Times New Roman" w:hAnsi="Times New Roman"/>
        </w:rPr>
        <w:t>Adelekan</w:t>
      </w:r>
      <w:proofErr w:type="spellEnd"/>
      <w:r w:rsidRPr="00CA51A5">
        <w:rPr>
          <w:rFonts w:ascii="Times New Roman" w:hAnsi="Times New Roman"/>
        </w:rPr>
        <w:t xml:space="preserve">, 2016; </w:t>
      </w:r>
      <w:proofErr w:type="spellStart"/>
      <w:r w:rsidRPr="00CA51A5">
        <w:rPr>
          <w:rFonts w:ascii="Times New Roman" w:hAnsi="Times New Roman"/>
        </w:rPr>
        <w:t>Cobbinah</w:t>
      </w:r>
      <w:proofErr w:type="spellEnd"/>
      <w:r w:rsidRPr="00CA51A5">
        <w:rPr>
          <w:rFonts w:ascii="Times New Roman" w:hAnsi="Times New Roman"/>
        </w:rPr>
        <w:t xml:space="preserve"> et al., 2015; </w:t>
      </w:r>
      <w:proofErr w:type="spellStart"/>
      <w:r w:rsidRPr="00CA51A5">
        <w:rPr>
          <w:rFonts w:ascii="Times New Roman" w:hAnsi="Times New Roman"/>
        </w:rPr>
        <w:t>Koroso</w:t>
      </w:r>
      <w:proofErr w:type="spellEnd"/>
      <w:r w:rsidRPr="00CA51A5">
        <w:rPr>
          <w:rFonts w:ascii="Times New Roman" w:hAnsi="Times New Roman"/>
        </w:rPr>
        <w:t xml:space="preserve"> et al., 2021). As a result, the evolving dynamics of wetland urbanization—and their implications for sustainable urban planning—remain underexplored.</w:t>
      </w:r>
    </w:p>
    <w:p w:rsidR="00CA51A5" w:rsidRPr="00CA51A5" w:rsidRDefault="00CA51A5" w:rsidP="00CA51A5">
      <w:pPr>
        <w:pStyle w:val="NormalWeb"/>
        <w:spacing w:beforeAutospacing="0" w:afterAutospacing="0" w:line="360" w:lineRule="auto"/>
        <w:jc w:val="both"/>
        <w:rPr>
          <w:rFonts w:ascii="Times New Roman" w:hAnsi="Times New Roman"/>
        </w:rPr>
      </w:pPr>
      <w:r w:rsidRPr="00CA51A5">
        <w:rPr>
          <w:rFonts w:ascii="Times New Roman" w:hAnsi="Times New Roman"/>
        </w:rPr>
        <w:t xml:space="preserve">This study addresses this gap by examining the transformation of wetland </w:t>
      </w:r>
      <w:proofErr w:type="spellStart"/>
      <w:r w:rsidRPr="00CA51A5">
        <w:rPr>
          <w:rFonts w:ascii="Times New Roman" w:hAnsi="Times New Roman"/>
        </w:rPr>
        <w:t>neighbourhoods</w:t>
      </w:r>
      <w:proofErr w:type="spellEnd"/>
      <w:r w:rsidRPr="00CA51A5">
        <w:rPr>
          <w:rFonts w:ascii="Times New Roman" w:hAnsi="Times New Roman"/>
        </w:rPr>
        <w:t xml:space="preserve"> in Port Harcourt, with particular emphasis on their socio-economic characteristics, spatial development patterns, and planning implications. By moving beyond conventional analyses of informal settlement growth, the study provides a more nuanced understanding of how wetland urbanization is reshaping residential development in the city.</w:t>
      </w:r>
    </w:p>
    <w:p w:rsidR="00CA51A5" w:rsidRPr="00CA51A5" w:rsidRDefault="00CA51A5" w:rsidP="00CA51A5">
      <w:pPr>
        <w:pStyle w:val="NormalWeb"/>
        <w:spacing w:beforeAutospacing="0" w:afterAutospacing="0" w:line="360" w:lineRule="auto"/>
        <w:jc w:val="both"/>
        <w:rPr>
          <w:rFonts w:ascii="Times New Roman" w:hAnsi="Times New Roman"/>
        </w:rPr>
      </w:pPr>
      <w:r w:rsidRPr="00CA51A5">
        <w:rPr>
          <w:rFonts w:ascii="Times New Roman" w:hAnsi="Times New Roman"/>
        </w:rPr>
        <w:t xml:space="preserve">Accordingly, the objective of this study is to </w:t>
      </w:r>
      <w:r w:rsidRPr="00CA51A5">
        <w:rPr>
          <w:rStyle w:val="Strong"/>
          <w:rFonts w:ascii="Times New Roman" w:hAnsi="Times New Roman"/>
          <w:b w:val="0"/>
        </w:rPr>
        <w:t>analyze the emerging pattern of semi-organized wetland residential development in Port Harcourt, evaluate its socio-economic and spatial characteristics, and assess its implications for sustainable urban planning and environmental management</w:t>
      </w:r>
      <w:r w:rsidRPr="00CA51A5">
        <w:rPr>
          <w:rFonts w:ascii="Times New Roman" w:hAnsi="Times New Roman"/>
        </w:rPr>
        <w:t>. In doing so, the paper contributes to urban planning discourse by bridging the gap between informal settlement studies and contemporary patterns of transitional urban development in ecologically sensitive environments.</w:t>
      </w:r>
    </w:p>
    <w:p w:rsidR="00817341" w:rsidRDefault="00817341">
      <w:pPr>
        <w:pStyle w:val="Heading1"/>
        <w:spacing w:beforeAutospacing="0" w:afterAutospacing="0"/>
        <w:jc w:val="both"/>
        <w:rPr>
          <w:rStyle w:val="Strong"/>
          <w:rFonts w:ascii="Times New Roman" w:hAnsi="Times New Roman" w:hint="default"/>
          <w:bCs/>
          <w:sz w:val="24"/>
          <w:szCs w:val="24"/>
        </w:rPr>
      </w:pPr>
    </w:p>
    <w:p w:rsidR="00CA51A5" w:rsidRPr="00CA51A5" w:rsidRDefault="00CA51A5" w:rsidP="00CA51A5">
      <w:pPr>
        <w:pStyle w:val="Heading2"/>
        <w:spacing w:beforeAutospacing="0" w:afterAutospacing="0" w:line="360" w:lineRule="auto"/>
        <w:jc w:val="both"/>
        <w:rPr>
          <w:rFonts w:ascii="Times New Roman" w:hAnsi="Times New Roman" w:hint="default"/>
          <w:b w:val="0"/>
          <w:sz w:val="24"/>
          <w:szCs w:val="24"/>
        </w:rPr>
      </w:pPr>
      <w:r w:rsidRPr="00CA51A5">
        <w:rPr>
          <w:rStyle w:val="Strong"/>
          <w:rFonts w:ascii="Times New Roman" w:hAnsi="Times New Roman" w:hint="default"/>
          <w:b/>
          <w:sz w:val="24"/>
          <w:szCs w:val="24"/>
        </w:rPr>
        <w:t xml:space="preserve">Statement of the Problem </w:t>
      </w:r>
    </w:p>
    <w:p w:rsidR="00CA51A5" w:rsidRPr="00CA51A5" w:rsidRDefault="00CA51A5" w:rsidP="00CA51A5">
      <w:pPr>
        <w:pStyle w:val="NormalWeb"/>
        <w:spacing w:beforeAutospacing="0" w:afterAutospacing="0" w:line="360" w:lineRule="auto"/>
        <w:jc w:val="both"/>
        <w:rPr>
          <w:rFonts w:ascii="Times New Roman" w:hAnsi="Times New Roman"/>
        </w:rPr>
      </w:pPr>
      <w:r w:rsidRPr="00CA51A5">
        <w:rPr>
          <w:rFonts w:ascii="Times New Roman" w:hAnsi="Times New Roman"/>
        </w:rPr>
        <w:t xml:space="preserve">Port Harcourt is currently experiencing a persistent housing deficit, driven by limited public housing provision and increasing reliance on private-sector delivery (Kio-Lawson, 2015). In response to land scarcity within formally planned areas, urban development has progressively extended into surrounding wetlands. While earlier wetland occupation was largely associated with low-income, informal settlements, recent trends indicate the rapid emergence of semi-organized residential </w:t>
      </w:r>
      <w:proofErr w:type="spellStart"/>
      <w:r w:rsidRPr="00CA51A5">
        <w:rPr>
          <w:rFonts w:ascii="Times New Roman" w:hAnsi="Times New Roman"/>
        </w:rPr>
        <w:t>neighbourhoods</w:t>
      </w:r>
      <w:proofErr w:type="spellEnd"/>
      <w:r w:rsidRPr="00CA51A5">
        <w:rPr>
          <w:rFonts w:ascii="Times New Roman" w:hAnsi="Times New Roman"/>
        </w:rPr>
        <w:t xml:space="preserve"> in these ecologically sensitive zones.</w:t>
      </w:r>
    </w:p>
    <w:p w:rsidR="00CA51A5" w:rsidRPr="00CA51A5" w:rsidRDefault="00CA51A5" w:rsidP="00CA51A5">
      <w:pPr>
        <w:pStyle w:val="NormalWeb"/>
        <w:spacing w:beforeAutospacing="0" w:afterAutospacing="0" w:line="360" w:lineRule="auto"/>
        <w:jc w:val="both"/>
        <w:rPr>
          <w:rFonts w:ascii="Times New Roman" w:hAnsi="Times New Roman"/>
        </w:rPr>
      </w:pPr>
      <w:r w:rsidRPr="00CA51A5">
        <w:rPr>
          <w:rFonts w:ascii="Times New Roman" w:hAnsi="Times New Roman"/>
        </w:rPr>
        <w:t xml:space="preserve">This transition presents a critical planning challenge. Unlike traditional informal settlements, these newer developments exhibit elements of physical order and improved construction but continue to evolve largely outside formal planning control, approval systems, and regulatory oversight. Their </w:t>
      </w:r>
      <w:r w:rsidRPr="00CA51A5">
        <w:rPr>
          <w:rFonts w:ascii="Times New Roman" w:hAnsi="Times New Roman"/>
        </w:rPr>
        <w:lastRenderedPageBreak/>
        <w:t>growth reflects a disconnect between existing urban planning frameworks and the realities of housing demand and land accessibility in the city.</w:t>
      </w:r>
    </w:p>
    <w:p w:rsidR="00CA51A5" w:rsidRPr="00CA51A5" w:rsidRDefault="00CA51A5" w:rsidP="00CA51A5">
      <w:pPr>
        <w:pStyle w:val="NormalWeb"/>
        <w:spacing w:beforeAutospacing="0" w:afterAutospacing="0" w:line="360" w:lineRule="auto"/>
        <w:jc w:val="both"/>
        <w:rPr>
          <w:rFonts w:ascii="Times New Roman" w:hAnsi="Times New Roman"/>
        </w:rPr>
      </w:pPr>
      <w:r w:rsidRPr="00CA51A5">
        <w:rPr>
          <w:rFonts w:ascii="Times New Roman" w:hAnsi="Times New Roman"/>
        </w:rPr>
        <w:t xml:space="preserve">The key problem, therefore, is not simply the expansion of wetland settlements, but the </w:t>
      </w:r>
      <w:r w:rsidRPr="00CA51A5">
        <w:rPr>
          <w:rStyle w:val="Strong"/>
          <w:rFonts w:ascii="Times New Roman" w:hAnsi="Times New Roman"/>
          <w:b w:val="0"/>
        </w:rPr>
        <w:t xml:space="preserve">unregulated transformation of these areas into semi-formal urban </w:t>
      </w:r>
      <w:proofErr w:type="spellStart"/>
      <w:r w:rsidRPr="00CA51A5">
        <w:rPr>
          <w:rStyle w:val="Strong"/>
          <w:rFonts w:ascii="Times New Roman" w:hAnsi="Times New Roman"/>
          <w:b w:val="0"/>
        </w:rPr>
        <w:t>neighbourhoods</w:t>
      </w:r>
      <w:proofErr w:type="spellEnd"/>
      <w:r w:rsidRPr="00CA51A5">
        <w:rPr>
          <w:rStyle w:val="Strong"/>
          <w:rFonts w:ascii="Times New Roman" w:hAnsi="Times New Roman"/>
          <w:b w:val="0"/>
        </w:rPr>
        <w:t xml:space="preserve"> without corresponding planning guidance, infrastructure provision, or environmental safeguards</w:t>
      </w:r>
      <w:r w:rsidRPr="00CA51A5">
        <w:rPr>
          <w:rFonts w:ascii="Times New Roman" w:hAnsi="Times New Roman"/>
        </w:rPr>
        <w:t>. This has resulted in increasing exposure to flooding risks, inefficient land-use patterns, and compromised environmental quality.</w:t>
      </w:r>
    </w:p>
    <w:p w:rsidR="00CA51A5" w:rsidRPr="00CA51A5" w:rsidRDefault="00CA51A5" w:rsidP="00CA51A5">
      <w:pPr>
        <w:pStyle w:val="NormalWeb"/>
        <w:spacing w:beforeAutospacing="0" w:afterAutospacing="0" w:line="360" w:lineRule="auto"/>
        <w:jc w:val="both"/>
        <w:rPr>
          <w:rFonts w:ascii="Times New Roman" w:hAnsi="Times New Roman"/>
        </w:rPr>
      </w:pPr>
      <w:r w:rsidRPr="00CA51A5">
        <w:rPr>
          <w:rFonts w:ascii="Times New Roman" w:hAnsi="Times New Roman"/>
        </w:rPr>
        <w:t xml:space="preserve">Despite growing evidence of this transformation, there remains limited empirical understanding of the socio-economic composition, spatial structure, and planning implications of these emerging </w:t>
      </w:r>
      <w:proofErr w:type="spellStart"/>
      <w:r w:rsidRPr="00CA51A5">
        <w:rPr>
          <w:rFonts w:ascii="Times New Roman" w:hAnsi="Times New Roman"/>
        </w:rPr>
        <w:t>neighbourhoods</w:t>
      </w:r>
      <w:proofErr w:type="spellEnd"/>
      <w:r w:rsidRPr="00CA51A5">
        <w:rPr>
          <w:rFonts w:ascii="Times New Roman" w:hAnsi="Times New Roman"/>
        </w:rPr>
        <w:t>. This gap constrains the ability of planning authorities to respond effectively and raises concerns about the long-term sustainability, functionality, and livability of Port Harcourt’s urban environment.</w:t>
      </w:r>
    </w:p>
    <w:p w:rsidR="00CA51A5" w:rsidRDefault="00CA51A5" w:rsidP="00CA51A5">
      <w:pPr>
        <w:pStyle w:val="NormalWeb"/>
        <w:spacing w:beforeAutospacing="0" w:afterAutospacing="0" w:line="360" w:lineRule="auto"/>
        <w:jc w:val="both"/>
        <w:rPr>
          <w:rFonts w:ascii="Times New Roman" w:hAnsi="Times New Roman"/>
        </w:rPr>
      </w:pPr>
      <w:r w:rsidRPr="00CA51A5">
        <w:rPr>
          <w:rFonts w:ascii="Times New Roman" w:hAnsi="Times New Roman"/>
        </w:rPr>
        <w:t xml:space="preserve">Accordingly, this study addresses the problem of </w:t>
      </w:r>
      <w:r w:rsidRPr="00CA51A5">
        <w:rPr>
          <w:rStyle w:val="Strong"/>
          <w:rFonts w:ascii="Times New Roman" w:hAnsi="Times New Roman"/>
          <w:b w:val="0"/>
        </w:rPr>
        <w:t>uncontrolled and insufficiently understood wetland urbanization</w:t>
      </w:r>
      <w:r w:rsidRPr="00CA51A5">
        <w:rPr>
          <w:rFonts w:ascii="Times New Roman" w:hAnsi="Times New Roman"/>
        </w:rPr>
        <w:t>, with particular emphasis on its implications for sustainable urban development and planning intervention in Port Harcourt.</w:t>
      </w:r>
    </w:p>
    <w:p w:rsidR="00CA51A5" w:rsidRPr="00CA51A5" w:rsidRDefault="00CA51A5" w:rsidP="00CA51A5">
      <w:pPr>
        <w:pStyle w:val="NormalWeb"/>
        <w:spacing w:beforeAutospacing="0" w:afterAutospacing="0" w:line="360" w:lineRule="auto"/>
        <w:jc w:val="both"/>
        <w:rPr>
          <w:rFonts w:ascii="Times New Roman" w:hAnsi="Times New Roman"/>
          <w:sz w:val="10"/>
        </w:rPr>
      </w:pPr>
    </w:p>
    <w:p w:rsidR="00CA51A5" w:rsidRPr="00CA51A5" w:rsidRDefault="00CA51A5" w:rsidP="00CA51A5">
      <w:pPr>
        <w:pStyle w:val="Heading1"/>
        <w:spacing w:beforeAutospacing="0" w:afterAutospacing="0" w:line="360" w:lineRule="auto"/>
        <w:jc w:val="both"/>
        <w:rPr>
          <w:rFonts w:ascii="Times New Roman" w:hAnsi="Times New Roman" w:hint="default"/>
          <w:b w:val="0"/>
          <w:sz w:val="24"/>
          <w:szCs w:val="24"/>
        </w:rPr>
      </w:pPr>
      <w:r w:rsidRPr="00CA51A5">
        <w:rPr>
          <w:rStyle w:val="Strong"/>
          <w:rFonts w:ascii="Times New Roman" w:hAnsi="Times New Roman" w:hint="default"/>
          <w:b/>
          <w:bCs/>
          <w:sz w:val="24"/>
          <w:szCs w:val="24"/>
        </w:rPr>
        <w:t xml:space="preserve">3. Literature Review </w:t>
      </w:r>
    </w:p>
    <w:p w:rsidR="00CA51A5" w:rsidRPr="00CA51A5" w:rsidRDefault="00CA51A5" w:rsidP="00CA51A5">
      <w:pPr>
        <w:pStyle w:val="NormalWeb"/>
        <w:spacing w:beforeAutospacing="0" w:afterAutospacing="0" w:line="360" w:lineRule="auto"/>
        <w:jc w:val="both"/>
        <w:rPr>
          <w:rFonts w:ascii="Times New Roman" w:hAnsi="Times New Roman"/>
        </w:rPr>
      </w:pPr>
      <w:r w:rsidRPr="00CA51A5">
        <w:rPr>
          <w:rFonts w:ascii="Times New Roman" w:hAnsi="Times New Roman"/>
        </w:rPr>
        <w:t>Urban wetland transformation has become a critical issue in rapidly urbanizing regions, particularly in developing countries where land-use regulation and planning control are often weak or inconsistently enforced. Recent studies show that wetlands are increasingly being converted into residential, commercial, and infrastructural uses due to rapid population growth, housing shortages, and rising urban land values (Darrah et al., 2019; Hu et al., 2017). Contemporary projections further indicate that urban land expansion will continue to intensify pressure on ecologically sensitive environments, with significant implications for land systems and environmental sustainability (Chen et al., 2020; Huang et al., 2019). These processes not only degrade wetland ecosystems but also reshape urban spatial structures, introducing complex environmental and planning challenges (</w:t>
      </w:r>
      <w:proofErr w:type="spellStart"/>
      <w:r w:rsidRPr="00CA51A5">
        <w:rPr>
          <w:rFonts w:ascii="Times New Roman" w:hAnsi="Times New Roman"/>
        </w:rPr>
        <w:t>Hettiarachchi</w:t>
      </w:r>
      <w:proofErr w:type="spellEnd"/>
      <w:r w:rsidRPr="00CA51A5">
        <w:rPr>
          <w:rFonts w:ascii="Times New Roman" w:hAnsi="Times New Roman"/>
        </w:rPr>
        <w:t xml:space="preserve"> et al., 2018).</w:t>
      </w:r>
    </w:p>
    <w:p w:rsidR="00CA51A5" w:rsidRPr="00CA51A5" w:rsidRDefault="00CA51A5" w:rsidP="00CA51A5">
      <w:pPr>
        <w:pStyle w:val="NormalWeb"/>
        <w:spacing w:beforeAutospacing="0" w:afterAutospacing="0" w:line="360" w:lineRule="auto"/>
        <w:jc w:val="both"/>
        <w:rPr>
          <w:rFonts w:ascii="Times New Roman" w:hAnsi="Times New Roman"/>
        </w:rPr>
      </w:pPr>
      <w:r w:rsidRPr="00CA51A5">
        <w:rPr>
          <w:rFonts w:ascii="Times New Roman" w:hAnsi="Times New Roman"/>
        </w:rPr>
        <w:t>Across cities in Africa and the wider Global South, urban expansion has increasingly extended into wetlands, floodplains, and coastal zones. This pattern is strongly linked to housing affordability constraints and the need for proximity to economic opportunities, particularly among low- and middle-income populations (</w:t>
      </w:r>
      <w:proofErr w:type="spellStart"/>
      <w:r w:rsidRPr="00CA51A5">
        <w:rPr>
          <w:rFonts w:ascii="Times New Roman" w:hAnsi="Times New Roman"/>
        </w:rPr>
        <w:t>Cobbinah</w:t>
      </w:r>
      <w:proofErr w:type="spellEnd"/>
      <w:r w:rsidRPr="00CA51A5">
        <w:rPr>
          <w:rFonts w:ascii="Times New Roman" w:hAnsi="Times New Roman"/>
        </w:rPr>
        <w:t xml:space="preserve"> et al., 2015; Fox et al., 2019). Where formal </w:t>
      </w:r>
      <w:r w:rsidRPr="00CA51A5">
        <w:rPr>
          <w:rFonts w:ascii="Times New Roman" w:hAnsi="Times New Roman"/>
        </w:rPr>
        <w:lastRenderedPageBreak/>
        <w:t>housing markets fail to meet demand, households and small-scale developers tend to occupy marginal lands that are more accessible but environmentally vulnerable. Empirical evidence from African cities shows that such developments are frequently associated with increased exposure to flooding, inadequate infrastructure provision, and heightened environmental risks (</w:t>
      </w:r>
      <w:proofErr w:type="spellStart"/>
      <w:r w:rsidRPr="00CA51A5">
        <w:rPr>
          <w:rFonts w:ascii="Times New Roman" w:hAnsi="Times New Roman"/>
        </w:rPr>
        <w:t>Adelekan</w:t>
      </w:r>
      <w:proofErr w:type="spellEnd"/>
      <w:r w:rsidRPr="00CA51A5">
        <w:rPr>
          <w:rFonts w:ascii="Times New Roman" w:hAnsi="Times New Roman"/>
        </w:rPr>
        <w:t>, 2016).</w:t>
      </w:r>
    </w:p>
    <w:p w:rsidR="00CA51A5" w:rsidRPr="00CA51A5" w:rsidRDefault="00CA51A5" w:rsidP="00CA51A5">
      <w:pPr>
        <w:pStyle w:val="NormalWeb"/>
        <w:spacing w:beforeAutospacing="0" w:afterAutospacing="0" w:line="360" w:lineRule="auto"/>
        <w:jc w:val="both"/>
        <w:rPr>
          <w:rFonts w:ascii="Times New Roman" w:hAnsi="Times New Roman"/>
        </w:rPr>
      </w:pPr>
      <w:r w:rsidRPr="00CA51A5">
        <w:rPr>
          <w:rFonts w:ascii="Times New Roman" w:hAnsi="Times New Roman"/>
        </w:rPr>
        <w:t xml:space="preserve">In the Nigerian context, the inadequacy of formal housing delivery systems has significantly contributed to the emergence of alternative settlement forms, including waterfront communities and reclaimed wetland </w:t>
      </w:r>
      <w:proofErr w:type="spellStart"/>
      <w:r w:rsidRPr="00CA51A5">
        <w:rPr>
          <w:rFonts w:ascii="Times New Roman" w:hAnsi="Times New Roman"/>
        </w:rPr>
        <w:t>neighbourhoods</w:t>
      </w:r>
      <w:proofErr w:type="spellEnd"/>
      <w:r w:rsidRPr="00CA51A5">
        <w:rPr>
          <w:rFonts w:ascii="Times New Roman" w:hAnsi="Times New Roman"/>
        </w:rPr>
        <w:t xml:space="preserve">. Studies indicate that the limited capacity of both public and private sector housing provision has compelled many urban residents to seek accommodation outside formal planning systems (Akinwande &amp; Hui, 2024; Kio-Lawson, 2015). While earlier research largely framed these areas as informal settlements characterized by poor housing quality and infrastructural deficits, more recent evidence points to the emergence of semi-formal </w:t>
      </w:r>
      <w:proofErr w:type="spellStart"/>
      <w:r w:rsidRPr="00CA51A5">
        <w:rPr>
          <w:rFonts w:ascii="Times New Roman" w:hAnsi="Times New Roman"/>
        </w:rPr>
        <w:t>neighbourhoods</w:t>
      </w:r>
      <w:proofErr w:type="spellEnd"/>
      <w:r w:rsidRPr="00CA51A5">
        <w:rPr>
          <w:rFonts w:ascii="Times New Roman" w:hAnsi="Times New Roman"/>
        </w:rPr>
        <w:t xml:space="preserve"> with relatively improved physical structures and more economically stable residents. This transition reflects changing dynamics in urban land markets and evolving patterns of housing accessibility in developing cities.</w:t>
      </w:r>
    </w:p>
    <w:p w:rsidR="00CA51A5" w:rsidRPr="00CA51A5" w:rsidRDefault="00CA51A5" w:rsidP="00CA51A5">
      <w:pPr>
        <w:pStyle w:val="NormalWeb"/>
        <w:spacing w:beforeAutospacing="0" w:afterAutospacing="0" w:line="360" w:lineRule="auto"/>
        <w:jc w:val="both"/>
        <w:rPr>
          <w:rFonts w:ascii="Times New Roman" w:hAnsi="Times New Roman"/>
        </w:rPr>
      </w:pPr>
      <w:r w:rsidRPr="00CA51A5">
        <w:rPr>
          <w:rFonts w:ascii="Times New Roman" w:hAnsi="Times New Roman"/>
        </w:rPr>
        <w:t>Environmental research has consistently emphasized the ecological consequences of wetland encroachment. Wetlands provide essential ecosystem services, including flood regulation, water purification, and biodiversity conservation, which are critical for maintaining environmental stability in urban areas (Acreman et al., 2018; Finlayson et al., 2019). Their conversion for urban development disrupts these functions, leading to increased flood vulnerability, loss of biodiversity, and obstruction of natural drainage systems (</w:t>
      </w:r>
      <w:proofErr w:type="spellStart"/>
      <w:r w:rsidRPr="00CA51A5">
        <w:rPr>
          <w:rFonts w:ascii="Times New Roman" w:hAnsi="Times New Roman"/>
        </w:rPr>
        <w:t>Alikhani</w:t>
      </w:r>
      <w:proofErr w:type="spellEnd"/>
      <w:r w:rsidRPr="00CA51A5">
        <w:rPr>
          <w:rFonts w:ascii="Times New Roman" w:hAnsi="Times New Roman"/>
        </w:rPr>
        <w:t xml:space="preserve"> et al., 2021; </w:t>
      </w:r>
      <w:proofErr w:type="spellStart"/>
      <w:r w:rsidRPr="00CA51A5">
        <w:rPr>
          <w:rFonts w:ascii="Times New Roman" w:hAnsi="Times New Roman"/>
        </w:rPr>
        <w:t>Hettiarachchi</w:t>
      </w:r>
      <w:proofErr w:type="spellEnd"/>
      <w:r w:rsidRPr="00CA51A5">
        <w:rPr>
          <w:rFonts w:ascii="Times New Roman" w:hAnsi="Times New Roman"/>
        </w:rPr>
        <w:t xml:space="preserve"> et al., 2018). In rapidly expanding cities, these impacts are often exacerbated by unregulated land reclamation and weak environmental governance structures.</w:t>
      </w:r>
    </w:p>
    <w:p w:rsidR="00CA51A5" w:rsidRPr="00CA51A5" w:rsidRDefault="00CA51A5" w:rsidP="00CA51A5">
      <w:pPr>
        <w:pStyle w:val="NormalWeb"/>
        <w:spacing w:beforeAutospacing="0" w:afterAutospacing="0" w:line="360" w:lineRule="auto"/>
        <w:jc w:val="both"/>
        <w:rPr>
          <w:rFonts w:ascii="Times New Roman" w:hAnsi="Times New Roman"/>
        </w:rPr>
      </w:pPr>
      <w:r w:rsidRPr="00CA51A5">
        <w:rPr>
          <w:rFonts w:ascii="Times New Roman" w:hAnsi="Times New Roman"/>
        </w:rPr>
        <w:t xml:space="preserve">From a planning perspective, the expansion of settlements into wetlands is closely linked to deficiencies in land-use governance and development control. Weak enforcement of planning regulations, outdated or absent spatial plans, and the prevalence of informal land transactions contribute to fragmented and incompatible land-use patterns (Horn, 2021; </w:t>
      </w:r>
      <w:proofErr w:type="spellStart"/>
      <w:r w:rsidRPr="00CA51A5">
        <w:rPr>
          <w:rFonts w:ascii="Times New Roman" w:hAnsi="Times New Roman"/>
        </w:rPr>
        <w:t>Koroso</w:t>
      </w:r>
      <w:proofErr w:type="spellEnd"/>
      <w:r w:rsidRPr="00CA51A5">
        <w:rPr>
          <w:rFonts w:ascii="Times New Roman" w:hAnsi="Times New Roman"/>
        </w:rPr>
        <w:t xml:space="preserve"> et al., 2021). Contemporary planning scholarship highlights the need for adaptive and inclusive planning systems capable of responding to informal and transitional urban development processes (</w:t>
      </w:r>
      <w:proofErr w:type="spellStart"/>
      <w:r w:rsidRPr="00CA51A5">
        <w:rPr>
          <w:rFonts w:ascii="Times New Roman" w:hAnsi="Times New Roman"/>
        </w:rPr>
        <w:t>Dovey</w:t>
      </w:r>
      <w:proofErr w:type="spellEnd"/>
      <w:r w:rsidRPr="00CA51A5">
        <w:rPr>
          <w:rFonts w:ascii="Times New Roman" w:hAnsi="Times New Roman"/>
        </w:rPr>
        <w:t xml:space="preserve"> et al., 2020). However, in many rapidly growing cities, including Port Harcourt, such planning </w:t>
      </w:r>
      <w:r w:rsidRPr="00CA51A5">
        <w:rPr>
          <w:rFonts w:ascii="Times New Roman" w:hAnsi="Times New Roman"/>
        </w:rPr>
        <w:lastRenderedPageBreak/>
        <w:t>systems remain inadequate, resulting in uncoordinated and environmentally unsustainable urban expansion.</w:t>
      </w:r>
    </w:p>
    <w:p w:rsidR="00CA51A5" w:rsidRPr="00CA51A5" w:rsidRDefault="00CA51A5" w:rsidP="00CA51A5">
      <w:pPr>
        <w:pStyle w:val="NormalWeb"/>
        <w:spacing w:beforeAutospacing="0" w:afterAutospacing="0" w:line="360" w:lineRule="auto"/>
        <w:jc w:val="both"/>
        <w:rPr>
          <w:rFonts w:ascii="Times New Roman" w:hAnsi="Times New Roman"/>
        </w:rPr>
      </w:pPr>
      <w:r w:rsidRPr="00CA51A5">
        <w:rPr>
          <w:rFonts w:ascii="Times New Roman" w:hAnsi="Times New Roman"/>
        </w:rPr>
        <w:t>Despite the growing body of literature on wetland degradation and informal urban development, a significant gap remains in studies that integrate socio-economic drivers, spatial development patterns, and planning implications of wetland urbanization within a unified analytical framework. Existing research often examines these dimensions in isolation, thereby limiting a comprehensive understanding of the phenomenon.</w:t>
      </w:r>
    </w:p>
    <w:p w:rsidR="00CA51A5" w:rsidRPr="00CA51A5" w:rsidRDefault="00CA51A5" w:rsidP="00CA51A5">
      <w:pPr>
        <w:pStyle w:val="NormalWeb"/>
        <w:spacing w:beforeAutospacing="0" w:afterAutospacing="0" w:line="360" w:lineRule="auto"/>
        <w:jc w:val="both"/>
        <w:rPr>
          <w:rFonts w:ascii="Times New Roman" w:hAnsi="Times New Roman"/>
        </w:rPr>
      </w:pPr>
      <w:r w:rsidRPr="00CA51A5">
        <w:rPr>
          <w:rStyle w:val="Strong"/>
          <w:rFonts w:ascii="Times New Roman" w:hAnsi="Times New Roman"/>
          <w:b w:val="0"/>
        </w:rPr>
        <w:t>To address this gap, this study adopts an integrated analytical approach that combines socio-economic assessment, spatial analysis, and planning evaluation to examine the structure, drivers, and implications of wetland neighbourhood development in Port Harcourt.</w:t>
      </w:r>
      <w:r w:rsidRPr="00CA51A5">
        <w:rPr>
          <w:rFonts w:ascii="Times New Roman" w:hAnsi="Times New Roman"/>
        </w:rPr>
        <w:t xml:space="preserve"> By linking household characteristics, spatial patterns of development, and planning conditions within a single framework, the study provides a more holistic basis for understanding wetland urbanization and informing sustainable planning interventions.</w:t>
      </w:r>
    </w:p>
    <w:p w:rsidR="00817341" w:rsidRPr="00CA51A5" w:rsidRDefault="00817341">
      <w:pPr>
        <w:pStyle w:val="NormalWeb"/>
        <w:spacing w:beforeAutospacing="0" w:afterAutospacing="0"/>
        <w:jc w:val="both"/>
        <w:rPr>
          <w:rFonts w:ascii="Times New Roman" w:hAnsi="Times New Roman"/>
          <w:sz w:val="2"/>
        </w:rPr>
      </w:pPr>
    </w:p>
    <w:p w:rsidR="00CA51A5" w:rsidRPr="00CA51A5" w:rsidRDefault="00CA51A5" w:rsidP="00CA51A5">
      <w:pPr>
        <w:pStyle w:val="Heading1"/>
        <w:spacing w:beforeAutospacing="0" w:afterAutospacing="0" w:line="360" w:lineRule="auto"/>
        <w:jc w:val="both"/>
        <w:rPr>
          <w:rStyle w:val="Strong"/>
          <w:rFonts w:ascii="Times New Roman" w:hAnsi="Times New Roman" w:hint="default"/>
          <w:bCs/>
          <w:sz w:val="12"/>
          <w:szCs w:val="24"/>
        </w:rPr>
      </w:pPr>
    </w:p>
    <w:p w:rsidR="00CA51A5" w:rsidRPr="00CA51A5" w:rsidRDefault="00CA51A5" w:rsidP="00CA51A5">
      <w:pPr>
        <w:pStyle w:val="Heading1"/>
        <w:spacing w:beforeAutospacing="0" w:afterAutospacing="0" w:line="360" w:lineRule="auto"/>
        <w:jc w:val="both"/>
        <w:rPr>
          <w:rFonts w:ascii="Times New Roman" w:hAnsi="Times New Roman" w:hint="default"/>
          <w:b w:val="0"/>
          <w:sz w:val="24"/>
          <w:szCs w:val="24"/>
        </w:rPr>
      </w:pPr>
      <w:r w:rsidRPr="00CA51A5">
        <w:rPr>
          <w:rStyle w:val="Strong"/>
          <w:rFonts w:ascii="Times New Roman" w:hAnsi="Times New Roman" w:hint="default"/>
          <w:b/>
          <w:bCs/>
          <w:sz w:val="24"/>
          <w:szCs w:val="24"/>
        </w:rPr>
        <w:t xml:space="preserve">4. Theoretical and Conceptual Framework </w:t>
      </w:r>
    </w:p>
    <w:p w:rsidR="00CA51A5" w:rsidRPr="00CA51A5" w:rsidRDefault="00CA51A5" w:rsidP="00CA51A5">
      <w:pPr>
        <w:pStyle w:val="NormalWeb"/>
        <w:spacing w:beforeAutospacing="0" w:afterAutospacing="0" w:line="360" w:lineRule="auto"/>
        <w:jc w:val="both"/>
        <w:rPr>
          <w:rFonts w:ascii="Times New Roman" w:hAnsi="Times New Roman"/>
        </w:rPr>
      </w:pPr>
      <w:r w:rsidRPr="00CA51A5">
        <w:rPr>
          <w:rFonts w:ascii="Times New Roman" w:hAnsi="Times New Roman"/>
        </w:rPr>
        <w:t xml:space="preserve">The emergence and expansion of wetland </w:t>
      </w:r>
      <w:proofErr w:type="spellStart"/>
      <w:r w:rsidRPr="00CA51A5">
        <w:rPr>
          <w:rFonts w:ascii="Times New Roman" w:hAnsi="Times New Roman"/>
        </w:rPr>
        <w:t>neighbourhoods</w:t>
      </w:r>
      <w:proofErr w:type="spellEnd"/>
      <w:r w:rsidRPr="00CA51A5">
        <w:rPr>
          <w:rFonts w:ascii="Times New Roman" w:hAnsi="Times New Roman"/>
        </w:rPr>
        <w:t xml:space="preserve"> in rapidly urbanizing cities such as Port Harcourt can be more robustly interpreted through an integrated theoretical lens that combines urban informality, spatial justice, and land-use governance frameworks. These perspectives collectively explain how structural urban dynamics, institutional limitations, and socio-economic inequalities shape settlement patterns in environmentally sensitive areas.</w:t>
      </w:r>
    </w:p>
    <w:p w:rsidR="00CA51A5" w:rsidRPr="00CA51A5" w:rsidRDefault="00CA51A5" w:rsidP="00CA51A5">
      <w:pPr>
        <w:pStyle w:val="NormalWeb"/>
        <w:spacing w:beforeAutospacing="0" w:afterAutospacing="0" w:line="360" w:lineRule="auto"/>
        <w:jc w:val="both"/>
        <w:rPr>
          <w:rFonts w:ascii="Times New Roman" w:hAnsi="Times New Roman"/>
        </w:rPr>
      </w:pPr>
      <w:r w:rsidRPr="00CA51A5">
        <w:rPr>
          <w:rFonts w:ascii="Times New Roman" w:hAnsi="Times New Roman"/>
        </w:rPr>
        <w:t>Contemporary scholarship on urban informality has moved beyond earlier binary distinctions between formal and informal development to emphasize informality as a mode of urbanization embedded within state practices and market systems (</w:t>
      </w:r>
      <w:proofErr w:type="spellStart"/>
      <w:r w:rsidRPr="00CA51A5">
        <w:rPr>
          <w:rFonts w:ascii="Times New Roman" w:hAnsi="Times New Roman"/>
        </w:rPr>
        <w:t>Dovey</w:t>
      </w:r>
      <w:proofErr w:type="spellEnd"/>
      <w:r w:rsidRPr="00CA51A5">
        <w:rPr>
          <w:rFonts w:ascii="Times New Roman" w:hAnsi="Times New Roman"/>
        </w:rPr>
        <w:t xml:space="preserve"> et al., 2020; Banks et al., 2020). Informality is increasingly understood as a continuum of regulatory flexibility, negotiated legality, and adaptive survival strategies, particularly in cities of the Global South (Horn, 2021). Within this framework, wetland </w:t>
      </w:r>
      <w:proofErr w:type="spellStart"/>
      <w:r w:rsidRPr="00CA51A5">
        <w:rPr>
          <w:rFonts w:ascii="Times New Roman" w:hAnsi="Times New Roman"/>
        </w:rPr>
        <w:t>neighbourhoods</w:t>
      </w:r>
      <w:proofErr w:type="spellEnd"/>
      <w:r w:rsidRPr="00CA51A5">
        <w:rPr>
          <w:rFonts w:ascii="Times New Roman" w:hAnsi="Times New Roman"/>
        </w:rPr>
        <w:t xml:space="preserve"> in Port Harcourt can be conceptualized as hybrid urban formations, where development occurs through the interaction of private land markets, indigenous land ownership systems, and weak regulatory enforcement. These spaces are not entirely unplanned but are instead shaped by localized logics of land subdivision, incremental development, and socio-economic accessibility.</w:t>
      </w:r>
    </w:p>
    <w:p w:rsidR="00CA51A5" w:rsidRPr="00CA51A5" w:rsidRDefault="00CA51A5" w:rsidP="00CA51A5">
      <w:pPr>
        <w:pStyle w:val="NormalWeb"/>
        <w:spacing w:beforeAutospacing="0" w:afterAutospacing="0" w:line="360" w:lineRule="auto"/>
        <w:jc w:val="both"/>
        <w:rPr>
          <w:rFonts w:ascii="Times New Roman" w:hAnsi="Times New Roman"/>
        </w:rPr>
      </w:pPr>
      <w:r w:rsidRPr="00CA51A5">
        <w:rPr>
          <w:rFonts w:ascii="Times New Roman" w:hAnsi="Times New Roman"/>
        </w:rPr>
        <w:lastRenderedPageBreak/>
        <w:t>The concept of spatial inequality provides a critical analytical lens for understanding the uneven distribution of urban opportunities and risks. Recent studies emphasize how urban spatial structures reproduce socio-economic disparities by systematically excluding vulnerable populations from well-serviced and safer environments (Parnell &amp; Pieterse, 2016; Dodman et al., 2019). In the context of Port Harcourt, the exclusion of low- and middle-income groups from formal land markets</w:t>
      </w:r>
      <w:r>
        <w:rPr>
          <w:rFonts w:ascii="Times New Roman" w:hAnsi="Times New Roman"/>
        </w:rPr>
        <w:t xml:space="preserve">, </w:t>
      </w:r>
      <w:r w:rsidRPr="00CA51A5">
        <w:rPr>
          <w:rFonts w:ascii="Times New Roman" w:hAnsi="Times New Roman"/>
        </w:rPr>
        <w:t>due to escalating land values and housing costs</w:t>
      </w:r>
      <w:r>
        <w:rPr>
          <w:rFonts w:ascii="Times New Roman" w:hAnsi="Times New Roman"/>
        </w:rPr>
        <w:t xml:space="preserve">, </w:t>
      </w:r>
      <w:r w:rsidRPr="00CA51A5">
        <w:rPr>
          <w:rFonts w:ascii="Times New Roman" w:hAnsi="Times New Roman"/>
        </w:rPr>
        <w:t>has led to their displacement into marginal and ecologically fragile environments such as wetlands. This process reflects broader patterns of environmental vulnerability, where disadvantaged groups are more exposed to hazards such as flooding, poor drainage, and infrastructure deficits.</w:t>
      </w:r>
    </w:p>
    <w:p w:rsidR="00CA51A5" w:rsidRPr="00CA51A5" w:rsidRDefault="00CA51A5" w:rsidP="00CA51A5">
      <w:pPr>
        <w:pStyle w:val="NormalWeb"/>
        <w:spacing w:beforeAutospacing="0" w:afterAutospacing="0" w:line="360" w:lineRule="auto"/>
        <w:jc w:val="both"/>
        <w:rPr>
          <w:rFonts w:ascii="Times New Roman" w:hAnsi="Times New Roman"/>
        </w:rPr>
      </w:pPr>
      <w:r w:rsidRPr="00CA51A5">
        <w:rPr>
          <w:rFonts w:ascii="Times New Roman" w:hAnsi="Times New Roman"/>
        </w:rPr>
        <w:t xml:space="preserve">In parallel, land-use governance theory highlights the central role of institutional capacity, regulatory frameworks, and planning systems in shaping urban development outcomes. Effective land-use governance requires enforceable development control mechanisms and adaptive planning systems capable of responding to rapid urban growth (Horn, 2021; </w:t>
      </w:r>
      <w:proofErr w:type="spellStart"/>
      <w:r w:rsidRPr="00CA51A5">
        <w:rPr>
          <w:rFonts w:ascii="Times New Roman" w:hAnsi="Times New Roman"/>
        </w:rPr>
        <w:t>Koroso</w:t>
      </w:r>
      <w:proofErr w:type="spellEnd"/>
      <w:r w:rsidRPr="00CA51A5">
        <w:rPr>
          <w:rFonts w:ascii="Times New Roman" w:hAnsi="Times New Roman"/>
        </w:rPr>
        <w:t xml:space="preserve"> et al., 2021). However, in many rapidly growing cities, including Port Harcourt, governance systems are characterized by weak enforcement, fragmented institutional responsibilities, and the prevalence of informal land transactions. These conditions facilitate uncoordinated spatial expansion into wetlands, resulting in development patterns that do not conform to established planning standards related to accessibility, drainage, building setbacks, and land-use compatibility.</w:t>
      </w:r>
    </w:p>
    <w:p w:rsidR="00CA51A5" w:rsidRPr="00CA51A5" w:rsidRDefault="00CA51A5" w:rsidP="00CA51A5">
      <w:pPr>
        <w:pStyle w:val="NormalWeb"/>
        <w:spacing w:beforeAutospacing="0" w:afterAutospacing="0" w:line="360" w:lineRule="auto"/>
        <w:jc w:val="both"/>
        <w:rPr>
          <w:rFonts w:ascii="Times New Roman" w:hAnsi="Times New Roman"/>
        </w:rPr>
      </w:pPr>
      <w:r w:rsidRPr="00CA51A5">
        <w:rPr>
          <w:rFonts w:ascii="Times New Roman" w:hAnsi="Times New Roman"/>
        </w:rPr>
        <w:t xml:space="preserve">Recent urban studies also emphasize the role of housing market dynamics in driving the occupation of marginal lands. Rising land values in formal urban areas create affordability barriers, pushing households and small-scale developers toward alternative locations where land is cheaper but environmentally risky (Gilbert, 2016; Banks et al., 2020). In this sense, wetland </w:t>
      </w:r>
      <w:proofErr w:type="spellStart"/>
      <w:r w:rsidRPr="00CA51A5">
        <w:rPr>
          <w:rFonts w:ascii="Times New Roman" w:hAnsi="Times New Roman"/>
        </w:rPr>
        <w:t>neighbourhoods</w:t>
      </w:r>
      <w:proofErr w:type="spellEnd"/>
      <w:r w:rsidRPr="00CA51A5">
        <w:rPr>
          <w:rFonts w:ascii="Times New Roman" w:hAnsi="Times New Roman"/>
        </w:rPr>
        <w:t xml:space="preserve"> represent a spatial manifestation of broader structural imbalances in urban land and housing systems.</w:t>
      </w:r>
    </w:p>
    <w:p w:rsidR="00CA51A5" w:rsidRPr="00CA51A5" w:rsidRDefault="00CA51A5" w:rsidP="00CA51A5">
      <w:pPr>
        <w:pStyle w:val="NormalWeb"/>
        <w:spacing w:beforeAutospacing="0" w:afterAutospacing="0" w:line="360" w:lineRule="auto"/>
        <w:jc w:val="both"/>
        <w:rPr>
          <w:rFonts w:ascii="Times New Roman" w:hAnsi="Times New Roman"/>
        </w:rPr>
      </w:pPr>
      <w:r w:rsidRPr="00CA51A5">
        <w:rPr>
          <w:rFonts w:ascii="Times New Roman" w:hAnsi="Times New Roman"/>
        </w:rPr>
        <w:t xml:space="preserve">Drawing from these theoretical perspectives, this study adopts an integrated conceptual framework that explains wetland urbanization as the outcome of three interrelated drivers: housing market pressures, institutional and planning limitations, and environmental vulnerability. Rather than functioning as isolated factors, these drivers interact to shape the emergence, spatial configuration, and socio-environmental characteristics of wetland </w:t>
      </w:r>
      <w:proofErr w:type="spellStart"/>
      <w:r w:rsidRPr="00CA51A5">
        <w:rPr>
          <w:rFonts w:ascii="Times New Roman" w:hAnsi="Times New Roman"/>
        </w:rPr>
        <w:t>neighbourhoods</w:t>
      </w:r>
      <w:proofErr w:type="spellEnd"/>
      <w:r w:rsidRPr="00CA51A5">
        <w:rPr>
          <w:rFonts w:ascii="Times New Roman" w:hAnsi="Times New Roman"/>
        </w:rPr>
        <w:t xml:space="preserve"> in Port Harcourt.</w:t>
      </w:r>
    </w:p>
    <w:p w:rsidR="00CA51A5" w:rsidRPr="00CA51A5" w:rsidRDefault="00CA51A5" w:rsidP="00CA51A5">
      <w:pPr>
        <w:pStyle w:val="NormalWeb"/>
        <w:spacing w:beforeAutospacing="0" w:afterAutospacing="0" w:line="360" w:lineRule="auto"/>
        <w:jc w:val="both"/>
        <w:rPr>
          <w:rFonts w:ascii="Times New Roman" w:hAnsi="Times New Roman"/>
        </w:rPr>
      </w:pPr>
      <w:r w:rsidRPr="00CA51A5">
        <w:rPr>
          <w:rFonts w:ascii="Times New Roman" w:hAnsi="Times New Roman"/>
        </w:rPr>
        <w:lastRenderedPageBreak/>
        <w:t>First, housing market pressures</w:t>
      </w:r>
      <w:r>
        <w:rPr>
          <w:rFonts w:ascii="Times New Roman" w:hAnsi="Times New Roman"/>
        </w:rPr>
        <w:t xml:space="preserve">, </w:t>
      </w:r>
      <w:r w:rsidRPr="00CA51A5">
        <w:rPr>
          <w:rFonts w:ascii="Times New Roman" w:hAnsi="Times New Roman"/>
        </w:rPr>
        <w:t>including rising land values, limited access to affordable housing, and constraints in formal housing supply</w:t>
      </w:r>
      <w:r>
        <w:rPr>
          <w:rFonts w:ascii="Times New Roman" w:hAnsi="Times New Roman"/>
        </w:rPr>
        <w:t xml:space="preserve">, </w:t>
      </w:r>
      <w:r w:rsidRPr="00CA51A5">
        <w:rPr>
          <w:rFonts w:ascii="Times New Roman" w:hAnsi="Times New Roman"/>
        </w:rPr>
        <w:t>are examined through socio-economic data collected from households. Variables such as income levels, housing affordability, tenure status, and reasons for location choice are used to explain why residents are attracted to wetland areas despite environmental risks.</w:t>
      </w:r>
    </w:p>
    <w:p w:rsidR="00CA51A5" w:rsidRPr="00CA51A5" w:rsidRDefault="00CA51A5" w:rsidP="00CA51A5">
      <w:pPr>
        <w:pStyle w:val="NormalWeb"/>
        <w:spacing w:beforeAutospacing="0" w:afterAutospacing="0" w:line="360" w:lineRule="auto"/>
        <w:jc w:val="both"/>
        <w:rPr>
          <w:rFonts w:ascii="Times New Roman" w:hAnsi="Times New Roman"/>
        </w:rPr>
      </w:pPr>
      <w:r w:rsidRPr="00CA51A5">
        <w:rPr>
          <w:rFonts w:ascii="Times New Roman" w:hAnsi="Times New Roman"/>
        </w:rPr>
        <w:t>Second, institutional and planning failures</w:t>
      </w:r>
      <w:r>
        <w:rPr>
          <w:rFonts w:ascii="Times New Roman" w:hAnsi="Times New Roman"/>
        </w:rPr>
        <w:t xml:space="preserve">, </w:t>
      </w:r>
      <w:r w:rsidRPr="00CA51A5">
        <w:rPr>
          <w:rFonts w:ascii="Times New Roman" w:hAnsi="Times New Roman"/>
        </w:rPr>
        <w:t>particularly weak development control, absence of enforceable spatial plans, and ineffective regulatory oversight</w:t>
      </w:r>
      <w:r>
        <w:rPr>
          <w:rFonts w:ascii="Times New Roman" w:hAnsi="Times New Roman"/>
        </w:rPr>
        <w:t xml:space="preserve">, </w:t>
      </w:r>
      <w:r w:rsidRPr="00CA51A5">
        <w:rPr>
          <w:rFonts w:ascii="Times New Roman" w:hAnsi="Times New Roman"/>
        </w:rPr>
        <w:t xml:space="preserve">are assessed through planning indicators and spatial compliance analysis. This includes evaluating planning approval status, adherence to building regulations, layout organization, and infrastructure provision within the </w:t>
      </w:r>
      <w:proofErr w:type="spellStart"/>
      <w:r w:rsidRPr="00CA51A5">
        <w:rPr>
          <w:rFonts w:ascii="Times New Roman" w:hAnsi="Times New Roman"/>
        </w:rPr>
        <w:t>neighbourhoods</w:t>
      </w:r>
      <w:proofErr w:type="spellEnd"/>
      <w:r w:rsidRPr="00CA51A5">
        <w:rPr>
          <w:rFonts w:ascii="Times New Roman" w:hAnsi="Times New Roman"/>
        </w:rPr>
        <w:t>.</w:t>
      </w:r>
    </w:p>
    <w:p w:rsidR="00CA51A5" w:rsidRPr="00CA51A5" w:rsidRDefault="00CA51A5" w:rsidP="00CA51A5">
      <w:pPr>
        <w:pStyle w:val="NormalWeb"/>
        <w:spacing w:beforeAutospacing="0" w:afterAutospacing="0" w:line="360" w:lineRule="auto"/>
        <w:jc w:val="both"/>
        <w:rPr>
          <w:rFonts w:ascii="Times New Roman" w:hAnsi="Times New Roman"/>
        </w:rPr>
      </w:pPr>
      <w:r w:rsidRPr="00CA51A5">
        <w:rPr>
          <w:rFonts w:ascii="Times New Roman" w:hAnsi="Times New Roman"/>
        </w:rPr>
        <w:t>Third, environmental vulnerability is analyzed through spatial and environmental assessment of wetland characteristics, including flood exposure, drainage conditions, land elevation, and ecological alteration. GIS-based analysis and field observations are used to determine the extent to which settlement patterns intersect with environmentally sensitive zones.</w:t>
      </w:r>
    </w:p>
    <w:p w:rsidR="00CA51A5" w:rsidRPr="00CA51A5" w:rsidRDefault="00CA51A5" w:rsidP="00CA51A5">
      <w:pPr>
        <w:pStyle w:val="NormalWeb"/>
        <w:spacing w:beforeAutospacing="0" w:afterAutospacing="0" w:line="360" w:lineRule="auto"/>
        <w:jc w:val="both"/>
        <w:rPr>
          <w:rFonts w:ascii="Times New Roman" w:hAnsi="Times New Roman"/>
        </w:rPr>
      </w:pPr>
      <w:r w:rsidRPr="00CA51A5">
        <w:rPr>
          <w:rFonts w:ascii="Times New Roman" w:hAnsi="Times New Roman"/>
        </w:rPr>
        <w:t>The interaction of these three drivers is conceptualized as a dynamic system in which housing demand pressures push development into marginal lands, institutional weaknesses fail to regulate this expansion, and environmental conditions shape the risks and outcomes of such development. This integrated framework provides a structured basis for linking socio-economic data, spatial patterns, and planning conditions within a single analytical model.</w:t>
      </w:r>
    </w:p>
    <w:p w:rsidR="00CA51A5" w:rsidRDefault="00CA51A5" w:rsidP="00CA51A5">
      <w:pPr>
        <w:pStyle w:val="NormalWeb"/>
        <w:spacing w:beforeAutospacing="0" w:afterAutospacing="0" w:line="360" w:lineRule="auto"/>
        <w:jc w:val="both"/>
        <w:rPr>
          <w:rFonts w:ascii="Times New Roman" w:hAnsi="Times New Roman"/>
        </w:rPr>
      </w:pPr>
      <w:r w:rsidRPr="00CA51A5">
        <w:rPr>
          <w:rFonts w:ascii="Times New Roman" w:hAnsi="Times New Roman"/>
        </w:rPr>
        <w:t>By operationalizing each driver through specific variables and analytical methods, the study provides an empirical explanation of wetland urbanization as a structurally produced outcome of contemporary urban processes in the Global South, rather than merely a planning anomaly.</w:t>
      </w:r>
    </w:p>
    <w:p w:rsidR="008341B6" w:rsidRDefault="008341B6" w:rsidP="00CA51A5">
      <w:pPr>
        <w:pStyle w:val="NormalWeb"/>
        <w:spacing w:beforeAutospacing="0" w:afterAutospacing="0" w:line="360" w:lineRule="auto"/>
        <w:jc w:val="both"/>
        <w:rPr>
          <w:rFonts w:ascii="Times New Roman" w:hAnsi="Times New Roman"/>
          <w:b/>
        </w:rPr>
      </w:pPr>
    </w:p>
    <w:p w:rsidR="008341B6" w:rsidRPr="008341B6" w:rsidRDefault="002B6B3A" w:rsidP="00CA51A5">
      <w:pPr>
        <w:pStyle w:val="NormalWeb"/>
        <w:spacing w:beforeAutospacing="0" w:afterAutospacing="0" w:line="360" w:lineRule="auto"/>
        <w:jc w:val="both"/>
        <w:rPr>
          <w:rFonts w:ascii="Times New Roman" w:hAnsi="Times New Roman"/>
          <w:b/>
        </w:rPr>
      </w:pPr>
      <w:r>
        <w:rPr>
          <w:rFonts w:ascii="Times New Roman" w:hAnsi="Times New Roman"/>
          <w:b/>
        </w:rPr>
        <w:t>5.</w:t>
      </w:r>
      <w:r w:rsidR="008341B6" w:rsidRPr="008341B6">
        <w:rPr>
          <w:rFonts w:ascii="Times New Roman" w:hAnsi="Times New Roman"/>
          <w:b/>
        </w:rPr>
        <w:t xml:space="preserve">Methodology </w:t>
      </w:r>
    </w:p>
    <w:p w:rsidR="00817341" w:rsidRPr="00CA51A5" w:rsidRDefault="00817341" w:rsidP="00CA51A5">
      <w:pPr>
        <w:pStyle w:val="Heading1"/>
        <w:spacing w:beforeAutospacing="0" w:afterAutospacing="0" w:line="360" w:lineRule="auto"/>
        <w:jc w:val="both"/>
        <w:rPr>
          <w:rStyle w:val="Strong"/>
          <w:rFonts w:ascii="Times New Roman" w:hAnsi="Times New Roman" w:hint="default"/>
          <w:b/>
          <w:bCs/>
          <w:sz w:val="12"/>
          <w:szCs w:val="24"/>
        </w:rPr>
      </w:pPr>
    </w:p>
    <w:p w:rsidR="002D6218" w:rsidRPr="00086000" w:rsidRDefault="002D6218" w:rsidP="002D6218">
      <w:pPr>
        <w:spacing w:after="0" w:line="360" w:lineRule="auto"/>
        <w:jc w:val="both"/>
        <w:outlineLvl w:val="1"/>
        <w:rPr>
          <w:rFonts w:ascii="Times New Roman" w:eastAsia="Times New Roman" w:hAnsi="Times New Roman"/>
          <w:b/>
          <w:bCs/>
          <w:sz w:val="24"/>
          <w:szCs w:val="24"/>
          <w:lang w:eastAsia="en-GB"/>
        </w:rPr>
      </w:pPr>
      <w:r w:rsidRPr="00E47F88">
        <w:rPr>
          <w:rFonts w:ascii="Times New Roman" w:eastAsia="Times New Roman" w:hAnsi="Times New Roman"/>
          <w:b/>
          <w:bCs/>
          <w:sz w:val="24"/>
          <w:szCs w:val="24"/>
          <w:lang w:eastAsia="en-GB"/>
        </w:rPr>
        <w:t>5.</w:t>
      </w:r>
      <w:r w:rsidR="002B6B3A">
        <w:rPr>
          <w:rFonts w:ascii="Times New Roman" w:eastAsia="Times New Roman" w:hAnsi="Times New Roman"/>
          <w:b/>
          <w:bCs/>
          <w:sz w:val="24"/>
          <w:szCs w:val="24"/>
          <w:lang w:eastAsia="en-GB"/>
        </w:rPr>
        <w:t>1</w:t>
      </w:r>
      <w:r w:rsidRPr="00E47F88">
        <w:rPr>
          <w:rFonts w:ascii="Times New Roman" w:eastAsia="Times New Roman" w:hAnsi="Times New Roman"/>
          <w:b/>
          <w:bCs/>
          <w:sz w:val="24"/>
          <w:szCs w:val="24"/>
          <w:lang w:eastAsia="en-GB"/>
        </w:rPr>
        <w:t xml:space="preserve"> Study Area: Geography of Port Harcourt</w:t>
      </w:r>
    </w:p>
    <w:p w:rsidR="002D6218" w:rsidRPr="00086000" w:rsidRDefault="002D6218" w:rsidP="002D6218">
      <w:pPr>
        <w:spacing w:after="0" w:line="360" w:lineRule="auto"/>
        <w:jc w:val="both"/>
        <w:rPr>
          <w:rFonts w:ascii="Times New Roman" w:eastAsia="Times New Roman" w:hAnsi="Times New Roman"/>
          <w:sz w:val="24"/>
          <w:szCs w:val="24"/>
          <w:lang w:eastAsia="en-GB"/>
        </w:rPr>
      </w:pPr>
      <w:r w:rsidRPr="00086000">
        <w:rPr>
          <w:rFonts w:ascii="Times New Roman" w:eastAsia="Times New Roman" w:hAnsi="Times New Roman"/>
          <w:sz w:val="24"/>
          <w:szCs w:val="24"/>
          <w:lang w:eastAsia="en-GB"/>
        </w:rPr>
        <w:t xml:space="preserve">Port Harcourt, located in Rivers State in southern Nigeria, was established in 1912 as a colonial port city and has since developed into a major administrative, commercial, and industrial </w:t>
      </w:r>
      <w:proofErr w:type="spellStart"/>
      <w:r w:rsidRPr="00086000">
        <w:rPr>
          <w:rFonts w:ascii="Times New Roman" w:eastAsia="Times New Roman" w:hAnsi="Times New Roman"/>
          <w:sz w:val="24"/>
          <w:szCs w:val="24"/>
          <w:lang w:eastAsia="en-GB"/>
        </w:rPr>
        <w:t>centre</w:t>
      </w:r>
      <w:proofErr w:type="spellEnd"/>
      <w:r w:rsidRPr="00086000">
        <w:rPr>
          <w:rFonts w:ascii="Times New Roman" w:eastAsia="Times New Roman" w:hAnsi="Times New Roman"/>
          <w:sz w:val="24"/>
          <w:szCs w:val="24"/>
          <w:lang w:eastAsia="en-GB"/>
        </w:rPr>
        <w:t xml:space="preserve"> in the Niger Delta region. Its growth has been strongly influenced by its role as a seaport and, more significantly, by the expansion of petroleum-related activities, which have attracted sustained migration and economic investment over time (</w:t>
      </w:r>
      <w:proofErr w:type="spellStart"/>
      <w:r w:rsidRPr="00086000">
        <w:rPr>
          <w:rFonts w:ascii="Times New Roman" w:eastAsia="Times New Roman" w:hAnsi="Times New Roman"/>
          <w:sz w:val="24"/>
          <w:szCs w:val="24"/>
          <w:lang w:eastAsia="en-GB"/>
        </w:rPr>
        <w:t>Echendu</w:t>
      </w:r>
      <w:proofErr w:type="spellEnd"/>
      <w:r w:rsidRPr="00086000">
        <w:rPr>
          <w:rFonts w:ascii="Times New Roman" w:eastAsia="Times New Roman" w:hAnsi="Times New Roman"/>
          <w:sz w:val="24"/>
          <w:szCs w:val="24"/>
          <w:lang w:eastAsia="en-GB"/>
        </w:rPr>
        <w:t xml:space="preserve"> &amp; </w:t>
      </w:r>
      <w:proofErr w:type="spellStart"/>
      <w:r w:rsidRPr="00086000">
        <w:rPr>
          <w:rFonts w:ascii="Times New Roman" w:eastAsia="Times New Roman" w:hAnsi="Times New Roman"/>
          <w:sz w:val="24"/>
          <w:szCs w:val="24"/>
          <w:lang w:eastAsia="en-GB"/>
        </w:rPr>
        <w:t>Georgeou</w:t>
      </w:r>
      <w:proofErr w:type="spellEnd"/>
      <w:r w:rsidRPr="00086000">
        <w:rPr>
          <w:rFonts w:ascii="Times New Roman" w:eastAsia="Times New Roman" w:hAnsi="Times New Roman"/>
          <w:sz w:val="24"/>
          <w:szCs w:val="24"/>
          <w:lang w:eastAsia="en-GB"/>
        </w:rPr>
        <w:t>, 2021).</w:t>
      </w:r>
    </w:p>
    <w:p w:rsidR="002D6218" w:rsidRPr="00086000" w:rsidRDefault="002D6218" w:rsidP="002D6218">
      <w:pPr>
        <w:spacing w:after="0" w:line="360" w:lineRule="auto"/>
        <w:jc w:val="both"/>
        <w:rPr>
          <w:rFonts w:ascii="Times New Roman" w:eastAsia="Times New Roman" w:hAnsi="Times New Roman"/>
          <w:sz w:val="24"/>
          <w:szCs w:val="24"/>
          <w:lang w:eastAsia="en-GB"/>
        </w:rPr>
      </w:pPr>
      <w:r w:rsidRPr="00086000">
        <w:rPr>
          <w:rFonts w:ascii="Times New Roman" w:eastAsia="Times New Roman" w:hAnsi="Times New Roman"/>
          <w:sz w:val="24"/>
          <w:szCs w:val="24"/>
          <w:lang w:eastAsia="en-GB"/>
        </w:rPr>
        <w:lastRenderedPageBreak/>
        <w:t>Geographically, Port Harcourt lies within the Niger Delta, a low-lying coastal environment characterized by an intricate network of rivers, creeks, wetlands, and mangrove swamps. This ecological setting makes the city inherently vulnerable to environmental hazards, particularly flooding. Urban development was historically concentrated on relatively stable and elevated areas; however, increasing population pressure and demand for land have led to significant expansion into marginal and flood-prone wetland zones (Dan-Jumbo et al., 2018).</w:t>
      </w:r>
    </w:p>
    <w:p w:rsidR="002D6218" w:rsidRPr="00086000" w:rsidRDefault="002D6218" w:rsidP="002D6218">
      <w:pPr>
        <w:spacing w:after="0" w:line="360" w:lineRule="auto"/>
        <w:jc w:val="both"/>
        <w:rPr>
          <w:rFonts w:ascii="Times New Roman" w:eastAsia="Times New Roman" w:hAnsi="Times New Roman"/>
          <w:sz w:val="24"/>
          <w:szCs w:val="24"/>
          <w:lang w:eastAsia="en-GB"/>
        </w:rPr>
      </w:pPr>
      <w:r w:rsidRPr="00086000">
        <w:rPr>
          <w:rFonts w:ascii="Times New Roman" w:eastAsia="Times New Roman" w:hAnsi="Times New Roman"/>
          <w:sz w:val="24"/>
          <w:szCs w:val="24"/>
          <w:lang w:eastAsia="en-GB"/>
        </w:rPr>
        <w:t xml:space="preserve">Recent studies show that urban growth in the Greater Port Harcourt area has resulted in substantial land-use changes, with built-up areas expanding at the expense of natural landscapes, including wetlands and agricultural land. This transformation has altered natural drainage systems and reduced the capacity of wetlands to absorb excess water, thereby increasing flood risk (Dan-Jumbo et al., 2018; </w:t>
      </w:r>
      <w:proofErr w:type="spellStart"/>
      <w:r w:rsidRPr="00086000">
        <w:rPr>
          <w:rFonts w:ascii="Times New Roman" w:eastAsia="Times New Roman" w:hAnsi="Times New Roman"/>
          <w:sz w:val="24"/>
          <w:szCs w:val="24"/>
          <w:lang w:eastAsia="en-GB"/>
        </w:rPr>
        <w:t>Echendu</w:t>
      </w:r>
      <w:proofErr w:type="spellEnd"/>
      <w:r w:rsidRPr="00086000">
        <w:rPr>
          <w:rFonts w:ascii="Times New Roman" w:eastAsia="Times New Roman" w:hAnsi="Times New Roman"/>
          <w:sz w:val="24"/>
          <w:szCs w:val="24"/>
          <w:lang w:eastAsia="en-GB"/>
        </w:rPr>
        <w:t xml:space="preserve"> &amp; </w:t>
      </w:r>
      <w:proofErr w:type="spellStart"/>
      <w:r w:rsidRPr="00086000">
        <w:rPr>
          <w:rFonts w:ascii="Times New Roman" w:eastAsia="Times New Roman" w:hAnsi="Times New Roman"/>
          <w:sz w:val="24"/>
          <w:szCs w:val="24"/>
          <w:lang w:eastAsia="en-GB"/>
        </w:rPr>
        <w:t>Georgeou</w:t>
      </w:r>
      <w:proofErr w:type="spellEnd"/>
      <w:r w:rsidRPr="00086000">
        <w:rPr>
          <w:rFonts w:ascii="Times New Roman" w:eastAsia="Times New Roman" w:hAnsi="Times New Roman"/>
          <w:sz w:val="24"/>
          <w:szCs w:val="24"/>
          <w:lang w:eastAsia="en-GB"/>
        </w:rPr>
        <w:t>, 2021).</w:t>
      </w:r>
    </w:p>
    <w:p w:rsidR="002D6218" w:rsidRPr="00086000" w:rsidRDefault="002D6218" w:rsidP="002D6218">
      <w:pPr>
        <w:spacing w:after="0" w:line="360" w:lineRule="auto"/>
        <w:jc w:val="both"/>
        <w:rPr>
          <w:rFonts w:ascii="Times New Roman" w:eastAsia="Times New Roman" w:hAnsi="Times New Roman"/>
          <w:sz w:val="24"/>
          <w:szCs w:val="24"/>
          <w:lang w:eastAsia="en-GB"/>
        </w:rPr>
      </w:pPr>
      <w:r w:rsidRPr="00086000">
        <w:rPr>
          <w:rFonts w:ascii="Times New Roman" w:eastAsia="Times New Roman" w:hAnsi="Times New Roman"/>
          <w:sz w:val="24"/>
          <w:szCs w:val="24"/>
          <w:lang w:eastAsia="en-GB"/>
        </w:rPr>
        <w:t xml:space="preserve">Climatically, Port Harcourt experiences a humid tropical environment with high annual rainfall and prolonged wet seasons. Combined with its low elevation and extensive wetland systems, these conditions contribute to recurrent flooding and environmental vulnerability. Empirical evidence indicates that urban flooding in Port Harcourt is closely linked to deficiencies in land-use planning, inadequate drainage infrastructure, and weak enforcement of development control regulations (Chukwuma &amp; </w:t>
      </w:r>
      <w:proofErr w:type="spellStart"/>
      <w:r w:rsidRPr="00086000">
        <w:rPr>
          <w:rFonts w:ascii="Times New Roman" w:eastAsia="Times New Roman" w:hAnsi="Times New Roman"/>
          <w:sz w:val="24"/>
          <w:szCs w:val="24"/>
          <w:lang w:eastAsia="en-GB"/>
        </w:rPr>
        <w:t>Uchenna</w:t>
      </w:r>
      <w:proofErr w:type="spellEnd"/>
      <w:r w:rsidRPr="00086000">
        <w:rPr>
          <w:rFonts w:ascii="Times New Roman" w:eastAsia="Times New Roman" w:hAnsi="Times New Roman"/>
          <w:sz w:val="24"/>
          <w:szCs w:val="24"/>
          <w:lang w:eastAsia="en-GB"/>
        </w:rPr>
        <w:t xml:space="preserve">, 2018; </w:t>
      </w:r>
      <w:proofErr w:type="spellStart"/>
      <w:r w:rsidRPr="00086000">
        <w:rPr>
          <w:rFonts w:ascii="Times New Roman" w:eastAsia="Times New Roman" w:hAnsi="Times New Roman"/>
          <w:sz w:val="24"/>
          <w:szCs w:val="24"/>
          <w:lang w:eastAsia="en-GB"/>
        </w:rPr>
        <w:t>Echendu</w:t>
      </w:r>
      <w:proofErr w:type="spellEnd"/>
      <w:r w:rsidRPr="00086000">
        <w:rPr>
          <w:rFonts w:ascii="Times New Roman" w:eastAsia="Times New Roman" w:hAnsi="Times New Roman"/>
          <w:sz w:val="24"/>
          <w:szCs w:val="24"/>
          <w:lang w:eastAsia="en-GB"/>
        </w:rPr>
        <w:t xml:space="preserve"> &amp; </w:t>
      </w:r>
      <w:proofErr w:type="spellStart"/>
      <w:r w:rsidRPr="00086000">
        <w:rPr>
          <w:rFonts w:ascii="Times New Roman" w:eastAsia="Times New Roman" w:hAnsi="Times New Roman"/>
          <w:sz w:val="24"/>
          <w:szCs w:val="24"/>
          <w:lang w:eastAsia="en-GB"/>
        </w:rPr>
        <w:t>Georgeou</w:t>
      </w:r>
      <w:proofErr w:type="spellEnd"/>
      <w:r w:rsidRPr="00086000">
        <w:rPr>
          <w:rFonts w:ascii="Times New Roman" w:eastAsia="Times New Roman" w:hAnsi="Times New Roman"/>
          <w:sz w:val="24"/>
          <w:szCs w:val="24"/>
          <w:lang w:eastAsia="en-GB"/>
        </w:rPr>
        <w:t>, 2021).</w:t>
      </w:r>
    </w:p>
    <w:p w:rsidR="002D6218" w:rsidRPr="00086000" w:rsidRDefault="002D6218" w:rsidP="002D6218">
      <w:pPr>
        <w:spacing w:after="0" w:line="360" w:lineRule="auto"/>
        <w:jc w:val="both"/>
        <w:rPr>
          <w:rFonts w:ascii="Times New Roman" w:eastAsia="Times New Roman" w:hAnsi="Times New Roman"/>
          <w:sz w:val="24"/>
          <w:szCs w:val="24"/>
          <w:lang w:eastAsia="en-GB"/>
        </w:rPr>
      </w:pPr>
      <w:r w:rsidRPr="00086000">
        <w:rPr>
          <w:rFonts w:ascii="Times New Roman" w:eastAsia="Times New Roman" w:hAnsi="Times New Roman"/>
          <w:sz w:val="24"/>
          <w:szCs w:val="24"/>
          <w:lang w:eastAsia="en-GB"/>
        </w:rPr>
        <w:t>In terms of accessibility, Port Harcourt functions as a major regional transport hub, supported by road networks, waterways, rail infrastructure, and an international airport. While this connectivity has reinforced its economic importance, it has also facilitated outward urban expansion into peripheral and environmentally sensitive areas. Consequently, the interaction between rapid urban growth, ecological vulnerability, and weak planning control continues to shape the spatial development challenges of the city.</w:t>
      </w:r>
    </w:p>
    <w:p w:rsidR="00817341" w:rsidRPr="002D6218" w:rsidRDefault="00817341">
      <w:pPr>
        <w:tabs>
          <w:tab w:val="left" w:pos="954"/>
        </w:tabs>
        <w:spacing w:line="240" w:lineRule="auto"/>
        <w:jc w:val="both"/>
        <w:rPr>
          <w:rFonts w:ascii="Times New Roman" w:hAnsi="Times New Roman"/>
          <w:sz w:val="8"/>
          <w:szCs w:val="24"/>
        </w:rPr>
      </w:pPr>
    </w:p>
    <w:p w:rsidR="00861454" w:rsidRPr="00861454" w:rsidRDefault="002B6B3A" w:rsidP="00861454">
      <w:pPr>
        <w:pStyle w:val="Heading2"/>
        <w:spacing w:beforeAutospacing="0" w:afterAutospacing="0" w:line="360" w:lineRule="auto"/>
        <w:jc w:val="both"/>
        <w:rPr>
          <w:rFonts w:ascii="Times New Roman" w:hAnsi="Times New Roman" w:hint="default"/>
          <w:b w:val="0"/>
          <w:sz w:val="24"/>
          <w:szCs w:val="24"/>
        </w:rPr>
      </w:pPr>
      <w:r>
        <w:rPr>
          <w:rStyle w:val="Strong"/>
          <w:rFonts w:ascii="Times New Roman" w:hAnsi="Times New Roman" w:hint="default"/>
          <w:b/>
          <w:bCs/>
          <w:sz w:val="24"/>
          <w:szCs w:val="24"/>
        </w:rPr>
        <w:t>5.2</w:t>
      </w:r>
      <w:r w:rsidR="00861454" w:rsidRPr="00861454">
        <w:rPr>
          <w:rStyle w:val="Strong"/>
          <w:rFonts w:ascii="Times New Roman" w:hAnsi="Times New Roman" w:hint="default"/>
          <w:b/>
          <w:bCs/>
          <w:sz w:val="24"/>
          <w:szCs w:val="24"/>
        </w:rPr>
        <w:t xml:space="preserve">. Emergence of Wetland </w:t>
      </w:r>
      <w:proofErr w:type="spellStart"/>
      <w:r w:rsidR="00861454" w:rsidRPr="00861454">
        <w:rPr>
          <w:rStyle w:val="Strong"/>
          <w:rFonts w:ascii="Times New Roman" w:hAnsi="Times New Roman" w:hint="default"/>
          <w:b/>
          <w:bCs/>
          <w:sz w:val="24"/>
          <w:szCs w:val="24"/>
        </w:rPr>
        <w:t>Neighbourhoods</w:t>
      </w:r>
      <w:proofErr w:type="spellEnd"/>
      <w:r w:rsidR="00861454" w:rsidRPr="00861454">
        <w:rPr>
          <w:rStyle w:val="Strong"/>
          <w:rFonts w:ascii="Times New Roman" w:hAnsi="Times New Roman" w:hint="default"/>
          <w:b/>
          <w:bCs/>
          <w:sz w:val="24"/>
          <w:szCs w:val="24"/>
        </w:rPr>
        <w:t xml:space="preserve"> in Port Harcourt </w:t>
      </w:r>
    </w:p>
    <w:p w:rsidR="00861454" w:rsidRPr="00861454" w:rsidRDefault="00861454" w:rsidP="00861454">
      <w:pPr>
        <w:pStyle w:val="NormalWeb"/>
        <w:spacing w:beforeAutospacing="0" w:afterAutospacing="0" w:line="360" w:lineRule="auto"/>
        <w:jc w:val="both"/>
        <w:rPr>
          <w:rFonts w:ascii="Times New Roman" w:hAnsi="Times New Roman"/>
        </w:rPr>
      </w:pPr>
      <w:r w:rsidRPr="00861454">
        <w:rPr>
          <w:rFonts w:ascii="Times New Roman" w:hAnsi="Times New Roman"/>
        </w:rPr>
        <w:t xml:space="preserve">The emergence of wetland </w:t>
      </w:r>
      <w:proofErr w:type="spellStart"/>
      <w:r w:rsidRPr="00861454">
        <w:rPr>
          <w:rFonts w:ascii="Times New Roman" w:hAnsi="Times New Roman"/>
        </w:rPr>
        <w:t>neighbourhoods</w:t>
      </w:r>
      <w:proofErr w:type="spellEnd"/>
      <w:r w:rsidRPr="00861454">
        <w:rPr>
          <w:rFonts w:ascii="Times New Roman" w:hAnsi="Times New Roman"/>
        </w:rPr>
        <w:t xml:space="preserve"> in Port Harcourt is closely linked to rapid population growth and economic expansion following the post-civil war period. The establishment of multinational oil companies, expansion of transportation networks, and increased commercial activities attracted a significant influx of migrants into the city. However, the existing urban infrastructure and housing supply were inadequate to accommodate this rapid population growth, resulting in a widening gap between housing demand and supply.</w:t>
      </w:r>
    </w:p>
    <w:p w:rsidR="00861454" w:rsidRPr="00861454" w:rsidRDefault="00861454" w:rsidP="00861454">
      <w:pPr>
        <w:pStyle w:val="NormalWeb"/>
        <w:spacing w:beforeAutospacing="0" w:afterAutospacing="0" w:line="360" w:lineRule="auto"/>
        <w:jc w:val="both"/>
        <w:rPr>
          <w:rFonts w:ascii="Times New Roman" w:hAnsi="Times New Roman"/>
        </w:rPr>
      </w:pPr>
      <w:r w:rsidRPr="00861454">
        <w:rPr>
          <w:rFonts w:ascii="Times New Roman" w:hAnsi="Times New Roman"/>
        </w:rPr>
        <w:lastRenderedPageBreak/>
        <w:t>This imbalance led to an acute housing shortage, accompanied by rising land values and rental costs within the urban core. Consequently, low-income populations were compelled to seek alternative accommodation in marginal environments, particularly wetlands located along the southern and western peripheries of the city. These areas, characterized by mangrove swamps and flood-prone terrain, offered relatively affordable access to land and proximity to economic opportunities. This pattern reflects broader urbanization trends in Sub-Saharan Africa, where rapid population growth, housing deficits, and weak planning systems drive settlement expansion into environmentally sensitive areas (</w:t>
      </w:r>
      <w:proofErr w:type="spellStart"/>
      <w:r w:rsidRPr="00861454">
        <w:rPr>
          <w:rFonts w:ascii="Times New Roman" w:hAnsi="Times New Roman"/>
        </w:rPr>
        <w:t>Cobbinah</w:t>
      </w:r>
      <w:proofErr w:type="spellEnd"/>
      <w:r w:rsidRPr="00861454">
        <w:rPr>
          <w:rFonts w:ascii="Times New Roman" w:hAnsi="Times New Roman"/>
        </w:rPr>
        <w:t xml:space="preserve"> et al., 2015; Kumar, 2025).</w:t>
      </w:r>
    </w:p>
    <w:p w:rsidR="00861454" w:rsidRPr="00861454" w:rsidRDefault="00861454" w:rsidP="00861454">
      <w:pPr>
        <w:pStyle w:val="NormalWeb"/>
        <w:spacing w:beforeAutospacing="0" w:afterAutospacing="0" w:line="360" w:lineRule="auto"/>
        <w:jc w:val="both"/>
        <w:rPr>
          <w:rFonts w:ascii="Times New Roman" w:hAnsi="Times New Roman"/>
        </w:rPr>
      </w:pPr>
      <w:r w:rsidRPr="00861454">
        <w:rPr>
          <w:rFonts w:ascii="Times New Roman" w:hAnsi="Times New Roman"/>
        </w:rPr>
        <w:t>The initial phase of wetland encroachment was therefore dominated by the urban poor, leading to the development of informal “waterside settlements.” These settlements were typically characterized by poor housing conditions, lack of infrastructure, overcrowding, and unsanitary environments (Kio-Lawson, 2015). Despite these challenges, the relatively low cost of land and the ease of informal land reclamation made these areas attractive to residents. Over time, these settlements expanded significantly and became embedded within the urban fabric. Similar patterns of informal wetland occupation have been documented across African cities, where unregulated urban expansion produces fragmented and environmentally vulnerable settlement forms (</w:t>
      </w:r>
      <w:proofErr w:type="spellStart"/>
      <w:r w:rsidRPr="00861454">
        <w:rPr>
          <w:rFonts w:ascii="Times New Roman" w:hAnsi="Times New Roman"/>
        </w:rPr>
        <w:t>Adelekan</w:t>
      </w:r>
      <w:proofErr w:type="spellEnd"/>
      <w:r w:rsidRPr="00861454">
        <w:rPr>
          <w:rFonts w:ascii="Times New Roman" w:hAnsi="Times New Roman"/>
        </w:rPr>
        <w:t xml:space="preserve">, 2016; </w:t>
      </w:r>
      <w:proofErr w:type="spellStart"/>
      <w:r w:rsidRPr="00861454">
        <w:rPr>
          <w:rFonts w:ascii="Times New Roman" w:hAnsi="Times New Roman"/>
        </w:rPr>
        <w:t>Koroso</w:t>
      </w:r>
      <w:proofErr w:type="spellEnd"/>
      <w:r w:rsidRPr="00861454">
        <w:rPr>
          <w:rFonts w:ascii="Times New Roman" w:hAnsi="Times New Roman"/>
        </w:rPr>
        <w:t xml:space="preserve"> et al., 2021).</w:t>
      </w:r>
    </w:p>
    <w:p w:rsidR="00861454" w:rsidRPr="00861454" w:rsidRDefault="00861454" w:rsidP="00861454">
      <w:pPr>
        <w:pStyle w:val="NormalWeb"/>
        <w:spacing w:beforeAutospacing="0" w:afterAutospacing="0" w:line="360" w:lineRule="auto"/>
        <w:jc w:val="both"/>
        <w:rPr>
          <w:rFonts w:ascii="Times New Roman" w:hAnsi="Times New Roman"/>
        </w:rPr>
      </w:pPr>
      <w:r w:rsidRPr="00861454">
        <w:rPr>
          <w:rFonts w:ascii="Times New Roman" w:hAnsi="Times New Roman"/>
        </w:rPr>
        <w:t xml:space="preserve">The environmental degradation and social challenges associated with these settlements eventually prompted government intervention. Some waterside communities were cleared and redeveloped into planned residential </w:t>
      </w:r>
      <w:proofErr w:type="spellStart"/>
      <w:r w:rsidRPr="00861454">
        <w:rPr>
          <w:rFonts w:ascii="Times New Roman" w:hAnsi="Times New Roman"/>
        </w:rPr>
        <w:t>neighbourhoods</w:t>
      </w:r>
      <w:proofErr w:type="spellEnd"/>
      <w:r w:rsidRPr="00861454">
        <w:rPr>
          <w:rFonts w:ascii="Times New Roman" w:hAnsi="Times New Roman"/>
        </w:rPr>
        <w:t xml:space="preserve"> with improved physical structures and basic infrastructure. These interventions were intended to relocate displaced low-income populations and improve living conditions. However, the implementation process was often undermined by governance challenges, including political interference, resulting in the reallocation of housing units to middle-income groups rather than the intended beneficiaries.</w:t>
      </w:r>
    </w:p>
    <w:p w:rsidR="00861454" w:rsidRPr="00861454" w:rsidRDefault="00861454" w:rsidP="00861454">
      <w:pPr>
        <w:pStyle w:val="NormalWeb"/>
        <w:spacing w:beforeAutospacing="0" w:afterAutospacing="0" w:line="360" w:lineRule="auto"/>
        <w:jc w:val="both"/>
        <w:rPr>
          <w:rFonts w:ascii="Times New Roman" w:hAnsi="Times New Roman"/>
        </w:rPr>
      </w:pPr>
      <w:r w:rsidRPr="00861454">
        <w:rPr>
          <w:rFonts w:ascii="Times New Roman" w:hAnsi="Times New Roman"/>
        </w:rPr>
        <w:t xml:space="preserve">This outcome marked the beginning of a second phase of wetland development. The improved infrastructure and spatial organization of redeveloped areas increased the attractiveness of adjacent wetland lands. As a result, private developers and individuals began to acquire and develop surrounding areas, leading to the emergence of more organized residential </w:t>
      </w:r>
      <w:proofErr w:type="spellStart"/>
      <w:r w:rsidRPr="00861454">
        <w:rPr>
          <w:rFonts w:ascii="Times New Roman" w:hAnsi="Times New Roman"/>
        </w:rPr>
        <w:t>neighbourhoods</w:t>
      </w:r>
      <w:proofErr w:type="spellEnd"/>
      <w:r w:rsidRPr="00861454">
        <w:rPr>
          <w:rFonts w:ascii="Times New Roman" w:hAnsi="Times New Roman"/>
        </w:rPr>
        <w:t xml:space="preserve">. This transition reflects broader dynamics of urban land markets in developing cities, where rising land </w:t>
      </w:r>
      <w:r w:rsidRPr="00861454">
        <w:rPr>
          <w:rFonts w:ascii="Times New Roman" w:hAnsi="Times New Roman"/>
        </w:rPr>
        <w:lastRenderedPageBreak/>
        <w:t xml:space="preserve">values and accessibility considerations drive the transformation of marginal lands into semi-formal residential environments (Gilbert, 2016; </w:t>
      </w:r>
      <w:proofErr w:type="spellStart"/>
      <w:r w:rsidRPr="00861454">
        <w:rPr>
          <w:rFonts w:ascii="Times New Roman" w:hAnsi="Times New Roman"/>
        </w:rPr>
        <w:t>Aalbers</w:t>
      </w:r>
      <w:proofErr w:type="spellEnd"/>
      <w:r w:rsidRPr="00861454">
        <w:rPr>
          <w:rFonts w:ascii="Times New Roman" w:hAnsi="Times New Roman"/>
        </w:rPr>
        <w:t>, 2016).</w:t>
      </w:r>
    </w:p>
    <w:p w:rsidR="00861454" w:rsidRPr="00861454" w:rsidRDefault="00861454" w:rsidP="00861454">
      <w:pPr>
        <w:pStyle w:val="NormalWeb"/>
        <w:spacing w:beforeAutospacing="0" w:afterAutospacing="0" w:line="360" w:lineRule="auto"/>
        <w:jc w:val="both"/>
        <w:rPr>
          <w:rFonts w:ascii="Times New Roman" w:hAnsi="Times New Roman"/>
        </w:rPr>
      </w:pPr>
      <w:r w:rsidRPr="00861454">
        <w:rPr>
          <w:rFonts w:ascii="Times New Roman" w:hAnsi="Times New Roman"/>
        </w:rPr>
        <w:t>Unlike earlier waterside settlements, these newer developments exhibit improved building quality and some level of infrastructure provision. Buildings are typically constructed with permanent materials such as cement, and basic road networks are introduced to allow vehicular access. However, these developments continue to evolve largely outside formal planning systems and regulatory frameworks.</w:t>
      </w:r>
    </w:p>
    <w:p w:rsidR="00861454" w:rsidRPr="00861454" w:rsidRDefault="00861454" w:rsidP="00861454">
      <w:pPr>
        <w:pStyle w:val="NormalWeb"/>
        <w:spacing w:beforeAutospacing="0" w:afterAutospacing="0" w:line="360" w:lineRule="auto"/>
        <w:jc w:val="both"/>
        <w:rPr>
          <w:rFonts w:ascii="Times New Roman" w:hAnsi="Times New Roman"/>
        </w:rPr>
      </w:pPr>
      <w:r w:rsidRPr="00861454">
        <w:rPr>
          <w:rFonts w:ascii="Times New Roman" w:hAnsi="Times New Roman"/>
        </w:rPr>
        <w:t xml:space="preserve">Land transactions in these areas are predominantly controlled by indigenous landowners, who determine plot sizes, road alignments, and layout patterns based on local practices and economic considerations rather than formal planning standards. Development typically involves land reclamation through sand filling, followed by incremental construction processes. While these </w:t>
      </w:r>
      <w:proofErr w:type="spellStart"/>
      <w:r w:rsidRPr="00861454">
        <w:rPr>
          <w:rFonts w:ascii="Times New Roman" w:hAnsi="Times New Roman"/>
        </w:rPr>
        <w:t>neighbourhoods</w:t>
      </w:r>
      <w:proofErr w:type="spellEnd"/>
      <w:r w:rsidRPr="00861454">
        <w:rPr>
          <w:rFonts w:ascii="Times New Roman" w:hAnsi="Times New Roman"/>
        </w:rPr>
        <w:t xml:space="preserve"> display a degree of spatial organization, the absence of approved development plans results in layouts that fall short of established urban planning requirements.</w:t>
      </w:r>
    </w:p>
    <w:p w:rsidR="00861454" w:rsidRPr="00861454" w:rsidRDefault="00861454" w:rsidP="00861454">
      <w:pPr>
        <w:pStyle w:val="NormalWeb"/>
        <w:spacing w:beforeAutospacing="0" w:afterAutospacing="0" w:line="360" w:lineRule="auto"/>
        <w:jc w:val="both"/>
        <w:rPr>
          <w:rFonts w:ascii="Times New Roman" w:hAnsi="Times New Roman"/>
        </w:rPr>
      </w:pPr>
      <w:r w:rsidRPr="00861454">
        <w:rPr>
          <w:rFonts w:ascii="Times New Roman" w:hAnsi="Times New Roman"/>
        </w:rPr>
        <w:t>Critical deficiencies remain in relation to drainage systems, road hierarchy, building setbacks, land-use compatibility, and overall spatial efficiency. These shortcomings highlight a significant gap between existing development patterns and planned urban standards, raising concerns about long-term functionality, environmental sustainability, and urban livability.</w:t>
      </w:r>
    </w:p>
    <w:p w:rsidR="00861454" w:rsidRPr="00861454" w:rsidRDefault="00861454" w:rsidP="00861454">
      <w:pPr>
        <w:pStyle w:val="NormalWeb"/>
        <w:spacing w:beforeAutospacing="0" w:afterAutospacing="0" w:line="360" w:lineRule="auto"/>
        <w:jc w:val="both"/>
        <w:rPr>
          <w:rFonts w:ascii="Times New Roman" w:hAnsi="Times New Roman"/>
        </w:rPr>
      </w:pPr>
      <w:r w:rsidRPr="00861454">
        <w:rPr>
          <w:rFonts w:ascii="Times New Roman" w:hAnsi="Times New Roman"/>
        </w:rPr>
        <w:t xml:space="preserve">Overall, the evolution of wetland </w:t>
      </w:r>
      <w:proofErr w:type="spellStart"/>
      <w:r w:rsidRPr="00861454">
        <w:rPr>
          <w:rFonts w:ascii="Times New Roman" w:hAnsi="Times New Roman"/>
        </w:rPr>
        <w:t>neighbourhoods</w:t>
      </w:r>
      <w:proofErr w:type="spellEnd"/>
      <w:r w:rsidRPr="00861454">
        <w:rPr>
          <w:rFonts w:ascii="Times New Roman" w:hAnsi="Times New Roman"/>
        </w:rPr>
        <w:t xml:space="preserve"> in Port Harcourt reflects a transition from informal, low-income settlements to semi-organized, mixed-income residential environments. However, their continued expansion without effective planning control poses significant challenges for environmental sustainability, infrastructure provision, and urban resilience. Similar forms of wetland urbanization have been associated with increased flood risk, ecological degradation, and disruption of natural hydrological systems in comparable urban contexts (</w:t>
      </w:r>
      <w:proofErr w:type="spellStart"/>
      <w:r w:rsidRPr="00861454">
        <w:rPr>
          <w:rFonts w:ascii="Times New Roman" w:hAnsi="Times New Roman"/>
        </w:rPr>
        <w:t>Adelekan</w:t>
      </w:r>
      <w:proofErr w:type="spellEnd"/>
      <w:r w:rsidRPr="00861454">
        <w:rPr>
          <w:rFonts w:ascii="Times New Roman" w:hAnsi="Times New Roman"/>
        </w:rPr>
        <w:t xml:space="preserve">, 2016; </w:t>
      </w:r>
      <w:proofErr w:type="spellStart"/>
      <w:r w:rsidRPr="00861454">
        <w:rPr>
          <w:rFonts w:ascii="Times New Roman" w:hAnsi="Times New Roman"/>
        </w:rPr>
        <w:t>Alikhani</w:t>
      </w:r>
      <w:proofErr w:type="spellEnd"/>
      <w:r w:rsidRPr="00861454">
        <w:rPr>
          <w:rFonts w:ascii="Times New Roman" w:hAnsi="Times New Roman"/>
        </w:rPr>
        <w:t xml:space="preserve"> et al., 2021).</w:t>
      </w:r>
    </w:p>
    <w:p w:rsidR="00817341" w:rsidRDefault="00817341">
      <w:pPr>
        <w:pStyle w:val="Heading1"/>
        <w:spacing w:beforeAutospacing="0" w:afterAutospacing="0"/>
        <w:jc w:val="both"/>
        <w:rPr>
          <w:rStyle w:val="Strong"/>
          <w:rFonts w:ascii="Times New Roman" w:hAnsi="Times New Roman" w:hint="default"/>
          <w:b/>
          <w:bCs/>
          <w:sz w:val="24"/>
          <w:szCs w:val="24"/>
        </w:rPr>
      </w:pPr>
    </w:p>
    <w:p w:rsidR="00C145D2" w:rsidRPr="000575B5" w:rsidRDefault="002B6B3A" w:rsidP="00C145D2">
      <w:pPr>
        <w:spacing w:after="0" w:line="360" w:lineRule="auto"/>
        <w:jc w:val="both"/>
        <w:outlineLvl w:val="1"/>
        <w:rPr>
          <w:rFonts w:ascii="Times New Roman" w:eastAsia="Times New Roman" w:hAnsi="Times New Roman"/>
          <w:b/>
          <w:bCs/>
          <w:sz w:val="24"/>
          <w:szCs w:val="24"/>
          <w:lang w:eastAsia="en-GB"/>
        </w:rPr>
      </w:pPr>
      <w:r>
        <w:rPr>
          <w:rFonts w:ascii="Times New Roman" w:eastAsia="Times New Roman" w:hAnsi="Times New Roman"/>
          <w:b/>
          <w:bCs/>
          <w:sz w:val="24"/>
          <w:szCs w:val="24"/>
          <w:lang w:eastAsia="en-GB"/>
        </w:rPr>
        <w:t>5.3</w:t>
      </w:r>
      <w:r w:rsidR="00C145D2" w:rsidRPr="000575B5">
        <w:rPr>
          <w:rFonts w:ascii="Times New Roman" w:eastAsia="Times New Roman" w:hAnsi="Times New Roman"/>
          <w:b/>
          <w:bCs/>
          <w:sz w:val="24"/>
          <w:szCs w:val="24"/>
          <w:lang w:eastAsia="en-GB"/>
        </w:rPr>
        <w:t>. Research Design and Sampling</w:t>
      </w:r>
    </w:p>
    <w:p w:rsidR="00C145D2" w:rsidRPr="000575B5" w:rsidRDefault="00C145D2" w:rsidP="00C145D2">
      <w:pPr>
        <w:spacing w:after="0" w:line="36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 xml:space="preserve">This study adopted a mixed-method research design to examine the characteristics, drivers, and spatial implications of wetland neighbourhood development in Port Harcourt. The mixed-method approach was considered appropriate because the phenomenon under investigation involves both measurable socio-economic variables and context-dependent environmental and spatial processes that require qualitative interpretation. Consequently, the study integrated quantitative data derived </w:t>
      </w:r>
      <w:r w:rsidRPr="000575B5">
        <w:rPr>
          <w:rFonts w:ascii="Times New Roman" w:eastAsia="Times New Roman" w:hAnsi="Times New Roman"/>
          <w:sz w:val="24"/>
          <w:szCs w:val="24"/>
          <w:lang w:eastAsia="en-GB"/>
        </w:rPr>
        <w:lastRenderedPageBreak/>
        <w:t>from structured questionnaire surveys with qualitative evidence obtained from field observations and key informant interviews. In addition, spatial analysis was incorporated to explain the locational dynamics and expansion patterns of wetland settlements.</w:t>
      </w:r>
    </w:p>
    <w:p w:rsidR="00C145D2" w:rsidRPr="000575B5" w:rsidRDefault="00C145D2" w:rsidP="00C145D2">
      <w:pPr>
        <w:spacing w:after="0" w:line="36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 xml:space="preserve">A preliminary reconnaissance survey, supported by a review of existing settlement patterns, identified fourteen (14) established wetland </w:t>
      </w:r>
      <w:proofErr w:type="spellStart"/>
      <w:r w:rsidRPr="000575B5">
        <w:rPr>
          <w:rFonts w:ascii="Times New Roman" w:eastAsia="Times New Roman" w:hAnsi="Times New Roman"/>
          <w:sz w:val="24"/>
          <w:szCs w:val="24"/>
          <w:lang w:eastAsia="en-GB"/>
        </w:rPr>
        <w:t>neighbourhoods</w:t>
      </w:r>
      <w:proofErr w:type="spellEnd"/>
      <w:r w:rsidRPr="000575B5">
        <w:rPr>
          <w:rFonts w:ascii="Times New Roman" w:eastAsia="Times New Roman" w:hAnsi="Times New Roman"/>
          <w:sz w:val="24"/>
          <w:szCs w:val="24"/>
          <w:lang w:eastAsia="en-GB"/>
        </w:rPr>
        <w:t xml:space="preserve"> across Port Harcourt (see </w:t>
      </w:r>
      <w:r w:rsidRPr="00C145D2">
        <w:rPr>
          <w:rFonts w:ascii="Times New Roman" w:eastAsia="Times New Roman" w:hAnsi="Times New Roman"/>
          <w:bCs/>
          <w:sz w:val="24"/>
          <w:szCs w:val="24"/>
          <w:lang w:eastAsia="en-GB"/>
        </w:rPr>
        <w:t>Table 1</w:t>
      </w:r>
      <w:r w:rsidRPr="000575B5">
        <w:rPr>
          <w:rFonts w:ascii="Times New Roman" w:eastAsia="Times New Roman" w:hAnsi="Times New Roman"/>
          <w:sz w:val="24"/>
          <w:szCs w:val="24"/>
          <w:lang w:eastAsia="en-GB"/>
        </w:rPr>
        <w:t xml:space="preserve">). From this population, six (6) </w:t>
      </w:r>
      <w:proofErr w:type="spellStart"/>
      <w:r w:rsidRPr="000575B5">
        <w:rPr>
          <w:rFonts w:ascii="Times New Roman" w:eastAsia="Times New Roman" w:hAnsi="Times New Roman"/>
          <w:sz w:val="24"/>
          <w:szCs w:val="24"/>
          <w:lang w:eastAsia="en-GB"/>
        </w:rPr>
        <w:t>neighbourhoods</w:t>
      </w:r>
      <w:proofErr w:type="spellEnd"/>
      <w:r w:rsidRPr="000575B5">
        <w:rPr>
          <w:rFonts w:ascii="Times New Roman" w:eastAsia="Times New Roman" w:hAnsi="Times New Roman"/>
          <w:sz w:val="24"/>
          <w:szCs w:val="24"/>
          <w:lang w:eastAsia="en-GB"/>
        </w:rPr>
        <w:t xml:space="preserve"> were purposively selected for detailed investigation. The basis for this selection was to ensure spatial representation across the city, capture </w:t>
      </w:r>
      <w:proofErr w:type="spellStart"/>
      <w:r w:rsidRPr="000575B5">
        <w:rPr>
          <w:rFonts w:ascii="Times New Roman" w:eastAsia="Times New Roman" w:hAnsi="Times New Roman"/>
          <w:sz w:val="24"/>
          <w:szCs w:val="24"/>
          <w:lang w:eastAsia="en-GB"/>
        </w:rPr>
        <w:t>neighbourhoods</w:t>
      </w:r>
      <w:proofErr w:type="spellEnd"/>
      <w:r w:rsidRPr="000575B5">
        <w:rPr>
          <w:rFonts w:ascii="Times New Roman" w:eastAsia="Times New Roman" w:hAnsi="Times New Roman"/>
          <w:sz w:val="24"/>
          <w:szCs w:val="24"/>
          <w:lang w:eastAsia="en-GB"/>
        </w:rPr>
        <w:t xml:space="preserve"> with varying accessibility conditions and development intensities, and include areas at different stages of wetland settlement transformation. This ensured that both relatively established and emerging wetland communities were adequately represented in the analysis.</w:t>
      </w:r>
    </w:p>
    <w:p w:rsidR="00C145D2" w:rsidRPr="000575B5" w:rsidRDefault="00C145D2" w:rsidP="00C145D2">
      <w:pPr>
        <w:spacing w:after="0" w:line="360" w:lineRule="auto"/>
        <w:jc w:val="both"/>
        <w:rPr>
          <w:rFonts w:ascii="Times New Roman" w:eastAsia="Times New Roman" w:hAnsi="Times New Roman"/>
          <w:sz w:val="8"/>
          <w:szCs w:val="24"/>
          <w:lang w:eastAsia="en-GB"/>
        </w:rPr>
      </w:pPr>
    </w:p>
    <w:p w:rsidR="00C145D2" w:rsidRPr="000575B5" w:rsidRDefault="00C145D2" w:rsidP="00C145D2">
      <w:pPr>
        <w:spacing w:after="0" w:line="240" w:lineRule="auto"/>
        <w:jc w:val="both"/>
        <w:outlineLvl w:val="2"/>
        <w:rPr>
          <w:rFonts w:ascii="Times New Roman" w:eastAsia="Times New Roman" w:hAnsi="Times New Roman"/>
          <w:b/>
          <w:bCs/>
          <w:sz w:val="24"/>
          <w:szCs w:val="24"/>
          <w:lang w:eastAsia="en-GB"/>
        </w:rPr>
      </w:pPr>
      <w:r w:rsidRPr="000575B5">
        <w:rPr>
          <w:rFonts w:ascii="Times New Roman" w:eastAsia="Times New Roman" w:hAnsi="Times New Roman"/>
          <w:b/>
          <w:bCs/>
          <w:sz w:val="24"/>
          <w:szCs w:val="24"/>
          <w:lang w:eastAsia="en-GB"/>
        </w:rPr>
        <w:t xml:space="preserve">Table 1: Wetland </w:t>
      </w:r>
      <w:proofErr w:type="spellStart"/>
      <w:r w:rsidRPr="000575B5">
        <w:rPr>
          <w:rFonts w:ascii="Times New Roman" w:eastAsia="Times New Roman" w:hAnsi="Times New Roman"/>
          <w:b/>
          <w:bCs/>
          <w:sz w:val="24"/>
          <w:szCs w:val="24"/>
          <w:lang w:eastAsia="en-GB"/>
        </w:rPr>
        <w:t>Neighbourhoods</w:t>
      </w:r>
      <w:proofErr w:type="spellEnd"/>
      <w:r w:rsidRPr="000575B5">
        <w:rPr>
          <w:rFonts w:ascii="Times New Roman" w:eastAsia="Times New Roman" w:hAnsi="Times New Roman"/>
          <w:b/>
          <w:bCs/>
          <w:sz w:val="24"/>
          <w:szCs w:val="24"/>
          <w:lang w:eastAsia="en-GB"/>
        </w:rPr>
        <w:t xml:space="preserve"> in Port Harcourt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2"/>
        <w:gridCol w:w="2616"/>
      </w:tblGrid>
      <w:tr w:rsidR="00C145D2" w:rsidRPr="000575B5" w:rsidTr="0094006F">
        <w:trPr>
          <w:tblHeader/>
          <w:tblCellSpacing w:w="15" w:type="dxa"/>
        </w:trPr>
        <w:tc>
          <w:tcPr>
            <w:tcW w:w="0" w:type="auto"/>
            <w:tcBorders>
              <w:top w:val="single" w:sz="4" w:space="0" w:color="auto"/>
              <w:bottom w:val="single" w:sz="4" w:space="0" w:color="auto"/>
            </w:tcBorders>
            <w:vAlign w:val="center"/>
            <w:hideMark/>
          </w:tcPr>
          <w:p w:rsidR="00C145D2" w:rsidRPr="000575B5" w:rsidRDefault="00C145D2" w:rsidP="0094006F">
            <w:pPr>
              <w:spacing w:after="0" w:line="240" w:lineRule="auto"/>
              <w:jc w:val="both"/>
              <w:rPr>
                <w:rFonts w:ascii="Times New Roman" w:eastAsia="Times New Roman" w:hAnsi="Times New Roman"/>
                <w:b/>
                <w:bCs/>
                <w:sz w:val="24"/>
                <w:szCs w:val="24"/>
                <w:lang w:eastAsia="en-GB"/>
              </w:rPr>
            </w:pPr>
            <w:r w:rsidRPr="000575B5">
              <w:rPr>
                <w:rFonts w:ascii="Times New Roman" w:eastAsia="Times New Roman" w:hAnsi="Times New Roman"/>
                <w:b/>
                <w:bCs/>
                <w:sz w:val="24"/>
                <w:szCs w:val="24"/>
                <w:lang w:eastAsia="en-GB"/>
              </w:rPr>
              <w:t>S/N</w:t>
            </w:r>
          </w:p>
        </w:tc>
        <w:tc>
          <w:tcPr>
            <w:tcW w:w="0" w:type="auto"/>
            <w:tcBorders>
              <w:top w:val="single" w:sz="4" w:space="0" w:color="auto"/>
              <w:bottom w:val="single" w:sz="4" w:space="0" w:color="auto"/>
            </w:tcBorders>
            <w:vAlign w:val="center"/>
            <w:hideMark/>
          </w:tcPr>
          <w:p w:rsidR="00C145D2" w:rsidRPr="000575B5" w:rsidRDefault="00C145D2" w:rsidP="0094006F">
            <w:pPr>
              <w:spacing w:after="0" w:line="240" w:lineRule="auto"/>
              <w:jc w:val="both"/>
              <w:rPr>
                <w:rFonts w:ascii="Times New Roman" w:eastAsia="Times New Roman" w:hAnsi="Times New Roman"/>
                <w:b/>
                <w:bCs/>
                <w:sz w:val="24"/>
                <w:szCs w:val="24"/>
                <w:lang w:eastAsia="en-GB"/>
              </w:rPr>
            </w:pPr>
            <w:r w:rsidRPr="000575B5">
              <w:rPr>
                <w:rFonts w:ascii="Times New Roman" w:eastAsia="Times New Roman" w:hAnsi="Times New Roman"/>
                <w:b/>
                <w:bCs/>
                <w:sz w:val="24"/>
                <w:szCs w:val="24"/>
                <w:lang w:eastAsia="en-GB"/>
              </w:rPr>
              <w:t>Wetland Neighbourhood</w:t>
            </w:r>
          </w:p>
        </w:tc>
      </w:tr>
      <w:tr w:rsidR="00C145D2" w:rsidRPr="000575B5" w:rsidTr="0094006F">
        <w:trPr>
          <w:tblCellSpacing w:w="15" w:type="dxa"/>
        </w:trPr>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1</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Marine Base</w:t>
            </w:r>
          </w:p>
        </w:tc>
      </w:tr>
      <w:tr w:rsidR="00C145D2" w:rsidRPr="000575B5" w:rsidTr="0094006F">
        <w:trPr>
          <w:tblCellSpacing w:w="15" w:type="dxa"/>
        </w:trPr>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2</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 xml:space="preserve">Koko </w:t>
            </w:r>
            <w:proofErr w:type="spellStart"/>
            <w:r w:rsidRPr="000575B5">
              <w:rPr>
                <w:rFonts w:ascii="Times New Roman" w:eastAsia="Times New Roman" w:hAnsi="Times New Roman"/>
                <w:sz w:val="24"/>
                <w:szCs w:val="24"/>
                <w:lang w:eastAsia="en-GB"/>
              </w:rPr>
              <w:t>Ama</w:t>
            </w:r>
            <w:proofErr w:type="spellEnd"/>
          </w:p>
        </w:tc>
      </w:tr>
      <w:tr w:rsidR="00C145D2" w:rsidRPr="000575B5" w:rsidTr="0094006F">
        <w:trPr>
          <w:tblCellSpacing w:w="15" w:type="dxa"/>
        </w:trPr>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3</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Eastern By-pass</w:t>
            </w:r>
          </w:p>
        </w:tc>
      </w:tr>
      <w:tr w:rsidR="00C145D2" w:rsidRPr="000575B5" w:rsidTr="0094006F">
        <w:trPr>
          <w:tblCellSpacing w:w="15" w:type="dxa"/>
        </w:trPr>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4</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proofErr w:type="spellStart"/>
            <w:r w:rsidRPr="000575B5">
              <w:rPr>
                <w:rFonts w:ascii="Times New Roman" w:eastAsia="Times New Roman" w:hAnsi="Times New Roman"/>
                <w:sz w:val="24"/>
                <w:szCs w:val="24"/>
                <w:lang w:eastAsia="en-GB"/>
              </w:rPr>
              <w:t>Okuru</w:t>
            </w:r>
            <w:proofErr w:type="spellEnd"/>
          </w:p>
        </w:tc>
      </w:tr>
      <w:tr w:rsidR="00C145D2" w:rsidRPr="000575B5" w:rsidTr="0094006F">
        <w:trPr>
          <w:tblCellSpacing w:w="15" w:type="dxa"/>
        </w:trPr>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5</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proofErr w:type="spellStart"/>
            <w:r w:rsidRPr="000575B5">
              <w:rPr>
                <w:rFonts w:ascii="Times New Roman" w:eastAsia="Times New Roman" w:hAnsi="Times New Roman"/>
                <w:sz w:val="24"/>
                <w:szCs w:val="24"/>
                <w:lang w:eastAsia="en-GB"/>
              </w:rPr>
              <w:t>Ibeto</w:t>
            </w:r>
            <w:proofErr w:type="spellEnd"/>
          </w:p>
        </w:tc>
      </w:tr>
      <w:tr w:rsidR="00C145D2" w:rsidRPr="000575B5" w:rsidTr="0094006F">
        <w:trPr>
          <w:tblCellSpacing w:w="15" w:type="dxa"/>
        </w:trPr>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6</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New Road</w:t>
            </w:r>
          </w:p>
        </w:tc>
      </w:tr>
      <w:tr w:rsidR="00C145D2" w:rsidRPr="000575B5" w:rsidTr="0094006F">
        <w:trPr>
          <w:tblCellSpacing w:w="15" w:type="dxa"/>
        </w:trPr>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7</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proofErr w:type="spellStart"/>
            <w:r w:rsidRPr="000575B5">
              <w:rPr>
                <w:rFonts w:ascii="Times New Roman" w:eastAsia="Times New Roman" w:hAnsi="Times New Roman"/>
                <w:sz w:val="24"/>
                <w:szCs w:val="24"/>
                <w:lang w:eastAsia="en-GB"/>
              </w:rPr>
              <w:t>Borikiri</w:t>
            </w:r>
            <w:proofErr w:type="spellEnd"/>
            <w:r w:rsidRPr="000575B5">
              <w:rPr>
                <w:rFonts w:ascii="Times New Roman" w:eastAsia="Times New Roman" w:hAnsi="Times New Roman"/>
                <w:sz w:val="24"/>
                <w:szCs w:val="24"/>
                <w:lang w:eastAsia="en-GB"/>
              </w:rPr>
              <w:t xml:space="preserve"> UPE</w:t>
            </w:r>
          </w:p>
        </w:tc>
      </w:tr>
      <w:tr w:rsidR="00C145D2" w:rsidRPr="000575B5" w:rsidTr="0094006F">
        <w:trPr>
          <w:tblCellSpacing w:w="15" w:type="dxa"/>
        </w:trPr>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8</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proofErr w:type="spellStart"/>
            <w:r w:rsidRPr="000575B5">
              <w:rPr>
                <w:rFonts w:ascii="Times New Roman" w:eastAsia="Times New Roman" w:hAnsi="Times New Roman"/>
                <w:sz w:val="24"/>
                <w:szCs w:val="24"/>
                <w:lang w:eastAsia="en-GB"/>
              </w:rPr>
              <w:t>Ogbogoro</w:t>
            </w:r>
            <w:proofErr w:type="spellEnd"/>
          </w:p>
        </w:tc>
      </w:tr>
      <w:tr w:rsidR="00C145D2" w:rsidRPr="000575B5" w:rsidTr="0094006F">
        <w:trPr>
          <w:tblCellSpacing w:w="15" w:type="dxa"/>
        </w:trPr>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9</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Aggrey</w:t>
            </w:r>
          </w:p>
        </w:tc>
      </w:tr>
      <w:tr w:rsidR="00C145D2" w:rsidRPr="000575B5" w:rsidTr="0094006F">
        <w:trPr>
          <w:tblCellSpacing w:w="15" w:type="dxa"/>
        </w:trPr>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10</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proofErr w:type="spellStart"/>
            <w:r w:rsidRPr="000575B5">
              <w:rPr>
                <w:rFonts w:ascii="Times New Roman" w:eastAsia="Times New Roman" w:hAnsi="Times New Roman"/>
                <w:sz w:val="24"/>
                <w:szCs w:val="24"/>
                <w:lang w:eastAsia="en-GB"/>
              </w:rPr>
              <w:t>Ndoki</w:t>
            </w:r>
            <w:proofErr w:type="spellEnd"/>
          </w:p>
        </w:tc>
      </w:tr>
      <w:tr w:rsidR="00C145D2" w:rsidRPr="000575B5" w:rsidTr="0094006F">
        <w:trPr>
          <w:tblCellSpacing w:w="15" w:type="dxa"/>
        </w:trPr>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11</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proofErr w:type="spellStart"/>
            <w:r w:rsidRPr="000575B5">
              <w:rPr>
                <w:rFonts w:ascii="Times New Roman" w:eastAsia="Times New Roman" w:hAnsi="Times New Roman"/>
                <w:sz w:val="24"/>
                <w:szCs w:val="24"/>
                <w:lang w:eastAsia="en-GB"/>
              </w:rPr>
              <w:t>Abuloma</w:t>
            </w:r>
            <w:proofErr w:type="spellEnd"/>
          </w:p>
        </w:tc>
      </w:tr>
      <w:tr w:rsidR="00C145D2" w:rsidRPr="000575B5" w:rsidTr="0094006F">
        <w:trPr>
          <w:tblCellSpacing w:w="15" w:type="dxa"/>
        </w:trPr>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12</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proofErr w:type="spellStart"/>
            <w:r w:rsidRPr="000575B5">
              <w:rPr>
                <w:rFonts w:ascii="Times New Roman" w:eastAsia="Times New Roman" w:hAnsi="Times New Roman"/>
                <w:sz w:val="24"/>
                <w:szCs w:val="24"/>
                <w:lang w:eastAsia="en-GB"/>
              </w:rPr>
              <w:t>Amadi</w:t>
            </w:r>
            <w:proofErr w:type="spellEnd"/>
          </w:p>
        </w:tc>
      </w:tr>
      <w:tr w:rsidR="00C145D2" w:rsidRPr="000575B5" w:rsidTr="0094006F">
        <w:trPr>
          <w:tblCellSpacing w:w="15" w:type="dxa"/>
        </w:trPr>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13</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Eagle Island</w:t>
            </w:r>
          </w:p>
        </w:tc>
      </w:tr>
      <w:tr w:rsidR="00C145D2" w:rsidRPr="000575B5" w:rsidTr="0094006F">
        <w:trPr>
          <w:tblCellSpacing w:w="15" w:type="dxa"/>
        </w:trPr>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14</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proofErr w:type="spellStart"/>
            <w:r w:rsidRPr="000575B5">
              <w:rPr>
                <w:rFonts w:ascii="Times New Roman" w:eastAsia="Times New Roman" w:hAnsi="Times New Roman"/>
                <w:sz w:val="24"/>
                <w:szCs w:val="24"/>
                <w:lang w:eastAsia="en-GB"/>
              </w:rPr>
              <w:t>Rumuoluomeni</w:t>
            </w:r>
            <w:proofErr w:type="spellEnd"/>
          </w:p>
        </w:tc>
      </w:tr>
      <w:tr w:rsidR="00C145D2" w:rsidRPr="000575B5" w:rsidTr="0094006F">
        <w:trPr>
          <w:tblCellSpacing w:w="15" w:type="dxa"/>
        </w:trPr>
        <w:tc>
          <w:tcPr>
            <w:tcW w:w="0" w:type="auto"/>
            <w:tcBorders>
              <w:bottom w:val="single" w:sz="4" w:space="0" w:color="auto"/>
            </w:tcBorders>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b/>
                <w:bCs/>
                <w:sz w:val="24"/>
                <w:szCs w:val="24"/>
                <w:lang w:eastAsia="en-GB"/>
              </w:rPr>
              <w:t>Total</w:t>
            </w:r>
          </w:p>
        </w:tc>
        <w:tc>
          <w:tcPr>
            <w:tcW w:w="0" w:type="auto"/>
            <w:tcBorders>
              <w:bottom w:val="single" w:sz="4" w:space="0" w:color="auto"/>
            </w:tcBorders>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b/>
                <w:bCs/>
                <w:sz w:val="24"/>
                <w:szCs w:val="24"/>
                <w:lang w:eastAsia="en-GB"/>
              </w:rPr>
              <w:t>14</w:t>
            </w:r>
          </w:p>
        </w:tc>
      </w:tr>
    </w:tbl>
    <w:p w:rsidR="00C145D2" w:rsidRPr="000575B5" w:rsidRDefault="00C145D2" w:rsidP="00C145D2">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i/>
          <w:iCs/>
          <w:sz w:val="24"/>
          <w:szCs w:val="24"/>
          <w:lang w:eastAsia="en-GB"/>
        </w:rPr>
        <w:t>Source: Researchers’ Fieldwork (2025)</w:t>
      </w:r>
    </w:p>
    <w:p w:rsidR="00C145D2" w:rsidRPr="000575B5" w:rsidRDefault="00C145D2" w:rsidP="00C145D2">
      <w:pPr>
        <w:spacing w:after="0" w:line="360" w:lineRule="auto"/>
        <w:jc w:val="both"/>
        <w:rPr>
          <w:rFonts w:ascii="Times New Roman" w:eastAsia="Times New Roman" w:hAnsi="Times New Roman"/>
          <w:sz w:val="24"/>
          <w:szCs w:val="24"/>
          <w:lang w:eastAsia="en-GB"/>
        </w:rPr>
      </w:pPr>
    </w:p>
    <w:p w:rsidR="00C145D2" w:rsidRPr="000575B5" w:rsidRDefault="00C145D2" w:rsidP="00C145D2">
      <w:pPr>
        <w:spacing w:after="0" w:line="36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 xml:space="preserve">Within the six selected </w:t>
      </w:r>
      <w:proofErr w:type="spellStart"/>
      <w:r w:rsidRPr="000575B5">
        <w:rPr>
          <w:rFonts w:ascii="Times New Roman" w:eastAsia="Times New Roman" w:hAnsi="Times New Roman"/>
          <w:sz w:val="24"/>
          <w:szCs w:val="24"/>
          <w:lang w:eastAsia="en-GB"/>
        </w:rPr>
        <w:t>neighbourhoods</w:t>
      </w:r>
      <w:proofErr w:type="spellEnd"/>
      <w:r w:rsidRPr="000575B5">
        <w:rPr>
          <w:rFonts w:ascii="Times New Roman" w:eastAsia="Times New Roman" w:hAnsi="Times New Roman"/>
          <w:sz w:val="24"/>
          <w:szCs w:val="24"/>
          <w:lang w:eastAsia="en-GB"/>
        </w:rPr>
        <w:t xml:space="preserve">, a total of fifty-five (55) streets were enumerated. From these, twenty-one (21) streets were selected for detailed study using proportional representation, such that </w:t>
      </w:r>
      <w:proofErr w:type="spellStart"/>
      <w:r w:rsidRPr="000575B5">
        <w:rPr>
          <w:rFonts w:ascii="Times New Roman" w:eastAsia="Times New Roman" w:hAnsi="Times New Roman"/>
          <w:sz w:val="24"/>
          <w:szCs w:val="24"/>
          <w:lang w:eastAsia="en-GB"/>
        </w:rPr>
        <w:t>neighbourhoods</w:t>
      </w:r>
      <w:proofErr w:type="spellEnd"/>
      <w:r w:rsidRPr="000575B5">
        <w:rPr>
          <w:rFonts w:ascii="Times New Roman" w:eastAsia="Times New Roman" w:hAnsi="Times New Roman"/>
          <w:sz w:val="24"/>
          <w:szCs w:val="24"/>
          <w:lang w:eastAsia="en-GB"/>
        </w:rPr>
        <w:t xml:space="preserve"> with a larger number of streets contributed more sampling units. At the building level, a total of seven hundred and twenty (720) buildings were identified along the </w:t>
      </w:r>
      <w:r w:rsidRPr="000575B5">
        <w:rPr>
          <w:rFonts w:ascii="Times New Roman" w:eastAsia="Times New Roman" w:hAnsi="Times New Roman"/>
          <w:sz w:val="24"/>
          <w:szCs w:val="24"/>
          <w:lang w:eastAsia="en-GB"/>
        </w:rPr>
        <w:lastRenderedPageBreak/>
        <w:t>sampled streets. From this population, one hundred and thirty-one (131) buildings were selected, and household heads within these buildings constituted the study respondents.</w:t>
      </w:r>
    </w:p>
    <w:p w:rsidR="00C145D2" w:rsidRPr="000575B5" w:rsidRDefault="00C145D2" w:rsidP="00C145D2">
      <w:pPr>
        <w:spacing w:after="0" w:line="36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The sampling procedure combined purposive and systematic techniques. Purposive sampling was applied at the neighbourhood level due to the specific focus on wetland environments with distinct developmental and environmental characteristics. Thereafter, systematic random sampling was used to select buildings along each sampled street in order to ensure uniform spatial coverage and minimize selection bias.</w:t>
      </w:r>
    </w:p>
    <w:p w:rsidR="00C145D2" w:rsidRPr="000575B5" w:rsidRDefault="00C145D2" w:rsidP="00C145D2">
      <w:pPr>
        <w:spacing w:after="0" w:line="36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 xml:space="preserve">Although operational sampling ratios (40% of streets and 20% of buildings) guided the field selection process, these proportions were applied flexibly to ensure representativeness across </w:t>
      </w:r>
      <w:proofErr w:type="spellStart"/>
      <w:r w:rsidRPr="000575B5">
        <w:rPr>
          <w:rFonts w:ascii="Times New Roman" w:eastAsia="Times New Roman" w:hAnsi="Times New Roman"/>
          <w:sz w:val="24"/>
          <w:szCs w:val="24"/>
          <w:lang w:eastAsia="en-GB"/>
        </w:rPr>
        <w:t>neighbourhoods</w:t>
      </w:r>
      <w:proofErr w:type="spellEnd"/>
      <w:r w:rsidRPr="000575B5">
        <w:rPr>
          <w:rFonts w:ascii="Times New Roman" w:eastAsia="Times New Roman" w:hAnsi="Times New Roman"/>
          <w:sz w:val="24"/>
          <w:szCs w:val="24"/>
          <w:lang w:eastAsia="en-GB"/>
        </w:rPr>
        <w:t xml:space="preserve"> rather than as rigid statistical thresholds. The resulting sample size was considered adequate for neighbourhood-level analysis because it captured spatial and socio-economic variation across the study area.</w:t>
      </w:r>
    </w:p>
    <w:p w:rsidR="00C145D2" w:rsidRPr="000575B5" w:rsidRDefault="00C145D2" w:rsidP="00C145D2">
      <w:pPr>
        <w:spacing w:after="0" w:line="360" w:lineRule="auto"/>
        <w:jc w:val="both"/>
        <w:rPr>
          <w:rFonts w:ascii="Times New Roman" w:eastAsia="Times New Roman" w:hAnsi="Times New Roman"/>
          <w:sz w:val="10"/>
          <w:szCs w:val="24"/>
          <w:lang w:eastAsia="en-GB"/>
        </w:rPr>
      </w:pPr>
    </w:p>
    <w:p w:rsidR="00C145D2" w:rsidRPr="000575B5" w:rsidRDefault="00C145D2" w:rsidP="00C145D2">
      <w:pPr>
        <w:spacing w:after="0" w:line="240" w:lineRule="auto"/>
        <w:jc w:val="both"/>
        <w:outlineLvl w:val="2"/>
        <w:rPr>
          <w:rFonts w:ascii="Times New Roman" w:eastAsia="Times New Roman" w:hAnsi="Times New Roman"/>
          <w:b/>
          <w:bCs/>
          <w:sz w:val="24"/>
          <w:szCs w:val="24"/>
          <w:lang w:eastAsia="en-GB"/>
        </w:rPr>
      </w:pPr>
      <w:r w:rsidRPr="000575B5">
        <w:rPr>
          <w:rFonts w:ascii="Times New Roman" w:eastAsia="Times New Roman" w:hAnsi="Times New Roman"/>
          <w:b/>
          <w:bCs/>
          <w:sz w:val="24"/>
          <w:szCs w:val="24"/>
          <w:lang w:eastAsia="en-GB"/>
        </w:rPr>
        <w:t xml:space="preserve">Table 2: Sampled </w:t>
      </w:r>
      <w:proofErr w:type="spellStart"/>
      <w:r w:rsidRPr="000575B5">
        <w:rPr>
          <w:rFonts w:ascii="Times New Roman" w:eastAsia="Times New Roman" w:hAnsi="Times New Roman"/>
          <w:b/>
          <w:bCs/>
          <w:sz w:val="24"/>
          <w:szCs w:val="24"/>
          <w:lang w:eastAsia="en-GB"/>
        </w:rPr>
        <w:t>Neighbourhoods</w:t>
      </w:r>
      <w:proofErr w:type="spellEnd"/>
      <w:r w:rsidRPr="000575B5">
        <w:rPr>
          <w:rFonts w:ascii="Times New Roman" w:eastAsia="Times New Roman" w:hAnsi="Times New Roman"/>
          <w:b/>
          <w:bCs/>
          <w:sz w:val="24"/>
          <w:szCs w:val="24"/>
          <w:lang w:eastAsia="en-GB"/>
        </w:rPr>
        <w:t xml:space="preserve"> and Sampling Structure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2"/>
        <w:gridCol w:w="1661"/>
        <w:gridCol w:w="767"/>
        <w:gridCol w:w="1720"/>
        <w:gridCol w:w="1034"/>
        <w:gridCol w:w="2003"/>
      </w:tblGrid>
      <w:tr w:rsidR="00C145D2" w:rsidRPr="000575B5" w:rsidTr="0094006F">
        <w:trPr>
          <w:tblHeader/>
          <w:tblCellSpacing w:w="15" w:type="dxa"/>
        </w:trPr>
        <w:tc>
          <w:tcPr>
            <w:tcW w:w="0" w:type="auto"/>
            <w:tcBorders>
              <w:top w:val="single" w:sz="4" w:space="0" w:color="auto"/>
              <w:bottom w:val="single" w:sz="4" w:space="0" w:color="auto"/>
            </w:tcBorders>
            <w:vAlign w:val="center"/>
            <w:hideMark/>
          </w:tcPr>
          <w:p w:rsidR="00C145D2" w:rsidRPr="000575B5" w:rsidRDefault="00C145D2" w:rsidP="0094006F">
            <w:pPr>
              <w:spacing w:after="0" w:line="240" w:lineRule="auto"/>
              <w:jc w:val="both"/>
              <w:rPr>
                <w:rFonts w:ascii="Times New Roman" w:eastAsia="Times New Roman" w:hAnsi="Times New Roman"/>
                <w:b/>
                <w:bCs/>
                <w:sz w:val="24"/>
                <w:szCs w:val="24"/>
                <w:lang w:eastAsia="en-GB"/>
              </w:rPr>
            </w:pPr>
            <w:r w:rsidRPr="000575B5">
              <w:rPr>
                <w:rFonts w:ascii="Times New Roman" w:eastAsia="Times New Roman" w:hAnsi="Times New Roman"/>
                <w:b/>
                <w:bCs/>
                <w:sz w:val="24"/>
                <w:szCs w:val="24"/>
                <w:lang w:eastAsia="en-GB"/>
              </w:rPr>
              <w:t>S/N</w:t>
            </w:r>
          </w:p>
        </w:tc>
        <w:tc>
          <w:tcPr>
            <w:tcW w:w="0" w:type="auto"/>
            <w:tcBorders>
              <w:top w:val="single" w:sz="4" w:space="0" w:color="auto"/>
              <w:bottom w:val="single" w:sz="4" w:space="0" w:color="auto"/>
            </w:tcBorders>
            <w:vAlign w:val="center"/>
            <w:hideMark/>
          </w:tcPr>
          <w:p w:rsidR="00C145D2" w:rsidRPr="000575B5" w:rsidRDefault="00C145D2" w:rsidP="0094006F">
            <w:pPr>
              <w:spacing w:after="0" w:line="240" w:lineRule="auto"/>
              <w:jc w:val="both"/>
              <w:rPr>
                <w:rFonts w:ascii="Times New Roman" w:eastAsia="Times New Roman" w:hAnsi="Times New Roman"/>
                <w:b/>
                <w:bCs/>
                <w:sz w:val="24"/>
                <w:szCs w:val="24"/>
                <w:lang w:eastAsia="en-GB"/>
              </w:rPr>
            </w:pPr>
            <w:r w:rsidRPr="000575B5">
              <w:rPr>
                <w:rFonts w:ascii="Times New Roman" w:eastAsia="Times New Roman" w:hAnsi="Times New Roman"/>
                <w:b/>
                <w:bCs/>
                <w:sz w:val="24"/>
                <w:szCs w:val="24"/>
                <w:lang w:eastAsia="en-GB"/>
              </w:rPr>
              <w:t>Neighbourhood</w:t>
            </w:r>
          </w:p>
        </w:tc>
        <w:tc>
          <w:tcPr>
            <w:tcW w:w="0" w:type="auto"/>
            <w:tcBorders>
              <w:top w:val="single" w:sz="4" w:space="0" w:color="auto"/>
              <w:bottom w:val="single" w:sz="4" w:space="0" w:color="auto"/>
            </w:tcBorders>
            <w:vAlign w:val="center"/>
            <w:hideMark/>
          </w:tcPr>
          <w:p w:rsidR="00C145D2" w:rsidRPr="000575B5" w:rsidRDefault="00C145D2" w:rsidP="0094006F">
            <w:pPr>
              <w:spacing w:after="0" w:line="240" w:lineRule="auto"/>
              <w:jc w:val="both"/>
              <w:rPr>
                <w:rFonts w:ascii="Times New Roman" w:eastAsia="Times New Roman" w:hAnsi="Times New Roman"/>
                <w:b/>
                <w:bCs/>
                <w:sz w:val="24"/>
                <w:szCs w:val="24"/>
                <w:lang w:eastAsia="en-GB"/>
              </w:rPr>
            </w:pPr>
            <w:r w:rsidRPr="000575B5">
              <w:rPr>
                <w:rFonts w:ascii="Times New Roman" w:eastAsia="Times New Roman" w:hAnsi="Times New Roman"/>
                <w:b/>
                <w:bCs/>
                <w:sz w:val="24"/>
                <w:szCs w:val="24"/>
                <w:lang w:eastAsia="en-GB"/>
              </w:rPr>
              <w:t>Streets</w:t>
            </w:r>
          </w:p>
        </w:tc>
        <w:tc>
          <w:tcPr>
            <w:tcW w:w="0" w:type="auto"/>
            <w:tcBorders>
              <w:top w:val="single" w:sz="4" w:space="0" w:color="auto"/>
              <w:bottom w:val="single" w:sz="4" w:space="0" w:color="auto"/>
            </w:tcBorders>
            <w:vAlign w:val="center"/>
            <w:hideMark/>
          </w:tcPr>
          <w:p w:rsidR="00C145D2" w:rsidRPr="000575B5" w:rsidRDefault="00C145D2" w:rsidP="0094006F">
            <w:pPr>
              <w:spacing w:after="0" w:line="240" w:lineRule="auto"/>
              <w:jc w:val="both"/>
              <w:rPr>
                <w:rFonts w:ascii="Times New Roman" w:eastAsia="Times New Roman" w:hAnsi="Times New Roman"/>
                <w:b/>
                <w:bCs/>
                <w:sz w:val="24"/>
                <w:szCs w:val="24"/>
                <w:lang w:eastAsia="en-GB"/>
              </w:rPr>
            </w:pPr>
            <w:r w:rsidRPr="000575B5">
              <w:rPr>
                <w:rFonts w:ascii="Times New Roman" w:eastAsia="Times New Roman" w:hAnsi="Times New Roman"/>
                <w:b/>
                <w:bCs/>
                <w:sz w:val="24"/>
                <w:szCs w:val="24"/>
                <w:lang w:eastAsia="en-GB"/>
              </w:rPr>
              <w:t>Sampled Streets</w:t>
            </w:r>
          </w:p>
        </w:tc>
        <w:tc>
          <w:tcPr>
            <w:tcW w:w="0" w:type="auto"/>
            <w:tcBorders>
              <w:top w:val="single" w:sz="4" w:space="0" w:color="auto"/>
              <w:bottom w:val="single" w:sz="4" w:space="0" w:color="auto"/>
            </w:tcBorders>
            <w:vAlign w:val="center"/>
            <w:hideMark/>
          </w:tcPr>
          <w:p w:rsidR="00C145D2" w:rsidRPr="000575B5" w:rsidRDefault="00C145D2" w:rsidP="0094006F">
            <w:pPr>
              <w:spacing w:after="0" w:line="240" w:lineRule="auto"/>
              <w:jc w:val="both"/>
              <w:rPr>
                <w:rFonts w:ascii="Times New Roman" w:eastAsia="Times New Roman" w:hAnsi="Times New Roman"/>
                <w:b/>
                <w:bCs/>
                <w:sz w:val="24"/>
                <w:szCs w:val="24"/>
                <w:lang w:eastAsia="en-GB"/>
              </w:rPr>
            </w:pPr>
            <w:r w:rsidRPr="000575B5">
              <w:rPr>
                <w:rFonts w:ascii="Times New Roman" w:eastAsia="Times New Roman" w:hAnsi="Times New Roman"/>
                <w:b/>
                <w:bCs/>
                <w:sz w:val="24"/>
                <w:szCs w:val="24"/>
                <w:lang w:eastAsia="en-GB"/>
              </w:rPr>
              <w:t>Buildings</w:t>
            </w:r>
          </w:p>
        </w:tc>
        <w:tc>
          <w:tcPr>
            <w:tcW w:w="0" w:type="auto"/>
            <w:tcBorders>
              <w:top w:val="single" w:sz="4" w:space="0" w:color="auto"/>
              <w:bottom w:val="single" w:sz="4" w:space="0" w:color="auto"/>
            </w:tcBorders>
            <w:vAlign w:val="center"/>
            <w:hideMark/>
          </w:tcPr>
          <w:p w:rsidR="00C145D2" w:rsidRPr="000575B5" w:rsidRDefault="00C145D2" w:rsidP="0094006F">
            <w:pPr>
              <w:spacing w:after="0" w:line="240" w:lineRule="auto"/>
              <w:jc w:val="both"/>
              <w:rPr>
                <w:rFonts w:ascii="Times New Roman" w:eastAsia="Times New Roman" w:hAnsi="Times New Roman"/>
                <w:b/>
                <w:bCs/>
                <w:sz w:val="24"/>
                <w:szCs w:val="24"/>
                <w:lang w:eastAsia="en-GB"/>
              </w:rPr>
            </w:pPr>
            <w:r w:rsidRPr="000575B5">
              <w:rPr>
                <w:rFonts w:ascii="Times New Roman" w:eastAsia="Times New Roman" w:hAnsi="Times New Roman"/>
                <w:b/>
                <w:bCs/>
                <w:sz w:val="24"/>
                <w:szCs w:val="24"/>
                <w:lang w:eastAsia="en-GB"/>
              </w:rPr>
              <w:t>Sampled Buildings</w:t>
            </w:r>
          </w:p>
        </w:tc>
      </w:tr>
      <w:tr w:rsidR="00C145D2" w:rsidRPr="000575B5" w:rsidTr="0094006F">
        <w:trPr>
          <w:tblCellSpacing w:w="15" w:type="dxa"/>
        </w:trPr>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1</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proofErr w:type="spellStart"/>
            <w:r w:rsidRPr="000575B5">
              <w:rPr>
                <w:rFonts w:ascii="Times New Roman" w:eastAsia="Times New Roman" w:hAnsi="Times New Roman"/>
                <w:sz w:val="24"/>
                <w:szCs w:val="24"/>
                <w:lang w:eastAsia="en-GB"/>
              </w:rPr>
              <w:t>Borikiri</w:t>
            </w:r>
            <w:proofErr w:type="spellEnd"/>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10</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4</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127</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25</w:t>
            </w:r>
          </w:p>
        </w:tc>
      </w:tr>
      <w:tr w:rsidR="00C145D2" w:rsidRPr="000575B5" w:rsidTr="0094006F">
        <w:trPr>
          <w:tblCellSpacing w:w="15" w:type="dxa"/>
        </w:trPr>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2</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proofErr w:type="spellStart"/>
            <w:r w:rsidRPr="000575B5">
              <w:rPr>
                <w:rFonts w:ascii="Times New Roman" w:eastAsia="Times New Roman" w:hAnsi="Times New Roman"/>
                <w:sz w:val="24"/>
                <w:szCs w:val="24"/>
                <w:lang w:eastAsia="en-GB"/>
              </w:rPr>
              <w:t>Amadi</w:t>
            </w:r>
            <w:proofErr w:type="spellEnd"/>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8</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3</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85</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17</w:t>
            </w:r>
          </w:p>
        </w:tc>
      </w:tr>
      <w:tr w:rsidR="00C145D2" w:rsidRPr="000575B5" w:rsidTr="0094006F">
        <w:trPr>
          <w:tblCellSpacing w:w="15" w:type="dxa"/>
        </w:trPr>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3</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proofErr w:type="spellStart"/>
            <w:r w:rsidRPr="000575B5">
              <w:rPr>
                <w:rFonts w:ascii="Times New Roman" w:eastAsia="Times New Roman" w:hAnsi="Times New Roman"/>
                <w:sz w:val="24"/>
                <w:szCs w:val="24"/>
                <w:lang w:eastAsia="en-GB"/>
              </w:rPr>
              <w:t>Rumuoluomeni</w:t>
            </w:r>
            <w:proofErr w:type="spellEnd"/>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13</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5</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164</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33</w:t>
            </w:r>
          </w:p>
        </w:tc>
      </w:tr>
      <w:tr w:rsidR="00C145D2" w:rsidRPr="000575B5" w:rsidTr="0094006F">
        <w:trPr>
          <w:tblCellSpacing w:w="15" w:type="dxa"/>
        </w:trPr>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4</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proofErr w:type="spellStart"/>
            <w:r w:rsidRPr="000575B5">
              <w:rPr>
                <w:rFonts w:ascii="Times New Roman" w:eastAsia="Times New Roman" w:hAnsi="Times New Roman"/>
                <w:sz w:val="24"/>
                <w:szCs w:val="24"/>
                <w:lang w:eastAsia="en-GB"/>
              </w:rPr>
              <w:t>Ibeto</w:t>
            </w:r>
            <w:proofErr w:type="spellEnd"/>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8</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3</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120</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24</w:t>
            </w:r>
          </w:p>
        </w:tc>
      </w:tr>
      <w:tr w:rsidR="00C145D2" w:rsidRPr="000575B5" w:rsidTr="0094006F">
        <w:trPr>
          <w:tblCellSpacing w:w="15" w:type="dxa"/>
        </w:trPr>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5</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Eastern By-pass</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6</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2</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80</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16</w:t>
            </w:r>
          </w:p>
        </w:tc>
      </w:tr>
      <w:tr w:rsidR="00C145D2" w:rsidRPr="000575B5" w:rsidTr="0094006F">
        <w:trPr>
          <w:tblCellSpacing w:w="15" w:type="dxa"/>
        </w:trPr>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6</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New Road</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10</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4</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144</w:t>
            </w:r>
          </w:p>
        </w:tc>
        <w:tc>
          <w:tcPr>
            <w:tcW w:w="0" w:type="auto"/>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28</w:t>
            </w:r>
          </w:p>
        </w:tc>
      </w:tr>
      <w:tr w:rsidR="00C145D2" w:rsidRPr="000575B5" w:rsidTr="0094006F">
        <w:trPr>
          <w:tblCellSpacing w:w="15" w:type="dxa"/>
        </w:trPr>
        <w:tc>
          <w:tcPr>
            <w:tcW w:w="0" w:type="auto"/>
            <w:tcBorders>
              <w:bottom w:val="single" w:sz="4" w:space="0" w:color="auto"/>
            </w:tcBorders>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C145D2">
              <w:rPr>
                <w:rFonts w:ascii="Times New Roman" w:eastAsia="Times New Roman" w:hAnsi="Times New Roman"/>
                <w:bCs/>
                <w:sz w:val="24"/>
                <w:szCs w:val="24"/>
                <w:lang w:eastAsia="en-GB"/>
              </w:rPr>
              <w:t>Total</w:t>
            </w:r>
          </w:p>
        </w:tc>
        <w:tc>
          <w:tcPr>
            <w:tcW w:w="0" w:type="auto"/>
            <w:tcBorders>
              <w:bottom w:val="single" w:sz="4" w:space="0" w:color="auto"/>
            </w:tcBorders>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p>
        </w:tc>
        <w:tc>
          <w:tcPr>
            <w:tcW w:w="0" w:type="auto"/>
            <w:tcBorders>
              <w:bottom w:val="single" w:sz="4" w:space="0" w:color="auto"/>
            </w:tcBorders>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C145D2">
              <w:rPr>
                <w:rFonts w:ascii="Times New Roman" w:eastAsia="Times New Roman" w:hAnsi="Times New Roman"/>
                <w:bCs/>
                <w:sz w:val="24"/>
                <w:szCs w:val="24"/>
                <w:lang w:eastAsia="en-GB"/>
              </w:rPr>
              <w:t>55</w:t>
            </w:r>
          </w:p>
        </w:tc>
        <w:tc>
          <w:tcPr>
            <w:tcW w:w="0" w:type="auto"/>
            <w:tcBorders>
              <w:bottom w:val="single" w:sz="4" w:space="0" w:color="auto"/>
            </w:tcBorders>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C145D2">
              <w:rPr>
                <w:rFonts w:ascii="Times New Roman" w:eastAsia="Times New Roman" w:hAnsi="Times New Roman"/>
                <w:bCs/>
                <w:sz w:val="24"/>
                <w:szCs w:val="24"/>
                <w:lang w:eastAsia="en-GB"/>
              </w:rPr>
              <w:t>21</w:t>
            </w:r>
          </w:p>
        </w:tc>
        <w:tc>
          <w:tcPr>
            <w:tcW w:w="0" w:type="auto"/>
            <w:tcBorders>
              <w:bottom w:val="single" w:sz="4" w:space="0" w:color="auto"/>
            </w:tcBorders>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C145D2">
              <w:rPr>
                <w:rFonts w:ascii="Times New Roman" w:eastAsia="Times New Roman" w:hAnsi="Times New Roman"/>
                <w:bCs/>
                <w:sz w:val="24"/>
                <w:szCs w:val="24"/>
                <w:lang w:eastAsia="en-GB"/>
              </w:rPr>
              <w:t>720</w:t>
            </w:r>
          </w:p>
        </w:tc>
        <w:tc>
          <w:tcPr>
            <w:tcW w:w="0" w:type="auto"/>
            <w:tcBorders>
              <w:bottom w:val="single" w:sz="4" w:space="0" w:color="auto"/>
            </w:tcBorders>
            <w:vAlign w:val="center"/>
            <w:hideMark/>
          </w:tcPr>
          <w:p w:rsidR="00C145D2" w:rsidRPr="000575B5" w:rsidRDefault="00C145D2" w:rsidP="0094006F">
            <w:pPr>
              <w:spacing w:after="0" w:line="240" w:lineRule="auto"/>
              <w:jc w:val="both"/>
              <w:rPr>
                <w:rFonts w:ascii="Times New Roman" w:eastAsia="Times New Roman" w:hAnsi="Times New Roman"/>
                <w:sz w:val="24"/>
                <w:szCs w:val="24"/>
                <w:lang w:eastAsia="en-GB"/>
              </w:rPr>
            </w:pPr>
            <w:r w:rsidRPr="00C145D2">
              <w:rPr>
                <w:rFonts w:ascii="Times New Roman" w:eastAsia="Times New Roman" w:hAnsi="Times New Roman"/>
                <w:bCs/>
                <w:sz w:val="24"/>
                <w:szCs w:val="24"/>
                <w:lang w:eastAsia="en-GB"/>
              </w:rPr>
              <w:t>131</w:t>
            </w:r>
          </w:p>
        </w:tc>
      </w:tr>
    </w:tbl>
    <w:p w:rsidR="00C145D2" w:rsidRPr="000575B5" w:rsidRDefault="00C145D2" w:rsidP="00C145D2">
      <w:pPr>
        <w:spacing w:after="0" w:line="360" w:lineRule="auto"/>
        <w:jc w:val="both"/>
        <w:rPr>
          <w:rFonts w:ascii="Times New Roman" w:eastAsia="Times New Roman" w:hAnsi="Times New Roman"/>
          <w:sz w:val="24"/>
          <w:szCs w:val="24"/>
          <w:lang w:eastAsia="en-GB"/>
        </w:rPr>
      </w:pPr>
      <w:r w:rsidRPr="000575B5">
        <w:rPr>
          <w:rFonts w:ascii="Times New Roman" w:eastAsia="Times New Roman" w:hAnsi="Times New Roman"/>
          <w:i/>
          <w:iCs/>
          <w:sz w:val="24"/>
          <w:szCs w:val="24"/>
          <w:lang w:eastAsia="en-GB"/>
        </w:rPr>
        <w:t>Source: Researchers’ Fieldwork (2025)</w:t>
      </w:r>
    </w:p>
    <w:p w:rsidR="00C145D2" w:rsidRPr="000575B5" w:rsidRDefault="00C145D2" w:rsidP="00C145D2">
      <w:pPr>
        <w:spacing w:after="0" w:line="360" w:lineRule="auto"/>
        <w:jc w:val="both"/>
        <w:rPr>
          <w:rFonts w:ascii="Times New Roman" w:eastAsia="Times New Roman" w:hAnsi="Times New Roman"/>
          <w:sz w:val="8"/>
          <w:szCs w:val="24"/>
          <w:lang w:eastAsia="en-GB"/>
        </w:rPr>
      </w:pPr>
    </w:p>
    <w:p w:rsidR="00C145D2" w:rsidRPr="000575B5" w:rsidRDefault="00C145D2" w:rsidP="00C145D2">
      <w:pPr>
        <w:spacing w:after="0" w:line="36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In addition to the questionnaire survey, direct field observation was conducted to document settlement morphology, housing conditions, drainage characteristics, environmental quality, and evidence of wetland encroachment. These observations provided contextual understanding and supported the interpretation of quantitative findings.</w:t>
      </w:r>
    </w:p>
    <w:p w:rsidR="00C145D2" w:rsidRPr="000575B5" w:rsidRDefault="00C145D2" w:rsidP="00C145D2">
      <w:pPr>
        <w:spacing w:after="0" w:line="36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t>Furthermore, key informant interviews were conducted with purposively selected individuals, including community leaders, long-term residents, and individuals knowledgeable about land development processes. These interviews provided insights into settlement history, environmental challenges, development pressures, and governance issues.</w:t>
      </w:r>
    </w:p>
    <w:p w:rsidR="00C145D2" w:rsidRDefault="00C145D2" w:rsidP="00C145D2">
      <w:pPr>
        <w:spacing w:after="0" w:line="360" w:lineRule="auto"/>
        <w:jc w:val="both"/>
        <w:rPr>
          <w:rFonts w:ascii="Times New Roman" w:eastAsia="Times New Roman" w:hAnsi="Times New Roman"/>
          <w:sz w:val="24"/>
          <w:szCs w:val="24"/>
          <w:lang w:eastAsia="en-GB"/>
        </w:rPr>
      </w:pPr>
      <w:r w:rsidRPr="000575B5">
        <w:rPr>
          <w:rFonts w:ascii="Times New Roman" w:eastAsia="Times New Roman" w:hAnsi="Times New Roman"/>
          <w:sz w:val="24"/>
          <w:szCs w:val="24"/>
          <w:lang w:eastAsia="en-GB"/>
        </w:rPr>
        <w:lastRenderedPageBreak/>
        <w:t>The qualitative data obtained from field observations and interviews were analyzed using thematic analysis. Responses were categorized into recurring themes and compared with questionnaire results to identify areas of convergence and divergence. This approach ensured that qualitative evidence complemented and strengthened the interpretation of quantitative findings rather than being treated as a separate component.</w:t>
      </w:r>
    </w:p>
    <w:p w:rsidR="00C145D2" w:rsidRPr="000575B5" w:rsidRDefault="00C145D2" w:rsidP="00C145D2">
      <w:pPr>
        <w:spacing w:after="0" w:line="360" w:lineRule="auto"/>
        <w:jc w:val="both"/>
        <w:rPr>
          <w:rFonts w:ascii="Times New Roman" w:eastAsia="Times New Roman" w:hAnsi="Times New Roman"/>
          <w:sz w:val="12"/>
          <w:szCs w:val="24"/>
          <w:lang w:eastAsia="en-GB"/>
        </w:rPr>
      </w:pPr>
    </w:p>
    <w:p w:rsidR="00C145D2" w:rsidRPr="00787179" w:rsidRDefault="002B6B3A" w:rsidP="00C145D2">
      <w:pPr>
        <w:pStyle w:val="Heading2"/>
        <w:spacing w:beforeAutospacing="0" w:afterAutospacing="0" w:line="360" w:lineRule="auto"/>
        <w:jc w:val="both"/>
        <w:rPr>
          <w:rFonts w:ascii="Times New Roman" w:hAnsi="Times New Roman" w:hint="default"/>
          <w:sz w:val="24"/>
          <w:szCs w:val="24"/>
        </w:rPr>
      </w:pPr>
      <w:r>
        <w:rPr>
          <w:rStyle w:val="Strong"/>
          <w:rFonts w:ascii="Times New Roman" w:hAnsi="Times New Roman" w:hint="default"/>
          <w:b/>
          <w:bCs/>
          <w:sz w:val="24"/>
          <w:szCs w:val="24"/>
        </w:rPr>
        <w:t>5.4</w:t>
      </w:r>
      <w:r w:rsidR="00C145D2" w:rsidRPr="00787179">
        <w:rPr>
          <w:rStyle w:val="Strong"/>
          <w:rFonts w:ascii="Times New Roman" w:hAnsi="Times New Roman" w:hint="default"/>
          <w:b/>
          <w:bCs/>
          <w:sz w:val="24"/>
          <w:szCs w:val="24"/>
        </w:rPr>
        <w:t xml:space="preserve"> Spatial Analysis of Wetland Neighbourhood </w:t>
      </w:r>
    </w:p>
    <w:p w:rsidR="00C145D2" w:rsidRPr="00787179" w:rsidRDefault="00C145D2" w:rsidP="00C145D2">
      <w:pPr>
        <w:pStyle w:val="NormalWeb"/>
        <w:spacing w:beforeAutospacing="0" w:afterAutospacing="0" w:line="360" w:lineRule="auto"/>
        <w:jc w:val="both"/>
        <w:rPr>
          <w:rFonts w:ascii="Times New Roman" w:hAnsi="Times New Roman"/>
        </w:rPr>
      </w:pPr>
      <w:r w:rsidRPr="00787179">
        <w:rPr>
          <w:rFonts w:ascii="Times New Roman" w:hAnsi="Times New Roman"/>
        </w:rPr>
        <w:t>To complement the socio-economic analysis, spatial analysis techniques were employed to examine the distribution, accessibility</w:t>
      </w:r>
      <w:r>
        <w:rPr>
          <w:rFonts w:ascii="Times New Roman" w:hAnsi="Times New Roman"/>
        </w:rPr>
        <w:t xml:space="preserve"> </w:t>
      </w:r>
      <w:r w:rsidRPr="00787179">
        <w:rPr>
          <w:rFonts w:ascii="Times New Roman" w:hAnsi="Times New Roman"/>
        </w:rPr>
        <w:t xml:space="preserve">of wetland </w:t>
      </w:r>
      <w:proofErr w:type="spellStart"/>
      <w:r w:rsidRPr="00787179">
        <w:rPr>
          <w:rFonts w:ascii="Times New Roman" w:hAnsi="Times New Roman"/>
        </w:rPr>
        <w:t>neighbourhoods</w:t>
      </w:r>
      <w:proofErr w:type="spellEnd"/>
      <w:r w:rsidRPr="00787179">
        <w:rPr>
          <w:rFonts w:ascii="Times New Roman" w:hAnsi="Times New Roman"/>
        </w:rPr>
        <w:t xml:space="preserve"> in Port Harcourt. Given that location and accessibility are critical drivers of informal and peri-urban settlement development, this study adopted a </w:t>
      </w:r>
      <w:r w:rsidRPr="00787179">
        <w:rPr>
          <w:rStyle w:val="Strong"/>
          <w:rFonts w:ascii="Times New Roman" w:hAnsi="Times New Roman"/>
          <w:b w:val="0"/>
        </w:rPr>
        <w:t>distance-based analytical approach</w:t>
      </w:r>
      <w:r w:rsidRPr="00787179">
        <w:rPr>
          <w:rFonts w:ascii="Times New Roman" w:hAnsi="Times New Roman"/>
        </w:rPr>
        <w:t xml:space="preserve"> to quantify the relationship between wetland </w:t>
      </w:r>
      <w:proofErr w:type="spellStart"/>
      <w:r w:rsidRPr="00787179">
        <w:rPr>
          <w:rFonts w:ascii="Times New Roman" w:hAnsi="Times New Roman"/>
        </w:rPr>
        <w:t>neighbourhoods</w:t>
      </w:r>
      <w:proofErr w:type="spellEnd"/>
      <w:r w:rsidRPr="00787179">
        <w:rPr>
          <w:rFonts w:ascii="Times New Roman" w:hAnsi="Times New Roman"/>
        </w:rPr>
        <w:t xml:space="preserve"> and major urban infrastructure.</w:t>
      </w:r>
    </w:p>
    <w:p w:rsidR="00C145D2" w:rsidRPr="00787179" w:rsidRDefault="00C145D2" w:rsidP="00C145D2">
      <w:pPr>
        <w:pStyle w:val="NormalWeb"/>
        <w:spacing w:beforeAutospacing="0" w:afterAutospacing="0" w:line="360" w:lineRule="auto"/>
        <w:jc w:val="both"/>
        <w:rPr>
          <w:rFonts w:ascii="Times New Roman" w:hAnsi="Times New Roman"/>
        </w:rPr>
      </w:pPr>
      <w:r w:rsidRPr="00787179">
        <w:rPr>
          <w:rFonts w:ascii="Times New Roman" w:hAnsi="Times New Roman"/>
        </w:rPr>
        <w:t>Geospatial data were obtained from existing land-use maps, and field-verified settlement locations. All spatial datasets were processed within a GIS environment using a common coordinate system (WGS 84 / UTM Zone 32N) to ensure positional accuracy and analytical consistency.</w:t>
      </w:r>
    </w:p>
    <w:p w:rsidR="00C145D2" w:rsidRPr="00787179" w:rsidRDefault="00C145D2" w:rsidP="00C145D2">
      <w:pPr>
        <w:pStyle w:val="NormalWeb"/>
        <w:spacing w:beforeAutospacing="0" w:afterAutospacing="0" w:line="360" w:lineRule="auto"/>
        <w:jc w:val="both"/>
        <w:rPr>
          <w:rFonts w:ascii="Times New Roman" w:hAnsi="Times New Roman"/>
        </w:rPr>
      </w:pPr>
      <w:r w:rsidRPr="00787179">
        <w:rPr>
          <w:rFonts w:ascii="Times New Roman" w:hAnsi="Times New Roman"/>
        </w:rPr>
        <w:t xml:space="preserve">The core spatial analytical technique employed in this study was the </w:t>
      </w:r>
      <w:r w:rsidRPr="00787179">
        <w:rPr>
          <w:rStyle w:val="Strong"/>
          <w:rFonts w:ascii="Times New Roman" w:hAnsi="Times New Roman"/>
          <w:b w:val="0"/>
        </w:rPr>
        <w:t>distance matrix method</w:t>
      </w:r>
      <w:r w:rsidRPr="00787179">
        <w:rPr>
          <w:rFonts w:ascii="Times New Roman" w:hAnsi="Times New Roman"/>
        </w:rPr>
        <w:t xml:space="preserve">, which was used to calculate the Euclidean distance between identified wetland </w:t>
      </w:r>
      <w:proofErr w:type="spellStart"/>
      <w:r w:rsidRPr="00787179">
        <w:rPr>
          <w:rFonts w:ascii="Times New Roman" w:hAnsi="Times New Roman"/>
        </w:rPr>
        <w:t>neighbourhoods</w:t>
      </w:r>
      <w:proofErr w:type="spellEnd"/>
      <w:r w:rsidRPr="00787179">
        <w:rPr>
          <w:rFonts w:ascii="Times New Roman" w:hAnsi="Times New Roman"/>
        </w:rPr>
        <w:t xml:space="preserve"> and major road networks. Major roads were selected as a key spatial variable because they represent primary axes of accessibility, economic interaction, and urban expansion in Port Harcourt.</w:t>
      </w:r>
    </w:p>
    <w:p w:rsidR="00C145D2" w:rsidRPr="00787179" w:rsidRDefault="00C145D2" w:rsidP="00C145D2">
      <w:pPr>
        <w:pStyle w:val="NormalWeb"/>
        <w:spacing w:beforeAutospacing="0" w:afterAutospacing="0" w:line="360" w:lineRule="auto"/>
        <w:jc w:val="both"/>
        <w:rPr>
          <w:rFonts w:ascii="Times New Roman" w:hAnsi="Times New Roman"/>
        </w:rPr>
      </w:pPr>
      <w:r w:rsidRPr="00787179">
        <w:rPr>
          <w:rFonts w:ascii="Times New Roman" w:hAnsi="Times New Roman"/>
        </w:rPr>
        <w:t>The spatial analysis involved the following steps:</w:t>
      </w:r>
    </w:p>
    <w:p w:rsidR="00C145D2" w:rsidRPr="00787179" w:rsidRDefault="00C145D2" w:rsidP="00C145D2">
      <w:pPr>
        <w:numPr>
          <w:ilvl w:val="0"/>
          <w:numId w:val="5"/>
        </w:numPr>
        <w:spacing w:after="0" w:line="360" w:lineRule="auto"/>
        <w:jc w:val="both"/>
        <w:rPr>
          <w:rFonts w:ascii="Times New Roman" w:hAnsi="Times New Roman"/>
          <w:sz w:val="24"/>
          <w:szCs w:val="24"/>
        </w:rPr>
      </w:pPr>
      <w:r w:rsidRPr="00787179">
        <w:rPr>
          <w:rFonts w:ascii="Times New Roman" w:hAnsi="Times New Roman"/>
          <w:sz w:val="24"/>
          <w:szCs w:val="24"/>
        </w:rPr>
        <w:t xml:space="preserve">Mapping the geographic locations of the fourteen (14) identified wetland </w:t>
      </w:r>
      <w:proofErr w:type="spellStart"/>
      <w:r w:rsidRPr="00787179">
        <w:rPr>
          <w:rFonts w:ascii="Times New Roman" w:hAnsi="Times New Roman"/>
          <w:sz w:val="24"/>
          <w:szCs w:val="24"/>
        </w:rPr>
        <w:t>neighbourhoods</w:t>
      </w:r>
      <w:proofErr w:type="spellEnd"/>
      <w:r w:rsidRPr="00787179">
        <w:rPr>
          <w:rFonts w:ascii="Times New Roman" w:hAnsi="Times New Roman"/>
          <w:sz w:val="24"/>
          <w:szCs w:val="24"/>
        </w:rPr>
        <w:t xml:space="preserve"> </w:t>
      </w:r>
    </w:p>
    <w:p w:rsidR="00C145D2" w:rsidRPr="00787179" w:rsidRDefault="00C145D2" w:rsidP="00C145D2">
      <w:pPr>
        <w:numPr>
          <w:ilvl w:val="0"/>
          <w:numId w:val="5"/>
        </w:numPr>
        <w:spacing w:after="0" w:line="360" w:lineRule="auto"/>
        <w:jc w:val="both"/>
        <w:rPr>
          <w:rFonts w:ascii="Times New Roman" w:hAnsi="Times New Roman"/>
          <w:sz w:val="24"/>
          <w:szCs w:val="24"/>
        </w:rPr>
      </w:pPr>
      <w:r w:rsidRPr="00787179">
        <w:rPr>
          <w:rFonts w:ascii="Times New Roman" w:hAnsi="Times New Roman"/>
          <w:sz w:val="24"/>
          <w:szCs w:val="24"/>
        </w:rPr>
        <w:t xml:space="preserve">Digitizing and classifying major road networks within the study area </w:t>
      </w:r>
    </w:p>
    <w:p w:rsidR="00C145D2" w:rsidRPr="00787179" w:rsidRDefault="00C145D2" w:rsidP="00C145D2">
      <w:pPr>
        <w:numPr>
          <w:ilvl w:val="0"/>
          <w:numId w:val="5"/>
        </w:numPr>
        <w:spacing w:after="0" w:line="360" w:lineRule="auto"/>
        <w:jc w:val="both"/>
        <w:rPr>
          <w:rFonts w:ascii="Times New Roman" w:hAnsi="Times New Roman"/>
          <w:sz w:val="24"/>
          <w:szCs w:val="24"/>
        </w:rPr>
      </w:pPr>
      <w:r w:rsidRPr="00787179">
        <w:rPr>
          <w:rFonts w:ascii="Times New Roman" w:hAnsi="Times New Roman"/>
          <w:sz w:val="24"/>
          <w:szCs w:val="24"/>
        </w:rPr>
        <w:t xml:space="preserve">Generating a distance matrix to compute the shortest distance from each wetland neighbourhood to the nearest major road </w:t>
      </w:r>
    </w:p>
    <w:p w:rsidR="00C145D2" w:rsidRPr="00787179" w:rsidRDefault="00C145D2" w:rsidP="00C145D2">
      <w:pPr>
        <w:numPr>
          <w:ilvl w:val="0"/>
          <w:numId w:val="5"/>
        </w:numPr>
        <w:spacing w:after="0" w:line="360" w:lineRule="auto"/>
        <w:jc w:val="both"/>
        <w:rPr>
          <w:rFonts w:ascii="Times New Roman" w:hAnsi="Times New Roman"/>
          <w:sz w:val="24"/>
          <w:szCs w:val="24"/>
        </w:rPr>
      </w:pPr>
      <w:r w:rsidRPr="00787179">
        <w:rPr>
          <w:rFonts w:ascii="Times New Roman" w:hAnsi="Times New Roman"/>
          <w:sz w:val="24"/>
          <w:szCs w:val="24"/>
        </w:rPr>
        <w:t xml:space="preserve">Categorizing </w:t>
      </w:r>
      <w:proofErr w:type="spellStart"/>
      <w:r w:rsidRPr="00787179">
        <w:rPr>
          <w:rFonts w:ascii="Times New Roman" w:hAnsi="Times New Roman"/>
          <w:sz w:val="24"/>
          <w:szCs w:val="24"/>
        </w:rPr>
        <w:t>neighbourhoods</w:t>
      </w:r>
      <w:proofErr w:type="spellEnd"/>
      <w:r w:rsidRPr="00787179">
        <w:rPr>
          <w:rFonts w:ascii="Times New Roman" w:hAnsi="Times New Roman"/>
          <w:sz w:val="24"/>
          <w:szCs w:val="24"/>
        </w:rPr>
        <w:t xml:space="preserve"> based on proximity thresholds (highly accessible, moderately accessible, and relatively remote) </w:t>
      </w:r>
    </w:p>
    <w:p w:rsidR="00C145D2" w:rsidRPr="00787179" w:rsidRDefault="00C145D2" w:rsidP="00C145D2">
      <w:pPr>
        <w:numPr>
          <w:ilvl w:val="0"/>
          <w:numId w:val="5"/>
        </w:numPr>
        <w:spacing w:after="0" w:line="360" w:lineRule="auto"/>
        <w:jc w:val="both"/>
        <w:rPr>
          <w:rFonts w:ascii="Times New Roman" w:hAnsi="Times New Roman"/>
          <w:sz w:val="24"/>
          <w:szCs w:val="24"/>
        </w:rPr>
      </w:pPr>
      <w:r w:rsidRPr="00787179">
        <w:rPr>
          <w:rFonts w:ascii="Times New Roman" w:hAnsi="Times New Roman"/>
          <w:sz w:val="24"/>
          <w:szCs w:val="24"/>
        </w:rPr>
        <w:t xml:space="preserve">Analyzing spatial clustering patterns in relation to accessibility and environmental characteristics </w:t>
      </w:r>
    </w:p>
    <w:p w:rsidR="00C145D2" w:rsidRPr="00787179" w:rsidRDefault="00C145D2" w:rsidP="00C145D2">
      <w:pPr>
        <w:pStyle w:val="NormalWeb"/>
        <w:spacing w:beforeAutospacing="0" w:afterAutospacing="0" w:line="360" w:lineRule="auto"/>
        <w:jc w:val="both"/>
        <w:rPr>
          <w:rFonts w:ascii="Times New Roman" w:hAnsi="Times New Roman"/>
        </w:rPr>
      </w:pPr>
      <w:r w:rsidRPr="00787179">
        <w:rPr>
          <w:rFonts w:ascii="Times New Roman" w:hAnsi="Times New Roman"/>
        </w:rPr>
        <w:t xml:space="preserve">The results of the distance matrix analysis revealed a clear spatial pattern in the distribution of wetland </w:t>
      </w:r>
      <w:proofErr w:type="spellStart"/>
      <w:r w:rsidRPr="00787179">
        <w:rPr>
          <w:rFonts w:ascii="Times New Roman" w:hAnsi="Times New Roman"/>
        </w:rPr>
        <w:t>neighbourhoods</w:t>
      </w:r>
      <w:proofErr w:type="spellEnd"/>
      <w:r w:rsidRPr="00787179">
        <w:rPr>
          <w:rFonts w:ascii="Times New Roman" w:hAnsi="Times New Roman"/>
        </w:rPr>
        <w:t xml:space="preserve">. A significant proportion of the settlements were located within close proximity to major roads, indicating a strong relationship between accessibility and the location of </w:t>
      </w:r>
      <w:r w:rsidRPr="00787179">
        <w:rPr>
          <w:rFonts w:ascii="Times New Roman" w:hAnsi="Times New Roman"/>
        </w:rPr>
        <w:lastRenderedPageBreak/>
        <w:t xml:space="preserve">wetland development. </w:t>
      </w:r>
      <w:proofErr w:type="spellStart"/>
      <w:r w:rsidRPr="00787179">
        <w:rPr>
          <w:rFonts w:ascii="Times New Roman" w:hAnsi="Times New Roman"/>
        </w:rPr>
        <w:t>Neighbourhoods</w:t>
      </w:r>
      <w:proofErr w:type="spellEnd"/>
      <w:r w:rsidRPr="00787179">
        <w:rPr>
          <w:rFonts w:ascii="Times New Roman" w:hAnsi="Times New Roman"/>
        </w:rPr>
        <w:t xml:space="preserve"> situated nearer to major transport corridors exhibited higher levels of consolidation, increased building density, and more structured layouts, suggesting greater integration into the urban system.</w:t>
      </w:r>
    </w:p>
    <w:p w:rsidR="00C145D2" w:rsidRPr="00787179" w:rsidRDefault="00C145D2" w:rsidP="00C145D2">
      <w:pPr>
        <w:pStyle w:val="NormalWeb"/>
        <w:spacing w:beforeAutospacing="0" w:afterAutospacing="0" w:line="360" w:lineRule="auto"/>
        <w:jc w:val="both"/>
        <w:rPr>
          <w:rFonts w:ascii="Times New Roman" w:hAnsi="Times New Roman"/>
        </w:rPr>
      </w:pPr>
      <w:r w:rsidRPr="00787179">
        <w:rPr>
          <w:rFonts w:ascii="Times New Roman" w:hAnsi="Times New Roman"/>
        </w:rPr>
        <w:t xml:space="preserve">In contrast, wetland </w:t>
      </w:r>
      <w:proofErr w:type="spellStart"/>
      <w:r w:rsidRPr="00787179">
        <w:rPr>
          <w:rFonts w:ascii="Times New Roman" w:hAnsi="Times New Roman"/>
        </w:rPr>
        <w:t>neighbourhoods</w:t>
      </w:r>
      <w:proofErr w:type="spellEnd"/>
      <w:r w:rsidRPr="00787179">
        <w:rPr>
          <w:rFonts w:ascii="Times New Roman" w:hAnsi="Times New Roman"/>
        </w:rPr>
        <w:t xml:space="preserve"> located at greater distances from major roads tended to display more dispersed and irregular settlement patterns, often characterized by limited infrastructure provision and higher environmental vulnerability. These areas were typically associated with poorer accessibility, weaker development control, and reduced public service delivery.</w:t>
      </w:r>
    </w:p>
    <w:p w:rsidR="00C145D2" w:rsidRPr="00787179" w:rsidRDefault="00C145D2" w:rsidP="00C145D2">
      <w:pPr>
        <w:pStyle w:val="NormalWeb"/>
        <w:spacing w:beforeAutospacing="0" w:afterAutospacing="0" w:line="360" w:lineRule="auto"/>
        <w:jc w:val="both"/>
        <w:rPr>
          <w:rFonts w:ascii="Times New Roman" w:hAnsi="Times New Roman"/>
        </w:rPr>
      </w:pPr>
      <w:r w:rsidRPr="00787179">
        <w:rPr>
          <w:rFonts w:ascii="Times New Roman" w:hAnsi="Times New Roman"/>
        </w:rPr>
        <w:t xml:space="preserve">Furthermore, the spatial distribution pattern shows that many wetland </w:t>
      </w:r>
      <w:proofErr w:type="spellStart"/>
      <w:r w:rsidRPr="00787179">
        <w:rPr>
          <w:rFonts w:ascii="Times New Roman" w:hAnsi="Times New Roman"/>
        </w:rPr>
        <w:t>neighbourhoods</w:t>
      </w:r>
      <w:proofErr w:type="spellEnd"/>
      <w:r w:rsidRPr="00787179">
        <w:rPr>
          <w:rFonts w:ascii="Times New Roman" w:hAnsi="Times New Roman"/>
        </w:rPr>
        <w:t xml:space="preserve"> are concentrated along the southern and western fringes of the city, corresponding with low-lying mangrove swamp zones and floodplains. The distance matrix results suggest that despite environmental risks, proximity to transport infrastructure remains a dominant factor influencing settlement expansion into these fragile ecological zones.</w:t>
      </w:r>
    </w:p>
    <w:p w:rsidR="00C145D2" w:rsidRPr="00787179" w:rsidRDefault="00C145D2" w:rsidP="00C145D2">
      <w:pPr>
        <w:pStyle w:val="NormalWeb"/>
        <w:spacing w:beforeAutospacing="0" w:afterAutospacing="0" w:line="360" w:lineRule="auto"/>
        <w:jc w:val="both"/>
        <w:rPr>
          <w:rFonts w:ascii="Times New Roman" w:hAnsi="Times New Roman"/>
        </w:rPr>
      </w:pPr>
      <w:r w:rsidRPr="00787179">
        <w:rPr>
          <w:rFonts w:ascii="Times New Roman" w:hAnsi="Times New Roman"/>
        </w:rPr>
        <w:t xml:space="preserve">Importantly, the use of the distance matrix enabled the study to move beyond descriptive mapping by providing </w:t>
      </w:r>
      <w:r w:rsidRPr="00787179">
        <w:rPr>
          <w:rStyle w:val="Strong"/>
          <w:rFonts w:ascii="Times New Roman" w:hAnsi="Times New Roman"/>
          <w:b w:val="0"/>
        </w:rPr>
        <w:t>quantitative evidence of the accessibility–settlement relationship</w:t>
      </w:r>
      <w:r w:rsidRPr="00787179">
        <w:rPr>
          <w:rFonts w:ascii="Times New Roman" w:hAnsi="Times New Roman"/>
        </w:rPr>
        <w:t>. This analytical approach supports the interpretation that wetland encroachment in Port Harcourt is not random, but is strongly influenced by the interplay between accessibility advantages and land availability constraints.</w:t>
      </w:r>
    </w:p>
    <w:p w:rsidR="00C145D2" w:rsidRPr="00787179" w:rsidRDefault="00C145D2" w:rsidP="00C145D2">
      <w:pPr>
        <w:pStyle w:val="NormalWeb"/>
        <w:spacing w:beforeAutospacing="0" w:afterAutospacing="0" w:line="360" w:lineRule="auto"/>
        <w:jc w:val="both"/>
        <w:rPr>
          <w:rFonts w:ascii="Times New Roman" w:hAnsi="Times New Roman"/>
        </w:rPr>
      </w:pPr>
      <w:r w:rsidRPr="00787179">
        <w:rPr>
          <w:rFonts w:ascii="Times New Roman" w:hAnsi="Times New Roman"/>
        </w:rPr>
        <w:t>In addition, the spatial analysis highlighted the progressive encroachment of settlements into natural drainage corridors, particularly in areas that combine relative accessibility with weak regulatory enforcement. This pattern has significant implications for flood risk, urban sustainability, and land-use planning.</w:t>
      </w:r>
    </w:p>
    <w:p w:rsidR="00C145D2" w:rsidRPr="00787179" w:rsidRDefault="00C145D2" w:rsidP="00C145D2">
      <w:pPr>
        <w:pStyle w:val="NormalWeb"/>
        <w:spacing w:beforeAutospacing="0" w:afterAutospacing="0" w:line="360" w:lineRule="auto"/>
        <w:jc w:val="both"/>
        <w:rPr>
          <w:rFonts w:ascii="Times New Roman" w:hAnsi="Times New Roman"/>
        </w:rPr>
      </w:pPr>
      <w:r w:rsidRPr="00787179">
        <w:rPr>
          <w:rFonts w:ascii="Times New Roman" w:hAnsi="Times New Roman"/>
        </w:rPr>
        <w:t>Overall, the integration of distance matrix analysis into the study provides a robust spatial framework for understanding the drivers of wetland neighbourhood expansion and reinforces the role of accessibility as a key determinant of urban growth in environmentally sensitive areas.</w:t>
      </w:r>
    </w:p>
    <w:p w:rsidR="00817341" w:rsidRPr="00C145D2" w:rsidRDefault="00817341">
      <w:pPr>
        <w:pStyle w:val="NormalWeb"/>
        <w:spacing w:beforeAutospacing="0" w:afterAutospacing="0"/>
        <w:jc w:val="both"/>
        <w:rPr>
          <w:rFonts w:ascii="Times New Roman" w:hAnsi="Times New Roman"/>
          <w:sz w:val="14"/>
        </w:rPr>
      </w:pPr>
    </w:p>
    <w:p w:rsidR="00C145D2" w:rsidRPr="00C145D2" w:rsidRDefault="002B6B3A" w:rsidP="00C145D2">
      <w:pPr>
        <w:pStyle w:val="Heading2"/>
        <w:spacing w:beforeAutospacing="0" w:afterAutospacing="0" w:line="360" w:lineRule="auto"/>
        <w:jc w:val="both"/>
        <w:rPr>
          <w:rFonts w:ascii="Times New Roman" w:hAnsi="Times New Roman" w:hint="default"/>
          <w:sz w:val="24"/>
          <w:szCs w:val="24"/>
        </w:rPr>
      </w:pPr>
      <w:r>
        <w:rPr>
          <w:rStyle w:val="Strong"/>
          <w:rFonts w:ascii="Times New Roman" w:hAnsi="Times New Roman" w:hint="default"/>
          <w:b/>
          <w:bCs/>
          <w:sz w:val="24"/>
          <w:szCs w:val="24"/>
        </w:rPr>
        <w:t>6</w:t>
      </w:r>
      <w:r w:rsidR="00473EF5">
        <w:rPr>
          <w:rStyle w:val="Strong"/>
          <w:rFonts w:ascii="Times New Roman" w:hAnsi="Times New Roman" w:hint="default"/>
          <w:b/>
          <w:bCs/>
          <w:sz w:val="24"/>
          <w:szCs w:val="24"/>
        </w:rPr>
        <w:t xml:space="preserve">. </w:t>
      </w:r>
      <w:r w:rsidR="00C145D2" w:rsidRPr="00C145D2">
        <w:rPr>
          <w:rStyle w:val="Strong"/>
          <w:rFonts w:ascii="Times New Roman" w:hAnsi="Times New Roman" w:hint="default"/>
          <w:b/>
          <w:bCs/>
          <w:sz w:val="24"/>
          <w:szCs w:val="24"/>
        </w:rPr>
        <w:t>Results</w:t>
      </w:r>
    </w:p>
    <w:p w:rsidR="00C145D2" w:rsidRPr="00C145D2" w:rsidRDefault="00C145D2" w:rsidP="00C145D2">
      <w:pPr>
        <w:pStyle w:val="NormalWeb"/>
        <w:spacing w:beforeAutospacing="0" w:afterAutospacing="0" w:line="360" w:lineRule="auto"/>
        <w:jc w:val="both"/>
        <w:rPr>
          <w:rFonts w:ascii="Times New Roman" w:hAnsi="Times New Roman"/>
        </w:rPr>
      </w:pPr>
      <w:r w:rsidRPr="00C145D2">
        <w:rPr>
          <w:rFonts w:ascii="Times New Roman" w:hAnsi="Times New Roman"/>
        </w:rPr>
        <w:t xml:space="preserve">The results of this study are presented under two broad themes: the socio-economic characteristics of residents and the environmental and physical attributes of wetland </w:t>
      </w:r>
      <w:proofErr w:type="spellStart"/>
      <w:r w:rsidRPr="00C145D2">
        <w:rPr>
          <w:rFonts w:ascii="Times New Roman" w:hAnsi="Times New Roman"/>
        </w:rPr>
        <w:t>neighbourhoods</w:t>
      </w:r>
      <w:proofErr w:type="spellEnd"/>
      <w:r w:rsidRPr="00C145D2">
        <w:rPr>
          <w:rFonts w:ascii="Times New Roman" w:hAnsi="Times New Roman"/>
        </w:rPr>
        <w:t xml:space="preserve"> in Port Harcourt. The analysis combines descriptive statistics with comparative assessments of land </w:t>
      </w:r>
      <w:r w:rsidRPr="00C145D2">
        <w:rPr>
          <w:rFonts w:ascii="Times New Roman" w:hAnsi="Times New Roman"/>
        </w:rPr>
        <w:lastRenderedPageBreak/>
        <w:t>values, rental costs, income distribution, and development patterns in order to explain the underlying drivers of wetland urbanization.</w:t>
      </w:r>
    </w:p>
    <w:p w:rsidR="00C145D2" w:rsidRPr="00C145D2" w:rsidRDefault="00C145D2" w:rsidP="00C145D2">
      <w:pPr>
        <w:pStyle w:val="Heading3"/>
        <w:spacing w:before="0" w:line="360" w:lineRule="auto"/>
        <w:jc w:val="both"/>
        <w:rPr>
          <w:rStyle w:val="Strong"/>
          <w:rFonts w:ascii="Times New Roman" w:hAnsi="Times New Roman" w:cs="Times New Roman"/>
          <w:bCs w:val="0"/>
          <w:color w:val="auto"/>
          <w:sz w:val="4"/>
        </w:rPr>
      </w:pPr>
    </w:p>
    <w:p w:rsidR="00C145D2" w:rsidRPr="00C145D2" w:rsidRDefault="002B6B3A" w:rsidP="00C145D2">
      <w:pPr>
        <w:pStyle w:val="Heading3"/>
        <w:spacing w:before="0" w:line="360" w:lineRule="auto"/>
        <w:jc w:val="both"/>
        <w:rPr>
          <w:rFonts w:ascii="Times New Roman" w:hAnsi="Times New Roman" w:cs="Times New Roman"/>
          <w:color w:val="auto"/>
        </w:rPr>
      </w:pPr>
      <w:r>
        <w:rPr>
          <w:rStyle w:val="Strong"/>
          <w:rFonts w:ascii="Times New Roman" w:hAnsi="Times New Roman" w:cs="Times New Roman"/>
          <w:bCs w:val="0"/>
          <w:color w:val="auto"/>
        </w:rPr>
        <w:t>6</w:t>
      </w:r>
      <w:r w:rsidR="00C145D2" w:rsidRPr="00C145D2">
        <w:rPr>
          <w:rStyle w:val="Strong"/>
          <w:rFonts w:ascii="Times New Roman" w:hAnsi="Times New Roman" w:cs="Times New Roman"/>
          <w:bCs w:val="0"/>
          <w:color w:val="auto"/>
        </w:rPr>
        <w:t xml:space="preserve">.1 Characteristics of Wetland </w:t>
      </w:r>
      <w:proofErr w:type="spellStart"/>
      <w:r w:rsidR="00C145D2" w:rsidRPr="00C145D2">
        <w:rPr>
          <w:rStyle w:val="Strong"/>
          <w:rFonts w:ascii="Times New Roman" w:hAnsi="Times New Roman" w:cs="Times New Roman"/>
          <w:bCs w:val="0"/>
          <w:color w:val="auto"/>
        </w:rPr>
        <w:t>Neighbourhoods</w:t>
      </w:r>
      <w:proofErr w:type="spellEnd"/>
      <w:r w:rsidR="00C145D2" w:rsidRPr="00C145D2">
        <w:rPr>
          <w:rStyle w:val="Strong"/>
          <w:rFonts w:ascii="Times New Roman" w:hAnsi="Times New Roman" w:cs="Times New Roman"/>
          <w:bCs w:val="0"/>
          <w:color w:val="auto"/>
        </w:rPr>
        <w:t xml:space="preserve"> in Port Harcourt</w:t>
      </w:r>
    </w:p>
    <w:p w:rsidR="00C145D2" w:rsidRPr="00C145D2" w:rsidRDefault="00C145D2" w:rsidP="00C145D2">
      <w:pPr>
        <w:pStyle w:val="Heading4"/>
        <w:spacing w:before="0" w:line="360" w:lineRule="auto"/>
        <w:jc w:val="both"/>
        <w:rPr>
          <w:rFonts w:ascii="Times New Roman" w:hAnsi="Times New Roman" w:cs="Times New Roman"/>
          <w:color w:val="auto"/>
          <w:sz w:val="24"/>
          <w:szCs w:val="24"/>
        </w:rPr>
      </w:pPr>
      <w:r w:rsidRPr="00C145D2">
        <w:rPr>
          <w:rStyle w:val="Strong"/>
          <w:rFonts w:ascii="Times New Roman" w:hAnsi="Times New Roman" w:cs="Times New Roman"/>
          <w:b w:val="0"/>
          <w:bCs w:val="0"/>
          <w:color w:val="auto"/>
          <w:sz w:val="24"/>
          <w:szCs w:val="24"/>
        </w:rPr>
        <w:t>7.1.1 The Residents: Who Are They?</w:t>
      </w:r>
    </w:p>
    <w:p w:rsidR="00C145D2" w:rsidRPr="00C145D2" w:rsidRDefault="00C145D2" w:rsidP="00C145D2">
      <w:pPr>
        <w:pStyle w:val="NormalWeb"/>
        <w:spacing w:beforeAutospacing="0" w:afterAutospacing="0" w:line="360" w:lineRule="auto"/>
        <w:jc w:val="both"/>
        <w:rPr>
          <w:rFonts w:ascii="Times New Roman" w:hAnsi="Times New Roman"/>
        </w:rPr>
      </w:pPr>
      <w:r w:rsidRPr="00C145D2">
        <w:rPr>
          <w:rFonts w:ascii="Times New Roman" w:hAnsi="Times New Roman"/>
        </w:rPr>
        <w:t xml:space="preserve">Land prices and rental values in wetland </w:t>
      </w:r>
      <w:proofErr w:type="spellStart"/>
      <w:r w:rsidRPr="00C145D2">
        <w:rPr>
          <w:rFonts w:ascii="Times New Roman" w:hAnsi="Times New Roman"/>
        </w:rPr>
        <w:t>neighbourhoods</w:t>
      </w:r>
      <w:proofErr w:type="spellEnd"/>
      <w:r w:rsidRPr="00C145D2">
        <w:rPr>
          <w:rFonts w:ascii="Times New Roman" w:hAnsi="Times New Roman"/>
        </w:rPr>
        <w:t xml:space="preserve"> are generally lower than those observed in the inner-city residential areas of Port Harcourt, although they remain higher than those recorded in traditional waterside settlements. This intermediate pricing structure positions wetland </w:t>
      </w:r>
      <w:proofErr w:type="spellStart"/>
      <w:r w:rsidRPr="00C145D2">
        <w:rPr>
          <w:rFonts w:ascii="Times New Roman" w:hAnsi="Times New Roman"/>
        </w:rPr>
        <w:t>neighbourhoods</w:t>
      </w:r>
      <w:proofErr w:type="spellEnd"/>
      <w:r w:rsidRPr="00C145D2">
        <w:rPr>
          <w:rFonts w:ascii="Times New Roman" w:hAnsi="Times New Roman"/>
        </w:rPr>
        <w:t xml:space="preserve"> as relatively affordable alternatives within the urban housing market.</w:t>
      </w:r>
    </w:p>
    <w:p w:rsidR="00C145D2" w:rsidRPr="00C145D2" w:rsidRDefault="00C145D2" w:rsidP="00C145D2">
      <w:pPr>
        <w:pStyle w:val="NormalWeb"/>
        <w:spacing w:beforeAutospacing="0" w:afterAutospacing="0" w:line="360" w:lineRule="auto"/>
        <w:jc w:val="both"/>
        <w:rPr>
          <w:rFonts w:ascii="Times New Roman" w:hAnsi="Times New Roman"/>
        </w:rPr>
      </w:pPr>
      <w:r w:rsidRPr="00C145D2">
        <w:rPr>
          <w:rFonts w:ascii="Times New Roman" w:hAnsi="Times New Roman"/>
        </w:rPr>
        <w:t xml:space="preserve">Evidence from field observations, particularly regarding land acquisition and the cost-intensive processes of site preparation such as sand filling and structural reinforcement, indicates that development within these areas requires substantial financial investment. This suggests that developers operating in wetland </w:t>
      </w:r>
      <w:proofErr w:type="spellStart"/>
      <w:r w:rsidRPr="00C145D2">
        <w:rPr>
          <w:rFonts w:ascii="Times New Roman" w:hAnsi="Times New Roman"/>
        </w:rPr>
        <w:t>neighbourhoods</w:t>
      </w:r>
      <w:proofErr w:type="spellEnd"/>
      <w:r w:rsidRPr="00C145D2">
        <w:rPr>
          <w:rFonts w:ascii="Times New Roman" w:hAnsi="Times New Roman"/>
        </w:rPr>
        <w:t xml:space="preserve"> are not predominantly low-income earners, but rather include middle-income and, in some cases, higher-income groups.</w:t>
      </w:r>
    </w:p>
    <w:p w:rsidR="00C145D2" w:rsidRPr="00C145D2" w:rsidRDefault="00C145D2" w:rsidP="00C145D2">
      <w:pPr>
        <w:pStyle w:val="NormalWeb"/>
        <w:spacing w:beforeAutospacing="0" w:afterAutospacing="0" w:line="360" w:lineRule="auto"/>
        <w:jc w:val="both"/>
        <w:rPr>
          <w:rFonts w:ascii="Times New Roman" w:hAnsi="Times New Roman"/>
        </w:rPr>
      </w:pPr>
      <w:r w:rsidRPr="00C145D2">
        <w:rPr>
          <w:rFonts w:ascii="Times New Roman" w:hAnsi="Times New Roman"/>
        </w:rPr>
        <w:t xml:space="preserve">This socio-economic profile is reflected in the nature of the physical structures within these </w:t>
      </w:r>
      <w:proofErr w:type="spellStart"/>
      <w:r w:rsidRPr="00C145D2">
        <w:rPr>
          <w:rFonts w:ascii="Times New Roman" w:hAnsi="Times New Roman"/>
        </w:rPr>
        <w:t>neighbourhoods</w:t>
      </w:r>
      <w:proofErr w:type="spellEnd"/>
      <w:r w:rsidRPr="00C145D2">
        <w:rPr>
          <w:rFonts w:ascii="Times New Roman" w:hAnsi="Times New Roman"/>
        </w:rPr>
        <w:t>. Although many buildings do not fully comply with established planning and architectural standards, they are typically constructed using permanent materials and demonstrate a level of structural investment that distinguishes them from the temporary housing commonly associated with traditional waterside settlements.</w:t>
      </w:r>
    </w:p>
    <w:p w:rsidR="00C145D2" w:rsidRPr="00C145D2" w:rsidRDefault="00C145D2" w:rsidP="00C145D2">
      <w:pPr>
        <w:pStyle w:val="NormalWeb"/>
        <w:spacing w:beforeAutospacing="0" w:afterAutospacing="0" w:line="360" w:lineRule="auto"/>
        <w:jc w:val="both"/>
        <w:rPr>
          <w:rFonts w:ascii="Times New Roman" w:hAnsi="Times New Roman"/>
        </w:rPr>
      </w:pPr>
      <w:r w:rsidRPr="00C145D2">
        <w:rPr>
          <w:rFonts w:ascii="Times New Roman" w:hAnsi="Times New Roman"/>
        </w:rPr>
        <w:t xml:space="preserve">A comparative analysis of land values between wetland </w:t>
      </w:r>
      <w:proofErr w:type="spellStart"/>
      <w:r w:rsidRPr="00C145D2">
        <w:rPr>
          <w:rFonts w:ascii="Times New Roman" w:hAnsi="Times New Roman"/>
        </w:rPr>
        <w:t>neighbourhoods</w:t>
      </w:r>
      <w:proofErr w:type="spellEnd"/>
      <w:r w:rsidRPr="00C145D2">
        <w:rPr>
          <w:rFonts w:ascii="Times New Roman" w:hAnsi="Times New Roman"/>
        </w:rPr>
        <w:t xml:space="preserve"> and inner-city residential areas further illustrates this economic positioning.</w:t>
      </w:r>
    </w:p>
    <w:p w:rsidR="00C145D2" w:rsidRPr="00C145D2" w:rsidRDefault="00C145D2" w:rsidP="00C145D2">
      <w:pPr>
        <w:pStyle w:val="NormalWeb"/>
        <w:spacing w:beforeAutospacing="0" w:afterAutospacing="0" w:line="360" w:lineRule="auto"/>
        <w:jc w:val="both"/>
        <w:rPr>
          <w:rFonts w:ascii="Times New Roman" w:hAnsi="Times New Roman"/>
          <w:sz w:val="4"/>
        </w:rPr>
      </w:pPr>
    </w:p>
    <w:p w:rsidR="00C145D2" w:rsidRPr="00C145D2" w:rsidRDefault="00C145D2" w:rsidP="00C145D2">
      <w:pPr>
        <w:pStyle w:val="Heading3"/>
        <w:spacing w:before="0" w:line="240" w:lineRule="auto"/>
        <w:jc w:val="both"/>
        <w:rPr>
          <w:rFonts w:ascii="Times New Roman" w:hAnsi="Times New Roman" w:cs="Times New Roman"/>
          <w:color w:val="auto"/>
        </w:rPr>
      </w:pPr>
      <w:r w:rsidRPr="00C145D2">
        <w:rPr>
          <w:rStyle w:val="Strong"/>
          <w:rFonts w:ascii="Times New Roman" w:hAnsi="Times New Roman" w:cs="Times New Roman"/>
          <w:bCs w:val="0"/>
          <w:color w:val="auto"/>
        </w:rPr>
        <w:t>Table 3: Comparative Analysis of Cost of Land in Wetland and Inner-City Areas</w:t>
      </w:r>
    </w:p>
    <w:tbl>
      <w:tblPr>
        <w:tblW w:w="0" w:type="auto"/>
        <w:tblInd w:w="468" w:type="dxa"/>
        <w:tblLook w:val="04A0" w:firstRow="1" w:lastRow="0" w:firstColumn="1" w:lastColumn="0" w:noHBand="0" w:noVBand="1"/>
      </w:tblPr>
      <w:tblGrid>
        <w:gridCol w:w="1417"/>
        <w:gridCol w:w="1463"/>
        <w:gridCol w:w="1800"/>
        <w:gridCol w:w="1800"/>
        <w:gridCol w:w="1530"/>
      </w:tblGrid>
      <w:tr w:rsidR="00C145D2" w:rsidRPr="00C145D2" w:rsidTr="0094006F">
        <w:trPr>
          <w:trHeight w:val="257"/>
        </w:trPr>
        <w:tc>
          <w:tcPr>
            <w:tcW w:w="1417" w:type="dxa"/>
            <w:vMerge w:val="restart"/>
            <w:tcBorders>
              <w:top w:val="single" w:sz="4" w:space="0" w:color="auto"/>
              <w:left w:val="nil"/>
              <w:bottom w:val="nil"/>
              <w:right w:val="nil"/>
            </w:tcBorders>
          </w:tcPr>
          <w:p w:rsidR="00C145D2" w:rsidRPr="00C145D2" w:rsidRDefault="00C145D2" w:rsidP="00C145D2">
            <w:pPr>
              <w:spacing w:after="0" w:line="240" w:lineRule="auto"/>
              <w:jc w:val="both"/>
              <w:rPr>
                <w:rFonts w:ascii="Times New Roman" w:hAnsi="Times New Roman"/>
                <w:sz w:val="24"/>
                <w:szCs w:val="24"/>
              </w:rPr>
            </w:pPr>
          </w:p>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Size of Land (in feet)</w:t>
            </w:r>
          </w:p>
        </w:tc>
        <w:tc>
          <w:tcPr>
            <w:tcW w:w="6593" w:type="dxa"/>
            <w:gridSpan w:val="4"/>
            <w:tcBorders>
              <w:top w:val="single" w:sz="4" w:space="0" w:color="auto"/>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Average cost of land in 2022(measured in Naira)</w:t>
            </w:r>
          </w:p>
        </w:tc>
      </w:tr>
      <w:tr w:rsidR="00C145D2" w:rsidRPr="00C145D2" w:rsidTr="0094006F">
        <w:trPr>
          <w:trHeight w:val="257"/>
        </w:trPr>
        <w:tc>
          <w:tcPr>
            <w:tcW w:w="0" w:type="auto"/>
            <w:vMerge/>
            <w:tcBorders>
              <w:top w:val="single" w:sz="4" w:space="0" w:color="auto"/>
              <w:left w:val="nil"/>
              <w:bottom w:val="nil"/>
              <w:right w:val="nil"/>
            </w:tcBorders>
            <w:vAlign w:val="center"/>
            <w:hideMark/>
          </w:tcPr>
          <w:p w:rsidR="00C145D2" w:rsidRPr="00C145D2" w:rsidRDefault="00C145D2" w:rsidP="00C145D2">
            <w:pPr>
              <w:spacing w:after="0" w:line="240" w:lineRule="auto"/>
              <w:rPr>
                <w:rFonts w:ascii="Times New Roman" w:hAnsi="Times New Roman"/>
                <w:sz w:val="24"/>
                <w:szCs w:val="24"/>
              </w:rPr>
            </w:pPr>
          </w:p>
        </w:tc>
        <w:tc>
          <w:tcPr>
            <w:tcW w:w="1463" w:type="dxa"/>
            <w:tcBorders>
              <w:top w:val="nil"/>
              <w:left w:val="nil"/>
              <w:bottom w:val="single" w:sz="4" w:space="0" w:color="auto"/>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Urban Wetland</w:t>
            </w:r>
          </w:p>
        </w:tc>
        <w:tc>
          <w:tcPr>
            <w:tcW w:w="1800" w:type="dxa"/>
            <w:tcBorders>
              <w:top w:val="nil"/>
              <w:left w:val="nil"/>
              <w:bottom w:val="single" w:sz="4" w:space="0" w:color="auto"/>
              <w:right w:val="nil"/>
            </w:tcBorders>
            <w:hideMark/>
          </w:tcPr>
          <w:p w:rsidR="00C145D2" w:rsidRPr="00C145D2" w:rsidRDefault="00C145D2" w:rsidP="00C145D2">
            <w:pPr>
              <w:tabs>
                <w:tab w:val="left" w:pos="1807"/>
              </w:tabs>
              <w:spacing w:after="0" w:line="240" w:lineRule="auto"/>
              <w:jc w:val="both"/>
              <w:rPr>
                <w:rFonts w:ascii="Times New Roman" w:hAnsi="Times New Roman"/>
                <w:sz w:val="24"/>
                <w:szCs w:val="24"/>
              </w:rPr>
            </w:pPr>
            <w:r w:rsidRPr="00C145D2">
              <w:rPr>
                <w:rFonts w:ascii="Times New Roman" w:hAnsi="Times New Roman"/>
                <w:sz w:val="24"/>
                <w:szCs w:val="24"/>
              </w:rPr>
              <w:t xml:space="preserve">High Density Area </w:t>
            </w:r>
          </w:p>
        </w:tc>
        <w:tc>
          <w:tcPr>
            <w:tcW w:w="1800" w:type="dxa"/>
            <w:tcBorders>
              <w:top w:val="nil"/>
              <w:left w:val="nil"/>
              <w:bottom w:val="single" w:sz="4" w:space="0" w:color="auto"/>
              <w:right w:val="nil"/>
            </w:tcBorders>
            <w:hideMark/>
          </w:tcPr>
          <w:p w:rsidR="00C145D2" w:rsidRPr="00C145D2" w:rsidRDefault="00C145D2" w:rsidP="00C145D2">
            <w:pPr>
              <w:tabs>
                <w:tab w:val="left" w:pos="1807"/>
              </w:tabs>
              <w:spacing w:after="0" w:line="240" w:lineRule="auto"/>
              <w:jc w:val="both"/>
              <w:rPr>
                <w:rFonts w:ascii="Times New Roman" w:hAnsi="Times New Roman"/>
                <w:sz w:val="24"/>
                <w:szCs w:val="24"/>
              </w:rPr>
            </w:pPr>
            <w:r w:rsidRPr="00C145D2">
              <w:rPr>
                <w:rFonts w:ascii="Times New Roman" w:hAnsi="Times New Roman"/>
                <w:sz w:val="24"/>
                <w:szCs w:val="24"/>
              </w:rPr>
              <w:t>Medium Density Area</w:t>
            </w:r>
          </w:p>
        </w:tc>
        <w:tc>
          <w:tcPr>
            <w:tcW w:w="1530" w:type="dxa"/>
            <w:tcBorders>
              <w:top w:val="nil"/>
              <w:left w:val="nil"/>
              <w:bottom w:val="single" w:sz="4" w:space="0" w:color="auto"/>
              <w:right w:val="nil"/>
            </w:tcBorders>
            <w:hideMark/>
          </w:tcPr>
          <w:p w:rsidR="00C145D2" w:rsidRPr="00C145D2" w:rsidRDefault="00C145D2" w:rsidP="00C145D2">
            <w:pPr>
              <w:tabs>
                <w:tab w:val="left" w:pos="1807"/>
              </w:tabs>
              <w:spacing w:after="0" w:line="240" w:lineRule="auto"/>
              <w:jc w:val="both"/>
              <w:rPr>
                <w:rFonts w:ascii="Times New Roman" w:hAnsi="Times New Roman"/>
                <w:sz w:val="24"/>
                <w:szCs w:val="24"/>
              </w:rPr>
            </w:pPr>
            <w:r w:rsidRPr="00C145D2">
              <w:rPr>
                <w:rFonts w:ascii="Times New Roman" w:hAnsi="Times New Roman"/>
                <w:sz w:val="24"/>
                <w:szCs w:val="24"/>
              </w:rPr>
              <w:t>Low Density Area</w:t>
            </w:r>
          </w:p>
        </w:tc>
      </w:tr>
      <w:tr w:rsidR="00C145D2" w:rsidRPr="00C145D2" w:rsidTr="0094006F">
        <w:tc>
          <w:tcPr>
            <w:tcW w:w="1417" w:type="dxa"/>
            <w:tcBorders>
              <w:top w:val="single" w:sz="4" w:space="0" w:color="auto"/>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100x50</w:t>
            </w:r>
          </w:p>
        </w:tc>
        <w:tc>
          <w:tcPr>
            <w:tcW w:w="1463" w:type="dxa"/>
            <w:tcBorders>
              <w:top w:val="single" w:sz="4" w:space="0" w:color="auto"/>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3.5m</w:t>
            </w:r>
          </w:p>
        </w:tc>
        <w:tc>
          <w:tcPr>
            <w:tcW w:w="1800" w:type="dxa"/>
            <w:tcBorders>
              <w:top w:val="single" w:sz="4" w:space="0" w:color="auto"/>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15m</w:t>
            </w:r>
          </w:p>
        </w:tc>
        <w:tc>
          <w:tcPr>
            <w:tcW w:w="1800" w:type="dxa"/>
            <w:tcBorders>
              <w:top w:val="single" w:sz="4" w:space="0" w:color="auto"/>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18m</w:t>
            </w:r>
          </w:p>
        </w:tc>
        <w:tc>
          <w:tcPr>
            <w:tcW w:w="1530" w:type="dxa"/>
            <w:tcBorders>
              <w:top w:val="single" w:sz="4" w:space="0" w:color="auto"/>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35m.</w:t>
            </w:r>
          </w:p>
        </w:tc>
      </w:tr>
      <w:tr w:rsidR="00C145D2" w:rsidRPr="00C145D2" w:rsidTr="0094006F">
        <w:tc>
          <w:tcPr>
            <w:tcW w:w="1417"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100x25</w:t>
            </w:r>
          </w:p>
        </w:tc>
        <w:tc>
          <w:tcPr>
            <w:tcW w:w="1463"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3m</w:t>
            </w:r>
          </w:p>
        </w:tc>
        <w:tc>
          <w:tcPr>
            <w:tcW w:w="1800"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12.5m</w:t>
            </w:r>
          </w:p>
        </w:tc>
        <w:tc>
          <w:tcPr>
            <w:tcW w:w="1800"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15m</w:t>
            </w:r>
          </w:p>
        </w:tc>
        <w:tc>
          <w:tcPr>
            <w:tcW w:w="1530"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22.5m</w:t>
            </w:r>
          </w:p>
        </w:tc>
      </w:tr>
      <w:tr w:rsidR="00C145D2" w:rsidRPr="00C145D2" w:rsidTr="0094006F">
        <w:tc>
          <w:tcPr>
            <w:tcW w:w="1417"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50x50</w:t>
            </w:r>
          </w:p>
        </w:tc>
        <w:tc>
          <w:tcPr>
            <w:tcW w:w="1463"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2.5m</w:t>
            </w:r>
          </w:p>
        </w:tc>
        <w:tc>
          <w:tcPr>
            <w:tcW w:w="1800"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12m</w:t>
            </w:r>
          </w:p>
        </w:tc>
        <w:tc>
          <w:tcPr>
            <w:tcW w:w="1800"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13.5m</w:t>
            </w:r>
          </w:p>
        </w:tc>
        <w:tc>
          <w:tcPr>
            <w:tcW w:w="1530"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17.5m.</w:t>
            </w:r>
          </w:p>
        </w:tc>
      </w:tr>
      <w:tr w:rsidR="00C145D2" w:rsidRPr="00C145D2" w:rsidTr="0094006F">
        <w:tc>
          <w:tcPr>
            <w:tcW w:w="1417" w:type="dxa"/>
            <w:tcBorders>
              <w:top w:val="nil"/>
              <w:left w:val="nil"/>
              <w:bottom w:val="single" w:sz="4" w:space="0" w:color="auto"/>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50x25</w:t>
            </w:r>
          </w:p>
        </w:tc>
        <w:tc>
          <w:tcPr>
            <w:tcW w:w="1463" w:type="dxa"/>
            <w:tcBorders>
              <w:top w:val="nil"/>
              <w:left w:val="nil"/>
              <w:bottom w:val="single" w:sz="4" w:space="0" w:color="auto"/>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2m</w:t>
            </w:r>
          </w:p>
        </w:tc>
        <w:tc>
          <w:tcPr>
            <w:tcW w:w="1800" w:type="dxa"/>
            <w:tcBorders>
              <w:top w:val="nil"/>
              <w:left w:val="nil"/>
              <w:bottom w:val="single" w:sz="4" w:space="0" w:color="auto"/>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5m</w:t>
            </w:r>
          </w:p>
        </w:tc>
        <w:tc>
          <w:tcPr>
            <w:tcW w:w="1800" w:type="dxa"/>
            <w:tcBorders>
              <w:top w:val="nil"/>
              <w:left w:val="nil"/>
              <w:bottom w:val="single" w:sz="4" w:space="0" w:color="auto"/>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12m</w:t>
            </w:r>
          </w:p>
        </w:tc>
        <w:tc>
          <w:tcPr>
            <w:tcW w:w="1530" w:type="dxa"/>
            <w:tcBorders>
              <w:top w:val="nil"/>
              <w:left w:val="nil"/>
              <w:bottom w:val="single" w:sz="4" w:space="0" w:color="auto"/>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15m</w:t>
            </w:r>
          </w:p>
        </w:tc>
      </w:tr>
    </w:tbl>
    <w:p w:rsidR="00C145D2" w:rsidRPr="00C145D2" w:rsidRDefault="00C145D2" w:rsidP="00C145D2">
      <w:pPr>
        <w:spacing w:after="0" w:line="360" w:lineRule="auto"/>
        <w:jc w:val="center"/>
        <w:rPr>
          <w:rFonts w:ascii="Times New Roman" w:hAnsi="Times New Roman"/>
          <w:sz w:val="24"/>
          <w:szCs w:val="24"/>
        </w:rPr>
      </w:pPr>
      <w:r w:rsidRPr="00C145D2">
        <w:rPr>
          <w:rFonts w:ascii="Times New Roman" w:hAnsi="Times New Roman"/>
          <w:sz w:val="24"/>
          <w:szCs w:val="24"/>
        </w:rPr>
        <w:t>Researchers’ fieldwork 2025</w:t>
      </w:r>
    </w:p>
    <w:p w:rsidR="00C145D2" w:rsidRPr="00C145D2" w:rsidRDefault="00C145D2" w:rsidP="00C145D2">
      <w:pPr>
        <w:pStyle w:val="NormalWeb"/>
        <w:spacing w:beforeAutospacing="0" w:afterAutospacing="0" w:line="360" w:lineRule="auto"/>
        <w:jc w:val="both"/>
        <w:rPr>
          <w:rFonts w:ascii="Times New Roman" w:hAnsi="Times New Roman"/>
        </w:rPr>
      </w:pPr>
      <w:r w:rsidRPr="00C145D2">
        <w:rPr>
          <w:rFonts w:ascii="Times New Roman" w:hAnsi="Times New Roman"/>
        </w:rPr>
        <w:t xml:space="preserve">Table 3 shows that land prices in wetland </w:t>
      </w:r>
      <w:proofErr w:type="spellStart"/>
      <w:r w:rsidRPr="00C145D2">
        <w:rPr>
          <w:rFonts w:ascii="Times New Roman" w:hAnsi="Times New Roman"/>
        </w:rPr>
        <w:t>neighbourhoods</w:t>
      </w:r>
      <w:proofErr w:type="spellEnd"/>
      <w:r w:rsidRPr="00C145D2">
        <w:rPr>
          <w:rFonts w:ascii="Times New Roman" w:hAnsi="Times New Roman"/>
        </w:rPr>
        <w:t xml:space="preserve"> are significantly lower across all plot sizes when compared to high-, medium-, and low-density inner-city zones. This price differential highlights the role of affordability in driving the demand for land in wetland areas.</w:t>
      </w:r>
    </w:p>
    <w:p w:rsidR="00C145D2" w:rsidRDefault="00C145D2" w:rsidP="00C145D2">
      <w:pPr>
        <w:pStyle w:val="NormalWeb"/>
        <w:spacing w:beforeAutospacing="0" w:afterAutospacing="0" w:line="360" w:lineRule="auto"/>
        <w:jc w:val="both"/>
        <w:rPr>
          <w:rFonts w:ascii="Times New Roman" w:hAnsi="Times New Roman"/>
        </w:rPr>
      </w:pPr>
      <w:r w:rsidRPr="00C145D2">
        <w:rPr>
          <w:rFonts w:ascii="Times New Roman" w:hAnsi="Times New Roman"/>
        </w:rPr>
        <w:t>A similar pattern is observed in rental values across different housing types.</w:t>
      </w:r>
    </w:p>
    <w:p w:rsidR="00C145D2" w:rsidRPr="00C145D2" w:rsidRDefault="00C145D2" w:rsidP="00C145D2">
      <w:pPr>
        <w:pStyle w:val="NormalWeb"/>
        <w:spacing w:beforeAutospacing="0" w:afterAutospacing="0" w:line="360" w:lineRule="auto"/>
        <w:jc w:val="both"/>
        <w:rPr>
          <w:rFonts w:ascii="Times New Roman" w:hAnsi="Times New Roman"/>
          <w:sz w:val="8"/>
        </w:rPr>
      </w:pPr>
    </w:p>
    <w:p w:rsidR="00C145D2" w:rsidRPr="00C145D2" w:rsidRDefault="00C145D2" w:rsidP="00C145D2">
      <w:pPr>
        <w:pStyle w:val="Heading3"/>
        <w:spacing w:before="0" w:line="240" w:lineRule="auto"/>
        <w:jc w:val="center"/>
        <w:rPr>
          <w:rFonts w:ascii="Times New Roman" w:hAnsi="Times New Roman" w:cs="Times New Roman"/>
          <w:color w:val="auto"/>
        </w:rPr>
      </w:pPr>
      <w:r w:rsidRPr="00C145D2">
        <w:rPr>
          <w:rStyle w:val="Strong"/>
          <w:rFonts w:ascii="Times New Roman" w:hAnsi="Times New Roman" w:cs="Times New Roman"/>
          <w:bCs w:val="0"/>
          <w:color w:val="auto"/>
        </w:rPr>
        <w:t>Table 4: Comparative Analysis of Rental Values in Wetland and Inner-City Areas</w:t>
      </w:r>
    </w:p>
    <w:tbl>
      <w:tblPr>
        <w:tblW w:w="9857" w:type="dxa"/>
        <w:tblLook w:val="04A0" w:firstRow="1" w:lastRow="0" w:firstColumn="1" w:lastColumn="0" w:noHBand="0" w:noVBand="1"/>
      </w:tblPr>
      <w:tblGrid>
        <w:gridCol w:w="1915"/>
        <w:gridCol w:w="1915"/>
        <w:gridCol w:w="2090"/>
        <w:gridCol w:w="2018"/>
        <w:gridCol w:w="1919"/>
      </w:tblGrid>
      <w:tr w:rsidR="00C145D2" w:rsidRPr="00C145D2" w:rsidTr="0094006F">
        <w:tc>
          <w:tcPr>
            <w:tcW w:w="1915" w:type="dxa"/>
            <w:vMerge w:val="restart"/>
            <w:tcBorders>
              <w:top w:val="single" w:sz="4" w:space="0" w:color="auto"/>
              <w:left w:val="nil"/>
              <w:bottom w:val="nil"/>
              <w:right w:val="nil"/>
            </w:tcBorders>
          </w:tcPr>
          <w:p w:rsidR="00C145D2" w:rsidRPr="00C145D2" w:rsidRDefault="00C145D2" w:rsidP="00C145D2">
            <w:pPr>
              <w:spacing w:after="0" w:line="240" w:lineRule="auto"/>
              <w:jc w:val="center"/>
              <w:rPr>
                <w:rFonts w:ascii="Times New Roman" w:hAnsi="Times New Roman"/>
                <w:sz w:val="24"/>
                <w:szCs w:val="24"/>
              </w:rPr>
            </w:pPr>
          </w:p>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Accommodation Type</w:t>
            </w:r>
          </w:p>
        </w:tc>
        <w:tc>
          <w:tcPr>
            <w:tcW w:w="7942" w:type="dxa"/>
            <w:gridSpan w:val="4"/>
            <w:tcBorders>
              <w:top w:val="single" w:sz="4" w:space="0" w:color="auto"/>
              <w:left w:val="nil"/>
              <w:bottom w:val="single" w:sz="4" w:space="0" w:color="auto"/>
              <w:right w:val="nil"/>
            </w:tcBorders>
            <w:hideMark/>
          </w:tcPr>
          <w:p w:rsidR="00C145D2" w:rsidRPr="00C145D2" w:rsidRDefault="00C145D2" w:rsidP="00C145D2">
            <w:pPr>
              <w:spacing w:after="0" w:line="240" w:lineRule="auto"/>
              <w:rPr>
                <w:rFonts w:ascii="Times New Roman" w:hAnsi="Times New Roman"/>
                <w:sz w:val="24"/>
                <w:szCs w:val="24"/>
              </w:rPr>
            </w:pPr>
            <w:r w:rsidRPr="00C145D2">
              <w:rPr>
                <w:rFonts w:ascii="Times New Roman" w:hAnsi="Times New Roman"/>
                <w:sz w:val="24"/>
                <w:szCs w:val="24"/>
              </w:rPr>
              <w:t>Average Yearly Rent on Residential Accommodation (in Naira)</w:t>
            </w:r>
          </w:p>
        </w:tc>
      </w:tr>
      <w:tr w:rsidR="00C145D2" w:rsidRPr="00C145D2" w:rsidTr="0094006F">
        <w:tc>
          <w:tcPr>
            <w:tcW w:w="0" w:type="auto"/>
            <w:vMerge/>
            <w:tcBorders>
              <w:top w:val="single" w:sz="4" w:space="0" w:color="auto"/>
              <w:left w:val="nil"/>
              <w:bottom w:val="nil"/>
              <w:right w:val="nil"/>
            </w:tcBorders>
            <w:vAlign w:val="center"/>
            <w:hideMark/>
          </w:tcPr>
          <w:p w:rsidR="00C145D2" w:rsidRPr="00C145D2" w:rsidRDefault="00C145D2" w:rsidP="00C145D2">
            <w:pPr>
              <w:spacing w:after="0" w:line="240" w:lineRule="auto"/>
              <w:rPr>
                <w:rFonts w:ascii="Times New Roman" w:hAnsi="Times New Roman"/>
                <w:sz w:val="24"/>
                <w:szCs w:val="24"/>
              </w:rPr>
            </w:pPr>
          </w:p>
        </w:tc>
        <w:tc>
          <w:tcPr>
            <w:tcW w:w="1915" w:type="dxa"/>
            <w:tcBorders>
              <w:top w:val="single" w:sz="4" w:space="0" w:color="auto"/>
              <w:left w:val="nil"/>
              <w:bottom w:val="single" w:sz="4" w:space="0" w:color="auto"/>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Wetland Neighbourhood</w:t>
            </w:r>
          </w:p>
        </w:tc>
        <w:tc>
          <w:tcPr>
            <w:tcW w:w="2090" w:type="dxa"/>
            <w:tcBorders>
              <w:top w:val="single" w:sz="4" w:space="0" w:color="auto"/>
              <w:left w:val="nil"/>
              <w:bottom w:val="single" w:sz="4" w:space="0" w:color="auto"/>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High Density Area</w:t>
            </w:r>
          </w:p>
        </w:tc>
        <w:tc>
          <w:tcPr>
            <w:tcW w:w="2018" w:type="dxa"/>
            <w:tcBorders>
              <w:top w:val="single" w:sz="4" w:space="0" w:color="auto"/>
              <w:left w:val="nil"/>
              <w:bottom w:val="single" w:sz="4" w:space="0" w:color="auto"/>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Medium Density Area</w:t>
            </w:r>
          </w:p>
        </w:tc>
        <w:tc>
          <w:tcPr>
            <w:tcW w:w="1919" w:type="dxa"/>
            <w:tcBorders>
              <w:top w:val="single" w:sz="4" w:space="0" w:color="auto"/>
              <w:left w:val="nil"/>
              <w:bottom w:val="single" w:sz="4" w:space="0" w:color="auto"/>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Low Density Area</w:t>
            </w:r>
          </w:p>
        </w:tc>
      </w:tr>
      <w:tr w:rsidR="00C145D2" w:rsidRPr="00C145D2" w:rsidTr="0094006F">
        <w:tc>
          <w:tcPr>
            <w:tcW w:w="1915" w:type="dxa"/>
            <w:tcBorders>
              <w:top w:val="single" w:sz="4" w:space="0" w:color="auto"/>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Self-Contain</w:t>
            </w:r>
          </w:p>
        </w:tc>
        <w:tc>
          <w:tcPr>
            <w:tcW w:w="1915" w:type="dxa"/>
            <w:tcBorders>
              <w:top w:val="single" w:sz="4" w:space="0" w:color="auto"/>
              <w:left w:val="nil"/>
              <w:bottom w:val="nil"/>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200,000</w:t>
            </w:r>
          </w:p>
        </w:tc>
        <w:tc>
          <w:tcPr>
            <w:tcW w:w="2090" w:type="dxa"/>
            <w:tcBorders>
              <w:top w:val="single" w:sz="4" w:space="0" w:color="auto"/>
              <w:left w:val="nil"/>
              <w:bottom w:val="nil"/>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400,000</w:t>
            </w:r>
          </w:p>
        </w:tc>
        <w:tc>
          <w:tcPr>
            <w:tcW w:w="2018" w:type="dxa"/>
            <w:tcBorders>
              <w:top w:val="single" w:sz="4" w:space="0" w:color="auto"/>
              <w:left w:val="nil"/>
              <w:bottom w:val="nil"/>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600,000</w:t>
            </w:r>
          </w:p>
        </w:tc>
        <w:tc>
          <w:tcPr>
            <w:tcW w:w="1919" w:type="dxa"/>
            <w:tcBorders>
              <w:top w:val="single" w:sz="4" w:space="0" w:color="auto"/>
              <w:left w:val="nil"/>
              <w:bottom w:val="nil"/>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1.2m</w:t>
            </w:r>
          </w:p>
        </w:tc>
      </w:tr>
      <w:tr w:rsidR="00C145D2" w:rsidRPr="00C145D2" w:rsidTr="0094006F">
        <w:tc>
          <w:tcPr>
            <w:tcW w:w="1915"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1Bedroom flat</w:t>
            </w:r>
          </w:p>
        </w:tc>
        <w:tc>
          <w:tcPr>
            <w:tcW w:w="1915" w:type="dxa"/>
            <w:tcBorders>
              <w:top w:val="nil"/>
              <w:left w:val="nil"/>
              <w:bottom w:val="nil"/>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400,000</w:t>
            </w:r>
          </w:p>
        </w:tc>
        <w:tc>
          <w:tcPr>
            <w:tcW w:w="2090" w:type="dxa"/>
            <w:tcBorders>
              <w:top w:val="nil"/>
              <w:left w:val="nil"/>
              <w:bottom w:val="nil"/>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600,000</w:t>
            </w:r>
          </w:p>
        </w:tc>
        <w:tc>
          <w:tcPr>
            <w:tcW w:w="2018" w:type="dxa"/>
            <w:tcBorders>
              <w:top w:val="nil"/>
              <w:left w:val="nil"/>
              <w:bottom w:val="nil"/>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800,000</w:t>
            </w:r>
          </w:p>
        </w:tc>
        <w:tc>
          <w:tcPr>
            <w:tcW w:w="1919" w:type="dxa"/>
            <w:tcBorders>
              <w:top w:val="nil"/>
              <w:left w:val="nil"/>
              <w:bottom w:val="nil"/>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2.5m</w:t>
            </w:r>
          </w:p>
        </w:tc>
      </w:tr>
      <w:tr w:rsidR="00C145D2" w:rsidRPr="00C145D2" w:rsidTr="0094006F">
        <w:tc>
          <w:tcPr>
            <w:tcW w:w="1915"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2 Bedroom flat</w:t>
            </w:r>
          </w:p>
        </w:tc>
        <w:tc>
          <w:tcPr>
            <w:tcW w:w="1915" w:type="dxa"/>
            <w:tcBorders>
              <w:top w:val="nil"/>
              <w:left w:val="nil"/>
              <w:bottom w:val="nil"/>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600,000</w:t>
            </w:r>
          </w:p>
        </w:tc>
        <w:tc>
          <w:tcPr>
            <w:tcW w:w="2090" w:type="dxa"/>
            <w:tcBorders>
              <w:top w:val="nil"/>
              <w:left w:val="nil"/>
              <w:bottom w:val="nil"/>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800,000</w:t>
            </w:r>
          </w:p>
        </w:tc>
        <w:tc>
          <w:tcPr>
            <w:tcW w:w="2018" w:type="dxa"/>
            <w:tcBorders>
              <w:top w:val="nil"/>
              <w:left w:val="nil"/>
              <w:bottom w:val="nil"/>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1million</w:t>
            </w:r>
          </w:p>
        </w:tc>
        <w:tc>
          <w:tcPr>
            <w:tcW w:w="1919" w:type="dxa"/>
            <w:tcBorders>
              <w:top w:val="nil"/>
              <w:left w:val="nil"/>
              <w:bottom w:val="nil"/>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3.5million</w:t>
            </w:r>
          </w:p>
        </w:tc>
      </w:tr>
      <w:tr w:rsidR="00C145D2" w:rsidRPr="00C145D2" w:rsidTr="0094006F">
        <w:tc>
          <w:tcPr>
            <w:tcW w:w="1915" w:type="dxa"/>
            <w:tcBorders>
              <w:top w:val="nil"/>
              <w:left w:val="nil"/>
              <w:bottom w:val="single" w:sz="4" w:space="0" w:color="auto"/>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3 Bedroom Flat</w:t>
            </w:r>
          </w:p>
        </w:tc>
        <w:tc>
          <w:tcPr>
            <w:tcW w:w="1915" w:type="dxa"/>
            <w:tcBorders>
              <w:top w:val="nil"/>
              <w:left w:val="nil"/>
              <w:bottom w:val="single" w:sz="4" w:space="0" w:color="auto"/>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700,000</w:t>
            </w:r>
          </w:p>
        </w:tc>
        <w:tc>
          <w:tcPr>
            <w:tcW w:w="2090" w:type="dxa"/>
            <w:tcBorders>
              <w:top w:val="nil"/>
              <w:left w:val="nil"/>
              <w:bottom w:val="single" w:sz="4" w:space="0" w:color="auto"/>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900,000</w:t>
            </w:r>
          </w:p>
        </w:tc>
        <w:tc>
          <w:tcPr>
            <w:tcW w:w="2018" w:type="dxa"/>
            <w:tcBorders>
              <w:top w:val="nil"/>
              <w:left w:val="nil"/>
              <w:bottom w:val="single" w:sz="4" w:space="0" w:color="auto"/>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1.2million</w:t>
            </w:r>
          </w:p>
        </w:tc>
        <w:tc>
          <w:tcPr>
            <w:tcW w:w="1919" w:type="dxa"/>
            <w:tcBorders>
              <w:top w:val="nil"/>
              <w:left w:val="nil"/>
              <w:bottom w:val="single" w:sz="4" w:space="0" w:color="auto"/>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6million</w:t>
            </w:r>
          </w:p>
        </w:tc>
      </w:tr>
    </w:tbl>
    <w:p w:rsidR="00C145D2" w:rsidRPr="00C145D2" w:rsidRDefault="00C145D2" w:rsidP="00C145D2">
      <w:pPr>
        <w:spacing w:after="0" w:line="360" w:lineRule="auto"/>
        <w:jc w:val="center"/>
        <w:rPr>
          <w:rFonts w:ascii="Times New Roman" w:hAnsi="Times New Roman"/>
          <w:sz w:val="24"/>
          <w:szCs w:val="24"/>
        </w:rPr>
      </w:pPr>
      <w:r w:rsidRPr="00C145D2">
        <w:rPr>
          <w:rFonts w:ascii="Times New Roman" w:hAnsi="Times New Roman"/>
          <w:sz w:val="24"/>
          <w:szCs w:val="24"/>
        </w:rPr>
        <w:t>Researchers’ fieldwork 2025</w:t>
      </w:r>
    </w:p>
    <w:p w:rsidR="00C145D2" w:rsidRPr="00C145D2" w:rsidRDefault="00C145D2" w:rsidP="00C145D2">
      <w:pPr>
        <w:spacing w:after="0" w:line="360" w:lineRule="auto"/>
        <w:jc w:val="both"/>
        <w:rPr>
          <w:rFonts w:ascii="Times New Roman" w:hAnsi="Times New Roman"/>
          <w:sz w:val="24"/>
          <w:szCs w:val="24"/>
        </w:rPr>
      </w:pPr>
    </w:p>
    <w:p w:rsidR="00C145D2" w:rsidRPr="00C145D2" w:rsidRDefault="00C145D2" w:rsidP="00C145D2">
      <w:pPr>
        <w:pStyle w:val="NormalWeb"/>
        <w:spacing w:beforeAutospacing="0" w:afterAutospacing="0" w:line="360" w:lineRule="auto"/>
        <w:jc w:val="both"/>
        <w:rPr>
          <w:rFonts w:ascii="Times New Roman" w:hAnsi="Times New Roman"/>
        </w:rPr>
      </w:pPr>
      <w:r w:rsidRPr="00C145D2">
        <w:rPr>
          <w:rFonts w:ascii="Times New Roman" w:hAnsi="Times New Roman"/>
        </w:rPr>
        <w:t xml:space="preserve">As shown in Table 4, rental costs in wetland </w:t>
      </w:r>
      <w:proofErr w:type="spellStart"/>
      <w:r w:rsidRPr="00C145D2">
        <w:rPr>
          <w:rFonts w:ascii="Times New Roman" w:hAnsi="Times New Roman"/>
        </w:rPr>
        <w:t>neighbourhoods</w:t>
      </w:r>
      <w:proofErr w:type="spellEnd"/>
      <w:r w:rsidRPr="00C145D2">
        <w:rPr>
          <w:rFonts w:ascii="Times New Roman" w:hAnsi="Times New Roman"/>
        </w:rPr>
        <w:t xml:space="preserve"> are consistently lower than those in inner-city areas across all categories of accommodation. This reinforces the attractiveness of these areas for households seeking relatively affordable housing options within the city.</w:t>
      </w:r>
    </w:p>
    <w:p w:rsidR="00C145D2" w:rsidRPr="00C145D2" w:rsidRDefault="00C145D2" w:rsidP="00C145D2">
      <w:pPr>
        <w:pStyle w:val="NormalWeb"/>
        <w:spacing w:beforeAutospacing="0" w:afterAutospacing="0" w:line="360" w:lineRule="auto"/>
        <w:jc w:val="both"/>
        <w:rPr>
          <w:rFonts w:ascii="Times New Roman" w:hAnsi="Times New Roman"/>
        </w:rPr>
      </w:pPr>
      <w:r w:rsidRPr="00C145D2">
        <w:rPr>
          <w:rFonts w:ascii="Times New Roman" w:hAnsi="Times New Roman"/>
        </w:rPr>
        <w:t xml:space="preserve">The income distribution of residents provides further insight into the socio-economic composition of these </w:t>
      </w:r>
      <w:proofErr w:type="spellStart"/>
      <w:r w:rsidRPr="00C145D2">
        <w:rPr>
          <w:rFonts w:ascii="Times New Roman" w:hAnsi="Times New Roman"/>
        </w:rPr>
        <w:t>neighbourhoods</w:t>
      </w:r>
      <w:proofErr w:type="spellEnd"/>
      <w:r w:rsidRPr="00C145D2">
        <w:rPr>
          <w:rFonts w:ascii="Times New Roman" w:hAnsi="Times New Roman"/>
        </w:rPr>
        <w:t>.</w:t>
      </w:r>
    </w:p>
    <w:p w:rsidR="00C145D2" w:rsidRPr="00C145D2" w:rsidRDefault="00C145D2" w:rsidP="00C145D2">
      <w:pPr>
        <w:pStyle w:val="Heading3"/>
        <w:spacing w:before="0" w:line="240" w:lineRule="auto"/>
        <w:jc w:val="center"/>
        <w:rPr>
          <w:rFonts w:ascii="Times New Roman" w:hAnsi="Times New Roman" w:cs="Times New Roman"/>
          <w:color w:val="auto"/>
        </w:rPr>
      </w:pPr>
      <w:r w:rsidRPr="00C145D2">
        <w:rPr>
          <w:rStyle w:val="Strong"/>
          <w:rFonts w:ascii="Times New Roman" w:hAnsi="Times New Roman" w:cs="Times New Roman"/>
          <w:bCs w:val="0"/>
          <w:color w:val="auto"/>
        </w:rPr>
        <w:t>Table 5: Monthly Income Distribution of Residents</w:t>
      </w:r>
    </w:p>
    <w:tbl>
      <w:tblPr>
        <w:tblW w:w="0" w:type="auto"/>
        <w:jc w:val="center"/>
        <w:tblLook w:val="04A0" w:firstRow="1" w:lastRow="0" w:firstColumn="1" w:lastColumn="0" w:noHBand="0" w:noVBand="1"/>
      </w:tblPr>
      <w:tblGrid>
        <w:gridCol w:w="3192"/>
        <w:gridCol w:w="1452"/>
        <w:gridCol w:w="1843"/>
      </w:tblGrid>
      <w:tr w:rsidR="00C145D2" w:rsidRPr="00C145D2" w:rsidTr="0094006F">
        <w:trPr>
          <w:jc w:val="center"/>
        </w:trPr>
        <w:tc>
          <w:tcPr>
            <w:tcW w:w="3192" w:type="dxa"/>
            <w:tcBorders>
              <w:top w:val="single" w:sz="4" w:space="0" w:color="auto"/>
              <w:left w:val="nil"/>
              <w:bottom w:val="single" w:sz="4" w:space="0" w:color="auto"/>
              <w:right w:val="nil"/>
            </w:tcBorders>
            <w:hideMark/>
          </w:tcPr>
          <w:p w:rsidR="00C145D2" w:rsidRPr="00C145D2" w:rsidRDefault="00C145D2" w:rsidP="00C145D2">
            <w:pPr>
              <w:spacing w:after="0" w:line="240" w:lineRule="auto"/>
              <w:jc w:val="center"/>
              <w:rPr>
                <w:rFonts w:ascii="Times New Roman" w:hAnsi="Times New Roman"/>
                <w:b/>
                <w:sz w:val="24"/>
                <w:szCs w:val="24"/>
              </w:rPr>
            </w:pPr>
            <w:r w:rsidRPr="00C145D2">
              <w:rPr>
                <w:rFonts w:ascii="Times New Roman" w:hAnsi="Times New Roman"/>
                <w:b/>
                <w:sz w:val="24"/>
                <w:szCs w:val="24"/>
              </w:rPr>
              <w:t>Monthly Income (in naira)</w:t>
            </w:r>
          </w:p>
        </w:tc>
        <w:tc>
          <w:tcPr>
            <w:tcW w:w="1452" w:type="dxa"/>
            <w:tcBorders>
              <w:top w:val="single" w:sz="4" w:space="0" w:color="auto"/>
              <w:left w:val="nil"/>
              <w:bottom w:val="single" w:sz="4" w:space="0" w:color="auto"/>
              <w:right w:val="nil"/>
            </w:tcBorders>
            <w:hideMark/>
          </w:tcPr>
          <w:p w:rsidR="00C145D2" w:rsidRPr="00C145D2" w:rsidRDefault="00C145D2" w:rsidP="00C145D2">
            <w:pPr>
              <w:spacing w:after="0" w:line="240" w:lineRule="auto"/>
              <w:jc w:val="center"/>
              <w:rPr>
                <w:rFonts w:ascii="Times New Roman" w:hAnsi="Times New Roman"/>
                <w:b/>
                <w:sz w:val="24"/>
                <w:szCs w:val="24"/>
              </w:rPr>
            </w:pPr>
            <w:r w:rsidRPr="00C145D2">
              <w:rPr>
                <w:rFonts w:ascii="Times New Roman" w:hAnsi="Times New Roman"/>
                <w:b/>
                <w:sz w:val="24"/>
                <w:szCs w:val="24"/>
              </w:rPr>
              <w:t>Frequency</w:t>
            </w:r>
          </w:p>
        </w:tc>
        <w:tc>
          <w:tcPr>
            <w:tcW w:w="1843" w:type="dxa"/>
            <w:tcBorders>
              <w:top w:val="single" w:sz="4" w:space="0" w:color="auto"/>
              <w:left w:val="nil"/>
              <w:bottom w:val="single" w:sz="4" w:space="0" w:color="auto"/>
              <w:right w:val="nil"/>
            </w:tcBorders>
            <w:hideMark/>
          </w:tcPr>
          <w:p w:rsidR="00C145D2" w:rsidRPr="00C145D2" w:rsidRDefault="00C145D2" w:rsidP="00C145D2">
            <w:pPr>
              <w:spacing w:after="0" w:line="240" w:lineRule="auto"/>
              <w:jc w:val="center"/>
              <w:rPr>
                <w:rFonts w:ascii="Times New Roman" w:hAnsi="Times New Roman"/>
                <w:b/>
                <w:sz w:val="24"/>
                <w:szCs w:val="24"/>
              </w:rPr>
            </w:pPr>
            <w:r w:rsidRPr="00C145D2">
              <w:rPr>
                <w:rFonts w:ascii="Times New Roman" w:hAnsi="Times New Roman"/>
                <w:b/>
                <w:sz w:val="24"/>
                <w:szCs w:val="24"/>
              </w:rPr>
              <w:t>Percentage (%)</w:t>
            </w:r>
          </w:p>
        </w:tc>
      </w:tr>
      <w:tr w:rsidR="00C145D2" w:rsidRPr="00C145D2" w:rsidTr="0094006F">
        <w:trPr>
          <w:jc w:val="center"/>
        </w:trPr>
        <w:tc>
          <w:tcPr>
            <w:tcW w:w="3192" w:type="dxa"/>
            <w:tcBorders>
              <w:top w:val="single" w:sz="4" w:space="0" w:color="auto"/>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1000-40999</w:t>
            </w:r>
          </w:p>
        </w:tc>
        <w:tc>
          <w:tcPr>
            <w:tcW w:w="1452" w:type="dxa"/>
            <w:tcBorders>
              <w:top w:val="single" w:sz="4" w:space="0" w:color="auto"/>
              <w:left w:val="nil"/>
              <w:bottom w:val="nil"/>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10</w:t>
            </w:r>
          </w:p>
        </w:tc>
        <w:tc>
          <w:tcPr>
            <w:tcW w:w="1843" w:type="dxa"/>
            <w:tcBorders>
              <w:top w:val="single" w:sz="4" w:space="0" w:color="auto"/>
              <w:left w:val="nil"/>
              <w:bottom w:val="nil"/>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7.6</w:t>
            </w:r>
          </w:p>
        </w:tc>
      </w:tr>
      <w:tr w:rsidR="00C145D2" w:rsidRPr="00C145D2" w:rsidTr="0094006F">
        <w:trPr>
          <w:jc w:val="center"/>
        </w:trPr>
        <w:tc>
          <w:tcPr>
            <w:tcW w:w="3192"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50000-90999</w:t>
            </w:r>
          </w:p>
        </w:tc>
        <w:tc>
          <w:tcPr>
            <w:tcW w:w="1452" w:type="dxa"/>
            <w:tcBorders>
              <w:top w:val="nil"/>
              <w:left w:val="nil"/>
              <w:bottom w:val="nil"/>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15</w:t>
            </w:r>
          </w:p>
        </w:tc>
        <w:tc>
          <w:tcPr>
            <w:tcW w:w="1843" w:type="dxa"/>
            <w:tcBorders>
              <w:top w:val="nil"/>
              <w:left w:val="nil"/>
              <w:bottom w:val="nil"/>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11.4</w:t>
            </w:r>
          </w:p>
        </w:tc>
      </w:tr>
      <w:tr w:rsidR="00C145D2" w:rsidRPr="00C145D2" w:rsidTr="0094006F">
        <w:trPr>
          <w:jc w:val="center"/>
        </w:trPr>
        <w:tc>
          <w:tcPr>
            <w:tcW w:w="3192"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100000-140,999</w:t>
            </w:r>
          </w:p>
        </w:tc>
        <w:tc>
          <w:tcPr>
            <w:tcW w:w="1452" w:type="dxa"/>
            <w:tcBorders>
              <w:top w:val="nil"/>
              <w:left w:val="nil"/>
              <w:bottom w:val="nil"/>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20</w:t>
            </w:r>
          </w:p>
        </w:tc>
        <w:tc>
          <w:tcPr>
            <w:tcW w:w="1843" w:type="dxa"/>
            <w:tcBorders>
              <w:top w:val="nil"/>
              <w:left w:val="nil"/>
              <w:bottom w:val="nil"/>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15.2</w:t>
            </w:r>
          </w:p>
        </w:tc>
      </w:tr>
      <w:tr w:rsidR="00C145D2" w:rsidRPr="00C145D2" w:rsidTr="0094006F">
        <w:trPr>
          <w:jc w:val="center"/>
        </w:trPr>
        <w:tc>
          <w:tcPr>
            <w:tcW w:w="3192"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150,000190,999</w:t>
            </w:r>
          </w:p>
        </w:tc>
        <w:tc>
          <w:tcPr>
            <w:tcW w:w="1452" w:type="dxa"/>
            <w:tcBorders>
              <w:top w:val="nil"/>
              <w:left w:val="nil"/>
              <w:bottom w:val="nil"/>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20</w:t>
            </w:r>
          </w:p>
        </w:tc>
        <w:tc>
          <w:tcPr>
            <w:tcW w:w="1843" w:type="dxa"/>
            <w:tcBorders>
              <w:top w:val="nil"/>
              <w:left w:val="nil"/>
              <w:bottom w:val="nil"/>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15.2</w:t>
            </w:r>
          </w:p>
        </w:tc>
      </w:tr>
      <w:tr w:rsidR="00C145D2" w:rsidRPr="00C145D2" w:rsidTr="0094006F">
        <w:trPr>
          <w:jc w:val="center"/>
        </w:trPr>
        <w:tc>
          <w:tcPr>
            <w:tcW w:w="3192"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200,000-240,999</w:t>
            </w:r>
          </w:p>
        </w:tc>
        <w:tc>
          <w:tcPr>
            <w:tcW w:w="1452" w:type="dxa"/>
            <w:tcBorders>
              <w:top w:val="nil"/>
              <w:left w:val="nil"/>
              <w:bottom w:val="nil"/>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18</w:t>
            </w:r>
          </w:p>
        </w:tc>
        <w:tc>
          <w:tcPr>
            <w:tcW w:w="1843" w:type="dxa"/>
            <w:tcBorders>
              <w:top w:val="nil"/>
              <w:left w:val="nil"/>
              <w:bottom w:val="nil"/>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13.7=</w:t>
            </w:r>
          </w:p>
        </w:tc>
      </w:tr>
      <w:tr w:rsidR="00C145D2" w:rsidRPr="00C145D2" w:rsidTr="0094006F">
        <w:trPr>
          <w:jc w:val="center"/>
        </w:trPr>
        <w:tc>
          <w:tcPr>
            <w:tcW w:w="3192"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250,000-290,999</w:t>
            </w:r>
          </w:p>
        </w:tc>
        <w:tc>
          <w:tcPr>
            <w:tcW w:w="1452" w:type="dxa"/>
            <w:tcBorders>
              <w:top w:val="nil"/>
              <w:left w:val="nil"/>
              <w:bottom w:val="nil"/>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15</w:t>
            </w:r>
          </w:p>
        </w:tc>
        <w:tc>
          <w:tcPr>
            <w:tcW w:w="1843" w:type="dxa"/>
            <w:tcBorders>
              <w:top w:val="nil"/>
              <w:left w:val="nil"/>
              <w:bottom w:val="nil"/>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11.4</w:t>
            </w:r>
          </w:p>
        </w:tc>
      </w:tr>
      <w:tr w:rsidR="00C145D2" w:rsidRPr="00C145D2" w:rsidTr="0094006F">
        <w:trPr>
          <w:jc w:val="center"/>
        </w:trPr>
        <w:tc>
          <w:tcPr>
            <w:tcW w:w="3192"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300,000-340999</w:t>
            </w:r>
          </w:p>
        </w:tc>
        <w:tc>
          <w:tcPr>
            <w:tcW w:w="1452" w:type="dxa"/>
            <w:tcBorders>
              <w:top w:val="nil"/>
              <w:left w:val="nil"/>
              <w:bottom w:val="nil"/>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21</w:t>
            </w:r>
          </w:p>
        </w:tc>
        <w:tc>
          <w:tcPr>
            <w:tcW w:w="1843" w:type="dxa"/>
            <w:tcBorders>
              <w:top w:val="nil"/>
              <w:left w:val="nil"/>
              <w:bottom w:val="nil"/>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16</w:t>
            </w:r>
          </w:p>
        </w:tc>
      </w:tr>
      <w:tr w:rsidR="00C145D2" w:rsidRPr="00C145D2" w:rsidTr="0094006F">
        <w:trPr>
          <w:jc w:val="center"/>
        </w:trPr>
        <w:tc>
          <w:tcPr>
            <w:tcW w:w="3192"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350,000-390,999</w:t>
            </w:r>
          </w:p>
        </w:tc>
        <w:tc>
          <w:tcPr>
            <w:tcW w:w="1452" w:type="dxa"/>
            <w:tcBorders>
              <w:top w:val="nil"/>
              <w:left w:val="nil"/>
              <w:bottom w:val="nil"/>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8</w:t>
            </w:r>
          </w:p>
        </w:tc>
        <w:tc>
          <w:tcPr>
            <w:tcW w:w="1843" w:type="dxa"/>
            <w:tcBorders>
              <w:top w:val="nil"/>
              <w:left w:val="nil"/>
              <w:bottom w:val="nil"/>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6.1</w:t>
            </w:r>
          </w:p>
        </w:tc>
      </w:tr>
      <w:tr w:rsidR="00C145D2" w:rsidRPr="00C145D2" w:rsidTr="0094006F">
        <w:trPr>
          <w:jc w:val="center"/>
        </w:trPr>
        <w:tc>
          <w:tcPr>
            <w:tcW w:w="3192"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400,000+</w:t>
            </w:r>
          </w:p>
        </w:tc>
        <w:tc>
          <w:tcPr>
            <w:tcW w:w="1452" w:type="dxa"/>
            <w:tcBorders>
              <w:top w:val="nil"/>
              <w:left w:val="nil"/>
              <w:bottom w:val="nil"/>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4</w:t>
            </w:r>
          </w:p>
        </w:tc>
        <w:tc>
          <w:tcPr>
            <w:tcW w:w="1843" w:type="dxa"/>
            <w:tcBorders>
              <w:top w:val="nil"/>
              <w:left w:val="nil"/>
              <w:bottom w:val="nil"/>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3.1</w:t>
            </w:r>
          </w:p>
        </w:tc>
      </w:tr>
      <w:tr w:rsidR="00C145D2" w:rsidRPr="00C145D2" w:rsidTr="0094006F">
        <w:trPr>
          <w:trHeight w:val="55"/>
          <w:jc w:val="center"/>
        </w:trPr>
        <w:tc>
          <w:tcPr>
            <w:tcW w:w="3192" w:type="dxa"/>
            <w:tcBorders>
              <w:top w:val="nil"/>
              <w:left w:val="nil"/>
              <w:bottom w:val="single" w:sz="4" w:space="0" w:color="auto"/>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Total</w:t>
            </w:r>
          </w:p>
        </w:tc>
        <w:tc>
          <w:tcPr>
            <w:tcW w:w="1452" w:type="dxa"/>
            <w:tcBorders>
              <w:top w:val="nil"/>
              <w:left w:val="nil"/>
              <w:bottom w:val="single" w:sz="4" w:space="0" w:color="auto"/>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131</w:t>
            </w:r>
          </w:p>
        </w:tc>
        <w:tc>
          <w:tcPr>
            <w:tcW w:w="1843" w:type="dxa"/>
            <w:tcBorders>
              <w:top w:val="nil"/>
              <w:left w:val="nil"/>
              <w:bottom w:val="single" w:sz="4" w:space="0" w:color="auto"/>
              <w:right w:val="nil"/>
            </w:tcBorders>
            <w:hideMark/>
          </w:tcPr>
          <w:p w:rsidR="00C145D2" w:rsidRPr="00C145D2" w:rsidRDefault="00C145D2" w:rsidP="00C145D2">
            <w:pPr>
              <w:spacing w:after="0" w:line="240" w:lineRule="auto"/>
              <w:jc w:val="center"/>
              <w:rPr>
                <w:rFonts w:ascii="Times New Roman" w:hAnsi="Times New Roman"/>
                <w:sz w:val="24"/>
                <w:szCs w:val="24"/>
              </w:rPr>
            </w:pPr>
            <w:r w:rsidRPr="00C145D2">
              <w:rPr>
                <w:rFonts w:ascii="Times New Roman" w:hAnsi="Times New Roman"/>
                <w:sz w:val="24"/>
                <w:szCs w:val="24"/>
              </w:rPr>
              <w:t>100</w:t>
            </w:r>
          </w:p>
        </w:tc>
      </w:tr>
    </w:tbl>
    <w:p w:rsidR="00C145D2" w:rsidRPr="00C145D2" w:rsidRDefault="00C145D2" w:rsidP="00C145D2">
      <w:pPr>
        <w:spacing w:after="0" w:line="360" w:lineRule="auto"/>
        <w:jc w:val="center"/>
        <w:rPr>
          <w:rFonts w:ascii="Times New Roman" w:hAnsi="Times New Roman"/>
          <w:sz w:val="24"/>
          <w:szCs w:val="24"/>
        </w:rPr>
      </w:pPr>
      <w:r w:rsidRPr="00C145D2">
        <w:rPr>
          <w:rFonts w:ascii="Times New Roman" w:hAnsi="Times New Roman"/>
          <w:sz w:val="24"/>
          <w:szCs w:val="24"/>
        </w:rPr>
        <w:t>Researchers’ fieldwork 2025</w:t>
      </w:r>
    </w:p>
    <w:p w:rsidR="00C145D2" w:rsidRPr="00C145D2" w:rsidRDefault="00C145D2" w:rsidP="00C145D2">
      <w:pPr>
        <w:pStyle w:val="NormalWeb"/>
        <w:spacing w:beforeAutospacing="0" w:afterAutospacing="0" w:line="360" w:lineRule="auto"/>
        <w:jc w:val="both"/>
        <w:rPr>
          <w:rFonts w:ascii="Times New Roman" w:hAnsi="Times New Roman"/>
        </w:rPr>
      </w:pPr>
      <w:r w:rsidRPr="00C145D2">
        <w:rPr>
          <w:rFonts w:ascii="Times New Roman" w:hAnsi="Times New Roman"/>
        </w:rPr>
        <w:t xml:space="preserve">The data indicate that only a small proportion of residents fall within the low-income category, while the majority are concentrated within the middle-income range. This suggests that residents of wetland </w:t>
      </w:r>
      <w:proofErr w:type="spellStart"/>
      <w:r w:rsidRPr="00C145D2">
        <w:rPr>
          <w:rFonts w:ascii="Times New Roman" w:hAnsi="Times New Roman"/>
        </w:rPr>
        <w:t>neighbourhoods</w:t>
      </w:r>
      <w:proofErr w:type="spellEnd"/>
      <w:r w:rsidRPr="00C145D2">
        <w:rPr>
          <w:rFonts w:ascii="Times New Roman" w:hAnsi="Times New Roman"/>
        </w:rPr>
        <w:t xml:space="preserve"> are not predominantly urban poor, but rather represent a relatively stable and economically active population constrained by the high cost of housing in more formal urban areas.</w:t>
      </w:r>
    </w:p>
    <w:p w:rsidR="00C145D2" w:rsidRPr="00C145D2" w:rsidRDefault="00C145D2" w:rsidP="00C145D2">
      <w:pPr>
        <w:pStyle w:val="NormalWeb"/>
        <w:spacing w:beforeAutospacing="0" w:afterAutospacing="0" w:line="360" w:lineRule="auto"/>
        <w:jc w:val="both"/>
        <w:rPr>
          <w:rFonts w:ascii="Times New Roman" w:hAnsi="Times New Roman"/>
        </w:rPr>
      </w:pPr>
      <w:r w:rsidRPr="00C145D2">
        <w:rPr>
          <w:rFonts w:ascii="Times New Roman" w:hAnsi="Times New Roman"/>
        </w:rPr>
        <w:t>Further evidence is provided by the educational attainment of residents.</w:t>
      </w:r>
    </w:p>
    <w:p w:rsidR="00C145D2" w:rsidRPr="00C145D2" w:rsidRDefault="00C145D2" w:rsidP="00C145D2">
      <w:pPr>
        <w:pStyle w:val="Heading3"/>
        <w:spacing w:before="0" w:line="240" w:lineRule="auto"/>
        <w:jc w:val="center"/>
        <w:rPr>
          <w:rFonts w:ascii="Times New Roman" w:hAnsi="Times New Roman" w:cs="Times New Roman"/>
          <w:color w:val="auto"/>
        </w:rPr>
      </w:pPr>
      <w:r w:rsidRPr="00C145D2">
        <w:rPr>
          <w:rStyle w:val="Strong"/>
          <w:rFonts w:ascii="Times New Roman" w:hAnsi="Times New Roman" w:cs="Times New Roman"/>
          <w:bCs w:val="0"/>
          <w:color w:val="auto"/>
        </w:rPr>
        <w:t>Table 6: Educational Status of Residents</w:t>
      </w:r>
    </w:p>
    <w:tbl>
      <w:tblPr>
        <w:tblW w:w="0" w:type="auto"/>
        <w:tblLook w:val="04A0" w:firstRow="1" w:lastRow="0" w:firstColumn="1" w:lastColumn="0" w:noHBand="0" w:noVBand="1"/>
      </w:tblPr>
      <w:tblGrid>
        <w:gridCol w:w="3122"/>
        <w:gridCol w:w="3116"/>
        <w:gridCol w:w="3122"/>
      </w:tblGrid>
      <w:tr w:rsidR="00C145D2" w:rsidRPr="00C145D2" w:rsidTr="0094006F">
        <w:tc>
          <w:tcPr>
            <w:tcW w:w="3192" w:type="dxa"/>
            <w:tcBorders>
              <w:top w:val="single" w:sz="4" w:space="0" w:color="auto"/>
              <w:left w:val="nil"/>
              <w:bottom w:val="single" w:sz="4" w:space="0" w:color="auto"/>
              <w:right w:val="nil"/>
            </w:tcBorders>
            <w:hideMark/>
          </w:tcPr>
          <w:p w:rsidR="00C145D2" w:rsidRPr="00C145D2" w:rsidRDefault="00C145D2" w:rsidP="00C145D2">
            <w:pPr>
              <w:spacing w:after="0" w:line="360" w:lineRule="auto"/>
              <w:jc w:val="center"/>
              <w:rPr>
                <w:rFonts w:ascii="Times New Roman" w:hAnsi="Times New Roman"/>
                <w:b/>
                <w:sz w:val="24"/>
                <w:szCs w:val="24"/>
              </w:rPr>
            </w:pPr>
            <w:r w:rsidRPr="00C145D2">
              <w:rPr>
                <w:rFonts w:ascii="Times New Roman" w:hAnsi="Times New Roman"/>
                <w:b/>
                <w:sz w:val="24"/>
                <w:szCs w:val="24"/>
              </w:rPr>
              <w:t>Educational Status</w:t>
            </w:r>
          </w:p>
        </w:tc>
        <w:tc>
          <w:tcPr>
            <w:tcW w:w="3192" w:type="dxa"/>
            <w:tcBorders>
              <w:top w:val="single" w:sz="4" w:space="0" w:color="auto"/>
              <w:left w:val="nil"/>
              <w:bottom w:val="single" w:sz="4" w:space="0" w:color="auto"/>
              <w:right w:val="nil"/>
            </w:tcBorders>
            <w:hideMark/>
          </w:tcPr>
          <w:p w:rsidR="00C145D2" w:rsidRPr="00C145D2" w:rsidRDefault="00C145D2" w:rsidP="00C145D2">
            <w:pPr>
              <w:spacing w:after="0" w:line="360" w:lineRule="auto"/>
              <w:jc w:val="center"/>
              <w:rPr>
                <w:rFonts w:ascii="Times New Roman" w:hAnsi="Times New Roman"/>
                <w:b/>
                <w:sz w:val="24"/>
                <w:szCs w:val="24"/>
              </w:rPr>
            </w:pPr>
            <w:r w:rsidRPr="00C145D2">
              <w:rPr>
                <w:rFonts w:ascii="Times New Roman" w:hAnsi="Times New Roman"/>
                <w:b/>
                <w:sz w:val="24"/>
                <w:szCs w:val="24"/>
              </w:rPr>
              <w:t>Frequency</w:t>
            </w:r>
          </w:p>
        </w:tc>
        <w:tc>
          <w:tcPr>
            <w:tcW w:w="3192" w:type="dxa"/>
            <w:tcBorders>
              <w:top w:val="single" w:sz="4" w:space="0" w:color="auto"/>
              <w:left w:val="nil"/>
              <w:bottom w:val="single" w:sz="4" w:space="0" w:color="auto"/>
              <w:right w:val="nil"/>
            </w:tcBorders>
            <w:hideMark/>
          </w:tcPr>
          <w:p w:rsidR="00C145D2" w:rsidRPr="00C145D2" w:rsidRDefault="00C145D2" w:rsidP="00C145D2">
            <w:pPr>
              <w:spacing w:after="0" w:line="360" w:lineRule="auto"/>
              <w:jc w:val="center"/>
              <w:rPr>
                <w:rFonts w:ascii="Times New Roman" w:hAnsi="Times New Roman"/>
                <w:b/>
                <w:sz w:val="24"/>
                <w:szCs w:val="24"/>
              </w:rPr>
            </w:pPr>
            <w:r w:rsidRPr="00C145D2">
              <w:rPr>
                <w:rFonts w:ascii="Times New Roman" w:hAnsi="Times New Roman"/>
                <w:b/>
                <w:sz w:val="24"/>
                <w:szCs w:val="24"/>
              </w:rPr>
              <w:t>Percentages (%)</w:t>
            </w:r>
          </w:p>
        </w:tc>
      </w:tr>
      <w:tr w:rsidR="00C145D2" w:rsidRPr="00C145D2" w:rsidTr="0094006F">
        <w:tc>
          <w:tcPr>
            <w:tcW w:w="3192" w:type="dxa"/>
            <w:tcBorders>
              <w:top w:val="single" w:sz="4" w:space="0" w:color="auto"/>
              <w:left w:val="nil"/>
              <w:bottom w:val="nil"/>
              <w:right w:val="nil"/>
            </w:tcBorders>
            <w:hideMark/>
          </w:tcPr>
          <w:p w:rsidR="00C145D2" w:rsidRPr="00C145D2" w:rsidRDefault="00C145D2" w:rsidP="00C145D2">
            <w:pPr>
              <w:spacing w:after="0" w:line="360" w:lineRule="auto"/>
              <w:jc w:val="both"/>
              <w:rPr>
                <w:rFonts w:ascii="Times New Roman" w:hAnsi="Times New Roman"/>
                <w:sz w:val="24"/>
                <w:szCs w:val="24"/>
              </w:rPr>
            </w:pPr>
            <w:r w:rsidRPr="00C145D2">
              <w:rPr>
                <w:rFonts w:ascii="Times New Roman" w:hAnsi="Times New Roman"/>
                <w:sz w:val="24"/>
                <w:szCs w:val="24"/>
              </w:rPr>
              <w:t>No education</w:t>
            </w:r>
          </w:p>
        </w:tc>
        <w:tc>
          <w:tcPr>
            <w:tcW w:w="3192" w:type="dxa"/>
            <w:tcBorders>
              <w:top w:val="single" w:sz="4" w:space="0" w:color="auto"/>
              <w:left w:val="nil"/>
              <w:bottom w:val="nil"/>
              <w:right w:val="nil"/>
            </w:tcBorders>
            <w:hideMark/>
          </w:tcPr>
          <w:p w:rsidR="00C145D2" w:rsidRPr="00C145D2" w:rsidRDefault="00C145D2" w:rsidP="00C145D2">
            <w:pPr>
              <w:spacing w:after="0" w:line="360" w:lineRule="auto"/>
              <w:jc w:val="center"/>
              <w:rPr>
                <w:rFonts w:ascii="Times New Roman" w:hAnsi="Times New Roman"/>
                <w:sz w:val="24"/>
                <w:szCs w:val="24"/>
              </w:rPr>
            </w:pPr>
            <w:r w:rsidRPr="00C145D2">
              <w:rPr>
                <w:rFonts w:ascii="Times New Roman" w:hAnsi="Times New Roman"/>
                <w:sz w:val="24"/>
                <w:szCs w:val="24"/>
              </w:rPr>
              <w:t>15</w:t>
            </w:r>
          </w:p>
        </w:tc>
        <w:tc>
          <w:tcPr>
            <w:tcW w:w="3192" w:type="dxa"/>
            <w:tcBorders>
              <w:top w:val="single" w:sz="4" w:space="0" w:color="auto"/>
              <w:left w:val="nil"/>
              <w:bottom w:val="nil"/>
              <w:right w:val="nil"/>
            </w:tcBorders>
            <w:hideMark/>
          </w:tcPr>
          <w:p w:rsidR="00C145D2" w:rsidRPr="00C145D2" w:rsidRDefault="00C145D2" w:rsidP="00C145D2">
            <w:pPr>
              <w:spacing w:after="0" w:line="360" w:lineRule="auto"/>
              <w:jc w:val="center"/>
              <w:rPr>
                <w:rFonts w:ascii="Times New Roman" w:hAnsi="Times New Roman"/>
                <w:sz w:val="24"/>
                <w:szCs w:val="24"/>
              </w:rPr>
            </w:pPr>
            <w:r w:rsidRPr="00C145D2">
              <w:rPr>
                <w:rFonts w:ascii="Times New Roman" w:hAnsi="Times New Roman"/>
                <w:sz w:val="24"/>
                <w:szCs w:val="24"/>
              </w:rPr>
              <w:t>11.5</w:t>
            </w:r>
          </w:p>
        </w:tc>
      </w:tr>
      <w:tr w:rsidR="00C145D2" w:rsidRPr="00C145D2" w:rsidTr="0094006F">
        <w:tc>
          <w:tcPr>
            <w:tcW w:w="3192" w:type="dxa"/>
            <w:tcBorders>
              <w:top w:val="nil"/>
              <w:left w:val="nil"/>
              <w:bottom w:val="nil"/>
              <w:right w:val="nil"/>
            </w:tcBorders>
            <w:hideMark/>
          </w:tcPr>
          <w:p w:rsidR="00C145D2" w:rsidRPr="00C145D2" w:rsidRDefault="00C145D2" w:rsidP="00C145D2">
            <w:pPr>
              <w:spacing w:after="0" w:line="360" w:lineRule="auto"/>
              <w:jc w:val="both"/>
              <w:rPr>
                <w:rFonts w:ascii="Times New Roman" w:hAnsi="Times New Roman"/>
                <w:sz w:val="24"/>
                <w:szCs w:val="24"/>
              </w:rPr>
            </w:pPr>
            <w:r w:rsidRPr="00C145D2">
              <w:rPr>
                <w:rFonts w:ascii="Times New Roman" w:hAnsi="Times New Roman"/>
                <w:sz w:val="24"/>
                <w:szCs w:val="24"/>
              </w:rPr>
              <w:lastRenderedPageBreak/>
              <w:t>Primary education</w:t>
            </w:r>
          </w:p>
        </w:tc>
        <w:tc>
          <w:tcPr>
            <w:tcW w:w="3192" w:type="dxa"/>
            <w:tcBorders>
              <w:top w:val="nil"/>
              <w:left w:val="nil"/>
              <w:bottom w:val="nil"/>
              <w:right w:val="nil"/>
            </w:tcBorders>
            <w:hideMark/>
          </w:tcPr>
          <w:p w:rsidR="00C145D2" w:rsidRPr="00C145D2" w:rsidRDefault="00C145D2" w:rsidP="00C145D2">
            <w:pPr>
              <w:spacing w:after="0" w:line="360" w:lineRule="auto"/>
              <w:jc w:val="center"/>
              <w:rPr>
                <w:rFonts w:ascii="Times New Roman" w:hAnsi="Times New Roman"/>
                <w:sz w:val="24"/>
                <w:szCs w:val="24"/>
              </w:rPr>
            </w:pPr>
            <w:r w:rsidRPr="00C145D2">
              <w:rPr>
                <w:rFonts w:ascii="Times New Roman" w:hAnsi="Times New Roman"/>
                <w:sz w:val="24"/>
                <w:szCs w:val="24"/>
              </w:rPr>
              <w:t>10</w:t>
            </w:r>
          </w:p>
        </w:tc>
        <w:tc>
          <w:tcPr>
            <w:tcW w:w="3192" w:type="dxa"/>
            <w:tcBorders>
              <w:top w:val="nil"/>
              <w:left w:val="nil"/>
              <w:bottom w:val="nil"/>
              <w:right w:val="nil"/>
            </w:tcBorders>
            <w:hideMark/>
          </w:tcPr>
          <w:p w:rsidR="00C145D2" w:rsidRPr="00C145D2" w:rsidRDefault="00C145D2" w:rsidP="00C145D2">
            <w:pPr>
              <w:spacing w:after="0" w:line="360" w:lineRule="auto"/>
              <w:jc w:val="center"/>
              <w:rPr>
                <w:rFonts w:ascii="Times New Roman" w:hAnsi="Times New Roman"/>
                <w:sz w:val="24"/>
                <w:szCs w:val="24"/>
              </w:rPr>
            </w:pPr>
            <w:r w:rsidRPr="00C145D2">
              <w:rPr>
                <w:rFonts w:ascii="Times New Roman" w:hAnsi="Times New Roman"/>
                <w:sz w:val="24"/>
                <w:szCs w:val="24"/>
              </w:rPr>
              <w:t>7.6</w:t>
            </w:r>
          </w:p>
        </w:tc>
      </w:tr>
      <w:tr w:rsidR="00C145D2" w:rsidRPr="00C145D2" w:rsidTr="0094006F">
        <w:tc>
          <w:tcPr>
            <w:tcW w:w="3192" w:type="dxa"/>
            <w:tcBorders>
              <w:top w:val="nil"/>
              <w:left w:val="nil"/>
              <w:bottom w:val="nil"/>
              <w:right w:val="nil"/>
            </w:tcBorders>
            <w:hideMark/>
          </w:tcPr>
          <w:p w:rsidR="00C145D2" w:rsidRPr="00C145D2" w:rsidRDefault="00C145D2" w:rsidP="00C145D2">
            <w:pPr>
              <w:spacing w:after="0" w:line="360" w:lineRule="auto"/>
              <w:jc w:val="both"/>
              <w:rPr>
                <w:rFonts w:ascii="Times New Roman" w:hAnsi="Times New Roman"/>
                <w:sz w:val="24"/>
                <w:szCs w:val="24"/>
              </w:rPr>
            </w:pPr>
            <w:r w:rsidRPr="00C145D2">
              <w:rPr>
                <w:rFonts w:ascii="Times New Roman" w:hAnsi="Times New Roman"/>
                <w:sz w:val="24"/>
                <w:szCs w:val="24"/>
              </w:rPr>
              <w:t>Secondary</w:t>
            </w:r>
          </w:p>
        </w:tc>
        <w:tc>
          <w:tcPr>
            <w:tcW w:w="3192" w:type="dxa"/>
            <w:tcBorders>
              <w:top w:val="nil"/>
              <w:left w:val="nil"/>
              <w:bottom w:val="nil"/>
              <w:right w:val="nil"/>
            </w:tcBorders>
            <w:hideMark/>
          </w:tcPr>
          <w:p w:rsidR="00C145D2" w:rsidRPr="00C145D2" w:rsidRDefault="00C145D2" w:rsidP="00C145D2">
            <w:pPr>
              <w:spacing w:after="0" w:line="360" w:lineRule="auto"/>
              <w:jc w:val="center"/>
              <w:rPr>
                <w:rFonts w:ascii="Times New Roman" w:hAnsi="Times New Roman"/>
                <w:sz w:val="24"/>
                <w:szCs w:val="24"/>
              </w:rPr>
            </w:pPr>
            <w:r w:rsidRPr="00C145D2">
              <w:rPr>
                <w:rFonts w:ascii="Times New Roman" w:hAnsi="Times New Roman"/>
                <w:sz w:val="24"/>
                <w:szCs w:val="24"/>
              </w:rPr>
              <w:t>35</w:t>
            </w:r>
          </w:p>
        </w:tc>
        <w:tc>
          <w:tcPr>
            <w:tcW w:w="3192" w:type="dxa"/>
            <w:tcBorders>
              <w:top w:val="nil"/>
              <w:left w:val="nil"/>
              <w:bottom w:val="nil"/>
              <w:right w:val="nil"/>
            </w:tcBorders>
            <w:hideMark/>
          </w:tcPr>
          <w:p w:rsidR="00C145D2" w:rsidRPr="00C145D2" w:rsidRDefault="00C145D2" w:rsidP="00C145D2">
            <w:pPr>
              <w:spacing w:after="0" w:line="360" w:lineRule="auto"/>
              <w:jc w:val="center"/>
              <w:rPr>
                <w:rFonts w:ascii="Times New Roman" w:hAnsi="Times New Roman"/>
                <w:sz w:val="24"/>
                <w:szCs w:val="24"/>
              </w:rPr>
            </w:pPr>
            <w:r w:rsidRPr="00C145D2">
              <w:rPr>
                <w:rFonts w:ascii="Times New Roman" w:hAnsi="Times New Roman"/>
                <w:sz w:val="24"/>
                <w:szCs w:val="24"/>
              </w:rPr>
              <w:t>26.7</w:t>
            </w:r>
          </w:p>
        </w:tc>
      </w:tr>
      <w:tr w:rsidR="00C145D2" w:rsidRPr="00C145D2" w:rsidTr="0094006F">
        <w:tc>
          <w:tcPr>
            <w:tcW w:w="3192" w:type="dxa"/>
            <w:tcBorders>
              <w:top w:val="nil"/>
              <w:left w:val="nil"/>
              <w:bottom w:val="nil"/>
              <w:right w:val="nil"/>
            </w:tcBorders>
            <w:hideMark/>
          </w:tcPr>
          <w:p w:rsidR="00C145D2" w:rsidRPr="00C145D2" w:rsidRDefault="00C145D2" w:rsidP="00C145D2">
            <w:pPr>
              <w:spacing w:after="0" w:line="360" w:lineRule="auto"/>
              <w:jc w:val="both"/>
              <w:rPr>
                <w:rFonts w:ascii="Times New Roman" w:hAnsi="Times New Roman"/>
                <w:sz w:val="24"/>
                <w:szCs w:val="24"/>
              </w:rPr>
            </w:pPr>
            <w:r w:rsidRPr="00C145D2">
              <w:rPr>
                <w:rFonts w:ascii="Times New Roman" w:hAnsi="Times New Roman"/>
                <w:sz w:val="24"/>
                <w:szCs w:val="24"/>
              </w:rPr>
              <w:t>Vocational</w:t>
            </w:r>
          </w:p>
        </w:tc>
        <w:tc>
          <w:tcPr>
            <w:tcW w:w="3192" w:type="dxa"/>
            <w:tcBorders>
              <w:top w:val="nil"/>
              <w:left w:val="nil"/>
              <w:bottom w:val="nil"/>
              <w:right w:val="nil"/>
            </w:tcBorders>
            <w:hideMark/>
          </w:tcPr>
          <w:p w:rsidR="00C145D2" w:rsidRPr="00C145D2" w:rsidRDefault="00C145D2" w:rsidP="00C145D2">
            <w:pPr>
              <w:spacing w:after="0" w:line="360" w:lineRule="auto"/>
              <w:jc w:val="center"/>
              <w:rPr>
                <w:rFonts w:ascii="Times New Roman" w:hAnsi="Times New Roman"/>
                <w:sz w:val="24"/>
                <w:szCs w:val="24"/>
              </w:rPr>
            </w:pPr>
            <w:r w:rsidRPr="00C145D2">
              <w:rPr>
                <w:rFonts w:ascii="Times New Roman" w:hAnsi="Times New Roman"/>
                <w:sz w:val="24"/>
                <w:szCs w:val="24"/>
              </w:rPr>
              <w:t>40</w:t>
            </w:r>
          </w:p>
        </w:tc>
        <w:tc>
          <w:tcPr>
            <w:tcW w:w="3192" w:type="dxa"/>
            <w:tcBorders>
              <w:top w:val="nil"/>
              <w:left w:val="nil"/>
              <w:bottom w:val="nil"/>
              <w:right w:val="nil"/>
            </w:tcBorders>
            <w:hideMark/>
          </w:tcPr>
          <w:p w:rsidR="00C145D2" w:rsidRPr="00C145D2" w:rsidRDefault="00C145D2" w:rsidP="00C145D2">
            <w:pPr>
              <w:spacing w:after="0" w:line="360" w:lineRule="auto"/>
              <w:jc w:val="center"/>
              <w:rPr>
                <w:rFonts w:ascii="Times New Roman" w:hAnsi="Times New Roman"/>
                <w:sz w:val="24"/>
                <w:szCs w:val="24"/>
              </w:rPr>
            </w:pPr>
            <w:r w:rsidRPr="00C145D2">
              <w:rPr>
                <w:rFonts w:ascii="Times New Roman" w:hAnsi="Times New Roman"/>
                <w:sz w:val="24"/>
                <w:szCs w:val="24"/>
              </w:rPr>
              <w:t>30.5</w:t>
            </w:r>
          </w:p>
        </w:tc>
      </w:tr>
      <w:tr w:rsidR="00C145D2" w:rsidRPr="00C145D2" w:rsidTr="0094006F">
        <w:tc>
          <w:tcPr>
            <w:tcW w:w="3192" w:type="dxa"/>
            <w:tcBorders>
              <w:top w:val="nil"/>
              <w:left w:val="nil"/>
              <w:bottom w:val="nil"/>
              <w:right w:val="nil"/>
            </w:tcBorders>
            <w:hideMark/>
          </w:tcPr>
          <w:p w:rsidR="00C145D2" w:rsidRPr="00C145D2" w:rsidRDefault="00C145D2" w:rsidP="00C145D2">
            <w:pPr>
              <w:spacing w:after="0" w:line="360" w:lineRule="auto"/>
              <w:jc w:val="both"/>
              <w:rPr>
                <w:rFonts w:ascii="Times New Roman" w:hAnsi="Times New Roman"/>
                <w:sz w:val="24"/>
                <w:szCs w:val="24"/>
              </w:rPr>
            </w:pPr>
            <w:r w:rsidRPr="00C145D2">
              <w:rPr>
                <w:rFonts w:ascii="Times New Roman" w:hAnsi="Times New Roman"/>
                <w:sz w:val="24"/>
                <w:szCs w:val="24"/>
              </w:rPr>
              <w:t>Tertiary</w:t>
            </w:r>
          </w:p>
        </w:tc>
        <w:tc>
          <w:tcPr>
            <w:tcW w:w="3192" w:type="dxa"/>
            <w:tcBorders>
              <w:top w:val="nil"/>
              <w:left w:val="nil"/>
              <w:bottom w:val="nil"/>
              <w:right w:val="nil"/>
            </w:tcBorders>
            <w:hideMark/>
          </w:tcPr>
          <w:p w:rsidR="00C145D2" w:rsidRPr="00C145D2" w:rsidRDefault="00C145D2" w:rsidP="00C145D2">
            <w:pPr>
              <w:spacing w:after="0" w:line="360" w:lineRule="auto"/>
              <w:jc w:val="center"/>
              <w:rPr>
                <w:rFonts w:ascii="Times New Roman" w:hAnsi="Times New Roman"/>
                <w:sz w:val="24"/>
                <w:szCs w:val="24"/>
              </w:rPr>
            </w:pPr>
            <w:r w:rsidRPr="00C145D2">
              <w:rPr>
                <w:rFonts w:ascii="Times New Roman" w:hAnsi="Times New Roman"/>
                <w:sz w:val="24"/>
                <w:szCs w:val="24"/>
              </w:rPr>
              <w:t>31</w:t>
            </w:r>
          </w:p>
        </w:tc>
        <w:tc>
          <w:tcPr>
            <w:tcW w:w="3192" w:type="dxa"/>
            <w:tcBorders>
              <w:top w:val="nil"/>
              <w:left w:val="nil"/>
              <w:bottom w:val="nil"/>
              <w:right w:val="nil"/>
            </w:tcBorders>
            <w:hideMark/>
          </w:tcPr>
          <w:p w:rsidR="00C145D2" w:rsidRPr="00C145D2" w:rsidRDefault="00C145D2" w:rsidP="00C145D2">
            <w:pPr>
              <w:spacing w:after="0" w:line="360" w:lineRule="auto"/>
              <w:jc w:val="center"/>
              <w:rPr>
                <w:rFonts w:ascii="Times New Roman" w:hAnsi="Times New Roman"/>
                <w:sz w:val="24"/>
                <w:szCs w:val="24"/>
              </w:rPr>
            </w:pPr>
            <w:r w:rsidRPr="00C145D2">
              <w:rPr>
                <w:rFonts w:ascii="Times New Roman" w:hAnsi="Times New Roman"/>
                <w:sz w:val="24"/>
                <w:szCs w:val="24"/>
              </w:rPr>
              <w:t>23.6</w:t>
            </w:r>
          </w:p>
        </w:tc>
      </w:tr>
      <w:tr w:rsidR="00C145D2" w:rsidRPr="00C145D2" w:rsidTr="0094006F">
        <w:tc>
          <w:tcPr>
            <w:tcW w:w="3192" w:type="dxa"/>
            <w:tcBorders>
              <w:top w:val="nil"/>
              <w:left w:val="nil"/>
              <w:bottom w:val="single" w:sz="4" w:space="0" w:color="auto"/>
              <w:right w:val="nil"/>
            </w:tcBorders>
            <w:hideMark/>
          </w:tcPr>
          <w:p w:rsidR="00C145D2" w:rsidRPr="00C145D2" w:rsidRDefault="00C145D2" w:rsidP="00C145D2">
            <w:pPr>
              <w:spacing w:after="0" w:line="360" w:lineRule="auto"/>
              <w:jc w:val="both"/>
              <w:rPr>
                <w:rFonts w:ascii="Times New Roman" w:hAnsi="Times New Roman"/>
                <w:sz w:val="24"/>
                <w:szCs w:val="24"/>
              </w:rPr>
            </w:pPr>
            <w:r w:rsidRPr="00C145D2">
              <w:rPr>
                <w:rFonts w:ascii="Times New Roman" w:hAnsi="Times New Roman"/>
                <w:sz w:val="24"/>
                <w:szCs w:val="24"/>
              </w:rPr>
              <w:t>Total</w:t>
            </w:r>
          </w:p>
        </w:tc>
        <w:tc>
          <w:tcPr>
            <w:tcW w:w="3192" w:type="dxa"/>
            <w:tcBorders>
              <w:top w:val="nil"/>
              <w:left w:val="nil"/>
              <w:bottom w:val="single" w:sz="4" w:space="0" w:color="auto"/>
              <w:right w:val="nil"/>
            </w:tcBorders>
            <w:hideMark/>
          </w:tcPr>
          <w:p w:rsidR="00C145D2" w:rsidRPr="00C145D2" w:rsidRDefault="00C145D2" w:rsidP="00C145D2">
            <w:pPr>
              <w:spacing w:after="0" w:line="360" w:lineRule="auto"/>
              <w:jc w:val="center"/>
              <w:rPr>
                <w:rFonts w:ascii="Times New Roman" w:hAnsi="Times New Roman"/>
                <w:sz w:val="24"/>
                <w:szCs w:val="24"/>
              </w:rPr>
            </w:pPr>
            <w:r w:rsidRPr="00C145D2">
              <w:rPr>
                <w:rFonts w:ascii="Times New Roman" w:hAnsi="Times New Roman"/>
                <w:sz w:val="24"/>
                <w:szCs w:val="24"/>
              </w:rPr>
              <w:t>131</w:t>
            </w:r>
          </w:p>
        </w:tc>
        <w:tc>
          <w:tcPr>
            <w:tcW w:w="3192" w:type="dxa"/>
            <w:tcBorders>
              <w:top w:val="nil"/>
              <w:left w:val="nil"/>
              <w:bottom w:val="single" w:sz="4" w:space="0" w:color="auto"/>
              <w:right w:val="nil"/>
            </w:tcBorders>
            <w:hideMark/>
          </w:tcPr>
          <w:p w:rsidR="00C145D2" w:rsidRPr="00C145D2" w:rsidRDefault="00C145D2" w:rsidP="00C145D2">
            <w:pPr>
              <w:spacing w:after="0" w:line="360" w:lineRule="auto"/>
              <w:jc w:val="center"/>
              <w:rPr>
                <w:rFonts w:ascii="Times New Roman" w:hAnsi="Times New Roman"/>
                <w:sz w:val="24"/>
                <w:szCs w:val="24"/>
              </w:rPr>
            </w:pPr>
            <w:r w:rsidRPr="00C145D2">
              <w:rPr>
                <w:rFonts w:ascii="Times New Roman" w:hAnsi="Times New Roman"/>
                <w:sz w:val="24"/>
                <w:szCs w:val="24"/>
              </w:rPr>
              <w:t>100</w:t>
            </w:r>
          </w:p>
        </w:tc>
      </w:tr>
    </w:tbl>
    <w:p w:rsidR="00C145D2" w:rsidRPr="00C145D2" w:rsidRDefault="00C145D2" w:rsidP="00C145D2">
      <w:pPr>
        <w:spacing w:after="0" w:line="360" w:lineRule="auto"/>
        <w:jc w:val="center"/>
        <w:rPr>
          <w:rFonts w:ascii="Times New Roman" w:hAnsi="Times New Roman"/>
          <w:sz w:val="24"/>
          <w:szCs w:val="24"/>
        </w:rPr>
      </w:pPr>
      <w:r w:rsidRPr="00C145D2">
        <w:rPr>
          <w:rFonts w:ascii="Times New Roman" w:hAnsi="Times New Roman"/>
          <w:sz w:val="24"/>
          <w:szCs w:val="24"/>
        </w:rPr>
        <w:t>Researchers’ fieldwork 2025</w:t>
      </w:r>
    </w:p>
    <w:p w:rsidR="00C145D2" w:rsidRPr="00C145D2" w:rsidRDefault="00C145D2" w:rsidP="00C145D2">
      <w:pPr>
        <w:spacing w:after="0" w:line="360" w:lineRule="auto"/>
        <w:jc w:val="both"/>
        <w:rPr>
          <w:rFonts w:ascii="Times New Roman" w:hAnsi="Times New Roman"/>
          <w:sz w:val="24"/>
          <w:szCs w:val="24"/>
        </w:rPr>
      </w:pPr>
    </w:p>
    <w:p w:rsidR="00C145D2" w:rsidRPr="00C145D2" w:rsidRDefault="00C145D2" w:rsidP="00C145D2">
      <w:pPr>
        <w:pStyle w:val="NormalWeb"/>
        <w:spacing w:beforeAutospacing="0" w:afterAutospacing="0" w:line="360" w:lineRule="auto"/>
        <w:jc w:val="both"/>
        <w:rPr>
          <w:rFonts w:ascii="Times New Roman" w:hAnsi="Times New Roman"/>
        </w:rPr>
      </w:pPr>
      <w:r w:rsidRPr="00C145D2">
        <w:rPr>
          <w:rFonts w:ascii="Times New Roman" w:hAnsi="Times New Roman"/>
        </w:rPr>
        <w:t>The table shows that a significant proportion of residents possess at least secondary or vocational education, with a notable number having attained tertiary qualifications. This reflects a relatively informed and skilled population base.</w:t>
      </w:r>
    </w:p>
    <w:p w:rsidR="00C145D2" w:rsidRPr="00C145D2" w:rsidRDefault="00C145D2" w:rsidP="00C145D2">
      <w:pPr>
        <w:pStyle w:val="NormalWeb"/>
        <w:spacing w:beforeAutospacing="0" w:afterAutospacing="0" w:line="360" w:lineRule="auto"/>
        <w:jc w:val="both"/>
        <w:rPr>
          <w:rFonts w:ascii="Times New Roman" w:hAnsi="Times New Roman"/>
        </w:rPr>
      </w:pPr>
      <w:r w:rsidRPr="00C145D2">
        <w:rPr>
          <w:rFonts w:ascii="Times New Roman" w:hAnsi="Times New Roman"/>
        </w:rPr>
        <w:t>Similarly, the employment profile of residents highlights their economic engagement across multiple sectors.</w:t>
      </w:r>
    </w:p>
    <w:p w:rsidR="00C145D2" w:rsidRPr="00C145D2" w:rsidRDefault="00C145D2" w:rsidP="00C145D2">
      <w:pPr>
        <w:pStyle w:val="Heading3"/>
        <w:spacing w:before="0" w:line="240" w:lineRule="auto"/>
        <w:jc w:val="center"/>
        <w:rPr>
          <w:rStyle w:val="Strong"/>
          <w:rFonts w:ascii="Times New Roman" w:hAnsi="Times New Roman" w:cs="Times New Roman"/>
          <w:bCs w:val="0"/>
          <w:color w:val="auto"/>
        </w:rPr>
      </w:pPr>
      <w:r w:rsidRPr="00C145D2">
        <w:rPr>
          <w:rStyle w:val="Strong"/>
          <w:rFonts w:ascii="Times New Roman" w:hAnsi="Times New Roman" w:cs="Times New Roman"/>
          <w:bCs w:val="0"/>
          <w:color w:val="auto"/>
        </w:rPr>
        <w:t>Table 7: Employment Status of Residents</w:t>
      </w:r>
    </w:p>
    <w:tbl>
      <w:tblPr>
        <w:tblW w:w="0" w:type="auto"/>
        <w:tblBorders>
          <w:bottom w:val="single" w:sz="4" w:space="0" w:color="auto"/>
        </w:tblBorders>
        <w:tblLook w:val="04A0" w:firstRow="1" w:lastRow="0" w:firstColumn="1" w:lastColumn="0" w:noHBand="0" w:noVBand="1"/>
      </w:tblPr>
      <w:tblGrid>
        <w:gridCol w:w="3140"/>
        <w:gridCol w:w="3107"/>
        <w:gridCol w:w="3113"/>
      </w:tblGrid>
      <w:tr w:rsidR="00C145D2" w:rsidRPr="00C145D2" w:rsidTr="0094006F">
        <w:tc>
          <w:tcPr>
            <w:tcW w:w="3192" w:type="dxa"/>
            <w:tcBorders>
              <w:top w:val="single" w:sz="4" w:space="0" w:color="auto"/>
              <w:left w:val="nil"/>
              <w:bottom w:val="single" w:sz="4" w:space="0" w:color="auto"/>
              <w:right w:val="nil"/>
            </w:tcBorders>
            <w:hideMark/>
          </w:tcPr>
          <w:p w:rsidR="00C145D2" w:rsidRPr="00C145D2" w:rsidRDefault="00C145D2" w:rsidP="00C145D2">
            <w:pPr>
              <w:spacing w:after="0" w:line="240" w:lineRule="auto"/>
              <w:jc w:val="both"/>
              <w:rPr>
                <w:rFonts w:ascii="Times New Roman" w:hAnsi="Times New Roman"/>
                <w:b/>
                <w:sz w:val="24"/>
                <w:szCs w:val="24"/>
              </w:rPr>
            </w:pPr>
            <w:r w:rsidRPr="00C145D2">
              <w:rPr>
                <w:rFonts w:ascii="Times New Roman" w:hAnsi="Times New Roman"/>
                <w:b/>
                <w:sz w:val="24"/>
                <w:szCs w:val="24"/>
              </w:rPr>
              <w:t>Employment Status</w:t>
            </w:r>
          </w:p>
        </w:tc>
        <w:tc>
          <w:tcPr>
            <w:tcW w:w="3192" w:type="dxa"/>
            <w:tcBorders>
              <w:top w:val="single" w:sz="4" w:space="0" w:color="auto"/>
              <w:left w:val="nil"/>
              <w:bottom w:val="single" w:sz="4" w:space="0" w:color="auto"/>
              <w:right w:val="nil"/>
            </w:tcBorders>
            <w:hideMark/>
          </w:tcPr>
          <w:p w:rsidR="00C145D2" w:rsidRPr="00C145D2" w:rsidRDefault="00C145D2" w:rsidP="00C145D2">
            <w:pPr>
              <w:spacing w:after="0" w:line="240" w:lineRule="auto"/>
              <w:jc w:val="both"/>
              <w:rPr>
                <w:rFonts w:ascii="Times New Roman" w:hAnsi="Times New Roman"/>
                <w:b/>
                <w:sz w:val="24"/>
                <w:szCs w:val="24"/>
              </w:rPr>
            </w:pPr>
            <w:r w:rsidRPr="00C145D2">
              <w:rPr>
                <w:rFonts w:ascii="Times New Roman" w:hAnsi="Times New Roman"/>
                <w:b/>
                <w:sz w:val="24"/>
                <w:szCs w:val="24"/>
              </w:rPr>
              <w:t>Frequency</w:t>
            </w:r>
          </w:p>
        </w:tc>
        <w:tc>
          <w:tcPr>
            <w:tcW w:w="3192" w:type="dxa"/>
            <w:tcBorders>
              <w:top w:val="single" w:sz="4" w:space="0" w:color="auto"/>
              <w:left w:val="nil"/>
              <w:bottom w:val="single" w:sz="4" w:space="0" w:color="auto"/>
              <w:right w:val="nil"/>
            </w:tcBorders>
            <w:hideMark/>
          </w:tcPr>
          <w:p w:rsidR="00C145D2" w:rsidRPr="00C145D2" w:rsidRDefault="00C145D2" w:rsidP="00C145D2">
            <w:pPr>
              <w:spacing w:after="0" w:line="240" w:lineRule="auto"/>
              <w:jc w:val="both"/>
              <w:rPr>
                <w:rFonts w:ascii="Times New Roman" w:hAnsi="Times New Roman"/>
                <w:b/>
                <w:sz w:val="24"/>
                <w:szCs w:val="24"/>
              </w:rPr>
            </w:pPr>
            <w:r w:rsidRPr="00C145D2">
              <w:rPr>
                <w:rFonts w:ascii="Times New Roman" w:hAnsi="Times New Roman"/>
                <w:b/>
                <w:sz w:val="24"/>
                <w:szCs w:val="24"/>
              </w:rPr>
              <w:t>Percentages (%)</w:t>
            </w:r>
          </w:p>
        </w:tc>
      </w:tr>
      <w:tr w:rsidR="00C145D2" w:rsidRPr="00C145D2" w:rsidTr="0094006F">
        <w:tc>
          <w:tcPr>
            <w:tcW w:w="3192" w:type="dxa"/>
            <w:tcBorders>
              <w:top w:val="single" w:sz="4" w:space="0" w:color="auto"/>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Public Servants</w:t>
            </w:r>
          </w:p>
        </w:tc>
        <w:tc>
          <w:tcPr>
            <w:tcW w:w="3192" w:type="dxa"/>
            <w:tcBorders>
              <w:top w:val="single" w:sz="4" w:space="0" w:color="auto"/>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53</w:t>
            </w:r>
          </w:p>
        </w:tc>
        <w:tc>
          <w:tcPr>
            <w:tcW w:w="3192" w:type="dxa"/>
            <w:tcBorders>
              <w:top w:val="single" w:sz="4" w:space="0" w:color="auto"/>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40.5</w:t>
            </w:r>
          </w:p>
        </w:tc>
      </w:tr>
      <w:tr w:rsidR="00C145D2" w:rsidRPr="00C145D2" w:rsidTr="0094006F">
        <w:tc>
          <w:tcPr>
            <w:tcW w:w="3192"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Employed by Private Firm</w:t>
            </w:r>
          </w:p>
        </w:tc>
        <w:tc>
          <w:tcPr>
            <w:tcW w:w="3192"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20</w:t>
            </w:r>
          </w:p>
        </w:tc>
        <w:tc>
          <w:tcPr>
            <w:tcW w:w="3192"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23.6</w:t>
            </w:r>
          </w:p>
        </w:tc>
      </w:tr>
      <w:tr w:rsidR="00C145D2" w:rsidRPr="00C145D2" w:rsidTr="0094006F">
        <w:tc>
          <w:tcPr>
            <w:tcW w:w="3192"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Artisan/Handicraft</w:t>
            </w:r>
          </w:p>
        </w:tc>
        <w:tc>
          <w:tcPr>
            <w:tcW w:w="3192"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15</w:t>
            </w:r>
          </w:p>
        </w:tc>
        <w:tc>
          <w:tcPr>
            <w:tcW w:w="3192"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11.5</w:t>
            </w:r>
          </w:p>
        </w:tc>
      </w:tr>
      <w:tr w:rsidR="00C145D2" w:rsidRPr="00C145D2" w:rsidTr="0094006F">
        <w:tc>
          <w:tcPr>
            <w:tcW w:w="3192"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Local Manufacturing</w:t>
            </w:r>
          </w:p>
        </w:tc>
        <w:tc>
          <w:tcPr>
            <w:tcW w:w="3192"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10</w:t>
            </w:r>
          </w:p>
        </w:tc>
        <w:tc>
          <w:tcPr>
            <w:tcW w:w="3192"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7.6</w:t>
            </w:r>
          </w:p>
        </w:tc>
      </w:tr>
      <w:tr w:rsidR="00C145D2" w:rsidRPr="00C145D2" w:rsidTr="0094006F">
        <w:tc>
          <w:tcPr>
            <w:tcW w:w="3192"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Trading</w:t>
            </w:r>
          </w:p>
        </w:tc>
        <w:tc>
          <w:tcPr>
            <w:tcW w:w="3192"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31</w:t>
            </w:r>
          </w:p>
        </w:tc>
        <w:tc>
          <w:tcPr>
            <w:tcW w:w="3192"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23.6</w:t>
            </w:r>
          </w:p>
        </w:tc>
      </w:tr>
      <w:tr w:rsidR="00C145D2" w:rsidRPr="00C145D2" w:rsidTr="0094006F">
        <w:tc>
          <w:tcPr>
            <w:tcW w:w="3192" w:type="dxa"/>
            <w:tcBorders>
              <w:top w:val="nil"/>
              <w:left w:val="nil"/>
              <w:bottom w:val="single" w:sz="4" w:space="0" w:color="auto"/>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Total</w:t>
            </w:r>
          </w:p>
        </w:tc>
        <w:tc>
          <w:tcPr>
            <w:tcW w:w="3192" w:type="dxa"/>
            <w:tcBorders>
              <w:top w:val="nil"/>
              <w:left w:val="nil"/>
              <w:bottom w:val="single" w:sz="4" w:space="0" w:color="auto"/>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131</w:t>
            </w:r>
          </w:p>
        </w:tc>
        <w:tc>
          <w:tcPr>
            <w:tcW w:w="3192" w:type="dxa"/>
            <w:tcBorders>
              <w:top w:val="nil"/>
              <w:left w:val="nil"/>
              <w:bottom w:val="single" w:sz="4" w:space="0" w:color="auto"/>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100</w:t>
            </w:r>
          </w:p>
        </w:tc>
      </w:tr>
    </w:tbl>
    <w:p w:rsidR="00C145D2" w:rsidRPr="00C145D2" w:rsidRDefault="00C145D2" w:rsidP="00C145D2">
      <w:pPr>
        <w:spacing w:after="0" w:line="360" w:lineRule="auto"/>
        <w:jc w:val="center"/>
        <w:rPr>
          <w:rFonts w:ascii="Times New Roman" w:hAnsi="Times New Roman"/>
          <w:sz w:val="24"/>
          <w:szCs w:val="24"/>
        </w:rPr>
      </w:pPr>
      <w:r w:rsidRPr="00C145D2">
        <w:rPr>
          <w:rFonts w:ascii="Times New Roman" w:hAnsi="Times New Roman"/>
          <w:sz w:val="24"/>
          <w:szCs w:val="24"/>
        </w:rPr>
        <w:t>Researchers’ fieldwork 2025</w:t>
      </w:r>
    </w:p>
    <w:p w:rsidR="00C145D2" w:rsidRPr="00C145D2" w:rsidRDefault="00C145D2" w:rsidP="00C145D2">
      <w:pPr>
        <w:pStyle w:val="Heading3"/>
        <w:spacing w:before="0" w:line="360" w:lineRule="auto"/>
        <w:jc w:val="both"/>
        <w:rPr>
          <w:rFonts w:ascii="Times New Roman" w:hAnsi="Times New Roman" w:cs="Times New Roman"/>
          <w:sz w:val="2"/>
        </w:rPr>
      </w:pPr>
    </w:p>
    <w:p w:rsidR="00C145D2" w:rsidRPr="00C145D2" w:rsidRDefault="00C145D2" w:rsidP="00C145D2">
      <w:pPr>
        <w:pStyle w:val="NormalWeb"/>
        <w:spacing w:beforeAutospacing="0" w:afterAutospacing="0" w:line="360" w:lineRule="auto"/>
        <w:jc w:val="both"/>
        <w:rPr>
          <w:rFonts w:ascii="Times New Roman" w:hAnsi="Times New Roman"/>
        </w:rPr>
      </w:pPr>
      <w:r w:rsidRPr="00C145D2">
        <w:rPr>
          <w:rFonts w:ascii="Times New Roman" w:hAnsi="Times New Roman"/>
        </w:rPr>
        <w:t xml:space="preserve">The data indicate that residents are engaged in both formal and informal economic activities, including public service, private sector employment, trading, and artisanal work. This diversity underscores the economically active nature of the population within these </w:t>
      </w:r>
      <w:proofErr w:type="spellStart"/>
      <w:r w:rsidRPr="00C145D2">
        <w:rPr>
          <w:rFonts w:ascii="Times New Roman" w:hAnsi="Times New Roman"/>
        </w:rPr>
        <w:t>neighbourhoods</w:t>
      </w:r>
      <w:proofErr w:type="spellEnd"/>
      <w:r w:rsidRPr="00C145D2">
        <w:rPr>
          <w:rFonts w:ascii="Times New Roman" w:hAnsi="Times New Roman"/>
        </w:rPr>
        <w:t>.</w:t>
      </w:r>
    </w:p>
    <w:p w:rsidR="00C145D2" w:rsidRPr="00C145D2" w:rsidRDefault="00C145D2" w:rsidP="00C145D2">
      <w:pPr>
        <w:pStyle w:val="NormalWeb"/>
        <w:spacing w:beforeAutospacing="0" w:afterAutospacing="0" w:line="360" w:lineRule="auto"/>
        <w:jc w:val="both"/>
        <w:rPr>
          <w:rFonts w:ascii="Times New Roman" w:hAnsi="Times New Roman"/>
        </w:rPr>
      </w:pPr>
      <w:r w:rsidRPr="00C145D2">
        <w:rPr>
          <w:rFonts w:ascii="Times New Roman" w:hAnsi="Times New Roman"/>
        </w:rPr>
        <w:t>Despite the relative affordability of land and housing, the process of development in wetland areas is both technically and financially demanding. Site preparation requires significant investment, particularly due to land reclamation and specialized foundation systems suited to waterlogged terrain. In addition, limited accessibility to many sites increases logistical challenges and construction costs.</w:t>
      </w:r>
    </w:p>
    <w:p w:rsidR="00C145D2" w:rsidRPr="00C145D2" w:rsidRDefault="00C145D2" w:rsidP="00C145D2">
      <w:pPr>
        <w:pStyle w:val="NormalWeb"/>
        <w:spacing w:beforeAutospacing="0" w:afterAutospacing="0" w:line="360" w:lineRule="auto"/>
        <w:jc w:val="both"/>
        <w:rPr>
          <w:rFonts w:ascii="Times New Roman" w:hAnsi="Times New Roman"/>
        </w:rPr>
      </w:pPr>
      <w:r w:rsidRPr="00C145D2">
        <w:rPr>
          <w:rFonts w:ascii="Times New Roman" w:hAnsi="Times New Roman"/>
        </w:rPr>
        <w:t>These constraints contribute to extended construction timelines, as many developments are completed incrementally.</w:t>
      </w:r>
    </w:p>
    <w:p w:rsidR="00C145D2" w:rsidRPr="00C145D2" w:rsidRDefault="00C145D2" w:rsidP="00C145D2">
      <w:pPr>
        <w:pStyle w:val="Heading3"/>
        <w:spacing w:before="0" w:line="240" w:lineRule="auto"/>
        <w:jc w:val="center"/>
        <w:rPr>
          <w:rStyle w:val="Strong"/>
          <w:rFonts w:ascii="Times New Roman" w:hAnsi="Times New Roman" w:cs="Times New Roman"/>
          <w:bCs w:val="0"/>
          <w:color w:val="auto"/>
        </w:rPr>
      </w:pPr>
      <w:r w:rsidRPr="00C145D2">
        <w:rPr>
          <w:rStyle w:val="Strong"/>
          <w:rFonts w:ascii="Times New Roman" w:hAnsi="Times New Roman" w:cs="Times New Roman"/>
          <w:bCs w:val="0"/>
          <w:color w:val="auto"/>
        </w:rPr>
        <w:t>Table 8: Duration of Building Completion</w:t>
      </w:r>
    </w:p>
    <w:tbl>
      <w:tblPr>
        <w:tblW w:w="0" w:type="auto"/>
        <w:jc w:val="center"/>
        <w:tblLook w:val="04A0" w:firstRow="1" w:lastRow="0" w:firstColumn="1" w:lastColumn="0" w:noHBand="0" w:noVBand="1"/>
      </w:tblPr>
      <w:tblGrid>
        <w:gridCol w:w="3115"/>
        <w:gridCol w:w="3120"/>
        <w:gridCol w:w="3125"/>
      </w:tblGrid>
      <w:tr w:rsidR="00C145D2" w:rsidRPr="00C145D2" w:rsidTr="0094006F">
        <w:trPr>
          <w:jc w:val="center"/>
        </w:trPr>
        <w:tc>
          <w:tcPr>
            <w:tcW w:w="3192" w:type="dxa"/>
            <w:tcBorders>
              <w:top w:val="single" w:sz="4" w:space="0" w:color="auto"/>
              <w:left w:val="nil"/>
              <w:bottom w:val="single" w:sz="4" w:space="0" w:color="auto"/>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Duration</w:t>
            </w:r>
          </w:p>
        </w:tc>
        <w:tc>
          <w:tcPr>
            <w:tcW w:w="3192" w:type="dxa"/>
            <w:tcBorders>
              <w:top w:val="single" w:sz="4" w:space="0" w:color="auto"/>
              <w:left w:val="nil"/>
              <w:bottom w:val="single" w:sz="4" w:space="0" w:color="auto"/>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Frequency</w:t>
            </w:r>
          </w:p>
        </w:tc>
        <w:tc>
          <w:tcPr>
            <w:tcW w:w="3192" w:type="dxa"/>
            <w:tcBorders>
              <w:top w:val="single" w:sz="4" w:space="0" w:color="auto"/>
              <w:left w:val="nil"/>
              <w:bottom w:val="single" w:sz="4" w:space="0" w:color="auto"/>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Percentages (%)</w:t>
            </w:r>
          </w:p>
        </w:tc>
      </w:tr>
      <w:tr w:rsidR="00C145D2" w:rsidRPr="00C145D2" w:rsidTr="0094006F">
        <w:trPr>
          <w:jc w:val="center"/>
        </w:trPr>
        <w:tc>
          <w:tcPr>
            <w:tcW w:w="3192" w:type="dxa"/>
            <w:tcBorders>
              <w:top w:val="single" w:sz="4" w:space="0" w:color="auto"/>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1-2years</w:t>
            </w:r>
          </w:p>
        </w:tc>
        <w:tc>
          <w:tcPr>
            <w:tcW w:w="3192" w:type="dxa"/>
            <w:tcBorders>
              <w:top w:val="single" w:sz="4" w:space="0" w:color="auto"/>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10</w:t>
            </w:r>
          </w:p>
        </w:tc>
        <w:tc>
          <w:tcPr>
            <w:tcW w:w="3192" w:type="dxa"/>
            <w:tcBorders>
              <w:top w:val="single" w:sz="4" w:space="0" w:color="auto"/>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9.9</w:t>
            </w:r>
          </w:p>
        </w:tc>
      </w:tr>
      <w:tr w:rsidR="00C145D2" w:rsidRPr="00C145D2" w:rsidTr="0094006F">
        <w:trPr>
          <w:jc w:val="center"/>
        </w:trPr>
        <w:tc>
          <w:tcPr>
            <w:tcW w:w="3192"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lastRenderedPageBreak/>
              <w:t>3-4years</w:t>
            </w:r>
          </w:p>
        </w:tc>
        <w:tc>
          <w:tcPr>
            <w:tcW w:w="3192"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25</w:t>
            </w:r>
          </w:p>
        </w:tc>
        <w:tc>
          <w:tcPr>
            <w:tcW w:w="3192"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24.8</w:t>
            </w:r>
          </w:p>
        </w:tc>
      </w:tr>
      <w:tr w:rsidR="00C145D2" w:rsidRPr="00C145D2" w:rsidTr="0094006F">
        <w:trPr>
          <w:jc w:val="center"/>
        </w:trPr>
        <w:tc>
          <w:tcPr>
            <w:tcW w:w="3192"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5-6years</w:t>
            </w:r>
          </w:p>
        </w:tc>
        <w:tc>
          <w:tcPr>
            <w:tcW w:w="3192"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30</w:t>
            </w:r>
          </w:p>
        </w:tc>
        <w:tc>
          <w:tcPr>
            <w:tcW w:w="3192"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29.7</w:t>
            </w:r>
          </w:p>
        </w:tc>
      </w:tr>
      <w:tr w:rsidR="00C145D2" w:rsidRPr="00C145D2" w:rsidTr="0094006F">
        <w:trPr>
          <w:jc w:val="center"/>
        </w:trPr>
        <w:tc>
          <w:tcPr>
            <w:tcW w:w="3192"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7-8years</w:t>
            </w:r>
          </w:p>
        </w:tc>
        <w:tc>
          <w:tcPr>
            <w:tcW w:w="3192"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36</w:t>
            </w:r>
          </w:p>
        </w:tc>
        <w:tc>
          <w:tcPr>
            <w:tcW w:w="3192" w:type="dxa"/>
            <w:tcBorders>
              <w:top w:val="nil"/>
              <w:left w:val="nil"/>
              <w:bottom w:val="nil"/>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35.6</w:t>
            </w:r>
          </w:p>
        </w:tc>
      </w:tr>
      <w:tr w:rsidR="00C145D2" w:rsidRPr="00C145D2" w:rsidTr="0094006F">
        <w:trPr>
          <w:jc w:val="center"/>
        </w:trPr>
        <w:tc>
          <w:tcPr>
            <w:tcW w:w="3192" w:type="dxa"/>
            <w:tcBorders>
              <w:top w:val="nil"/>
              <w:left w:val="nil"/>
              <w:bottom w:val="single" w:sz="4" w:space="0" w:color="auto"/>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Total</w:t>
            </w:r>
          </w:p>
        </w:tc>
        <w:tc>
          <w:tcPr>
            <w:tcW w:w="3192" w:type="dxa"/>
            <w:tcBorders>
              <w:top w:val="nil"/>
              <w:left w:val="nil"/>
              <w:bottom w:val="single" w:sz="4" w:space="0" w:color="auto"/>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101</w:t>
            </w:r>
          </w:p>
        </w:tc>
        <w:tc>
          <w:tcPr>
            <w:tcW w:w="3192" w:type="dxa"/>
            <w:tcBorders>
              <w:top w:val="nil"/>
              <w:left w:val="nil"/>
              <w:bottom w:val="single" w:sz="4" w:space="0" w:color="auto"/>
              <w:right w:val="nil"/>
            </w:tcBorders>
            <w:hideMark/>
          </w:tcPr>
          <w:p w:rsidR="00C145D2" w:rsidRPr="00C145D2" w:rsidRDefault="00C145D2" w:rsidP="00C145D2">
            <w:pPr>
              <w:spacing w:after="0" w:line="240" w:lineRule="auto"/>
              <w:jc w:val="both"/>
              <w:rPr>
                <w:rFonts w:ascii="Times New Roman" w:hAnsi="Times New Roman"/>
                <w:sz w:val="24"/>
                <w:szCs w:val="24"/>
              </w:rPr>
            </w:pPr>
            <w:r w:rsidRPr="00C145D2">
              <w:rPr>
                <w:rFonts w:ascii="Times New Roman" w:hAnsi="Times New Roman"/>
                <w:sz w:val="24"/>
                <w:szCs w:val="24"/>
              </w:rPr>
              <w:t>100</w:t>
            </w:r>
          </w:p>
        </w:tc>
      </w:tr>
    </w:tbl>
    <w:p w:rsidR="00C145D2" w:rsidRDefault="00C145D2" w:rsidP="00C145D2">
      <w:pPr>
        <w:spacing w:after="0" w:line="360" w:lineRule="auto"/>
        <w:jc w:val="center"/>
        <w:rPr>
          <w:rFonts w:ascii="Times New Roman" w:hAnsi="Times New Roman"/>
          <w:sz w:val="24"/>
          <w:szCs w:val="24"/>
        </w:rPr>
      </w:pPr>
      <w:r w:rsidRPr="00C145D2">
        <w:rPr>
          <w:rFonts w:ascii="Times New Roman" w:hAnsi="Times New Roman"/>
          <w:sz w:val="24"/>
          <w:szCs w:val="24"/>
        </w:rPr>
        <w:t>Researchers’ fieldwork 2025</w:t>
      </w:r>
    </w:p>
    <w:p w:rsidR="00C145D2" w:rsidRPr="00C145D2" w:rsidRDefault="00C145D2" w:rsidP="00C145D2">
      <w:pPr>
        <w:pStyle w:val="NormalWeb"/>
        <w:spacing w:beforeAutospacing="0" w:afterAutospacing="0" w:line="360" w:lineRule="auto"/>
        <w:jc w:val="both"/>
        <w:rPr>
          <w:rFonts w:ascii="Times New Roman" w:hAnsi="Times New Roman"/>
        </w:rPr>
      </w:pPr>
      <w:r w:rsidRPr="00C145D2">
        <w:rPr>
          <w:rFonts w:ascii="Times New Roman" w:hAnsi="Times New Roman"/>
        </w:rPr>
        <w:t>Table 8 shows that a substantial proportion of buildings take between five and eight years to complete, reflecting the combined effects of financial constraints, site conditions, and construction challenges.</w:t>
      </w:r>
    </w:p>
    <w:p w:rsidR="00C145D2" w:rsidRPr="00C145D2" w:rsidRDefault="00C145D2" w:rsidP="00C145D2">
      <w:pPr>
        <w:pStyle w:val="NormalWeb"/>
        <w:spacing w:beforeAutospacing="0" w:afterAutospacing="0" w:line="360" w:lineRule="auto"/>
        <w:jc w:val="both"/>
        <w:rPr>
          <w:rFonts w:ascii="Times New Roman" w:hAnsi="Times New Roman"/>
        </w:rPr>
      </w:pPr>
      <w:r w:rsidRPr="00C145D2">
        <w:rPr>
          <w:rFonts w:ascii="Times New Roman" w:hAnsi="Times New Roman"/>
        </w:rPr>
        <w:t xml:space="preserve">The spatial distribution of wetland </w:t>
      </w:r>
      <w:proofErr w:type="spellStart"/>
      <w:r w:rsidRPr="00C145D2">
        <w:rPr>
          <w:rFonts w:ascii="Times New Roman" w:hAnsi="Times New Roman"/>
        </w:rPr>
        <w:t>neighbourhoods</w:t>
      </w:r>
      <w:proofErr w:type="spellEnd"/>
      <w:r w:rsidRPr="00C145D2">
        <w:rPr>
          <w:rFonts w:ascii="Times New Roman" w:hAnsi="Times New Roman"/>
        </w:rPr>
        <w:t xml:space="preserve"> in Port Harcourt reveals a clear and non-random pattern of settlement development strongly influenced by accessibility and environmental context. As illustrated in </w:t>
      </w:r>
      <w:r w:rsidRPr="00C145D2">
        <w:rPr>
          <w:rStyle w:val="Strong"/>
          <w:rFonts w:ascii="Times New Roman" w:hAnsi="Times New Roman"/>
          <w:b w:val="0"/>
        </w:rPr>
        <w:t>Figure 1</w:t>
      </w:r>
      <w:r w:rsidRPr="00C145D2">
        <w:rPr>
          <w:rFonts w:ascii="Times New Roman" w:hAnsi="Times New Roman"/>
        </w:rPr>
        <w:t xml:space="preserve">, these </w:t>
      </w:r>
      <w:proofErr w:type="spellStart"/>
      <w:r w:rsidRPr="00C145D2">
        <w:rPr>
          <w:rFonts w:ascii="Times New Roman" w:hAnsi="Times New Roman"/>
        </w:rPr>
        <w:t>neighbourhoods</w:t>
      </w:r>
      <w:proofErr w:type="spellEnd"/>
      <w:r w:rsidRPr="00C145D2">
        <w:rPr>
          <w:rFonts w:ascii="Times New Roman" w:hAnsi="Times New Roman"/>
        </w:rPr>
        <w:t xml:space="preserve"> are predominantly concentrated along the southern and western fringes of the metropolis, corresponding with low-lying mangrove swamps and flood-prone environments. Despite the inherent environmental vulnerability of these locations, the settlements exhibit a noticeable alignment along major road corridors, indicating that accessibility plays a critical role in shaping their location and expansion. </w:t>
      </w:r>
    </w:p>
    <w:p w:rsidR="00C145D2" w:rsidRPr="00C145D2" w:rsidRDefault="00C145D2" w:rsidP="00C145D2">
      <w:pPr>
        <w:pStyle w:val="NormalWeb"/>
        <w:spacing w:beforeAutospacing="0" w:afterAutospacing="0" w:line="360" w:lineRule="auto"/>
        <w:jc w:val="both"/>
        <w:rPr>
          <w:rFonts w:ascii="Times New Roman" w:hAnsi="Times New Roman"/>
        </w:rPr>
      </w:pPr>
      <w:r w:rsidRPr="00C145D2">
        <w:rPr>
          <w:rFonts w:ascii="Times New Roman" w:hAnsi="Times New Roman"/>
        </w:rPr>
        <w:t xml:space="preserve">The spatial configuration presented in </w:t>
      </w:r>
      <w:r w:rsidRPr="00C145D2">
        <w:rPr>
          <w:rStyle w:val="Strong"/>
          <w:rFonts w:ascii="Times New Roman" w:hAnsi="Times New Roman"/>
          <w:b w:val="0"/>
        </w:rPr>
        <w:t>Figure 1</w:t>
      </w:r>
      <w:r w:rsidRPr="00C145D2">
        <w:rPr>
          <w:rFonts w:ascii="Times New Roman" w:hAnsi="Times New Roman"/>
        </w:rPr>
        <w:t xml:space="preserve"> suggests a corridor-based pattern of urban growth, where settlements expand outward from the urban core along transport routes. This linear clustering pattern reflects the influence of road infrastructure in directing development into wetland areas. Rather than being randomly distributed, the wetland </w:t>
      </w:r>
      <w:proofErr w:type="spellStart"/>
      <w:r w:rsidRPr="00C145D2">
        <w:rPr>
          <w:rFonts w:ascii="Times New Roman" w:hAnsi="Times New Roman"/>
        </w:rPr>
        <w:t>neighbourhoods</w:t>
      </w:r>
      <w:proofErr w:type="spellEnd"/>
      <w:r w:rsidRPr="00C145D2">
        <w:rPr>
          <w:rFonts w:ascii="Times New Roman" w:hAnsi="Times New Roman"/>
        </w:rPr>
        <w:t xml:space="preserve"> are strategically located in positions that provide relatively easy access to economic opportunities, transport networks, and urban services, even when such locations are environmentally unsuitable.</w:t>
      </w:r>
    </w:p>
    <w:p w:rsidR="00C145D2" w:rsidRDefault="00C145D2" w:rsidP="00C145D2">
      <w:pPr>
        <w:pStyle w:val="NormalWeb"/>
        <w:spacing w:beforeAutospacing="0" w:afterAutospacing="0" w:line="360" w:lineRule="auto"/>
        <w:jc w:val="both"/>
        <w:rPr>
          <w:rFonts w:ascii="Times New Roman" w:hAnsi="Times New Roman"/>
        </w:rPr>
      </w:pPr>
      <w:r w:rsidRPr="00C145D2">
        <w:rPr>
          <w:rFonts w:ascii="Times New Roman" w:hAnsi="Times New Roman"/>
        </w:rPr>
        <w:t xml:space="preserve">The quantitative evidence supporting this spatial pattern is presented in </w:t>
      </w:r>
      <w:r w:rsidRPr="00C145D2">
        <w:rPr>
          <w:rStyle w:val="Strong"/>
          <w:rFonts w:ascii="Times New Roman" w:hAnsi="Times New Roman"/>
          <w:b w:val="0"/>
        </w:rPr>
        <w:t>Table 3</w:t>
      </w:r>
      <w:r w:rsidRPr="00C145D2">
        <w:rPr>
          <w:rFonts w:ascii="Times New Roman" w:hAnsi="Times New Roman"/>
        </w:rPr>
        <w:t xml:space="preserve">, which shows the results of the distance matrix analysis between wetland settlements and the nearest major roads. The table indicates that a significant proportion of the </w:t>
      </w:r>
      <w:proofErr w:type="spellStart"/>
      <w:r w:rsidRPr="00C145D2">
        <w:rPr>
          <w:rFonts w:ascii="Times New Roman" w:hAnsi="Times New Roman"/>
        </w:rPr>
        <w:t>neighbourhoods</w:t>
      </w:r>
      <w:proofErr w:type="spellEnd"/>
      <w:r w:rsidRPr="00C145D2">
        <w:rPr>
          <w:rFonts w:ascii="Times New Roman" w:hAnsi="Times New Roman"/>
        </w:rPr>
        <w:t xml:space="preserve"> are located within relatively short distances to major transport corridors. For instance, settlements such as Eagle Island (171.31 m), Eastern Bypass (162.06 m), </w:t>
      </w:r>
      <w:proofErr w:type="spellStart"/>
      <w:r w:rsidRPr="00C145D2">
        <w:rPr>
          <w:rFonts w:ascii="Times New Roman" w:hAnsi="Times New Roman"/>
        </w:rPr>
        <w:t>Ibeto</w:t>
      </w:r>
      <w:proofErr w:type="spellEnd"/>
      <w:r w:rsidRPr="00C145D2">
        <w:rPr>
          <w:rFonts w:ascii="Times New Roman" w:hAnsi="Times New Roman"/>
        </w:rPr>
        <w:t xml:space="preserve"> (205.47 m), Koko </w:t>
      </w:r>
      <w:proofErr w:type="spellStart"/>
      <w:r w:rsidRPr="00C145D2">
        <w:rPr>
          <w:rFonts w:ascii="Times New Roman" w:hAnsi="Times New Roman"/>
        </w:rPr>
        <w:t>Ama</w:t>
      </w:r>
      <w:proofErr w:type="spellEnd"/>
      <w:r w:rsidRPr="00C145D2">
        <w:rPr>
          <w:rFonts w:ascii="Times New Roman" w:hAnsi="Times New Roman"/>
        </w:rPr>
        <w:t xml:space="preserve"> (206.20 m), and Marine Base (224.91 m) are all situated within 300 </w:t>
      </w:r>
      <w:proofErr w:type="spellStart"/>
      <w:r w:rsidRPr="00C145D2">
        <w:rPr>
          <w:rFonts w:ascii="Times New Roman" w:hAnsi="Times New Roman"/>
        </w:rPr>
        <w:t>metres</w:t>
      </w:r>
      <w:proofErr w:type="spellEnd"/>
      <w:r w:rsidRPr="00C145D2">
        <w:rPr>
          <w:rFonts w:ascii="Times New Roman" w:hAnsi="Times New Roman"/>
        </w:rPr>
        <w:t xml:space="preserve"> of major roads, reflecting a very high level of accessibility. A second group of settlements, including Aggrey (325.47 m), UPE </w:t>
      </w:r>
      <w:proofErr w:type="spellStart"/>
      <w:r w:rsidRPr="00C145D2">
        <w:rPr>
          <w:rFonts w:ascii="Times New Roman" w:hAnsi="Times New Roman"/>
        </w:rPr>
        <w:t>Sandfill</w:t>
      </w:r>
      <w:proofErr w:type="spellEnd"/>
      <w:r w:rsidRPr="00C145D2">
        <w:rPr>
          <w:rFonts w:ascii="Times New Roman" w:hAnsi="Times New Roman"/>
        </w:rPr>
        <w:t xml:space="preserve"> (447.23 m), </w:t>
      </w:r>
      <w:proofErr w:type="spellStart"/>
      <w:r w:rsidRPr="00C145D2">
        <w:rPr>
          <w:rFonts w:ascii="Times New Roman" w:hAnsi="Times New Roman"/>
        </w:rPr>
        <w:t>Abuloma</w:t>
      </w:r>
      <w:proofErr w:type="spellEnd"/>
      <w:r w:rsidRPr="00C145D2">
        <w:rPr>
          <w:rFonts w:ascii="Times New Roman" w:hAnsi="Times New Roman"/>
        </w:rPr>
        <w:t xml:space="preserve"> (538.15 m), New Road </w:t>
      </w:r>
      <w:proofErr w:type="spellStart"/>
      <w:r w:rsidRPr="00C145D2">
        <w:rPr>
          <w:rFonts w:ascii="Times New Roman" w:hAnsi="Times New Roman"/>
        </w:rPr>
        <w:t>Borokiri</w:t>
      </w:r>
      <w:proofErr w:type="spellEnd"/>
      <w:r w:rsidRPr="00C145D2">
        <w:rPr>
          <w:rFonts w:ascii="Times New Roman" w:hAnsi="Times New Roman"/>
        </w:rPr>
        <w:t xml:space="preserve"> (557.29 m), and </w:t>
      </w:r>
      <w:proofErr w:type="spellStart"/>
      <w:r w:rsidRPr="00C145D2">
        <w:rPr>
          <w:rFonts w:ascii="Times New Roman" w:hAnsi="Times New Roman"/>
        </w:rPr>
        <w:t>Ndoki</w:t>
      </w:r>
      <w:proofErr w:type="spellEnd"/>
      <w:r w:rsidRPr="00C145D2">
        <w:rPr>
          <w:rFonts w:ascii="Times New Roman" w:hAnsi="Times New Roman"/>
        </w:rPr>
        <w:t xml:space="preserve"> (581.15 m), fall within moderate distances ranging between 300 and 600 </w:t>
      </w:r>
      <w:proofErr w:type="spellStart"/>
      <w:r w:rsidRPr="00C145D2">
        <w:rPr>
          <w:rFonts w:ascii="Times New Roman" w:hAnsi="Times New Roman"/>
        </w:rPr>
        <w:t>metres</w:t>
      </w:r>
      <w:proofErr w:type="spellEnd"/>
      <w:r w:rsidRPr="00C145D2">
        <w:rPr>
          <w:rFonts w:ascii="Times New Roman" w:hAnsi="Times New Roman"/>
        </w:rPr>
        <w:t xml:space="preserve">. Only a few settlements, such as </w:t>
      </w:r>
      <w:proofErr w:type="spellStart"/>
      <w:r w:rsidRPr="00C145D2">
        <w:rPr>
          <w:rFonts w:ascii="Times New Roman" w:hAnsi="Times New Roman"/>
        </w:rPr>
        <w:t>Ogbogoro</w:t>
      </w:r>
      <w:proofErr w:type="spellEnd"/>
      <w:r w:rsidRPr="00C145D2">
        <w:rPr>
          <w:rFonts w:ascii="Times New Roman" w:hAnsi="Times New Roman"/>
        </w:rPr>
        <w:t xml:space="preserve"> (615.18 m), </w:t>
      </w:r>
      <w:proofErr w:type="spellStart"/>
      <w:r w:rsidRPr="00C145D2">
        <w:rPr>
          <w:rFonts w:ascii="Times New Roman" w:hAnsi="Times New Roman"/>
        </w:rPr>
        <w:t>Rumuolumeni</w:t>
      </w:r>
      <w:proofErr w:type="spellEnd"/>
      <w:r w:rsidRPr="00C145D2">
        <w:rPr>
          <w:rFonts w:ascii="Times New Roman" w:hAnsi="Times New Roman"/>
        </w:rPr>
        <w:t xml:space="preserve"> (692.67 m), </w:t>
      </w:r>
      <w:proofErr w:type="spellStart"/>
      <w:r w:rsidRPr="00C145D2">
        <w:rPr>
          <w:rFonts w:ascii="Times New Roman" w:hAnsi="Times New Roman"/>
        </w:rPr>
        <w:t>Okuru</w:t>
      </w:r>
      <w:proofErr w:type="spellEnd"/>
      <w:r w:rsidRPr="00C145D2">
        <w:rPr>
          <w:rFonts w:ascii="Times New Roman" w:hAnsi="Times New Roman"/>
        </w:rPr>
        <w:t xml:space="preserve"> (832.14 m), and </w:t>
      </w:r>
      <w:proofErr w:type="spellStart"/>
      <w:r w:rsidRPr="00C145D2">
        <w:rPr>
          <w:rFonts w:ascii="Times New Roman" w:hAnsi="Times New Roman"/>
        </w:rPr>
        <w:t>Amadi</w:t>
      </w:r>
      <w:proofErr w:type="spellEnd"/>
      <w:r w:rsidRPr="00C145D2">
        <w:rPr>
          <w:rFonts w:ascii="Times New Roman" w:hAnsi="Times New Roman"/>
        </w:rPr>
        <w:t xml:space="preserve"> (1032.55 m), are located at greater distances, indicating relatively lower accessibility. </w:t>
      </w:r>
    </w:p>
    <w:p w:rsidR="004110DF" w:rsidRDefault="004110DF" w:rsidP="00C145D2">
      <w:pPr>
        <w:pStyle w:val="NormalWeb"/>
        <w:spacing w:beforeAutospacing="0" w:afterAutospacing="0" w:line="360" w:lineRule="auto"/>
        <w:jc w:val="both"/>
        <w:rPr>
          <w:rFonts w:ascii="Times New Roman" w:hAnsi="Times New Roman"/>
        </w:rPr>
      </w:pPr>
    </w:p>
    <w:p w:rsidR="004110DF" w:rsidRDefault="004110DF" w:rsidP="00C145D2">
      <w:pPr>
        <w:pStyle w:val="NormalWeb"/>
        <w:spacing w:beforeAutospacing="0" w:afterAutospacing="0" w:line="360" w:lineRule="auto"/>
        <w:jc w:val="both"/>
        <w:rPr>
          <w:rFonts w:ascii="Times New Roman" w:hAnsi="Times New Roman"/>
        </w:rPr>
      </w:pPr>
    </w:p>
    <w:p w:rsidR="004110DF" w:rsidRDefault="004110DF" w:rsidP="00C145D2">
      <w:pPr>
        <w:pStyle w:val="NormalWeb"/>
        <w:spacing w:beforeAutospacing="0" w:afterAutospacing="0" w:line="360" w:lineRule="auto"/>
        <w:jc w:val="both"/>
        <w:rPr>
          <w:rFonts w:ascii="Times New Roman" w:hAnsi="Times New Roman"/>
        </w:rPr>
      </w:pPr>
    </w:p>
    <w:p w:rsidR="004110DF" w:rsidRDefault="004110DF" w:rsidP="00C145D2">
      <w:pPr>
        <w:pStyle w:val="NormalWeb"/>
        <w:spacing w:beforeAutospacing="0" w:afterAutospacing="0" w:line="360" w:lineRule="auto"/>
        <w:jc w:val="both"/>
        <w:rPr>
          <w:rFonts w:ascii="Times New Roman" w:hAnsi="Times New Roman"/>
        </w:rPr>
      </w:pPr>
    </w:p>
    <w:p w:rsidR="004110DF" w:rsidRPr="00C145D2" w:rsidRDefault="004110DF" w:rsidP="00C145D2">
      <w:pPr>
        <w:pStyle w:val="NormalWeb"/>
        <w:spacing w:beforeAutospacing="0" w:afterAutospacing="0" w:line="360" w:lineRule="auto"/>
        <w:jc w:val="both"/>
        <w:rPr>
          <w:rFonts w:ascii="Times New Roman" w:hAnsi="Times New Roman"/>
        </w:rPr>
      </w:pPr>
    </w:p>
    <w:p w:rsidR="00C145D2" w:rsidRDefault="00C145D2" w:rsidP="00C145D2">
      <w:pPr>
        <w:pStyle w:val="NormalWeb"/>
        <w:spacing w:beforeAutospacing="0" w:afterAutospacing="0" w:line="360" w:lineRule="auto"/>
        <w:jc w:val="both"/>
        <w:rPr>
          <w:sz w:val="10"/>
        </w:rPr>
      </w:pPr>
    </w:p>
    <w:p w:rsidR="00C145D2" w:rsidRPr="004110DF" w:rsidRDefault="00C145D2" w:rsidP="004110DF">
      <w:pPr>
        <w:pStyle w:val="Heading3"/>
        <w:spacing w:before="0" w:line="240" w:lineRule="auto"/>
        <w:jc w:val="center"/>
        <w:rPr>
          <w:rStyle w:val="Strong"/>
          <w:rFonts w:ascii="Times New Roman" w:hAnsi="Times New Roman" w:cs="Times New Roman"/>
          <w:bCs w:val="0"/>
          <w:color w:val="auto"/>
        </w:rPr>
      </w:pPr>
      <w:r w:rsidRPr="004110DF">
        <w:rPr>
          <w:rStyle w:val="Strong"/>
          <w:rFonts w:ascii="Times New Roman" w:hAnsi="Times New Roman" w:cs="Times New Roman"/>
          <w:bCs w:val="0"/>
          <w:color w:val="auto"/>
        </w:rPr>
        <w:t>Table 9: Distance Matrix of Wetland Settlements to Major Roads</w:t>
      </w:r>
    </w:p>
    <w:tbl>
      <w:tblPr>
        <w:tblW w:w="9235" w:type="dxa"/>
        <w:tblLook w:val="04A0" w:firstRow="1" w:lastRow="0" w:firstColumn="1" w:lastColumn="0" w:noHBand="0" w:noVBand="1"/>
      </w:tblPr>
      <w:tblGrid>
        <w:gridCol w:w="590"/>
        <w:gridCol w:w="2442"/>
        <w:gridCol w:w="2384"/>
        <w:gridCol w:w="1444"/>
        <w:gridCol w:w="2398"/>
      </w:tblGrid>
      <w:tr w:rsidR="00C145D2" w:rsidRPr="00D046C0" w:rsidTr="0094006F">
        <w:trPr>
          <w:trHeight w:val="402"/>
        </w:trPr>
        <w:tc>
          <w:tcPr>
            <w:tcW w:w="567" w:type="dxa"/>
            <w:tcBorders>
              <w:top w:val="single" w:sz="4" w:space="0" w:color="auto"/>
              <w:left w:val="nil"/>
              <w:bottom w:val="single" w:sz="4" w:space="0" w:color="auto"/>
              <w:right w:val="nil"/>
            </w:tcBorders>
            <w:shd w:val="clear" w:color="auto" w:fill="auto"/>
            <w:vAlign w:val="center"/>
            <w:hideMark/>
          </w:tcPr>
          <w:p w:rsidR="00C145D2" w:rsidRPr="00D046C0" w:rsidRDefault="00C145D2" w:rsidP="004110DF">
            <w:pPr>
              <w:spacing w:after="0" w:line="240" w:lineRule="auto"/>
              <w:jc w:val="center"/>
              <w:rPr>
                <w:rFonts w:ascii="Times New Roman" w:eastAsia="Times New Roman" w:hAnsi="Times New Roman"/>
                <w:b/>
                <w:bCs/>
                <w:color w:val="000000"/>
                <w:sz w:val="24"/>
                <w:szCs w:val="24"/>
                <w:lang w:eastAsia="en-GB"/>
              </w:rPr>
            </w:pPr>
            <w:r w:rsidRPr="00D046C0">
              <w:rPr>
                <w:rFonts w:ascii="Times New Roman" w:eastAsia="Times New Roman" w:hAnsi="Times New Roman"/>
                <w:b/>
                <w:bCs/>
                <w:color w:val="000000"/>
                <w:sz w:val="24"/>
                <w:szCs w:val="24"/>
                <w:lang w:eastAsia="en-GB"/>
              </w:rPr>
              <w:t>S/N</w:t>
            </w:r>
          </w:p>
        </w:tc>
        <w:tc>
          <w:tcPr>
            <w:tcW w:w="2442" w:type="dxa"/>
            <w:tcBorders>
              <w:top w:val="single" w:sz="4" w:space="0" w:color="auto"/>
              <w:left w:val="nil"/>
              <w:bottom w:val="single" w:sz="4" w:space="0" w:color="auto"/>
              <w:right w:val="nil"/>
            </w:tcBorders>
            <w:shd w:val="clear" w:color="auto" w:fill="auto"/>
            <w:vAlign w:val="center"/>
            <w:hideMark/>
          </w:tcPr>
          <w:p w:rsidR="00C145D2" w:rsidRPr="00D046C0" w:rsidRDefault="00C145D2" w:rsidP="004110DF">
            <w:pPr>
              <w:spacing w:after="0" w:line="240" w:lineRule="auto"/>
              <w:jc w:val="center"/>
              <w:rPr>
                <w:rFonts w:ascii="Times New Roman" w:eastAsia="Times New Roman" w:hAnsi="Times New Roman"/>
                <w:b/>
                <w:bCs/>
                <w:color w:val="000000"/>
                <w:sz w:val="24"/>
                <w:szCs w:val="24"/>
                <w:lang w:eastAsia="en-GB"/>
              </w:rPr>
            </w:pPr>
            <w:r w:rsidRPr="00D046C0">
              <w:rPr>
                <w:rFonts w:ascii="Times New Roman" w:eastAsia="Times New Roman" w:hAnsi="Times New Roman"/>
                <w:b/>
                <w:bCs/>
                <w:color w:val="000000"/>
                <w:sz w:val="24"/>
                <w:szCs w:val="24"/>
                <w:lang w:eastAsia="en-GB"/>
              </w:rPr>
              <w:t>Settlement</w:t>
            </w:r>
          </w:p>
        </w:tc>
        <w:tc>
          <w:tcPr>
            <w:tcW w:w="2384" w:type="dxa"/>
            <w:tcBorders>
              <w:top w:val="single" w:sz="4" w:space="0" w:color="auto"/>
              <w:left w:val="nil"/>
              <w:bottom w:val="single" w:sz="4" w:space="0" w:color="auto"/>
              <w:right w:val="nil"/>
            </w:tcBorders>
            <w:shd w:val="clear" w:color="auto" w:fill="auto"/>
            <w:vAlign w:val="center"/>
            <w:hideMark/>
          </w:tcPr>
          <w:p w:rsidR="00C145D2" w:rsidRPr="00D046C0" w:rsidRDefault="00C145D2" w:rsidP="004110DF">
            <w:pPr>
              <w:spacing w:after="0" w:line="240" w:lineRule="auto"/>
              <w:jc w:val="center"/>
              <w:rPr>
                <w:rFonts w:ascii="Times New Roman" w:eastAsia="Times New Roman" w:hAnsi="Times New Roman"/>
                <w:b/>
                <w:bCs/>
                <w:color w:val="000000"/>
                <w:sz w:val="24"/>
                <w:szCs w:val="24"/>
                <w:lang w:eastAsia="en-GB"/>
              </w:rPr>
            </w:pPr>
            <w:r w:rsidRPr="00D046C0">
              <w:rPr>
                <w:rFonts w:ascii="Times New Roman" w:eastAsia="Times New Roman" w:hAnsi="Times New Roman"/>
                <w:b/>
                <w:bCs/>
                <w:color w:val="000000"/>
                <w:sz w:val="24"/>
                <w:szCs w:val="24"/>
                <w:lang w:eastAsia="en-GB"/>
              </w:rPr>
              <w:t>Nearest Road</w:t>
            </w:r>
          </w:p>
        </w:tc>
        <w:tc>
          <w:tcPr>
            <w:tcW w:w="1444" w:type="dxa"/>
            <w:tcBorders>
              <w:top w:val="single" w:sz="4" w:space="0" w:color="auto"/>
              <w:left w:val="nil"/>
              <w:bottom w:val="single" w:sz="4" w:space="0" w:color="auto"/>
              <w:right w:val="nil"/>
            </w:tcBorders>
            <w:shd w:val="clear" w:color="auto" w:fill="auto"/>
            <w:vAlign w:val="center"/>
            <w:hideMark/>
          </w:tcPr>
          <w:p w:rsidR="00C145D2" w:rsidRPr="00D046C0" w:rsidRDefault="00C145D2" w:rsidP="004110DF">
            <w:pPr>
              <w:spacing w:after="0" w:line="240" w:lineRule="auto"/>
              <w:jc w:val="center"/>
              <w:rPr>
                <w:rFonts w:ascii="Times New Roman" w:eastAsia="Times New Roman" w:hAnsi="Times New Roman"/>
                <w:b/>
                <w:bCs/>
                <w:color w:val="000000"/>
                <w:sz w:val="24"/>
                <w:szCs w:val="24"/>
                <w:lang w:eastAsia="en-GB"/>
              </w:rPr>
            </w:pPr>
            <w:r w:rsidRPr="00D046C0">
              <w:rPr>
                <w:rFonts w:ascii="Times New Roman" w:eastAsia="Times New Roman" w:hAnsi="Times New Roman"/>
                <w:b/>
                <w:bCs/>
                <w:color w:val="000000"/>
                <w:sz w:val="24"/>
                <w:szCs w:val="24"/>
                <w:lang w:eastAsia="en-GB"/>
              </w:rPr>
              <w:t>Distance (m)</w:t>
            </w:r>
          </w:p>
        </w:tc>
        <w:tc>
          <w:tcPr>
            <w:tcW w:w="2398" w:type="dxa"/>
            <w:tcBorders>
              <w:top w:val="single" w:sz="4" w:space="0" w:color="auto"/>
              <w:left w:val="nil"/>
              <w:bottom w:val="single" w:sz="4" w:space="0" w:color="auto"/>
              <w:right w:val="nil"/>
            </w:tcBorders>
            <w:shd w:val="clear" w:color="auto" w:fill="auto"/>
            <w:vAlign w:val="center"/>
            <w:hideMark/>
          </w:tcPr>
          <w:p w:rsidR="00C145D2" w:rsidRPr="00D046C0" w:rsidRDefault="00C145D2" w:rsidP="004110DF">
            <w:pPr>
              <w:spacing w:after="0" w:line="240" w:lineRule="auto"/>
              <w:jc w:val="center"/>
              <w:rPr>
                <w:rFonts w:ascii="Times New Roman" w:eastAsia="Times New Roman" w:hAnsi="Times New Roman"/>
                <w:b/>
                <w:bCs/>
                <w:color w:val="000000"/>
                <w:sz w:val="24"/>
                <w:szCs w:val="24"/>
                <w:lang w:eastAsia="en-GB"/>
              </w:rPr>
            </w:pPr>
            <w:r w:rsidRPr="00D046C0">
              <w:rPr>
                <w:rFonts w:ascii="Times New Roman" w:eastAsia="Times New Roman" w:hAnsi="Times New Roman"/>
                <w:b/>
                <w:bCs/>
                <w:color w:val="000000"/>
                <w:sz w:val="24"/>
                <w:szCs w:val="24"/>
                <w:lang w:eastAsia="en-GB"/>
              </w:rPr>
              <w:t>Accessibility Category</w:t>
            </w:r>
          </w:p>
        </w:tc>
      </w:tr>
      <w:tr w:rsidR="00C145D2" w:rsidRPr="00D046C0" w:rsidTr="0094006F">
        <w:trPr>
          <w:trHeight w:val="345"/>
        </w:trPr>
        <w:tc>
          <w:tcPr>
            <w:tcW w:w="567" w:type="dxa"/>
            <w:tcBorders>
              <w:top w:val="single" w:sz="4" w:space="0" w:color="auto"/>
              <w:left w:val="nil"/>
              <w:bottom w:val="nil"/>
              <w:right w:val="nil"/>
            </w:tcBorders>
            <w:shd w:val="clear" w:color="auto" w:fill="auto"/>
            <w:vAlign w:val="center"/>
            <w:hideMark/>
          </w:tcPr>
          <w:p w:rsidR="00C145D2" w:rsidRPr="00D046C0" w:rsidRDefault="00C145D2" w:rsidP="004110DF">
            <w:pPr>
              <w:spacing w:after="0" w:line="240" w:lineRule="auto"/>
              <w:jc w:val="right"/>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1</w:t>
            </w:r>
          </w:p>
        </w:tc>
        <w:tc>
          <w:tcPr>
            <w:tcW w:w="2442" w:type="dxa"/>
            <w:tcBorders>
              <w:top w:val="single" w:sz="4" w:space="0" w:color="auto"/>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proofErr w:type="spellStart"/>
            <w:r w:rsidRPr="00D046C0">
              <w:rPr>
                <w:rFonts w:ascii="Times New Roman" w:eastAsia="Times New Roman" w:hAnsi="Times New Roman"/>
                <w:color w:val="000000"/>
                <w:sz w:val="24"/>
                <w:szCs w:val="24"/>
                <w:lang w:eastAsia="en-GB"/>
              </w:rPr>
              <w:t>Ogbogoro</w:t>
            </w:r>
            <w:proofErr w:type="spellEnd"/>
          </w:p>
        </w:tc>
        <w:tc>
          <w:tcPr>
            <w:tcW w:w="2384" w:type="dxa"/>
            <w:tcBorders>
              <w:top w:val="single" w:sz="4" w:space="0" w:color="auto"/>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w:t>
            </w:r>
          </w:p>
        </w:tc>
        <w:tc>
          <w:tcPr>
            <w:tcW w:w="1444" w:type="dxa"/>
            <w:tcBorders>
              <w:top w:val="single" w:sz="4" w:space="0" w:color="auto"/>
              <w:left w:val="nil"/>
              <w:bottom w:val="nil"/>
              <w:right w:val="nil"/>
            </w:tcBorders>
            <w:shd w:val="clear" w:color="auto" w:fill="auto"/>
            <w:vAlign w:val="center"/>
            <w:hideMark/>
          </w:tcPr>
          <w:p w:rsidR="00C145D2" w:rsidRPr="00D046C0" w:rsidRDefault="00C145D2" w:rsidP="004110DF">
            <w:pPr>
              <w:spacing w:after="0" w:line="240" w:lineRule="auto"/>
              <w:jc w:val="right"/>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615.18</w:t>
            </w:r>
          </w:p>
        </w:tc>
        <w:tc>
          <w:tcPr>
            <w:tcW w:w="2398" w:type="dxa"/>
            <w:tcBorders>
              <w:top w:val="single" w:sz="4" w:space="0" w:color="auto"/>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Relatively Remote</w:t>
            </w:r>
          </w:p>
        </w:tc>
      </w:tr>
      <w:tr w:rsidR="00C145D2" w:rsidRPr="00D046C0" w:rsidTr="0094006F">
        <w:trPr>
          <w:trHeight w:val="363"/>
        </w:trPr>
        <w:tc>
          <w:tcPr>
            <w:tcW w:w="567" w:type="dxa"/>
            <w:tcBorders>
              <w:top w:val="nil"/>
              <w:left w:val="nil"/>
              <w:bottom w:val="nil"/>
              <w:right w:val="nil"/>
            </w:tcBorders>
            <w:shd w:val="clear" w:color="auto" w:fill="auto"/>
            <w:vAlign w:val="center"/>
            <w:hideMark/>
          </w:tcPr>
          <w:p w:rsidR="00C145D2" w:rsidRPr="00D046C0" w:rsidRDefault="00C145D2" w:rsidP="004110DF">
            <w:pPr>
              <w:spacing w:after="0" w:line="240" w:lineRule="auto"/>
              <w:jc w:val="right"/>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2</w:t>
            </w:r>
          </w:p>
        </w:tc>
        <w:tc>
          <w:tcPr>
            <w:tcW w:w="2442"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proofErr w:type="spellStart"/>
            <w:r w:rsidRPr="00D046C0">
              <w:rPr>
                <w:rFonts w:ascii="Times New Roman" w:eastAsia="Times New Roman" w:hAnsi="Times New Roman"/>
                <w:color w:val="000000"/>
                <w:sz w:val="24"/>
                <w:szCs w:val="24"/>
                <w:lang w:eastAsia="en-GB"/>
              </w:rPr>
              <w:t>Rumuolumeni</w:t>
            </w:r>
            <w:proofErr w:type="spellEnd"/>
          </w:p>
        </w:tc>
        <w:tc>
          <w:tcPr>
            <w:tcW w:w="2384"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w:t>
            </w:r>
          </w:p>
        </w:tc>
        <w:tc>
          <w:tcPr>
            <w:tcW w:w="1444" w:type="dxa"/>
            <w:tcBorders>
              <w:top w:val="nil"/>
              <w:left w:val="nil"/>
              <w:bottom w:val="nil"/>
              <w:right w:val="nil"/>
            </w:tcBorders>
            <w:shd w:val="clear" w:color="auto" w:fill="auto"/>
            <w:vAlign w:val="center"/>
            <w:hideMark/>
          </w:tcPr>
          <w:p w:rsidR="00C145D2" w:rsidRPr="00D046C0" w:rsidRDefault="00C145D2" w:rsidP="004110DF">
            <w:pPr>
              <w:spacing w:after="0" w:line="240" w:lineRule="auto"/>
              <w:jc w:val="right"/>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692.67</w:t>
            </w:r>
          </w:p>
        </w:tc>
        <w:tc>
          <w:tcPr>
            <w:tcW w:w="2398"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Relatively Remote</w:t>
            </w:r>
          </w:p>
        </w:tc>
      </w:tr>
      <w:tr w:rsidR="00C145D2" w:rsidRPr="00D046C0" w:rsidTr="0094006F">
        <w:trPr>
          <w:trHeight w:val="336"/>
        </w:trPr>
        <w:tc>
          <w:tcPr>
            <w:tcW w:w="567" w:type="dxa"/>
            <w:tcBorders>
              <w:top w:val="nil"/>
              <w:left w:val="nil"/>
              <w:bottom w:val="nil"/>
              <w:right w:val="nil"/>
            </w:tcBorders>
            <w:shd w:val="clear" w:color="auto" w:fill="auto"/>
            <w:vAlign w:val="center"/>
            <w:hideMark/>
          </w:tcPr>
          <w:p w:rsidR="00C145D2" w:rsidRPr="00D046C0" w:rsidRDefault="00C145D2" w:rsidP="004110DF">
            <w:pPr>
              <w:spacing w:after="0" w:line="240" w:lineRule="auto"/>
              <w:jc w:val="right"/>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3</w:t>
            </w:r>
          </w:p>
        </w:tc>
        <w:tc>
          <w:tcPr>
            <w:tcW w:w="2442"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Eagle Island</w:t>
            </w:r>
          </w:p>
        </w:tc>
        <w:tc>
          <w:tcPr>
            <w:tcW w:w="2384"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w:t>
            </w:r>
          </w:p>
        </w:tc>
        <w:tc>
          <w:tcPr>
            <w:tcW w:w="1444" w:type="dxa"/>
            <w:tcBorders>
              <w:top w:val="nil"/>
              <w:left w:val="nil"/>
              <w:bottom w:val="nil"/>
              <w:right w:val="nil"/>
            </w:tcBorders>
            <w:shd w:val="clear" w:color="auto" w:fill="auto"/>
            <w:vAlign w:val="center"/>
            <w:hideMark/>
          </w:tcPr>
          <w:p w:rsidR="00C145D2" w:rsidRPr="00D046C0" w:rsidRDefault="00C145D2" w:rsidP="004110DF">
            <w:pPr>
              <w:spacing w:after="0" w:line="240" w:lineRule="auto"/>
              <w:jc w:val="right"/>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171.31</w:t>
            </w:r>
          </w:p>
        </w:tc>
        <w:tc>
          <w:tcPr>
            <w:tcW w:w="2398"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Highly Accessible</w:t>
            </w:r>
          </w:p>
        </w:tc>
      </w:tr>
      <w:tr w:rsidR="00C145D2" w:rsidRPr="00D046C0" w:rsidTr="0094006F">
        <w:trPr>
          <w:trHeight w:val="369"/>
        </w:trPr>
        <w:tc>
          <w:tcPr>
            <w:tcW w:w="567" w:type="dxa"/>
            <w:tcBorders>
              <w:top w:val="nil"/>
              <w:left w:val="nil"/>
              <w:bottom w:val="nil"/>
              <w:right w:val="nil"/>
            </w:tcBorders>
            <w:shd w:val="clear" w:color="auto" w:fill="auto"/>
            <w:vAlign w:val="center"/>
            <w:hideMark/>
          </w:tcPr>
          <w:p w:rsidR="00C145D2" w:rsidRPr="00D046C0" w:rsidRDefault="00C145D2" w:rsidP="004110DF">
            <w:pPr>
              <w:spacing w:after="0" w:line="240" w:lineRule="auto"/>
              <w:jc w:val="right"/>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4</w:t>
            </w:r>
          </w:p>
        </w:tc>
        <w:tc>
          <w:tcPr>
            <w:tcW w:w="2442"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Eastern Bypass</w:t>
            </w:r>
          </w:p>
        </w:tc>
        <w:tc>
          <w:tcPr>
            <w:tcW w:w="2384"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Eastern Bypass Road</w:t>
            </w:r>
          </w:p>
        </w:tc>
        <w:tc>
          <w:tcPr>
            <w:tcW w:w="1444" w:type="dxa"/>
            <w:tcBorders>
              <w:top w:val="nil"/>
              <w:left w:val="nil"/>
              <w:bottom w:val="nil"/>
              <w:right w:val="nil"/>
            </w:tcBorders>
            <w:shd w:val="clear" w:color="auto" w:fill="auto"/>
            <w:vAlign w:val="center"/>
            <w:hideMark/>
          </w:tcPr>
          <w:p w:rsidR="00C145D2" w:rsidRPr="00D046C0" w:rsidRDefault="00C145D2" w:rsidP="004110DF">
            <w:pPr>
              <w:spacing w:after="0" w:line="240" w:lineRule="auto"/>
              <w:jc w:val="right"/>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162.06</w:t>
            </w:r>
          </w:p>
        </w:tc>
        <w:tc>
          <w:tcPr>
            <w:tcW w:w="2398"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Highly Accessible</w:t>
            </w:r>
          </w:p>
        </w:tc>
      </w:tr>
      <w:tr w:rsidR="00C145D2" w:rsidRPr="00D046C0" w:rsidTr="0094006F">
        <w:trPr>
          <w:trHeight w:val="416"/>
        </w:trPr>
        <w:tc>
          <w:tcPr>
            <w:tcW w:w="567" w:type="dxa"/>
            <w:tcBorders>
              <w:top w:val="nil"/>
              <w:left w:val="nil"/>
              <w:bottom w:val="nil"/>
              <w:right w:val="nil"/>
            </w:tcBorders>
            <w:shd w:val="clear" w:color="auto" w:fill="auto"/>
            <w:vAlign w:val="center"/>
            <w:hideMark/>
          </w:tcPr>
          <w:p w:rsidR="00C145D2" w:rsidRPr="00D046C0" w:rsidRDefault="00C145D2" w:rsidP="004110DF">
            <w:pPr>
              <w:spacing w:after="0" w:line="240" w:lineRule="auto"/>
              <w:jc w:val="right"/>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5</w:t>
            </w:r>
          </w:p>
        </w:tc>
        <w:tc>
          <w:tcPr>
            <w:tcW w:w="2442"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proofErr w:type="spellStart"/>
            <w:r w:rsidRPr="00D046C0">
              <w:rPr>
                <w:rFonts w:ascii="Times New Roman" w:eastAsia="Times New Roman" w:hAnsi="Times New Roman"/>
                <w:color w:val="000000"/>
                <w:sz w:val="24"/>
                <w:szCs w:val="24"/>
                <w:lang w:eastAsia="en-GB"/>
              </w:rPr>
              <w:t>Amadi</w:t>
            </w:r>
            <w:proofErr w:type="spellEnd"/>
          </w:p>
        </w:tc>
        <w:tc>
          <w:tcPr>
            <w:tcW w:w="2384"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proofErr w:type="spellStart"/>
            <w:r w:rsidRPr="00D046C0">
              <w:rPr>
                <w:rFonts w:ascii="Times New Roman" w:eastAsia="Times New Roman" w:hAnsi="Times New Roman"/>
                <w:color w:val="000000"/>
                <w:sz w:val="24"/>
                <w:szCs w:val="24"/>
                <w:lang w:eastAsia="en-GB"/>
              </w:rPr>
              <w:t>Abuloma</w:t>
            </w:r>
            <w:proofErr w:type="spellEnd"/>
            <w:r w:rsidRPr="00D046C0">
              <w:rPr>
                <w:rFonts w:ascii="Times New Roman" w:eastAsia="Times New Roman" w:hAnsi="Times New Roman"/>
                <w:color w:val="000000"/>
                <w:sz w:val="24"/>
                <w:szCs w:val="24"/>
                <w:lang w:eastAsia="en-GB"/>
              </w:rPr>
              <w:t xml:space="preserve"> Road</w:t>
            </w:r>
          </w:p>
        </w:tc>
        <w:tc>
          <w:tcPr>
            <w:tcW w:w="1444" w:type="dxa"/>
            <w:tcBorders>
              <w:top w:val="nil"/>
              <w:left w:val="nil"/>
              <w:bottom w:val="nil"/>
              <w:right w:val="nil"/>
            </w:tcBorders>
            <w:shd w:val="clear" w:color="auto" w:fill="auto"/>
            <w:vAlign w:val="center"/>
            <w:hideMark/>
          </w:tcPr>
          <w:p w:rsidR="00C145D2" w:rsidRPr="00D046C0" w:rsidRDefault="00C145D2" w:rsidP="004110DF">
            <w:pPr>
              <w:spacing w:after="0" w:line="240" w:lineRule="auto"/>
              <w:jc w:val="right"/>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1032.55</w:t>
            </w:r>
          </w:p>
        </w:tc>
        <w:tc>
          <w:tcPr>
            <w:tcW w:w="2398"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Relatively Remote</w:t>
            </w:r>
          </w:p>
        </w:tc>
      </w:tr>
      <w:tr w:rsidR="00C145D2" w:rsidRPr="00D046C0" w:rsidTr="0094006F">
        <w:trPr>
          <w:trHeight w:val="367"/>
        </w:trPr>
        <w:tc>
          <w:tcPr>
            <w:tcW w:w="567" w:type="dxa"/>
            <w:tcBorders>
              <w:top w:val="nil"/>
              <w:left w:val="nil"/>
              <w:bottom w:val="nil"/>
              <w:right w:val="nil"/>
            </w:tcBorders>
            <w:shd w:val="clear" w:color="auto" w:fill="auto"/>
            <w:vAlign w:val="center"/>
            <w:hideMark/>
          </w:tcPr>
          <w:p w:rsidR="00C145D2" w:rsidRPr="00D046C0" w:rsidRDefault="00C145D2" w:rsidP="004110DF">
            <w:pPr>
              <w:spacing w:after="0" w:line="240" w:lineRule="auto"/>
              <w:jc w:val="right"/>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6</w:t>
            </w:r>
          </w:p>
        </w:tc>
        <w:tc>
          <w:tcPr>
            <w:tcW w:w="2442"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 xml:space="preserve">Koko </w:t>
            </w:r>
            <w:proofErr w:type="spellStart"/>
            <w:r w:rsidRPr="00D046C0">
              <w:rPr>
                <w:rFonts w:ascii="Times New Roman" w:eastAsia="Times New Roman" w:hAnsi="Times New Roman"/>
                <w:color w:val="000000"/>
                <w:sz w:val="24"/>
                <w:szCs w:val="24"/>
                <w:lang w:eastAsia="en-GB"/>
              </w:rPr>
              <w:t>Ama</w:t>
            </w:r>
            <w:proofErr w:type="spellEnd"/>
          </w:p>
        </w:tc>
        <w:tc>
          <w:tcPr>
            <w:tcW w:w="2384"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w:t>
            </w:r>
          </w:p>
        </w:tc>
        <w:tc>
          <w:tcPr>
            <w:tcW w:w="1444" w:type="dxa"/>
            <w:tcBorders>
              <w:top w:val="nil"/>
              <w:left w:val="nil"/>
              <w:bottom w:val="nil"/>
              <w:right w:val="nil"/>
            </w:tcBorders>
            <w:shd w:val="clear" w:color="auto" w:fill="auto"/>
            <w:vAlign w:val="center"/>
            <w:hideMark/>
          </w:tcPr>
          <w:p w:rsidR="00C145D2" w:rsidRPr="00D046C0" w:rsidRDefault="00C145D2" w:rsidP="004110DF">
            <w:pPr>
              <w:spacing w:after="0" w:line="240" w:lineRule="auto"/>
              <w:jc w:val="right"/>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206.2</w:t>
            </w:r>
          </w:p>
        </w:tc>
        <w:tc>
          <w:tcPr>
            <w:tcW w:w="2398"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Highly Accessible</w:t>
            </w:r>
          </w:p>
        </w:tc>
      </w:tr>
      <w:tr w:rsidR="00C145D2" w:rsidRPr="00D046C0" w:rsidTr="0094006F">
        <w:trPr>
          <w:trHeight w:val="415"/>
        </w:trPr>
        <w:tc>
          <w:tcPr>
            <w:tcW w:w="567" w:type="dxa"/>
            <w:tcBorders>
              <w:top w:val="nil"/>
              <w:left w:val="nil"/>
              <w:bottom w:val="nil"/>
              <w:right w:val="nil"/>
            </w:tcBorders>
            <w:shd w:val="clear" w:color="auto" w:fill="auto"/>
            <w:vAlign w:val="center"/>
            <w:hideMark/>
          </w:tcPr>
          <w:p w:rsidR="00C145D2" w:rsidRPr="00D046C0" w:rsidRDefault="00C145D2" w:rsidP="004110DF">
            <w:pPr>
              <w:spacing w:after="0" w:line="240" w:lineRule="auto"/>
              <w:jc w:val="right"/>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7</w:t>
            </w:r>
          </w:p>
        </w:tc>
        <w:tc>
          <w:tcPr>
            <w:tcW w:w="2442"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proofErr w:type="spellStart"/>
            <w:r w:rsidRPr="00D046C0">
              <w:rPr>
                <w:rFonts w:ascii="Times New Roman" w:eastAsia="Times New Roman" w:hAnsi="Times New Roman"/>
                <w:color w:val="000000"/>
                <w:sz w:val="24"/>
                <w:szCs w:val="24"/>
                <w:lang w:eastAsia="en-GB"/>
              </w:rPr>
              <w:t>Okuru</w:t>
            </w:r>
            <w:proofErr w:type="spellEnd"/>
          </w:p>
        </w:tc>
        <w:tc>
          <w:tcPr>
            <w:tcW w:w="2384"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w:t>
            </w:r>
          </w:p>
        </w:tc>
        <w:tc>
          <w:tcPr>
            <w:tcW w:w="1444" w:type="dxa"/>
            <w:tcBorders>
              <w:top w:val="nil"/>
              <w:left w:val="nil"/>
              <w:bottom w:val="nil"/>
              <w:right w:val="nil"/>
            </w:tcBorders>
            <w:shd w:val="clear" w:color="auto" w:fill="auto"/>
            <w:vAlign w:val="center"/>
            <w:hideMark/>
          </w:tcPr>
          <w:p w:rsidR="00C145D2" w:rsidRPr="00D046C0" w:rsidRDefault="00C145D2" w:rsidP="004110DF">
            <w:pPr>
              <w:spacing w:after="0" w:line="240" w:lineRule="auto"/>
              <w:jc w:val="right"/>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832.14</w:t>
            </w:r>
          </w:p>
        </w:tc>
        <w:tc>
          <w:tcPr>
            <w:tcW w:w="2398"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Relatively Remote</w:t>
            </w:r>
          </w:p>
        </w:tc>
      </w:tr>
      <w:tr w:rsidR="00C145D2" w:rsidRPr="00D046C0" w:rsidTr="0094006F">
        <w:trPr>
          <w:trHeight w:val="435"/>
        </w:trPr>
        <w:tc>
          <w:tcPr>
            <w:tcW w:w="567" w:type="dxa"/>
            <w:tcBorders>
              <w:top w:val="nil"/>
              <w:left w:val="nil"/>
              <w:bottom w:val="nil"/>
              <w:right w:val="nil"/>
            </w:tcBorders>
            <w:shd w:val="clear" w:color="auto" w:fill="auto"/>
            <w:vAlign w:val="center"/>
            <w:hideMark/>
          </w:tcPr>
          <w:p w:rsidR="00C145D2" w:rsidRPr="00D046C0" w:rsidRDefault="00C145D2" w:rsidP="004110DF">
            <w:pPr>
              <w:spacing w:after="0" w:line="240" w:lineRule="auto"/>
              <w:jc w:val="right"/>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8</w:t>
            </w:r>
          </w:p>
        </w:tc>
        <w:tc>
          <w:tcPr>
            <w:tcW w:w="2442"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Marine Base</w:t>
            </w:r>
          </w:p>
        </w:tc>
        <w:tc>
          <w:tcPr>
            <w:tcW w:w="2384"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w:t>
            </w:r>
          </w:p>
        </w:tc>
        <w:tc>
          <w:tcPr>
            <w:tcW w:w="1444" w:type="dxa"/>
            <w:tcBorders>
              <w:top w:val="nil"/>
              <w:left w:val="nil"/>
              <w:bottom w:val="nil"/>
              <w:right w:val="nil"/>
            </w:tcBorders>
            <w:shd w:val="clear" w:color="auto" w:fill="auto"/>
            <w:vAlign w:val="center"/>
            <w:hideMark/>
          </w:tcPr>
          <w:p w:rsidR="00C145D2" w:rsidRPr="00D046C0" w:rsidRDefault="00C145D2" w:rsidP="004110DF">
            <w:pPr>
              <w:spacing w:after="0" w:line="240" w:lineRule="auto"/>
              <w:jc w:val="right"/>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224.91</w:t>
            </w:r>
          </w:p>
        </w:tc>
        <w:tc>
          <w:tcPr>
            <w:tcW w:w="2398"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Highly Accessible</w:t>
            </w:r>
          </w:p>
        </w:tc>
      </w:tr>
      <w:tr w:rsidR="00C145D2" w:rsidRPr="00D046C0" w:rsidTr="0094006F">
        <w:trPr>
          <w:trHeight w:val="270"/>
        </w:trPr>
        <w:tc>
          <w:tcPr>
            <w:tcW w:w="567" w:type="dxa"/>
            <w:tcBorders>
              <w:top w:val="nil"/>
              <w:left w:val="nil"/>
              <w:bottom w:val="nil"/>
              <w:right w:val="nil"/>
            </w:tcBorders>
            <w:shd w:val="clear" w:color="auto" w:fill="auto"/>
            <w:vAlign w:val="center"/>
            <w:hideMark/>
          </w:tcPr>
          <w:p w:rsidR="00C145D2" w:rsidRPr="00D046C0" w:rsidRDefault="00C145D2" w:rsidP="004110DF">
            <w:pPr>
              <w:spacing w:after="0" w:line="240" w:lineRule="auto"/>
              <w:jc w:val="right"/>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9</w:t>
            </w:r>
          </w:p>
        </w:tc>
        <w:tc>
          <w:tcPr>
            <w:tcW w:w="2442"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Aggrey</w:t>
            </w:r>
          </w:p>
        </w:tc>
        <w:tc>
          <w:tcPr>
            <w:tcW w:w="2384"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w:t>
            </w:r>
          </w:p>
        </w:tc>
        <w:tc>
          <w:tcPr>
            <w:tcW w:w="1444" w:type="dxa"/>
            <w:tcBorders>
              <w:top w:val="nil"/>
              <w:left w:val="nil"/>
              <w:bottom w:val="nil"/>
              <w:right w:val="nil"/>
            </w:tcBorders>
            <w:shd w:val="clear" w:color="auto" w:fill="auto"/>
            <w:vAlign w:val="center"/>
            <w:hideMark/>
          </w:tcPr>
          <w:p w:rsidR="00C145D2" w:rsidRPr="00D046C0" w:rsidRDefault="00C145D2" w:rsidP="004110DF">
            <w:pPr>
              <w:spacing w:after="0" w:line="240" w:lineRule="auto"/>
              <w:jc w:val="right"/>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325.47</w:t>
            </w:r>
          </w:p>
        </w:tc>
        <w:tc>
          <w:tcPr>
            <w:tcW w:w="2398"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Moderately Accessible</w:t>
            </w:r>
          </w:p>
        </w:tc>
      </w:tr>
      <w:tr w:rsidR="00C145D2" w:rsidRPr="00D046C0" w:rsidTr="0094006F">
        <w:trPr>
          <w:trHeight w:val="431"/>
        </w:trPr>
        <w:tc>
          <w:tcPr>
            <w:tcW w:w="567" w:type="dxa"/>
            <w:tcBorders>
              <w:top w:val="nil"/>
              <w:left w:val="nil"/>
              <w:bottom w:val="nil"/>
              <w:right w:val="nil"/>
            </w:tcBorders>
            <w:shd w:val="clear" w:color="auto" w:fill="auto"/>
            <w:vAlign w:val="center"/>
            <w:hideMark/>
          </w:tcPr>
          <w:p w:rsidR="00C145D2" w:rsidRPr="00D046C0" w:rsidRDefault="00C145D2" w:rsidP="004110DF">
            <w:pPr>
              <w:spacing w:after="0" w:line="240" w:lineRule="auto"/>
              <w:jc w:val="right"/>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10</w:t>
            </w:r>
          </w:p>
        </w:tc>
        <w:tc>
          <w:tcPr>
            <w:tcW w:w="2442"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proofErr w:type="spellStart"/>
            <w:r w:rsidRPr="00D046C0">
              <w:rPr>
                <w:rFonts w:ascii="Times New Roman" w:eastAsia="Times New Roman" w:hAnsi="Times New Roman"/>
                <w:color w:val="000000"/>
                <w:sz w:val="24"/>
                <w:szCs w:val="24"/>
                <w:lang w:eastAsia="en-GB"/>
              </w:rPr>
              <w:t>Abuloma</w:t>
            </w:r>
            <w:proofErr w:type="spellEnd"/>
          </w:p>
        </w:tc>
        <w:tc>
          <w:tcPr>
            <w:tcW w:w="2384"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w:t>
            </w:r>
          </w:p>
        </w:tc>
        <w:tc>
          <w:tcPr>
            <w:tcW w:w="1444" w:type="dxa"/>
            <w:tcBorders>
              <w:top w:val="nil"/>
              <w:left w:val="nil"/>
              <w:bottom w:val="nil"/>
              <w:right w:val="nil"/>
            </w:tcBorders>
            <w:shd w:val="clear" w:color="auto" w:fill="auto"/>
            <w:vAlign w:val="center"/>
            <w:hideMark/>
          </w:tcPr>
          <w:p w:rsidR="00C145D2" w:rsidRPr="00D046C0" w:rsidRDefault="00C145D2" w:rsidP="004110DF">
            <w:pPr>
              <w:spacing w:after="0" w:line="240" w:lineRule="auto"/>
              <w:jc w:val="right"/>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538.15</w:t>
            </w:r>
          </w:p>
        </w:tc>
        <w:tc>
          <w:tcPr>
            <w:tcW w:w="2398"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Moderately Accessible</w:t>
            </w:r>
          </w:p>
        </w:tc>
      </w:tr>
      <w:tr w:rsidR="00C145D2" w:rsidRPr="00D046C0" w:rsidTr="0094006F">
        <w:trPr>
          <w:trHeight w:val="281"/>
        </w:trPr>
        <w:tc>
          <w:tcPr>
            <w:tcW w:w="567" w:type="dxa"/>
            <w:tcBorders>
              <w:top w:val="nil"/>
              <w:left w:val="nil"/>
              <w:bottom w:val="nil"/>
              <w:right w:val="nil"/>
            </w:tcBorders>
            <w:shd w:val="clear" w:color="auto" w:fill="auto"/>
            <w:vAlign w:val="center"/>
            <w:hideMark/>
          </w:tcPr>
          <w:p w:rsidR="00C145D2" w:rsidRPr="00D046C0" w:rsidRDefault="00C145D2" w:rsidP="004110DF">
            <w:pPr>
              <w:spacing w:after="0" w:line="240" w:lineRule="auto"/>
              <w:jc w:val="right"/>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11</w:t>
            </w:r>
          </w:p>
        </w:tc>
        <w:tc>
          <w:tcPr>
            <w:tcW w:w="2442"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 xml:space="preserve">UPE </w:t>
            </w:r>
            <w:proofErr w:type="spellStart"/>
            <w:r w:rsidRPr="00D046C0">
              <w:rPr>
                <w:rFonts w:ascii="Times New Roman" w:eastAsia="Times New Roman" w:hAnsi="Times New Roman"/>
                <w:color w:val="000000"/>
                <w:sz w:val="24"/>
                <w:szCs w:val="24"/>
                <w:lang w:eastAsia="en-GB"/>
              </w:rPr>
              <w:t>Sandfill</w:t>
            </w:r>
            <w:proofErr w:type="spellEnd"/>
          </w:p>
        </w:tc>
        <w:tc>
          <w:tcPr>
            <w:tcW w:w="2384"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w:t>
            </w:r>
          </w:p>
        </w:tc>
        <w:tc>
          <w:tcPr>
            <w:tcW w:w="1444" w:type="dxa"/>
            <w:tcBorders>
              <w:top w:val="nil"/>
              <w:left w:val="nil"/>
              <w:bottom w:val="nil"/>
              <w:right w:val="nil"/>
            </w:tcBorders>
            <w:shd w:val="clear" w:color="auto" w:fill="auto"/>
            <w:vAlign w:val="center"/>
            <w:hideMark/>
          </w:tcPr>
          <w:p w:rsidR="00C145D2" w:rsidRPr="00D046C0" w:rsidRDefault="00C145D2" w:rsidP="004110DF">
            <w:pPr>
              <w:spacing w:after="0" w:line="240" w:lineRule="auto"/>
              <w:jc w:val="right"/>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447.23</w:t>
            </w:r>
          </w:p>
        </w:tc>
        <w:tc>
          <w:tcPr>
            <w:tcW w:w="2398"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Moderately Accessible</w:t>
            </w:r>
          </w:p>
        </w:tc>
      </w:tr>
      <w:tr w:rsidR="00C145D2" w:rsidRPr="00D046C0" w:rsidTr="0094006F">
        <w:trPr>
          <w:trHeight w:val="427"/>
        </w:trPr>
        <w:tc>
          <w:tcPr>
            <w:tcW w:w="567" w:type="dxa"/>
            <w:tcBorders>
              <w:top w:val="nil"/>
              <w:left w:val="nil"/>
              <w:bottom w:val="nil"/>
              <w:right w:val="nil"/>
            </w:tcBorders>
            <w:shd w:val="clear" w:color="auto" w:fill="auto"/>
            <w:vAlign w:val="center"/>
            <w:hideMark/>
          </w:tcPr>
          <w:p w:rsidR="00C145D2" w:rsidRPr="00D046C0" w:rsidRDefault="00C145D2" w:rsidP="004110DF">
            <w:pPr>
              <w:spacing w:after="0" w:line="240" w:lineRule="auto"/>
              <w:jc w:val="right"/>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12</w:t>
            </w:r>
          </w:p>
        </w:tc>
        <w:tc>
          <w:tcPr>
            <w:tcW w:w="2442"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proofErr w:type="spellStart"/>
            <w:r w:rsidRPr="00D046C0">
              <w:rPr>
                <w:rFonts w:ascii="Times New Roman" w:eastAsia="Times New Roman" w:hAnsi="Times New Roman"/>
                <w:color w:val="000000"/>
                <w:sz w:val="24"/>
                <w:szCs w:val="24"/>
                <w:lang w:eastAsia="en-GB"/>
              </w:rPr>
              <w:t>Ibeto</w:t>
            </w:r>
            <w:proofErr w:type="spellEnd"/>
          </w:p>
        </w:tc>
        <w:tc>
          <w:tcPr>
            <w:tcW w:w="2384"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w:t>
            </w:r>
          </w:p>
        </w:tc>
        <w:tc>
          <w:tcPr>
            <w:tcW w:w="1444" w:type="dxa"/>
            <w:tcBorders>
              <w:top w:val="nil"/>
              <w:left w:val="nil"/>
              <w:bottom w:val="nil"/>
              <w:right w:val="nil"/>
            </w:tcBorders>
            <w:shd w:val="clear" w:color="auto" w:fill="auto"/>
            <w:vAlign w:val="center"/>
            <w:hideMark/>
          </w:tcPr>
          <w:p w:rsidR="00C145D2" w:rsidRPr="00D046C0" w:rsidRDefault="00C145D2" w:rsidP="004110DF">
            <w:pPr>
              <w:spacing w:after="0" w:line="240" w:lineRule="auto"/>
              <w:jc w:val="right"/>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205.47</w:t>
            </w:r>
          </w:p>
        </w:tc>
        <w:tc>
          <w:tcPr>
            <w:tcW w:w="2398"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Highly Accessible</w:t>
            </w:r>
          </w:p>
        </w:tc>
      </w:tr>
      <w:tr w:rsidR="00C145D2" w:rsidRPr="00D046C0" w:rsidTr="0094006F">
        <w:trPr>
          <w:trHeight w:val="65"/>
        </w:trPr>
        <w:tc>
          <w:tcPr>
            <w:tcW w:w="567" w:type="dxa"/>
            <w:tcBorders>
              <w:top w:val="nil"/>
              <w:left w:val="nil"/>
              <w:right w:val="nil"/>
            </w:tcBorders>
            <w:shd w:val="clear" w:color="auto" w:fill="auto"/>
            <w:vAlign w:val="center"/>
            <w:hideMark/>
          </w:tcPr>
          <w:p w:rsidR="00C145D2" w:rsidRPr="00D046C0" w:rsidRDefault="00C145D2" w:rsidP="004110DF">
            <w:pPr>
              <w:spacing w:after="0" w:line="240" w:lineRule="auto"/>
              <w:jc w:val="right"/>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13</w:t>
            </w:r>
          </w:p>
        </w:tc>
        <w:tc>
          <w:tcPr>
            <w:tcW w:w="2442" w:type="dxa"/>
            <w:tcBorders>
              <w:top w:val="nil"/>
              <w:left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proofErr w:type="spellStart"/>
            <w:r w:rsidRPr="00D046C0">
              <w:rPr>
                <w:rFonts w:ascii="Times New Roman" w:eastAsia="Times New Roman" w:hAnsi="Times New Roman"/>
                <w:color w:val="000000"/>
                <w:sz w:val="24"/>
                <w:szCs w:val="24"/>
                <w:lang w:eastAsia="en-GB"/>
              </w:rPr>
              <w:t>Ndoki</w:t>
            </w:r>
            <w:proofErr w:type="spellEnd"/>
          </w:p>
        </w:tc>
        <w:tc>
          <w:tcPr>
            <w:tcW w:w="2384" w:type="dxa"/>
            <w:tcBorders>
              <w:top w:val="nil"/>
              <w:left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w:t>
            </w:r>
          </w:p>
        </w:tc>
        <w:tc>
          <w:tcPr>
            <w:tcW w:w="1444" w:type="dxa"/>
            <w:tcBorders>
              <w:top w:val="nil"/>
              <w:left w:val="nil"/>
              <w:right w:val="nil"/>
            </w:tcBorders>
            <w:shd w:val="clear" w:color="auto" w:fill="auto"/>
            <w:vAlign w:val="center"/>
            <w:hideMark/>
          </w:tcPr>
          <w:p w:rsidR="00C145D2" w:rsidRPr="00D046C0" w:rsidRDefault="00C145D2" w:rsidP="004110DF">
            <w:pPr>
              <w:spacing w:after="0" w:line="240" w:lineRule="auto"/>
              <w:jc w:val="right"/>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581.15</w:t>
            </w:r>
          </w:p>
        </w:tc>
        <w:tc>
          <w:tcPr>
            <w:tcW w:w="2398" w:type="dxa"/>
            <w:tcBorders>
              <w:top w:val="nil"/>
              <w:left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Moderately Accessible</w:t>
            </w:r>
          </w:p>
        </w:tc>
      </w:tr>
      <w:tr w:rsidR="00C145D2" w:rsidRPr="004110DF" w:rsidTr="0094006F">
        <w:trPr>
          <w:trHeight w:val="65"/>
        </w:trPr>
        <w:tc>
          <w:tcPr>
            <w:tcW w:w="567" w:type="dxa"/>
            <w:tcBorders>
              <w:top w:val="nil"/>
              <w:left w:val="nil"/>
              <w:bottom w:val="nil"/>
              <w:right w:val="nil"/>
            </w:tcBorders>
            <w:shd w:val="clear" w:color="auto" w:fill="auto"/>
            <w:vAlign w:val="center"/>
            <w:hideMark/>
          </w:tcPr>
          <w:p w:rsidR="00C145D2" w:rsidRPr="00D046C0" w:rsidRDefault="00C145D2" w:rsidP="004110DF">
            <w:pPr>
              <w:spacing w:after="0" w:line="240" w:lineRule="auto"/>
              <w:jc w:val="right"/>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14</w:t>
            </w:r>
          </w:p>
        </w:tc>
        <w:tc>
          <w:tcPr>
            <w:tcW w:w="2442"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 xml:space="preserve">New Road </w:t>
            </w:r>
            <w:proofErr w:type="spellStart"/>
            <w:r w:rsidRPr="00D046C0">
              <w:rPr>
                <w:rFonts w:ascii="Times New Roman" w:eastAsia="Times New Roman" w:hAnsi="Times New Roman"/>
                <w:color w:val="000000"/>
                <w:sz w:val="24"/>
                <w:szCs w:val="24"/>
                <w:lang w:eastAsia="en-GB"/>
              </w:rPr>
              <w:t>Borokiri</w:t>
            </w:r>
            <w:proofErr w:type="spellEnd"/>
          </w:p>
        </w:tc>
        <w:tc>
          <w:tcPr>
            <w:tcW w:w="2384"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w:t>
            </w:r>
          </w:p>
        </w:tc>
        <w:tc>
          <w:tcPr>
            <w:tcW w:w="1444" w:type="dxa"/>
            <w:tcBorders>
              <w:top w:val="nil"/>
              <w:left w:val="nil"/>
              <w:bottom w:val="nil"/>
              <w:right w:val="nil"/>
            </w:tcBorders>
            <w:shd w:val="clear" w:color="auto" w:fill="auto"/>
            <w:vAlign w:val="center"/>
            <w:hideMark/>
          </w:tcPr>
          <w:p w:rsidR="00C145D2" w:rsidRPr="00D046C0" w:rsidRDefault="00C145D2" w:rsidP="004110DF">
            <w:pPr>
              <w:spacing w:after="0" w:line="240" w:lineRule="auto"/>
              <w:jc w:val="right"/>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557.29</w:t>
            </w:r>
          </w:p>
        </w:tc>
        <w:tc>
          <w:tcPr>
            <w:tcW w:w="2398" w:type="dxa"/>
            <w:tcBorders>
              <w:top w:val="nil"/>
              <w:left w:val="nil"/>
              <w:bottom w:val="nil"/>
              <w:right w:val="nil"/>
            </w:tcBorders>
            <w:shd w:val="clear" w:color="auto" w:fill="auto"/>
            <w:vAlign w:val="center"/>
            <w:hideMark/>
          </w:tcPr>
          <w:p w:rsidR="00C145D2" w:rsidRPr="00D046C0" w:rsidRDefault="00C145D2" w:rsidP="004110DF">
            <w:pPr>
              <w:spacing w:after="0" w:line="240" w:lineRule="auto"/>
              <w:rPr>
                <w:rFonts w:ascii="Times New Roman" w:eastAsia="Times New Roman" w:hAnsi="Times New Roman"/>
                <w:color w:val="000000"/>
                <w:sz w:val="24"/>
                <w:szCs w:val="24"/>
                <w:lang w:eastAsia="en-GB"/>
              </w:rPr>
            </w:pPr>
            <w:r w:rsidRPr="00D046C0">
              <w:rPr>
                <w:rFonts w:ascii="Times New Roman" w:eastAsia="Times New Roman" w:hAnsi="Times New Roman"/>
                <w:color w:val="000000"/>
                <w:sz w:val="24"/>
                <w:szCs w:val="24"/>
                <w:lang w:eastAsia="en-GB"/>
              </w:rPr>
              <w:t>Moderately Accessible</w:t>
            </w:r>
          </w:p>
        </w:tc>
      </w:tr>
      <w:tr w:rsidR="00C145D2" w:rsidRPr="004110DF" w:rsidTr="0094006F">
        <w:trPr>
          <w:trHeight w:val="65"/>
        </w:trPr>
        <w:tc>
          <w:tcPr>
            <w:tcW w:w="567" w:type="dxa"/>
            <w:tcBorders>
              <w:top w:val="nil"/>
              <w:left w:val="nil"/>
              <w:bottom w:val="single" w:sz="4" w:space="0" w:color="auto"/>
              <w:right w:val="nil"/>
            </w:tcBorders>
            <w:shd w:val="clear" w:color="auto" w:fill="auto"/>
            <w:noWrap/>
            <w:vAlign w:val="bottom"/>
            <w:hideMark/>
          </w:tcPr>
          <w:p w:rsidR="00C145D2" w:rsidRPr="00D046C0" w:rsidRDefault="00C145D2" w:rsidP="0094006F">
            <w:pPr>
              <w:spacing w:after="0" w:line="240" w:lineRule="auto"/>
              <w:rPr>
                <w:rFonts w:ascii="Times New Roman" w:eastAsia="Times New Roman" w:hAnsi="Times New Roman"/>
                <w:color w:val="000000"/>
                <w:lang w:eastAsia="en-GB"/>
              </w:rPr>
            </w:pPr>
          </w:p>
        </w:tc>
        <w:tc>
          <w:tcPr>
            <w:tcW w:w="2442" w:type="dxa"/>
            <w:tcBorders>
              <w:top w:val="nil"/>
              <w:left w:val="nil"/>
              <w:bottom w:val="single" w:sz="4" w:space="0" w:color="auto"/>
              <w:right w:val="nil"/>
            </w:tcBorders>
            <w:shd w:val="clear" w:color="auto" w:fill="auto"/>
            <w:noWrap/>
            <w:vAlign w:val="bottom"/>
            <w:hideMark/>
          </w:tcPr>
          <w:p w:rsidR="00C145D2" w:rsidRPr="00D046C0" w:rsidRDefault="00C145D2" w:rsidP="0094006F">
            <w:pPr>
              <w:spacing w:after="0" w:line="240" w:lineRule="auto"/>
              <w:rPr>
                <w:rFonts w:ascii="Times New Roman" w:eastAsia="Times New Roman" w:hAnsi="Times New Roman"/>
                <w:sz w:val="20"/>
                <w:szCs w:val="20"/>
                <w:lang w:eastAsia="en-GB"/>
              </w:rPr>
            </w:pPr>
          </w:p>
        </w:tc>
        <w:tc>
          <w:tcPr>
            <w:tcW w:w="2384" w:type="dxa"/>
            <w:tcBorders>
              <w:top w:val="nil"/>
              <w:left w:val="nil"/>
              <w:bottom w:val="single" w:sz="4" w:space="0" w:color="auto"/>
              <w:right w:val="nil"/>
            </w:tcBorders>
            <w:shd w:val="clear" w:color="auto" w:fill="auto"/>
            <w:noWrap/>
            <w:vAlign w:val="bottom"/>
            <w:hideMark/>
          </w:tcPr>
          <w:p w:rsidR="00C145D2" w:rsidRPr="00D046C0" w:rsidRDefault="00C145D2" w:rsidP="0094006F">
            <w:pPr>
              <w:spacing w:after="0" w:line="240" w:lineRule="auto"/>
              <w:rPr>
                <w:rFonts w:ascii="Times New Roman" w:eastAsia="Times New Roman" w:hAnsi="Times New Roman"/>
                <w:sz w:val="20"/>
                <w:szCs w:val="20"/>
                <w:lang w:eastAsia="en-GB"/>
              </w:rPr>
            </w:pPr>
          </w:p>
        </w:tc>
        <w:tc>
          <w:tcPr>
            <w:tcW w:w="1444" w:type="dxa"/>
            <w:tcBorders>
              <w:top w:val="nil"/>
              <w:left w:val="nil"/>
              <w:bottom w:val="single" w:sz="4" w:space="0" w:color="auto"/>
              <w:right w:val="nil"/>
            </w:tcBorders>
            <w:shd w:val="clear" w:color="auto" w:fill="auto"/>
            <w:noWrap/>
            <w:vAlign w:val="bottom"/>
            <w:hideMark/>
          </w:tcPr>
          <w:p w:rsidR="00C145D2" w:rsidRPr="00D046C0" w:rsidRDefault="00C145D2" w:rsidP="0094006F">
            <w:pPr>
              <w:spacing w:after="0" w:line="240" w:lineRule="auto"/>
              <w:rPr>
                <w:rFonts w:ascii="Times New Roman" w:eastAsia="Times New Roman" w:hAnsi="Times New Roman"/>
                <w:sz w:val="20"/>
                <w:szCs w:val="20"/>
                <w:lang w:eastAsia="en-GB"/>
              </w:rPr>
            </w:pPr>
          </w:p>
        </w:tc>
        <w:tc>
          <w:tcPr>
            <w:tcW w:w="2398" w:type="dxa"/>
            <w:tcBorders>
              <w:top w:val="nil"/>
              <w:left w:val="nil"/>
              <w:bottom w:val="single" w:sz="4" w:space="0" w:color="auto"/>
              <w:right w:val="nil"/>
            </w:tcBorders>
            <w:shd w:val="clear" w:color="auto" w:fill="auto"/>
            <w:noWrap/>
            <w:vAlign w:val="bottom"/>
            <w:hideMark/>
          </w:tcPr>
          <w:p w:rsidR="00C145D2" w:rsidRPr="00D046C0" w:rsidRDefault="00C145D2" w:rsidP="0094006F">
            <w:pPr>
              <w:spacing w:after="0" w:line="240" w:lineRule="auto"/>
              <w:rPr>
                <w:rFonts w:ascii="Times New Roman" w:eastAsia="Times New Roman" w:hAnsi="Times New Roman"/>
                <w:sz w:val="20"/>
                <w:szCs w:val="20"/>
                <w:lang w:eastAsia="en-GB"/>
              </w:rPr>
            </w:pPr>
          </w:p>
        </w:tc>
      </w:tr>
    </w:tbl>
    <w:p w:rsidR="00C145D2" w:rsidRPr="004110DF" w:rsidRDefault="00C145D2" w:rsidP="00C145D2">
      <w:pPr>
        <w:pStyle w:val="NormalWeb"/>
        <w:spacing w:beforeAutospacing="0" w:afterAutospacing="0" w:line="360" w:lineRule="auto"/>
        <w:jc w:val="both"/>
        <w:rPr>
          <w:rStyle w:val="Emphasis"/>
          <w:rFonts w:ascii="Times New Roman" w:hAnsi="Times New Roman"/>
        </w:rPr>
      </w:pPr>
      <w:r w:rsidRPr="004110DF">
        <w:rPr>
          <w:rStyle w:val="Emphasis"/>
          <w:rFonts w:ascii="Times New Roman" w:hAnsi="Times New Roman"/>
        </w:rPr>
        <w:t>Source: Researchers’ GIS Analysis (2025)</w:t>
      </w:r>
    </w:p>
    <w:p w:rsidR="00C145D2" w:rsidRPr="004110DF" w:rsidRDefault="00C145D2" w:rsidP="00C145D2">
      <w:pPr>
        <w:pStyle w:val="NormalWeb"/>
        <w:spacing w:beforeAutospacing="0" w:afterAutospacing="0" w:line="360" w:lineRule="auto"/>
        <w:jc w:val="both"/>
        <w:rPr>
          <w:rStyle w:val="Emphasis"/>
          <w:rFonts w:ascii="Times New Roman" w:hAnsi="Times New Roman"/>
          <w:b/>
        </w:rPr>
      </w:pPr>
      <w:r w:rsidRPr="004110DF">
        <w:rPr>
          <w:rStyle w:val="Emphasis"/>
          <w:rFonts w:ascii="Times New Roman" w:hAnsi="Times New Roman"/>
          <w:b/>
        </w:rPr>
        <w:t>Proximity Categorization</w:t>
      </w:r>
    </w:p>
    <w:p w:rsidR="00C145D2" w:rsidRPr="004110DF" w:rsidRDefault="00C145D2" w:rsidP="00C145D2">
      <w:pPr>
        <w:pStyle w:val="ListParagraph"/>
        <w:numPr>
          <w:ilvl w:val="0"/>
          <w:numId w:val="5"/>
        </w:numPr>
        <w:spacing w:after="0" w:line="240" w:lineRule="auto"/>
        <w:rPr>
          <w:rFonts w:ascii="Times New Roman" w:eastAsia="Times New Roman" w:hAnsi="Times New Roman"/>
          <w:sz w:val="24"/>
          <w:szCs w:val="24"/>
          <w:lang w:eastAsia="en-GB"/>
        </w:rPr>
      </w:pPr>
      <w:r w:rsidRPr="004110DF">
        <w:rPr>
          <w:rFonts w:ascii="Times New Roman" w:eastAsia="Times New Roman" w:hAnsi="Times New Roman"/>
          <w:bCs/>
          <w:sz w:val="24"/>
          <w:szCs w:val="24"/>
          <w:lang w:eastAsia="en-GB"/>
        </w:rPr>
        <w:t>Highly Accessible:</w:t>
      </w:r>
      <w:r w:rsidRPr="004110DF">
        <w:rPr>
          <w:rFonts w:ascii="Times New Roman" w:eastAsia="Times New Roman" w:hAnsi="Times New Roman"/>
          <w:sz w:val="24"/>
          <w:szCs w:val="24"/>
          <w:lang w:eastAsia="en-GB"/>
        </w:rPr>
        <w:t xml:space="preserve"> &lt; 300 m </w:t>
      </w:r>
    </w:p>
    <w:p w:rsidR="00C145D2" w:rsidRPr="004110DF" w:rsidRDefault="00C145D2" w:rsidP="00C145D2">
      <w:pPr>
        <w:pStyle w:val="ListParagraph"/>
        <w:numPr>
          <w:ilvl w:val="0"/>
          <w:numId w:val="5"/>
        </w:numPr>
        <w:spacing w:after="0" w:line="240" w:lineRule="auto"/>
        <w:rPr>
          <w:rFonts w:ascii="Times New Roman" w:eastAsia="Times New Roman" w:hAnsi="Times New Roman"/>
          <w:sz w:val="24"/>
          <w:szCs w:val="24"/>
          <w:lang w:eastAsia="en-GB"/>
        </w:rPr>
      </w:pPr>
      <w:r w:rsidRPr="004110DF">
        <w:rPr>
          <w:rFonts w:ascii="Times New Roman" w:eastAsia="Times New Roman" w:hAnsi="Times New Roman"/>
          <w:bCs/>
          <w:sz w:val="24"/>
          <w:szCs w:val="24"/>
          <w:lang w:eastAsia="en-GB"/>
        </w:rPr>
        <w:t>Moderately Accessible:</w:t>
      </w:r>
      <w:r w:rsidRPr="004110DF">
        <w:rPr>
          <w:rFonts w:ascii="Times New Roman" w:eastAsia="Times New Roman" w:hAnsi="Times New Roman"/>
          <w:sz w:val="24"/>
          <w:szCs w:val="24"/>
          <w:lang w:eastAsia="en-GB"/>
        </w:rPr>
        <w:t xml:space="preserve"> 300 – 600 m </w:t>
      </w:r>
    </w:p>
    <w:p w:rsidR="00C145D2" w:rsidRPr="004110DF" w:rsidRDefault="00C145D2" w:rsidP="00C145D2">
      <w:pPr>
        <w:pStyle w:val="NormalWeb"/>
        <w:numPr>
          <w:ilvl w:val="0"/>
          <w:numId w:val="5"/>
        </w:numPr>
        <w:spacing w:beforeAutospacing="0" w:afterAutospacing="0" w:line="360" w:lineRule="auto"/>
        <w:jc w:val="both"/>
        <w:rPr>
          <w:rStyle w:val="Emphasis"/>
          <w:rFonts w:ascii="Times New Roman" w:hAnsi="Times New Roman"/>
        </w:rPr>
      </w:pPr>
      <w:r w:rsidRPr="004110DF">
        <w:rPr>
          <w:rFonts w:ascii="Times New Roman" w:hAnsi="Times New Roman"/>
          <w:bCs/>
        </w:rPr>
        <w:t>Relatively Remote:</w:t>
      </w:r>
      <w:r w:rsidRPr="004110DF">
        <w:rPr>
          <w:rFonts w:ascii="Times New Roman" w:hAnsi="Times New Roman"/>
        </w:rPr>
        <w:t xml:space="preserve"> &gt; 600 m</w:t>
      </w:r>
    </w:p>
    <w:p w:rsidR="00C145D2" w:rsidRPr="004110DF" w:rsidRDefault="00C145D2" w:rsidP="00C145D2">
      <w:pPr>
        <w:pStyle w:val="NormalWeb"/>
        <w:spacing w:beforeAutospacing="0" w:afterAutospacing="0" w:line="360" w:lineRule="auto"/>
        <w:jc w:val="both"/>
        <w:rPr>
          <w:rFonts w:ascii="Times New Roman" w:hAnsi="Times New Roman"/>
        </w:rPr>
      </w:pPr>
      <w:r w:rsidRPr="004110DF">
        <w:rPr>
          <w:rFonts w:ascii="Times New Roman" w:hAnsi="Times New Roman"/>
        </w:rPr>
        <w:t>The categorization shows that the majority of wetland settlements fall within the highly and moderately accessible categories, reinforcing the role of proximity to major road infrastructure as a key driver of wetland neighbourhood development.</w:t>
      </w:r>
    </w:p>
    <w:p w:rsidR="00C145D2" w:rsidRPr="00B964D6" w:rsidRDefault="00C145D2" w:rsidP="00C145D2">
      <w:pPr>
        <w:spacing w:after="0" w:line="360" w:lineRule="auto"/>
        <w:jc w:val="both"/>
        <w:rPr>
          <w:rFonts w:ascii="Times New Roman" w:hAnsi="Times New Roman"/>
          <w:sz w:val="24"/>
          <w:szCs w:val="24"/>
        </w:rPr>
      </w:pPr>
      <w:r w:rsidRPr="00B964D6">
        <w:rPr>
          <w:rFonts w:ascii="Times New Roman" w:hAnsi="Times New Roman"/>
          <w:noProof/>
          <w:sz w:val="24"/>
          <w:szCs w:val="24"/>
        </w:rPr>
        <w:lastRenderedPageBreak/>
        <w:drawing>
          <wp:inline distT="0" distB="0" distL="0" distR="0" wp14:anchorId="0348F256" wp14:editId="20857867">
            <wp:extent cx="4607317" cy="5018400"/>
            <wp:effectExtent l="19050" t="19050" r="2222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421" b="16468"/>
                    <a:stretch/>
                  </pic:blipFill>
                  <pic:spPr bwMode="auto">
                    <a:xfrm>
                      <a:off x="0" y="0"/>
                      <a:ext cx="4612266" cy="5023791"/>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C145D2" w:rsidRPr="00C145D2" w:rsidRDefault="00C145D2" w:rsidP="00C145D2">
      <w:pPr>
        <w:pStyle w:val="Heading3"/>
        <w:spacing w:before="0" w:line="240" w:lineRule="auto"/>
        <w:jc w:val="both"/>
        <w:rPr>
          <w:rFonts w:ascii="Times New Roman" w:hAnsi="Times New Roman" w:cs="Times New Roman"/>
          <w:color w:val="auto"/>
        </w:rPr>
      </w:pPr>
      <w:r w:rsidRPr="00C145D2">
        <w:rPr>
          <w:rStyle w:val="Strong"/>
          <w:rFonts w:ascii="Times New Roman" w:hAnsi="Times New Roman" w:cs="Times New Roman"/>
          <w:b w:val="0"/>
          <w:bCs w:val="0"/>
          <w:color w:val="auto"/>
        </w:rPr>
        <w:t xml:space="preserve">Figure </w:t>
      </w:r>
      <w:r w:rsidR="009A34C9">
        <w:rPr>
          <w:rStyle w:val="Strong"/>
          <w:rFonts w:ascii="Times New Roman" w:hAnsi="Times New Roman" w:cs="Times New Roman"/>
          <w:b w:val="0"/>
          <w:bCs w:val="0"/>
          <w:color w:val="auto"/>
        </w:rPr>
        <w:t>1</w:t>
      </w:r>
      <w:r w:rsidRPr="00C145D2">
        <w:rPr>
          <w:rStyle w:val="Strong"/>
          <w:rFonts w:ascii="Times New Roman" w:hAnsi="Times New Roman" w:cs="Times New Roman"/>
          <w:b w:val="0"/>
          <w:bCs w:val="0"/>
          <w:color w:val="auto"/>
        </w:rPr>
        <w:t>: Spatial Distribution of Wetland Settlements and Road Network in Port Harcourt</w:t>
      </w:r>
    </w:p>
    <w:p w:rsidR="00C145D2" w:rsidRDefault="00C145D2" w:rsidP="00C145D2">
      <w:pPr>
        <w:pStyle w:val="NormalWeb"/>
        <w:spacing w:beforeAutospacing="0" w:afterAutospacing="0"/>
        <w:jc w:val="both"/>
        <w:rPr>
          <w:rStyle w:val="Emphasis"/>
          <w:rFonts w:ascii="Times New Roman" w:hAnsi="Times New Roman"/>
        </w:rPr>
      </w:pPr>
      <w:r w:rsidRPr="00C145D2">
        <w:rPr>
          <w:rStyle w:val="Emphasis"/>
          <w:rFonts w:ascii="Times New Roman" w:hAnsi="Times New Roman"/>
        </w:rPr>
        <w:t>Source: Satellite Imagery and GIS Analysis (2025)</w:t>
      </w:r>
    </w:p>
    <w:p w:rsidR="004110DF" w:rsidRPr="00C145D2" w:rsidRDefault="004110DF" w:rsidP="00C145D2">
      <w:pPr>
        <w:pStyle w:val="NormalWeb"/>
        <w:spacing w:beforeAutospacing="0" w:afterAutospacing="0"/>
        <w:jc w:val="both"/>
        <w:rPr>
          <w:rFonts w:ascii="Times New Roman" w:hAnsi="Times New Roman"/>
        </w:rPr>
      </w:pPr>
    </w:p>
    <w:p w:rsidR="00C145D2" w:rsidRPr="00C145D2" w:rsidRDefault="00C145D2" w:rsidP="00C145D2">
      <w:pPr>
        <w:pStyle w:val="NormalWeb"/>
        <w:spacing w:beforeAutospacing="0" w:afterAutospacing="0" w:line="360" w:lineRule="auto"/>
        <w:jc w:val="both"/>
        <w:rPr>
          <w:rFonts w:ascii="Times New Roman" w:hAnsi="Times New Roman"/>
        </w:rPr>
      </w:pPr>
      <w:r w:rsidRPr="00C145D2">
        <w:rPr>
          <w:rFonts w:ascii="Times New Roman" w:hAnsi="Times New Roman"/>
        </w:rPr>
        <w:t xml:space="preserve">The distribution presented in </w:t>
      </w:r>
      <w:r w:rsidRPr="00C145D2">
        <w:rPr>
          <w:rStyle w:val="Strong"/>
          <w:rFonts w:ascii="Times New Roman" w:hAnsi="Times New Roman"/>
          <w:b w:val="0"/>
        </w:rPr>
        <w:t>Table 9</w:t>
      </w:r>
      <w:r w:rsidRPr="00C145D2">
        <w:rPr>
          <w:rFonts w:ascii="Times New Roman" w:hAnsi="Times New Roman"/>
        </w:rPr>
        <w:t xml:space="preserve"> indicates that the majority of wetland settlements are located within accessible distances of major roads, reinforcing the role of transport infrastructure as a key determinant of settlement development. Settlements in close proximity to roads tend to exhibit higher levels of consolidation and spatial organization, suggesting stronger integration into the urban system. In contrast, those located farther from major roads are generally more dispersed, less structured, and more likely to experience limited infrastructure provision and increased environmental vulnerability.</w:t>
      </w:r>
    </w:p>
    <w:p w:rsidR="00C145D2" w:rsidRPr="00C145D2" w:rsidRDefault="00C145D2" w:rsidP="00C145D2">
      <w:pPr>
        <w:pStyle w:val="NormalWeb"/>
        <w:spacing w:beforeAutospacing="0" w:afterAutospacing="0" w:line="360" w:lineRule="auto"/>
        <w:jc w:val="both"/>
        <w:rPr>
          <w:rFonts w:ascii="Times New Roman" w:hAnsi="Times New Roman"/>
        </w:rPr>
      </w:pPr>
      <w:r w:rsidRPr="00C145D2">
        <w:rPr>
          <w:rFonts w:ascii="Times New Roman" w:hAnsi="Times New Roman"/>
        </w:rPr>
        <w:t xml:space="preserve">Overall, the combined evidence from </w:t>
      </w:r>
      <w:r w:rsidRPr="00C145D2">
        <w:rPr>
          <w:rStyle w:val="Strong"/>
          <w:rFonts w:ascii="Times New Roman" w:hAnsi="Times New Roman"/>
          <w:b w:val="0"/>
        </w:rPr>
        <w:t xml:space="preserve">Figure </w:t>
      </w:r>
      <w:r w:rsidR="009A34C9">
        <w:rPr>
          <w:rStyle w:val="Strong"/>
          <w:rFonts w:ascii="Times New Roman" w:hAnsi="Times New Roman"/>
          <w:b w:val="0"/>
        </w:rPr>
        <w:t>1</w:t>
      </w:r>
      <w:r w:rsidRPr="00C145D2">
        <w:rPr>
          <w:rFonts w:ascii="Times New Roman" w:hAnsi="Times New Roman"/>
        </w:rPr>
        <w:t xml:space="preserve"> and </w:t>
      </w:r>
      <w:r w:rsidRPr="00C145D2">
        <w:rPr>
          <w:rStyle w:val="Strong"/>
          <w:rFonts w:ascii="Times New Roman" w:hAnsi="Times New Roman"/>
          <w:b w:val="0"/>
        </w:rPr>
        <w:t>Table 9</w:t>
      </w:r>
      <w:r w:rsidRPr="00C145D2">
        <w:rPr>
          <w:rFonts w:ascii="Times New Roman" w:hAnsi="Times New Roman"/>
        </w:rPr>
        <w:t xml:space="preserve"> demonstrates that wetland settlement development in Port Harcourt is largely shaped by the interplay between accessibility and land </w:t>
      </w:r>
      <w:r w:rsidRPr="00C145D2">
        <w:rPr>
          <w:rFonts w:ascii="Times New Roman" w:hAnsi="Times New Roman"/>
        </w:rPr>
        <w:lastRenderedPageBreak/>
        <w:t>availability. While environmental constraints would typically discourage development in wetland areas, the advantages of proximity to major roads appear to outweigh these risks. This has resulted in sustained encroachment into ecologically fragile zones, highlighting the dominant influence of accessibility in urban expansion and underscoring the need for more effective land-use planning and development control mechanisms in the study area.</w:t>
      </w:r>
    </w:p>
    <w:p w:rsidR="008A4883" w:rsidRPr="008A4883" w:rsidRDefault="008A4883" w:rsidP="008A4883">
      <w:pPr>
        <w:spacing w:after="0" w:line="360" w:lineRule="auto"/>
        <w:jc w:val="both"/>
        <w:outlineLvl w:val="1"/>
        <w:rPr>
          <w:rFonts w:ascii="Times New Roman" w:eastAsia="Times New Roman" w:hAnsi="Times New Roman"/>
          <w:b/>
          <w:bCs/>
          <w:sz w:val="12"/>
          <w:szCs w:val="24"/>
          <w:lang w:eastAsia="en-GB"/>
        </w:rPr>
      </w:pPr>
      <w:bookmarkStart w:id="0" w:name="_Hlk221270586"/>
    </w:p>
    <w:p w:rsidR="008A4883" w:rsidRPr="006F728B" w:rsidRDefault="002B6B3A" w:rsidP="008A4883">
      <w:pPr>
        <w:spacing w:after="0" w:line="360" w:lineRule="auto"/>
        <w:jc w:val="both"/>
        <w:outlineLvl w:val="1"/>
        <w:rPr>
          <w:rFonts w:ascii="Times New Roman" w:eastAsia="Times New Roman" w:hAnsi="Times New Roman"/>
          <w:b/>
          <w:bCs/>
          <w:sz w:val="24"/>
          <w:szCs w:val="24"/>
          <w:lang w:eastAsia="en-GB"/>
        </w:rPr>
      </w:pPr>
      <w:r>
        <w:rPr>
          <w:rFonts w:ascii="Times New Roman" w:eastAsia="Times New Roman" w:hAnsi="Times New Roman"/>
          <w:b/>
          <w:bCs/>
          <w:sz w:val="24"/>
          <w:szCs w:val="24"/>
          <w:lang w:eastAsia="en-GB"/>
        </w:rPr>
        <w:t>7</w:t>
      </w:r>
      <w:r w:rsidR="008A4883" w:rsidRPr="008A4883">
        <w:rPr>
          <w:rFonts w:ascii="Times New Roman" w:eastAsia="Times New Roman" w:hAnsi="Times New Roman"/>
          <w:b/>
          <w:bCs/>
          <w:sz w:val="24"/>
          <w:szCs w:val="24"/>
          <w:lang w:eastAsia="en-GB"/>
        </w:rPr>
        <w:t xml:space="preserve">. Discussion </w:t>
      </w:r>
    </w:p>
    <w:p w:rsidR="008A4883" w:rsidRPr="006F728B" w:rsidRDefault="008A4883" w:rsidP="008A4883">
      <w:pPr>
        <w:spacing w:after="0" w:line="360" w:lineRule="auto"/>
        <w:jc w:val="both"/>
        <w:rPr>
          <w:rFonts w:ascii="Times New Roman" w:eastAsia="Times New Roman" w:hAnsi="Times New Roman"/>
          <w:sz w:val="24"/>
          <w:szCs w:val="24"/>
          <w:lang w:eastAsia="en-GB"/>
        </w:rPr>
      </w:pPr>
      <w:r w:rsidRPr="006F728B">
        <w:rPr>
          <w:rFonts w:ascii="Times New Roman" w:eastAsia="Times New Roman" w:hAnsi="Times New Roman"/>
          <w:sz w:val="24"/>
          <w:szCs w:val="24"/>
          <w:lang w:eastAsia="en-GB"/>
        </w:rPr>
        <w:t xml:space="preserve">The findings of this study demonstrate that the emergence and expansion of wetland </w:t>
      </w:r>
      <w:proofErr w:type="spellStart"/>
      <w:r w:rsidRPr="006F728B">
        <w:rPr>
          <w:rFonts w:ascii="Times New Roman" w:eastAsia="Times New Roman" w:hAnsi="Times New Roman"/>
          <w:sz w:val="24"/>
          <w:szCs w:val="24"/>
          <w:lang w:eastAsia="en-GB"/>
        </w:rPr>
        <w:t>neighbourhoods</w:t>
      </w:r>
      <w:proofErr w:type="spellEnd"/>
      <w:r w:rsidRPr="006F728B">
        <w:rPr>
          <w:rFonts w:ascii="Times New Roman" w:eastAsia="Times New Roman" w:hAnsi="Times New Roman"/>
          <w:sz w:val="24"/>
          <w:szCs w:val="24"/>
          <w:lang w:eastAsia="en-GB"/>
        </w:rPr>
        <w:t xml:space="preserve"> in Port Harcourt are not merely the result of informal encroachment into environmentally sensitive areas, but rather reflect a complex interaction between housing affordability, accessibility, environmental constraints, and institutional limitations in land-use governance. This interpretation aligns with contemporary urban scholarship, which emphasizes that peripheral and ecologically marginal urbanization is structurally produced through the interaction of market forces and weak regulatory systems in rapidly urbanizing cities (</w:t>
      </w:r>
      <w:proofErr w:type="spellStart"/>
      <w:r w:rsidRPr="006F728B">
        <w:rPr>
          <w:rFonts w:ascii="Times New Roman" w:eastAsia="Times New Roman" w:hAnsi="Times New Roman"/>
          <w:sz w:val="24"/>
          <w:szCs w:val="24"/>
          <w:lang w:eastAsia="en-GB"/>
        </w:rPr>
        <w:t>Dovey</w:t>
      </w:r>
      <w:proofErr w:type="spellEnd"/>
      <w:r w:rsidRPr="006F728B">
        <w:rPr>
          <w:rFonts w:ascii="Times New Roman" w:eastAsia="Times New Roman" w:hAnsi="Times New Roman"/>
          <w:sz w:val="24"/>
          <w:szCs w:val="24"/>
          <w:lang w:eastAsia="en-GB"/>
        </w:rPr>
        <w:t xml:space="preserve"> et al., 2020; Bettencourt &amp; </w:t>
      </w:r>
      <w:proofErr w:type="spellStart"/>
      <w:r w:rsidRPr="006F728B">
        <w:rPr>
          <w:rFonts w:ascii="Times New Roman" w:eastAsia="Times New Roman" w:hAnsi="Times New Roman"/>
          <w:sz w:val="24"/>
          <w:szCs w:val="24"/>
          <w:lang w:eastAsia="en-GB"/>
        </w:rPr>
        <w:t>Marchio</w:t>
      </w:r>
      <w:proofErr w:type="spellEnd"/>
      <w:r w:rsidRPr="006F728B">
        <w:rPr>
          <w:rFonts w:ascii="Times New Roman" w:eastAsia="Times New Roman" w:hAnsi="Times New Roman"/>
          <w:sz w:val="24"/>
          <w:szCs w:val="24"/>
          <w:lang w:eastAsia="en-GB"/>
        </w:rPr>
        <w:t xml:space="preserve">, 2023). </w:t>
      </w:r>
    </w:p>
    <w:p w:rsidR="008A4883" w:rsidRPr="006F728B" w:rsidRDefault="008A4883" w:rsidP="008A4883">
      <w:pPr>
        <w:spacing w:after="0" w:line="360" w:lineRule="auto"/>
        <w:jc w:val="both"/>
        <w:rPr>
          <w:rFonts w:ascii="Times New Roman" w:eastAsia="Times New Roman" w:hAnsi="Times New Roman"/>
          <w:sz w:val="24"/>
          <w:szCs w:val="24"/>
          <w:lang w:eastAsia="en-GB"/>
        </w:rPr>
      </w:pPr>
      <w:r w:rsidRPr="006F728B">
        <w:rPr>
          <w:rFonts w:ascii="Times New Roman" w:eastAsia="Times New Roman" w:hAnsi="Times New Roman"/>
          <w:sz w:val="24"/>
          <w:szCs w:val="24"/>
          <w:lang w:eastAsia="en-GB"/>
        </w:rPr>
        <w:t xml:space="preserve">A key driver identified in this study is the relatively lower cost of land and housing in wetland areas, which functions as a strong pull factor for middle-income households excluded from the high-cost formal land market. This supports classical location theory, particularly Alonso’s bid-rent framework, while also aligning with more recent studies that highlight affordability pressures as a dominant force shaping urban expansion into marginal lands in the Global South (Angelo &amp; </w:t>
      </w:r>
      <w:proofErr w:type="spellStart"/>
      <w:r w:rsidRPr="006F728B">
        <w:rPr>
          <w:rFonts w:ascii="Times New Roman" w:eastAsia="Times New Roman" w:hAnsi="Times New Roman"/>
          <w:sz w:val="24"/>
          <w:szCs w:val="24"/>
          <w:lang w:eastAsia="en-GB"/>
        </w:rPr>
        <w:t>Wachsmuth</w:t>
      </w:r>
      <w:proofErr w:type="spellEnd"/>
      <w:r w:rsidRPr="006F728B">
        <w:rPr>
          <w:rFonts w:ascii="Times New Roman" w:eastAsia="Times New Roman" w:hAnsi="Times New Roman"/>
          <w:sz w:val="24"/>
          <w:szCs w:val="24"/>
          <w:lang w:eastAsia="en-GB"/>
        </w:rPr>
        <w:t xml:space="preserve">, 2020; </w:t>
      </w:r>
      <w:proofErr w:type="spellStart"/>
      <w:r w:rsidRPr="006F728B">
        <w:rPr>
          <w:rFonts w:ascii="Times New Roman" w:eastAsia="Times New Roman" w:hAnsi="Times New Roman"/>
          <w:sz w:val="24"/>
          <w:szCs w:val="24"/>
          <w:lang w:eastAsia="en-GB"/>
        </w:rPr>
        <w:t>Dovey</w:t>
      </w:r>
      <w:proofErr w:type="spellEnd"/>
      <w:r w:rsidRPr="006F728B">
        <w:rPr>
          <w:rFonts w:ascii="Times New Roman" w:eastAsia="Times New Roman" w:hAnsi="Times New Roman"/>
          <w:sz w:val="24"/>
          <w:szCs w:val="24"/>
          <w:lang w:eastAsia="en-GB"/>
        </w:rPr>
        <w:t xml:space="preserve"> &amp; </w:t>
      </w:r>
      <w:proofErr w:type="spellStart"/>
      <w:r w:rsidRPr="006F728B">
        <w:rPr>
          <w:rFonts w:ascii="Times New Roman" w:eastAsia="Times New Roman" w:hAnsi="Times New Roman"/>
          <w:sz w:val="24"/>
          <w:szCs w:val="24"/>
          <w:lang w:eastAsia="en-GB"/>
        </w:rPr>
        <w:t>Recio</w:t>
      </w:r>
      <w:proofErr w:type="spellEnd"/>
      <w:r w:rsidRPr="006F728B">
        <w:rPr>
          <w:rFonts w:ascii="Times New Roman" w:eastAsia="Times New Roman" w:hAnsi="Times New Roman"/>
          <w:sz w:val="24"/>
          <w:szCs w:val="24"/>
          <w:lang w:eastAsia="en-GB"/>
        </w:rPr>
        <w:t xml:space="preserve">, 2023). In this regard, wetland </w:t>
      </w:r>
      <w:proofErr w:type="spellStart"/>
      <w:r w:rsidRPr="006F728B">
        <w:rPr>
          <w:rFonts w:ascii="Times New Roman" w:eastAsia="Times New Roman" w:hAnsi="Times New Roman"/>
          <w:sz w:val="24"/>
          <w:szCs w:val="24"/>
          <w:lang w:eastAsia="en-GB"/>
        </w:rPr>
        <w:t>neighbourhoods</w:t>
      </w:r>
      <w:proofErr w:type="spellEnd"/>
      <w:r w:rsidRPr="006F728B">
        <w:rPr>
          <w:rFonts w:ascii="Times New Roman" w:eastAsia="Times New Roman" w:hAnsi="Times New Roman"/>
          <w:sz w:val="24"/>
          <w:szCs w:val="24"/>
          <w:lang w:eastAsia="en-GB"/>
        </w:rPr>
        <w:t xml:space="preserve"> can be understood as intermediate housing spaces within the broader urban land market hierarchy.</w:t>
      </w:r>
    </w:p>
    <w:p w:rsidR="008A4883" w:rsidRPr="006F728B" w:rsidRDefault="008A4883" w:rsidP="008A4883">
      <w:pPr>
        <w:spacing w:after="0" w:line="360" w:lineRule="auto"/>
        <w:jc w:val="both"/>
        <w:rPr>
          <w:rFonts w:ascii="Times New Roman" w:eastAsia="Times New Roman" w:hAnsi="Times New Roman"/>
          <w:sz w:val="24"/>
          <w:szCs w:val="24"/>
          <w:lang w:eastAsia="en-GB"/>
        </w:rPr>
      </w:pPr>
      <w:r w:rsidRPr="006F728B">
        <w:rPr>
          <w:rFonts w:ascii="Times New Roman" w:eastAsia="Times New Roman" w:hAnsi="Times New Roman"/>
          <w:sz w:val="24"/>
          <w:szCs w:val="24"/>
          <w:lang w:eastAsia="en-GB"/>
        </w:rPr>
        <w:t>However, the findings extend beyond conventional land market explanations by demonstrating that wetland development in Port Harcourt is characterized by a hybrid form of urbanization. The observed combination of permanent building structures, significant financial investment, and lack of regulatory compliance reflects contemporary interpretations of urban informality as a mode of production rather than a condition of poverty (</w:t>
      </w:r>
      <w:proofErr w:type="spellStart"/>
      <w:r w:rsidRPr="006F728B">
        <w:rPr>
          <w:rFonts w:ascii="Times New Roman" w:eastAsia="Times New Roman" w:hAnsi="Times New Roman"/>
          <w:sz w:val="24"/>
          <w:szCs w:val="24"/>
          <w:lang w:eastAsia="en-GB"/>
        </w:rPr>
        <w:t>Dovey</w:t>
      </w:r>
      <w:proofErr w:type="spellEnd"/>
      <w:r w:rsidRPr="006F728B">
        <w:rPr>
          <w:rFonts w:ascii="Times New Roman" w:eastAsia="Times New Roman" w:hAnsi="Times New Roman"/>
          <w:sz w:val="24"/>
          <w:szCs w:val="24"/>
          <w:lang w:eastAsia="en-GB"/>
        </w:rPr>
        <w:t xml:space="preserve"> et al., 2020). Unlike traditional waterside settlements associated with extreme deprivation and temporary structures, these </w:t>
      </w:r>
      <w:proofErr w:type="spellStart"/>
      <w:r w:rsidRPr="006F728B">
        <w:rPr>
          <w:rFonts w:ascii="Times New Roman" w:eastAsia="Times New Roman" w:hAnsi="Times New Roman"/>
          <w:sz w:val="24"/>
          <w:szCs w:val="24"/>
          <w:lang w:eastAsia="en-GB"/>
        </w:rPr>
        <w:t>neighbourhoods</w:t>
      </w:r>
      <w:proofErr w:type="spellEnd"/>
      <w:r w:rsidRPr="006F728B">
        <w:rPr>
          <w:rFonts w:ascii="Times New Roman" w:eastAsia="Times New Roman" w:hAnsi="Times New Roman"/>
          <w:sz w:val="24"/>
          <w:szCs w:val="24"/>
          <w:lang w:eastAsia="en-GB"/>
        </w:rPr>
        <w:t xml:space="preserve"> exhibit evidence of deliberate and incremental formalization, driven by economically active residents operating within weak planning regimes.</w:t>
      </w:r>
    </w:p>
    <w:p w:rsidR="008A4883" w:rsidRPr="006F728B" w:rsidRDefault="008A4883" w:rsidP="008A4883">
      <w:pPr>
        <w:spacing w:after="0" w:line="360" w:lineRule="auto"/>
        <w:jc w:val="both"/>
        <w:rPr>
          <w:rFonts w:ascii="Times New Roman" w:eastAsia="Times New Roman" w:hAnsi="Times New Roman"/>
          <w:sz w:val="24"/>
          <w:szCs w:val="24"/>
          <w:lang w:eastAsia="en-GB"/>
        </w:rPr>
      </w:pPr>
      <w:r w:rsidRPr="006F728B">
        <w:rPr>
          <w:rFonts w:ascii="Times New Roman" w:eastAsia="Times New Roman" w:hAnsi="Times New Roman"/>
          <w:sz w:val="24"/>
          <w:szCs w:val="24"/>
          <w:lang w:eastAsia="en-GB"/>
        </w:rPr>
        <w:lastRenderedPageBreak/>
        <w:t xml:space="preserve">The spatial analysis provides further insight into the structure and drivers of this development pattern. Results from the distance matrix analysis reveal that a significant proportion of wetland settlements are located in close proximity to major road networks, indicating a strong relationship between accessibility and settlement location. </w:t>
      </w:r>
      <w:proofErr w:type="spellStart"/>
      <w:r w:rsidRPr="006F728B">
        <w:rPr>
          <w:rFonts w:ascii="Times New Roman" w:eastAsia="Times New Roman" w:hAnsi="Times New Roman"/>
          <w:sz w:val="24"/>
          <w:szCs w:val="24"/>
          <w:lang w:eastAsia="en-GB"/>
        </w:rPr>
        <w:t>Neighbourhoods</w:t>
      </w:r>
      <w:proofErr w:type="spellEnd"/>
      <w:r w:rsidRPr="006F728B">
        <w:rPr>
          <w:rFonts w:ascii="Times New Roman" w:eastAsia="Times New Roman" w:hAnsi="Times New Roman"/>
          <w:sz w:val="24"/>
          <w:szCs w:val="24"/>
          <w:lang w:eastAsia="en-GB"/>
        </w:rPr>
        <w:t xml:space="preserve"> situated nearer to transport corridors tend to exhibit higher levels of consolidation, increased building density, and more organized layouts, suggesting stronger integration into the urban system. In contrast, settlements located farther from major roads are generally more dispersed, less structured, and characterized by limited infrastructure provision and higher environmental vulnerability.</w:t>
      </w:r>
    </w:p>
    <w:p w:rsidR="008A4883" w:rsidRPr="006F728B" w:rsidRDefault="008A4883" w:rsidP="008A4883">
      <w:pPr>
        <w:spacing w:after="0" w:line="360" w:lineRule="auto"/>
        <w:jc w:val="both"/>
        <w:rPr>
          <w:rFonts w:ascii="Times New Roman" w:eastAsia="Times New Roman" w:hAnsi="Times New Roman"/>
          <w:sz w:val="24"/>
          <w:szCs w:val="24"/>
          <w:lang w:eastAsia="en-GB"/>
        </w:rPr>
      </w:pPr>
      <w:r w:rsidRPr="006F728B">
        <w:rPr>
          <w:rFonts w:ascii="Times New Roman" w:eastAsia="Times New Roman" w:hAnsi="Times New Roman"/>
          <w:sz w:val="24"/>
          <w:szCs w:val="24"/>
          <w:lang w:eastAsia="en-GB"/>
        </w:rPr>
        <w:t xml:space="preserve">This accessibility–settlement relationship reinforces and extends classical bid-rent theory by demonstrating that proximity to infrastructure can offset environmental constraints, making ecologically fragile land attractive for development. It also supports contemporary empirical findings that highlight accessibility as a key determinant of spatial inequality and urban growth patterns in developing cities (Bettencourt &amp; </w:t>
      </w:r>
      <w:proofErr w:type="spellStart"/>
      <w:r w:rsidRPr="006F728B">
        <w:rPr>
          <w:rFonts w:ascii="Times New Roman" w:eastAsia="Times New Roman" w:hAnsi="Times New Roman"/>
          <w:sz w:val="24"/>
          <w:szCs w:val="24"/>
          <w:lang w:eastAsia="en-GB"/>
        </w:rPr>
        <w:t>Marchio</w:t>
      </w:r>
      <w:proofErr w:type="spellEnd"/>
      <w:r w:rsidRPr="006F728B">
        <w:rPr>
          <w:rFonts w:ascii="Times New Roman" w:eastAsia="Times New Roman" w:hAnsi="Times New Roman"/>
          <w:sz w:val="24"/>
          <w:szCs w:val="24"/>
          <w:lang w:eastAsia="en-GB"/>
        </w:rPr>
        <w:t>, 2023).</w:t>
      </w:r>
    </w:p>
    <w:p w:rsidR="008A4883" w:rsidRPr="006F728B" w:rsidRDefault="008A4883" w:rsidP="008A4883">
      <w:pPr>
        <w:spacing w:after="0" w:line="360" w:lineRule="auto"/>
        <w:jc w:val="both"/>
        <w:rPr>
          <w:rFonts w:ascii="Times New Roman" w:eastAsia="Times New Roman" w:hAnsi="Times New Roman"/>
          <w:sz w:val="24"/>
          <w:szCs w:val="24"/>
          <w:lang w:eastAsia="en-GB"/>
        </w:rPr>
      </w:pPr>
      <w:r w:rsidRPr="006F728B">
        <w:rPr>
          <w:rFonts w:ascii="Times New Roman" w:eastAsia="Times New Roman" w:hAnsi="Times New Roman"/>
          <w:sz w:val="24"/>
          <w:szCs w:val="24"/>
          <w:lang w:eastAsia="en-GB"/>
        </w:rPr>
        <w:t xml:space="preserve">The spatial distribution of wetland </w:t>
      </w:r>
      <w:proofErr w:type="spellStart"/>
      <w:r w:rsidRPr="006F728B">
        <w:rPr>
          <w:rFonts w:ascii="Times New Roman" w:eastAsia="Times New Roman" w:hAnsi="Times New Roman"/>
          <w:sz w:val="24"/>
          <w:szCs w:val="24"/>
          <w:lang w:eastAsia="en-GB"/>
        </w:rPr>
        <w:t>neighbourhoods</w:t>
      </w:r>
      <w:proofErr w:type="spellEnd"/>
      <w:r w:rsidRPr="006F728B">
        <w:rPr>
          <w:rFonts w:ascii="Times New Roman" w:eastAsia="Times New Roman" w:hAnsi="Times New Roman"/>
          <w:sz w:val="24"/>
          <w:szCs w:val="24"/>
          <w:lang w:eastAsia="en-GB"/>
        </w:rPr>
        <w:t xml:space="preserve"> further reveals a concentration along the southern and western fringes of Port Harcourt, corresponding with low-lying mangrove zones and floodplains. This pattern reflects a peripheral expansion model consistent with recent theories of extended and planetary urbanization, where urban growth increasingly penetrates environmentally sensitive and previously non-urban landscapes (Angelo &amp; </w:t>
      </w:r>
      <w:proofErr w:type="spellStart"/>
      <w:r w:rsidRPr="006F728B">
        <w:rPr>
          <w:rFonts w:ascii="Times New Roman" w:eastAsia="Times New Roman" w:hAnsi="Times New Roman"/>
          <w:sz w:val="24"/>
          <w:szCs w:val="24"/>
          <w:lang w:eastAsia="en-GB"/>
        </w:rPr>
        <w:t>Wachsmuth</w:t>
      </w:r>
      <w:proofErr w:type="spellEnd"/>
      <w:r w:rsidRPr="006F728B">
        <w:rPr>
          <w:rFonts w:ascii="Times New Roman" w:eastAsia="Times New Roman" w:hAnsi="Times New Roman"/>
          <w:sz w:val="24"/>
          <w:szCs w:val="24"/>
          <w:lang w:eastAsia="en-GB"/>
        </w:rPr>
        <w:t>, 2020). Importantly, the encroachment into natural drainage channels observed in this study highlights the environmental consequences of unregulated expansion, with direct implications for flood risk, hydrological disruption, and urban sustainability.</w:t>
      </w:r>
    </w:p>
    <w:p w:rsidR="008A4883" w:rsidRPr="006F728B" w:rsidRDefault="008A4883" w:rsidP="008A4883">
      <w:pPr>
        <w:spacing w:after="0" w:line="360" w:lineRule="auto"/>
        <w:jc w:val="both"/>
        <w:rPr>
          <w:rFonts w:ascii="Times New Roman" w:eastAsia="Times New Roman" w:hAnsi="Times New Roman"/>
          <w:sz w:val="24"/>
          <w:szCs w:val="24"/>
          <w:lang w:eastAsia="en-GB"/>
        </w:rPr>
      </w:pPr>
      <w:r w:rsidRPr="006F728B">
        <w:rPr>
          <w:rFonts w:ascii="Times New Roman" w:eastAsia="Times New Roman" w:hAnsi="Times New Roman"/>
          <w:sz w:val="24"/>
          <w:szCs w:val="24"/>
          <w:lang w:eastAsia="en-GB"/>
        </w:rPr>
        <w:t xml:space="preserve">From a </w:t>
      </w:r>
      <w:r w:rsidRPr="008A4883">
        <w:rPr>
          <w:rFonts w:ascii="Times New Roman" w:eastAsia="Times New Roman" w:hAnsi="Times New Roman"/>
          <w:bCs/>
          <w:sz w:val="24"/>
          <w:szCs w:val="24"/>
          <w:lang w:eastAsia="en-GB"/>
        </w:rPr>
        <w:t>spatial justice perspective</w:t>
      </w:r>
      <w:r w:rsidRPr="006F728B">
        <w:rPr>
          <w:rFonts w:ascii="Times New Roman" w:eastAsia="Times New Roman" w:hAnsi="Times New Roman"/>
          <w:sz w:val="24"/>
          <w:szCs w:val="24"/>
          <w:lang w:eastAsia="en-GB"/>
        </w:rPr>
        <w:t xml:space="preserve">, the findings reveal a clear redistribution of environmental risk within the city. Wetland </w:t>
      </w:r>
      <w:proofErr w:type="spellStart"/>
      <w:r w:rsidRPr="006F728B">
        <w:rPr>
          <w:rFonts w:ascii="Times New Roman" w:eastAsia="Times New Roman" w:hAnsi="Times New Roman"/>
          <w:sz w:val="24"/>
          <w:szCs w:val="24"/>
          <w:lang w:eastAsia="en-GB"/>
        </w:rPr>
        <w:t>neighbourhoods</w:t>
      </w:r>
      <w:proofErr w:type="spellEnd"/>
      <w:r w:rsidRPr="006F728B">
        <w:rPr>
          <w:rFonts w:ascii="Times New Roman" w:eastAsia="Times New Roman" w:hAnsi="Times New Roman"/>
          <w:sz w:val="24"/>
          <w:szCs w:val="24"/>
          <w:lang w:eastAsia="en-GB"/>
        </w:rPr>
        <w:t xml:space="preserve"> provide relatively affordable housing opportunities, yet they simultaneously expose residents to heightened vulnerability, including recurrent flooding, poor drainage, and infrastructural deficits. This reflects broader patterns of spatial inequality in which economically constrained populations are disproportionately located in environmentally hazardous areas, reinforcing the argument that urban inequality is both socio-economic and spatial in nature.</w:t>
      </w:r>
    </w:p>
    <w:p w:rsidR="008A4883" w:rsidRPr="006F728B" w:rsidRDefault="008A4883" w:rsidP="008A4883">
      <w:pPr>
        <w:spacing w:after="0" w:line="360" w:lineRule="auto"/>
        <w:jc w:val="both"/>
        <w:rPr>
          <w:rFonts w:ascii="Times New Roman" w:eastAsia="Times New Roman" w:hAnsi="Times New Roman"/>
          <w:sz w:val="24"/>
          <w:szCs w:val="24"/>
          <w:lang w:eastAsia="en-GB"/>
        </w:rPr>
      </w:pPr>
      <w:r w:rsidRPr="006F728B">
        <w:rPr>
          <w:rFonts w:ascii="Times New Roman" w:eastAsia="Times New Roman" w:hAnsi="Times New Roman"/>
          <w:sz w:val="24"/>
          <w:szCs w:val="24"/>
          <w:lang w:eastAsia="en-GB"/>
        </w:rPr>
        <w:t xml:space="preserve">The environmental conditions documented in the study further underscore the consequences of weak planning control. The absence of drainage infrastructure, poor road conditions, inadequate </w:t>
      </w:r>
      <w:r w:rsidRPr="006F728B">
        <w:rPr>
          <w:rFonts w:ascii="Times New Roman" w:eastAsia="Times New Roman" w:hAnsi="Times New Roman"/>
          <w:sz w:val="24"/>
          <w:szCs w:val="24"/>
          <w:lang w:eastAsia="en-GB"/>
        </w:rPr>
        <w:lastRenderedPageBreak/>
        <w:t xml:space="preserve">setbacks, and widespread use of informal waste disposal methods contribute to environmental degradation and reduced </w:t>
      </w:r>
      <w:proofErr w:type="spellStart"/>
      <w:r w:rsidRPr="006F728B">
        <w:rPr>
          <w:rFonts w:ascii="Times New Roman" w:eastAsia="Times New Roman" w:hAnsi="Times New Roman"/>
          <w:sz w:val="24"/>
          <w:szCs w:val="24"/>
          <w:lang w:eastAsia="en-GB"/>
        </w:rPr>
        <w:t>liveability</w:t>
      </w:r>
      <w:proofErr w:type="spellEnd"/>
      <w:r w:rsidRPr="006F728B">
        <w:rPr>
          <w:rFonts w:ascii="Times New Roman" w:eastAsia="Times New Roman" w:hAnsi="Times New Roman"/>
          <w:sz w:val="24"/>
          <w:szCs w:val="24"/>
          <w:lang w:eastAsia="en-GB"/>
        </w:rPr>
        <w:t>. These findings are consistent with contemporary research on risk urbanism, which highlights how unregulated development in ecologically sensitive zones amplifies exposure to climate-related hazards and undermines urban resilience (Avelino, 2024).</w:t>
      </w:r>
    </w:p>
    <w:p w:rsidR="008A4883" w:rsidRPr="006F728B" w:rsidRDefault="008A4883" w:rsidP="008A4883">
      <w:pPr>
        <w:spacing w:after="0" w:line="360" w:lineRule="auto"/>
        <w:jc w:val="both"/>
        <w:rPr>
          <w:rFonts w:ascii="Times New Roman" w:eastAsia="Times New Roman" w:hAnsi="Times New Roman"/>
          <w:sz w:val="24"/>
          <w:szCs w:val="24"/>
          <w:lang w:eastAsia="en-GB"/>
        </w:rPr>
      </w:pPr>
      <w:r w:rsidRPr="006F728B">
        <w:rPr>
          <w:rFonts w:ascii="Times New Roman" w:eastAsia="Times New Roman" w:hAnsi="Times New Roman"/>
          <w:sz w:val="24"/>
          <w:szCs w:val="24"/>
          <w:lang w:eastAsia="en-GB"/>
        </w:rPr>
        <w:t>At the same time, the study reveals the emergence of community-driven responses to infrastructural deficiencies, including self-help road construction and localized service provision. These practices reflect forms of “everyday urbanism,” where residents actively shape their built environment in the absence of formal planning intervention. While such initiatives demonstrate local adaptability and resilience, they remain insufficient to address the broader structural and environmental challenges associated with wetland development.</w:t>
      </w:r>
    </w:p>
    <w:p w:rsidR="008A4883" w:rsidRPr="006F728B" w:rsidRDefault="008A4883" w:rsidP="008A4883">
      <w:pPr>
        <w:spacing w:after="0" w:line="360" w:lineRule="auto"/>
        <w:jc w:val="both"/>
        <w:rPr>
          <w:rFonts w:ascii="Times New Roman" w:eastAsia="Times New Roman" w:hAnsi="Times New Roman"/>
          <w:sz w:val="24"/>
          <w:szCs w:val="24"/>
          <w:lang w:eastAsia="en-GB"/>
        </w:rPr>
      </w:pPr>
      <w:r w:rsidRPr="006F728B">
        <w:rPr>
          <w:rFonts w:ascii="Times New Roman" w:eastAsia="Times New Roman" w:hAnsi="Times New Roman"/>
          <w:sz w:val="24"/>
          <w:szCs w:val="24"/>
          <w:lang w:eastAsia="en-GB"/>
        </w:rPr>
        <w:t xml:space="preserve">Institutionally, the findings highlight a significant gap between statutory planning frameworks and actual development practices. Although formal planning laws exist, their enforcement within wetland </w:t>
      </w:r>
      <w:proofErr w:type="spellStart"/>
      <w:r w:rsidRPr="006F728B">
        <w:rPr>
          <w:rFonts w:ascii="Times New Roman" w:eastAsia="Times New Roman" w:hAnsi="Times New Roman"/>
          <w:sz w:val="24"/>
          <w:szCs w:val="24"/>
          <w:lang w:eastAsia="en-GB"/>
        </w:rPr>
        <w:t>neighbourhoods</w:t>
      </w:r>
      <w:proofErr w:type="spellEnd"/>
      <w:r w:rsidRPr="006F728B">
        <w:rPr>
          <w:rFonts w:ascii="Times New Roman" w:eastAsia="Times New Roman" w:hAnsi="Times New Roman"/>
          <w:sz w:val="24"/>
          <w:szCs w:val="24"/>
          <w:lang w:eastAsia="en-GB"/>
        </w:rPr>
        <w:t xml:space="preserve"> is limited, resulting in a governance vacuum that is partially filled by informal institutions such as landlord associations. These groups play critical roles in regulating access, providing security, and maintaining infrastructure, reflecting a hybrid governance system commonly observed in rapidly urbanizing regions. However, the lack of technical expertise and regulatory authority within these systems limits their effectiveness in ensuring sustainable urban development.</w:t>
      </w:r>
    </w:p>
    <w:p w:rsidR="008A4883" w:rsidRPr="006F728B" w:rsidRDefault="008A4883" w:rsidP="008A4883">
      <w:pPr>
        <w:spacing w:after="0" w:line="360" w:lineRule="auto"/>
        <w:jc w:val="both"/>
        <w:rPr>
          <w:rFonts w:ascii="Times New Roman" w:eastAsia="Times New Roman" w:hAnsi="Times New Roman"/>
          <w:sz w:val="24"/>
          <w:szCs w:val="24"/>
          <w:lang w:eastAsia="en-GB"/>
        </w:rPr>
      </w:pPr>
      <w:r w:rsidRPr="006F728B">
        <w:rPr>
          <w:rFonts w:ascii="Times New Roman" w:eastAsia="Times New Roman" w:hAnsi="Times New Roman"/>
          <w:sz w:val="24"/>
          <w:szCs w:val="24"/>
          <w:lang w:eastAsia="en-GB"/>
        </w:rPr>
        <w:t xml:space="preserve">Overall, the findings demonstrate that wetland </w:t>
      </w:r>
      <w:proofErr w:type="spellStart"/>
      <w:r w:rsidRPr="006F728B">
        <w:rPr>
          <w:rFonts w:ascii="Times New Roman" w:eastAsia="Times New Roman" w:hAnsi="Times New Roman"/>
          <w:sz w:val="24"/>
          <w:szCs w:val="24"/>
          <w:lang w:eastAsia="en-GB"/>
        </w:rPr>
        <w:t>neighbourhoods</w:t>
      </w:r>
      <w:proofErr w:type="spellEnd"/>
      <w:r w:rsidRPr="006F728B">
        <w:rPr>
          <w:rFonts w:ascii="Times New Roman" w:eastAsia="Times New Roman" w:hAnsi="Times New Roman"/>
          <w:sz w:val="24"/>
          <w:szCs w:val="24"/>
          <w:lang w:eastAsia="en-GB"/>
        </w:rPr>
        <w:t xml:space="preserve"> in Port Harcourt represent a qualitatively different form of urban development from traditional informal settlements. Rather than being characterized solely by poverty and informality, they embody a complex intersection of market-driven development, environmental risk, and institutional failure. This suggests that conventional planning approaches focused solely on informal settlement upgrading are inadequate.</w:t>
      </w:r>
    </w:p>
    <w:p w:rsidR="008A4883" w:rsidRPr="006F728B" w:rsidRDefault="008A4883" w:rsidP="008A4883">
      <w:pPr>
        <w:spacing w:after="0" w:line="360" w:lineRule="auto"/>
        <w:jc w:val="both"/>
        <w:rPr>
          <w:rFonts w:ascii="Times New Roman" w:eastAsia="Times New Roman" w:hAnsi="Times New Roman"/>
          <w:sz w:val="24"/>
          <w:szCs w:val="24"/>
          <w:lang w:eastAsia="en-GB"/>
        </w:rPr>
      </w:pPr>
      <w:r w:rsidRPr="006F728B">
        <w:rPr>
          <w:rFonts w:ascii="Times New Roman" w:eastAsia="Times New Roman" w:hAnsi="Times New Roman"/>
          <w:sz w:val="24"/>
          <w:szCs w:val="24"/>
          <w:lang w:eastAsia="en-GB"/>
        </w:rPr>
        <w:t>Instead, addressing wetland urbanization requires an integrated planning framework that combines:</w:t>
      </w:r>
    </w:p>
    <w:p w:rsidR="008A4883" w:rsidRPr="006F728B" w:rsidRDefault="008A4883" w:rsidP="008A4883">
      <w:pPr>
        <w:numPr>
          <w:ilvl w:val="0"/>
          <w:numId w:val="9"/>
        </w:numPr>
        <w:spacing w:after="0" w:line="360" w:lineRule="auto"/>
        <w:jc w:val="both"/>
        <w:rPr>
          <w:rFonts w:ascii="Times New Roman" w:eastAsia="Times New Roman" w:hAnsi="Times New Roman"/>
          <w:sz w:val="24"/>
          <w:szCs w:val="24"/>
          <w:lang w:eastAsia="en-GB"/>
        </w:rPr>
      </w:pPr>
      <w:r w:rsidRPr="006F728B">
        <w:rPr>
          <w:rFonts w:ascii="Times New Roman" w:eastAsia="Times New Roman" w:hAnsi="Times New Roman"/>
          <w:sz w:val="24"/>
          <w:szCs w:val="24"/>
          <w:lang w:eastAsia="en-GB"/>
        </w:rPr>
        <w:t xml:space="preserve">Improved development control and regulatory enforcement </w:t>
      </w:r>
    </w:p>
    <w:p w:rsidR="008A4883" w:rsidRPr="006F728B" w:rsidRDefault="008A4883" w:rsidP="008A4883">
      <w:pPr>
        <w:numPr>
          <w:ilvl w:val="0"/>
          <w:numId w:val="9"/>
        </w:numPr>
        <w:spacing w:after="0" w:line="360" w:lineRule="auto"/>
        <w:jc w:val="both"/>
        <w:rPr>
          <w:rFonts w:ascii="Times New Roman" w:eastAsia="Times New Roman" w:hAnsi="Times New Roman"/>
          <w:sz w:val="24"/>
          <w:szCs w:val="24"/>
          <w:lang w:eastAsia="en-GB"/>
        </w:rPr>
      </w:pPr>
      <w:r w:rsidRPr="006F728B">
        <w:rPr>
          <w:rFonts w:ascii="Times New Roman" w:eastAsia="Times New Roman" w:hAnsi="Times New Roman"/>
          <w:sz w:val="24"/>
          <w:szCs w:val="24"/>
          <w:lang w:eastAsia="en-GB"/>
        </w:rPr>
        <w:t xml:space="preserve">Provision of affordable housing alternatives within formally planned areas </w:t>
      </w:r>
    </w:p>
    <w:p w:rsidR="008A4883" w:rsidRPr="006F728B" w:rsidRDefault="008A4883" w:rsidP="008A4883">
      <w:pPr>
        <w:numPr>
          <w:ilvl w:val="0"/>
          <w:numId w:val="9"/>
        </w:numPr>
        <w:spacing w:after="0" w:line="360" w:lineRule="auto"/>
        <w:jc w:val="both"/>
        <w:rPr>
          <w:rFonts w:ascii="Times New Roman" w:eastAsia="Times New Roman" w:hAnsi="Times New Roman"/>
          <w:sz w:val="24"/>
          <w:szCs w:val="24"/>
          <w:lang w:eastAsia="en-GB"/>
        </w:rPr>
      </w:pPr>
      <w:r w:rsidRPr="006F728B">
        <w:rPr>
          <w:rFonts w:ascii="Times New Roman" w:eastAsia="Times New Roman" w:hAnsi="Times New Roman"/>
          <w:sz w:val="24"/>
          <w:szCs w:val="24"/>
          <w:lang w:eastAsia="en-GB"/>
        </w:rPr>
        <w:t xml:space="preserve">Risk-sensitive land-use planning, particularly in flood-prone zones </w:t>
      </w:r>
    </w:p>
    <w:p w:rsidR="008A4883" w:rsidRPr="006F728B" w:rsidRDefault="008A4883" w:rsidP="008A4883">
      <w:pPr>
        <w:numPr>
          <w:ilvl w:val="0"/>
          <w:numId w:val="9"/>
        </w:numPr>
        <w:spacing w:after="0" w:line="360" w:lineRule="auto"/>
        <w:jc w:val="both"/>
        <w:rPr>
          <w:rFonts w:ascii="Times New Roman" w:eastAsia="Times New Roman" w:hAnsi="Times New Roman"/>
          <w:sz w:val="24"/>
          <w:szCs w:val="24"/>
          <w:lang w:eastAsia="en-GB"/>
        </w:rPr>
      </w:pPr>
      <w:r w:rsidRPr="006F728B">
        <w:rPr>
          <w:rFonts w:ascii="Times New Roman" w:eastAsia="Times New Roman" w:hAnsi="Times New Roman"/>
          <w:sz w:val="24"/>
          <w:szCs w:val="24"/>
          <w:lang w:eastAsia="en-GB"/>
        </w:rPr>
        <w:t xml:space="preserve">Integration of geospatial technologies (GIS and UAV mapping) for monitoring urban expansion </w:t>
      </w:r>
    </w:p>
    <w:p w:rsidR="008A4883" w:rsidRPr="006F728B" w:rsidRDefault="008A4883" w:rsidP="008A4883">
      <w:pPr>
        <w:numPr>
          <w:ilvl w:val="0"/>
          <w:numId w:val="9"/>
        </w:numPr>
        <w:spacing w:after="0" w:line="360" w:lineRule="auto"/>
        <w:jc w:val="both"/>
        <w:rPr>
          <w:rFonts w:ascii="Times New Roman" w:eastAsia="Times New Roman" w:hAnsi="Times New Roman"/>
          <w:sz w:val="24"/>
          <w:szCs w:val="24"/>
          <w:lang w:eastAsia="en-GB"/>
        </w:rPr>
      </w:pPr>
      <w:r w:rsidRPr="006F728B">
        <w:rPr>
          <w:rFonts w:ascii="Times New Roman" w:eastAsia="Times New Roman" w:hAnsi="Times New Roman"/>
          <w:sz w:val="24"/>
          <w:szCs w:val="24"/>
          <w:lang w:eastAsia="en-GB"/>
        </w:rPr>
        <w:lastRenderedPageBreak/>
        <w:t xml:space="preserve">Strengthening institutional capacity alongside community-based governance structures </w:t>
      </w:r>
    </w:p>
    <w:p w:rsidR="008A4883" w:rsidRPr="008A4883" w:rsidRDefault="008A4883" w:rsidP="008A4883">
      <w:pPr>
        <w:spacing w:after="0" w:line="360" w:lineRule="auto"/>
        <w:jc w:val="both"/>
        <w:rPr>
          <w:rFonts w:ascii="Times New Roman" w:eastAsia="Times New Roman" w:hAnsi="Times New Roman"/>
          <w:sz w:val="24"/>
          <w:szCs w:val="24"/>
          <w:lang w:eastAsia="en-GB"/>
        </w:rPr>
      </w:pPr>
      <w:r w:rsidRPr="006F728B">
        <w:rPr>
          <w:rFonts w:ascii="Times New Roman" w:eastAsia="Times New Roman" w:hAnsi="Times New Roman"/>
          <w:sz w:val="24"/>
          <w:szCs w:val="24"/>
          <w:lang w:eastAsia="en-GB"/>
        </w:rPr>
        <w:t xml:space="preserve">In conclusion, wetland </w:t>
      </w:r>
      <w:proofErr w:type="spellStart"/>
      <w:r w:rsidRPr="006F728B">
        <w:rPr>
          <w:rFonts w:ascii="Times New Roman" w:eastAsia="Times New Roman" w:hAnsi="Times New Roman"/>
          <w:sz w:val="24"/>
          <w:szCs w:val="24"/>
          <w:lang w:eastAsia="en-GB"/>
        </w:rPr>
        <w:t>neighbourhoods</w:t>
      </w:r>
      <w:proofErr w:type="spellEnd"/>
      <w:r w:rsidRPr="006F728B">
        <w:rPr>
          <w:rFonts w:ascii="Times New Roman" w:eastAsia="Times New Roman" w:hAnsi="Times New Roman"/>
          <w:sz w:val="24"/>
          <w:szCs w:val="24"/>
          <w:lang w:eastAsia="en-GB"/>
        </w:rPr>
        <w:t xml:space="preserve"> in Port Harcourt should be understood not as anomalies, but as structural outcomes of urbanization processes shaped by affordability pressures, accessibility dynamics, and governance limitations. Their continued expansion without coordinated planning intervention poses significant risks to environmental sustainability and urban resilience, underscoring the urgent need for proactive and integrated planning responses.</w:t>
      </w:r>
    </w:p>
    <w:p w:rsidR="008A4883" w:rsidRPr="008A4883" w:rsidRDefault="008A4883" w:rsidP="008A4883">
      <w:pPr>
        <w:pStyle w:val="Heading2"/>
        <w:spacing w:beforeAutospacing="0" w:afterAutospacing="0" w:line="360" w:lineRule="auto"/>
        <w:jc w:val="both"/>
        <w:rPr>
          <w:rStyle w:val="Strong"/>
          <w:rFonts w:ascii="Times New Roman" w:hAnsi="Times New Roman" w:hint="default"/>
          <w:b/>
          <w:bCs/>
          <w:sz w:val="10"/>
          <w:szCs w:val="24"/>
        </w:rPr>
      </w:pPr>
    </w:p>
    <w:p w:rsidR="008A4883" w:rsidRPr="008A4883" w:rsidRDefault="002B6B3A" w:rsidP="008A4883">
      <w:pPr>
        <w:pStyle w:val="Heading2"/>
        <w:spacing w:beforeAutospacing="0" w:afterAutospacing="0" w:line="360" w:lineRule="auto"/>
        <w:jc w:val="both"/>
        <w:rPr>
          <w:rFonts w:ascii="Times New Roman" w:hAnsi="Times New Roman" w:hint="default"/>
          <w:sz w:val="24"/>
          <w:szCs w:val="24"/>
        </w:rPr>
      </w:pPr>
      <w:r>
        <w:rPr>
          <w:rStyle w:val="Strong"/>
          <w:rFonts w:ascii="Times New Roman" w:hAnsi="Times New Roman" w:hint="default"/>
          <w:b/>
          <w:bCs/>
          <w:sz w:val="24"/>
          <w:szCs w:val="24"/>
        </w:rPr>
        <w:t>7</w:t>
      </w:r>
      <w:r w:rsidR="008A4883" w:rsidRPr="008A4883">
        <w:rPr>
          <w:rStyle w:val="Strong"/>
          <w:rFonts w:ascii="Times New Roman" w:hAnsi="Times New Roman" w:hint="default"/>
          <w:b/>
          <w:bCs/>
          <w:sz w:val="24"/>
          <w:szCs w:val="24"/>
        </w:rPr>
        <w:t>.1 Spatial (Map-Based) Interpretation</w:t>
      </w:r>
    </w:p>
    <w:p w:rsidR="008A4883" w:rsidRPr="008A4883" w:rsidRDefault="008A4883" w:rsidP="008A4883">
      <w:pPr>
        <w:pStyle w:val="NormalWeb"/>
        <w:spacing w:beforeAutospacing="0" w:afterAutospacing="0" w:line="360" w:lineRule="auto"/>
        <w:jc w:val="both"/>
        <w:rPr>
          <w:rFonts w:ascii="Times New Roman" w:hAnsi="Times New Roman"/>
        </w:rPr>
      </w:pPr>
      <w:r w:rsidRPr="008A4883">
        <w:rPr>
          <w:rFonts w:ascii="Times New Roman" w:hAnsi="Times New Roman"/>
        </w:rPr>
        <w:t xml:space="preserve">The spatial distribution of wetland </w:t>
      </w:r>
      <w:proofErr w:type="spellStart"/>
      <w:r w:rsidRPr="008A4883">
        <w:rPr>
          <w:rFonts w:ascii="Times New Roman" w:hAnsi="Times New Roman"/>
        </w:rPr>
        <w:t>neighbourhoods</w:t>
      </w:r>
      <w:proofErr w:type="spellEnd"/>
      <w:r w:rsidRPr="008A4883">
        <w:rPr>
          <w:rFonts w:ascii="Times New Roman" w:hAnsi="Times New Roman"/>
        </w:rPr>
        <w:t>, as illustrated in the GIS outputs, shows a pronounced clustering along the southern and western peripheries of Port Harcourt, corresponding with low-lying mangrove zones and flood-prone environments (Fig. 2).</w:t>
      </w:r>
    </w:p>
    <w:p w:rsidR="008A4883" w:rsidRPr="008A4883" w:rsidRDefault="008A4883" w:rsidP="008A4883">
      <w:pPr>
        <w:pStyle w:val="NormalWeb"/>
        <w:spacing w:beforeAutospacing="0" w:afterAutospacing="0" w:line="360" w:lineRule="auto"/>
        <w:jc w:val="both"/>
        <w:rPr>
          <w:rFonts w:ascii="Times New Roman" w:hAnsi="Times New Roman"/>
        </w:rPr>
      </w:pPr>
      <w:r w:rsidRPr="008A4883">
        <w:rPr>
          <w:rFonts w:ascii="Times New Roman" w:hAnsi="Times New Roman"/>
        </w:rPr>
        <w:t xml:space="preserve">The spatial pattern indicates a peripheral expansion model, consistent with contemporary theories of extended urbanization and </w:t>
      </w:r>
      <w:r w:rsidRPr="008A4883">
        <w:rPr>
          <w:rStyle w:val="Strong"/>
          <w:rFonts w:ascii="Times New Roman" w:hAnsi="Times New Roman"/>
          <w:b w:val="0"/>
        </w:rPr>
        <w:t>planetary urbanization</w:t>
      </w:r>
      <w:r w:rsidRPr="008A4883">
        <w:rPr>
          <w:rFonts w:ascii="Times New Roman" w:hAnsi="Times New Roman"/>
        </w:rPr>
        <w:t xml:space="preserve">, which emphasize that urban growth increasingly penetrates ecologically sensitive and previously non-urban spaces (Nightingale, 2024; Angelo &amp; </w:t>
      </w:r>
      <w:proofErr w:type="spellStart"/>
      <w:r w:rsidRPr="008A4883">
        <w:rPr>
          <w:rFonts w:ascii="Times New Roman" w:hAnsi="Times New Roman"/>
        </w:rPr>
        <w:t>Wachsmuth</w:t>
      </w:r>
      <w:proofErr w:type="spellEnd"/>
      <w:r w:rsidRPr="008A4883">
        <w:rPr>
          <w:rFonts w:ascii="Times New Roman" w:hAnsi="Times New Roman"/>
        </w:rPr>
        <w:t xml:space="preserve">, 2020). </w:t>
      </w:r>
    </w:p>
    <w:p w:rsidR="008A4883" w:rsidRPr="008A4883" w:rsidRDefault="008A4883" w:rsidP="008A4883">
      <w:pPr>
        <w:pStyle w:val="NormalWeb"/>
        <w:spacing w:beforeAutospacing="0" w:afterAutospacing="0" w:line="360" w:lineRule="auto"/>
        <w:jc w:val="both"/>
        <w:rPr>
          <w:rFonts w:ascii="Times New Roman" w:hAnsi="Times New Roman"/>
        </w:rPr>
      </w:pPr>
      <w:r w:rsidRPr="008A4883">
        <w:rPr>
          <w:rFonts w:ascii="Times New Roman" w:hAnsi="Times New Roman"/>
        </w:rPr>
        <w:t xml:space="preserve">The map further reveals fragmented layouts, encroachment into drainage systems, and linear growth along transport corridors. These findings are consistent with empirical studies showing that accessibility and infrastructure corridors strongly influence informal settlement formation and expansion (Bettencourt &amp; </w:t>
      </w:r>
      <w:proofErr w:type="spellStart"/>
      <w:r w:rsidRPr="008A4883">
        <w:rPr>
          <w:rFonts w:ascii="Times New Roman" w:hAnsi="Times New Roman"/>
        </w:rPr>
        <w:t>Marchio</w:t>
      </w:r>
      <w:proofErr w:type="spellEnd"/>
      <w:r w:rsidRPr="008A4883">
        <w:rPr>
          <w:rFonts w:ascii="Times New Roman" w:hAnsi="Times New Roman"/>
        </w:rPr>
        <w:t xml:space="preserve">, 2023). </w:t>
      </w:r>
    </w:p>
    <w:p w:rsidR="008A4883" w:rsidRPr="008A4883" w:rsidRDefault="008A4883" w:rsidP="008A4883">
      <w:pPr>
        <w:spacing w:after="0" w:line="360" w:lineRule="auto"/>
        <w:jc w:val="both"/>
        <w:rPr>
          <w:rFonts w:ascii="Times New Roman" w:hAnsi="Times New Roman"/>
          <w:sz w:val="4"/>
          <w:szCs w:val="24"/>
        </w:rPr>
      </w:pPr>
    </w:p>
    <w:p w:rsidR="008A4883" w:rsidRPr="008A4883" w:rsidRDefault="008A4883" w:rsidP="008A4883">
      <w:pPr>
        <w:pStyle w:val="NormalWeb"/>
        <w:spacing w:beforeAutospacing="0" w:afterAutospacing="0" w:line="360" w:lineRule="auto"/>
        <w:jc w:val="both"/>
        <w:rPr>
          <w:rFonts w:ascii="Times New Roman" w:hAnsi="Times New Roman"/>
        </w:rPr>
      </w:pPr>
      <w:r w:rsidRPr="008A4883">
        <w:rPr>
          <w:rFonts w:ascii="Times New Roman" w:hAnsi="Times New Roman"/>
        </w:rPr>
        <w:t xml:space="preserve">The distance matrix analysis confirms that most settlements are located in close proximity to major roads, reinforcing the importance of accessibility as a key determinant of settlement location (See Table 9). This supports recent findings that proximity to infrastructure significantly shapes spatial inequality and development patterns in urban areas (Prieto-Curiel &amp; Borja-Vega, 2024). </w:t>
      </w:r>
    </w:p>
    <w:p w:rsidR="008A4883" w:rsidRPr="008A4883" w:rsidRDefault="008A4883" w:rsidP="008A4883">
      <w:pPr>
        <w:pStyle w:val="NormalWeb"/>
        <w:spacing w:beforeAutospacing="0" w:afterAutospacing="0" w:line="360" w:lineRule="auto"/>
        <w:jc w:val="both"/>
        <w:rPr>
          <w:rFonts w:ascii="Times New Roman" w:hAnsi="Times New Roman"/>
        </w:rPr>
      </w:pPr>
      <w:r w:rsidRPr="008A4883">
        <w:rPr>
          <w:rFonts w:ascii="Times New Roman" w:hAnsi="Times New Roman"/>
        </w:rPr>
        <w:t xml:space="preserve">From a </w:t>
      </w:r>
      <w:r w:rsidRPr="008A4883">
        <w:rPr>
          <w:rStyle w:val="Strong"/>
          <w:rFonts w:ascii="Times New Roman" w:hAnsi="Times New Roman"/>
          <w:b w:val="0"/>
        </w:rPr>
        <w:t>spatial justice perspective</w:t>
      </w:r>
      <w:r w:rsidRPr="008A4883">
        <w:rPr>
          <w:rFonts w:ascii="Times New Roman" w:hAnsi="Times New Roman"/>
        </w:rPr>
        <w:t xml:space="preserve">, the occupation of wetlands highlights uneven distributions of environmental risk and access to urban services. Spatial justice theory emphasizes that inequalities are embedded in the spatial organization of cities, where vulnerable populations are often relegated to high-risk environments (Capra-Ribeiro, 2024; </w:t>
      </w:r>
      <w:r w:rsidRPr="008A4883">
        <w:rPr>
          <w:rFonts w:ascii="Times New Roman" w:hAnsi="Times New Roman"/>
          <w:color w:val="222222"/>
          <w:shd w:val="clear" w:color="auto" w:fill="FFFFFF"/>
        </w:rPr>
        <w:t>Wang, Lu, &amp; Liu, 2023</w:t>
      </w:r>
      <w:r w:rsidRPr="008A4883">
        <w:rPr>
          <w:rFonts w:ascii="Times New Roman" w:hAnsi="Times New Roman"/>
        </w:rPr>
        <w:t xml:space="preserve">). </w:t>
      </w:r>
    </w:p>
    <w:p w:rsidR="008A4883" w:rsidRPr="008A4883" w:rsidRDefault="008A4883" w:rsidP="008A4883">
      <w:pPr>
        <w:pStyle w:val="NormalWeb"/>
        <w:spacing w:beforeAutospacing="0" w:afterAutospacing="0" w:line="360" w:lineRule="auto"/>
        <w:jc w:val="both"/>
        <w:rPr>
          <w:rFonts w:ascii="Times New Roman" w:hAnsi="Times New Roman"/>
        </w:rPr>
      </w:pPr>
      <w:r w:rsidRPr="008A4883">
        <w:rPr>
          <w:rFonts w:ascii="Times New Roman" w:hAnsi="Times New Roman"/>
        </w:rPr>
        <w:t xml:space="preserve">The findings also indicate a transition from traditional squatter settlements to more structured but unregulated </w:t>
      </w:r>
      <w:proofErr w:type="spellStart"/>
      <w:r w:rsidRPr="008A4883">
        <w:rPr>
          <w:rFonts w:ascii="Times New Roman" w:hAnsi="Times New Roman"/>
        </w:rPr>
        <w:t>neighbourhoods</w:t>
      </w:r>
      <w:proofErr w:type="spellEnd"/>
      <w:r w:rsidRPr="008A4883">
        <w:rPr>
          <w:rFonts w:ascii="Times New Roman" w:hAnsi="Times New Roman"/>
        </w:rPr>
        <w:t xml:space="preserve">. This aligns with emerging scholarship on </w:t>
      </w:r>
      <w:r w:rsidRPr="008A4883">
        <w:rPr>
          <w:rStyle w:val="Strong"/>
          <w:rFonts w:ascii="Times New Roman" w:hAnsi="Times New Roman"/>
          <w:b w:val="0"/>
        </w:rPr>
        <w:t>incremental formalization</w:t>
      </w:r>
      <w:r w:rsidRPr="008A4883">
        <w:rPr>
          <w:rFonts w:ascii="Times New Roman" w:hAnsi="Times New Roman"/>
        </w:rPr>
        <w:t>, where informal settlements evolve into permanent but institutionally unregulated urban forms (</w:t>
      </w:r>
      <w:proofErr w:type="spellStart"/>
      <w:r w:rsidRPr="008A4883">
        <w:rPr>
          <w:rFonts w:ascii="Times New Roman" w:hAnsi="Times New Roman"/>
        </w:rPr>
        <w:t>Dovey</w:t>
      </w:r>
      <w:proofErr w:type="spellEnd"/>
      <w:r w:rsidRPr="008A4883">
        <w:rPr>
          <w:rFonts w:ascii="Times New Roman" w:hAnsi="Times New Roman"/>
        </w:rPr>
        <w:t xml:space="preserve"> &amp; </w:t>
      </w:r>
      <w:proofErr w:type="spellStart"/>
      <w:r w:rsidRPr="008A4883">
        <w:rPr>
          <w:rFonts w:ascii="Times New Roman" w:hAnsi="Times New Roman"/>
        </w:rPr>
        <w:t>Recio</w:t>
      </w:r>
      <w:proofErr w:type="spellEnd"/>
      <w:r w:rsidRPr="008A4883">
        <w:rPr>
          <w:rFonts w:ascii="Times New Roman" w:hAnsi="Times New Roman"/>
        </w:rPr>
        <w:t xml:space="preserve">, 2023). </w:t>
      </w:r>
    </w:p>
    <w:p w:rsidR="008A4883" w:rsidRPr="008A4883" w:rsidRDefault="008A4883" w:rsidP="008A4883">
      <w:pPr>
        <w:pStyle w:val="NormalWeb"/>
        <w:spacing w:beforeAutospacing="0" w:afterAutospacing="0" w:line="360" w:lineRule="auto"/>
        <w:jc w:val="both"/>
        <w:rPr>
          <w:rFonts w:ascii="Times New Roman" w:hAnsi="Times New Roman"/>
        </w:rPr>
      </w:pPr>
      <w:r w:rsidRPr="008A4883">
        <w:rPr>
          <w:rFonts w:ascii="Times New Roman" w:hAnsi="Times New Roman"/>
          <w:noProof/>
          <w:lang w:eastAsia="en-US"/>
        </w:rPr>
        <w:lastRenderedPageBreak/>
        <w:drawing>
          <wp:inline distT="0" distB="0" distL="0" distR="0" wp14:anchorId="7A3E3CE5" wp14:editId="40B32915">
            <wp:extent cx="5731358" cy="3860800"/>
            <wp:effectExtent l="0" t="0" r="3175" b="6350"/>
            <wp:docPr id="5" name="Picture 5" descr="IMG_20260310_13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0260310_135741"/>
                    <pic:cNvPicPr>
                      <a:picLocks noChangeAspect="1" noChangeArrowheads="1"/>
                    </pic:cNvPicPr>
                  </pic:nvPicPr>
                  <pic:blipFill rotWithShape="1">
                    <a:blip r:embed="rId9">
                      <a:lum bright="-20000" contrast="20000"/>
                      <a:extLst>
                        <a:ext uri="{28A0092B-C50C-407E-A947-70E740481C1C}">
                          <a14:useLocalDpi xmlns:a14="http://schemas.microsoft.com/office/drawing/2010/main" val="0"/>
                        </a:ext>
                      </a:extLst>
                    </a:blip>
                    <a:srcRect b="4432"/>
                    <a:stretch/>
                  </pic:blipFill>
                  <pic:spPr bwMode="auto">
                    <a:xfrm>
                      <a:off x="0" y="0"/>
                      <a:ext cx="5731510" cy="3860902"/>
                    </a:xfrm>
                    <a:prstGeom prst="rect">
                      <a:avLst/>
                    </a:prstGeom>
                    <a:noFill/>
                    <a:ln>
                      <a:noFill/>
                    </a:ln>
                    <a:extLst>
                      <a:ext uri="{53640926-AAD7-44D8-BBD7-CCE9431645EC}">
                        <a14:shadowObscured xmlns:a14="http://schemas.microsoft.com/office/drawing/2010/main"/>
                      </a:ext>
                    </a:extLst>
                  </pic:spPr>
                </pic:pic>
              </a:graphicData>
            </a:graphic>
          </wp:inline>
        </w:drawing>
      </w:r>
    </w:p>
    <w:p w:rsidR="008A4883" w:rsidRDefault="008A4883" w:rsidP="008A4883">
      <w:pPr>
        <w:spacing w:after="0" w:line="360" w:lineRule="auto"/>
        <w:jc w:val="both"/>
        <w:rPr>
          <w:rFonts w:ascii="Times New Roman" w:hAnsi="Times New Roman"/>
          <w:sz w:val="10"/>
          <w:szCs w:val="24"/>
        </w:rPr>
      </w:pPr>
    </w:p>
    <w:p w:rsidR="009A34C9" w:rsidRPr="009A34C9" w:rsidRDefault="009A34C9" w:rsidP="008A4883">
      <w:pPr>
        <w:spacing w:after="0" w:line="360" w:lineRule="auto"/>
        <w:jc w:val="both"/>
        <w:rPr>
          <w:rFonts w:ascii="Times New Roman" w:hAnsi="Times New Roman"/>
          <w:sz w:val="24"/>
          <w:szCs w:val="24"/>
        </w:rPr>
      </w:pPr>
      <w:r w:rsidRPr="009A34C9">
        <w:rPr>
          <w:rFonts w:ascii="Times New Roman" w:hAnsi="Times New Roman"/>
          <w:sz w:val="24"/>
          <w:szCs w:val="24"/>
        </w:rPr>
        <w:t>Fig 2:</w:t>
      </w:r>
      <w:r w:rsidR="00203C00">
        <w:rPr>
          <w:rFonts w:ascii="Times New Roman" w:hAnsi="Times New Roman"/>
          <w:sz w:val="24"/>
          <w:szCs w:val="24"/>
        </w:rPr>
        <w:t xml:space="preserve"> Geographical distribution of wetland neighborhoods in Port </w:t>
      </w:r>
      <w:proofErr w:type="spellStart"/>
      <w:r w:rsidR="00203C00">
        <w:rPr>
          <w:rFonts w:ascii="Times New Roman" w:hAnsi="Times New Roman"/>
          <w:sz w:val="24"/>
          <w:szCs w:val="24"/>
        </w:rPr>
        <w:t>Hartcourt</w:t>
      </w:r>
      <w:proofErr w:type="spellEnd"/>
    </w:p>
    <w:p w:rsidR="009A34C9" w:rsidRPr="008A4883" w:rsidRDefault="009A34C9" w:rsidP="008A4883">
      <w:pPr>
        <w:spacing w:after="0" w:line="360" w:lineRule="auto"/>
        <w:jc w:val="both"/>
        <w:rPr>
          <w:rFonts w:ascii="Times New Roman" w:hAnsi="Times New Roman"/>
          <w:sz w:val="10"/>
          <w:szCs w:val="24"/>
        </w:rPr>
      </w:pPr>
    </w:p>
    <w:p w:rsidR="008A4883" w:rsidRPr="008A4883" w:rsidRDefault="002B6B3A" w:rsidP="008A4883">
      <w:pPr>
        <w:pStyle w:val="Heading2"/>
        <w:spacing w:beforeAutospacing="0" w:afterAutospacing="0" w:line="360" w:lineRule="auto"/>
        <w:jc w:val="both"/>
        <w:rPr>
          <w:rFonts w:ascii="Times New Roman" w:hAnsi="Times New Roman" w:hint="default"/>
          <w:sz w:val="24"/>
          <w:szCs w:val="24"/>
        </w:rPr>
      </w:pPr>
      <w:r>
        <w:rPr>
          <w:rStyle w:val="Strong"/>
          <w:rFonts w:ascii="Times New Roman" w:hAnsi="Times New Roman" w:hint="default"/>
          <w:b/>
          <w:bCs/>
          <w:sz w:val="24"/>
          <w:szCs w:val="24"/>
        </w:rPr>
        <w:t>7</w:t>
      </w:r>
      <w:r w:rsidR="008A4883" w:rsidRPr="008A4883">
        <w:rPr>
          <w:rStyle w:val="Strong"/>
          <w:rFonts w:ascii="Times New Roman" w:hAnsi="Times New Roman" w:hint="default"/>
          <w:b/>
          <w:bCs/>
          <w:sz w:val="24"/>
          <w:szCs w:val="24"/>
        </w:rPr>
        <w:t xml:space="preserve">.2 Environmental Conditions of Wetland </w:t>
      </w:r>
      <w:proofErr w:type="spellStart"/>
      <w:r w:rsidR="008A4883" w:rsidRPr="008A4883">
        <w:rPr>
          <w:rStyle w:val="Strong"/>
          <w:rFonts w:ascii="Times New Roman" w:hAnsi="Times New Roman" w:hint="default"/>
          <w:b/>
          <w:bCs/>
          <w:sz w:val="24"/>
          <w:szCs w:val="24"/>
        </w:rPr>
        <w:t>Neighbourhoods</w:t>
      </w:r>
      <w:proofErr w:type="spellEnd"/>
    </w:p>
    <w:p w:rsidR="008A4883" w:rsidRPr="008A4883" w:rsidRDefault="008A4883" w:rsidP="008A4883">
      <w:pPr>
        <w:pStyle w:val="NormalWeb"/>
        <w:spacing w:beforeAutospacing="0" w:afterAutospacing="0" w:line="360" w:lineRule="auto"/>
        <w:jc w:val="both"/>
        <w:rPr>
          <w:rFonts w:ascii="Times New Roman" w:hAnsi="Times New Roman"/>
        </w:rPr>
      </w:pPr>
      <w:r w:rsidRPr="008A4883">
        <w:rPr>
          <w:rFonts w:ascii="Times New Roman" w:hAnsi="Times New Roman"/>
        </w:rPr>
        <w:t xml:space="preserve">Wetland </w:t>
      </w:r>
      <w:proofErr w:type="spellStart"/>
      <w:r w:rsidRPr="008A4883">
        <w:rPr>
          <w:rFonts w:ascii="Times New Roman" w:hAnsi="Times New Roman"/>
        </w:rPr>
        <w:t>neighbourhoods</w:t>
      </w:r>
      <w:proofErr w:type="spellEnd"/>
      <w:r w:rsidRPr="008A4883">
        <w:rPr>
          <w:rFonts w:ascii="Times New Roman" w:hAnsi="Times New Roman"/>
        </w:rPr>
        <w:t xml:space="preserve"> in Port Harcourt exhibit distinct environmental and infrastructural characteristics shaped by their ecological setting and weak planning control.</w:t>
      </w:r>
    </w:p>
    <w:p w:rsidR="008A4883" w:rsidRPr="008A4883" w:rsidRDefault="008A4883" w:rsidP="008A4883">
      <w:pPr>
        <w:pStyle w:val="NormalWeb"/>
        <w:spacing w:beforeAutospacing="0" w:afterAutospacing="0" w:line="360" w:lineRule="auto"/>
        <w:jc w:val="both"/>
        <w:rPr>
          <w:rFonts w:ascii="Times New Roman" w:hAnsi="Times New Roman"/>
        </w:rPr>
      </w:pPr>
      <w:r w:rsidRPr="008A4883">
        <w:rPr>
          <w:rFonts w:ascii="Times New Roman" w:hAnsi="Times New Roman"/>
        </w:rPr>
        <w:t xml:space="preserve">The poor condition of road infrastructure as observed from field observation reflects broader patterns of infrastructural inequality observed in informally governed urban areas, where access to services is uneven and often community-driven (Bettencourt &amp; </w:t>
      </w:r>
      <w:proofErr w:type="spellStart"/>
      <w:r w:rsidRPr="008A4883">
        <w:rPr>
          <w:rFonts w:ascii="Times New Roman" w:hAnsi="Times New Roman"/>
        </w:rPr>
        <w:t>Marchio</w:t>
      </w:r>
      <w:proofErr w:type="spellEnd"/>
      <w:r w:rsidRPr="008A4883">
        <w:rPr>
          <w:rFonts w:ascii="Times New Roman" w:hAnsi="Times New Roman"/>
        </w:rPr>
        <w:t xml:space="preserve">, 2023). </w:t>
      </w:r>
    </w:p>
    <w:p w:rsidR="008A4883" w:rsidRPr="008A4883" w:rsidRDefault="008A4883" w:rsidP="008A4883">
      <w:pPr>
        <w:pStyle w:val="NormalWeb"/>
        <w:spacing w:beforeAutospacing="0" w:afterAutospacing="0" w:line="360" w:lineRule="auto"/>
        <w:jc w:val="both"/>
        <w:rPr>
          <w:rFonts w:ascii="Times New Roman" w:hAnsi="Times New Roman"/>
        </w:rPr>
      </w:pPr>
      <w:r w:rsidRPr="008A4883">
        <w:rPr>
          <w:rFonts w:ascii="Times New Roman" w:hAnsi="Times New Roman"/>
        </w:rPr>
        <w:t>Drainage systems are largely absent, resulting in environmental degradation and increased vulnerability.</w:t>
      </w:r>
    </w:p>
    <w:p w:rsidR="008A4883" w:rsidRPr="008A4883" w:rsidRDefault="008A4883" w:rsidP="008A4883">
      <w:pPr>
        <w:spacing w:after="0" w:line="360" w:lineRule="auto"/>
        <w:jc w:val="both"/>
        <w:rPr>
          <w:rFonts w:ascii="Times New Roman" w:hAnsi="Times New Roman"/>
          <w:sz w:val="6"/>
          <w:szCs w:val="24"/>
        </w:rPr>
      </w:pPr>
    </w:p>
    <w:p w:rsidR="008A4883" w:rsidRPr="008A4883" w:rsidRDefault="008A4883" w:rsidP="008A4883">
      <w:pPr>
        <w:pStyle w:val="NormalWeb"/>
        <w:spacing w:beforeAutospacing="0" w:afterAutospacing="0" w:line="360" w:lineRule="auto"/>
        <w:jc w:val="both"/>
        <w:rPr>
          <w:rFonts w:ascii="Times New Roman" w:hAnsi="Times New Roman"/>
        </w:rPr>
      </w:pPr>
      <w:r w:rsidRPr="008A4883">
        <w:rPr>
          <w:rFonts w:ascii="Times New Roman" w:hAnsi="Times New Roman"/>
        </w:rPr>
        <w:t xml:space="preserve">These conditions align with recent studies on </w:t>
      </w:r>
      <w:r w:rsidRPr="008A4883">
        <w:rPr>
          <w:rStyle w:val="Strong"/>
          <w:rFonts w:ascii="Times New Roman" w:hAnsi="Times New Roman"/>
          <w:b w:val="0"/>
        </w:rPr>
        <w:t>risk urbanism and climate vulnerability</w:t>
      </w:r>
      <w:r w:rsidRPr="008A4883">
        <w:rPr>
          <w:rFonts w:ascii="Times New Roman" w:hAnsi="Times New Roman"/>
        </w:rPr>
        <w:t>, which highlight how unregulated development in ecologically sensitive areas amplifies exposure to flooding and environmental hazards (</w:t>
      </w:r>
      <w:proofErr w:type="spellStart"/>
      <w:r w:rsidRPr="008A4883">
        <w:rPr>
          <w:rFonts w:ascii="Times New Roman" w:hAnsi="Times New Roman"/>
        </w:rPr>
        <w:t>Veiga</w:t>
      </w:r>
      <w:proofErr w:type="spellEnd"/>
      <w:r w:rsidRPr="008A4883">
        <w:rPr>
          <w:rFonts w:ascii="Times New Roman" w:hAnsi="Times New Roman"/>
        </w:rPr>
        <w:t xml:space="preserve"> et al., 2024). </w:t>
      </w:r>
    </w:p>
    <w:p w:rsidR="008A4883" w:rsidRPr="008A4883" w:rsidRDefault="008A4883" w:rsidP="008A4883">
      <w:pPr>
        <w:spacing w:after="0" w:line="240" w:lineRule="auto"/>
        <w:jc w:val="center"/>
        <w:rPr>
          <w:rFonts w:ascii="Times New Roman" w:hAnsi="Times New Roman"/>
          <w:sz w:val="24"/>
          <w:szCs w:val="24"/>
        </w:rPr>
      </w:pPr>
      <w:r w:rsidRPr="008A4883">
        <w:rPr>
          <w:rFonts w:ascii="Times New Roman" w:hAnsi="Times New Roman"/>
          <w:noProof/>
          <w:sz w:val="24"/>
          <w:szCs w:val="24"/>
        </w:rPr>
        <w:lastRenderedPageBreak/>
        <w:drawing>
          <wp:inline distT="0" distB="0" distL="0" distR="0" wp14:anchorId="343BE944" wp14:editId="797098FC">
            <wp:extent cx="3945890" cy="2736215"/>
            <wp:effectExtent l="0" t="0" r="0" b="6985"/>
            <wp:docPr id="2" name="Picture 2" descr="C:\Users\KPOBAR~1\AppData\Local\Temp\ksohtml2240\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C:\Users\KPOBAR~1\AppData\Local\Temp\ksohtml2240\wps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5890" cy="2736215"/>
                    </a:xfrm>
                    <a:prstGeom prst="rect">
                      <a:avLst/>
                    </a:prstGeom>
                    <a:noFill/>
                    <a:ln>
                      <a:noFill/>
                    </a:ln>
                  </pic:spPr>
                </pic:pic>
              </a:graphicData>
            </a:graphic>
          </wp:inline>
        </w:drawing>
      </w:r>
    </w:p>
    <w:p w:rsidR="008A4883" w:rsidRDefault="008A4883" w:rsidP="008A4883">
      <w:pPr>
        <w:spacing w:after="0" w:line="240" w:lineRule="auto"/>
        <w:jc w:val="both"/>
        <w:rPr>
          <w:rFonts w:ascii="Times New Roman" w:hAnsi="Times New Roman"/>
          <w:b/>
          <w:sz w:val="24"/>
          <w:szCs w:val="24"/>
        </w:rPr>
      </w:pPr>
      <w:r w:rsidRPr="008A4883">
        <w:rPr>
          <w:rFonts w:ascii="Times New Roman" w:hAnsi="Times New Roman"/>
          <w:b/>
          <w:sz w:val="24"/>
          <w:szCs w:val="24"/>
        </w:rPr>
        <w:t>Plate 1: Normal DPC for residential buildings in Urban Wetland Neighbourhood in Port Harcourt</w:t>
      </w:r>
    </w:p>
    <w:p w:rsidR="008A4883" w:rsidRPr="008A4883" w:rsidRDefault="008A4883" w:rsidP="008A4883">
      <w:pPr>
        <w:spacing w:after="0" w:line="240" w:lineRule="auto"/>
        <w:jc w:val="both"/>
        <w:rPr>
          <w:rFonts w:ascii="Times New Roman" w:hAnsi="Times New Roman"/>
          <w:b/>
          <w:sz w:val="24"/>
          <w:szCs w:val="24"/>
        </w:rPr>
      </w:pPr>
    </w:p>
    <w:p w:rsidR="008A4883" w:rsidRPr="008A4883" w:rsidRDefault="008A4883" w:rsidP="008A4883">
      <w:pPr>
        <w:pStyle w:val="NormalWeb"/>
        <w:spacing w:beforeAutospacing="0" w:afterAutospacing="0" w:line="360" w:lineRule="auto"/>
        <w:jc w:val="both"/>
        <w:rPr>
          <w:rFonts w:ascii="Times New Roman" w:hAnsi="Times New Roman"/>
        </w:rPr>
      </w:pPr>
      <w:r w:rsidRPr="008A4883">
        <w:rPr>
          <w:rFonts w:ascii="Times New Roman" w:hAnsi="Times New Roman"/>
        </w:rPr>
        <w:t>The use of waste for land reclamation reflects adaptive but environmentally harmful practices often observed in resource-constrained urban environments.</w:t>
      </w:r>
    </w:p>
    <w:p w:rsidR="008A4883" w:rsidRPr="008A4883" w:rsidRDefault="008A4883" w:rsidP="008A4883">
      <w:pPr>
        <w:spacing w:after="0" w:line="240" w:lineRule="auto"/>
        <w:jc w:val="center"/>
        <w:rPr>
          <w:rFonts w:ascii="Times New Roman" w:hAnsi="Times New Roman"/>
          <w:sz w:val="24"/>
          <w:szCs w:val="24"/>
        </w:rPr>
      </w:pPr>
      <w:r w:rsidRPr="008A4883">
        <w:rPr>
          <w:rFonts w:ascii="Times New Roman" w:hAnsi="Times New Roman"/>
          <w:noProof/>
          <w:sz w:val="24"/>
          <w:szCs w:val="24"/>
        </w:rPr>
        <w:drawing>
          <wp:inline distT="0" distB="0" distL="0" distR="0" wp14:anchorId="6FAA0018" wp14:editId="67D27EFE">
            <wp:extent cx="4838700" cy="2736215"/>
            <wp:effectExtent l="0" t="0" r="0" b="6985"/>
            <wp:docPr id="3" name="Picture 3" descr="C:\Users\KPOBAR~1\AppData\Local\Temp\ksohtml2240\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Users\KPOBAR~1\AppData\Local\Temp\ksohtml2240\wps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8700" cy="2736215"/>
                    </a:xfrm>
                    <a:prstGeom prst="rect">
                      <a:avLst/>
                    </a:prstGeom>
                    <a:noFill/>
                    <a:ln>
                      <a:noFill/>
                    </a:ln>
                  </pic:spPr>
                </pic:pic>
              </a:graphicData>
            </a:graphic>
          </wp:inline>
        </w:drawing>
      </w:r>
    </w:p>
    <w:p w:rsidR="008A4883" w:rsidRPr="008A4883" w:rsidRDefault="008A4883" w:rsidP="008A4883">
      <w:pPr>
        <w:pStyle w:val="Heading3"/>
        <w:spacing w:before="0" w:line="240" w:lineRule="auto"/>
        <w:jc w:val="center"/>
        <w:rPr>
          <w:rFonts w:ascii="Times New Roman" w:hAnsi="Times New Roman" w:cs="Times New Roman"/>
          <w:color w:val="auto"/>
        </w:rPr>
      </w:pPr>
      <w:r w:rsidRPr="008A4883">
        <w:rPr>
          <w:rStyle w:val="Strong"/>
          <w:rFonts w:ascii="Times New Roman" w:hAnsi="Times New Roman" w:cs="Times New Roman"/>
          <w:bCs w:val="0"/>
          <w:color w:val="auto"/>
        </w:rPr>
        <w:t xml:space="preserve">Plate 2: Flooding (‘Big Water’) in Wetland </w:t>
      </w:r>
      <w:proofErr w:type="spellStart"/>
      <w:r w:rsidRPr="008A4883">
        <w:rPr>
          <w:rStyle w:val="Strong"/>
          <w:rFonts w:ascii="Times New Roman" w:hAnsi="Times New Roman" w:cs="Times New Roman"/>
          <w:bCs w:val="0"/>
          <w:color w:val="auto"/>
        </w:rPr>
        <w:t>Neighbourhoods</w:t>
      </w:r>
      <w:proofErr w:type="spellEnd"/>
    </w:p>
    <w:p w:rsidR="008A4883" w:rsidRPr="008A4883" w:rsidRDefault="008A4883" w:rsidP="008A4883">
      <w:pPr>
        <w:spacing w:after="0" w:line="360" w:lineRule="auto"/>
        <w:jc w:val="both"/>
        <w:rPr>
          <w:rFonts w:ascii="Times New Roman" w:hAnsi="Times New Roman"/>
          <w:sz w:val="14"/>
          <w:szCs w:val="24"/>
        </w:rPr>
      </w:pPr>
    </w:p>
    <w:p w:rsidR="008A4883" w:rsidRPr="008A4883" w:rsidRDefault="008A4883" w:rsidP="008A4883">
      <w:pPr>
        <w:pStyle w:val="NormalWeb"/>
        <w:spacing w:beforeAutospacing="0" w:afterAutospacing="0" w:line="360" w:lineRule="auto"/>
        <w:jc w:val="both"/>
        <w:rPr>
          <w:rFonts w:ascii="Times New Roman" w:hAnsi="Times New Roman"/>
        </w:rPr>
      </w:pPr>
      <w:r w:rsidRPr="008A4883">
        <w:rPr>
          <w:rFonts w:ascii="Times New Roman" w:hAnsi="Times New Roman"/>
        </w:rPr>
        <w:t xml:space="preserve">Recurrent flooding further illustrates how environmental risk is spatially concentrated in marginal areas, reinforcing broader debates on climate injustice in rapidly urbanizing regions (Avelino, 2024). At the same time, self-help infrastructure provision reflects </w:t>
      </w:r>
      <w:r w:rsidRPr="008A4883">
        <w:rPr>
          <w:rStyle w:val="Strong"/>
          <w:rFonts w:ascii="Times New Roman" w:hAnsi="Times New Roman"/>
          <w:b w:val="0"/>
        </w:rPr>
        <w:t>everyday urbanism</w:t>
      </w:r>
      <w:r w:rsidRPr="008A4883">
        <w:rPr>
          <w:rFonts w:ascii="Times New Roman" w:hAnsi="Times New Roman"/>
        </w:rPr>
        <w:t xml:space="preserve">, where </w:t>
      </w:r>
      <w:r w:rsidRPr="008A4883">
        <w:rPr>
          <w:rFonts w:ascii="Times New Roman" w:hAnsi="Times New Roman"/>
        </w:rPr>
        <w:lastRenderedPageBreak/>
        <w:t>residents actively shape their environments in the absence of formal planning systems (</w:t>
      </w:r>
      <w:proofErr w:type="spellStart"/>
      <w:r w:rsidRPr="008A4883">
        <w:rPr>
          <w:rFonts w:ascii="Times New Roman" w:hAnsi="Times New Roman"/>
        </w:rPr>
        <w:t>Dulhunty</w:t>
      </w:r>
      <w:proofErr w:type="spellEnd"/>
      <w:r w:rsidRPr="008A4883">
        <w:rPr>
          <w:rFonts w:ascii="Times New Roman" w:hAnsi="Times New Roman"/>
        </w:rPr>
        <w:t xml:space="preserve">, 2023). </w:t>
      </w:r>
    </w:p>
    <w:p w:rsidR="008A4883" w:rsidRPr="008A4883" w:rsidRDefault="008A4883" w:rsidP="008A4883">
      <w:pPr>
        <w:spacing w:after="0" w:line="360" w:lineRule="auto"/>
        <w:jc w:val="both"/>
        <w:rPr>
          <w:rFonts w:ascii="Times New Roman" w:hAnsi="Times New Roman"/>
          <w:sz w:val="6"/>
          <w:szCs w:val="24"/>
        </w:rPr>
      </w:pPr>
    </w:p>
    <w:p w:rsidR="008A4883" w:rsidRPr="008A4883" w:rsidRDefault="002B6B3A" w:rsidP="008A4883">
      <w:pPr>
        <w:pStyle w:val="Heading2"/>
        <w:spacing w:beforeAutospacing="0" w:afterAutospacing="0" w:line="360" w:lineRule="auto"/>
        <w:jc w:val="both"/>
        <w:rPr>
          <w:rFonts w:ascii="Times New Roman" w:hAnsi="Times New Roman" w:hint="default"/>
          <w:sz w:val="24"/>
          <w:szCs w:val="24"/>
        </w:rPr>
      </w:pPr>
      <w:r>
        <w:rPr>
          <w:rStyle w:val="Strong"/>
          <w:rFonts w:ascii="Times New Roman" w:hAnsi="Times New Roman" w:hint="default"/>
          <w:b/>
          <w:bCs/>
          <w:sz w:val="24"/>
          <w:szCs w:val="24"/>
        </w:rPr>
        <w:t>8</w:t>
      </w:r>
      <w:r w:rsidR="008A4883" w:rsidRPr="008A4883">
        <w:rPr>
          <w:rStyle w:val="Strong"/>
          <w:rFonts w:ascii="Times New Roman" w:hAnsi="Times New Roman" w:hint="default"/>
          <w:b/>
          <w:bCs/>
          <w:sz w:val="24"/>
          <w:szCs w:val="24"/>
        </w:rPr>
        <w:t>. Law, Administration, and the Challenge to Urban Planning</w:t>
      </w:r>
    </w:p>
    <w:p w:rsidR="008A4883" w:rsidRPr="008A4883" w:rsidRDefault="002B6B3A" w:rsidP="008A4883">
      <w:pPr>
        <w:pStyle w:val="Heading3"/>
        <w:spacing w:before="0" w:line="360" w:lineRule="auto"/>
        <w:jc w:val="both"/>
        <w:rPr>
          <w:rFonts w:ascii="Times New Roman" w:hAnsi="Times New Roman" w:cs="Times New Roman"/>
          <w:color w:val="auto"/>
        </w:rPr>
      </w:pPr>
      <w:r>
        <w:rPr>
          <w:rStyle w:val="Strong"/>
          <w:rFonts w:ascii="Times New Roman" w:hAnsi="Times New Roman" w:cs="Times New Roman"/>
          <w:bCs w:val="0"/>
          <w:color w:val="auto"/>
        </w:rPr>
        <w:t>8.</w:t>
      </w:r>
      <w:r w:rsidR="008A4883" w:rsidRPr="008A4883">
        <w:rPr>
          <w:rStyle w:val="Strong"/>
          <w:rFonts w:ascii="Times New Roman" w:hAnsi="Times New Roman" w:cs="Times New Roman"/>
          <w:bCs w:val="0"/>
          <w:color w:val="auto"/>
        </w:rPr>
        <w:t xml:space="preserve">1 Law and Administration in Wetland </w:t>
      </w:r>
      <w:proofErr w:type="spellStart"/>
      <w:r w:rsidR="008A4883" w:rsidRPr="008A4883">
        <w:rPr>
          <w:rStyle w:val="Strong"/>
          <w:rFonts w:ascii="Times New Roman" w:hAnsi="Times New Roman" w:cs="Times New Roman"/>
          <w:bCs w:val="0"/>
          <w:color w:val="auto"/>
        </w:rPr>
        <w:t>Neighbourhoods</w:t>
      </w:r>
      <w:proofErr w:type="spellEnd"/>
    </w:p>
    <w:p w:rsidR="008A4883" w:rsidRPr="008A4883" w:rsidRDefault="008A4883" w:rsidP="008A4883">
      <w:pPr>
        <w:pStyle w:val="NormalWeb"/>
        <w:spacing w:beforeAutospacing="0" w:afterAutospacing="0" w:line="360" w:lineRule="auto"/>
        <w:jc w:val="both"/>
        <w:rPr>
          <w:rFonts w:ascii="Times New Roman" w:hAnsi="Times New Roman"/>
        </w:rPr>
      </w:pPr>
      <w:r w:rsidRPr="008A4883">
        <w:rPr>
          <w:rFonts w:ascii="Times New Roman" w:hAnsi="Times New Roman"/>
        </w:rPr>
        <w:t>Although statutory planning laws formally apply, governance is largely informal.</w:t>
      </w:r>
    </w:p>
    <w:p w:rsidR="008A4883" w:rsidRPr="008A4883" w:rsidRDefault="008A4883" w:rsidP="008A4883">
      <w:pPr>
        <w:pStyle w:val="NormalWeb"/>
        <w:spacing w:beforeAutospacing="0" w:afterAutospacing="0" w:line="360" w:lineRule="auto"/>
        <w:jc w:val="both"/>
        <w:rPr>
          <w:rFonts w:ascii="Times New Roman" w:hAnsi="Times New Roman"/>
        </w:rPr>
      </w:pPr>
      <w:r w:rsidRPr="008A4883">
        <w:rPr>
          <w:rFonts w:ascii="Times New Roman" w:hAnsi="Times New Roman"/>
        </w:rPr>
        <w:t>This reflects a broader pattern in developing cities where informal governance systems emerge as substitutes for weak formal institutions (</w:t>
      </w:r>
      <w:r w:rsidRPr="008A4883">
        <w:rPr>
          <w:rFonts w:ascii="Times New Roman" w:hAnsi="Times New Roman"/>
          <w:color w:val="222222"/>
          <w:shd w:val="clear" w:color="auto" w:fill="FFFFFF"/>
        </w:rPr>
        <w:t>Sharma, Thomas, &amp; Roy, 2025</w:t>
      </w:r>
      <w:r w:rsidRPr="008A4883">
        <w:rPr>
          <w:rFonts w:ascii="Times New Roman" w:hAnsi="Times New Roman"/>
        </w:rPr>
        <w:t xml:space="preserve">). </w:t>
      </w:r>
    </w:p>
    <w:p w:rsidR="008A4883" w:rsidRPr="008A4883" w:rsidRDefault="008A4883" w:rsidP="008A4883">
      <w:pPr>
        <w:pStyle w:val="NormalWeb"/>
        <w:spacing w:beforeAutospacing="0" w:afterAutospacing="0" w:line="360" w:lineRule="auto"/>
        <w:jc w:val="both"/>
        <w:rPr>
          <w:rFonts w:ascii="Times New Roman" w:hAnsi="Times New Roman"/>
        </w:rPr>
      </w:pPr>
      <w:r w:rsidRPr="008A4883">
        <w:rPr>
          <w:rFonts w:ascii="Times New Roman" w:hAnsi="Times New Roman"/>
        </w:rPr>
        <w:t xml:space="preserve">The high proportion of unregulated development reflects institutional failure in planning enforcement, consistent with findings across many Global South cities (Avelino, 2024). </w:t>
      </w:r>
    </w:p>
    <w:p w:rsidR="008A4883" w:rsidRPr="008A4883" w:rsidRDefault="008A4883" w:rsidP="008A4883">
      <w:pPr>
        <w:pStyle w:val="NormalWeb"/>
        <w:spacing w:beforeAutospacing="0" w:afterAutospacing="0" w:line="360" w:lineRule="auto"/>
        <w:jc w:val="both"/>
        <w:rPr>
          <w:rFonts w:ascii="Times New Roman" w:hAnsi="Times New Roman"/>
        </w:rPr>
      </w:pPr>
      <w:r w:rsidRPr="008A4883">
        <w:rPr>
          <w:rFonts w:ascii="Times New Roman" w:hAnsi="Times New Roman"/>
        </w:rPr>
        <w:t>These outcomes highlight the need for proactive, risk-sensitive planning approaches that integrate environmental, social, and infrastructural considerations.</w:t>
      </w:r>
    </w:p>
    <w:p w:rsidR="008A4883" w:rsidRPr="008A4883" w:rsidRDefault="008A4883" w:rsidP="008A4883">
      <w:pPr>
        <w:spacing w:after="0" w:line="360" w:lineRule="auto"/>
        <w:jc w:val="both"/>
        <w:rPr>
          <w:rFonts w:ascii="Times New Roman" w:hAnsi="Times New Roman"/>
          <w:sz w:val="10"/>
          <w:szCs w:val="24"/>
        </w:rPr>
      </w:pPr>
    </w:p>
    <w:p w:rsidR="008A4883" w:rsidRPr="008A4883" w:rsidRDefault="002B6B3A" w:rsidP="008A4883">
      <w:pPr>
        <w:pStyle w:val="Heading2"/>
        <w:spacing w:beforeAutospacing="0" w:afterAutospacing="0" w:line="360" w:lineRule="auto"/>
        <w:jc w:val="both"/>
        <w:rPr>
          <w:rFonts w:ascii="Times New Roman" w:hAnsi="Times New Roman" w:hint="default"/>
          <w:sz w:val="24"/>
          <w:szCs w:val="24"/>
        </w:rPr>
      </w:pPr>
      <w:r>
        <w:rPr>
          <w:rStyle w:val="Strong"/>
          <w:rFonts w:ascii="Times New Roman" w:hAnsi="Times New Roman" w:hint="default"/>
          <w:b/>
          <w:bCs/>
          <w:sz w:val="24"/>
          <w:szCs w:val="24"/>
        </w:rPr>
        <w:t>9</w:t>
      </w:r>
      <w:r w:rsidR="008A4883" w:rsidRPr="008A4883">
        <w:rPr>
          <w:rStyle w:val="Strong"/>
          <w:rFonts w:ascii="Times New Roman" w:hAnsi="Times New Roman" w:hint="default"/>
          <w:b/>
          <w:bCs/>
          <w:sz w:val="24"/>
          <w:szCs w:val="24"/>
        </w:rPr>
        <w:t>. Conclusion and Policy Implications</w:t>
      </w:r>
    </w:p>
    <w:p w:rsidR="008A4883" w:rsidRPr="007664A2" w:rsidRDefault="008A4883" w:rsidP="008A4883">
      <w:pPr>
        <w:spacing w:after="0" w:line="360" w:lineRule="auto"/>
        <w:jc w:val="both"/>
        <w:rPr>
          <w:rFonts w:ascii="Times New Roman" w:eastAsia="Times New Roman" w:hAnsi="Times New Roman"/>
          <w:sz w:val="24"/>
          <w:szCs w:val="24"/>
          <w:lang w:eastAsia="en-GB"/>
        </w:rPr>
      </w:pPr>
      <w:r w:rsidRPr="007664A2">
        <w:rPr>
          <w:rFonts w:ascii="Times New Roman" w:eastAsia="Times New Roman" w:hAnsi="Times New Roman"/>
          <w:sz w:val="24"/>
          <w:szCs w:val="24"/>
          <w:lang w:eastAsia="en-GB"/>
        </w:rPr>
        <w:t xml:space="preserve">This study has demonstrated that wetland </w:t>
      </w:r>
      <w:proofErr w:type="spellStart"/>
      <w:r w:rsidRPr="007664A2">
        <w:rPr>
          <w:rFonts w:ascii="Times New Roman" w:eastAsia="Times New Roman" w:hAnsi="Times New Roman"/>
          <w:sz w:val="24"/>
          <w:szCs w:val="24"/>
          <w:lang w:eastAsia="en-GB"/>
        </w:rPr>
        <w:t>neighbourhoods</w:t>
      </w:r>
      <w:proofErr w:type="spellEnd"/>
      <w:r w:rsidRPr="007664A2">
        <w:rPr>
          <w:rFonts w:ascii="Times New Roman" w:eastAsia="Times New Roman" w:hAnsi="Times New Roman"/>
          <w:sz w:val="24"/>
          <w:szCs w:val="24"/>
          <w:lang w:eastAsia="en-GB"/>
        </w:rPr>
        <w:t xml:space="preserve"> in Port Harcourt are not incidental or anomalous forms of urban development, but rather represent structural outcomes of broader urbanization processes shaped by market forces, spatial dynamics, and institutional limitations. The evidence from socio-economic analysis, spatial mapping, and distance matrix modelling reveals that their emergence is both systematic and predictable within the context of a constrained urban land market.</w:t>
      </w:r>
    </w:p>
    <w:p w:rsidR="008A4883" w:rsidRPr="007664A2" w:rsidRDefault="008A4883" w:rsidP="008A4883">
      <w:pPr>
        <w:spacing w:after="0" w:line="360" w:lineRule="auto"/>
        <w:jc w:val="both"/>
        <w:rPr>
          <w:rFonts w:ascii="Times New Roman" w:eastAsia="Times New Roman" w:hAnsi="Times New Roman"/>
          <w:sz w:val="24"/>
          <w:szCs w:val="24"/>
          <w:lang w:eastAsia="en-GB"/>
        </w:rPr>
      </w:pPr>
      <w:r w:rsidRPr="007664A2">
        <w:rPr>
          <w:rFonts w:ascii="Times New Roman" w:eastAsia="Times New Roman" w:hAnsi="Times New Roman"/>
          <w:sz w:val="24"/>
          <w:szCs w:val="24"/>
          <w:lang w:eastAsia="en-GB"/>
        </w:rPr>
        <w:t xml:space="preserve">The study identifies several key drivers underpinning the expansion of wetland </w:t>
      </w:r>
      <w:proofErr w:type="spellStart"/>
      <w:r w:rsidRPr="007664A2">
        <w:rPr>
          <w:rFonts w:ascii="Times New Roman" w:eastAsia="Times New Roman" w:hAnsi="Times New Roman"/>
          <w:sz w:val="24"/>
          <w:szCs w:val="24"/>
          <w:lang w:eastAsia="en-GB"/>
        </w:rPr>
        <w:t>neighbourhoods</w:t>
      </w:r>
      <w:proofErr w:type="spellEnd"/>
      <w:r w:rsidRPr="007664A2">
        <w:rPr>
          <w:rFonts w:ascii="Times New Roman" w:eastAsia="Times New Roman" w:hAnsi="Times New Roman"/>
          <w:sz w:val="24"/>
          <w:szCs w:val="24"/>
          <w:lang w:eastAsia="en-GB"/>
        </w:rPr>
        <w:t>:</w:t>
      </w:r>
    </w:p>
    <w:p w:rsidR="008A4883" w:rsidRPr="007664A2" w:rsidRDefault="008A4883" w:rsidP="008A4883">
      <w:pPr>
        <w:numPr>
          <w:ilvl w:val="0"/>
          <w:numId w:val="7"/>
        </w:numPr>
        <w:spacing w:after="0" w:line="360" w:lineRule="auto"/>
        <w:jc w:val="both"/>
        <w:rPr>
          <w:rFonts w:ascii="Times New Roman" w:eastAsia="Times New Roman" w:hAnsi="Times New Roman"/>
          <w:sz w:val="24"/>
          <w:szCs w:val="24"/>
          <w:lang w:eastAsia="en-GB"/>
        </w:rPr>
      </w:pPr>
      <w:r w:rsidRPr="008A4883">
        <w:rPr>
          <w:rFonts w:ascii="Times New Roman" w:eastAsia="Times New Roman" w:hAnsi="Times New Roman"/>
          <w:bCs/>
          <w:sz w:val="24"/>
          <w:szCs w:val="24"/>
          <w:lang w:eastAsia="en-GB"/>
        </w:rPr>
        <w:t>Housing affordability constraints</w:t>
      </w:r>
      <w:r w:rsidRPr="007664A2">
        <w:rPr>
          <w:rFonts w:ascii="Times New Roman" w:eastAsia="Times New Roman" w:hAnsi="Times New Roman"/>
          <w:sz w:val="24"/>
          <w:szCs w:val="24"/>
          <w:lang w:eastAsia="en-GB"/>
        </w:rPr>
        <w:t xml:space="preserve">, particularly the inability of middle-income households to access land within the formal urban core </w:t>
      </w:r>
    </w:p>
    <w:p w:rsidR="008A4883" w:rsidRPr="007664A2" w:rsidRDefault="008A4883" w:rsidP="008A4883">
      <w:pPr>
        <w:numPr>
          <w:ilvl w:val="0"/>
          <w:numId w:val="7"/>
        </w:numPr>
        <w:spacing w:after="0" w:line="360" w:lineRule="auto"/>
        <w:jc w:val="both"/>
        <w:rPr>
          <w:rFonts w:ascii="Times New Roman" w:eastAsia="Times New Roman" w:hAnsi="Times New Roman"/>
          <w:sz w:val="24"/>
          <w:szCs w:val="24"/>
          <w:lang w:eastAsia="en-GB"/>
        </w:rPr>
      </w:pPr>
      <w:r w:rsidRPr="008A4883">
        <w:rPr>
          <w:rFonts w:ascii="Times New Roman" w:eastAsia="Times New Roman" w:hAnsi="Times New Roman"/>
          <w:bCs/>
          <w:sz w:val="24"/>
          <w:szCs w:val="24"/>
          <w:lang w:eastAsia="en-GB"/>
        </w:rPr>
        <w:t>Proximity to major road infrastructure</w:t>
      </w:r>
      <w:r w:rsidRPr="007664A2">
        <w:rPr>
          <w:rFonts w:ascii="Times New Roman" w:eastAsia="Times New Roman" w:hAnsi="Times New Roman"/>
          <w:sz w:val="24"/>
          <w:szCs w:val="24"/>
          <w:lang w:eastAsia="en-GB"/>
        </w:rPr>
        <w:t xml:space="preserve">, which enhances accessibility and offsets environmental disadvantages </w:t>
      </w:r>
    </w:p>
    <w:p w:rsidR="008A4883" w:rsidRPr="007664A2" w:rsidRDefault="008A4883" w:rsidP="008A4883">
      <w:pPr>
        <w:numPr>
          <w:ilvl w:val="0"/>
          <w:numId w:val="7"/>
        </w:numPr>
        <w:spacing w:after="0" w:line="360" w:lineRule="auto"/>
        <w:jc w:val="both"/>
        <w:rPr>
          <w:rFonts w:ascii="Times New Roman" w:eastAsia="Times New Roman" w:hAnsi="Times New Roman"/>
          <w:sz w:val="24"/>
          <w:szCs w:val="24"/>
          <w:lang w:eastAsia="en-GB"/>
        </w:rPr>
      </w:pPr>
      <w:r w:rsidRPr="008A4883">
        <w:rPr>
          <w:rFonts w:ascii="Times New Roman" w:eastAsia="Times New Roman" w:hAnsi="Times New Roman"/>
          <w:bCs/>
          <w:sz w:val="24"/>
          <w:szCs w:val="24"/>
          <w:lang w:eastAsia="en-GB"/>
        </w:rPr>
        <w:t>Availability of marginal and relatively low-cost wetland land</w:t>
      </w:r>
      <w:r w:rsidRPr="007664A2">
        <w:rPr>
          <w:rFonts w:ascii="Times New Roman" w:eastAsia="Times New Roman" w:hAnsi="Times New Roman"/>
          <w:sz w:val="24"/>
          <w:szCs w:val="24"/>
          <w:lang w:eastAsia="en-GB"/>
        </w:rPr>
        <w:t xml:space="preserve">, making it attractive for incremental development </w:t>
      </w:r>
    </w:p>
    <w:p w:rsidR="008A4883" w:rsidRPr="007664A2" w:rsidRDefault="008A4883" w:rsidP="008A4883">
      <w:pPr>
        <w:numPr>
          <w:ilvl w:val="0"/>
          <w:numId w:val="7"/>
        </w:numPr>
        <w:spacing w:after="0" w:line="360" w:lineRule="auto"/>
        <w:jc w:val="both"/>
        <w:rPr>
          <w:rFonts w:ascii="Times New Roman" w:eastAsia="Times New Roman" w:hAnsi="Times New Roman"/>
          <w:sz w:val="24"/>
          <w:szCs w:val="24"/>
          <w:lang w:eastAsia="en-GB"/>
        </w:rPr>
      </w:pPr>
      <w:r w:rsidRPr="008A4883">
        <w:rPr>
          <w:rFonts w:ascii="Times New Roman" w:eastAsia="Times New Roman" w:hAnsi="Times New Roman"/>
          <w:bCs/>
          <w:sz w:val="24"/>
          <w:szCs w:val="24"/>
          <w:lang w:eastAsia="en-GB"/>
        </w:rPr>
        <w:t>Weak development control and planning enforcement</w:t>
      </w:r>
      <w:r w:rsidRPr="007664A2">
        <w:rPr>
          <w:rFonts w:ascii="Times New Roman" w:eastAsia="Times New Roman" w:hAnsi="Times New Roman"/>
          <w:sz w:val="24"/>
          <w:szCs w:val="24"/>
          <w:lang w:eastAsia="en-GB"/>
        </w:rPr>
        <w:t xml:space="preserve">, allowing unregulated construction and land subdivision </w:t>
      </w:r>
    </w:p>
    <w:p w:rsidR="008A4883" w:rsidRPr="007664A2" w:rsidRDefault="008A4883" w:rsidP="008A4883">
      <w:pPr>
        <w:numPr>
          <w:ilvl w:val="0"/>
          <w:numId w:val="7"/>
        </w:numPr>
        <w:spacing w:after="0" w:line="360" w:lineRule="auto"/>
        <w:jc w:val="both"/>
        <w:rPr>
          <w:rFonts w:ascii="Times New Roman" w:eastAsia="Times New Roman" w:hAnsi="Times New Roman"/>
          <w:sz w:val="24"/>
          <w:szCs w:val="24"/>
          <w:lang w:eastAsia="en-GB"/>
        </w:rPr>
      </w:pPr>
      <w:r w:rsidRPr="008A4883">
        <w:rPr>
          <w:rFonts w:ascii="Times New Roman" w:eastAsia="Times New Roman" w:hAnsi="Times New Roman"/>
          <w:bCs/>
          <w:sz w:val="24"/>
          <w:szCs w:val="24"/>
          <w:lang w:eastAsia="en-GB"/>
        </w:rPr>
        <w:t>Institutional and governance limitations</w:t>
      </w:r>
      <w:r w:rsidRPr="007664A2">
        <w:rPr>
          <w:rFonts w:ascii="Times New Roman" w:eastAsia="Times New Roman" w:hAnsi="Times New Roman"/>
          <w:sz w:val="24"/>
          <w:szCs w:val="24"/>
          <w:lang w:eastAsia="en-GB"/>
        </w:rPr>
        <w:t xml:space="preserve">, including the absence of an effective master plan and limited regulatory capacity </w:t>
      </w:r>
    </w:p>
    <w:p w:rsidR="008A4883" w:rsidRPr="007664A2" w:rsidRDefault="008A4883" w:rsidP="008A4883">
      <w:pPr>
        <w:numPr>
          <w:ilvl w:val="0"/>
          <w:numId w:val="7"/>
        </w:numPr>
        <w:spacing w:after="0" w:line="360" w:lineRule="auto"/>
        <w:jc w:val="both"/>
        <w:rPr>
          <w:rFonts w:ascii="Times New Roman" w:eastAsia="Times New Roman" w:hAnsi="Times New Roman"/>
          <w:sz w:val="24"/>
          <w:szCs w:val="24"/>
          <w:lang w:eastAsia="en-GB"/>
        </w:rPr>
      </w:pPr>
      <w:r w:rsidRPr="008A4883">
        <w:rPr>
          <w:rFonts w:ascii="Times New Roman" w:eastAsia="Times New Roman" w:hAnsi="Times New Roman"/>
          <w:bCs/>
          <w:sz w:val="24"/>
          <w:szCs w:val="24"/>
          <w:lang w:eastAsia="en-GB"/>
        </w:rPr>
        <w:lastRenderedPageBreak/>
        <w:t>Self-help and informal development practices</w:t>
      </w:r>
      <w:r w:rsidRPr="007664A2">
        <w:rPr>
          <w:rFonts w:ascii="Times New Roman" w:eastAsia="Times New Roman" w:hAnsi="Times New Roman"/>
          <w:sz w:val="24"/>
          <w:szCs w:val="24"/>
          <w:lang w:eastAsia="en-GB"/>
        </w:rPr>
        <w:t xml:space="preserve">, which enable settlement expansion in the absence of formal infrastructure provision </w:t>
      </w:r>
    </w:p>
    <w:p w:rsidR="008A4883" w:rsidRPr="007664A2" w:rsidRDefault="008A4883" w:rsidP="008A4883">
      <w:pPr>
        <w:spacing w:after="0" w:line="360" w:lineRule="auto"/>
        <w:jc w:val="both"/>
        <w:rPr>
          <w:rFonts w:ascii="Times New Roman" w:eastAsia="Times New Roman" w:hAnsi="Times New Roman"/>
          <w:sz w:val="24"/>
          <w:szCs w:val="24"/>
          <w:lang w:eastAsia="en-GB"/>
        </w:rPr>
      </w:pPr>
      <w:r w:rsidRPr="007664A2">
        <w:rPr>
          <w:rFonts w:ascii="Times New Roman" w:eastAsia="Times New Roman" w:hAnsi="Times New Roman"/>
          <w:sz w:val="24"/>
          <w:szCs w:val="24"/>
          <w:lang w:eastAsia="en-GB"/>
        </w:rPr>
        <w:t xml:space="preserve">These drivers collectively explain why wetland </w:t>
      </w:r>
      <w:proofErr w:type="spellStart"/>
      <w:r w:rsidRPr="007664A2">
        <w:rPr>
          <w:rFonts w:ascii="Times New Roman" w:eastAsia="Times New Roman" w:hAnsi="Times New Roman"/>
          <w:sz w:val="24"/>
          <w:szCs w:val="24"/>
          <w:lang w:eastAsia="en-GB"/>
        </w:rPr>
        <w:t>neighbourhoods</w:t>
      </w:r>
      <w:proofErr w:type="spellEnd"/>
      <w:r w:rsidRPr="007664A2">
        <w:rPr>
          <w:rFonts w:ascii="Times New Roman" w:eastAsia="Times New Roman" w:hAnsi="Times New Roman"/>
          <w:sz w:val="24"/>
          <w:szCs w:val="24"/>
          <w:lang w:eastAsia="en-GB"/>
        </w:rPr>
        <w:t xml:space="preserve"> continue to expand despite their environmental vulnerability.</w:t>
      </w:r>
    </w:p>
    <w:p w:rsidR="008A4883" w:rsidRPr="007664A2" w:rsidRDefault="008A4883" w:rsidP="008A4883">
      <w:pPr>
        <w:spacing w:after="0" w:line="360" w:lineRule="auto"/>
        <w:jc w:val="both"/>
        <w:rPr>
          <w:rFonts w:ascii="Times New Roman" w:eastAsia="Times New Roman" w:hAnsi="Times New Roman"/>
          <w:sz w:val="24"/>
          <w:szCs w:val="24"/>
          <w:lang w:eastAsia="en-GB"/>
        </w:rPr>
      </w:pPr>
      <w:r w:rsidRPr="007664A2">
        <w:rPr>
          <w:rFonts w:ascii="Times New Roman" w:eastAsia="Times New Roman" w:hAnsi="Times New Roman"/>
          <w:sz w:val="24"/>
          <w:szCs w:val="24"/>
          <w:lang w:eastAsia="en-GB"/>
        </w:rPr>
        <w:t xml:space="preserve">The findings further reveal that these </w:t>
      </w:r>
      <w:proofErr w:type="spellStart"/>
      <w:r w:rsidRPr="007664A2">
        <w:rPr>
          <w:rFonts w:ascii="Times New Roman" w:eastAsia="Times New Roman" w:hAnsi="Times New Roman"/>
          <w:sz w:val="24"/>
          <w:szCs w:val="24"/>
          <w:lang w:eastAsia="en-GB"/>
        </w:rPr>
        <w:t>neighbourhoods</w:t>
      </w:r>
      <w:proofErr w:type="spellEnd"/>
      <w:r w:rsidRPr="007664A2">
        <w:rPr>
          <w:rFonts w:ascii="Times New Roman" w:eastAsia="Times New Roman" w:hAnsi="Times New Roman"/>
          <w:sz w:val="24"/>
          <w:szCs w:val="24"/>
          <w:lang w:eastAsia="en-GB"/>
        </w:rPr>
        <w:t xml:space="preserve"> differ fundamentally from traditional informal settlements. Rather than being characterized solely by extreme poverty and temporary structures, they exhibit features of incremental formalization, including permanent construction, financial investment, and participation by economically active residents. This indicates that wetland development is not simply a manifestation of informality, but a hybrid form of urbanization shaped by both formal and informal processes.</w:t>
      </w:r>
    </w:p>
    <w:p w:rsidR="008A4883" w:rsidRPr="007664A2" w:rsidRDefault="008A4883" w:rsidP="008A4883">
      <w:pPr>
        <w:spacing w:after="0" w:line="360" w:lineRule="auto"/>
        <w:jc w:val="both"/>
        <w:rPr>
          <w:rFonts w:ascii="Times New Roman" w:eastAsia="Times New Roman" w:hAnsi="Times New Roman"/>
          <w:sz w:val="24"/>
          <w:szCs w:val="24"/>
          <w:lang w:eastAsia="en-GB"/>
        </w:rPr>
      </w:pPr>
      <w:r w:rsidRPr="007664A2">
        <w:rPr>
          <w:rFonts w:ascii="Times New Roman" w:eastAsia="Times New Roman" w:hAnsi="Times New Roman"/>
          <w:sz w:val="24"/>
          <w:szCs w:val="24"/>
          <w:lang w:eastAsia="en-GB"/>
        </w:rPr>
        <w:t>However, the environmental and spatial consequences of this growth are significant. The encroachment into flood-prone areas, obstruction of natural drainage systems, inadequate infrastructure provision, and poor adherence to planning standards collectively contribute to increased flood risk, environmental degradation, and declining urban resilience. These challenges are further compounded by fragmented governance systems and limited institutional oversight.</w:t>
      </w:r>
    </w:p>
    <w:p w:rsidR="008A4883" w:rsidRPr="007664A2" w:rsidRDefault="008A4883" w:rsidP="008A4883">
      <w:pPr>
        <w:spacing w:after="0" w:line="360" w:lineRule="auto"/>
        <w:jc w:val="both"/>
        <w:rPr>
          <w:rFonts w:ascii="Times New Roman" w:eastAsia="Times New Roman" w:hAnsi="Times New Roman"/>
          <w:sz w:val="24"/>
          <w:szCs w:val="24"/>
          <w:lang w:eastAsia="en-GB"/>
        </w:rPr>
      </w:pPr>
      <w:r w:rsidRPr="007664A2">
        <w:rPr>
          <w:rFonts w:ascii="Times New Roman" w:eastAsia="Times New Roman" w:hAnsi="Times New Roman"/>
          <w:sz w:val="24"/>
          <w:szCs w:val="24"/>
          <w:lang w:eastAsia="en-GB"/>
        </w:rPr>
        <w:t>In light of these findings, addressing wetland urbanization in Port Harcourt requires a shift from reactive to proactive and integrated planning approaches. Policy responses should therefore focus on:</w:t>
      </w:r>
    </w:p>
    <w:p w:rsidR="008A4883" w:rsidRPr="007664A2" w:rsidRDefault="008A4883" w:rsidP="008A4883">
      <w:pPr>
        <w:numPr>
          <w:ilvl w:val="0"/>
          <w:numId w:val="8"/>
        </w:numPr>
        <w:spacing w:after="0" w:line="360" w:lineRule="auto"/>
        <w:jc w:val="both"/>
        <w:rPr>
          <w:rFonts w:ascii="Times New Roman" w:eastAsia="Times New Roman" w:hAnsi="Times New Roman"/>
          <w:sz w:val="24"/>
          <w:szCs w:val="24"/>
          <w:lang w:eastAsia="en-GB"/>
        </w:rPr>
      </w:pPr>
      <w:r w:rsidRPr="008A4883">
        <w:rPr>
          <w:rFonts w:ascii="Times New Roman" w:eastAsia="Times New Roman" w:hAnsi="Times New Roman"/>
          <w:bCs/>
          <w:sz w:val="24"/>
          <w:szCs w:val="24"/>
          <w:lang w:eastAsia="en-GB"/>
        </w:rPr>
        <w:t>Expanding access to affordable and serviced land within formally planned areas</w:t>
      </w:r>
      <w:r w:rsidRPr="007664A2">
        <w:rPr>
          <w:rFonts w:ascii="Times New Roman" w:eastAsia="Times New Roman" w:hAnsi="Times New Roman"/>
          <w:sz w:val="24"/>
          <w:szCs w:val="24"/>
          <w:lang w:eastAsia="en-GB"/>
        </w:rPr>
        <w:t xml:space="preserve">, to reduce pressure on marginal environments </w:t>
      </w:r>
    </w:p>
    <w:p w:rsidR="008A4883" w:rsidRPr="007664A2" w:rsidRDefault="008A4883" w:rsidP="008A4883">
      <w:pPr>
        <w:numPr>
          <w:ilvl w:val="0"/>
          <w:numId w:val="8"/>
        </w:numPr>
        <w:spacing w:after="0" w:line="360" w:lineRule="auto"/>
        <w:jc w:val="both"/>
        <w:rPr>
          <w:rFonts w:ascii="Times New Roman" w:eastAsia="Times New Roman" w:hAnsi="Times New Roman"/>
          <w:sz w:val="24"/>
          <w:szCs w:val="24"/>
          <w:lang w:eastAsia="en-GB"/>
        </w:rPr>
      </w:pPr>
      <w:r w:rsidRPr="008A4883">
        <w:rPr>
          <w:rFonts w:ascii="Times New Roman" w:eastAsia="Times New Roman" w:hAnsi="Times New Roman"/>
          <w:bCs/>
          <w:sz w:val="24"/>
          <w:szCs w:val="24"/>
          <w:lang w:eastAsia="en-GB"/>
        </w:rPr>
        <w:t>Strengthening development control mechanisms</w:t>
      </w:r>
      <w:r w:rsidRPr="007664A2">
        <w:rPr>
          <w:rFonts w:ascii="Times New Roman" w:eastAsia="Times New Roman" w:hAnsi="Times New Roman"/>
          <w:sz w:val="24"/>
          <w:szCs w:val="24"/>
          <w:lang w:eastAsia="en-GB"/>
        </w:rPr>
        <w:t xml:space="preserve">, including enforcement of planning standards and building approvals </w:t>
      </w:r>
    </w:p>
    <w:p w:rsidR="008A4883" w:rsidRPr="007664A2" w:rsidRDefault="008A4883" w:rsidP="008A4883">
      <w:pPr>
        <w:numPr>
          <w:ilvl w:val="0"/>
          <w:numId w:val="8"/>
        </w:numPr>
        <w:spacing w:after="0" w:line="360" w:lineRule="auto"/>
        <w:jc w:val="both"/>
        <w:rPr>
          <w:rFonts w:ascii="Times New Roman" w:eastAsia="Times New Roman" w:hAnsi="Times New Roman"/>
          <w:sz w:val="24"/>
          <w:szCs w:val="24"/>
          <w:lang w:eastAsia="en-GB"/>
        </w:rPr>
      </w:pPr>
      <w:r w:rsidRPr="008A4883">
        <w:rPr>
          <w:rFonts w:ascii="Times New Roman" w:eastAsia="Times New Roman" w:hAnsi="Times New Roman"/>
          <w:bCs/>
          <w:sz w:val="24"/>
          <w:szCs w:val="24"/>
          <w:lang w:eastAsia="en-GB"/>
        </w:rPr>
        <w:t>Implementing risk-sensitive land-use planning</w:t>
      </w:r>
      <w:r w:rsidRPr="007664A2">
        <w:rPr>
          <w:rFonts w:ascii="Times New Roman" w:eastAsia="Times New Roman" w:hAnsi="Times New Roman"/>
          <w:sz w:val="24"/>
          <w:szCs w:val="24"/>
          <w:lang w:eastAsia="en-GB"/>
        </w:rPr>
        <w:t xml:space="preserve">, particularly in flood-prone and ecologically sensitive zones </w:t>
      </w:r>
    </w:p>
    <w:p w:rsidR="008A4883" w:rsidRPr="007664A2" w:rsidRDefault="008A4883" w:rsidP="008A4883">
      <w:pPr>
        <w:numPr>
          <w:ilvl w:val="0"/>
          <w:numId w:val="8"/>
        </w:numPr>
        <w:spacing w:after="0" w:line="360" w:lineRule="auto"/>
        <w:jc w:val="both"/>
        <w:rPr>
          <w:rFonts w:ascii="Times New Roman" w:eastAsia="Times New Roman" w:hAnsi="Times New Roman"/>
          <w:sz w:val="24"/>
          <w:szCs w:val="24"/>
          <w:lang w:eastAsia="en-GB"/>
        </w:rPr>
      </w:pPr>
      <w:r w:rsidRPr="008A4883">
        <w:rPr>
          <w:rFonts w:ascii="Times New Roman" w:eastAsia="Times New Roman" w:hAnsi="Times New Roman"/>
          <w:bCs/>
          <w:sz w:val="24"/>
          <w:szCs w:val="24"/>
          <w:lang w:eastAsia="en-GB"/>
        </w:rPr>
        <w:t xml:space="preserve">Upgrading and regularizing existing wetland </w:t>
      </w:r>
      <w:proofErr w:type="spellStart"/>
      <w:r w:rsidRPr="008A4883">
        <w:rPr>
          <w:rFonts w:ascii="Times New Roman" w:eastAsia="Times New Roman" w:hAnsi="Times New Roman"/>
          <w:bCs/>
          <w:sz w:val="24"/>
          <w:szCs w:val="24"/>
          <w:lang w:eastAsia="en-GB"/>
        </w:rPr>
        <w:t>neighbourhoods</w:t>
      </w:r>
      <w:proofErr w:type="spellEnd"/>
      <w:r w:rsidRPr="007664A2">
        <w:rPr>
          <w:rFonts w:ascii="Times New Roman" w:eastAsia="Times New Roman" w:hAnsi="Times New Roman"/>
          <w:sz w:val="24"/>
          <w:szCs w:val="24"/>
          <w:lang w:eastAsia="en-GB"/>
        </w:rPr>
        <w:t xml:space="preserve">, with targeted infrastructure provision (drainage, roads, waste management) </w:t>
      </w:r>
    </w:p>
    <w:p w:rsidR="008A4883" w:rsidRPr="007664A2" w:rsidRDefault="008A4883" w:rsidP="008A4883">
      <w:pPr>
        <w:numPr>
          <w:ilvl w:val="0"/>
          <w:numId w:val="8"/>
        </w:numPr>
        <w:spacing w:after="0" w:line="360" w:lineRule="auto"/>
        <w:jc w:val="both"/>
        <w:rPr>
          <w:rFonts w:ascii="Times New Roman" w:eastAsia="Times New Roman" w:hAnsi="Times New Roman"/>
          <w:sz w:val="24"/>
          <w:szCs w:val="24"/>
          <w:lang w:eastAsia="en-GB"/>
        </w:rPr>
      </w:pPr>
      <w:r w:rsidRPr="008A4883">
        <w:rPr>
          <w:rFonts w:ascii="Times New Roman" w:eastAsia="Times New Roman" w:hAnsi="Times New Roman"/>
          <w:bCs/>
          <w:sz w:val="24"/>
          <w:szCs w:val="24"/>
          <w:lang w:eastAsia="en-GB"/>
        </w:rPr>
        <w:t>Leveraging geospatial technologies (GIS and UAV mapping)</w:t>
      </w:r>
      <w:r w:rsidRPr="007664A2">
        <w:rPr>
          <w:rFonts w:ascii="Times New Roman" w:eastAsia="Times New Roman" w:hAnsi="Times New Roman"/>
          <w:sz w:val="24"/>
          <w:szCs w:val="24"/>
          <w:lang w:eastAsia="en-GB"/>
        </w:rPr>
        <w:t xml:space="preserve"> for continuous monitoring and evidence-based planning </w:t>
      </w:r>
    </w:p>
    <w:p w:rsidR="008A4883" w:rsidRPr="007664A2" w:rsidRDefault="008A4883" w:rsidP="008A4883">
      <w:pPr>
        <w:numPr>
          <w:ilvl w:val="0"/>
          <w:numId w:val="8"/>
        </w:numPr>
        <w:spacing w:after="0" w:line="360" w:lineRule="auto"/>
        <w:jc w:val="both"/>
        <w:rPr>
          <w:rFonts w:ascii="Times New Roman" w:eastAsia="Times New Roman" w:hAnsi="Times New Roman"/>
          <w:sz w:val="24"/>
          <w:szCs w:val="24"/>
          <w:lang w:eastAsia="en-GB"/>
        </w:rPr>
      </w:pPr>
      <w:r w:rsidRPr="008A4883">
        <w:rPr>
          <w:rFonts w:ascii="Times New Roman" w:eastAsia="Times New Roman" w:hAnsi="Times New Roman"/>
          <w:bCs/>
          <w:sz w:val="24"/>
          <w:szCs w:val="24"/>
          <w:lang w:eastAsia="en-GB"/>
        </w:rPr>
        <w:t>Enhancing institutional coordination and capacity</w:t>
      </w:r>
      <w:r w:rsidRPr="007664A2">
        <w:rPr>
          <w:rFonts w:ascii="Times New Roman" w:eastAsia="Times New Roman" w:hAnsi="Times New Roman"/>
          <w:sz w:val="24"/>
          <w:szCs w:val="24"/>
          <w:lang w:eastAsia="en-GB"/>
        </w:rPr>
        <w:t xml:space="preserve">, alongside engagement with community-based governance structures </w:t>
      </w:r>
    </w:p>
    <w:p w:rsidR="008A4883" w:rsidRPr="007664A2" w:rsidRDefault="008A4883" w:rsidP="008A4883">
      <w:pPr>
        <w:spacing w:after="0" w:line="360" w:lineRule="auto"/>
        <w:jc w:val="both"/>
        <w:rPr>
          <w:rFonts w:ascii="Times New Roman" w:eastAsia="Times New Roman" w:hAnsi="Times New Roman"/>
          <w:sz w:val="24"/>
          <w:szCs w:val="24"/>
          <w:lang w:eastAsia="en-GB"/>
        </w:rPr>
      </w:pPr>
      <w:r w:rsidRPr="007664A2">
        <w:rPr>
          <w:rFonts w:ascii="Times New Roman" w:eastAsia="Times New Roman" w:hAnsi="Times New Roman"/>
          <w:sz w:val="24"/>
          <w:szCs w:val="24"/>
          <w:lang w:eastAsia="en-GB"/>
        </w:rPr>
        <w:lastRenderedPageBreak/>
        <w:t xml:space="preserve">Ultimately, wetland </w:t>
      </w:r>
      <w:proofErr w:type="spellStart"/>
      <w:r w:rsidRPr="007664A2">
        <w:rPr>
          <w:rFonts w:ascii="Times New Roman" w:eastAsia="Times New Roman" w:hAnsi="Times New Roman"/>
          <w:sz w:val="24"/>
          <w:szCs w:val="24"/>
          <w:lang w:eastAsia="en-GB"/>
        </w:rPr>
        <w:t>neighbourhoods</w:t>
      </w:r>
      <w:proofErr w:type="spellEnd"/>
      <w:r w:rsidRPr="007664A2">
        <w:rPr>
          <w:rFonts w:ascii="Times New Roman" w:eastAsia="Times New Roman" w:hAnsi="Times New Roman"/>
          <w:sz w:val="24"/>
          <w:szCs w:val="24"/>
          <w:lang w:eastAsia="en-GB"/>
        </w:rPr>
        <w:t xml:space="preserve"> should be understood as spatial manifestations of systemic gaps in urban planning, housing provision, and governance. Their continued expansion, if left unregulated, poses significant risks to environmental sustainability and urban functionality. However, with appropriate policy interventions and integrated planning frameworks, these areas can be transformed from zones of vulnerability into more resilient and better-integrated components of the urban system.</w:t>
      </w:r>
    </w:p>
    <w:p w:rsidR="008A4883" w:rsidRPr="008A4883" w:rsidRDefault="008A4883" w:rsidP="008A4883">
      <w:pPr>
        <w:pStyle w:val="NormalWeb"/>
        <w:spacing w:beforeAutospacing="0" w:afterAutospacing="0" w:line="360" w:lineRule="auto"/>
        <w:jc w:val="both"/>
        <w:rPr>
          <w:rFonts w:ascii="Times New Roman" w:hAnsi="Times New Roman"/>
          <w:sz w:val="8"/>
        </w:rPr>
      </w:pPr>
    </w:p>
    <w:p w:rsidR="008A4883" w:rsidRPr="008A4883" w:rsidRDefault="008A4883" w:rsidP="008A4883">
      <w:pPr>
        <w:pStyle w:val="Heading2"/>
        <w:spacing w:beforeAutospacing="0" w:afterAutospacing="0" w:line="360" w:lineRule="auto"/>
        <w:jc w:val="both"/>
        <w:rPr>
          <w:rFonts w:ascii="Times New Roman" w:hAnsi="Times New Roman" w:hint="default"/>
          <w:sz w:val="24"/>
          <w:szCs w:val="24"/>
        </w:rPr>
      </w:pPr>
      <w:r w:rsidRPr="008A4883">
        <w:rPr>
          <w:rStyle w:val="Strong"/>
          <w:rFonts w:ascii="Times New Roman" w:hAnsi="Times New Roman" w:hint="default"/>
          <w:b/>
          <w:bCs/>
          <w:sz w:val="24"/>
          <w:szCs w:val="24"/>
        </w:rPr>
        <w:t>1</w:t>
      </w:r>
      <w:r w:rsidR="002B6B3A">
        <w:rPr>
          <w:rStyle w:val="Strong"/>
          <w:rFonts w:ascii="Times New Roman" w:hAnsi="Times New Roman" w:hint="default"/>
          <w:b/>
          <w:bCs/>
          <w:sz w:val="24"/>
          <w:szCs w:val="24"/>
        </w:rPr>
        <w:t>0</w:t>
      </w:r>
      <w:r w:rsidRPr="008A4883">
        <w:rPr>
          <w:rStyle w:val="Strong"/>
          <w:rFonts w:ascii="Times New Roman" w:hAnsi="Times New Roman" w:hint="default"/>
          <w:b/>
          <w:bCs/>
          <w:sz w:val="24"/>
          <w:szCs w:val="24"/>
        </w:rPr>
        <w:t>. Limitations of the Study</w:t>
      </w:r>
    </w:p>
    <w:p w:rsidR="008A4883" w:rsidRPr="008A4883" w:rsidRDefault="008A4883" w:rsidP="008A4883">
      <w:pPr>
        <w:pStyle w:val="NormalWeb"/>
        <w:spacing w:beforeAutospacing="0" w:afterAutospacing="0" w:line="360" w:lineRule="auto"/>
        <w:jc w:val="both"/>
        <w:rPr>
          <w:rFonts w:ascii="Times New Roman" w:hAnsi="Times New Roman"/>
        </w:rPr>
      </w:pPr>
      <w:r w:rsidRPr="008A4883">
        <w:rPr>
          <w:rFonts w:ascii="Times New Roman" w:hAnsi="Times New Roman"/>
        </w:rPr>
        <w:t>This study is limited by its cross-sectional design, which does not capture temporal changes in wetland development. The use of purposive sampling and self-reported data may also affect generalizability and introduce response bias. Additionally, the spatial analysis focused mainly on distance-based measures and did not incorporate detailed hydrological or longitudinal datasets. Despite these limitations, the findings provide a robust basis for understanding wetland urbanization in Port Harcourt.</w:t>
      </w:r>
    </w:p>
    <w:p w:rsidR="008A4883" w:rsidRPr="008A4883" w:rsidRDefault="008A4883" w:rsidP="008A4883">
      <w:pPr>
        <w:pStyle w:val="NormalWeb"/>
        <w:spacing w:beforeAutospacing="0" w:afterAutospacing="0" w:line="360" w:lineRule="auto"/>
        <w:jc w:val="both"/>
        <w:rPr>
          <w:rFonts w:ascii="Times New Roman" w:hAnsi="Times New Roman"/>
        </w:rPr>
      </w:pPr>
    </w:p>
    <w:p w:rsidR="008A4883" w:rsidRPr="008A4883" w:rsidRDefault="00041180" w:rsidP="008A4883">
      <w:pPr>
        <w:pStyle w:val="Heading2"/>
        <w:spacing w:beforeAutospacing="0" w:afterAutospacing="0" w:line="360" w:lineRule="auto"/>
        <w:jc w:val="both"/>
        <w:rPr>
          <w:rFonts w:ascii="Times New Roman" w:hAnsi="Times New Roman" w:hint="default"/>
          <w:sz w:val="24"/>
          <w:szCs w:val="24"/>
        </w:rPr>
      </w:pPr>
      <w:bookmarkStart w:id="1" w:name="_GoBack"/>
      <w:bookmarkEnd w:id="1"/>
      <w:r w:rsidRPr="00041180">
        <w:rPr>
          <w:rStyle w:val="Strong"/>
          <w:rFonts w:ascii="Times New Roman" w:hAnsi="Times New Roman"/>
          <w:b/>
          <w:bCs/>
          <w:sz w:val="24"/>
          <w:szCs w:val="24"/>
        </w:rPr>
        <w:t>Consent</w:t>
      </w:r>
    </w:p>
    <w:p w:rsidR="003F213C" w:rsidRPr="008A4883" w:rsidRDefault="003F213C" w:rsidP="003F213C">
      <w:pPr>
        <w:pStyle w:val="NormalWeb"/>
        <w:spacing w:beforeAutospacing="0" w:afterAutospacing="0" w:line="360" w:lineRule="auto"/>
        <w:jc w:val="both"/>
        <w:rPr>
          <w:rFonts w:ascii="Times New Roman" w:hAnsi="Times New Roman"/>
        </w:rPr>
      </w:pPr>
      <w:r w:rsidRPr="003F213C">
        <w:rPr>
          <w:rFonts w:ascii="Times New Roman" w:hAnsi="Times New Roman"/>
        </w:rPr>
        <w:t>As per international standards or university standards, respondents’ written consent has been collected and preserved by the author(s).</w:t>
      </w:r>
    </w:p>
    <w:p w:rsidR="00817341" w:rsidRPr="008A4883" w:rsidRDefault="00817341">
      <w:pPr>
        <w:rPr>
          <w:rFonts w:eastAsia="Calibri"/>
          <w:kern w:val="2"/>
          <w:sz w:val="6"/>
          <w:highlight w:val="yellow"/>
        </w:rPr>
      </w:pPr>
    </w:p>
    <w:p w:rsidR="00817341" w:rsidRDefault="00CA51A5">
      <w:pPr>
        <w:pStyle w:val="NoSpacing"/>
        <w:rPr>
          <w:rFonts w:ascii="Arial" w:hAnsi="Arial" w:cs="Arial"/>
          <w:highlight w:val="yellow"/>
        </w:rPr>
      </w:pPr>
      <w:bookmarkStart w:id="2" w:name="_Hlk219284361"/>
      <w:bookmarkStart w:id="3" w:name="_Hlk225937769"/>
      <w:bookmarkStart w:id="4" w:name="_Hlk198031404"/>
      <w:r>
        <w:rPr>
          <w:rFonts w:ascii="Arial" w:hAnsi="Arial" w:cs="Arial"/>
          <w:highlight w:val="yellow"/>
        </w:rPr>
        <w:t>Disclaimer (Artificial intelligence)</w:t>
      </w:r>
    </w:p>
    <w:p w:rsidR="00817341" w:rsidRDefault="00817341">
      <w:pPr>
        <w:pStyle w:val="NoSpacing"/>
        <w:rPr>
          <w:rFonts w:ascii="Arial" w:hAnsi="Arial" w:cs="Arial"/>
          <w:highlight w:val="yellow"/>
        </w:rPr>
      </w:pPr>
    </w:p>
    <w:p w:rsidR="00817341" w:rsidRDefault="00CA51A5">
      <w:pPr>
        <w:pStyle w:val="NoSpacing"/>
        <w:rPr>
          <w:rFonts w:ascii="Arial" w:hAnsi="Arial" w:cs="Arial"/>
          <w:highlight w:val="yellow"/>
        </w:rPr>
      </w:pPr>
      <w:r>
        <w:rPr>
          <w:rFonts w:ascii="Arial" w:hAnsi="Arial" w:cs="Arial"/>
          <w:highlight w:val="yellow"/>
        </w:rPr>
        <w:t>Author(s) hereby declare that NO generative AI technologies such as Large Language Models (</w:t>
      </w:r>
      <w:proofErr w:type="spellStart"/>
      <w:r>
        <w:rPr>
          <w:rFonts w:ascii="Arial" w:hAnsi="Arial" w:cs="Arial"/>
          <w:highlight w:val="yellow"/>
        </w:rPr>
        <w:t>ChatGPT</w:t>
      </w:r>
      <w:proofErr w:type="spellEnd"/>
      <w:r>
        <w:rPr>
          <w:rFonts w:ascii="Arial" w:hAnsi="Arial" w:cs="Arial"/>
          <w:highlight w:val="yellow"/>
        </w:rPr>
        <w:t>, COPILOT, etc.) and text-to-image generators have been used during the writing or editing of this manuscript</w:t>
      </w:r>
      <w:bookmarkEnd w:id="2"/>
      <w:r>
        <w:rPr>
          <w:rFonts w:ascii="Arial" w:hAnsi="Arial" w:cs="Arial"/>
          <w:highlight w:val="yellow"/>
        </w:rPr>
        <w:t xml:space="preserve">. </w:t>
      </w:r>
      <w:bookmarkEnd w:id="3"/>
    </w:p>
    <w:bookmarkEnd w:id="0"/>
    <w:bookmarkEnd w:id="4"/>
    <w:p w:rsidR="00817341" w:rsidRPr="008A4883" w:rsidRDefault="00817341">
      <w:pPr>
        <w:spacing w:line="240" w:lineRule="auto"/>
        <w:jc w:val="both"/>
        <w:rPr>
          <w:rFonts w:ascii="Times New Roman" w:hAnsi="Times New Roman"/>
          <w:sz w:val="10"/>
          <w:szCs w:val="24"/>
        </w:rPr>
      </w:pPr>
    </w:p>
    <w:p w:rsidR="008A4883" w:rsidRPr="008A4883" w:rsidRDefault="00CA51A5" w:rsidP="008A4883">
      <w:pPr>
        <w:spacing w:line="240" w:lineRule="auto"/>
        <w:rPr>
          <w:rFonts w:ascii="Times New Roman" w:eastAsia="MS Mincho" w:hAnsi="Times New Roman"/>
          <w:sz w:val="24"/>
          <w:szCs w:val="24"/>
          <w:lang w:val="en-GB" w:eastAsia="en-GB"/>
        </w:rPr>
      </w:pPr>
      <w:r>
        <w:rPr>
          <w:rFonts w:ascii="Times New Roman" w:hAnsi="Times New Roman"/>
          <w:b/>
          <w:sz w:val="24"/>
          <w:szCs w:val="24"/>
        </w:rPr>
        <w:t>References</w:t>
      </w:r>
    </w:p>
    <w:p w:rsidR="008A4883" w:rsidRPr="003F4618" w:rsidRDefault="008A4883" w:rsidP="003F4618">
      <w:pPr>
        <w:pStyle w:val="ListParagraph"/>
        <w:numPr>
          <w:ilvl w:val="0"/>
          <w:numId w:val="10"/>
        </w:numPr>
        <w:rPr>
          <w:rFonts w:ascii="Times New Roman" w:hAnsi="Times New Roman"/>
          <w:sz w:val="24"/>
          <w:szCs w:val="24"/>
        </w:rPr>
      </w:pPr>
      <w:proofErr w:type="spellStart"/>
      <w:r w:rsidRPr="003F4618">
        <w:rPr>
          <w:rFonts w:ascii="Times New Roman" w:hAnsi="Times New Roman"/>
          <w:sz w:val="24"/>
          <w:szCs w:val="24"/>
        </w:rPr>
        <w:t>Aalbers</w:t>
      </w:r>
      <w:proofErr w:type="spellEnd"/>
      <w:r w:rsidRPr="003F4618">
        <w:rPr>
          <w:rFonts w:ascii="Times New Roman" w:hAnsi="Times New Roman"/>
          <w:sz w:val="24"/>
          <w:szCs w:val="24"/>
        </w:rPr>
        <w:t>, M. B. (2016). The financialization of housing: A political economy approach. Routledge.</w:t>
      </w:r>
    </w:p>
    <w:p w:rsidR="008A4883" w:rsidRPr="003F4618" w:rsidRDefault="008A4883" w:rsidP="003F4618">
      <w:pPr>
        <w:pStyle w:val="ListParagraph"/>
        <w:numPr>
          <w:ilvl w:val="0"/>
          <w:numId w:val="10"/>
        </w:numPr>
        <w:rPr>
          <w:rFonts w:ascii="Times New Roman" w:hAnsi="Times New Roman"/>
          <w:sz w:val="24"/>
          <w:szCs w:val="24"/>
        </w:rPr>
      </w:pPr>
      <w:r w:rsidRPr="003F4618">
        <w:rPr>
          <w:rFonts w:ascii="Times New Roman" w:hAnsi="Times New Roman"/>
          <w:sz w:val="24"/>
          <w:szCs w:val="24"/>
        </w:rPr>
        <w:t xml:space="preserve">Acreman, M., Hughes, K. A., Arthington, A. H., Tickner, D., &amp; </w:t>
      </w:r>
      <w:proofErr w:type="spellStart"/>
      <w:r w:rsidRPr="003F4618">
        <w:rPr>
          <w:rFonts w:ascii="Times New Roman" w:hAnsi="Times New Roman"/>
          <w:sz w:val="24"/>
          <w:szCs w:val="24"/>
        </w:rPr>
        <w:t>Dueñas</w:t>
      </w:r>
      <w:proofErr w:type="spellEnd"/>
      <w:r w:rsidRPr="003F4618">
        <w:rPr>
          <w:rFonts w:ascii="Times New Roman" w:hAnsi="Times New Roman"/>
          <w:sz w:val="24"/>
          <w:szCs w:val="24"/>
        </w:rPr>
        <w:t>, M. A. (2020). Protected areas and freshwater biodiversity: A systematic review. Conservation Letters, 13(1), e12684.</w:t>
      </w:r>
    </w:p>
    <w:p w:rsidR="008A4883" w:rsidRPr="003F4618" w:rsidRDefault="008A4883" w:rsidP="003F4618">
      <w:pPr>
        <w:pStyle w:val="ListParagraph"/>
        <w:numPr>
          <w:ilvl w:val="0"/>
          <w:numId w:val="10"/>
        </w:numPr>
        <w:rPr>
          <w:rFonts w:ascii="Times New Roman" w:hAnsi="Times New Roman"/>
          <w:sz w:val="24"/>
          <w:szCs w:val="24"/>
        </w:rPr>
      </w:pPr>
      <w:proofErr w:type="spellStart"/>
      <w:r w:rsidRPr="003F4618">
        <w:rPr>
          <w:rFonts w:ascii="Times New Roman" w:hAnsi="Times New Roman"/>
          <w:sz w:val="24"/>
          <w:szCs w:val="24"/>
        </w:rPr>
        <w:t>Adelekan</w:t>
      </w:r>
      <w:proofErr w:type="spellEnd"/>
      <w:r w:rsidRPr="003F4618">
        <w:rPr>
          <w:rFonts w:ascii="Times New Roman" w:hAnsi="Times New Roman"/>
          <w:sz w:val="24"/>
          <w:szCs w:val="24"/>
        </w:rPr>
        <w:t>, I. O. (2016). Flood risk management in the coastal city of Lagos, Nigeria. Journal of Flood Risk Management, 9(3), 255–264.</w:t>
      </w:r>
    </w:p>
    <w:p w:rsidR="008A4883" w:rsidRPr="003F4618" w:rsidRDefault="008A4883" w:rsidP="003F4618">
      <w:pPr>
        <w:pStyle w:val="ListParagraph"/>
        <w:numPr>
          <w:ilvl w:val="0"/>
          <w:numId w:val="10"/>
        </w:numPr>
        <w:rPr>
          <w:rFonts w:ascii="Times New Roman" w:hAnsi="Times New Roman"/>
          <w:sz w:val="24"/>
          <w:szCs w:val="24"/>
        </w:rPr>
      </w:pPr>
      <w:r w:rsidRPr="003F4618">
        <w:rPr>
          <w:rFonts w:ascii="Times New Roman" w:hAnsi="Times New Roman"/>
          <w:sz w:val="24"/>
          <w:szCs w:val="24"/>
        </w:rPr>
        <w:t>Akinwande, T., &amp; Hui, E. C. (2024). Effective affordable housing provision in developing economies. Cities, 149, 104964.</w:t>
      </w:r>
    </w:p>
    <w:p w:rsidR="008A4883" w:rsidRPr="003F4618" w:rsidRDefault="008A4883" w:rsidP="003F4618">
      <w:pPr>
        <w:pStyle w:val="ListParagraph"/>
        <w:numPr>
          <w:ilvl w:val="0"/>
          <w:numId w:val="10"/>
        </w:numPr>
        <w:rPr>
          <w:rFonts w:ascii="Times New Roman" w:hAnsi="Times New Roman"/>
          <w:sz w:val="24"/>
          <w:szCs w:val="24"/>
        </w:rPr>
      </w:pPr>
      <w:proofErr w:type="spellStart"/>
      <w:r w:rsidRPr="003F4618">
        <w:rPr>
          <w:rFonts w:ascii="Times New Roman" w:hAnsi="Times New Roman"/>
          <w:sz w:val="24"/>
          <w:szCs w:val="24"/>
        </w:rPr>
        <w:lastRenderedPageBreak/>
        <w:t>Alikhani</w:t>
      </w:r>
      <w:proofErr w:type="spellEnd"/>
      <w:r w:rsidRPr="003F4618">
        <w:rPr>
          <w:rFonts w:ascii="Times New Roman" w:hAnsi="Times New Roman"/>
          <w:sz w:val="24"/>
          <w:szCs w:val="24"/>
        </w:rPr>
        <w:t xml:space="preserve">, S., </w:t>
      </w:r>
      <w:proofErr w:type="spellStart"/>
      <w:r w:rsidRPr="003F4618">
        <w:rPr>
          <w:rFonts w:ascii="Times New Roman" w:hAnsi="Times New Roman"/>
          <w:sz w:val="24"/>
          <w:szCs w:val="24"/>
        </w:rPr>
        <w:t>Nummi</w:t>
      </w:r>
      <w:proofErr w:type="spellEnd"/>
      <w:r w:rsidRPr="003F4618">
        <w:rPr>
          <w:rFonts w:ascii="Times New Roman" w:hAnsi="Times New Roman"/>
          <w:sz w:val="24"/>
          <w:szCs w:val="24"/>
        </w:rPr>
        <w:t xml:space="preserve">, P., &amp; </w:t>
      </w:r>
      <w:proofErr w:type="spellStart"/>
      <w:r w:rsidRPr="003F4618">
        <w:rPr>
          <w:rFonts w:ascii="Times New Roman" w:hAnsi="Times New Roman"/>
          <w:sz w:val="24"/>
          <w:szCs w:val="24"/>
        </w:rPr>
        <w:t>Ojala</w:t>
      </w:r>
      <w:proofErr w:type="spellEnd"/>
      <w:r w:rsidRPr="003F4618">
        <w:rPr>
          <w:rFonts w:ascii="Times New Roman" w:hAnsi="Times New Roman"/>
          <w:sz w:val="24"/>
          <w:szCs w:val="24"/>
        </w:rPr>
        <w:t>, A. (2021). Urban wetlands: Ecological and cultural values. Water, 13(22), 3301.</w:t>
      </w:r>
    </w:p>
    <w:p w:rsidR="008A4883" w:rsidRPr="003F4618" w:rsidRDefault="008A4883" w:rsidP="003F4618">
      <w:pPr>
        <w:pStyle w:val="ListParagraph"/>
        <w:numPr>
          <w:ilvl w:val="0"/>
          <w:numId w:val="10"/>
        </w:numPr>
        <w:rPr>
          <w:rFonts w:ascii="Times New Roman" w:hAnsi="Times New Roman"/>
          <w:sz w:val="24"/>
          <w:szCs w:val="24"/>
        </w:rPr>
      </w:pPr>
      <w:r w:rsidRPr="003F4618">
        <w:rPr>
          <w:rFonts w:ascii="Times New Roman" w:hAnsi="Times New Roman"/>
          <w:sz w:val="24"/>
          <w:szCs w:val="24"/>
        </w:rPr>
        <w:t xml:space="preserve">Angelo, H., &amp; </w:t>
      </w:r>
      <w:proofErr w:type="spellStart"/>
      <w:r w:rsidRPr="003F4618">
        <w:rPr>
          <w:rFonts w:ascii="Times New Roman" w:hAnsi="Times New Roman"/>
          <w:sz w:val="24"/>
          <w:szCs w:val="24"/>
        </w:rPr>
        <w:t>Wachsmuth</w:t>
      </w:r>
      <w:proofErr w:type="spellEnd"/>
      <w:r w:rsidRPr="003F4618">
        <w:rPr>
          <w:rFonts w:ascii="Times New Roman" w:hAnsi="Times New Roman"/>
          <w:sz w:val="24"/>
          <w:szCs w:val="24"/>
        </w:rPr>
        <w:t>, D. (2020). Why does everyone think cities can save the planet? Urban Studies, 57(11), 2201–2221.</w:t>
      </w:r>
    </w:p>
    <w:p w:rsidR="008A4883" w:rsidRPr="003F4618" w:rsidRDefault="008A4883" w:rsidP="003F4618">
      <w:pPr>
        <w:pStyle w:val="ListParagraph"/>
        <w:numPr>
          <w:ilvl w:val="0"/>
          <w:numId w:val="10"/>
        </w:numPr>
        <w:rPr>
          <w:rFonts w:ascii="Times New Roman" w:hAnsi="Times New Roman"/>
          <w:sz w:val="24"/>
          <w:szCs w:val="24"/>
        </w:rPr>
      </w:pPr>
      <w:r w:rsidRPr="003F4618">
        <w:rPr>
          <w:rFonts w:ascii="Times New Roman" w:hAnsi="Times New Roman"/>
          <w:sz w:val="24"/>
          <w:szCs w:val="24"/>
        </w:rPr>
        <w:t xml:space="preserve">Avelino, F., </w:t>
      </w:r>
      <w:proofErr w:type="spellStart"/>
      <w:r w:rsidRPr="003F4618">
        <w:rPr>
          <w:rFonts w:ascii="Times New Roman" w:hAnsi="Times New Roman"/>
          <w:sz w:val="24"/>
          <w:szCs w:val="24"/>
        </w:rPr>
        <w:t>Wijsman</w:t>
      </w:r>
      <w:proofErr w:type="spellEnd"/>
      <w:r w:rsidRPr="003F4618">
        <w:rPr>
          <w:rFonts w:ascii="Times New Roman" w:hAnsi="Times New Roman"/>
          <w:sz w:val="24"/>
          <w:szCs w:val="24"/>
        </w:rPr>
        <w:t xml:space="preserve">, K., Van </w:t>
      </w:r>
      <w:proofErr w:type="spellStart"/>
      <w:r w:rsidRPr="003F4618">
        <w:rPr>
          <w:rFonts w:ascii="Times New Roman" w:hAnsi="Times New Roman"/>
          <w:sz w:val="24"/>
          <w:szCs w:val="24"/>
        </w:rPr>
        <w:t>Steenbergen</w:t>
      </w:r>
      <w:proofErr w:type="spellEnd"/>
      <w:r w:rsidRPr="003F4618">
        <w:rPr>
          <w:rFonts w:ascii="Times New Roman" w:hAnsi="Times New Roman"/>
          <w:sz w:val="24"/>
          <w:szCs w:val="24"/>
        </w:rPr>
        <w:t xml:space="preserve">, F., </w:t>
      </w:r>
      <w:proofErr w:type="spellStart"/>
      <w:r w:rsidRPr="003F4618">
        <w:rPr>
          <w:rFonts w:ascii="Times New Roman" w:hAnsi="Times New Roman"/>
          <w:sz w:val="24"/>
          <w:szCs w:val="24"/>
        </w:rPr>
        <w:t>Jhagroe</w:t>
      </w:r>
      <w:proofErr w:type="spellEnd"/>
      <w:r w:rsidRPr="003F4618">
        <w:rPr>
          <w:rFonts w:ascii="Times New Roman" w:hAnsi="Times New Roman"/>
          <w:sz w:val="24"/>
          <w:szCs w:val="24"/>
        </w:rPr>
        <w:t xml:space="preserve">, S., </w:t>
      </w:r>
      <w:proofErr w:type="spellStart"/>
      <w:r w:rsidRPr="003F4618">
        <w:rPr>
          <w:rFonts w:ascii="Times New Roman" w:hAnsi="Times New Roman"/>
          <w:sz w:val="24"/>
          <w:szCs w:val="24"/>
        </w:rPr>
        <w:t>Wittmayer</w:t>
      </w:r>
      <w:proofErr w:type="spellEnd"/>
      <w:r w:rsidRPr="003F4618">
        <w:rPr>
          <w:rFonts w:ascii="Times New Roman" w:hAnsi="Times New Roman"/>
          <w:sz w:val="24"/>
          <w:szCs w:val="24"/>
        </w:rPr>
        <w:t xml:space="preserve">, J., </w:t>
      </w:r>
      <w:proofErr w:type="spellStart"/>
      <w:r w:rsidRPr="003F4618">
        <w:rPr>
          <w:rFonts w:ascii="Times New Roman" w:hAnsi="Times New Roman"/>
          <w:sz w:val="24"/>
          <w:szCs w:val="24"/>
        </w:rPr>
        <w:t>Akerboom</w:t>
      </w:r>
      <w:proofErr w:type="spellEnd"/>
      <w:r w:rsidRPr="003F4618">
        <w:rPr>
          <w:rFonts w:ascii="Times New Roman" w:hAnsi="Times New Roman"/>
          <w:sz w:val="24"/>
          <w:szCs w:val="24"/>
        </w:rPr>
        <w:t xml:space="preserve">, S., &amp; </w:t>
      </w:r>
      <w:proofErr w:type="spellStart"/>
      <w:r w:rsidRPr="003F4618">
        <w:rPr>
          <w:rFonts w:ascii="Times New Roman" w:hAnsi="Times New Roman"/>
          <w:sz w:val="24"/>
          <w:szCs w:val="24"/>
        </w:rPr>
        <w:t>Kalfagianni</w:t>
      </w:r>
      <w:proofErr w:type="spellEnd"/>
      <w:r w:rsidRPr="003F4618">
        <w:rPr>
          <w:rFonts w:ascii="Times New Roman" w:hAnsi="Times New Roman"/>
          <w:sz w:val="24"/>
          <w:szCs w:val="24"/>
        </w:rPr>
        <w:t>, A. (2024). Just sustainability transitions. Annual Review of Environment and Resources, 49, 519–547.</w:t>
      </w:r>
    </w:p>
    <w:p w:rsidR="008A4883" w:rsidRPr="003F4618" w:rsidRDefault="008A4883" w:rsidP="003F4618">
      <w:pPr>
        <w:pStyle w:val="ListParagraph"/>
        <w:numPr>
          <w:ilvl w:val="0"/>
          <w:numId w:val="10"/>
        </w:numPr>
        <w:rPr>
          <w:rFonts w:ascii="Times New Roman" w:hAnsi="Times New Roman"/>
          <w:sz w:val="24"/>
          <w:szCs w:val="24"/>
        </w:rPr>
      </w:pPr>
      <w:r w:rsidRPr="003F4618">
        <w:rPr>
          <w:rFonts w:ascii="Times New Roman" w:hAnsi="Times New Roman"/>
          <w:sz w:val="24"/>
          <w:szCs w:val="24"/>
        </w:rPr>
        <w:t xml:space="preserve">Banks, N., Lombard, M., &amp; </w:t>
      </w:r>
      <w:proofErr w:type="spellStart"/>
      <w:r w:rsidRPr="003F4618">
        <w:rPr>
          <w:rFonts w:ascii="Times New Roman" w:hAnsi="Times New Roman"/>
          <w:sz w:val="24"/>
          <w:szCs w:val="24"/>
        </w:rPr>
        <w:t>Mitlin</w:t>
      </w:r>
      <w:proofErr w:type="spellEnd"/>
      <w:r w:rsidRPr="003F4618">
        <w:rPr>
          <w:rFonts w:ascii="Times New Roman" w:hAnsi="Times New Roman"/>
          <w:sz w:val="24"/>
          <w:szCs w:val="24"/>
        </w:rPr>
        <w:t>, D. (2020). Urban informality as a site of critical analysis. Journal of Development Studies, 56(2), 223–238.</w:t>
      </w:r>
    </w:p>
    <w:p w:rsidR="008A4883" w:rsidRPr="003F4618" w:rsidRDefault="008A4883" w:rsidP="003F4618">
      <w:pPr>
        <w:pStyle w:val="ListParagraph"/>
        <w:numPr>
          <w:ilvl w:val="0"/>
          <w:numId w:val="10"/>
        </w:numPr>
        <w:rPr>
          <w:rFonts w:ascii="Times New Roman" w:hAnsi="Times New Roman"/>
          <w:sz w:val="24"/>
          <w:szCs w:val="24"/>
        </w:rPr>
      </w:pPr>
      <w:r w:rsidRPr="003F4618">
        <w:rPr>
          <w:rFonts w:ascii="Times New Roman" w:hAnsi="Times New Roman"/>
          <w:sz w:val="24"/>
          <w:szCs w:val="24"/>
        </w:rPr>
        <w:t xml:space="preserve">Bettencourt, L., &amp; </w:t>
      </w:r>
      <w:proofErr w:type="spellStart"/>
      <w:r w:rsidRPr="003F4618">
        <w:rPr>
          <w:rFonts w:ascii="Times New Roman" w:hAnsi="Times New Roman"/>
          <w:sz w:val="24"/>
          <w:szCs w:val="24"/>
        </w:rPr>
        <w:t>Marchio</w:t>
      </w:r>
      <w:proofErr w:type="spellEnd"/>
      <w:r w:rsidRPr="003F4618">
        <w:rPr>
          <w:rFonts w:ascii="Times New Roman" w:hAnsi="Times New Roman"/>
          <w:sz w:val="24"/>
          <w:szCs w:val="24"/>
        </w:rPr>
        <w:t xml:space="preserve">, N. (2023). Street access, informality and development. </w:t>
      </w:r>
      <w:proofErr w:type="spellStart"/>
      <w:r w:rsidRPr="003F4618">
        <w:rPr>
          <w:rFonts w:ascii="Times New Roman" w:hAnsi="Times New Roman"/>
          <w:sz w:val="24"/>
          <w:szCs w:val="24"/>
        </w:rPr>
        <w:t>arXiv</w:t>
      </w:r>
      <w:proofErr w:type="spellEnd"/>
      <w:r w:rsidRPr="003F4618">
        <w:rPr>
          <w:rFonts w:ascii="Times New Roman" w:hAnsi="Times New Roman"/>
          <w:sz w:val="24"/>
          <w:szCs w:val="24"/>
        </w:rPr>
        <w:t xml:space="preserve"> preprint arXiv:2307.16328.</w:t>
      </w:r>
    </w:p>
    <w:p w:rsidR="008A4883" w:rsidRPr="003F4618" w:rsidRDefault="008A4883" w:rsidP="003F4618">
      <w:pPr>
        <w:pStyle w:val="ListParagraph"/>
        <w:numPr>
          <w:ilvl w:val="0"/>
          <w:numId w:val="10"/>
        </w:numPr>
        <w:rPr>
          <w:rFonts w:ascii="Times New Roman" w:hAnsi="Times New Roman"/>
          <w:sz w:val="24"/>
          <w:szCs w:val="24"/>
        </w:rPr>
      </w:pPr>
      <w:r w:rsidRPr="003F4618">
        <w:rPr>
          <w:rFonts w:ascii="Times New Roman" w:hAnsi="Times New Roman"/>
          <w:sz w:val="24"/>
          <w:szCs w:val="24"/>
        </w:rPr>
        <w:t xml:space="preserve">Capra-Ribeiro, F. (2024). Spatial justice: Deductions, demonstrations, and derivations. </w:t>
      </w:r>
      <w:proofErr w:type="spellStart"/>
      <w:r w:rsidRPr="003F4618">
        <w:rPr>
          <w:rFonts w:ascii="Times New Roman" w:hAnsi="Times New Roman"/>
          <w:sz w:val="24"/>
          <w:szCs w:val="24"/>
        </w:rPr>
        <w:t>Anales</w:t>
      </w:r>
      <w:proofErr w:type="spellEnd"/>
      <w:r w:rsidRPr="003F4618">
        <w:rPr>
          <w:rFonts w:ascii="Times New Roman" w:hAnsi="Times New Roman"/>
          <w:sz w:val="24"/>
          <w:szCs w:val="24"/>
        </w:rPr>
        <w:t xml:space="preserve"> de </w:t>
      </w:r>
      <w:proofErr w:type="spellStart"/>
      <w:r w:rsidRPr="003F4618">
        <w:rPr>
          <w:rFonts w:ascii="Times New Roman" w:hAnsi="Times New Roman"/>
          <w:sz w:val="24"/>
          <w:szCs w:val="24"/>
        </w:rPr>
        <w:t>Investigación</w:t>
      </w:r>
      <w:proofErr w:type="spellEnd"/>
      <w:r w:rsidRPr="003F4618">
        <w:rPr>
          <w:rFonts w:ascii="Times New Roman" w:hAnsi="Times New Roman"/>
          <w:sz w:val="24"/>
          <w:szCs w:val="24"/>
        </w:rPr>
        <w:t xml:space="preserve"> </w:t>
      </w:r>
      <w:proofErr w:type="spellStart"/>
      <w:r w:rsidRPr="003F4618">
        <w:rPr>
          <w:rFonts w:ascii="Times New Roman" w:hAnsi="Times New Roman"/>
          <w:sz w:val="24"/>
          <w:szCs w:val="24"/>
        </w:rPr>
        <w:t>en</w:t>
      </w:r>
      <w:proofErr w:type="spellEnd"/>
      <w:r w:rsidRPr="003F4618">
        <w:rPr>
          <w:rFonts w:ascii="Times New Roman" w:hAnsi="Times New Roman"/>
          <w:sz w:val="24"/>
          <w:szCs w:val="24"/>
        </w:rPr>
        <w:t xml:space="preserve"> </w:t>
      </w:r>
      <w:proofErr w:type="spellStart"/>
      <w:r w:rsidRPr="003F4618">
        <w:rPr>
          <w:rFonts w:ascii="Times New Roman" w:hAnsi="Times New Roman"/>
          <w:sz w:val="24"/>
          <w:szCs w:val="24"/>
        </w:rPr>
        <w:t>Arquitectura</w:t>
      </w:r>
      <w:proofErr w:type="spellEnd"/>
      <w:r w:rsidRPr="003F4618">
        <w:rPr>
          <w:rFonts w:ascii="Times New Roman" w:hAnsi="Times New Roman"/>
          <w:sz w:val="24"/>
          <w:szCs w:val="24"/>
        </w:rPr>
        <w:t>, 14(1).</w:t>
      </w:r>
    </w:p>
    <w:p w:rsidR="008A4883" w:rsidRPr="003F4618" w:rsidRDefault="008A4883" w:rsidP="003F4618">
      <w:pPr>
        <w:pStyle w:val="ListParagraph"/>
        <w:numPr>
          <w:ilvl w:val="0"/>
          <w:numId w:val="10"/>
        </w:numPr>
        <w:rPr>
          <w:rFonts w:ascii="Times New Roman" w:hAnsi="Times New Roman"/>
          <w:sz w:val="24"/>
          <w:szCs w:val="24"/>
        </w:rPr>
      </w:pPr>
      <w:r w:rsidRPr="003F4618">
        <w:rPr>
          <w:rFonts w:ascii="Times New Roman" w:hAnsi="Times New Roman"/>
          <w:sz w:val="24"/>
          <w:szCs w:val="24"/>
        </w:rPr>
        <w:t xml:space="preserve">Chukwuma, O. M., &amp; </w:t>
      </w:r>
      <w:proofErr w:type="spellStart"/>
      <w:r w:rsidRPr="003F4618">
        <w:rPr>
          <w:rFonts w:ascii="Times New Roman" w:hAnsi="Times New Roman"/>
          <w:sz w:val="24"/>
          <w:szCs w:val="24"/>
        </w:rPr>
        <w:t>Uchenna</w:t>
      </w:r>
      <w:proofErr w:type="spellEnd"/>
      <w:r w:rsidRPr="003F4618">
        <w:rPr>
          <w:rFonts w:ascii="Times New Roman" w:hAnsi="Times New Roman"/>
          <w:sz w:val="24"/>
          <w:szCs w:val="24"/>
        </w:rPr>
        <w:t>, O. F. (2018). Flooding in Warri and Port Harcourt. Arabian Journal of Geosciences, 11(8), 166.</w:t>
      </w:r>
    </w:p>
    <w:p w:rsidR="008A4883" w:rsidRPr="003F4618" w:rsidRDefault="008A4883" w:rsidP="003F4618">
      <w:pPr>
        <w:pStyle w:val="ListParagraph"/>
        <w:numPr>
          <w:ilvl w:val="0"/>
          <w:numId w:val="10"/>
        </w:numPr>
        <w:rPr>
          <w:rFonts w:ascii="Times New Roman" w:hAnsi="Times New Roman"/>
          <w:sz w:val="24"/>
          <w:szCs w:val="24"/>
        </w:rPr>
      </w:pPr>
      <w:proofErr w:type="spellStart"/>
      <w:r w:rsidRPr="003F4618">
        <w:rPr>
          <w:rFonts w:ascii="Times New Roman" w:hAnsi="Times New Roman"/>
          <w:sz w:val="24"/>
          <w:szCs w:val="24"/>
        </w:rPr>
        <w:t>Cobbinah</w:t>
      </w:r>
      <w:proofErr w:type="spellEnd"/>
      <w:r w:rsidRPr="003F4618">
        <w:rPr>
          <w:rFonts w:ascii="Times New Roman" w:hAnsi="Times New Roman"/>
          <w:sz w:val="24"/>
          <w:szCs w:val="24"/>
        </w:rPr>
        <w:t xml:space="preserve">, P. B., </w:t>
      </w:r>
      <w:proofErr w:type="spellStart"/>
      <w:r w:rsidRPr="003F4618">
        <w:rPr>
          <w:rFonts w:ascii="Times New Roman" w:hAnsi="Times New Roman"/>
          <w:sz w:val="24"/>
          <w:szCs w:val="24"/>
        </w:rPr>
        <w:t>Erdiaw-Kwasie</w:t>
      </w:r>
      <w:proofErr w:type="spellEnd"/>
      <w:r w:rsidRPr="003F4618">
        <w:rPr>
          <w:rFonts w:ascii="Times New Roman" w:hAnsi="Times New Roman"/>
          <w:sz w:val="24"/>
          <w:szCs w:val="24"/>
        </w:rPr>
        <w:t xml:space="preserve">, M. O., &amp; </w:t>
      </w:r>
      <w:proofErr w:type="spellStart"/>
      <w:r w:rsidRPr="003F4618">
        <w:rPr>
          <w:rFonts w:ascii="Times New Roman" w:hAnsi="Times New Roman"/>
          <w:sz w:val="24"/>
          <w:szCs w:val="24"/>
        </w:rPr>
        <w:t>Amoateng</w:t>
      </w:r>
      <w:proofErr w:type="spellEnd"/>
      <w:r w:rsidRPr="003F4618">
        <w:rPr>
          <w:rFonts w:ascii="Times New Roman" w:hAnsi="Times New Roman"/>
          <w:sz w:val="24"/>
          <w:szCs w:val="24"/>
        </w:rPr>
        <w:t xml:space="preserve">, P. (2015). Africa’s </w:t>
      </w:r>
      <w:proofErr w:type="spellStart"/>
      <w:r w:rsidRPr="003F4618">
        <w:rPr>
          <w:rFonts w:ascii="Times New Roman" w:hAnsi="Times New Roman"/>
          <w:sz w:val="24"/>
          <w:szCs w:val="24"/>
        </w:rPr>
        <w:t>urbanisation</w:t>
      </w:r>
      <w:proofErr w:type="spellEnd"/>
      <w:r w:rsidRPr="003F4618">
        <w:rPr>
          <w:rFonts w:ascii="Times New Roman" w:hAnsi="Times New Roman"/>
          <w:sz w:val="24"/>
          <w:szCs w:val="24"/>
        </w:rPr>
        <w:t xml:space="preserve"> and sustainability. Cities, 47, 62–72.</w:t>
      </w:r>
    </w:p>
    <w:p w:rsidR="008A4883" w:rsidRPr="003F4618" w:rsidRDefault="008A4883" w:rsidP="003F4618">
      <w:pPr>
        <w:pStyle w:val="ListParagraph"/>
        <w:numPr>
          <w:ilvl w:val="0"/>
          <w:numId w:val="10"/>
        </w:numPr>
        <w:rPr>
          <w:rFonts w:ascii="Times New Roman" w:hAnsi="Times New Roman"/>
          <w:sz w:val="24"/>
          <w:szCs w:val="24"/>
        </w:rPr>
      </w:pPr>
      <w:r w:rsidRPr="003F4618">
        <w:rPr>
          <w:rFonts w:ascii="Times New Roman" w:hAnsi="Times New Roman"/>
          <w:sz w:val="24"/>
          <w:szCs w:val="24"/>
        </w:rPr>
        <w:t>Dan-Jumbo, N. G., Metzger, M. J., &amp; Clark, A. P. (2018). Urban land-use dynamics in the Niger Delta. Urban Science, 2(4), 108.</w:t>
      </w:r>
    </w:p>
    <w:p w:rsidR="008A4883" w:rsidRPr="003F4618" w:rsidRDefault="008A4883" w:rsidP="003F4618">
      <w:pPr>
        <w:pStyle w:val="ListParagraph"/>
        <w:numPr>
          <w:ilvl w:val="0"/>
          <w:numId w:val="10"/>
        </w:numPr>
        <w:rPr>
          <w:rFonts w:ascii="Times New Roman" w:hAnsi="Times New Roman"/>
          <w:sz w:val="24"/>
          <w:szCs w:val="24"/>
        </w:rPr>
      </w:pPr>
      <w:r w:rsidRPr="003F4618">
        <w:rPr>
          <w:rFonts w:ascii="Times New Roman" w:hAnsi="Times New Roman"/>
          <w:sz w:val="24"/>
          <w:szCs w:val="24"/>
        </w:rPr>
        <w:t xml:space="preserve">Darrah, S. E., </w:t>
      </w:r>
      <w:proofErr w:type="spellStart"/>
      <w:r w:rsidRPr="003F4618">
        <w:rPr>
          <w:rFonts w:ascii="Times New Roman" w:hAnsi="Times New Roman"/>
          <w:sz w:val="24"/>
          <w:szCs w:val="24"/>
        </w:rPr>
        <w:t>Shennan-Farpón</w:t>
      </w:r>
      <w:proofErr w:type="spellEnd"/>
      <w:r w:rsidRPr="003F4618">
        <w:rPr>
          <w:rFonts w:ascii="Times New Roman" w:hAnsi="Times New Roman"/>
          <w:sz w:val="24"/>
          <w:szCs w:val="24"/>
        </w:rPr>
        <w:t xml:space="preserve">, Y., </w:t>
      </w:r>
      <w:proofErr w:type="spellStart"/>
      <w:r w:rsidRPr="003F4618">
        <w:rPr>
          <w:rFonts w:ascii="Times New Roman" w:hAnsi="Times New Roman"/>
          <w:sz w:val="24"/>
          <w:szCs w:val="24"/>
        </w:rPr>
        <w:t>Loh</w:t>
      </w:r>
      <w:proofErr w:type="spellEnd"/>
      <w:r w:rsidRPr="003F4618">
        <w:rPr>
          <w:rFonts w:ascii="Times New Roman" w:hAnsi="Times New Roman"/>
          <w:sz w:val="24"/>
          <w:szCs w:val="24"/>
        </w:rPr>
        <w:t>, J., Davidson, N. C., Finlayson, C. M., Gardner, R. C., &amp; Walpole, M. J. (2019). Wetland extent trends index. Ecological Indicators, 99, 294–298.</w:t>
      </w:r>
    </w:p>
    <w:p w:rsidR="008A4883" w:rsidRPr="003F4618" w:rsidRDefault="008A4883" w:rsidP="003F4618">
      <w:pPr>
        <w:pStyle w:val="ListParagraph"/>
        <w:numPr>
          <w:ilvl w:val="0"/>
          <w:numId w:val="10"/>
        </w:numPr>
        <w:rPr>
          <w:rFonts w:ascii="Times New Roman" w:hAnsi="Times New Roman"/>
          <w:sz w:val="24"/>
          <w:szCs w:val="24"/>
        </w:rPr>
      </w:pPr>
      <w:r w:rsidRPr="003F4618">
        <w:rPr>
          <w:rFonts w:ascii="Times New Roman" w:hAnsi="Times New Roman"/>
          <w:sz w:val="24"/>
          <w:szCs w:val="24"/>
        </w:rPr>
        <w:t>Dodman, D., Archer, D., &amp; Satterthwaite, D. (2019). Climate change and urban poverty. Environment and Urbanization, 31(1), 3–12.</w:t>
      </w:r>
    </w:p>
    <w:p w:rsidR="008A4883" w:rsidRPr="003F4618" w:rsidRDefault="008A4883" w:rsidP="003F4618">
      <w:pPr>
        <w:pStyle w:val="ListParagraph"/>
        <w:numPr>
          <w:ilvl w:val="0"/>
          <w:numId w:val="10"/>
        </w:numPr>
        <w:rPr>
          <w:rFonts w:ascii="Times New Roman" w:hAnsi="Times New Roman"/>
          <w:sz w:val="24"/>
          <w:szCs w:val="24"/>
        </w:rPr>
      </w:pPr>
      <w:proofErr w:type="spellStart"/>
      <w:r w:rsidRPr="003F4618">
        <w:rPr>
          <w:rFonts w:ascii="Times New Roman" w:hAnsi="Times New Roman"/>
          <w:sz w:val="24"/>
          <w:szCs w:val="24"/>
        </w:rPr>
        <w:t>Dovey</w:t>
      </w:r>
      <w:proofErr w:type="spellEnd"/>
      <w:r w:rsidRPr="003F4618">
        <w:rPr>
          <w:rFonts w:ascii="Times New Roman" w:hAnsi="Times New Roman"/>
          <w:sz w:val="24"/>
          <w:szCs w:val="24"/>
        </w:rPr>
        <w:t xml:space="preserve">, K., &amp; </w:t>
      </w:r>
      <w:proofErr w:type="spellStart"/>
      <w:r w:rsidRPr="003F4618">
        <w:rPr>
          <w:rFonts w:ascii="Times New Roman" w:hAnsi="Times New Roman"/>
          <w:sz w:val="24"/>
          <w:szCs w:val="24"/>
        </w:rPr>
        <w:t>Recio</w:t>
      </w:r>
      <w:proofErr w:type="spellEnd"/>
      <w:r w:rsidRPr="003F4618">
        <w:rPr>
          <w:rFonts w:ascii="Times New Roman" w:hAnsi="Times New Roman"/>
          <w:sz w:val="24"/>
          <w:szCs w:val="24"/>
        </w:rPr>
        <w:t>, R. B. (2023). Settlement re-informalization. Habitat International, 131, 102724.</w:t>
      </w:r>
    </w:p>
    <w:p w:rsidR="008A4883" w:rsidRPr="003F4618" w:rsidRDefault="008A4883" w:rsidP="003F4618">
      <w:pPr>
        <w:pStyle w:val="ListParagraph"/>
        <w:numPr>
          <w:ilvl w:val="0"/>
          <w:numId w:val="10"/>
        </w:numPr>
        <w:rPr>
          <w:rFonts w:ascii="Times New Roman" w:hAnsi="Times New Roman"/>
          <w:sz w:val="24"/>
          <w:szCs w:val="24"/>
        </w:rPr>
      </w:pPr>
      <w:proofErr w:type="spellStart"/>
      <w:r w:rsidRPr="003F4618">
        <w:rPr>
          <w:rFonts w:ascii="Times New Roman" w:hAnsi="Times New Roman"/>
          <w:sz w:val="24"/>
          <w:szCs w:val="24"/>
        </w:rPr>
        <w:t>Dovey</w:t>
      </w:r>
      <w:proofErr w:type="spellEnd"/>
      <w:r w:rsidRPr="003F4618">
        <w:rPr>
          <w:rFonts w:ascii="Times New Roman" w:hAnsi="Times New Roman"/>
          <w:sz w:val="24"/>
          <w:szCs w:val="24"/>
        </w:rPr>
        <w:t xml:space="preserve">, K., van </w:t>
      </w:r>
      <w:proofErr w:type="spellStart"/>
      <w:r w:rsidRPr="003F4618">
        <w:rPr>
          <w:rFonts w:ascii="Times New Roman" w:hAnsi="Times New Roman"/>
          <w:sz w:val="24"/>
          <w:szCs w:val="24"/>
        </w:rPr>
        <w:t>Oostrum</w:t>
      </w:r>
      <w:proofErr w:type="spellEnd"/>
      <w:r w:rsidRPr="003F4618">
        <w:rPr>
          <w:rFonts w:ascii="Times New Roman" w:hAnsi="Times New Roman"/>
          <w:sz w:val="24"/>
          <w:szCs w:val="24"/>
        </w:rPr>
        <w:t>, M., Chatterjee, I., &amp; Shafique, T. (2020). Morphogenesis of informal settlements. Habitat International, 104, 102240.</w:t>
      </w:r>
    </w:p>
    <w:p w:rsidR="008A4883" w:rsidRPr="003F4618" w:rsidRDefault="008A4883" w:rsidP="003F4618">
      <w:pPr>
        <w:pStyle w:val="ListParagraph"/>
        <w:numPr>
          <w:ilvl w:val="0"/>
          <w:numId w:val="10"/>
        </w:numPr>
        <w:rPr>
          <w:rFonts w:ascii="Times New Roman" w:hAnsi="Times New Roman"/>
          <w:sz w:val="24"/>
          <w:szCs w:val="24"/>
        </w:rPr>
      </w:pPr>
      <w:proofErr w:type="spellStart"/>
      <w:r w:rsidRPr="003F4618">
        <w:rPr>
          <w:rFonts w:ascii="Times New Roman" w:hAnsi="Times New Roman"/>
          <w:sz w:val="24"/>
          <w:szCs w:val="24"/>
        </w:rPr>
        <w:t>Dulhunty</w:t>
      </w:r>
      <w:proofErr w:type="spellEnd"/>
      <w:r w:rsidRPr="003F4618">
        <w:rPr>
          <w:rFonts w:ascii="Times New Roman" w:hAnsi="Times New Roman"/>
          <w:sz w:val="24"/>
          <w:szCs w:val="24"/>
        </w:rPr>
        <w:t>, A. (2023). The everyday counter-city. Cities, 141, 104511.</w:t>
      </w:r>
    </w:p>
    <w:p w:rsidR="008A4883" w:rsidRPr="003F4618" w:rsidRDefault="008A4883" w:rsidP="003F4618">
      <w:pPr>
        <w:pStyle w:val="ListParagraph"/>
        <w:numPr>
          <w:ilvl w:val="0"/>
          <w:numId w:val="10"/>
        </w:numPr>
        <w:rPr>
          <w:rFonts w:ascii="Times New Roman" w:hAnsi="Times New Roman"/>
          <w:sz w:val="24"/>
          <w:szCs w:val="24"/>
        </w:rPr>
      </w:pPr>
      <w:proofErr w:type="spellStart"/>
      <w:r w:rsidRPr="003F4618">
        <w:rPr>
          <w:rFonts w:ascii="Times New Roman" w:hAnsi="Times New Roman"/>
          <w:sz w:val="24"/>
          <w:szCs w:val="24"/>
        </w:rPr>
        <w:t>Echendu</w:t>
      </w:r>
      <w:proofErr w:type="spellEnd"/>
      <w:r w:rsidRPr="003F4618">
        <w:rPr>
          <w:rFonts w:ascii="Times New Roman" w:hAnsi="Times New Roman"/>
          <w:sz w:val="24"/>
          <w:szCs w:val="24"/>
        </w:rPr>
        <w:t xml:space="preserve">, A., &amp; </w:t>
      </w:r>
      <w:proofErr w:type="spellStart"/>
      <w:r w:rsidRPr="003F4618">
        <w:rPr>
          <w:rFonts w:ascii="Times New Roman" w:hAnsi="Times New Roman"/>
          <w:sz w:val="24"/>
          <w:szCs w:val="24"/>
        </w:rPr>
        <w:t>Georgeou</w:t>
      </w:r>
      <w:proofErr w:type="spellEnd"/>
      <w:r w:rsidRPr="003F4618">
        <w:rPr>
          <w:rFonts w:ascii="Times New Roman" w:hAnsi="Times New Roman"/>
          <w:sz w:val="24"/>
          <w:szCs w:val="24"/>
        </w:rPr>
        <w:t>, N. (2021). Urban planning and flooding in Port Harcourt. Urban Forum, 32(3), 311–332.</w:t>
      </w:r>
    </w:p>
    <w:p w:rsidR="008A4883" w:rsidRPr="003F4618" w:rsidRDefault="008A4883" w:rsidP="003F4618">
      <w:pPr>
        <w:pStyle w:val="ListParagraph"/>
        <w:numPr>
          <w:ilvl w:val="0"/>
          <w:numId w:val="10"/>
        </w:numPr>
        <w:rPr>
          <w:rFonts w:ascii="Times New Roman" w:hAnsi="Times New Roman"/>
          <w:sz w:val="24"/>
          <w:szCs w:val="24"/>
        </w:rPr>
      </w:pPr>
      <w:r w:rsidRPr="003F4618">
        <w:rPr>
          <w:rFonts w:ascii="Times New Roman" w:hAnsi="Times New Roman"/>
          <w:sz w:val="24"/>
          <w:szCs w:val="24"/>
        </w:rPr>
        <w:t xml:space="preserve">Finlayson, C. M., Davies, G. T., </w:t>
      </w:r>
      <w:proofErr w:type="spellStart"/>
      <w:r w:rsidRPr="003F4618">
        <w:rPr>
          <w:rFonts w:ascii="Times New Roman" w:hAnsi="Times New Roman"/>
          <w:sz w:val="24"/>
          <w:szCs w:val="24"/>
        </w:rPr>
        <w:t>Moomaw</w:t>
      </w:r>
      <w:proofErr w:type="spellEnd"/>
      <w:r w:rsidRPr="003F4618">
        <w:rPr>
          <w:rFonts w:ascii="Times New Roman" w:hAnsi="Times New Roman"/>
          <w:sz w:val="24"/>
          <w:szCs w:val="24"/>
        </w:rPr>
        <w:t>, W. R., Chmura, G. L., Natali, S. M., Perry, J. E., &amp; Sutton-Grier, A. E. (2019). Wetland policy context. Wetlands, 39(1), 1–5.</w:t>
      </w:r>
    </w:p>
    <w:p w:rsidR="008A4883" w:rsidRPr="003F4618" w:rsidRDefault="008A4883" w:rsidP="003F4618">
      <w:pPr>
        <w:pStyle w:val="ListParagraph"/>
        <w:numPr>
          <w:ilvl w:val="0"/>
          <w:numId w:val="10"/>
        </w:numPr>
        <w:rPr>
          <w:rFonts w:ascii="Times New Roman" w:hAnsi="Times New Roman"/>
          <w:sz w:val="24"/>
          <w:szCs w:val="24"/>
        </w:rPr>
      </w:pPr>
      <w:r w:rsidRPr="003F4618">
        <w:rPr>
          <w:rFonts w:ascii="Times New Roman" w:hAnsi="Times New Roman"/>
          <w:sz w:val="24"/>
          <w:szCs w:val="24"/>
        </w:rPr>
        <w:t>Fox, S., &amp; Goodfellow, T. (2016). Cities and development. Routledge.</w:t>
      </w:r>
    </w:p>
    <w:p w:rsidR="008A4883" w:rsidRPr="003F4618" w:rsidRDefault="008A4883" w:rsidP="003F4618">
      <w:pPr>
        <w:pStyle w:val="ListParagraph"/>
        <w:numPr>
          <w:ilvl w:val="0"/>
          <w:numId w:val="10"/>
        </w:numPr>
        <w:rPr>
          <w:rFonts w:ascii="Times New Roman" w:hAnsi="Times New Roman"/>
          <w:sz w:val="24"/>
          <w:szCs w:val="24"/>
        </w:rPr>
      </w:pPr>
      <w:r w:rsidRPr="003F4618">
        <w:rPr>
          <w:rFonts w:ascii="Times New Roman" w:hAnsi="Times New Roman"/>
          <w:sz w:val="24"/>
          <w:szCs w:val="24"/>
        </w:rPr>
        <w:t>Gilbert, A. (2016). Rental housing: The international experience. Habitat International, 54, 173–181.</w:t>
      </w:r>
    </w:p>
    <w:p w:rsidR="008A4883" w:rsidRPr="003F4618" w:rsidRDefault="008A4883" w:rsidP="003F4618">
      <w:pPr>
        <w:pStyle w:val="ListParagraph"/>
        <w:numPr>
          <w:ilvl w:val="0"/>
          <w:numId w:val="10"/>
        </w:numPr>
        <w:rPr>
          <w:rFonts w:ascii="Times New Roman" w:hAnsi="Times New Roman"/>
          <w:sz w:val="24"/>
          <w:szCs w:val="24"/>
        </w:rPr>
      </w:pPr>
      <w:r w:rsidRPr="003F4618">
        <w:rPr>
          <w:rFonts w:ascii="Times New Roman" w:hAnsi="Times New Roman"/>
          <w:sz w:val="24"/>
          <w:szCs w:val="24"/>
        </w:rPr>
        <w:t>Horn, P. (2021). Participatory planning in African cities. Environment and Urbanization, 33(2), 519–538.</w:t>
      </w:r>
    </w:p>
    <w:p w:rsidR="008A4883" w:rsidRPr="003F4618" w:rsidRDefault="008A4883" w:rsidP="003F4618">
      <w:pPr>
        <w:pStyle w:val="ListParagraph"/>
        <w:numPr>
          <w:ilvl w:val="0"/>
          <w:numId w:val="10"/>
        </w:numPr>
        <w:rPr>
          <w:rFonts w:ascii="Times New Roman" w:hAnsi="Times New Roman"/>
          <w:sz w:val="24"/>
          <w:szCs w:val="24"/>
        </w:rPr>
      </w:pPr>
      <w:r w:rsidRPr="003F4618">
        <w:rPr>
          <w:rFonts w:ascii="Times New Roman" w:hAnsi="Times New Roman"/>
          <w:sz w:val="24"/>
          <w:szCs w:val="24"/>
        </w:rPr>
        <w:t xml:space="preserve">Huang, K., Li, X., Liu, X., &amp; </w:t>
      </w:r>
      <w:proofErr w:type="spellStart"/>
      <w:r w:rsidRPr="003F4618">
        <w:rPr>
          <w:rFonts w:ascii="Times New Roman" w:hAnsi="Times New Roman"/>
          <w:sz w:val="24"/>
          <w:szCs w:val="24"/>
        </w:rPr>
        <w:t>Seto</w:t>
      </w:r>
      <w:proofErr w:type="spellEnd"/>
      <w:r w:rsidRPr="003F4618">
        <w:rPr>
          <w:rFonts w:ascii="Times New Roman" w:hAnsi="Times New Roman"/>
          <w:sz w:val="24"/>
          <w:szCs w:val="24"/>
        </w:rPr>
        <w:t>, K. C. (2019). Global urban expansion projections. Environmental Research Letters, 14(11), 114037.</w:t>
      </w:r>
    </w:p>
    <w:p w:rsidR="008A4883" w:rsidRPr="003F4618" w:rsidRDefault="008A4883" w:rsidP="003F4618">
      <w:pPr>
        <w:pStyle w:val="ListParagraph"/>
        <w:numPr>
          <w:ilvl w:val="0"/>
          <w:numId w:val="10"/>
        </w:numPr>
        <w:spacing w:line="240" w:lineRule="auto"/>
        <w:jc w:val="both"/>
        <w:rPr>
          <w:rFonts w:ascii="Times New Roman" w:hAnsi="Times New Roman"/>
          <w:sz w:val="24"/>
          <w:szCs w:val="24"/>
        </w:rPr>
      </w:pPr>
      <w:r w:rsidRPr="003F4618">
        <w:rPr>
          <w:rFonts w:ascii="Times New Roman" w:hAnsi="Times New Roman"/>
          <w:sz w:val="24"/>
          <w:szCs w:val="24"/>
        </w:rPr>
        <w:lastRenderedPageBreak/>
        <w:t>Kio-Lawson, D. (2015). The squatters of Port Harcourt. Developing Country Studies, 5(22), 40–49.</w:t>
      </w:r>
    </w:p>
    <w:p w:rsidR="008A4883" w:rsidRPr="003F4618" w:rsidRDefault="008A4883" w:rsidP="003F4618">
      <w:pPr>
        <w:pStyle w:val="ListParagraph"/>
        <w:numPr>
          <w:ilvl w:val="0"/>
          <w:numId w:val="10"/>
        </w:numPr>
        <w:rPr>
          <w:rFonts w:ascii="Times New Roman" w:hAnsi="Times New Roman"/>
          <w:sz w:val="24"/>
          <w:szCs w:val="24"/>
        </w:rPr>
      </w:pPr>
      <w:proofErr w:type="spellStart"/>
      <w:r w:rsidRPr="003F4618">
        <w:rPr>
          <w:rFonts w:ascii="Times New Roman" w:hAnsi="Times New Roman"/>
          <w:sz w:val="24"/>
          <w:szCs w:val="24"/>
        </w:rPr>
        <w:t>Koroso</w:t>
      </w:r>
      <w:proofErr w:type="spellEnd"/>
      <w:r w:rsidRPr="003F4618">
        <w:rPr>
          <w:rFonts w:ascii="Times New Roman" w:hAnsi="Times New Roman"/>
          <w:sz w:val="24"/>
          <w:szCs w:val="24"/>
        </w:rPr>
        <w:t xml:space="preserve">, N. H., </w:t>
      </w:r>
      <w:proofErr w:type="spellStart"/>
      <w:r w:rsidRPr="003F4618">
        <w:rPr>
          <w:rFonts w:ascii="Times New Roman" w:hAnsi="Times New Roman"/>
          <w:sz w:val="24"/>
          <w:szCs w:val="24"/>
        </w:rPr>
        <w:t>Lengoiboni</w:t>
      </w:r>
      <w:proofErr w:type="spellEnd"/>
      <w:r w:rsidRPr="003F4618">
        <w:rPr>
          <w:rFonts w:ascii="Times New Roman" w:hAnsi="Times New Roman"/>
          <w:sz w:val="24"/>
          <w:szCs w:val="24"/>
        </w:rPr>
        <w:t xml:space="preserve">, M., &amp; </w:t>
      </w:r>
      <w:proofErr w:type="spellStart"/>
      <w:r w:rsidRPr="003F4618">
        <w:rPr>
          <w:rFonts w:ascii="Times New Roman" w:hAnsi="Times New Roman"/>
          <w:sz w:val="24"/>
          <w:szCs w:val="24"/>
        </w:rPr>
        <w:t>Zevenbergen</w:t>
      </w:r>
      <w:proofErr w:type="spellEnd"/>
      <w:r w:rsidRPr="003F4618">
        <w:rPr>
          <w:rFonts w:ascii="Times New Roman" w:hAnsi="Times New Roman"/>
          <w:sz w:val="24"/>
          <w:szCs w:val="24"/>
        </w:rPr>
        <w:t>, J. A. (2021). Urban land use efficiency. Habitat International, 117, 102437.</w:t>
      </w:r>
    </w:p>
    <w:p w:rsidR="008A4883" w:rsidRPr="003F4618" w:rsidRDefault="008A4883" w:rsidP="003F4618">
      <w:pPr>
        <w:pStyle w:val="ListParagraph"/>
        <w:numPr>
          <w:ilvl w:val="0"/>
          <w:numId w:val="10"/>
        </w:numPr>
        <w:rPr>
          <w:rFonts w:ascii="Times New Roman" w:hAnsi="Times New Roman"/>
          <w:sz w:val="24"/>
          <w:szCs w:val="24"/>
        </w:rPr>
      </w:pPr>
      <w:r w:rsidRPr="003F4618">
        <w:rPr>
          <w:rFonts w:ascii="Times New Roman" w:hAnsi="Times New Roman"/>
          <w:sz w:val="24"/>
          <w:szCs w:val="24"/>
        </w:rPr>
        <w:t>Kumar, M. (2025). Neoliberal urban governance in the Global South. Journal of Urban Management.</w:t>
      </w:r>
    </w:p>
    <w:p w:rsidR="008A4883" w:rsidRPr="003F4618" w:rsidRDefault="008A4883" w:rsidP="003F4618">
      <w:pPr>
        <w:pStyle w:val="ListParagraph"/>
        <w:numPr>
          <w:ilvl w:val="0"/>
          <w:numId w:val="10"/>
        </w:numPr>
        <w:rPr>
          <w:rFonts w:ascii="Times New Roman" w:hAnsi="Times New Roman"/>
          <w:sz w:val="24"/>
          <w:szCs w:val="24"/>
        </w:rPr>
      </w:pPr>
      <w:r w:rsidRPr="003F4618">
        <w:rPr>
          <w:rFonts w:ascii="Times New Roman" w:hAnsi="Times New Roman"/>
          <w:sz w:val="24"/>
          <w:szCs w:val="24"/>
        </w:rPr>
        <w:t>Nightingale, C. (2024). Our urban planet in theory and history. Cambridge University Press.</w:t>
      </w:r>
    </w:p>
    <w:p w:rsidR="008A4883" w:rsidRPr="003F4618" w:rsidRDefault="008A4883" w:rsidP="003F4618">
      <w:pPr>
        <w:pStyle w:val="ListParagraph"/>
        <w:numPr>
          <w:ilvl w:val="0"/>
          <w:numId w:val="10"/>
        </w:numPr>
        <w:rPr>
          <w:rFonts w:ascii="Times New Roman" w:hAnsi="Times New Roman"/>
          <w:sz w:val="24"/>
          <w:szCs w:val="24"/>
        </w:rPr>
      </w:pPr>
      <w:r w:rsidRPr="003F4618">
        <w:rPr>
          <w:rFonts w:ascii="Times New Roman" w:hAnsi="Times New Roman"/>
          <w:sz w:val="24"/>
          <w:szCs w:val="24"/>
        </w:rPr>
        <w:t>Obeng-</w:t>
      </w:r>
      <w:proofErr w:type="spellStart"/>
      <w:r w:rsidRPr="003F4618">
        <w:rPr>
          <w:rFonts w:ascii="Times New Roman" w:hAnsi="Times New Roman"/>
          <w:sz w:val="24"/>
          <w:szCs w:val="24"/>
        </w:rPr>
        <w:t>Odoom</w:t>
      </w:r>
      <w:proofErr w:type="spellEnd"/>
      <w:r w:rsidRPr="003F4618">
        <w:rPr>
          <w:rFonts w:ascii="Times New Roman" w:hAnsi="Times New Roman"/>
          <w:sz w:val="24"/>
          <w:szCs w:val="24"/>
        </w:rPr>
        <w:t>, F. (2020). The commons in an age of uncertainty. University of Toronto Press.</w:t>
      </w:r>
    </w:p>
    <w:p w:rsidR="008A4883" w:rsidRPr="003F4618" w:rsidRDefault="008A4883" w:rsidP="003F4618">
      <w:pPr>
        <w:pStyle w:val="ListParagraph"/>
        <w:numPr>
          <w:ilvl w:val="0"/>
          <w:numId w:val="10"/>
        </w:numPr>
        <w:rPr>
          <w:rFonts w:ascii="Times New Roman" w:hAnsi="Times New Roman"/>
          <w:sz w:val="24"/>
          <w:szCs w:val="24"/>
        </w:rPr>
      </w:pPr>
      <w:r w:rsidRPr="003F4618">
        <w:rPr>
          <w:rFonts w:ascii="Times New Roman" w:hAnsi="Times New Roman"/>
          <w:sz w:val="24"/>
          <w:szCs w:val="24"/>
        </w:rPr>
        <w:t>Parnell, S., &amp; Pieterse, E. (2016). African urban research methods. International Journal of Urban and Regional Research, 40(1), 236–246.</w:t>
      </w:r>
    </w:p>
    <w:p w:rsidR="008A4883" w:rsidRPr="003F4618" w:rsidRDefault="008A4883" w:rsidP="003F4618">
      <w:pPr>
        <w:pStyle w:val="ListParagraph"/>
        <w:numPr>
          <w:ilvl w:val="0"/>
          <w:numId w:val="10"/>
        </w:numPr>
        <w:rPr>
          <w:rFonts w:ascii="Times New Roman" w:hAnsi="Times New Roman"/>
          <w:sz w:val="24"/>
          <w:szCs w:val="24"/>
        </w:rPr>
      </w:pPr>
      <w:r w:rsidRPr="003F4618">
        <w:rPr>
          <w:rFonts w:ascii="Times New Roman" w:hAnsi="Times New Roman"/>
          <w:sz w:val="24"/>
          <w:szCs w:val="24"/>
        </w:rPr>
        <w:t xml:space="preserve">Patel, A. B., &amp; </w:t>
      </w:r>
      <w:proofErr w:type="spellStart"/>
      <w:r w:rsidRPr="003F4618">
        <w:rPr>
          <w:rFonts w:ascii="Times New Roman" w:hAnsi="Times New Roman"/>
          <w:sz w:val="24"/>
          <w:szCs w:val="24"/>
        </w:rPr>
        <w:t>Bakshi</w:t>
      </w:r>
      <w:proofErr w:type="spellEnd"/>
      <w:r w:rsidRPr="003F4618">
        <w:rPr>
          <w:rFonts w:ascii="Times New Roman" w:hAnsi="Times New Roman"/>
          <w:sz w:val="24"/>
          <w:szCs w:val="24"/>
        </w:rPr>
        <w:t>, V. (2025). Sustainable wetland management. In Wetlands and urban resilience (pp. 45–68).</w:t>
      </w:r>
    </w:p>
    <w:p w:rsidR="008A4883" w:rsidRPr="003F4618" w:rsidRDefault="008A4883" w:rsidP="003F4618">
      <w:pPr>
        <w:pStyle w:val="ListParagraph"/>
        <w:numPr>
          <w:ilvl w:val="0"/>
          <w:numId w:val="10"/>
        </w:numPr>
        <w:rPr>
          <w:rFonts w:ascii="Times New Roman" w:hAnsi="Times New Roman"/>
          <w:sz w:val="24"/>
          <w:szCs w:val="24"/>
        </w:rPr>
      </w:pPr>
      <w:r w:rsidRPr="003F4618">
        <w:rPr>
          <w:rFonts w:ascii="Times New Roman" w:hAnsi="Times New Roman"/>
          <w:sz w:val="24"/>
          <w:szCs w:val="24"/>
        </w:rPr>
        <w:t xml:space="preserve">Prieto-Curiel, R., &amp; Borja-Vega, C. (2024). Urban morphology and water scarcity. </w:t>
      </w:r>
      <w:proofErr w:type="spellStart"/>
      <w:r w:rsidRPr="003F4618">
        <w:rPr>
          <w:rFonts w:ascii="Times New Roman" w:hAnsi="Times New Roman"/>
          <w:sz w:val="24"/>
          <w:szCs w:val="24"/>
        </w:rPr>
        <w:t>arXiv</w:t>
      </w:r>
      <w:proofErr w:type="spellEnd"/>
      <w:r w:rsidRPr="003F4618">
        <w:rPr>
          <w:rFonts w:ascii="Times New Roman" w:hAnsi="Times New Roman"/>
          <w:sz w:val="24"/>
          <w:szCs w:val="24"/>
        </w:rPr>
        <w:t xml:space="preserve"> e-prints.</w:t>
      </w:r>
    </w:p>
    <w:p w:rsidR="008A4883" w:rsidRPr="003F4618" w:rsidRDefault="008A4883" w:rsidP="003F4618">
      <w:pPr>
        <w:pStyle w:val="ListParagraph"/>
        <w:numPr>
          <w:ilvl w:val="0"/>
          <w:numId w:val="10"/>
        </w:numPr>
        <w:rPr>
          <w:rFonts w:ascii="Times New Roman" w:hAnsi="Times New Roman"/>
          <w:sz w:val="24"/>
          <w:szCs w:val="24"/>
        </w:rPr>
      </w:pPr>
      <w:r w:rsidRPr="003F4618">
        <w:rPr>
          <w:rFonts w:ascii="Times New Roman" w:hAnsi="Times New Roman"/>
          <w:sz w:val="24"/>
          <w:szCs w:val="24"/>
        </w:rPr>
        <w:t xml:space="preserve">Satterthwaite, D., Archer, D., </w:t>
      </w:r>
      <w:proofErr w:type="spellStart"/>
      <w:r w:rsidRPr="003F4618">
        <w:rPr>
          <w:rFonts w:ascii="Times New Roman" w:hAnsi="Times New Roman"/>
          <w:sz w:val="24"/>
          <w:szCs w:val="24"/>
        </w:rPr>
        <w:t>Colenbrander</w:t>
      </w:r>
      <w:proofErr w:type="spellEnd"/>
      <w:r w:rsidRPr="003F4618">
        <w:rPr>
          <w:rFonts w:ascii="Times New Roman" w:hAnsi="Times New Roman"/>
          <w:sz w:val="24"/>
          <w:szCs w:val="24"/>
        </w:rPr>
        <w:t xml:space="preserve">, S., Dodman, D., </w:t>
      </w:r>
      <w:proofErr w:type="spellStart"/>
      <w:r w:rsidRPr="003F4618">
        <w:rPr>
          <w:rFonts w:ascii="Times New Roman" w:hAnsi="Times New Roman"/>
          <w:sz w:val="24"/>
          <w:szCs w:val="24"/>
        </w:rPr>
        <w:t>Hardoy</w:t>
      </w:r>
      <w:proofErr w:type="spellEnd"/>
      <w:r w:rsidRPr="003F4618">
        <w:rPr>
          <w:rFonts w:ascii="Times New Roman" w:hAnsi="Times New Roman"/>
          <w:sz w:val="24"/>
          <w:szCs w:val="24"/>
        </w:rPr>
        <w:t xml:space="preserve">, J., </w:t>
      </w:r>
      <w:proofErr w:type="spellStart"/>
      <w:r w:rsidRPr="003F4618">
        <w:rPr>
          <w:rFonts w:ascii="Times New Roman" w:hAnsi="Times New Roman"/>
          <w:sz w:val="24"/>
          <w:szCs w:val="24"/>
        </w:rPr>
        <w:t>Mitlin</w:t>
      </w:r>
      <w:proofErr w:type="spellEnd"/>
      <w:r w:rsidRPr="003F4618">
        <w:rPr>
          <w:rFonts w:ascii="Times New Roman" w:hAnsi="Times New Roman"/>
          <w:sz w:val="24"/>
          <w:szCs w:val="24"/>
        </w:rPr>
        <w:t>, D., &amp; Patel, S. (2020). Climate resilience in informal settlements. One Earth, 2(2), 143–156.</w:t>
      </w:r>
    </w:p>
    <w:p w:rsidR="008A4883" w:rsidRPr="003F4618" w:rsidRDefault="008A4883" w:rsidP="003F4618">
      <w:pPr>
        <w:pStyle w:val="ListParagraph"/>
        <w:numPr>
          <w:ilvl w:val="0"/>
          <w:numId w:val="10"/>
        </w:numPr>
        <w:rPr>
          <w:rFonts w:ascii="Times New Roman" w:hAnsi="Times New Roman"/>
          <w:sz w:val="24"/>
          <w:szCs w:val="24"/>
        </w:rPr>
      </w:pPr>
      <w:proofErr w:type="spellStart"/>
      <w:r w:rsidRPr="003F4618">
        <w:rPr>
          <w:rFonts w:ascii="Times New Roman" w:hAnsi="Times New Roman"/>
          <w:sz w:val="24"/>
          <w:szCs w:val="24"/>
        </w:rPr>
        <w:t>Seto</w:t>
      </w:r>
      <w:proofErr w:type="spellEnd"/>
      <w:r w:rsidRPr="003F4618">
        <w:rPr>
          <w:rFonts w:ascii="Times New Roman" w:hAnsi="Times New Roman"/>
          <w:sz w:val="24"/>
          <w:szCs w:val="24"/>
        </w:rPr>
        <w:t>, K. C., Golden, J. S., Alberti, M., &amp; Turner, B. L. (2017). Sustainability in an urbanizing planet. PNAS, 114(34), 8935–8938.</w:t>
      </w:r>
    </w:p>
    <w:p w:rsidR="008A4883" w:rsidRPr="003F4618" w:rsidRDefault="008A4883" w:rsidP="003F4618">
      <w:pPr>
        <w:pStyle w:val="ListParagraph"/>
        <w:numPr>
          <w:ilvl w:val="0"/>
          <w:numId w:val="10"/>
        </w:numPr>
        <w:rPr>
          <w:rFonts w:ascii="Times New Roman" w:hAnsi="Times New Roman"/>
          <w:sz w:val="24"/>
          <w:szCs w:val="24"/>
        </w:rPr>
      </w:pPr>
      <w:r w:rsidRPr="003F4618">
        <w:rPr>
          <w:rFonts w:ascii="Times New Roman" w:hAnsi="Times New Roman"/>
          <w:sz w:val="24"/>
          <w:szCs w:val="24"/>
        </w:rPr>
        <w:t>Song, A., Liang, S., Li, H., &amp; Yan, B. (2024). Wetland biodiversity and stability. Frontiers in Microbiology, 15, 1397683.</w:t>
      </w:r>
    </w:p>
    <w:p w:rsidR="008A4883" w:rsidRPr="003F4618" w:rsidRDefault="008A4883" w:rsidP="003F4618">
      <w:pPr>
        <w:pStyle w:val="ListParagraph"/>
        <w:numPr>
          <w:ilvl w:val="0"/>
          <w:numId w:val="10"/>
        </w:numPr>
        <w:rPr>
          <w:rFonts w:ascii="Times New Roman" w:hAnsi="Times New Roman"/>
          <w:sz w:val="24"/>
          <w:szCs w:val="24"/>
        </w:rPr>
      </w:pPr>
      <w:proofErr w:type="spellStart"/>
      <w:r w:rsidRPr="003F4618">
        <w:rPr>
          <w:rFonts w:ascii="Times New Roman" w:hAnsi="Times New Roman"/>
          <w:sz w:val="24"/>
          <w:szCs w:val="24"/>
        </w:rPr>
        <w:t>Veiga</w:t>
      </w:r>
      <w:proofErr w:type="spellEnd"/>
      <w:r w:rsidRPr="003F4618">
        <w:rPr>
          <w:rFonts w:ascii="Times New Roman" w:hAnsi="Times New Roman"/>
          <w:sz w:val="24"/>
          <w:szCs w:val="24"/>
        </w:rPr>
        <w:t xml:space="preserve">, C., Sharma, A., de Oliveira, D., Lage, M., &amp; Miranda, F. (2024). Urban computing and environmental justice. </w:t>
      </w:r>
      <w:proofErr w:type="spellStart"/>
      <w:r w:rsidRPr="003F4618">
        <w:rPr>
          <w:rFonts w:ascii="Times New Roman" w:hAnsi="Times New Roman"/>
          <w:sz w:val="24"/>
          <w:szCs w:val="24"/>
        </w:rPr>
        <w:t>arXiv</w:t>
      </w:r>
      <w:proofErr w:type="spellEnd"/>
      <w:r w:rsidRPr="003F4618">
        <w:rPr>
          <w:rFonts w:ascii="Times New Roman" w:hAnsi="Times New Roman"/>
          <w:sz w:val="24"/>
          <w:szCs w:val="24"/>
        </w:rPr>
        <w:t xml:space="preserve"> preprint.</w:t>
      </w:r>
    </w:p>
    <w:p w:rsidR="008A4883" w:rsidRPr="003F4618" w:rsidRDefault="008A4883" w:rsidP="003F4618">
      <w:pPr>
        <w:pStyle w:val="ListParagraph"/>
        <w:numPr>
          <w:ilvl w:val="0"/>
          <w:numId w:val="10"/>
        </w:numPr>
        <w:rPr>
          <w:rFonts w:ascii="Times New Roman" w:hAnsi="Times New Roman"/>
          <w:sz w:val="24"/>
          <w:szCs w:val="24"/>
        </w:rPr>
      </w:pPr>
      <w:r w:rsidRPr="003F4618">
        <w:rPr>
          <w:rFonts w:ascii="Times New Roman" w:hAnsi="Times New Roman"/>
          <w:sz w:val="24"/>
          <w:szCs w:val="24"/>
        </w:rPr>
        <w:t>Wang, K., Lu, J., &amp; Liu, H. (2023). Spatial injustice and policy acceptance. International Journal of Environmental Research and Public Health, 20(4), 2847.</w:t>
      </w:r>
    </w:p>
    <w:p w:rsidR="008A4883" w:rsidRPr="003F4618" w:rsidRDefault="008A4883" w:rsidP="003F4618">
      <w:pPr>
        <w:pStyle w:val="ListParagraph"/>
        <w:numPr>
          <w:ilvl w:val="0"/>
          <w:numId w:val="10"/>
        </w:numPr>
        <w:rPr>
          <w:rFonts w:ascii="Times New Roman" w:hAnsi="Times New Roman"/>
          <w:sz w:val="24"/>
          <w:szCs w:val="24"/>
        </w:rPr>
      </w:pPr>
      <w:r w:rsidRPr="003F4618">
        <w:rPr>
          <w:rFonts w:ascii="Times New Roman" w:hAnsi="Times New Roman"/>
          <w:sz w:val="24"/>
          <w:szCs w:val="24"/>
        </w:rPr>
        <w:t xml:space="preserve">Zhuang, H., Chen, G., Yan, Y., Li, B., Zeng, L., </w:t>
      </w:r>
      <w:proofErr w:type="spellStart"/>
      <w:r w:rsidRPr="003F4618">
        <w:rPr>
          <w:rFonts w:ascii="Times New Roman" w:hAnsi="Times New Roman"/>
          <w:sz w:val="24"/>
          <w:szCs w:val="24"/>
        </w:rPr>
        <w:t>Ou</w:t>
      </w:r>
      <w:proofErr w:type="spellEnd"/>
      <w:r w:rsidRPr="003F4618">
        <w:rPr>
          <w:rFonts w:ascii="Times New Roman" w:hAnsi="Times New Roman"/>
          <w:sz w:val="24"/>
          <w:szCs w:val="24"/>
        </w:rPr>
        <w:t xml:space="preserve">, J., &amp; Liu, X. (2022). Urban land expansion modelling. </w:t>
      </w:r>
      <w:proofErr w:type="spellStart"/>
      <w:r w:rsidRPr="003F4618">
        <w:rPr>
          <w:rFonts w:ascii="Times New Roman" w:hAnsi="Times New Roman"/>
          <w:sz w:val="24"/>
          <w:szCs w:val="24"/>
        </w:rPr>
        <w:t>GIScience</w:t>
      </w:r>
      <w:proofErr w:type="spellEnd"/>
      <w:r w:rsidRPr="003F4618">
        <w:rPr>
          <w:rFonts w:ascii="Times New Roman" w:hAnsi="Times New Roman"/>
          <w:sz w:val="24"/>
          <w:szCs w:val="24"/>
        </w:rPr>
        <w:t xml:space="preserve"> &amp; Remote Sensing, 59(1), 1301–1320.</w:t>
      </w:r>
    </w:p>
    <w:p w:rsidR="00817341" w:rsidRDefault="00817341" w:rsidP="008A4883">
      <w:pPr>
        <w:spacing w:line="240" w:lineRule="auto"/>
        <w:ind w:left="360" w:hanging="360"/>
        <w:jc w:val="both"/>
        <w:rPr>
          <w:rFonts w:ascii="Times New Roman" w:hAnsi="Times New Roman"/>
          <w:sz w:val="24"/>
          <w:szCs w:val="24"/>
        </w:rPr>
      </w:pPr>
    </w:p>
    <w:sectPr w:rsidR="0081734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181F" w:rsidRDefault="002B181F">
      <w:pPr>
        <w:spacing w:line="240" w:lineRule="auto"/>
      </w:pPr>
      <w:r>
        <w:separator/>
      </w:r>
    </w:p>
  </w:endnote>
  <w:endnote w:type="continuationSeparator" w:id="0">
    <w:p w:rsidR="002B181F" w:rsidRDefault="002B18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1A5" w:rsidRDefault="00CA51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1A5" w:rsidRDefault="00CA51A5">
    <w:pPr>
      <w:pStyle w:val="Footer"/>
      <w:jc w:val="center"/>
    </w:pPr>
    <w:r>
      <w:fldChar w:fldCharType="begin"/>
    </w:r>
    <w:r>
      <w:instrText xml:space="preserve"> PAGE   \* MERGEFORMAT </w:instrText>
    </w:r>
    <w:r>
      <w:fldChar w:fldCharType="separate"/>
    </w:r>
    <w:r>
      <w:t>1</w:t>
    </w:r>
    <w:r>
      <w:fldChar w:fldCharType="end"/>
    </w:r>
  </w:p>
  <w:p w:rsidR="00CA51A5" w:rsidRDefault="00CA51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1A5" w:rsidRDefault="00CA51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181F" w:rsidRDefault="002B181F">
      <w:pPr>
        <w:spacing w:after="0"/>
      </w:pPr>
      <w:r>
        <w:separator/>
      </w:r>
    </w:p>
  </w:footnote>
  <w:footnote w:type="continuationSeparator" w:id="0">
    <w:p w:rsidR="002B181F" w:rsidRDefault="002B181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1A5" w:rsidRDefault="002B181F">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90313" o:spid="_x0000_s2050" type="#_x0000_t136" style="position:absolute;margin-left:0;margin-top:0;width:555.05pt;height:104.6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1A5" w:rsidRDefault="002B181F">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90314" o:spid="_x0000_s2051" type="#_x0000_t136" style="position:absolute;margin-left:0;margin-top:0;width:555.05pt;height:104.6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1A5" w:rsidRDefault="002B181F">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90312" o:spid="_x0000_s2049" type="#_x0000_t136" style="position:absolute;margin-left:0;margin-top:0;width:555.05pt;height:104.6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0F4C9"/>
    <w:multiLevelType w:val="singleLevel"/>
    <w:tmpl w:val="0E70F4C9"/>
    <w:lvl w:ilvl="0">
      <w:start w:val="1"/>
      <w:numFmt w:val="lowerRoman"/>
      <w:lvlText w:val="%1."/>
      <w:lvlJc w:val="left"/>
      <w:pPr>
        <w:tabs>
          <w:tab w:val="left" w:pos="425"/>
        </w:tabs>
        <w:ind w:left="425" w:hanging="425"/>
      </w:pPr>
      <w:rPr>
        <w:rFonts w:hint="default"/>
      </w:rPr>
    </w:lvl>
  </w:abstractNum>
  <w:abstractNum w:abstractNumId="1" w15:restartNumberingAfterBreak="0">
    <w:nsid w:val="13CD4EC9"/>
    <w:multiLevelType w:val="multilevel"/>
    <w:tmpl w:val="13CD4EC9"/>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cs="Times New Roman"/>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15:restartNumberingAfterBreak="0">
    <w:nsid w:val="1893760B"/>
    <w:multiLevelType w:val="multilevel"/>
    <w:tmpl w:val="A0DC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797005"/>
    <w:multiLevelType w:val="multilevel"/>
    <w:tmpl w:val="954643B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DE4F65"/>
    <w:multiLevelType w:val="multilevel"/>
    <w:tmpl w:val="40C641F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A93047"/>
    <w:multiLevelType w:val="multilevel"/>
    <w:tmpl w:val="54A93047"/>
    <w:lvl w:ilvl="0">
      <w:start w:val="1"/>
      <w:numFmt w:val="lowerRoman"/>
      <w:lvlText w:val="%1."/>
      <w:lvlJc w:val="right"/>
      <w:pPr>
        <w:tabs>
          <w:tab w:val="left" w:pos="720"/>
        </w:tabs>
        <w:ind w:left="720" w:hanging="360"/>
      </w:pPr>
      <w:rPr>
        <w:sz w:val="20"/>
      </w:rPr>
    </w:lvl>
    <w:lvl w:ilvl="1">
      <w:start w:val="1"/>
      <w:numFmt w:val="bullet"/>
      <w:lvlText w:val="o"/>
      <w:lvlJc w:val="left"/>
      <w:pPr>
        <w:tabs>
          <w:tab w:val="left" w:pos="1440"/>
        </w:tabs>
        <w:ind w:left="1440" w:hanging="360"/>
      </w:pPr>
      <w:rPr>
        <w:rFonts w:ascii="Courier New" w:hAnsi="Courier New" w:cs="Times New Roman"/>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 w15:restartNumberingAfterBreak="0">
    <w:nsid w:val="5AE8507E"/>
    <w:multiLevelType w:val="hybridMultilevel"/>
    <w:tmpl w:val="70EC9C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5775E3D"/>
    <w:multiLevelType w:val="multilevel"/>
    <w:tmpl w:val="1EEEE78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F35A52"/>
    <w:multiLevelType w:val="multilevel"/>
    <w:tmpl w:val="76C8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6C33E1"/>
    <w:multiLevelType w:val="multilevel"/>
    <w:tmpl w:val="706C33E1"/>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1"/>
  </w:num>
  <w:num w:numId="2">
    <w:abstractNumId w:val="5"/>
  </w:num>
  <w:num w:numId="3">
    <w:abstractNumId w:val="9"/>
  </w:num>
  <w:num w:numId="4">
    <w:abstractNumId w:val="0"/>
  </w:num>
  <w:num w:numId="5">
    <w:abstractNumId w:val="2"/>
  </w:num>
  <w:num w:numId="6">
    <w:abstractNumId w:val="8"/>
  </w:num>
  <w:num w:numId="7">
    <w:abstractNumId w:val="3"/>
  </w:num>
  <w:num w:numId="8">
    <w:abstractNumId w:val="4"/>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oNotShadeFormData/>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C2MDMzNDU2sTCyNDRU0lEKTi0uzszPAykwqgUAHPGpoSwAAAA="/>
  </w:docVars>
  <w:rsids>
    <w:rsidRoot w:val="000238FD"/>
    <w:rsid w:val="00012520"/>
    <w:rsid w:val="000126F5"/>
    <w:rsid w:val="000238FD"/>
    <w:rsid w:val="00024D49"/>
    <w:rsid w:val="00031394"/>
    <w:rsid w:val="00031F66"/>
    <w:rsid w:val="00032264"/>
    <w:rsid w:val="00041180"/>
    <w:rsid w:val="00056F98"/>
    <w:rsid w:val="00064816"/>
    <w:rsid w:val="000673F8"/>
    <w:rsid w:val="00097C11"/>
    <w:rsid w:val="000A1E04"/>
    <w:rsid w:val="000A471A"/>
    <w:rsid w:val="000D6CB7"/>
    <w:rsid w:val="000F031A"/>
    <w:rsid w:val="00122525"/>
    <w:rsid w:val="0013709A"/>
    <w:rsid w:val="0014302D"/>
    <w:rsid w:val="00191C0C"/>
    <w:rsid w:val="001A1F0D"/>
    <w:rsid w:val="001C3C53"/>
    <w:rsid w:val="001C5EBC"/>
    <w:rsid w:val="001E3992"/>
    <w:rsid w:val="00201BE2"/>
    <w:rsid w:val="00202571"/>
    <w:rsid w:val="00203C00"/>
    <w:rsid w:val="002128BB"/>
    <w:rsid w:val="00217B99"/>
    <w:rsid w:val="00223758"/>
    <w:rsid w:val="0023325D"/>
    <w:rsid w:val="00243EAD"/>
    <w:rsid w:val="00244425"/>
    <w:rsid w:val="0026042B"/>
    <w:rsid w:val="002875C8"/>
    <w:rsid w:val="0029258B"/>
    <w:rsid w:val="002A2CF2"/>
    <w:rsid w:val="002B14D4"/>
    <w:rsid w:val="002B181F"/>
    <w:rsid w:val="002B6B3A"/>
    <w:rsid w:val="002C0A3E"/>
    <w:rsid w:val="002C4369"/>
    <w:rsid w:val="002C61FC"/>
    <w:rsid w:val="002C62B7"/>
    <w:rsid w:val="002D58FB"/>
    <w:rsid w:val="002D6218"/>
    <w:rsid w:val="003307C1"/>
    <w:rsid w:val="0034692C"/>
    <w:rsid w:val="0035306E"/>
    <w:rsid w:val="003670EB"/>
    <w:rsid w:val="00382FB8"/>
    <w:rsid w:val="003949D2"/>
    <w:rsid w:val="003A186F"/>
    <w:rsid w:val="003C58A0"/>
    <w:rsid w:val="003F213C"/>
    <w:rsid w:val="003F4618"/>
    <w:rsid w:val="0040774A"/>
    <w:rsid w:val="004110DF"/>
    <w:rsid w:val="004264C3"/>
    <w:rsid w:val="004313B6"/>
    <w:rsid w:val="00450807"/>
    <w:rsid w:val="0046075B"/>
    <w:rsid w:val="00473EF5"/>
    <w:rsid w:val="004814BD"/>
    <w:rsid w:val="00487F1F"/>
    <w:rsid w:val="00495953"/>
    <w:rsid w:val="00497B0C"/>
    <w:rsid w:val="004F62D4"/>
    <w:rsid w:val="00513BCE"/>
    <w:rsid w:val="00517381"/>
    <w:rsid w:val="00575451"/>
    <w:rsid w:val="005960FF"/>
    <w:rsid w:val="00596B5B"/>
    <w:rsid w:val="005A1C81"/>
    <w:rsid w:val="005A4197"/>
    <w:rsid w:val="005A4DEA"/>
    <w:rsid w:val="005A7669"/>
    <w:rsid w:val="005C233F"/>
    <w:rsid w:val="005D381A"/>
    <w:rsid w:val="006124C1"/>
    <w:rsid w:val="006A61E7"/>
    <w:rsid w:val="006C0D43"/>
    <w:rsid w:val="006D619D"/>
    <w:rsid w:val="006D62F0"/>
    <w:rsid w:val="006E14F4"/>
    <w:rsid w:val="006E6B3D"/>
    <w:rsid w:val="00703D9E"/>
    <w:rsid w:val="007049F8"/>
    <w:rsid w:val="0073325B"/>
    <w:rsid w:val="007350B9"/>
    <w:rsid w:val="00746F4E"/>
    <w:rsid w:val="00751B1A"/>
    <w:rsid w:val="007720C5"/>
    <w:rsid w:val="00792AEF"/>
    <w:rsid w:val="007A4743"/>
    <w:rsid w:val="007A6934"/>
    <w:rsid w:val="007D41B3"/>
    <w:rsid w:val="007F2AA6"/>
    <w:rsid w:val="00812FCE"/>
    <w:rsid w:val="00817341"/>
    <w:rsid w:val="00827F32"/>
    <w:rsid w:val="00831CBC"/>
    <w:rsid w:val="008341B6"/>
    <w:rsid w:val="00852047"/>
    <w:rsid w:val="00857779"/>
    <w:rsid w:val="00861454"/>
    <w:rsid w:val="008A0992"/>
    <w:rsid w:val="008A4883"/>
    <w:rsid w:val="008C5504"/>
    <w:rsid w:val="008C6856"/>
    <w:rsid w:val="0094292C"/>
    <w:rsid w:val="00946905"/>
    <w:rsid w:val="0099149B"/>
    <w:rsid w:val="009918F4"/>
    <w:rsid w:val="009966E9"/>
    <w:rsid w:val="009A34C9"/>
    <w:rsid w:val="009F6B0F"/>
    <w:rsid w:val="00A04278"/>
    <w:rsid w:val="00A161B5"/>
    <w:rsid w:val="00A5285C"/>
    <w:rsid w:val="00A82513"/>
    <w:rsid w:val="00A93026"/>
    <w:rsid w:val="00AA2BA4"/>
    <w:rsid w:val="00AB5CEF"/>
    <w:rsid w:val="00AB632F"/>
    <w:rsid w:val="00AE3676"/>
    <w:rsid w:val="00AF79DA"/>
    <w:rsid w:val="00B222B0"/>
    <w:rsid w:val="00B3294E"/>
    <w:rsid w:val="00B34F18"/>
    <w:rsid w:val="00B67187"/>
    <w:rsid w:val="00B72CBB"/>
    <w:rsid w:val="00B821A5"/>
    <w:rsid w:val="00BB1175"/>
    <w:rsid w:val="00BB5FCD"/>
    <w:rsid w:val="00BC13F5"/>
    <w:rsid w:val="00C04BD3"/>
    <w:rsid w:val="00C145D2"/>
    <w:rsid w:val="00C271E5"/>
    <w:rsid w:val="00C670DC"/>
    <w:rsid w:val="00C95E6C"/>
    <w:rsid w:val="00CA51A5"/>
    <w:rsid w:val="00CC0B62"/>
    <w:rsid w:val="00CC4A82"/>
    <w:rsid w:val="00CC561E"/>
    <w:rsid w:val="00CD35ED"/>
    <w:rsid w:val="00CE297F"/>
    <w:rsid w:val="00D12E2D"/>
    <w:rsid w:val="00D15253"/>
    <w:rsid w:val="00D229E6"/>
    <w:rsid w:val="00D370B1"/>
    <w:rsid w:val="00D377B8"/>
    <w:rsid w:val="00D55B03"/>
    <w:rsid w:val="00D9659C"/>
    <w:rsid w:val="00DA1A4A"/>
    <w:rsid w:val="00DB4CFC"/>
    <w:rsid w:val="00DB5BFB"/>
    <w:rsid w:val="00DC3DF5"/>
    <w:rsid w:val="00DC5916"/>
    <w:rsid w:val="00DD4EC9"/>
    <w:rsid w:val="00DF06E7"/>
    <w:rsid w:val="00DF1F7B"/>
    <w:rsid w:val="00E002CF"/>
    <w:rsid w:val="00E200AD"/>
    <w:rsid w:val="00E428B6"/>
    <w:rsid w:val="00E83CE4"/>
    <w:rsid w:val="00E84013"/>
    <w:rsid w:val="00E9049D"/>
    <w:rsid w:val="00E914DB"/>
    <w:rsid w:val="00EB5BB8"/>
    <w:rsid w:val="00EE7815"/>
    <w:rsid w:val="00F07B90"/>
    <w:rsid w:val="00F1163D"/>
    <w:rsid w:val="00F2436F"/>
    <w:rsid w:val="00F568D1"/>
    <w:rsid w:val="00F759F1"/>
    <w:rsid w:val="00F85F1C"/>
    <w:rsid w:val="00F879E7"/>
    <w:rsid w:val="00F93D95"/>
    <w:rsid w:val="00FB5556"/>
    <w:rsid w:val="00FD7902"/>
    <w:rsid w:val="00FE011F"/>
    <w:rsid w:val="00FE29D7"/>
    <w:rsid w:val="00FE2FBC"/>
    <w:rsid w:val="00FF6221"/>
    <w:rsid w:val="00FF70B9"/>
    <w:rsid w:val="23135105"/>
    <w:rsid w:val="24462612"/>
    <w:rsid w:val="37E929CC"/>
    <w:rsid w:val="3DC16ED5"/>
    <w:rsid w:val="4980098C"/>
    <w:rsid w:val="71243AFB"/>
    <w:rsid w:val="7ED628F6"/>
    <w:rsid w:val="7FBD1E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7DE4C35"/>
  <w15:docId w15:val="{EB452A31-4A55-42A9-8E79-8E2149218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eastAsia="SimSun" w:cs="Times New Roman"/>
      <w:sz w:val="22"/>
      <w:szCs w:val="22"/>
      <w:lang w:val="en-US" w:eastAsia="zh-CN"/>
    </w:rPr>
  </w:style>
  <w:style w:type="paragraph" w:styleId="Heading1">
    <w:name w:val="heading 1"/>
    <w:next w:val="Normal"/>
    <w:link w:val="Heading1Char"/>
    <w:uiPriority w:val="9"/>
    <w:qFormat/>
    <w:pPr>
      <w:spacing w:beforeAutospacing="1" w:afterAutospacing="1"/>
      <w:outlineLvl w:val="0"/>
    </w:pPr>
    <w:rPr>
      <w:rFonts w:ascii="SimSun" w:eastAsia="SimSun" w:hAnsi="SimSun" w:cs="Times New Roman" w:hint="eastAsia"/>
      <w:b/>
      <w:bCs/>
      <w:kern w:val="44"/>
      <w:sz w:val="48"/>
      <w:szCs w:val="48"/>
      <w:lang w:val="en-US" w:eastAsia="zh-CN"/>
    </w:rPr>
  </w:style>
  <w:style w:type="paragraph" w:styleId="Heading2">
    <w:name w:val="heading 2"/>
    <w:next w:val="Normal"/>
    <w:link w:val="Heading2Char"/>
    <w:uiPriority w:val="9"/>
    <w:semiHidden/>
    <w:unhideWhenUsed/>
    <w:qFormat/>
    <w:pPr>
      <w:spacing w:beforeAutospacing="1" w:afterAutospacing="1"/>
      <w:outlineLvl w:val="1"/>
    </w:pPr>
    <w:rPr>
      <w:rFonts w:ascii="SimSun" w:eastAsia="SimSun" w:hAnsi="SimSun" w:cs="Times New Roman" w:hint="eastAsia"/>
      <w:b/>
      <w:bCs/>
      <w:sz w:val="36"/>
      <w:szCs w:val="36"/>
      <w:lang w:val="en-US" w:eastAsia="zh-CN"/>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Heading4">
    <w:name w:val="heading 4"/>
    <w:basedOn w:val="Normal"/>
    <w:next w:val="Normal"/>
    <w:link w:val="Heading4Char"/>
    <w:uiPriority w:val="9"/>
    <w:semiHidden/>
    <w:unhideWhenUsed/>
    <w:qFormat/>
    <w:rsid w:val="00C145D2"/>
    <w:pPr>
      <w:keepNext/>
      <w:keepLines/>
      <w:spacing w:before="40" w:after="0" w:line="259" w:lineRule="auto"/>
      <w:outlineLvl w:val="3"/>
    </w:pPr>
    <w:rPr>
      <w:rFonts w:asciiTheme="majorHAnsi" w:eastAsiaTheme="majorEastAsia" w:hAnsiTheme="majorHAnsi" w:cstheme="majorBidi"/>
      <w:i/>
      <w:iCs/>
      <w:color w:val="365F91" w:themeColor="accent1" w:themeShade="BF"/>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uiPriority w:val="99"/>
    <w:unhideWhenUsed/>
    <w:qFormat/>
    <w:rPr>
      <w:color w:val="0000FF"/>
      <w:u w:val="single"/>
    </w:rPr>
  </w:style>
  <w:style w:type="paragraph" w:styleId="NormalWeb">
    <w:name w:val="Normal (Web)"/>
    <w:uiPriority w:val="99"/>
    <w:unhideWhenUsed/>
    <w:qFormat/>
    <w:pPr>
      <w:spacing w:beforeAutospacing="1" w:afterAutospacing="1"/>
    </w:pPr>
    <w:rPr>
      <w:rFonts w:cs="Times New Roman"/>
      <w:sz w:val="24"/>
      <w:szCs w:val="24"/>
      <w:lang w:val="en-US" w:eastAsia="zh-CN"/>
    </w:rPr>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erChar">
    <w:name w:val="Header Char"/>
    <w:link w:val="Header"/>
    <w:uiPriority w:val="99"/>
    <w:qFormat/>
    <w:rPr>
      <w:sz w:val="22"/>
      <w:szCs w:val="22"/>
      <w:lang w:eastAsia="zh-CN"/>
    </w:rPr>
  </w:style>
  <w:style w:type="character" w:customStyle="1" w:styleId="FooterChar">
    <w:name w:val="Footer Char"/>
    <w:link w:val="Footer"/>
    <w:uiPriority w:val="99"/>
    <w:qFormat/>
    <w:rPr>
      <w:sz w:val="22"/>
      <w:szCs w:val="22"/>
      <w:lang w:eastAsia="zh-CN"/>
    </w:rPr>
  </w:style>
  <w:style w:type="paragraph" w:styleId="NoSpacing">
    <w:name w:val="No Spacing"/>
    <w:uiPriority w:val="1"/>
    <w:qFormat/>
    <w:rPr>
      <w:rFonts w:cs="Times New Roman"/>
      <w:sz w:val="22"/>
      <w:szCs w:val="22"/>
      <w:lang w:val="en-US" w:eastAsia="en-US"/>
    </w:rPr>
  </w:style>
  <w:style w:type="character" w:customStyle="1" w:styleId="whitespace-normal">
    <w:name w:val="whitespace-normal"/>
    <w:qFormat/>
  </w:style>
  <w:style w:type="character" w:customStyle="1" w:styleId="Heading1Char">
    <w:name w:val="Heading 1 Char"/>
    <w:link w:val="Heading1"/>
    <w:qFormat/>
    <w:rPr>
      <w:rFonts w:ascii="Times New Roman" w:eastAsia="Times New Roman" w:hAnsi="Times New Roman" w:cs="Times New Roman" w:hint="default"/>
      <w:b/>
      <w:bCs/>
      <w:kern w:val="36"/>
      <w:sz w:val="48"/>
      <w:szCs w:val="48"/>
      <w:lang w:eastAsia="en-US"/>
    </w:rPr>
  </w:style>
  <w:style w:type="character" w:customStyle="1" w:styleId="Heading2Char">
    <w:name w:val="Heading 2 Char"/>
    <w:link w:val="Heading2"/>
    <w:qFormat/>
    <w:rPr>
      <w:rFonts w:ascii="Calibri Light" w:eastAsia="Times New Roman" w:hAnsi="Calibri Light" w:cs="Times New Roman" w:hint="default"/>
      <w:color w:val="2F5496"/>
      <w:sz w:val="26"/>
      <w:szCs w:val="26"/>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244061" w:themeColor="accent1" w:themeShade="80"/>
      <w:sz w:val="24"/>
      <w:szCs w:val="24"/>
      <w:lang w:val="en-US" w:eastAsia="zh-CN"/>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4Char">
    <w:name w:val="Heading 4 Char"/>
    <w:basedOn w:val="DefaultParagraphFont"/>
    <w:link w:val="Heading4"/>
    <w:uiPriority w:val="9"/>
    <w:semiHidden/>
    <w:rsid w:val="00C145D2"/>
    <w:rPr>
      <w:rFonts w:asciiTheme="majorHAnsi" w:eastAsiaTheme="majorEastAsia" w:hAnsiTheme="majorHAnsi" w:cstheme="majorBidi"/>
      <w:i/>
      <w:iCs/>
      <w:color w:val="365F91"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921971">
      <w:bodyDiv w:val="1"/>
      <w:marLeft w:val="0"/>
      <w:marRight w:val="0"/>
      <w:marTop w:val="0"/>
      <w:marBottom w:val="0"/>
      <w:divBdr>
        <w:top w:val="none" w:sz="0" w:space="0" w:color="auto"/>
        <w:left w:val="none" w:sz="0" w:space="0" w:color="auto"/>
        <w:bottom w:val="none" w:sz="0" w:space="0" w:color="auto"/>
        <w:right w:val="none" w:sz="0" w:space="0" w:color="auto"/>
      </w:divBdr>
    </w:div>
    <w:div w:id="753863817">
      <w:bodyDiv w:val="1"/>
      <w:marLeft w:val="0"/>
      <w:marRight w:val="0"/>
      <w:marTop w:val="0"/>
      <w:marBottom w:val="0"/>
      <w:divBdr>
        <w:top w:val="none" w:sz="0" w:space="0" w:color="auto"/>
        <w:left w:val="none" w:sz="0" w:space="0" w:color="auto"/>
        <w:bottom w:val="none" w:sz="0" w:space="0" w:color="auto"/>
        <w:right w:val="none" w:sz="0" w:space="0" w:color="auto"/>
      </w:divBdr>
    </w:div>
    <w:div w:id="845873409">
      <w:bodyDiv w:val="1"/>
      <w:marLeft w:val="0"/>
      <w:marRight w:val="0"/>
      <w:marTop w:val="0"/>
      <w:marBottom w:val="0"/>
      <w:divBdr>
        <w:top w:val="none" w:sz="0" w:space="0" w:color="auto"/>
        <w:left w:val="none" w:sz="0" w:space="0" w:color="auto"/>
        <w:bottom w:val="none" w:sz="0" w:space="0" w:color="auto"/>
        <w:right w:val="none" w:sz="0" w:space="0" w:color="auto"/>
      </w:divBdr>
    </w:div>
    <w:div w:id="8913829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32</Pages>
  <Words>10374</Words>
  <Characters>59136</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TECNO BD2d</dc:creator>
  <cp:lastModifiedBy>SDI 1020</cp:lastModifiedBy>
  <cp:revision>41</cp:revision>
  <dcterms:created xsi:type="dcterms:W3CDTF">2026-03-17T12:30:00Z</dcterms:created>
  <dcterms:modified xsi:type="dcterms:W3CDTF">2026-04-13T05:42:00Z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2418648AEF0C4AC48117057BF66CA375_13</vt:lpwstr>
  </property>
  <property fmtid="{D5CDD505-2E9C-101B-9397-08002B2CF9AE}" pid="3" name="KSOProductBuildVer">
    <vt:lpwstr>2057-12.2.0.23196</vt:lpwstr>
  </property>
</Properties>
</file>