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CE294" w14:textId="799D9BF8" w:rsidR="00965E76" w:rsidRPr="00965E76" w:rsidRDefault="00965E76" w:rsidP="00965E76">
      <w:pPr>
        <w:pStyle w:val="ListParagraph"/>
        <w:spacing w:line="276" w:lineRule="auto"/>
        <w:jc w:val="right"/>
        <w:rPr>
          <w:rFonts w:ascii="Arial" w:hAnsi="Arial" w:cs="Arial"/>
          <w:b/>
          <w:bCs/>
          <w:sz w:val="28"/>
          <w:szCs w:val="28"/>
          <w:vertAlign w:val="superscript"/>
        </w:rPr>
      </w:pPr>
      <w:r w:rsidRPr="00965E76">
        <w:rPr>
          <w:rFonts w:ascii="Arial" w:hAnsi="Arial" w:cs="Arial"/>
          <w:b/>
          <w:bCs/>
          <w:sz w:val="28"/>
          <w:szCs w:val="28"/>
        </w:rPr>
        <w:t>Geospatial Assessment of Land Use and Land Cover Transformation and Its Implications for Urban Growth in Jalandhar District, Punjab</w:t>
      </w:r>
      <w:r w:rsidR="007D483B">
        <w:rPr>
          <w:rFonts w:ascii="Arial" w:hAnsi="Arial" w:cs="Arial"/>
          <w:b/>
          <w:bCs/>
          <w:sz w:val="28"/>
          <w:szCs w:val="28"/>
        </w:rPr>
        <w:t>, India</w:t>
      </w:r>
    </w:p>
    <w:p w14:paraId="356EB0E0" w14:textId="77777777" w:rsidR="005256E8" w:rsidRPr="005256E8" w:rsidRDefault="005256E8" w:rsidP="008C0832">
      <w:pPr>
        <w:spacing w:line="276" w:lineRule="auto"/>
        <w:jc w:val="center"/>
        <w:rPr>
          <w:rFonts w:ascii="Arial" w:hAnsi="Arial" w:cs="Arial"/>
          <w:b/>
          <w:bCs/>
          <w:sz w:val="22"/>
          <w:szCs w:val="22"/>
          <w:vertAlign w:val="superscript"/>
        </w:rPr>
      </w:pPr>
    </w:p>
    <w:p w14:paraId="24A314DB" w14:textId="632F3116" w:rsidR="00C8519F" w:rsidRPr="00C8519F" w:rsidRDefault="00363668" w:rsidP="00C8519F">
      <w:pPr>
        <w:spacing w:after="0" w:line="276" w:lineRule="auto"/>
        <w:jc w:val="both"/>
        <w:rPr>
          <w:rFonts w:ascii="Arial" w:hAnsi="Arial" w:cs="Arial"/>
          <w:b/>
          <w:bCs/>
          <w:sz w:val="22"/>
          <w:szCs w:val="22"/>
        </w:rPr>
      </w:pPr>
      <w:r w:rsidRPr="005256E8">
        <w:rPr>
          <w:rFonts w:ascii="Arial" w:hAnsi="Arial" w:cs="Arial"/>
          <w:b/>
          <w:bCs/>
          <w:sz w:val="22"/>
          <w:szCs w:val="22"/>
        </w:rPr>
        <w:t>ABSTRACT</w:t>
      </w:r>
    </w:p>
    <w:p w14:paraId="19E0C3F4" w14:textId="42225633" w:rsidR="007D483B" w:rsidRDefault="007D483B" w:rsidP="00C8519F">
      <w:pPr>
        <w:spacing w:after="0" w:line="276" w:lineRule="auto"/>
        <w:jc w:val="both"/>
        <w:rPr>
          <w:rFonts w:ascii="Arial" w:hAnsi="Arial" w:cs="Arial"/>
          <w:b/>
          <w:bCs/>
          <w:sz w:val="20"/>
          <w:szCs w:val="20"/>
        </w:rPr>
      </w:pPr>
      <w:r>
        <w:rPr>
          <w:rFonts w:ascii="Arial" w:hAnsi="Arial" w:cs="Arial"/>
          <w:b/>
          <w:bCs/>
          <w:sz w:val="20"/>
          <w:szCs w:val="20"/>
        </w:rPr>
        <w:t xml:space="preserve">Background: </w:t>
      </w:r>
      <w:r w:rsidRPr="007D483B">
        <w:rPr>
          <w:rFonts w:ascii="Arial" w:hAnsi="Arial" w:cs="Arial"/>
          <w:bCs/>
          <w:sz w:val="20"/>
          <w:szCs w:val="20"/>
        </w:rPr>
        <w:t>Land-use and land-cover changes reflect human-environment interactions, affecting agriculture, ecology, and sustainability. In Punjab, GIS and remote sensing are vital for monitoring these transformations</w:t>
      </w:r>
      <w:r>
        <w:rPr>
          <w:rFonts w:ascii="Arial" w:hAnsi="Arial" w:cs="Arial"/>
          <w:bCs/>
          <w:sz w:val="20"/>
          <w:szCs w:val="20"/>
        </w:rPr>
        <w:t>.</w:t>
      </w:r>
    </w:p>
    <w:p w14:paraId="5380004B" w14:textId="1472F9AB" w:rsidR="00C8519F" w:rsidRPr="00C8519F" w:rsidRDefault="00C8519F" w:rsidP="00C8519F">
      <w:pPr>
        <w:spacing w:after="0" w:line="276" w:lineRule="auto"/>
        <w:jc w:val="both"/>
        <w:rPr>
          <w:rFonts w:ascii="Arial" w:hAnsi="Arial" w:cs="Arial"/>
          <w:sz w:val="20"/>
          <w:szCs w:val="20"/>
        </w:rPr>
      </w:pPr>
      <w:r w:rsidRPr="00C8519F">
        <w:rPr>
          <w:rFonts w:ascii="Arial" w:hAnsi="Arial" w:cs="Arial"/>
          <w:b/>
          <w:bCs/>
          <w:sz w:val="20"/>
          <w:szCs w:val="20"/>
        </w:rPr>
        <w:t>Aims:</w:t>
      </w:r>
      <w:r>
        <w:rPr>
          <w:rFonts w:ascii="Arial" w:hAnsi="Arial" w:cs="Arial"/>
          <w:sz w:val="20"/>
          <w:szCs w:val="20"/>
        </w:rPr>
        <w:t xml:space="preserve"> </w:t>
      </w:r>
      <w:r w:rsidRPr="00C8519F">
        <w:rPr>
          <w:rFonts w:ascii="Arial" w:hAnsi="Arial" w:cs="Arial"/>
          <w:sz w:val="20"/>
          <w:szCs w:val="20"/>
        </w:rPr>
        <w:t xml:space="preserve">The purpose of this study is to examine </w:t>
      </w:r>
      <w:proofErr w:type="spellStart"/>
      <w:r>
        <w:rPr>
          <w:rFonts w:ascii="Arial" w:hAnsi="Arial" w:cs="Arial"/>
          <w:sz w:val="20"/>
          <w:szCs w:val="20"/>
        </w:rPr>
        <w:t>spatio</w:t>
      </w:r>
      <w:proofErr w:type="spellEnd"/>
      <w:r>
        <w:rPr>
          <w:rFonts w:ascii="Arial" w:hAnsi="Arial" w:cs="Arial"/>
          <w:sz w:val="20"/>
          <w:szCs w:val="20"/>
        </w:rPr>
        <w:t xml:space="preserve">-temporal land use and land cover (LULC) in Jalandhar district, Punjab, and to evaluate how urban growth has affected agricultural land use in the area between </w:t>
      </w:r>
      <w:r w:rsidRPr="00C8519F">
        <w:rPr>
          <w:rFonts w:ascii="Arial" w:hAnsi="Arial" w:cs="Arial"/>
          <w:sz w:val="20"/>
          <w:szCs w:val="20"/>
        </w:rPr>
        <w:t>2001 and 2021.</w:t>
      </w:r>
    </w:p>
    <w:p w14:paraId="0653D9C6" w14:textId="446A67CA" w:rsidR="00C8519F" w:rsidRPr="00C8519F" w:rsidRDefault="00C8519F" w:rsidP="00C8519F">
      <w:pPr>
        <w:spacing w:after="0" w:line="276" w:lineRule="auto"/>
        <w:jc w:val="both"/>
        <w:rPr>
          <w:rFonts w:ascii="Arial" w:hAnsi="Arial" w:cs="Arial"/>
          <w:sz w:val="20"/>
          <w:szCs w:val="20"/>
        </w:rPr>
      </w:pPr>
      <w:r w:rsidRPr="00C8519F">
        <w:rPr>
          <w:rFonts w:ascii="Arial" w:hAnsi="Arial" w:cs="Arial"/>
          <w:b/>
          <w:bCs/>
          <w:sz w:val="20"/>
          <w:szCs w:val="20"/>
        </w:rPr>
        <w:t>Study Design</w:t>
      </w:r>
      <w:r w:rsidRPr="00C8519F">
        <w:rPr>
          <w:rFonts w:ascii="Arial" w:hAnsi="Arial" w:cs="Arial"/>
          <w:sz w:val="20"/>
          <w:szCs w:val="20"/>
        </w:rPr>
        <w:t>:</w:t>
      </w:r>
      <w:r>
        <w:rPr>
          <w:rFonts w:ascii="Arial" w:hAnsi="Arial" w:cs="Arial"/>
          <w:sz w:val="20"/>
          <w:szCs w:val="20"/>
        </w:rPr>
        <w:t xml:space="preserve"> </w:t>
      </w:r>
      <w:r w:rsidRPr="00C8519F">
        <w:rPr>
          <w:rFonts w:ascii="Arial" w:hAnsi="Arial" w:cs="Arial"/>
          <w:sz w:val="20"/>
          <w:szCs w:val="20"/>
        </w:rPr>
        <w:t xml:space="preserve">The research is </w:t>
      </w:r>
      <w:r>
        <w:rPr>
          <w:rFonts w:ascii="Arial" w:hAnsi="Arial" w:cs="Arial"/>
          <w:sz w:val="20"/>
          <w:szCs w:val="20"/>
        </w:rPr>
        <w:t xml:space="preserve">based on a geospatial study using remote sensing and Geographic Information System (GIS) tools to assess </w:t>
      </w:r>
      <w:r w:rsidR="00770021">
        <w:rPr>
          <w:rFonts w:ascii="Arial" w:hAnsi="Arial" w:cs="Arial"/>
          <w:sz w:val="20"/>
          <w:szCs w:val="20"/>
        </w:rPr>
        <w:t>land-use changes</w:t>
      </w:r>
      <w:r>
        <w:rPr>
          <w:rFonts w:ascii="Arial" w:hAnsi="Arial" w:cs="Arial"/>
          <w:sz w:val="20"/>
          <w:szCs w:val="20"/>
        </w:rPr>
        <w:t xml:space="preserve"> over</w:t>
      </w:r>
      <w:r w:rsidRPr="00C8519F">
        <w:rPr>
          <w:rFonts w:ascii="Arial" w:hAnsi="Arial" w:cs="Arial"/>
          <w:sz w:val="20"/>
          <w:szCs w:val="20"/>
        </w:rPr>
        <w:t xml:space="preserve"> time.</w:t>
      </w:r>
    </w:p>
    <w:p w14:paraId="2B5E7E0B" w14:textId="71728211" w:rsidR="00C8519F" w:rsidRPr="00C8519F" w:rsidRDefault="00C8519F" w:rsidP="00C8519F">
      <w:pPr>
        <w:spacing w:after="0" w:line="276" w:lineRule="auto"/>
        <w:jc w:val="both"/>
        <w:rPr>
          <w:rFonts w:ascii="Arial" w:hAnsi="Arial" w:cs="Arial"/>
          <w:sz w:val="20"/>
          <w:szCs w:val="20"/>
        </w:rPr>
      </w:pPr>
      <w:r w:rsidRPr="00770021">
        <w:rPr>
          <w:rFonts w:ascii="Arial" w:hAnsi="Arial" w:cs="Arial"/>
          <w:b/>
          <w:bCs/>
          <w:sz w:val="20"/>
          <w:szCs w:val="20"/>
        </w:rPr>
        <w:t>Place and Duration of Study:</w:t>
      </w:r>
      <w:r>
        <w:rPr>
          <w:rFonts w:ascii="Arial" w:hAnsi="Arial" w:cs="Arial"/>
          <w:sz w:val="20"/>
          <w:szCs w:val="20"/>
        </w:rPr>
        <w:t xml:space="preserve"> </w:t>
      </w:r>
      <w:r w:rsidRPr="00C8519F">
        <w:rPr>
          <w:rFonts w:ascii="Arial" w:hAnsi="Arial" w:cs="Arial"/>
          <w:sz w:val="20"/>
          <w:szCs w:val="20"/>
        </w:rPr>
        <w:t xml:space="preserve">Jalandhar district, Punjab, India, between the </w:t>
      </w:r>
      <w:r>
        <w:rPr>
          <w:rFonts w:ascii="Arial" w:hAnsi="Arial" w:cs="Arial"/>
          <w:sz w:val="20"/>
          <w:szCs w:val="20"/>
        </w:rPr>
        <w:t xml:space="preserve">years 2001 and </w:t>
      </w:r>
      <w:r w:rsidRPr="00C8519F">
        <w:rPr>
          <w:rFonts w:ascii="Arial" w:hAnsi="Arial" w:cs="Arial"/>
          <w:sz w:val="20"/>
          <w:szCs w:val="20"/>
        </w:rPr>
        <w:t>2021.</w:t>
      </w:r>
    </w:p>
    <w:p w14:paraId="43161C6D" w14:textId="0BEB8BC1" w:rsidR="00C8519F" w:rsidRPr="00C8519F" w:rsidRDefault="00C8519F" w:rsidP="00C8519F">
      <w:pPr>
        <w:spacing w:after="0" w:line="276" w:lineRule="auto"/>
        <w:jc w:val="both"/>
        <w:rPr>
          <w:rFonts w:ascii="Arial" w:hAnsi="Arial" w:cs="Arial"/>
          <w:sz w:val="20"/>
          <w:szCs w:val="20"/>
        </w:rPr>
      </w:pPr>
      <w:r w:rsidRPr="00C8519F">
        <w:rPr>
          <w:rFonts w:ascii="Arial" w:hAnsi="Arial" w:cs="Arial"/>
          <w:b/>
          <w:bCs/>
          <w:sz w:val="20"/>
          <w:szCs w:val="20"/>
        </w:rPr>
        <w:t>Methodology</w:t>
      </w:r>
      <w:r w:rsidRPr="00C8519F">
        <w:rPr>
          <w:rFonts w:ascii="Arial" w:hAnsi="Arial" w:cs="Arial"/>
          <w:sz w:val="20"/>
          <w:szCs w:val="20"/>
        </w:rPr>
        <w:t>:</w:t>
      </w:r>
      <w:r>
        <w:rPr>
          <w:rFonts w:ascii="Arial" w:hAnsi="Arial" w:cs="Arial"/>
          <w:sz w:val="20"/>
          <w:szCs w:val="20"/>
        </w:rPr>
        <w:t xml:space="preserve"> </w:t>
      </w:r>
      <w:r w:rsidRPr="00C8519F">
        <w:rPr>
          <w:rFonts w:ascii="Arial" w:hAnsi="Arial" w:cs="Arial"/>
          <w:sz w:val="20"/>
          <w:szCs w:val="20"/>
        </w:rPr>
        <w:t xml:space="preserve">It </w:t>
      </w:r>
      <w:r w:rsidR="0009463F">
        <w:rPr>
          <w:rFonts w:ascii="Arial" w:hAnsi="Arial" w:cs="Arial"/>
          <w:sz w:val="20"/>
          <w:szCs w:val="20"/>
        </w:rPr>
        <w:t xml:space="preserve">used multi-temporal Landsat data (Landsat-5 TM in </w:t>
      </w:r>
      <w:r w:rsidRPr="00C8519F">
        <w:rPr>
          <w:rFonts w:ascii="Arial" w:hAnsi="Arial" w:cs="Arial"/>
          <w:sz w:val="20"/>
          <w:szCs w:val="20"/>
        </w:rPr>
        <w:t xml:space="preserve">2001 and 2021) with a 30 m spatial resolution. The Maximum Likelihood algorithm was used to classify the </w:t>
      </w:r>
      <w:r>
        <w:rPr>
          <w:rFonts w:ascii="Arial" w:hAnsi="Arial" w:cs="Arial"/>
          <w:sz w:val="20"/>
          <w:szCs w:val="20"/>
        </w:rPr>
        <w:t>supervised data into five major LULC categories: water bodies, built-up area, barren land, forest/vegetation,</w:t>
      </w:r>
      <w:r w:rsidRPr="00C8519F">
        <w:rPr>
          <w:rFonts w:ascii="Arial" w:hAnsi="Arial" w:cs="Arial"/>
          <w:sz w:val="20"/>
          <w:szCs w:val="20"/>
        </w:rPr>
        <w:t xml:space="preserve"> and cultivated land. To measure land-use transitions, change detection analysis and </w:t>
      </w:r>
      <w:r>
        <w:rPr>
          <w:rFonts w:ascii="Arial" w:hAnsi="Arial" w:cs="Arial"/>
          <w:sz w:val="20"/>
          <w:szCs w:val="20"/>
        </w:rPr>
        <w:t xml:space="preserve">a </w:t>
      </w:r>
      <w:r w:rsidRPr="00C8519F">
        <w:rPr>
          <w:rFonts w:ascii="Arial" w:hAnsi="Arial" w:cs="Arial"/>
          <w:sz w:val="20"/>
          <w:szCs w:val="20"/>
        </w:rPr>
        <w:t xml:space="preserve">transformation matrix were used. The accuracy evaluation has been </w:t>
      </w:r>
      <w:r>
        <w:rPr>
          <w:rFonts w:ascii="Arial" w:hAnsi="Arial" w:cs="Arial"/>
          <w:sz w:val="20"/>
          <w:szCs w:val="20"/>
        </w:rPr>
        <w:t xml:space="preserve">performed using a confusion matrix, </w:t>
      </w:r>
      <w:r w:rsidRPr="00C8519F">
        <w:rPr>
          <w:rFonts w:ascii="Arial" w:hAnsi="Arial" w:cs="Arial"/>
          <w:sz w:val="20"/>
          <w:szCs w:val="20"/>
        </w:rPr>
        <w:t>overall accuracy, and the Kappa coefficient.</w:t>
      </w:r>
    </w:p>
    <w:p w14:paraId="328F616C" w14:textId="540BAB77" w:rsidR="00C8519F" w:rsidRPr="00C8519F" w:rsidRDefault="00C8519F" w:rsidP="00C8519F">
      <w:pPr>
        <w:spacing w:after="0" w:line="276" w:lineRule="auto"/>
        <w:jc w:val="both"/>
        <w:rPr>
          <w:rFonts w:ascii="Arial" w:hAnsi="Arial" w:cs="Arial"/>
          <w:sz w:val="20"/>
          <w:szCs w:val="20"/>
        </w:rPr>
      </w:pPr>
      <w:r w:rsidRPr="00C8519F">
        <w:rPr>
          <w:rFonts w:ascii="Arial" w:hAnsi="Arial" w:cs="Arial"/>
          <w:b/>
          <w:bCs/>
          <w:sz w:val="20"/>
          <w:szCs w:val="20"/>
        </w:rPr>
        <w:t>Results:</w:t>
      </w:r>
      <w:r>
        <w:rPr>
          <w:rFonts w:ascii="Arial" w:hAnsi="Arial" w:cs="Arial"/>
          <w:sz w:val="20"/>
          <w:szCs w:val="20"/>
        </w:rPr>
        <w:t xml:space="preserve"> </w:t>
      </w:r>
      <w:r w:rsidRPr="00C8519F">
        <w:rPr>
          <w:rFonts w:ascii="Arial" w:hAnsi="Arial" w:cs="Arial"/>
          <w:sz w:val="20"/>
          <w:szCs w:val="20"/>
        </w:rPr>
        <w:t xml:space="preserve">According to the </w:t>
      </w:r>
      <w:r>
        <w:rPr>
          <w:rFonts w:ascii="Arial" w:hAnsi="Arial" w:cs="Arial"/>
          <w:sz w:val="20"/>
          <w:szCs w:val="20"/>
        </w:rPr>
        <w:t>findings</w:t>
      </w:r>
      <w:r w:rsidRPr="00C8519F">
        <w:rPr>
          <w:rFonts w:ascii="Arial" w:hAnsi="Arial" w:cs="Arial"/>
          <w:sz w:val="20"/>
          <w:szCs w:val="20"/>
        </w:rPr>
        <w:t>, cultivated land was the largest land-use category</w:t>
      </w:r>
      <w:r>
        <w:rPr>
          <w:rFonts w:ascii="Arial" w:hAnsi="Arial" w:cs="Arial"/>
          <w:sz w:val="20"/>
          <w:szCs w:val="20"/>
        </w:rPr>
        <w:t>, accounting for 74.54% and 73.29%</w:t>
      </w:r>
      <w:r w:rsidRPr="00C8519F">
        <w:rPr>
          <w:rFonts w:ascii="Arial" w:hAnsi="Arial" w:cs="Arial"/>
          <w:sz w:val="20"/>
          <w:szCs w:val="20"/>
        </w:rPr>
        <w:t xml:space="preserve"> in 2001 and 2021, respectively. The </w:t>
      </w:r>
      <w:r>
        <w:rPr>
          <w:rFonts w:ascii="Arial" w:hAnsi="Arial" w:cs="Arial"/>
          <w:sz w:val="20"/>
          <w:szCs w:val="20"/>
        </w:rPr>
        <w:t>built-up area doubled to 21.29%,</w:t>
      </w:r>
      <w:r w:rsidRPr="00C8519F">
        <w:rPr>
          <w:rFonts w:ascii="Arial" w:hAnsi="Arial" w:cs="Arial"/>
          <w:sz w:val="20"/>
          <w:szCs w:val="20"/>
        </w:rPr>
        <w:t xml:space="preserve"> </w:t>
      </w:r>
      <w:r>
        <w:rPr>
          <w:rFonts w:ascii="Arial" w:hAnsi="Arial" w:cs="Arial"/>
          <w:sz w:val="20"/>
          <w:szCs w:val="20"/>
        </w:rPr>
        <w:t>indicating rapid</w:t>
      </w:r>
      <w:r w:rsidRPr="00C8519F">
        <w:rPr>
          <w:rFonts w:ascii="Arial" w:hAnsi="Arial" w:cs="Arial"/>
          <w:sz w:val="20"/>
          <w:szCs w:val="20"/>
        </w:rPr>
        <w:t xml:space="preserve"> urban growth. Barren land decreased, and became 1.37, and forest/vegetation cover was comparatively steady, decreasing by 3.20. According to the transformation matrix, about 296.11 km2 of built-up areas were developed out of cultivated lands, which is the largest land transformation in the district.</w:t>
      </w:r>
    </w:p>
    <w:p w14:paraId="417F7B3E" w14:textId="15528453" w:rsidR="00363668" w:rsidRDefault="00C8519F" w:rsidP="00C8519F">
      <w:pPr>
        <w:spacing w:after="0" w:line="276" w:lineRule="auto"/>
        <w:jc w:val="both"/>
        <w:rPr>
          <w:rFonts w:ascii="Arial" w:hAnsi="Arial" w:cs="Arial"/>
          <w:sz w:val="20"/>
          <w:szCs w:val="20"/>
        </w:rPr>
      </w:pPr>
      <w:r w:rsidRPr="00C8519F">
        <w:rPr>
          <w:rFonts w:ascii="Arial" w:hAnsi="Arial" w:cs="Arial"/>
          <w:b/>
          <w:bCs/>
          <w:sz w:val="20"/>
          <w:szCs w:val="20"/>
        </w:rPr>
        <w:t>Conclusion:</w:t>
      </w:r>
      <w:r>
        <w:rPr>
          <w:rFonts w:ascii="Arial" w:hAnsi="Arial" w:cs="Arial"/>
          <w:sz w:val="20"/>
          <w:szCs w:val="20"/>
        </w:rPr>
        <w:t xml:space="preserve"> </w:t>
      </w:r>
      <w:r w:rsidRPr="00C8519F">
        <w:rPr>
          <w:rFonts w:ascii="Arial" w:hAnsi="Arial" w:cs="Arial"/>
          <w:sz w:val="20"/>
          <w:szCs w:val="20"/>
        </w:rPr>
        <w:t xml:space="preserve">The paper emphasizes the rising intensity of urbanization on </w:t>
      </w:r>
      <w:r>
        <w:rPr>
          <w:rFonts w:ascii="Arial" w:hAnsi="Arial" w:cs="Arial"/>
          <w:sz w:val="20"/>
          <w:szCs w:val="20"/>
        </w:rPr>
        <w:t xml:space="preserve">farmland and its effects on </w:t>
      </w:r>
      <w:r w:rsidRPr="00C8519F">
        <w:rPr>
          <w:rFonts w:ascii="Arial" w:hAnsi="Arial" w:cs="Arial"/>
          <w:sz w:val="20"/>
          <w:szCs w:val="20"/>
        </w:rPr>
        <w:t>environmental sustainability. These results underline the importance of proper land-use planning and the applicability of remote sensing and GIS in overseeing land-use processes and promoting sustainable regional development.</w:t>
      </w:r>
    </w:p>
    <w:p w14:paraId="6291078C" w14:textId="77777777" w:rsidR="000633CA" w:rsidRPr="000633CA" w:rsidRDefault="000633CA" w:rsidP="000633CA">
      <w:pPr>
        <w:spacing w:after="0" w:line="276" w:lineRule="auto"/>
        <w:jc w:val="both"/>
        <w:rPr>
          <w:rFonts w:ascii="Arial" w:hAnsi="Arial" w:cs="Arial"/>
          <w:sz w:val="20"/>
          <w:szCs w:val="20"/>
        </w:rPr>
      </w:pPr>
      <w:r w:rsidRPr="000633CA">
        <w:rPr>
          <w:rFonts w:ascii="Arial" w:hAnsi="Arial" w:cs="Arial"/>
          <w:b/>
          <w:bCs/>
          <w:sz w:val="20"/>
          <w:szCs w:val="20"/>
        </w:rPr>
        <w:t xml:space="preserve">Keywords: </w:t>
      </w:r>
      <w:r w:rsidRPr="000633CA">
        <w:rPr>
          <w:rFonts w:ascii="Arial" w:hAnsi="Arial" w:cs="Arial"/>
          <w:sz w:val="20"/>
          <w:szCs w:val="20"/>
        </w:rPr>
        <w:t>Land Use Land Cover (LULC), Remote Sensing, Geographic Information System (GIS),</w:t>
      </w:r>
    </w:p>
    <w:p w14:paraId="77AACDFD" w14:textId="70DB7221" w:rsidR="000633CA" w:rsidRPr="000633CA" w:rsidRDefault="000633CA" w:rsidP="000633CA">
      <w:pPr>
        <w:spacing w:after="0" w:line="276" w:lineRule="auto"/>
        <w:jc w:val="both"/>
        <w:rPr>
          <w:rFonts w:ascii="Arial" w:hAnsi="Arial" w:cs="Arial"/>
          <w:sz w:val="20"/>
          <w:szCs w:val="20"/>
        </w:rPr>
      </w:pPr>
      <w:r w:rsidRPr="000633CA">
        <w:rPr>
          <w:rFonts w:ascii="Arial" w:hAnsi="Arial" w:cs="Arial"/>
          <w:sz w:val="20"/>
          <w:szCs w:val="20"/>
        </w:rPr>
        <w:t>Urban Expansion, Landsat Imagery</w:t>
      </w:r>
    </w:p>
    <w:p w14:paraId="23749B13" w14:textId="125A019E" w:rsidR="00236AC1" w:rsidRPr="005256E8" w:rsidRDefault="009236A2" w:rsidP="00B11F21">
      <w:pPr>
        <w:spacing w:after="0" w:line="276" w:lineRule="auto"/>
        <w:jc w:val="both"/>
        <w:rPr>
          <w:rFonts w:ascii="Arial" w:hAnsi="Arial" w:cs="Arial"/>
          <w:b/>
          <w:bCs/>
          <w:sz w:val="22"/>
          <w:szCs w:val="22"/>
        </w:rPr>
      </w:pPr>
      <w:r w:rsidRPr="005256E8">
        <w:rPr>
          <w:rFonts w:ascii="Arial" w:hAnsi="Arial" w:cs="Arial"/>
          <w:b/>
          <w:bCs/>
          <w:sz w:val="22"/>
          <w:szCs w:val="22"/>
        </w:rPr>
        <w:t>INTRODUCTION</w:t>
      </w:r>
    </w:p>
    <w:p w14:paraId="24870C16" w14:textId="3CF640CD" w:rsidR="00D64A6F" w:rsidRPr="005256E8" w:rsidRDefault="00D64A6F" w:rsidP="008C0832">
      <w:pPr>
        <w:spacing w:line="276" w:lineRule="auto"/>
        <w:ind w:firstLine="720"/>
        <w:jc w:val="both"/>
        <w:rPr>
          <w:rFonts w:ascii="Arial" w:hAnsi="Arial" w:cs="Arial"/>
          <w:sz w:val="20"/>
          <w:szCs w:val="20"/>
        </w:rPr>
      </w:pPr>
      <w:r w:rsidRPr="005256E8">
        <w:rPr>
          <w:rFonts w:ascii="Arial" w:hAnsi="Arial" w:cs="Arial"/>
          <w:sz w:val="20"/>
          <w:szCs w:val="20"/>
        </w:rPr>
        <w:t xml:space="preserve">One of the most valuable natural resources is land; it is the source of economic activity, ecological processes, and people. The way land is used and managed has a significant impact on regional development, agricultural production, and environmental sustainability. Land use and land cover (LULC) are common terms in geographical studies that describe land features and land use. Land cover refers to the physical and biological features on the </w:t>
      </w:r>
      <w:r w:rsidR="005256E8">
        <w:rPr>
          <w:rFonts w:ascii="Arial" w:hAnsi="Arial" w:cs="Arial"/>
          <w:sz w:val="20"/>
          <w:szCs w:val="20"/>
        </w:rPr>
        <w:t>Earth's surface</w:t>
      </w:r>
      <w:r w:rsidRPr="005256E8">
        <w:rPr>
          <w:rFonts w:ascii="Arial" w:hAnsi="Arial" w:cs="Arial"/>
          <w:sz w:val="20"/>
          <w:szCs w:val="20"/>
        </w:rPr>
        <w:t xml:space="preserve">, such as plant life, water bodies, forests, agricultural lands, and population centers. On the other hand, land use </w:t>
      </w:r>
      <w:r w:rsidR="00C8519F">
        <w:rPr>
          <w:rFonts w:ascii="Arial" w:hAnsi="Arial" w:cs="Arial"/>
          <w:sz w:val="20"/>
          <w:szCs w:val="20"/>
        </w:rPr>
        <w:t>refers to how people use</w:t>
      </w:r>
      <w:r w:rsidRPr="005256E8">
        <w:rPr>
          <w:rFonts w:ascii="Arial" w:hAnsi="Arial" w:cs="Arial"/>
          <w:sz w:val="20"/>
          <w:szCs w:val="20"/>
        </w:rPr>
        <w:t xml:space="preserve"> these land resources in their various socioeconomic </w:t>
      </w:r>
      <w:proofErr w:type="spellStart"/>
      <w:r w:rsidRPr="005256E8">
        <w:rPr>
          <w:rFonts w:ascii="Arial" w:hAnsi="Arial" w:cs="Arial"/>
          <w:sz w:val="20"/>
          <w:szCs w:val="20"/>
        </w:rPr>
        <w:t>endeavours</w:t>
      </w:r>
      <w:proofErr w:type="spellEnd"/>
      <w:r w:rsidRPr="005256E8">
        <w:rPr>
          <w:rFonts w:ascii="Arial" w:hAnsi="Arial" w:cs="Arial"/>
          <w:sz w:val="20"/>
          <w:szCs w:val="20"/>
        </w:rPr>
        <w:t xml:space="preserve">, including transportation, industry, recreation, agriculture, and settlements. Land use and land cover are used together as a spatial manifestation of human society and the natural environment (Turner et al., 2007; </w:t>
      </w:r>
      <w:proofErr w:type="spellStart"/>
      <w:r w:rsidRPr="005256E8">
        <w:rPr>
          <w:rFonts w:ascii="Arial" w:hAnsi="Arial" w:cs="Arial"/>
          <w:sz w:val="20"/>
          <w:szCs w:val="20"/>
        </w:rPr>
        <w:t>Lambin</w:t>
      </w:r>
      <w:proofErr w:type="spellEnd"/>
      <w:r w:rsidRPr="005256E8">
        <w:rPr>
          <w:rFonts w:ascii="Arial" w:hAnsi="Arial" w:cs="Arial"/>
          <w:sz w:val="20"/>
          <w:szCs w:val="20"/>
        </w:rPr>
        <w:t xml:space="preserve"> &amp; Geist, 2006). Changes in land use and land cover are among the most important indicators of environmental change and human-environment interrelations. These changes are driven by both natural and human factors, including urbanization, economic growth, population growth, and technological advancement. LC changes significantly affect environmental systems by altering ecological balance, biodiversity, hydrological processes, and climatic conditions (Foley et al., 2005; Ellis et al., 2013). The transformation of natural </w:t>
      </w:r>
      <w:r w:rsidRPr="005256E8">
        <w:rPr>
          <w:rFonts w:ascii="Arial" w:hAnsi="Arial" w:cs="Arial"/>
          <w:sz w:val="20"/>
          <w:szCs w:val="20"/>
        </w:rPr>
        <w:lastRenderedPageBreak/>
        <w:t>landscapes into agricultural or urban areas endangers the sustainability of natural resources and alters the structure and functioning of ecosystems. Consequently, tracking land-use and land-cover dynamics has been of great importance for environmental management and sustainable development planning.</w:t>
      </w:r>
    </w:p>
    <w:p w14:paraId="12FCA84F" w14:textId="58AEA5BF" w:rsidR="00D64A6F" w:rsidRPr="005256E8" w:rsidRDefault="00D64A6F" w:rsidP="008C0832">
      <w:pPr>
        <w:spacing w:line="276" w:lineRule="auto"/>
        <w:ind w:firstLine="720"/>
        <w:jc w:val="both"/>
        <w:rPr>
          <w:rFonts w:ascii="Arial" w:hAnsi="Arial" w:cs="Arial"/>
          <w:sz w:val="20"/>
          <w:szCs w:val="20"/>
        </w:rPr>
      </w:pPr>
      <w:r w:rsidRPr="005256E8">
        <w:rPr>
          <w:rFonts w:ascii="Arial" w:hAnsi="Arial" w:cs="Arial"/>
          <w:sz w:val="20"/>
          <w:szCs w:val="20"/>
        </w:rPr>
        <w:t>Socioeconomic growth and population pressure have driven increased demand for land worldwide in recent decades. The change in land use has increased in most regions due to industrialization, urbanization, agricultural growth, and infrastructure development. Among the key land cover changes driven by these processes, deforestation, agricultural land conversion to urban areas, natural ecosystem degradation, and landscape fragmentation should be listed (</w:t>
      </w:r>
      <w:proofErr w:type="spellStart"/>
      <w:r w:rsidRPr="005256E8">
        <w:rPr>
          <w:rFonts w:ascii="Arial" w:hAnsi="Arial" w:cs="Arial"/>
          <w:sz w:val="20"/>
          <w:szCs w:val="20"/>
        </w:rPr>
        <w:t>Seto</w:t>
      </w:r>
      <w:proofErr w:type="spellEnd"/>
      <w:r w:rsidRPr="005256E8">
        <w:rPr>
          <w:rFonts w:ascii="Arial" w:hAnsi="Arial" w:cs="Arial"/>
          <w:sz w:val="20"/>
          <w:szCs w:val="20"/>
        </w:rPr>
        <w:t xml:space="preserve"> et al., 2012; Song et al., 2018). These alterations affect regional climate systems, water resources, food security, and the environment. This has made LULC dynamics analysis to gain significance as far as the geographical and environmental studies are concerned. The changes in land use and land cover can now be easily monitored and analyzed due to advances in geospatial technologies. Geographic Information Systems (GIS) and remote sensing proved efficient for studying temporal and spatial trends in land change. Remote sensing can be used to detect land cover changes continuously and consistently at large geographical scales because of the availability of satellite-based Earth surface data. Contrastingly, GIS simplifies the storage, integration, and analysis of spatial data, assisting academics in understanding land-use patterns over time (Jensen, 2015; Weng, 2012). The integration of remote sensing and GIS has since been widely used in the mapping, tracking and analysis of LULC changes in different environmental settings. Satellite imagery programs like Landsat and Sentinel have enabled the study of land-alteration processes over long periods. Multi-temporal satellite data can enable researchers to assess land cover conditions over time and identify levels and trends of land-use change. The databases provide useful information for analyzing environmental degradation, vegetation cover, urbanization, and agricultural activity. As a result, the use of remote sensing LULC analysis has become increasingly significant as a method for regional planning, environmental control, and the evaluation of land resources (Coppin et al., 2004; Zhu, 2017).</w:t>
      </w:r>
    </w:p>
    <w:p w14:paraId="78828C9A" w14:textId="09409709" w:rsidR="00D64A6F" w:rsidRPr="005256E8" w:rsidRDefault="00D64A6F" w:rsidP="008C0832">
      <w:pPr>
        <w:spacing w:line="276" w:lineRule="auto"/>
        <w:ind w:firstLine="720"/>
        <w:jc w:val="both"/>
        <w:rPr>
          <w:rFonts w:ascii="Arial" w:hAnsi="Arial" w:cs="Arial"/>
          <w:sz w:val="20"/>
          <w:szCs w:val="20"/>
        </w:rPr>
      </w:pPr>
      <w:r w:rsidRPr="005256E8">
        <w:rPr>
          <w:rFonts w:ascii="Arial" w:hAnsi="Arial" w:cs="Arial"/>
          <w:sz w:val="20"/>
          <w:szCs w:val="20"/>
        </w:rPr>
        <w:t>The changes in land-use in India over the last few decades have been characterized by the increasing rate of economic growth, shifting population, as well as increasing infrastructure in the country. In most regions natural and agricultural landscape has been converted into urbanized regions because of the increasing need to house people, create transport systems, industrial estates, and commercialized business. With the rapid development of urban centers, there has been the development of peri-urban landscape where urban development is increasingly being built at the expense of rural areas. All these changes have a significant effect on land resource management, environmental sustainability, and agricultural productivity (Roy et al., 2015; Mishra et al., 20</w:t>
      </w:r>
      <w:r w:rsidR="00680891">
        <w:rPr>
          <w:rFonts w:ascii="Arial" w:hAnsi="Arial" w:cs="Arial"/>
          <w:sz w:val="20"/>
          <w:szCs w:val="20"/>
        </w:rPr>
        <w:t>14</w:t>
      </w:r>
      <w:r w:rsidRPr="005256E8">
        <w:rPr>
          <w:rFonts w:ascii="Arial" w:hAnsi="Arial" w:cs="Arial"/>
          <w:sz w:val="20"/>
          <w:szCs w:val="20"/>
        </w:rPr>
        <w:t>). The state of Punjab in northwestern India is one of the most heavily farmed regions of the country. The state made a significant contribution to the Green Revolution, boosting agricultural output by promoting the adoption of high-yielding crop varieties, irrigation, and modern agricultural practices. Consequently, a large share of the land in Punjab has always been used for agricultural activities, mainly rice and wheat farming (Dhillon &amp; Sidhu, 201</w:t>
      </w:r>
      <w:r w:rsidR="00F93E1D">
        <w:rPr>
          <w:rFonts w:ascii="Arial" w:hAnsi="Arial" w:cs="Arial"/>
          <w:sz w:val="20"/>
          <w:szCs w:val="20"/>
        </w:rPr>
        <w:t>9</w:t>
      </w:r>
      <w:r w:rsidRPr="005256E8">
        <w:rPr>
          <w:rFonts w:ascii="Arial" w:hAnsi="Arial" w:cs="Arial"/>
          <w:sz w:val="20"/>
          <w:szCs w:val="20"/>
        </w:rPr>
        <w:t xml:space="preserve">). Nevertheless, over the past decades, land-use organization in the state has changed with the trends of urbanization, industrialization, and the development of transportation infrastructure. Agricultural landscapes have been gradually changing in several districts due to the growth of residential colonies, industrial estates, and urban centers. City development in Punjab is mostly </w:t>
      </w:r>
      <w:r w:rsidR="000633CA">
        <w:rPr>
          <w:rFonts w:ascii="Arial" w:hAnsi="Arial" w:cs="Arial"/>
          <w:sz w:val="20"/>
          <w:szCs w:val="20"/>
        </w:rPr>
        <w:t>concentrated in areas near</w:t>
      </w:r>
      <w:r w:rsidRPr="005256E8">
        <w:rPr>
          <w:rFonts w:ascii="Arial" w:hAnsi="Arial" w:cs="Arial"/>
          <w:sz w:val="20"/>
          <w:szCs w:val="20"/>
        </w:rPr>
        <w:t xml:space="preserve"> major cities and transit </w:t>
      </w:r>
      <w:proofErr w:type="spellStart"/>
      <w:r w:rsidRPr="005256E8">
        <w:rPr>
          <w:rFonts w:ascii="Arial" w:hAnsi="Arial" w:cs="Arial"/>
          <w:sz w:val="20"/>
          <w:szCs w:val="20"/>
        </w:rPr>
        <w:t>centres</w:t>
      </w:r>
      <w:proofErr w:type="spellEnd"/>
      <w:r w:rsidRPr="005256E8">
        <w:rPr>
          <w:rFonts w:ascii="Arial" w:hAnsi="Arial" w:cs="Arial"/>
          <w:sz w:val="20"/>
          <w:szCs w:val="20"/>
        </w:rPr>
        <w:t xml:space="preserve">. Increased infrastructure development, economic opportunities, and population density have contributed to the transformation of agricultural land to built-up regions and commercial land use. </w:t>
      </w:r>
      <w:r w:rsidR="000633CA">
        <w:rPr>
          <w:rFonts w:ascii="Arial" w:hAnsi="Arial" w:cs="Arial"/>
          <w:sz w:val="20"/>
          <w:szCs w:val="20"/>
        </w:rPr>
        <w:t>In addition to</w:t>
      </w:r>
      <w:r w:rsidRPr="005256E8">
        <w:rPr>
          <w:rFonts w:ascii="Arial" w:hAnsi="Arial" w:cs="Arial"/>
          <w:sz w:val="20"/>
          <w:szCs w:val="20"/>
        </w:rPr>
        <w:t xml:space="preserve"> modifications in the landscape's spatial organization, these changes create obstacles to environmental conservation and sustainable land management. It is therefore important to monitor these transformations to understand how land resources are </w:t>
      </w:r>
      <w:r w:rsidR="000633CA">
        <w:rPr>
          <w:rFonts w:ascii="Arial" w:hAnsi="Arial" w:cs="Arial"/>
          <w:sz w:val="20"/>
          <w:szCs w:val="20"/>
        </w:rPr>
        <w:t>used and to develop strategies to balance</w:t>
      </w:r>
      <w:r w:rsidRPr="005256E8">
        <w:rPr>
          <w:rFonts w:ascii="Arial" w:hAnsi="Arial" w:cs="Arial"/>
          <w:sz w:val="20"/>
          <w:szCs w:val="20"/>
        </w:rPr>
        <w:t xml:space="preserve"> regional growth.</w:t>
      </w:r>
    </w:p>
    <w:p w14:paraId="552B86D6" w14:textId="0ECD780D" w:rsidR="00D64A6F" w:rsidRPr="005256E8" w:rsidRDefault="00D64A6F" w:rsidP="00D64A6F">
      <w:pPr>
        <w:spacing w:after="0" w:line="276" w:lineRule="auto"/>
        <w:ind w:firstLine="720"/>
        <w:jc w:val="both"/>
        <w:rPr>
          <w:rFonts w:ascii="Arial" w:hAnsi="Arial" w:cs="Arial"/>
          <w:sz w:val="20"/>
          <w:szCs w:val="20"/>
        </w:rPr>
      </w:pPr>
      <w:r w:rsidRPr="005256E8">
        <w:rPr>
          <w:rFonts w:ascii="Arial" w:hAnsi="Arial" w:cs="Arial"/>
          <w:sz w:val="20"/>
          <w:szCs w:val="20"/>
        </w:rPr>
        <w:t xml:space="preserve">The Jalandhar district of central Punjab has experienced a significant socioeconomic development in the last 20 years. The area has a popularity with its expanding urbanization, business growth and </w:t>
      </w:r>
      <w:r w:rsidRPr="005256E8">
        <w:rPr>
          <w:rFonts w:ascii="Arial" w:hAnsi="Arial" w:cs="Arial"/>
          <w:sz w:val="20"/>
          <w:szCs w:val="20"/>
        </w:rPr>
        <w:lastRenderedPageBreak/>
        <w:t>industrialization. The residential, commercial and transportation areas have increased the amount of land that is required by the increasing urbanization, population and economic development. There are high chances that significant modifications in the distribution of agricultural land, built-up area, and any other form of land use occurred as a result of the effects of these projects on the land-use and land-cover distribution of the district. Most changes in LULC in the Jalandhar district have not been adequately examined geospatially, although analyzing the land transformation process is important in rapidly developing areas. Thus, to understand the district's spatial structure over the years, a systematic analysis of land-use dynamics is needed. Such analysis can support better land-use planning and environmental management by informing the trends and forces driving land transformation.</w:t>
      </w:r>
    </w:p>
    <w:p w14:paraId="0608A62F" w14:textId="1B7E7A95" w:rsidR="00D64A6F" w:rsidRDefault="00D64A6F" w:rsidP="00D64A6F">
      <w:pPr>
        <w:spacing w:after="0" w:line="276" w:lineRule="auto"/>
        <w:ind w:firstLine="720"/>
        <w:jc w:val="both"/>
        <w:rPr>
          <w:rFonts w:ascii="Arial" w:hAnsi="Arial" w:cs="Arial"/>
          <w:sz w:val="20"/>
          <w:szCs w:val="20"/>
        </w:rPr>
      </w:pPr>
      <w:r w:rsidRPr="005256E8">
        <w:rPr>
          <w:rFonts w:ascii="Arial" w:hAnsi="Arial" w:cs="Arial"/>
          <w:sz w:val="20"/>
          <w:szCs w:val="20"/>
        </w:rPr>
        <w:t xml:space="preserve">In this regard, the current paper applies remote sensing and GIS to examine the temporal and spatial changes in land use and land cover in Jalandhar district over the years 2001 and 2021. The proposed study seeks to identify predominant land-use types, evaluate trends in land-cover features, and assess the extent of land change </w:t>
      </w:r>
      <w:r w:rsidR="005256E8" w:rsidRPr="005256E8">
        <w:rPr>
          <w:rFonts w:ascii="Arial" w:hAnsi="Arial" w:cs="Arial"/>
          <w:sz w:val="20"/>
          <w:szCs w:val="20"/>
        </w:rPr>
        <w:t>over the study period using multi-temporal satellite imagery</w:t>
      </w:r>
      <w:r w:rsidRPr="005256E8">
        <w:rPr>
          <w:rFonts w:ascii="Arial" w:hAnsi="Arial" w:cs="Arial"/>
          <w:sz w:val="20"/>
          <w:szCs w:val="20"/>
        </w:rPr>
        <w:t>. The findings of the current research are expected to contribute to the knowledge base on land-use trends in Punjab and provide valuable information for regional planning and sustainable land resource management.</w:t>
      </w:r>
    </w:p>
    <w:p w14:paraId="58B61A6D" w14:textId="77777777" w:rsidR="005256E8" w:rsidRPr="005256E8" w:rsidRDefault="005256E8" w:rsidP="00D64A6F">
      <w:pPr>
        <w:spacing w:after="0" w:line="276" w:lineRule="auto"/>
        <w:ind w:firstLine="720"/>
        <w:jc w:val="both"/>
        <w:rPr>
          <w:rFonts w:ascii="Arial" w:hAnsi="Arial" w:cs="Arial"/>
          <w:sz w:val="20"/>
          <w:szCs w:val="20"/>
        </w:rPr>
      </w:pPr>
    </w:p>
    <w:p w14:paraId="3BAF9F97" w14:textId="21063414" w:rsidR="006D3B64" w:rsidRPr="005256E8" w:rsidRDefault="00B11F21" w:rsidP="00D64A6F">
      <w:pPr>
        <w:spacing w:after="0" w:line="276" w:lineRule="auto"/>
        <w:jc w:val="both"/>
        <w:rPr>
          <w:rFonts w:ascii="Arial" w:hAnsi="Arial" w:cs="Arial"/>
          <w:b/>
          <w:bCs/>
          <w:sz w:val="20"/>
          <w:szCs w:val="20"/>
        </w:rPr>
      </w:pPr>
      <w:r w:rsidRPr="005256E8">
        <w:rPr>
          <w:rFonts w:ascii="Arial" w:hAnsi="Arial" w:cs="Arial"/>
          <w:b/>
          <w:bCs/>
          <w:sz w:val="22"/>
          <w:szCs w:val="22"/>
        </w:rPr>
        <w:t>LITERATURE REVIEW</w:t>
      </w:r>
    </w:p>
    <w:p w14:paraId="6D1D561F" w14:textId="4294AE5C" w:rsidR="003A075D" w:rsidRPr="005256E8" w:rsidRDefault="003A075D" w:rsidP="008C0832">
      <w:pPr>
        <w:spacing w:line="276" w:lineRule="auto"/>
        <w:ind w:firstLine="720"/>
        <w:jc w:val="both"/>
        <w:rPr>
          <w:rFonts w:ascii="Arial" w:hAnsi="Arial" w:cs="Arial"/>
          <w:sz w:val="20"/>
          <w:szCs w:val="20"/>
        </w:rPr>
      </w:pPr>
      <w:r w:rsidRPr="005256E8">
        <w:rPr>
          <w:rFonts w:ascii="Arial" w:hAnsi="Arial" w:cs="Arial"/>
          <w:sz w:val="20"/>
          <w:szCs w:val="20"/>
        </w:rPr>
        <w:t xml:space="preserve">Land use and land cover (LULC) changes have now become among the most essential indicators of environmental change and human-environmental interactions. By observing the LULC dynamics, researchers are able to identify the influence of urbanization, population increase, agricultural development, and industrial growth to natural resources. Given the fact that they provide the spatial and temporal resolution of very large geographic regions, remote sensing and Geographic Information System (GIS) prove useful in examining these dynamics. According to recent findings, satellite imagery and GIS technologies are important for determining and monitoring land transformation at local, regional, and global levels. LULC differences have been studied in numerous global investigations using geospatial approaches and satellite data. </w:t>
      </w:r>
    </w:p>
    <w:p w14:paraId="54C41394" w14:textId="44E73542" w:rsidR="003A075D" w:rsidRPr="005256E8" w:rsidRDefault="003A075D" w:rsidP="008C0832">
      <w:pPr>
        <w:spacing w:line="276" w:lineRule="auto"/>
        <w:ind w:firstLine="720"/>
        <w:jc w:val="both"/>
        <w:rPr>
          <w:rFonts w:ascii="Arial" w:hAnsi="Arial" w:cs="Arial"/>
          <w:sz w:val="20"/>
          <w:szCs w:val="20"/>
        </w:rPr>
      </w:pPr>
      <w:proofErr w:type="spellStart"/>
      <w:r w:rsidRPr="005256E8">
        <w:rPr>
          <w:rFonts w:ascii="Arial" w:hAnsi="Arial" w:cs="Arial"/>
          <w:sz w:val="20"/>
          <w:szCs w:val="20"/>
        </w:rPr>
        <w:t>Mallupattu</w:t>
      </w:r>
      <w:proofErr w:type="spellEnd"/>
      <w:r w:rsidRPr="005256E8">
        <w:rPr>
          <w:rFonts w:ascii="Arial" w:hAnsi="Arial" w:cs="Arial"/>
          <w:sz w:val="20"/>
          <w:szCs w:val="20"/>
        </w:rPr>
        <w:t xml:space="preserve"> and Reddy (2013) examined changes in LULC in Tirupati, India, and found significant growth in </w:t>
      </w:r>
      <w:r w:rsidR="005256E8" w:rsidRPr="005256E8">
        <w:rPr>
          <w:rFonts w:ascii="Arial" w:hAnsi="Arial" w:cs="Arial"/>
          <w:sz w:val="20"/>
          <w:szCs w:val="20"/>
        </w:rPr>
        <w:t>urban areas, accompanied by</w:t>
      </w:r>
      <w:r w:rsidRPr="005256E8">
        <w:rPr>
          <w:rFonts w:ascii="Arial" w:hAnsi="Arial" w:cs="Arial"/>
          <w:sz w:val="20"/>
          <w:szCs w:val="20"/>
        </w:rPr>
        <w:t xml:space="preserve"> a corresponding decline in agricultural land, using remote sensing and GIS methods. Their paper showed that Landsat imagery was useful for monitoring long-term land-use changes. Similarly, </w:t>
      </w:r>
      <w:proofErr w:type="spellStart"/>
      <w:r w:rsidR="00EB0EBC" w:rsidRPr="00B27773">
        <w:rPr>
          <w:rFonts w:ascii="Arial" w:hAnsi="Arial" w:cs="Arial"/>
          <w:sz w:val="20"/>
          <w:szCs w:val="20"/>
        </w:rPr>
        <w:t>Tewabe</w:t>
      </w:r>
      <w:proofErr w:type="spellEnd"/>
      <w:r w:rsidR="00EB0EBC">
        <w:rPr>
          <w:rFonts w:ascii="Arial" w:hAnsi="Arial" w:cs="Arial"/>
          <w:sz w:val="20"/>
          <w:szCs w:val="20"/>
        </w:rPr>
        <w:t xml:space="preserve"> </w:t>
      </w:r>
      <w:r w:rsidR="00EB0EBC" w:rsidRPr="00B27773">
        <w:rPr>
          <w:rFonts w:ascii="Arial" w:hAnsi="Arial" w:cs="Arial"/>
          <w:sz w:val="20"/>
          <w:szCs w:val="20"/>
        </w:rPr>
        <w:t xml:space="preserve">and </w:t>
      </w:r>
      <w:proofErr w:type="spellStart"/>
      <w:r w:rsidR="00EB0EBC" w:rsidRPr="00B27773">
        <w:rPr>
          <w:rFonts w:ascii="Arial" w:hAnsi="Arial" w:cs="Arial"/>
          <w:sz w:val="20"/>
          <w:szCs w:val="20"/>
        </w:rPr>
        <w:t>Fentahun</w:t>
      </w:r>
      <w:proofErr w:type="spellEnd"/>
      <w:r w:rsidR="00EB0EBC" w:rsidRPr="00B27773">
        <w:rPr>
          <w:rFonts w:ascii="Arial" w:hAnsi="Arial" w:cs="Arial"/>
          <w:sz w:val="20"/>
          <w:szCs w:val="20"/>
        </w:rPr>
        <w:t xml:space="preserve"> (2020) </w:t>
      </w:r>
      <w:r w:rsidRPr="005256E8">
        <w:rPr>
          <w:rFonts w:ascii="Arial" w:hAnsi="Arial" w:cs="Arial"/>
          <w:sz w:val="20"/>
          <w:szCs w:val="20"/>
        </w:rPr>
        <w:t xml:space="preserve">investigated land-use dynamics using change-detection techniques in GIS and found that geospatial analysis is a valuable source of data for sustainable land management and planning. The other interesting research article was by </w:t>
      </w:r>
      <w:proofErr w:type="spellStart"/>
      <w:r w:rsidRPr="005256E8">
        <w:rPr>
          <w:rFonts w:ascii="Arial" w:hAnsi="Arial" w:cs="Arial"/>
          <w:sz w:val="20"/>
          <w:szCs w:val="20"/>
        </w:rPr>
        <w:t>Naikoo</w:t>
      </w:r>
      <w:proofErr w:type="spellEnd"/>
      <w:r w:rsidRPr="005256E8">
        <w:rPr>
          <w:rFonts w:ascii="Arial" w:hAnsi="Arial" w:cs="Arial"/>
          <w:sz w:val="20"/>
          <w:szCs w:val="20"/>
        </w:rPr>
        <w:t xml:space="preserve"> et al. (2020), which discussed changes in LULC in the National Capital Region (NCR) of Delhi and identified the factors driving the rapid increase in built-up areas as infrastructure development, economic growth, and migration. The analysis depicted the extent of transformation of agricultural lands and natural sceneries by urbanization. Equally, the article by </w:t>
      </w:r>
      <w:proofErr w:type="spellStart"/>
      <w:r w:rsidRPr="005256E8">
        <w:rPr>
          <w:rFonts w:ascii="Arial" w:hAnsi="Arial" w:cs="Arial"/>
          <w:sz w:val="20"/>
          <w:szCs w:val="20"/>
        </w:rPr>
        <w:t>Seyam</w:t>
      </w:r>
      <w:proofErr w:type="spellEnd"/>
      <w:r w:rsidRPr="005256E8">
        <w:rPr>
          <w:rFonts w:ascii="Arial" w:hAnsi="Arial" w:cs="Arial"/>
          <w:sz w:val="20"/>
          <w:szCs w:val="20"/>
        </w:rPr>
        <w:t xml:space="preserve"> et al. (2023) applies remote sensing and GIS to investigate LULC change in Bangladesh and found that the changes were mainly due to population pressure and industrial development. Researchers have highlighted that multi-temporal satellite data is required to monitor land change at a global level. In a study, </w:t>
      </w:r>
      <w:proofErr w:type="spellStart"/>
      <w:r w:rsidRPr="005256E8">
        <w:rPr>
          <w:rFonts w:ascii="Arial" w:hAnsi="Arial" w:cs="Arial"/>
          <w:sz w:val="20"/>
          <w:szCs w:val="20"/>
        </w:rPr>
        <w:t>Mariye</w:t>
      </w:r>
      <w:proofErr w:type="spellEnd"/>
      <w:r w:rsidRPr="005256E8">
        <w:rPr>
          <w:rFonts w:ascii="Arial" w:hAnsi="Arial" w:cs="Arial"/>
          <w:sz w:val="20"/>
          <w:szCs w:val="20"/>
        </w:rPr>
        <w:t xml:space="preserve"> et al. (2024) used Landsat imagery spanning multiple periods, revealing that agricultural development and increased settlement were the key contributors to land cover change in Ethiopia. Similarly, Zhu (2022) stressed the value of remote sensing as a tool for land change studies, as satellite imagery enables the observation of both temporal and spatial forecasts of land transformation. Many studies have examined the dynamics of LULC across different regions of India. Thakur et al. (2020) studied land-use changes in the </w:t>
      </w:r>
      <w:proofErr w:type="spellStart"/>
      <w:r w:rsidRPr="005256E8">
        <w:rPr>
          <w:rFonts w:ascii="Arial" w:hAnsi="Arial" w:cs="Arial"/>
          <w:sz w:val="20"/>
          <w:szCs w:val="20"/>
        </w:rPr>
        <w:t>Achanakmar-Amarkantak</w:t>
      </w:r>
      <w:proofErr w:type="spellEnd"/>
      <w:r w:rsidRPr="005256E8">
        <w:rPr>
          <w:rFonts w:ascii="Arial" w:hAnsi="Arial" w:cs="Arial"/>
          <w:sz w:val="20"/>
          <w:szCs w:val="20"/>
        </w:rPr>
        <w:t xml:space="preserve"> Biosphere Reserve using remote sensing and GIS and found significant reductions in forest cover driven by human activities and land conversion. </w:t>
      </w:r>
      <w:proofErr w:type="spellStart"/>
      <w:r w:rsidRPr="005256E8">
        <w:rPr>
          <w:rFonts w:ascii="Arial" w:hAnsi="Arial" w:cs="Arial"/>
          <w:sz w:val="20"/>
          <w:szCs w:val="20"/>
        </w:rPr>
        <w:t>Pushpalatha</w:t>
      </w:r>
      <w:proofErr w:type="spellEnd"/>
      <w:r w:rsidRPr="005256E8">
        <w:rPr>
          <w:rFonts w:ascii="Arial" w:hAnsi="Arial" w:cs="Arial"/>
          <w:sz w:val="20"/>
          <w:szCs w:val="20"/>
        </w:rPr>
        <w:t xml:space="preserve"> et al. (2025) also studied the LULC change in Mysuru district using the LISS-III satellite images and discovered that the characteristics of built-up and agricultural land had significantly changed due to urban expansion. </w:t>
      </w:r>
    </w:p>
    <w:p w14:paraId="2ABE0789" w14:textId="08166120" w:rsidR="003A075D" w:rsidRPr="005256E8" w:rsidRDefault="003A075D" w:rsidP="003A075D">
      <w:pPr>
        <w:spacing w:after="0" w:line="276" w:lineRule="auto"/>
        <w:ind w:firstLine="720"/>
        <w:jc w:val="both"/>
        <w:rPr>
          <w:rFonts w:ascii="Arial" w:hAnsi="Arial" w:cs="Arial"/>
          <w:sz w:val="20"/>
          <w:szCs w:val="20"/>
        </w:rPr>
      </w:pPr>
      <w:r w:rsidRPr="005256E8">
        <w:rPr>
          <w:rFonts w:ascii="Arial" w:hAnsi="Arial" w:cs="Arial"/>
          <w:sz w:val="20"/>
          <w:szCs w:val="20"/>
        </w:rPr>
        <w:lastRenderedPageBreak/>
        <w:t xml:space="preserve">Furthermore, research has been conducted in Punjab and other areas. A recent study on land-use change in the Bathinda district found that urban growth led to a reduction in agricultural and vegetative cover and a significant increase in built-up areas. The same results were obtained in a study in Chandigarh, where LULC patterns and trends were determined using satellite imagery and machine learning to analyze urban expansion. Moreover, most categorization and change-detection methods applied to LULC studies have been discussed in several review articles. </w:t>
      </w:r>
      <w:proofErr w:type="spellStart"/>
      <w:r w:rsidRPr="005256E8">
        <w:rPr>
          <w:rFonts w:ascii="Arial" w:hAnsi="Arial" w:cs="Arial"/>
          <w:sz w:val="20"/>
          <w:szCs w:val="20"/>
        </w:rPr>
        <w:t>Chughtai</w:t>
      </w:r>
      <w:proofErr w:type="spellEnd"/>
      <w:r w:rsidRPr="005256E8">
        <w:rPr>
          <w:rFonts w:ascii="Arial" w:hAnsi="Arial" w:cs="Arial"/>
          <w:sz w:val="20"/>
          <w:szCs w:val="20"/>
        </w:rPr>
        <w:t xml:space="preserve"> </w:t>
      </w:r>
      <w:r w:rsidR="00BA35E1">
        <w:rPr>
          <w:rFonts w:ascii="Arial" w:hAnsi="Arial" w:cs="Arial"/>
          <w:sz w:val="20"/>
          <w:szCs w:val="20"/>
        </w:rPr>
        <w:t xml:space="preserve">et al. </w:t>
      </w:r>
      <w:r w:rsidRPr="005256E8">
        <w:rPr>
          <w:rFonts w:ascii="Arial" w:hAnsi="Arial" w:cs="Arial"/>
          <w:sz w:val="20"/>
          <w:szCs w:val="20"/>
        </w:rPr>
        <w:t>(2021) examined multiple techniques for detecting LULC and concluded that the best approach for mapping LULC is supervised classification using the Maximum Likelihood algorithm. Likewise, Liu et al. (2023) have highlighted the growing importance of advanced remote sensing and machine learning techniques for investigating trends in global land-use transformation.</w:t>
      </w:r>
    </w:p>
    <w:p w14:paraId="2D202AFD" w14:textId="20E86527" w:rsidR="003A075D" w:rsidRDefault="003A075D" w:rsidP="003A075D">
      <w:pPr>
        <w:spacing w:after="0" w:line="276" w:lineRule="auto"/>
        <w:ind w:firstLine="720"/>
        <w:jc w:val="both"/>
        <w:rPr>
          <w:rFonts w:ascii="Arial" w:hAnsi="Arial" w:cs="Arial"/>
          <w:sz w:val="20"/>
          <w:szCs w:val="20"/>
        </w:rPr>
      </w:pPr>
      <w:r w:rsidRPr="005256E8">
        <w:rPr>
          <w:rFonts w:ascii="Arial" w:hAnsi="Arial" w:cs="Arial"/>
          <w:sz w:val="20"/>
          <w:szCs w:val="20"/>
        </w:rPr>
        <w:t>All things considered, it is possible to state that the influence of urbanization, economic growth, population increase, and infrastructural development on LULC changes is substantial, as reported by previous research. Remote sensing and GIS provide effective</w:t>
      </w:r>
      <w:r w:rsidR="005256E8">
        <w:rPr>
          <w:rFonts w:ascii="Arial" w:hAnsi="Arial" w:cs="Arial"/>
          <w:sz w:val="20"/>
          <w:szCs w:val="20"/>
        </w:rPr>
        <w:t xml:space="preserve">, accurate tools </w:t>
      </w:r>
      <w:r w:rsidR="000633CA">
        <w:rPr>
          <w:rFonts w:ascii="Arial" w:hAnsi="Arial" w:cs="Arial"/>
          <w:sz w:val="20"/>
          <w:szCs w:val="20"/>
        </w:rPr>
        <w:t>for tracking these changes and supporting</w:t>
      </w:r>
      <w:r w:rsidRPr="005256E8">
        <w:rPr>
          <w:rFonts w:ascii="Arial" w:hAnsi="Arial" w:cs="Arial"/>
          <w:sz w:val="20"/>
          <w:szCs w:val="20"/>
        </w:rPr>
        <w:t xml:space="preserve"> sustainable land management. Conversely, very little is known about the spatiotemporal dynamics of land cover and use in rapidly developing areas such as Jalandhar in Punjab. Therefore, this study aims to apply remote sensing and GIS to analyze LULC change in the Jalandhar district between 2001 and 2021.</w:t>
      </w:r>
    </w:p>
    <w:p w14:paraId="22DD07EF" w14:textId="77777777" w:rsidR="005256E8" w:rsidRPr="005256E8" w:rsidRDefault="005256E8" w:rsidP="003A075D">
      <w:pPr>
        <w:spacing w:after="0" w:line="276" w:lineRule="auto"/>
        <w:ind w:firstLine="720"/>
        <w:jc w:val="both"/>
        <w:rPr>
          <w:rFonts w:ascii="Arial" w:hAnsi="Arial" w:cs="Arial"/>
          <w:sz w:val="20"/>
          <w:szCs w:val="20"/>
        </w:rPr>
      </w:pPr>
    </w:p>
    <w:p w14:paraId="23C739C6" w14:textId="3D096979" w:rsidR="00115445" w:rsidRPr="005256E8" w:rsidRDefault="00B11F21" w:rsidP="003A075D">
      <w:pPr>
        <w:spacing w:after="0" w:line="276" w:lineRule="auto"/>
        <w:jc w:val="both"/>
        <w:rPr>
          <w:rFonts w:ascii="Arial" w:hAnsi="Arial" w:cs="Arial"/>
          <w:b/>
          <w:bCs/>
          <w:sz w:val="22"/>
          <w:szCs w:val="22"/>
        </w:rPr>
      </w:pPr>
      <w:r w:rsidRPr="005256E8">
        <w:rPr>
          <w:rFonts w:ascii="Arial" w:hAnsi="Arial" w:cs="Arial"/>
          <w:b/>
          <w:bCs/>
          <w:sz w:val="22"/>
          <w:szCs w:val="22"/>
        </w:rPr>
        <w:t>STUDY AREA</w:t>
      </w:r>
    </w:p>
    <w:p w14:paraId="57AC924B" w14:textId="6EAB89F8" w:rsidR="00503374" w:rsidRPr="005256E8" w:rsidRDefault="00503374" w:rsidP="00B11F21">
      <w:pPr>
        <w:spacing w:after="0" w:line="276" w:lineRule="auto"/>
        <w:jc w:val="both"/>
        <w:rPr>
          <w:rFonts w:ascii="Arial" w:hAnsi="Arial" w:cs="Arial"/>
          <w:sz w:val="20"/>
          <w:szCs w:val="20"/>
        </w:rPr>
      </w:pPr>
      <w:r w:rsidRPr="005256E8">
        <w:rPr>
          <w:rFonts w:ascii="Arial" w:hAnsi="Arial" w:cs="Arial"/>
          <w:sz w:val="20"/>
          <w:szCs w:val="20"/>
        </w:rPr>
        <w:t xml:space="preserve">The district of Jalandhar is situated in the </w:t>
      </w:r>
      <w:proofErr w:type="spellStart"/>
      <w:r w:rsidRPr="005256E8">
        <w:rPr>
          <w:rFonts w:ascii="Arial" w:hAnsi="Arial" w:cs="Arial"/>
          <w:sz w:val="20"/>
          <w:szCs w:val="20"/>
        </w:rPr>
        <w:t>Doaba</w:t>
      </w:r>
      <w:proofErr w:type="spellEnd"/>
      <w:r w:rsidRPr="005256E8">
        <w:rPr>
          <w:rFonts w:ascii="Arial" w:hAnsi="Arial" w:cs="Arial"/>
          <w:sz w:val="20"/>
          <w:szCs w:val="20"/>
        </w:rPr>
        <w:t xml:space="preserve"> area of the Indian state of Punjab. Geographically, Jalandhar district is located between latitudes 31°33′ N and longitudes 75°58′ E. Its average elevation is </w:t>
      </w:r>
      <w:r w:rsidR="00C91F18" w:rsidRPr="005256E8">
        <w:rPr>
          <w:rFonts w:ascii="Arial" w:hAnsi="Arial" w:cs="Arial"/>
          <w:sz w:val="20"/>
          <w:szCs w:val="20"/>
        </w:rPr>
        <w:t>220-</w:t>
      </w:r>
      <w:r w:rsidRPr="005256E8">
        <w:rPr>
          <w:rFonts w:ascii="Arial" w:hAnsi="Arial" w:cs="Arial"/>
          <w:sz w:val="20"/>
          <w:szCs w:val="20"/>
        </w:rPr>
        <w:t xml:space="preserve">230 meters above mean sea level. The districts of Hoshiarpur to the north and northeast, Kapurthala to the west, Ludhiana to the south, and </w:t>
      </w:r>
      <w:proofErr w:type="spellStart"/>
      <w:r w:rsidRPr="005256E8">
        <w:rPr>
          <w:rFonts w:ascii="Arial" w:hAnsi="Arial" w:cs="Arial"/>
          <w:sz w:val="20"/>
          <w:szCs w:val="20"/>
        </w:rPr>
        <w:t>Moga</w:t>
      </w:r>
      <w:proofErr w:type="spellEnd"/>
      <w:r w:rsidRPr="005256E8">
        <w:rPr>
          <w:rFonts w:ascii="Arial" w:hAnsi="Arial" w:cs="Arial"/>
          <w:sz w:val="20"/>
          <w:szCs w:val="20"/>
        </w:rPr>
        <w:t xml:space="preserve"> to the southwest form the district's borders. The area is part of the rich Indo-Gangetic plains, which support intensive farming, </w:t>
      </w:r>
      <w:r w:rsidR="00C91F18" w:rsidRPr="005256E8">
        <w:rPr>
          <w:rFonts w:ascii="Arial" w:hAnsi="Arial" w:cs="Arial"/>
          <w:sz w:val="20"/>
          <w:szCs w:val="20"/>
        </w:rPr>
        <w:t>particularly rice and wheat</w:t>
      </w:r>
      <w:r w:rsidRPr="005256E8">
        <w:rPr>
          <w:rFonts w:ascii="Arial" w:hAnsi="Arial" w:cs="Arial"/>
          <w:sz w:val="20"/>
          <w:szCs w:val="20"/>
        </w:rPr>
        <w:t>. The district has a mixed rural-urban settlement pattern with a population of approximately 2.19 million, according to the 2011 Census of India.</w:t>
      </w:r>
    </w:p>
    <w:p w14:paraId="51427769" w14:textId="77777777" w:rsidR="00363668" w:rsidRPr="005256E8" w:rsidRDefault="00363668" w:rsidP="00B11F21">
      <w:pPr>
        <w:spacing w:after="0" w:line="276" w:lineRule="auto"/>
        <w:jc w:val="both"/>
        <w:rPr>
          <w:rFonts w:ascii="Arial" w:hAnsi="Arial" w:cs="Arial"/>
          <w:sz w:val="20"/>
          <w:szCs w:val="20"/>
        </w:rPr>
      </w:pPr>
    </w:p>
    <w:p w14:paraId="7DB53E40" w14:textId="7AD3AA43" w:rsidR="00363668" w:rsidRPr="005256E8" w:rsidRDefault="000633CA" w:rsidP="00363668">
      <w:pPr>
        <w:spacing w:after="0" w:line="276" w:lineRule="auto"/>
        <w:jc w:val="both"/>
        <w:rPr>
          <w:rFonts w:ascii="Arial" w:hAnsi="Arial" w:cs="Arial"/>
          <w:b/>
          <w:bCs/>
          <w:sz w:val="22"/>
          <w:szCs w:val="22"/>
        </w:rPr>
      </w:pPr>
      <w:r w:rsidRPr="005256E8">
        <w:rPr>
          <w:rFonts w:ascii="Arial" w:hAnsi="Arial" w:cs="Arial"/>
          <w:b/>
          <w:bCs/>
          <w:sz w:val="22"/>
          <w:szCs w:val="22"/>
        </w:rPr>
        <w:t xml:space="preserve">METHODOLOGY </w:t>
      </w:r>
    </w:p>
    <w:p w14:paraId="53969E1F" w14:textId="4BDF2DF8" w:rsidR="00363668" w:rsidRDefault="00363668" w:rsidP="005256E8">
      <w:pPr>
        <w:spacing w:after="0" w:line="276" w:lineRule="auto"/>
        <w:jc w:val="both"/>
        <w:rPr>
          <w:rFonts w:ascii="Arial" w:hAnsi="Arial" w:cs="Arial"/>
          <w:sz w:val="20"/>
          <w:szCs w:val="20"/>
        </w:rPr>
      </w:pPr>
      <w:r w:rsidRPr="005256E8">
        <w:rPr>
          <w:rFonts w:ascii="Arial" w:hAnsi="Arial" w:cs="Arial"/>
          <w:sz w:val="20"/>
          <w:szCs w:val="20"/>
        </w:rPr>
        <w:t>The Present study examines the Land Use and Land Cover (LULC) of Jala</w:t>
      </w:r>
      <w:r w:rsidR="003C57FC">
        <w:rPr>
          <w:rFonts w:ascii="Arial" w:hAnsi="Arial" w:cs="Arial"/>
          <w:sz w:val="20"/>
          <w:szCs w:val="20"/>
        </w:rPr>
        <w:t>n</w:t>
      </w:r>
      <w:r w:rsidRPr="005256E8">
        <w:rPr>
          <w:rFonts w:ascii="Arial" w:hAnsi="Arial" w:cs="Arial"/>
          <w:sz w:val="20"/>
          <w:szCs w:val="20"/>
        </w:rPr>
        <w:t xml:space="preserve">dhar district from 2001 to 2020 by using geospatial techniques. Multitemporal satellite imagery is used to analyze the spatial distribution and changes in different land-use categories. Landsat- 5 TM and Landsat-8 OLI/TIR with a spatial resolution of 30 m were used for the years 2001 and 2021, which were obtained from the United States Geological Survey (USGS) Earth Explorer. For image interpretation and validation, ancillary data, such as district administrative boundaries and high-resolution Google Earth imagery, were used as reference data. To eliminate atmospheric distortions and enhance image quality, the satellite images underwent standard preprocessing techniques, including geometric and radiometric corrections and image enhancement, prior to classification. To limit the analysis to the study area, the images were cropped to the Jalandhar district boundary. </w:t>
      </w:r>
    </w:p>
    <w:p w14:paraId="6EAC0772" w14:textId="77777777" w:rsidR="00C91F18" w:rsidRDefault="00C91F18" w:rsidP="008C0832">
      <w:pPr>
        <w:spacing w:line="276" w:lineRule="auto"/>
        <w:jc w:val="both"/>
        <w:rPr>
          <w:rFonts w:ascii="Arial" w:hAnsi="Arial" w:cs="Arial"/>
          <w:sz w:val="20"/>
          <w:szCs w:val="20"/>
        </w:rPr>
      </w:pPr>
    </w:p>
    <w:p w14:paraId="67CE8C54" w14:textId="77777777" w:rsidR="000633CA" w:rsidRDefault="000633CA" w:rsidP="008C0832">
      <w:pPr>
        <w:spacing w:line="276" w:lineRule="auto"/>
        <w:jc w:val="both"/>
        <w:rPr>
          <w:rFonts w:ascii="Arial" w:hAnsi="Arial" w:cs="Arial"/>
          <w:sz w:val="20"/>
          <w:szCs w:val="20"/>
        </w:rPr>
      </w:pPr>
    </w:p>
    <w:p w14:paraId="2FA7CC64" w14:textId="77777777" w:rsidR="000633CA" w:rsidRDefault="000633CA" w:rsidP="008C0832">
      <w:pPr>
        <w:spacing w:line="276" w:lineRule="auto"/>
        <w:jc w:val="both"/>
        <w:rPr>
          <w:rFonts w:ascii="Arial" w:hAnsi="Arial" w:cs="Arial"/>
          <w:sz w:val="20"/>
          <w:szCs w:val="20"/>
        </w:rPr>
      </w:pPr>
    </w:p>
    <w:p w14:paraId="152FBA3A" w14:textId="77777777" w:rsidR="000633CA" w:rsidRDefault="000633CA" w:rsidP="008C0832">
      <w:pPr>
        <w:spacing w:line="276" w:lineRule="auto"/>
        <w:jc w:val="both"/>
        <w:rPr>
          <w:rFonts w:ascii="Arial" w:hAnsi="Arial" w:cs="Arial"/>
          <w:sz w:val="20"/>
          <w:szCs w:val="20"/>
        </w:rPr>
      </w:pPr>
    </w:p>
    <w:p w14:paraId="47BD3A2A" w14:textId="77777777" w:rsidR="000633CA" w:rsidRDefault="000633CA" w:rsidP="008C0832">
      <w:pPr>
        <w:spacing w:line="276" w:lineRule="auto"/>
        <w:jc w:val="both"/>
        <w:rPr>
          <w:rFonts w:ascii="Arial" w:hAnsi="Arial" w:cs="Arial"/>
          <w:sz w:val="20"/>
          <w:szCs w:val="20"/>
        </w:rPr>
      </w:pPr>
    </w:p>
    <w:p w14:paraId="14D3982C" w14:textId="77777777" w:rsidR="000633CA" w:rsidRDefault="000633CA" w:rsidP="008C0832">
      <w:pPr>
        <w:spacing w:line="276" w:lineRule="auto"/>
        <w:jc w:val="both"/>
        <w:rPr>
          <w:rFonts w:ascii="Arial" w:hAnsi="Arial" w:cs="Arial"/>
          <w:sz w:val="20"/>
          <w:szCs w:val="20"/>
        </w:rPr>
      </w:pPr>
    </w:p>
    <w:p w14:paraId="4957C39F" w14:textId="77777777" w:rsidR="000633CA" w:rsidRDefault="000633CA" w:rsidP="008C0832">
      <w:pPr>
        <w:spacing w:line="276" w:lineRule="auto"/>
        <w:jc w:val="both"/>
        <w:rPr>
          <w:rFonts w:ascii="Arial" w:hAnsi="Arial" w:cs="Arial"/>
          <w:sz w:val="20"/>
          <w:szCs w:val="20"/>
        </w:rPr>
      </w:pPr>
    </w:p>
    <w:p w14:paraId="49933C21" w14:textId="77777777" w:rsidR="000633CA" w:rsidRPr="005256E8" w:rsidRDefault="000633CA" w:rsidP="008C0832">
      <w:pPr>
        <w:spacing w:line="276" w:lineRule="auto"/>
        <w:jc w:val="both"/>
        <w:rPr>
          <w:rFonts w:ascii="Arial" w:hAnsi="Arial" w:cs="Arial"/>
          <w:sz w:val="20"/>
          <w:szCs w:val="20"/>
        </w:rPr>
      </w:pPr>
    </w:p>
    <w:p w14:paraId="576BBEB1" w14:textId="17CD7821" w:rsidR="000C3DC9" w:rsidRPr="005256E8" w:rsidRDefault="000C3DC9" w:rsidP="002F4449">
      <w:pPr>
        <w:spacing w:line="276" w:lineRule="auto"/>
        <w:rPr>
          <w:rFonts w:ascii="Arial" w:hAnsi="Arial" w:cs="Arial"/>
          <w:sz w:val="20"/>
          <w:szCs w:val="20"/>
        </w:rPr>
      </w:pPr>
      <w:r w:rsidRPr="005256E8">
        <w:rPr>
          <w:rFonts w:ascii="Arial" w:hAnsi="Arial" w:cs="Arial"/>
          <w:sz w:val="20"/>
          <w:szCs w:val="20"/>
        </w:rPr>
        <w:t>Fig: 1</w:t>
      </w:r>
      <w:r w:rsidR="002F4449">
        <w:rPr>
          <w:rFonts w:ascii="Arial" w:hAnsi="Arial" w:cs="Arial"/>
          <w:sz w:val="20"/>
          <w:szCs w:val="20"/>
        </w:rPr>
        <w:t xml:space="preserve">: </w:t>
      </w:r>
      <w:r w:rsidR="007D483B">
        <w:rPr>
          <w:rFonts w:ascii="Arial" w:hAnsi="Arial" w:cs="Arial"/>
          <w:sz w:val="20"/>
          <w:szCs w:val="20"/>
        </w:rPr>
        <w:t>Map of t</w:t>
      </w:r>
      <w:r w:rsidR="002F4449">
        <w:rPr>
          <w:rFonts w:ascii="Arial" w:hAnsi="Arial" w:cs="Arial"/>
          <w:sz w:val="20"/>
          <w:szCs w:val="20"/>
        </w:rPr>
        <w:t>he study site</w:t>
      </w:r>
    </w:p>
    <w:p w14:paraId="4AE81DBB" w14:textId="099CBAB5" w:rsidR="000C3DC9" w:rsidRPr="005256E8" w:rsidRDefault="00AE4A3E" w:rsidP="008C0832">
      <w:pPr>
        <w:spacing w:line="276" w:lineRule="auto"/>
        <w:rPr>
          <w:rFonts w:ascii="Arial" w:hAnsi="Arial" w:cs="Arial"/>
          <w:sz w:val="20"/>
          <w:szCs w:val="20"/>
        </w:rPr>
      </w:pPr>
      <w:r w:rsidRPr="005256E8">
        <w:rPr>
          <w:rFonts w:ascii="Arial" w:hAnsi="Arial" w:cs="Arial"/>
          <w:noProof/>
          <w:sz w:val="20"/>
          <w:szCs w:val="20"/>
        </w:rPr>
        <w:drawing>
          <wp:inline distT="0" distB="0" distL="0" distR="0" wp14:anchorId="5CB35605" wp14:editId="78ACE5C0">
            <wp:extent cx="5818505" cy="7489371"/>
            <wp:effectExtent l="0" t="0" r="0" b="0"/>
            <wp:docPr id="184314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42611" name="Picture 18431426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2644" cy="7494699"/>
                    </a:xfrm>
                    <a:prstGeom prst="rect">
                      <a:avLst/>
                    </a:prstGeom>
                  </pic:spPr>
                </pic:pic>
              </a:graphicData>
            </a:graphic>
          </wp:inline>
        </w:drawing>
      </w:r>
    </w:p>
    <w:p w14:paraId="3B6B5857" w14:textId="1EC64BCE" w:rsidR="00D373DA" w:rsidRPr="005256E8" w:rsidRDefault="000C3DC9" w:rsidP="008C0832">
      <w:pPr>
        <w:spacing w:line="276" w:lineRule="auto"/>
        <w:jc w:val="both"/>
        <w:rPr>
          <w:rFonts w:ascii="Arial" w:hAnsi="Arial" w:cs="Arial"/>
          <w:sz w:val="20"/>
          <w:szCs w:val="20"/>
        </w:rPr>
      </w:pPr>
      <w:r w:rsidRPr="005256E8">
        <w:rPr>
          <w:rFonts w:ascii="Arial" w:hAnsi="Arial" w:cs="Arial"/>
          <w:sz w:val="20"/>
          <w:szCs w:val="20"/>
        </w:rPr>
        <w:lastRenderedPageBreak/>
        <w:t xml:space="preserve">Source: Census of India, </w:t>
      </w:r>
      <w:r w:rsidR="00D373DA" w:rsidRPr="005256E8">
        <w:rPr>
          <w:rFonts w:ascii="Arial" w:hAnsi="Arial" w:cs="Arial"/>
          <w:sz w:val="20"/>
          <w:szCs w:val="20"/>
        </w:rPr>
        <w:t>2011</w:t>
      </w:r>
    </w:p>
    <w:p w14:paraId="72EF7B75" w14:textId="0B213E7B" w:rsidR="00B11F21" w:rsidRPr="005256E8" w:rsidRDefault="00B11F21" w:rsidP="0007658C">
      <w:pPr>
        <w:spacing w:line="276" w:lineRule="auto"/>
        <w:rPr>
          <w:rFonts w:ascii="Arial" w:hAnsi="Arial" w:cs="Arial"/>
          <w:sz w:val="20"/>
          <w:szCs w:val="20"/>
        </w:rPr>
      </w:pPr>
      <w:r w:rsidRPr="005256E8">
        <w:rPr>
          <w:rFonts w:ascii="Arial" w:hAnsi="Arial" w:cs="Arial"/>
          <w:sz w:val="20"/>
          <w:szCs w:val="20"/>
        </w:rPr>
        <w:t>Fig 2</w:t>
      </w:r>
      <w:r w:rsidR="0007658C">
        <w:rPr>
          <w:rFonts w:ascii="Arial" w:hAnsi="Arial" w:cs="Arial"/>
          <w:sz w:val="20"/>
          <w:szCs w:val="20"/>
        </w:rPr>
        <w:t xml:space="preserve">: </w:t>
      </w:r>
      <w:r w:rsidR="007D483B">
        <w:rPr>
          <w:rFonts w:ascii="Arial" w:hAnsi="Arial" w:cs="Arial"/>
          <w:sz w:val="20"/>
          <w:szCs w:val="20"/>
        </w:rPr>
        <w:t xml:space="preserve">Elevation </w:t>
      </w:r>
      <w:r w:rsidR="0007658C">
        <w:rPr>
          <w:rFonts w:ascii="Arial" w:hAnsi="Arial" w:cs="Arial"/>
          <w:sz w:val="20"/>
          <w:szCs w:val="20"/>
        </w:rPr>
        <w:t xml:space="preserve">map of </w:t>
      </w:r>
      <w:r w:rsidR="0007658C" w:rsidRPr="005256E8">
        <w:rPr>
          <w:rFonts w:ascii="Arial" w:hAnsi="Arial" w:cs="Arial"/>
          <w:sz w:val="20"/>
          <w:szCs w:val="20"/>
        </w:rPr>
        <w:t>Jala</w:t>
      </w:r>
      <w:r w:rsidR="003C57FC">
        <w:rPr>
          <w:rFonts w:ascii="Arial" w:hAnsi="Arial" w:cs="Arial"/>
          <w:sz w:val="20"/>
          <w:szCs w:val="20"/>
        </w:rPr>
        <w:t>n</w:t>
      </w:r>
      <w:r w:rsidR="0007658C" w:rsidRPr="005256E8">
        <w:rPr>
          <w:rFonts w:ascii="Arial" w:hAnsi="Arial" w:cs="Arial"/>
          <w:sz w:val="20"/>
          <w:szCs w:val="20"/>
        </w:rPr>
        <w:t xml:space="preserve">dhar district </w:t>
      </w:r>
      <w:r w:rsidR="0007658C">
        <w:rPr>
          <w:rFonts w:ascii="Arial" w:hAnsi="Arial" w:cs="Arial"/>
          <w:sz w:val="20"/>
          <w:szCs w:val="20"/>
        </w:rPr>
        <w:t xml:space="preserve"> </w:t>
      </w:r>
      <w:r w:rsidR="00C336DF" w:rsidRPr="005256E8">
        <w:rPr>
          <w:rFonts w:ascii="Arial" w:hAnsi="Arial" w:cs="Arial"/>
          <w:noProof/>
          <w:sz w:val="20"/>
          <w:szCs w:val="20"/>
        </w:rPr>
        <w:drawing>
          <wp:inline distT="0" distB="0" distL="0" distR="0" wp14:anchorId="756C930C" wp14:editId="2088A9E5">
            <wp:extent cx="5943600" cy="4202430"/>
            <wp:effectExtent l="0" t="0" r="0" b="7620"/>
            <wp:docPr id="999477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77042" name="Picture 9994770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7E14A37A" w14:textId="3A46C33C" w:rsidR="00B11F21" w:rsidRPr="005256E8" w:rsidRDefault="00B11F21" w:rsidP="00363668">
      <w:pPr>
        <w:spacing w:line="276" w:lineRule="auto"/>
        <w:rPr>
          <w:rFonts w:ascii="Arial" w:hAnsi="Arial" w:cs="Arial"/>
          <w:sz w:val="20"/>
          <w:szCs w:val="20"/>
        </w:rPr>
      </w:pPr>
      <w:r w:rsidRPr="005256E8">
        <w:rPr>
          <w:rFonts w:ascii="Arial" w:hAnsi="Arial" w:cs="Arial"/>
          <w:sz w:val="20"/>
          <w:szCs w:val="20"/>
        </w:rPr>
        <w:t>Source: Space Shuttle Endeavour/ SRTM</w:t>
      </w:r>
    </w:p>
    <w:p w14:paraId="1A2356AE" w14:textId="51599A34" w:rsidR="000F6EB9" w:rsidRPr="005256E8" w:rsidRDefault="000F6EB9" w:rsidP="005256E8">
      <w:pPr>
        <w:spacing w:line="276" w:lineRule="auto"/>
        <w:rPr>
          <w:rFonts w:ascii="Arial" w:hAnsi="Arial" w:cs="Arial"/>
          <w:b/>
          <w:bCs/>
          <w:sz w:val="22"/>
          <w:szCs w:val="22"/>
        </w:rPr>
      </w:pPr>
      <w:r w:rsidRPr="005256E8">
        <w:rPr>
          <w:rFonts w:ascii="Arial" w:hAnsi="Arial" w:cs="Arial"/>
          <w:b/>
          <w:bCs/>
          <w:sz w:val="22"/>
          <w:szCs w:val="22"/>
        </w:rPr>
        <w:t>Table 1. Description of Data Sources</w:t>
      </w:r>
    </w:p>
    <w:tbl>
      <w:tblPr>
        <w:tblStyle w:val="TableGrid"/>
        <w:tblW w:w="5074" w:type="pct"/>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6"/>
        <w:gridCol w:w="1408"/>
        <w:gridCol w:w="1845"/>
        <w:gridCol w:w="1843"/>
        <w:gridCol w:w="849"/>
        <w:gridCol w:w="851"/>
        <w:gridCol w:w="1277"/>
      </w:tblGrid>
      <w:tr w:rsidR="000F6EB9" w:rsidRPr="005256E8" w14:paraId="49DD909C" w14:textId="77777777" w:rsidTr="00FF0DFA">
        <w:trPr>
          <w:trHeight w:val="681"/>
        </w:trPr>
        <w:tc>
          <w:tcPr>
            <w:tcW w:w="751" w:type="pct"/>
            <w:vAlign w:val="center"/>
          </w:tcPr>
          <w:p w14:paraId="0D562BE1"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DATA TYPE</w:t>
            </w:r>
          </w:p>
        </w:tc>
        <w:tc>
          <w:tcPr>
            <w:tcW w:w="741" w:type="pct"/>
            <w:vAlign w:val="center"/>
          </w:tcPr>
          <w:p w14:paraId="3DDE069E"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SATELLITE/SENSOR</w:t>
            </w:r>
          </w:p>
        </w:tc>
        <w:tc>
          <w:tcPr>
            <w:tcW w:w="971" w:type="pct"/>
            <w:vAlign w:val="center"/>
          </w:tcPr>
          <w:p w14:paraId="09B0B7DD" w14:textId="0177FFD9" w:rsidR="000F6EB9" w:rsidRPr="005256E8" w:rsidRDefault="000F6EB9" w:rsidP="000F6EB9">
            <w:pPr>
              <w:jc w:val="center"/>
              <w:rPr>
                <w:rFonts w:ascii="Arial" w:hAnsi="Arial" w:cs="Arial"/>
                <w:sz w:val="20"/>
                <w:szCs w:val="20"/>
              </w:rPr>
            </w:pPr>
            <w:r w:rsidRPr="005256E8">
              <w:rPr>
                <w:rFonts w:ascii="Arial" w:hAnsi="Arial" w:cs="Arial"/>
                <w:sz w:val="20"/>
                <w:szCs w:val="20"/>
              </w:rPr>
              <w:t>DATE OF ACQUISITION</w:t>
            </w:r>
          </w:p>
        </w:tc>
        <w:tc>
          <w:tcPr>
            <w:tcW w:w="970" w:type="pct"/>
            <w:vAlign w:val="center"/>
          </w:tcPr>
          <w:p w14:paraId="5B8A524E"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SPATIAL RESOLUTION</w:t>
            </w:r>
          </w:p>
        </w:tc>
        <w:tc>
          <w:tcPr>
            <w:tcW w:w="447" w:type="pct"/>
            <w:vAlign w:val="center"/>
          </w:tcPr>
          <w:p w14:paraId="64845CF1"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WRS</w:t>
            </w:r>
          </w:p>
          <w:p w14:paraId="44EE64E3" w14:textId="741E6AF7" w:rsidR="000F6EB9" w:rsidRPr="005256E8" w:rsidRDefault="000F6EB9" w:rsidP="000F6EB9">
            <w:pPr>
              <w:jc w:val="center"/>
              <w:rPr>
                <w:rFonts w:ascii="Arial" w:hAnsi="Arial" w:cs="Arial"/>
                <w:sz w:val="20"/>
                <w:szCs w:val="20"/>
              </w:rPr>
            </w:pPr>
            <w:r w:rsidRPr="005256E8">
              <w:rPr>
                <w:rFonts w:ascii="Arial" w:hAnsi="Arial" w:cs="Arial"/>
                <w:sz w:val="20"/>
                <w:szCs w:val="20"/>
              </w:rPr>
              <w:t>PATH</w:t>
            </w:r>
          </w:p>
        </w:tc>
        <w:tc>
          <w:tcPr>
            <w:tcW w:w="448" w:type="pct"/>
            <w:vAlign w:val="center"/>
          </w:tcPr>
          <w:p w14:paraId="08A1426B"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WRSROW</w:t>
            </w:r>
          </w:p>
        </w:tc>
        <w:tc>
          <w:tcPr>
            <w:tcW w:w="672" w:type="pct"/>
            <w:vAlign w:val="center"/>
          </w:tcPr>
          <w:p w14:paraId="2D7DB034"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SOURCE</w:t>
            </w:r>
          </w:p>
        </w:tc>
      </w:tr>
      <w:tr w:rsidR="000F6EB9" w:rsidRPr="005256E8" w14:paraId="75F676E3" w14:textId="77777777" w:rsidTr="00FF0DFA">
        <w:trPr>
          <w:trHeight w:val="305"/>
        </w:trPr>
        <w:tc>
          <w:tcPr>
            <w:tcW w:w="751" w:type="pct"/>
            <w:vAlign w:val="center"/>
          </w:tcPr>
          <w:p w14:paraId="540182B8"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Satellite Image</w:t>
            </w:r>
          </w:p>
        </w:tc>
        <w:tc>
          <w:tcPr>
            <w:tcW w:w="741" w:type="pct"/>
            <w:vAlign w:val="center"/>
          </w:tcPr>
          <w:p w14:paraId="5900A2B6"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Landsat 5 TM</w:t>
            </w:r>
          </w:p>
        </w:tc>
        <w:tc>
          <w:tcPr>
            <w:tcW w:w="971" w:type="pct"/>
            <w:vAlign w:val="center"/>
          </w:tcPr>
          <w:p w14:paraId="086F001B"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2001/03/23</w:t>
            </w:r>
          </w:p>
        </w:tc>
        <w:tc>
          <w:tcPr>
            <w:tcW w:w="970" w:type="pct"/>
            <w:vAlign w:val="center"/>
          </w:tcPr>
          <w:p w14:paraId="2563B313"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30m</w:t>
            </w:r>
          </w:p>
        </w:tc>
        <w:tc>
          <w:tcPr>
            <w:tcW w:w="447" w:type="pct"/>
            <w:vAlign w:val="center"/>
          </w:tcPr>
          <w:p w14:paraId="7CD99A4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148</w:t>
            </w:r>
          </w:p>
        </w:tc>
        <w:tc>
          <w:tcPr>
            <w:tcW w:w="448" w:type="pct"/>
            <w:vAlign w:val="center"/>
          </w:tcPr>
          <w:p w14:paraId="43003603"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038</w:t>
            </w:r>
          </w:p>
        </w:tc>
        <w:tc>
          <w:tcPr>
            <w:tcW w:w="672" w:type="pct"/>
            <w:vAlign w:val="center"/>
          </w:tcPr>
          <w:p w14:paraId="7A24EF1F"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USGS Earth Explorer</w:t>
            </w:r>
          </w:p>
        </w:tc>
      </w:tr>
      <w:tr w:rsidR="000F6EB9" w:rsidRPr="005256E8" w14:paraId="6FA52F82" w14:textId="77777777" w:rsidTr="00FF0DFA">
        <w:trPr>
          <w:trHeight w:val="305"/>
        </w:trPr>
        <w:tc>
          <w:tcPr>
            <w:tcW w:w="751" w:type="pct"/>
            <w:vAlign w:val="center"/>
          </w:tcPr>
          <w:p w14:paraId="0B3BE1C6"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Satellite Image</w:t>
            </w:r>
          </w:p>
        </w:tc>
        <w:tc>
          <w:tcPr>
            <w:tcW w:w="741" w:type="pct"/>
            <w:vAlign w:val="center"/>
          </w:tcPr>
          <w:p w14:paraId="13510D6C"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Landsat 8 OLI_TIRS</w:t>
            </w:r>
          </w:p>
        </w:tc>
        <w:tc>
          <w:tcPr>
            <w:tcW w:w="971" w:type="pct"/>
            <w:vAlign w:val="center"/>
          </w:tcPr>
          <w:p w14:paraId="277CAD52"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2021/12/25</w:t>
            </w:r>
          </w:p>
        </w:tc>
        <w:tc>
          <w:tcPr>
            <w:tcW w:w="970" w:type="pct"/>
            <w:vAlign w:val="center"/>
          </w:tcPr>
          <w:p w14:paraId="7511E86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30m</w:t>
            </w:r>
          </w:p>
        </w:tc>
        <w:tc>
          <w:tcPr>
            <w:tcW w:w="447" w:type="pct"/>
            <w:vAlign w:val="center"/>
          </w:tcPr>
          <w:p w14:paraId="4B0D6114"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148</w:t>
            </w:r>
          </w:p>
        </w:tc>
        <w:tc>
          <w:tcPr>
            <w:tcW w:w="448" w:type="pct"/>
            <w:vAlign w:val="center"/>
          </w:tcPr>
          <w:p w14:paraId="5B5215CE"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038</w:t>
            </w:r>
          </w:p>
        </w:tc>
        <w:tc>
          <w:tcPr>
            <w:tcW w:w="672" w:type="pct"/>
            <w:vAlign w:val="center"/>
          </w:tcPr>
          <w:p w14:paraId="771B5BFF"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USGS Earth Explorer</w:t>
            </w:r>
          </w:p>
        </w:tc>
      </w:tr>
      <w:tr w:rsidR="000F6EB9" w:rsidRPr="005256E8" w14:paraId="52A905F7" w14:textId="77777777" w:rsidTr="00FF0DFA">
        <w:trPr>
          <w:trHeight w:val="314"/>
        </w:trPr>
        <w:tc>
          <w:tcPr>
            <w:tcW w:w="751" w:type="pct"/>
            <w:vAlign w:val="center"/>
          </w:tcPr>
          <w:p w14:paraId="2F1C816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Administrative Boundary</w:t>
            </w:r>
          </w:p>
        </w:tc>
        <w:tc>
          <w:tcPr>
            <w:tcW w:w="741" w:type="pct"/>
            <w:vAlign w:val="center"/>
          </w:tcPr>
          <w:p w14:paraId="739CBA3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971" w:type="pct"/>
            <w:vAlign w:val="center"/>
          </w:tcPr>
          <w:p w14:paraId="5EA07E22"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970" w:type="pct"/>
            <w:vAlign w:val="center"/>
          </w:tcPr>
          <w:p w14:paraId="4E13DA5B"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447" w:type="pct"/>
            <w:vAlign w:val="center"/>
          </w:tcPr>
          <w:p w14:paraId="6AACC67F"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448" w:type="pct"/>
            <w:vAlign w:val="center"/>
          </w:tcPr>
          <w:p w14:paraId="0147F67E"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672" w:type="pct"/>
            <w:vAlign w:val="center"/>
          </w:tcPr>
          <w:p w14:paraId="40C7F90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Survey of India</w:t>
            </w:r>
          </w:p>
        </w:tc>
      </w:tr>
      <w:tr w:rsidR="002F4BE6" w:rsidRPr="005256E8" w14:paraId="041ADA11" w14:textId="77777777" w:rsidTr="00FF0DFA">
        <w:trPr>
          <w:trHeight w:val="314"/>
        </w:trPr>
        <w:tc>
          <w:tcPr>
            <w:tcW w:w="751" w:type="pct"/>
            <w:vAlign w:val="center"/>
          </w:tcPr>
          <w:p w14:paraId="37BF298C" w14:textId="224F1E1D" w:rsidR="002F4BE6" w:rsidRPr="005256E8" w:rsidRDefault="002F4BE6" w:rsidP="000F6EB9">
            <w:pPr>
              <w:jc w:val="center"/>
              <w:rPr>
                <w:rFonts w:ascii="Arial" w:hAnsi="Arial" w:cs="Arial"/>
                <w:sz w:val="20"/>
                <w:szCs w:val="20"/>
              </w:rPr>
            </w:pPr>
            <w:r w:rsidRPr="005256E8">
              <w:rPr>
                <w:rFonts w:ascii="Arial" w:hAnsi="Arial" w:cs="Arial"/>
                <w:sz w:val="20"/>
                <w:szCs w:val="20"/>
              </w:rPr>
              <w:t xml:space="preserve">DEM </w:t>
            </w:r>
          </w:p>
        </w:tc>
        <w:tc>
          <w:tcPr>
            <w:tcW w:w="741" w:type="pct"/>
            <w:vAlign w:val="center"/>
          </w:tcPr>
          <w:p w14:paraId="3BA9AB77" w14:textId="169D670C" w:rsidR="002F4BE6" w:rsidRPr="005256E8" w:rsidRDefault="002F4BE6" w:rsidP="000F6EB9">
            <w:pPr>
              <w:jc w:val="center"/>
              <w:rPr>
                <w:rFonts w:ascii="Arial" w:hAnsi="Arial" w:cs="Arial"/>
                <w:sz w:val="20"/>
                <w:szCs w:val="20"/>
              </w:rPr>
            </w:pPr>
            <w:r w:rsidRPr="005256E8">
              <w:rPr>
                <w:rFonts w:ascii="Arial" w:hAnsi="Arial" w:cs="Arial"/>
                <w:sz w:val="20"/>
                <w:szCs w:val="20"/>
              </w:rPr>
              <w:t>Space Shuttle Endeavour/ SRTM</w:t>
            </w:r>
          </w:p>
        </w:tc>
        <w:tc>
          <w:tcPr>
            <w:tcW w:w="971" w:type="pct"/>
            <w:vAlign w:val="center"/>
          </w:tcPr>
          <w:p w14:paraId="7723C945" w14:textId="34A8A44D" w:rsidR="002F4BE6" w:rsidRPr="005256E8" w:rsidRDefault="002F4BE6" w:rsidP="000F6EB9">
            <w:pPr>
              <w:jc w:val="center"/>
              <w:rPr>
                <w:rFonts w:ascii="Arial" w:hAnsi="Arial" w:cs="Arial"/>
                <w:sz w:val="20"/>
                <w:szCs w:val="20"/>
              </w:rPr>
            </w:pPr>
            <w:r w:rsidRPr="005256E8">
              <w:rPr>
                <w:rFonts w:ascii="Arial" w:hAnsi="Arial" w:cs="Arial"/>
                <w:sz w:val="20"/>
                <w:szCs w:val="20"/>
              </w:rPr>
              <w:t>2000/2/11</w:t>
            </w:r>
          </w:p>
        </w:tc>
        <w:tc>
          <w:tcPr>
            <w:tcW w:w="970" w:type="pct"/>
            <w:vAlign w:val="center"/>
          </w:tcPr>
          <w:p w14:paraId="32ED627D" w14:textId="49FDF9C4" w:rsidR="002F4BE6" w:rsidRPr="005256E8" w:rsidRDefault="002F4BE6" w:rsidP="000F6EB9">
            <w:pPr>
              <w:jc w:val="center"/>
              <w:rPr>
                <w:rFonts w:ascii="Arial" w:hAnsi="Arial" w:cs="Arial"/>
                <w:sz w:val="20"/>
                <w:szCs w:val="20"/>
              </w:rPr>
            </w:pPr>
            <w:r w:rsidRPr="005256E8">
              <w:rPr>
                <w:rFonts w:ascii="Arial" w:hAnsi="Arial" w:cs="Arial"/>
                <w:sz w:val="20"/>
                <w:szCs w:val="20"/>
              </w:rPr>
              <w:t>30m</w:t>
            </w:r>
          </w:p>
        </w:tc>
        <w:tc>
          <w:tcPr>
            <w:tcW w:w="447" w:type="pct"/>
            <w:vAlign w:val="center"/>
          </w:tcPr>
          <w:p w14:paraId="57E82A27" w14:textId="2F63AF8B" w:rsidR="002F4BE6" w:rsidRPr="005256E8" w:rsidRDefault="002F4BE6" w:rsidP="000F6EB9">
            <w:pPr>
              <w:jc w:val="center"/>
              <w:rPr>
                <w:rFonts w:ascii="Arial" w:hAnsi="Arial" w:cs="Arial"/>
                <w:sz w:val="20"/>
                <w:szCs w:val="20"/>
              </w:rPr>
            </w:pPr>
            <w:r w:rsidRPr="005256E8">
              <w:rPr>
                <w:rFonts w:ascii="Arial" w:hAnsi="Arial" w:cs="Arial"/>
                <w:sz w:val="20"/>
                <w:szCs w:val="20"/>
              </w:rPr>
              <w:t>-</w:t>
            </w:r>
          </w:p>
        </w:tc>
        <w:tc>
          <w:tcPr>
            <w:tcW w:w="448" w:type="pct"/>
            <w:vAlign w:val="center"/>
          </w:tcPr>
          <w:p w14:paraId="00A604B8" w14:textId="1E522B15" w:rsidR="002F4BE6" w:rsidRPr="005256E8" w:rsidRDefault="002F4BE6" w:rsidP="000F6EB9">
            <w:pPr>
              <w:jc w:val="center"/>
              <w:rPr>
                <w:rFonts w:ascii="Arial" w:hAnsi="Arial" w:cs="Arial"/>
                <w:sz w:val="20"/>
                <w:szCs w:val="20"/>
              </w:rPr>
            </w:pPr>
            <w:r w:rsidRPr="005256E8">
              <w:rPr>
                <w:rFonts w:ascii="Arial" w:hAnsi="Arial" w:cs="Arial"/>
                <w:sz w:val="20"/>
                <w:szCs w:val="20"/>
              </w:rPr>
              <w:t>-</w:t>
            </w:r>
          </w:p>
        </w:tc>
        <w:tc>
          <w:tcPr>
            <w:tcW w:w="672" w:type="pct"/>
            <w:vAlign w:val="center"/>
          </w:tcPr>
          <w:p w14:paraId="7C0FC58E" w14:textId="0B9AF042" w:rsidR="002F4BE6" w:rsidRPr="005256E8" w:rsidRDefault="002F4BE6" w:rsidP="000F6EB9">
            <w:pPr>
              <w:jc w:val="center"/>
              <w:rPr>
                <w:rFonts w:ascii="Arial" w:hAnsi="Arial" w:cs="Arial"/>
                <w:sz w:val="20"/>
                <w:szCs w:val="20"/>
              </w:rPr>
            </w:pPr>
            <w:r w:rsidRPr="005256E8">
              <w:rPr>
                <w:rFonts w:ascii="Arial" w:hAnsi="Arial" w:cs="Arial"/>
                <w:sz w:val="20"/>
                <w:szCs w:val="20"/>
              </w:rPr>
              <w:t>USGS Earth Explorer</w:t>
            </w:r>
          </w:p>
        </w:tc>
      </w:tr>
    </w:tbl>
    <w:p w14:paraId="48741C9C" w14:textId="77777777" w:rsidR="006E40F6" w:rsidRPr="005256E8" w:rsidRDefault="006E40F6" w:rsidP="00AF3DF4">
      <w:pPr>
        <w:spacing w:line="276" w:lineRule="auto"/>
        <w:jc w:val="both"/>
        <w:rPr>
          <w:rFonts w:ascii="Arial" w:hAnsi="Arial" w:cs="Arial"/>
          <w:sz w:val="20"/>
          <w:szCs w:val="20"/>
        </w:rPr>
      </w:pPr>
    </w:p>
    <w:p w14:paraId="36737E10" w14:textId="268BFAD4" w:rsidR="00AF3DF4" w:rsidRPr="005256E8" w:rsidRDefault="00AF3DF4" w:rsidP="00B11F21">
      <w:pPr>
        <w:spacing w:line="276" w:lineRule="auto"/>
        <w:ind w:firstLine="360"/>
        <w:jc w:val="both"/>
        <w:rPr>
          <w:rFonts w:ascii="Arial" w:hAnsi="Arial" w:cs="Arial"/>
          <w:sz w:val="20"/>
          <w:szCs w:val="20"/>
        </w:rPr>
      </w:pPr>
      <w:r w:rsidRPr="005256E8">
        <w:rPr>
          <w:rFonts w:ascii="Arial" w:hAnsi="Arial" w:cs="Arial"/>
          <w:sz w:val="20"/>
          <w:szCs w:val="20"/>
        </w:rPr>
        <w:t xml:space="preserve">The satellite imagery was supervised classified into major land use and land cover classes using the Maximum Likelihood Classification (MLC) algorithm. Based on visual interpretation of the imagery and </w:t>
      </w:r>
      <w:r w:rsidRPr="005256E8">
        <w:rPr>
          <w:rFonts w:ascii="Arial" w:hAnsi="Arial" w:cs="Arial"/>
          <w:sz w:val="20"/>
          <w:szCs w:val="20"/>
        </w:rPr>
        <w:lastRenderedPageBreak/>
        <w:t xml:space="preserve">reference data from Google Earth, training samples representing various land cover types were chosen. The five main LULC categories—agricultural land, built-up area, vegetation or forest cover, water bodies, and barren land—were applied to the classified photos. To determine the extent and spatial pattern of land-use transformation, a change-detection analysis was performed by comparing the LULC maps of 2001 and 2021 using GIS overlay techniques, after creating classified maps for both years. Using randomly generated reference points and an error matrix (confusion matrix), an accuracy assessment was conducted to evaluate the </w:t>
      </w:r>
      <w:r w:rsidR="005256E8">
        <w:rPr>
          <w:rFonts w:ascii="Arial" w:hAnsi="Arial" w:cs="Arial"/>
          <w:sz w:val="20"/>
          <w:szCs w:val="20"/>
        </w:rPr>
        <w:t>classification results' reliability</w:t>
      </w:r>
      <w:r w:rsidRPr="005256E8">
        <w:rPr>
          <w:rFonts w:ascii="Arial" w:hAnsi="Arial" w:cs="Arial"/>
          <w:sz w:val="20"/>
          <w:szCs w:val="20"/>
        </w:rPr>
        <w:t>. Several statistical metrics, such as overall accuracy, producer accuracy, and user accuracy, were computed from the confusion matrix.</w:t>
      </w:r>
      <w:r w:rsidR="00904B43" w:rsidRPr="005256E8">
        <w:rPr>
          <w:rFonts w:ascii="Arial" w:hAnsi="Arial" w:cs="Arial"/>
          <w:sz w:val="20"/>
          <w:szCs w:val="20"/>
        </w:rPr>
        <w:t xml:space="preserve"> </w:t>
      </w:r>
    </w:p>
    <w:p w14:paraId="3A4D228B" w14:textId="60D87F77" w:rsidR="007941F4" w:rsidRPr="005256E8" w:rsidRDefault="007941F4" w:rsidP="007941F4">
      <w:pPr>
        <w:pStyle w:val="ListParagraph"/>
        <w:numPr>
          <w:ilvl w:val="0"/>
          <w:numId w:val="2"/>
        </w:numPr>
        <w:spacing w:line="276" w:lineRule="auto"/>
        <w:rPr>
          <w:rFonts w:ascii="Arial" w:eastAsiaTheme="minorEastAsia" w:hAnsi="Arial" w:cs="Arial"/>
          <w:sz w:val="20"/>
          <w:szCs w:val="20"/>
        </w:rPr>
      </w:pPr>
      <w:r w:rsidRPr="005256E8">
        <w:rPr>
          <w:rFonts w:ascii="Arial" w:hAnsi="Arial" w:cs="Arial"/>
          <w:sz w:val="20"/>
          <w:szCs w:val="20"/>
        </w:rPr>
        <w:t xml:space="preserve">Overall Accuracy = </w:t>
      </w:r>
      <m:oMath>
        <m:f>
          <m:fPr>
            <m:ctrlPr>
              <w:rPr>
                <w:rFonts w:ascii="Cambria Math" w:hAnsi="Cambria Math" w:cs="Arial"/>
                <w:sz w:val="20"/>
                <w:szCs w:val="20"/>
              </w:rPr>
            </m:ctrlPr>
          </m:fPr>
          <m:num>
            <m:r>
              <w:rPr>
                <w:rFonts w:ascii="Cambria Math" w:hAnsi="Cambria Math" w:cs="Arial"/>
                <w:sz w:val="20"/>
                <w:szCs w:val="20"/>
              </w:rPr>
              <m:t>Correct pixels in class</m:t>
            </m:r>
          </m:num>
          <m:den>
            <m:r>
              <w:rPr>
                <w:rFonts w:ascii="Cambria Math" w:hAnsi="Cambria Math" w:cs="Arial"/>
                <w:sz w:val="20"/>
                <w:szCs w:val="20"/>
              </w:rPr>
              <m:t>Total Samples</m:t>
            </m:r>
          </m:den>
        </m:f>
        <m:r>
          <w:rPr>
            <w:rFonts w:ascii="Cambria Math" w:hAnsi="Cambria Math" w:cs="Arial"/>
            <w:sz w:val="20"/>
            <w:szCs w:val="20"/>
          </w:rPr>
          <m:t xml:space="preserve"> ×100</m:t>
        </m:r>
      </m:oMath>
    </w:p>
    <w:p w14:paraId="40D743A9" w14:textId="77777777" w:rsidR="007941F4" w:rsidRPr="005256E8" w:rsidRDefault="007941F4" w:rsidP="007941F4">
      <w:pPr>
        <w:spacing w:line="276" w:lineRule="auto"/>
        <w:jc w:val="center"/>
        <w:rPr>
          <w:rFonts w:ascii="Arial" w:eastAsiaTheme="minorEastAsia" w:hAnsi="Arial" w:cs="Arial"/>
          <w:sz w:val="20"/>
          <w:szCs w:val="20"/>
        </w:rPr>
      </w:pPr>
    </w:p>
    <w:p w14:paraId="514BA90D" w14:textId="61FA6EF3" w:rsidR="007941F4" w:rsidRPr="005256E8" w:rsidRDefault="007941F4" w:rsidP="007941F4">
      <w:pPr>
        <w:pStyle w:val="ListParagraph"/>
        <w:numPr>
          <w:ilvl w:val="0"/>
          <w:numId w:val="2"/>
        </w:numPr>
        <w:spacing w:line="276" w:lineRule="auto"/>
        <w:rPr>
          <w:rFonts w:ascii="Arial" w:eastAsiaTheme="minorEastAsia" w:hAnsi="Arial" w:cs="Arial"/>
          <w:sz w:val="20"/>
          <w:szCs w:val="20"/>
        </w:rPr>
      </w:pPr>
      <w:r w:rsidRPr="005256E8">
        <w:rPr>
          <w:rFonts w:ascii="Arial" w:eastAsiaTheme="minorEastAsia" w:hAnsi="Arial" w:cs="Arial"/>
          <w:sz w:val="20"/>
          <w:szCs w:val="20"/>
        </w:rPr>
        <w:t xml:space="preserve">Producer Accuracy = </w:t>
      </w:r>
      <m:oMath>
        <m:f>
          <m:fPr>
            <m:ctrlPr>
              <w:rPr>
                <w:rFonts w:ascii="Cambria Math" w:hAnsi="Cambria Math" w:cs="Arial"/>
                <w:sz w:val="20"/>
                <w:szCs w:val="20"/>
              </w:rPr>
            </m:ctrlPr>
          </m:fPr>
          <m:num>
            <m:r>
              <w:rPr>
                <w:rFonts w:ascii="Cambria Math" w:hAnsi="Cambria Math" w:cs="Arial"/>
                <w:sz w:val="20"/>
                <w:szCs w:val="20"/>
              </w:rPr>
              <m:t>Correct pixels in class</m:t>
            </m:r>
          </m:num>
          <m:den>
            <m:eqArr>
              <m:eqArrPr>
                <m:ctrlPr>
                  <w:rPr>
                    <w:rFonts w:ascii="Cambria Math" w:hAnsi="Cambria Math" w:cs="Arial"/>
                    <w:i/>
                    <w:sz w:val="20"/>
                    <w:szCs w:val="20"/>
                  </w:rPr>
                </m:ctrlPr>
              </m:eqArrPr>
              <m:e>
                <m:r>
                  <w:rPr>
                    <w:rFonts w:ascii="Cambria Math" w:hAnsi="Cambria Math" w:cs="Arial"/>
                    <w:sz w:val="20"/>
                    <w:szCs w:val="20"/>
                  </w:rPr>
                  <m:t xml:space="preserve">Total Refrences </m:t>
                </m:r>
              </m:e>
              <m:e>
                <m:r>
                  <w:rPr>
                    <w:rFonts w:ascii="Cambria Math" w:hAnsi="Cambria Math" w:cs="Arial"/>
                    <w:sz w:val="20"/>
                    <w:szCs w:val="20"/>
                  </w:rPr>
                  <m:t>Pixels of that class</m:t>
                </m:r>
              </m:e>
            </m:eqArr>
          </m:den>
        </m:f>
        <m:r>
          <w:rPr>
            <w:rFonts w:ascii="Cambria Math" w:hAnsi="Cambria Math" w:cs="Arial"/>
            <w:sz w:val="20"/>
            <w:szCs w:val="20"/>
          </w:rPr>
          <m:t xml:space="preserve"> </m:t>
        </m:r>
      </m:oMath>
    </w:p>
    <w:p w14:paraId="47EE4DD3" w14:textId="77777777" w:rsidR="007941F4" w:rsidRPr="005256E8" w:rsidRDefault="007941F4" w:rsidP="007941F4">
      <w:pPr>
        <w:spacing w:line="276" w:lineRule="auto"/>
        <w:jc w:val="center"/>
        <w:rPr>
          <w:rFonts w:ascii="Arial" w:eastAsiaTheme="minorEastAsia" w:hAnsi="Arial" w:cs="Arial"/>
          <w:sz w:val="20"/>
          <w:szCs w:val="20"/>
        </w:rPr>
      </w:pPr>
    </w:p>
    <w:p w14:paraId="2F32FF14" w14:textId="611C3D52" w:rsidR="007941F4" w:rsidRPr="005256E8" w:rsidRDefault="007941F4" w:rsidP="007941F4">
      <w:pPr>
        <w:pStyle w:val="ListParagraph"/>
        <w:numPr>
          <w:ilvl w:val="0"/>
          <w:numId w:val="2"/>
        </w:numPr>
        <w:spacing w:line="276" w:lineRule="auto"/>
        <w:rPr>
          <w:rFonts w:ascii="Arial" w:eastAsiaTheme="minorEastAsia" w:hAnsi="Arial" w:cs="Arial"/>
          <w:sz w:val="20"/>
          <w:szCs w:val="20"/>
        </w:rPr>
      </w:pPr>
      <w:r w:rsidRPr="005256E8">
        <w:rPr>
          <w:rFonts w:ascii="Arial" w:eastAsiaTheme="minorEastAsia" w:hAnsi="Arial" w:cs="Arial"/>
          <w:sz w:val="20"/>
          <w:szCs w:val="20"/>
        </w:rPr>
        <w:t xml:space="preserve">User Accuracy = </w:t>
      </w:r>
      <m:oMath>
        <m:f>
          <m:fPr>
            <m:ctrlPr>
              <w:rPr>
                <w:rFonts w:ascii="Cambria Math" w:hAnsi="Cambria Math" w:cs="Arial"/>
                <w:sz w:val="20"/>
                <w:szCs w:val="20"/>
              </w:rPr>
            </m:ctrlPr>
          </m:fPr>
          <m:num>
            <m:r>
              <w:rPr>
                <w:rFonts w:ascii="Cambria Math" w:hAnsi="Cambria Math" w:cs="Arial"/>
                <w:sz w:val="20"/>
                <w:szCs w:val="20"/>
              </w:rPr>
              <m:t>Correct pixels in class</m:t>
            </m:r>
          </m:num>
          <m:den>
            <m:eqArr>
              <m:eqArrPr>
                <m:ctrlPr>
                  <w:rPr>
                    <w:rFonts w:ascii="Cambria Math" w:hAnsi="Cambria Math" w:cs="Arial"/>
                    <w:i/>
                    <w:sz w:val="20"/>
                    <w:szCs w:val="20"/>
                  </w:rPr>
                </m:ctrlPr>
              </m:eqArrPr>
              <m:e>
                <m:r>
                  <w:rPr>
                    <w:rFonts w:ascii="Cambria Math" w:hAnsi="Cambria Math" w:cs="Arial"/>
                    <w:sz w:val="20"/>
                    <w:szCs w:val="20"/>
                  </w:rPr>
                  <m:t>Total Classified</m:t>
                </m:r>
              </m:e>
              <m:e>
                <m:r>
                  <w:rPr>
                    <w:rFonts w:ascii="Cambria Math" w:hAnsi="Cambria Math" w:cs="Arial"/>
                    <w:sz w:val="20"/>
                    <w:szCs w:val="20"/>
                  </w:rPr>
                  <m:t>Pixels of that class</m:t>
                </m:r>
              </m:e>
            </m:eqArr>
          </m:den>
        </m:f>
      </m:oMath>
    </w:p>
    <w:p w14:paraId="23C17DF0" w14:textId="45FF5E37" w:rsidR="00AE6024" w:rsidRPr="005256E8" w:rsidRDefault="007941F4" w:rsidP="00AF3DF4">
      <w:pPr>
        <w:spacing w:line="276" w:lineRule="auto"/>
        <w:jc w:val="both"/>
        <w:rPr>
          <w:rFonts w:ascii="Arial" w:hAnsi="Arial" w:cs="Arial"/>
          <w:sz w:val="20"/>
          <w:szCs w:val="20"/>
          <w:vertAlign w:val="subscript"/>
        </w:rPr>
      </w:pPr>
      <w:r w:rsidRPr="005256E8">
        <w:rPr>
          <w:rFonts w:ascii="Arial" w:hAnsi="Arial" w:cs="Arial"/>
          <w:sz w:val="20"/>
          <w:szCs w:val="20"/>
        </w:rPr>
        <w:t xml:space="preserve">To </w:t>
      </w:r>
      <w:r w:rsidR="00AE6024" w:rsidRPr="005256E8">
        <w:rPr>
          <w:rFonts w:ascii="Arial" w:hAnsi="Arial" w:cs="Arial"/>
          <w:sz w:val="20"/>
          <w:szCs w:val="20"/>
        </w:rPr>
        <w:t xml:space="preserve">determine the degree of agreement between the classified and reference data while accounting for chance agreement, the Kappa coefficient (KHAT statistic) was also calculated. The Kappa coefficient is expressed as </w:t>
      </w:r>
    </w:p>
    <w:p w14:paraId="3CA54E51" w14:textId="47FC8554" w:rsidR="00B11F21" w:rsidRPr="005256E8" w:rsidRDefault="007941F4" w:rsidP="005A67CF">
      <w:pPr>
        <w:spacing w:line="276" w:lineRule="auto"/>
        <w:jc w:val="center"/>
        <w:rPr>
          <w:rFonts w:ascii="Arial" w:eastAsiaTheme="minorEastAsia" w:hAnsi="Arial" w:cs="Arial"/>
          <w:sz w:val="20"/>
          <w:szCs w:val="20"/>
        </w:rPr>
      </w:pPr>
      <w:r w:rsidRPr="005256E8">
        <w:rPr>
          <w:rFonts w:ascii="Arial" w:hAnsi="Arial" w:cs="Arial"/>
          <w:sz w:val="20"/>
          <w:szCs w:val="20"/>
        </w:rPr>
        <w:t>Kappa Coefficient</w:t>
      </w:r>
      <w:r w:rsidR="00711B19" w:rsidRPr="005256E8">
        <w:rPr>
          <w:rFonts w:ascii="Arial" w:hAnsi="Arial" w:cs="Arial"/>
          <w:sz w:val="20"/>
          <w:szCs w:val="20"/>
        </w:rPr>
        <w:t xml:space="preserve"> (K)</w:t>
      </w:r>
      <w:r w:rsidRPr="005256E8">
        <w:rPr>
          <w:rFonts w:ascii="Arial" w:hAnsi="Arial" w:cs="Arial"/>
          <w:sz w:val="20"/>
          <w:szCs w:val="20"/>
        </w:rPr>
        <w:t xml:space="preserve"> = </w:t>
      </w:r>
      <m:oMath>
        <m:f>
          <m:fPr>
            <m:ctrlPr>
              <w:rPr>
                <w:rFonts w:ascii="Cambria Math" w:hAnsi="Cambria Math" w:cs="Arial"/>
                <w:sz w:val="20"/>
                <w:szCs w:val="20"/>
              </w:rPr>
            </m:ctrlPr>
          </m:fPr>
          <m:num>
            <m:r>
              <w:rPr>
                <w:rFonts w:ascii="Cambria Math" w:hAnsi="Cambria Math" w:cs="Arial"/>
                <w:sz w:val="20"/>
                <w:szCs w:val="20"/>
              </w:rPr>
              <m:t>(Po​-Pe​)</m:t>
            </m:r>
          </m:num>
          <m:den>
            <m:r>
              <w:rPr>
                <w:rFonts w:ascii="Cambria Math" w:hAnsi="Cambria Math" w:cs="Arial"/>
                <w:sz w:val="20"/>
                <w:szCs w:val="20"/>
              </w:rPr>
              <m:t>1-Pe</m:t>
            </m:r>
          </m:den>
        </m:f>
      </m:oMath>
    </w:p>
    <w:p w14:paraId="5327FF4C" w14:textId="5E840204" w:rsidR="0021389C" w:rsidRPr="005256E8" w:rsidRDefault="00B11F21" w:rsidP="006E4DE5">
      <w:pPr>
        <w:spacing w:line="276" w:lineRule="auto"/>
        <w:rPr>
          <w:rFonts w:ascii="Arial" w:hAnsi="Arial" w:cs="Arial"/>
          <w:b/>
          <w:bCs/>
          <w:sz w:val="22"/>
          <w:szCs w:val="22"/>
        </w:rPr>
      </w:pPr>
      <w:r w:rsidRPr="005256E8">
        <w:rPr>
          <w:rFonts w:ascii="Arial" w:hAnsi="Arial" w:cs="Arial"/>
          <w:b/>
          <w:bCs/>
          <w:sz w:val="22"/>
          <w:szCs w:val="22"/>
        </w:rPr>
        <w:t xml:space="preserve">RESULTS AND DISCUSSION </w:t>
      </w:r>
    </w:p>
    <w:p w14:paraId="064659E0" w14:textId="5CAC032D" w:rsidR="00A35A54" w:rsidRPr="005256E8" w:rsidRDefault="00A35A54" w:rsidP="00BD4C68">
      <w:pPr>
        <w:spacing w:after="0" w:line="276" w:lineRule="auto"/>
        <w:rPr>
          <w:rFonts w:ascii="Arial" w:hAnsi="Arial" w:cs="Arial"/>
          <w:b/>
          <w:bCs/>
          <w:sz w:val="22"/>
          <w:szCs w:val="22"/>
        </w:rPr>
      </w:pPr>
      <w:r w:rsidRPr="005256E8">
        <w:rPr>
          <w:rFonts w:ascii="Arial" w:hAnsi="Arial" w:cs="Arial"/>
          <w:b/>
          <w:bCs/>
          <w:sz w:val="22"/>
          <w:szCs w:val="22"/>
        </w:rPr>
        <w:t>Land Use Land Cover Pattern in 2001</w:t>
      </w:r>
    </w:p>
    <w:p w14:paraId="6952088D" w14:textId="77777777" w:rsidR="0092314E" w:rsidRPr="005256E8" w:rsidRDefault="0092314E" w:rsidP="00BD4C68">
      <w:pPr>
        <w:spacing w:after="0" w:line="276" w:lineRule="auto"/>
        <w:ind w:firstLine="720"/>
        <w:jc w:val="both"/>
        <w:rPr>
          <w:rFonts w:ascii="Arial" w:hAnsi="Arial" w:cs="Arial"/>
          <w:sz w:val="20"/>
          <w:szCs w:val="20"/>
        </w:rPr>
      </w:pPr>
      <w:r w:rsidRPr="005256E8">
        <w:rPr>
          <w:rFonts w:ascii="Arial" w:hAnsi="Arial" w:cs="Arial"/>
          <w:sz w:val="20"/>
          <w:szCs w:val="20"/>
        </w:rPr>
        <w:t>To study the LULC of Jalandhar in 2001, a map was prepared from a LANDSAT 5 (TM) satellite image. The five main LULC categories in Jalandhar district—water bodies, built-up area, barren land, forest/vegetation, and cultivated land—are represented on the classified map</w:t>
      </w:r>
    </w:p>
    <w:p w14:paraId="7D3596FD" w14:textId="5CF220A0" w:rsidR="0092314E" w:rsidRDefault="0092314E" w:rsidP="00B11F21">
      <w:pPr>
        <w:spacing w:line="276" w:lineRule="auto"/>
        <w:ind w:firstLine="720"/>
        <w:jc w:val="both"/>
        <w:rPr>
          <w:rFonts w:ascii="Arial" w:hAnsi="Arial" w:cs="Arial"/>
          <w:sz w:val="20"/>
          <w:szCs w:val="20"/>
        </w:rPr>
      </w:pPr>
      <w:r w:rsidRPr="005256E8">
        <w:rPr>
          <w:rFonts w:ascii="Arial" w:hAnsi="Arial" w:cs="Arial"/>
          <w:sz w:val="20"/>
          <w:szCs w:val="20"/>
        </w:rPr>
        <w:t>According to the analysis, 2,177,877 units of land, or 74.54% of the district's total area, were under cultivation in 2001, dominating the Jalandhar district's landscape. The district's agrarian nature, in which agriculture underpins the local economy, is reflected in the predominance of agricultural land. A continuous agricultural landscape is formed by the extensive distribution of cultivated land in the district's central, southern, and western regions.</w:t>
      </w:r>
      <w:r w:rsidR="00B11F21" w:rsidRPr="005256E8">
        <w:rPr>
          <w:rFonts w:ascii="Arial" w:hAnsi="Arial" w:cs="Arial"/>
          <w:sz w:val="20"/>
          <w:szCs w:val="20"/>
        </w:rPr>
        <w:t xml:space="preserve"> </w:t>
      </w:r>
      <w:r w:rsidRPr="005256E8">
        <w:rPr>
          <w:rFonts w:ascii="Arial" w:hAnsi="Arial" w:cs="Arial"/>
          <w:sz w:val="20"/>
          <w:szCs w:val="20"/>
        </w:rPr>
        <w:t>The built-up area accounted for the second-largest share, at 539,940 units, or 18.48% of the total area. The urban center of Jalandhar and the nearby towns accounted for the majority of these built-up areas. Along important transit routes and rural communities, smaller areas of developed land were also noted. 11,472 units, or 3.82% of the total area, were covered by forests and vegetation. Rather than dense natural forests, the district's forest cover is primarily made up of dispersed vegetation patches, plantation belts, and tree cover along roads and canals.</w:t>
      </w:r>
      <w:r w:rsidR="00B11F21" w:rsidRPr="005256E8">
        <w:rPr>
          <w:rFonts w:ascii="Arial" w:hAnsi="Arial" w:cs="Arial"/>
          <w:sz w:val="20"/>
          <w:szCs w:val="20"/>
        </w:rPr>
        <w:t xml:space="preserve"> </w:t>
      </w:r>
      <w:r w:rsidRPr="005256E8">
        <w:rPr>
          <w:rFonts w:ascii="Arial" w:hAnsi="Arial" w:cs="Arial"/>
          <w:sz w:val="20"/>
          <w:szCs w:val="20"/>
        </w:rPr>
        <w:t>Barren land accounted for 93,527 units, or 3.20% of the entire geographical area, which was covered by these areas. These areas are scattered throughout the district in small patches and include open land, fallow land, and uncultivated surfaces. With 7,426 units, or just 0.25% of the total area, the water bodies occupied the least space. These bodies of water are primarily rivers, irrigation canals, and small ponds, all of which are crucial to the region's agricultural system.</w:t>
      </w:r>
      <w:r w:rsidR="00B11F21" w:rsidRPr="005256E8">
        <w:rPr>
          <w:rFonts w:ascii="Arial" w:hAnsi="Arial" w:cs="Arial"/>
          <w:sz w:val="20"/>
          <w:szCs w:val="20"/>
        </w:rPr>
        <w:t xml:space="preserve"> </w:t>
      </w:r>
      <w:r w:rsidRPr="005256E8">
        <w:rPr>
          <w:rFonts w:ascii="Arial" w:hAnsi="Arial" w:cs="Arial"/>
          <w:sz w:val="20"/>
          <w:szCs w:val="20"/>
        </w:rPr>
        <w:t>According to the district's 2001 LULC map, agricultural land predominated, with comparatively little urban development and tiny areas of other land cover types.</w:t>
      </w:r>
    </w:p>
    <w:p w14:paraId="1F4A1C92" w14:textId="77777777" w:rsidR="00AE5724" w:rsidRDefault="00AE5724" w:rsidP="00B11F21">
      <w:pPr>
        <w:spacing w:line="276" w:lineRule="auto"/>
        <w:ind w:firstLine="720"/>
        <w:jc w:val="both"/>
        <w:rPr>
          <w:rFonts w:ascii="Arial" w:hAnsi="Arial" w:cs="Arial"/>
          <w:sz w:val="20"/>
          <w:szCs w:val="20"/>
        </w:rPr>
      </w:pPr>
    </w:p>
    <w:p w14:paraId="47E2B2D4" w14:textId="77777777" w:rsidR="00AE5724" w:rsidRPr="005256E8" w:rsidRDefault="00AE5724" w:rsidP="00B11F21">
      <w:pPr>
        <w:spacing w:line="276" w:lineRule="auto"/>
        <w:ind w:firstLine="720"/>
        <w:jc w:val="both"/>
        <w:rPr>
          <w:rFonts w:ascii="Arial" w:hAnsi="Arial" w:cs="Arial"/>
          <w:sz w:val="20"/>
          <w:szCs w:val="20"/>
        </w:rPr>
      </w:pPr>
    </w:p>
    <w:p w14:paraId="249E3846" w14:textId="4B69F544" w:rsidR="00FD79C0" w:rsidRPr="005256E8" w:rsidRDefault="00363668" w:rsidP="0007658C">
      <w:pPr>
        <w:spacing w:after="0" w:line="276" w:lineRule="auto"/>
        <w:rPr>
          <w:rFonts w:ascii="Arial" w:hAnsi="Arial" w:cs="Arial"/>
          <w:sz w:val="20"/>
          <w:szCs w:val="20"/>
        </w:rPr>
      </w:pPr>
      <w:r w:rsidRPr="005256E8">
        <w:rPr>
          <w:rFonts w:ascii="Arial" w:hAnsi="Arial" w:cs="Arial"/>
          <w:sz w:val="20"/>
          <w:szCs w:val="20"/>
        </w:rPr>
        <w:t>Fig: 3</w:t>
      </w:r>
      <w:r w:rsidR="0007658C">
        <w:rPr>
          <w:rFonts w:ascii="Arial" w:hAnsi="Arial" w:cs="Arial"/>
          <w:sz w:val="20"/>
          <w:szCs w:val="20"/>
        </w:rPr>
        <w:t xml:space="preserve">: Land Use and Land Cover in </w:t>
      </w:r>
      <w:r w:rsidR="0007658C" w:rsidRPr="005256E8">
        <w:rPr>
          <w:rFonts w:ascii="Arial" w:hAnsi="Arial" w:cs="Arial"/>
          <w:sz w:val="20"/>
          <w:szCs w:val="20"/>
        </w:rPr>
        <w:t>Jala</w:t>
      </w:r>
      <w:r w:rsidR="003C57FC">
        <w:rPr>
          <w:rFonts w:ascii="Arial" w:hAnsi="Arial" w:cs="Arial"/>
          <w:sz w:val="20"/>
          <w:szCs w:val="20"/>
        </w:rPr>
        <w:t>n</w:t>
      </w:r>
      <w:r w:rsidR="0007658C" w:rsidRPr="005256E8">
        <w:rPr>
          <w:rFonts w:ascii="Arial" w:hAnsi="Arial" w:cs="Arial"/>
          <w:sz w:val="20"/>
          <w:szCs w:val="20"/>
        </w:rPr>
        <w:t xml:space="preserve">dhar district </w:t>
      </w:r>
      <w:r w:rsidR="003C57FC">
        <w:rPr>
          <w:rFonts w:ascii="Arial" w:hAnsi="Arial" w:cs="Arial"/>
          <w:sz w:val="20"/>
          <w:szCs w:val="20"/>
        </w:rPr>
        <w:t>in 2001</w:t>
      </w:r>
    </w:p>
    <w:p w14:paraId="7B777D91" w14:textId="2BC1B802" w:rsidR="00FD79C0" w:rsidRPr="005256E8" w:rsidRDefault="00C336DF" w:rsidP="00FD79C0">
      <w:pPr>
        <w:spacing w:after="0" w:line="276" w:lineRule="auto"/>
        <w:rPr>
          <w:rFonts w:ascii="Arial" w:hAnsi="Arial" w:cs="Arial"/>
          <w:sz w:val="20"/>
          <w:szCs w:val="20"/>
        </w:rPr>
      </w:pPr>
      <w:r w:rsidRPr="005256E8">
        <w:rPr>
          <w:rFonts w:ascii="Arial" w:hAnsi="Arial" w:cs="Arial"/>
          <w:noProof/>
          <w:sz w:val="20"/>
          <w:szCs w:val="20"/>
        </w:rPr>
        <w:drawing>
          <wp:inline distT="0" distB="0" distL="0" distR="0" wp14:anchorId="41BCE577" wp14:editId="390F39A5">
            <wp:extent cx="5875867" cy="4154539"/>
            <wp:effectExtent l="0" t="0" r="0" b="0"/>
            <wp:docPr id="594397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7738" name="Picture 5943977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6809" cy="4155205"/>
                    </a:xfrm>
                    <a:prstGeom prst="rect">
                      <a:avLst/>
                    </a:prstGeom>
                  </pic:spPr>
                </pic:pic>
              </a:graphicData>
            </a:graphic>
          </wp:inline>
        </w:drawing>
      </w:r>
    </w:p>
    <w:p w14:paraId="15EB991B" w14:textId="1A21928F" w:rsidR="00FD79C0" w:rsidRDefault="00FD79C0" w:rsidP="00FD79C0">
      <w:pPr>
        <w:spacing w:after="0" w:line="276" w:lineRule="auto"/>
        <w:rPr>
          <w:rFonts w:ascii="Arial" w:hAnsi="Arial" w:cs="Arial"/>
          <w:sz w:val="20"/>
          <w:szCs w:val="20"/>
        </w:rPr>
      </w:pPr>
      <w:r w:rsidRPr="005256E8">
        <w:rPr>
          <w:rFonts w:ascii="Arial" w:hAnsi="Arial" w:cs="Arial"/>
          <w:sz w:val="20"/>
          <w:szCs w:val="20"/>
        </w:rPr>
        <w:t>Source: Landsat 5 TM</w:t>
      </w:r>
    </w:p>
    <w:p w14:paraId="5D5867C5" w14:textId="77777777" w:rsidR="00AE5724" w:rsidRDefault="00AE5724" w:rsidP="00FD79C0">
      <w:pPr>
        <w:spacing w:after="0" w:line="276" w:lineRule="auto"/>
        <w:rPr>
          <w:rFonts w:ascii="Arial" w:hAnsi="Arial" w:cs="Arial"/>
          <w:sz w:val="20"/>
          <w:szCs w:val="20"/>
        </w:rPr>
      </w:pPr>
    </w:p>
    <w:p w14:paraId="7105CCF1" w14:textId="77777777" w:rsidR="00AE5724" w:rsidRPr="005256E8" w:rsidRDefault="00AE5724" w:rsidP="00AE5724">
      <w:pPr>
        <w:spacing w:after="0" w:line="276" w:lineRule="auto"/>
        <w:rPr>
          <w:rFonts w:ascii="Arial" w:hAnsi="Arial" w:cs="Arial"/>
          <w:b/>
          <w:bCs/>
          <w:sz w:val="22"/>
          <w:szCs w:val="22"/>
        </w:rPr>
      </w:pPr>
      <w:r w:rsidRPr="005256E8">
        <w:rPr>
          <w:rFonts w:ascii="Arial" w:hAnsi="Arial" w:cs="Arial"/>
          <w:b/>
          <w:bCs/>
          <w:sz w:val="22"/>
          <w:szCs w:val="22"/>
        </w:rPr>
        <w:t>Land Use Land Cover Pattern in 2021</w:t>
      </w:r>
    </w:p>
    <w:p w14:paraId="34E5DAC0" w14:textId="11B45A26" w:rsidR="00AE5724" w:rsidRDefault="00AE5724" w:rsidP="00AE5724">
      <w:pPr>
        <w:spacing w:after="0" w:line="276" w:lineRule="auto"/>
        <w:ind w:firstLine="720"/>
        <w:jc w:val="both"/>
        <w:rPr>
          <w:rFonts w:ascii="Arial" w:hAnsi="Arial" w:cs="Arial"/>
          <w:sz w:val="20"/>
          <w:szCs w:val="20"/>
        </w:rPr>
      </w:pPr>
      <w:r w:rsidRPr="005256E8">
        <w:rPr>
          <w:rFonts w:ascii="Arial" w:hAnsi="Arial" w:cs="Arial"/>
          <w:sz w:val="20"/>
          <w:szCs w:val="20"/>
        </w:rPr>
        <w:t xml:space="preserve">Landsat-8 OLI/TIRS imagery acquired on November 25, 2021, was used to create the LULC map for that year. Compared with 2001, the classified map shows discernible shifts in the spatial distribution of land use categories. </w:t>
      </w:r>
    </w:p>
    <w:p w14:paraId="27DC0193" w14:textId="77777777" w:rsidR="00AE5724" w:rsidRDefault="00AE5724" w:rsidP="00AE5724">
      <w:pPr>
        <w:spacing w:after="0" w:line="276" w:lineRule="auto"/>
        <w:ind w:firstLine="720"/>
        <w:jc w:val="both"/>
        <w:rPr>
          <w:rFonts w:ascii="Arial" w:hAnsi="Arial" w:cs="Arial"/>
          <w:sz w:val="20"/>
          <w:szCs w:val="20"/>
        </w:rPr>
      </w:pPr>
      <w:r w:rsidRPr="005256E8">
        <w:rPr>
          <w:rFonts w:ascii="Arial" w:hAnsi="Arial" w:cs="Arial"/>
          <w:sz w:val="20"/>
          <w:szCs w:val="20"/>
        </w:rPr>
        <w:t xml:space="preserve">It is revealed that cultivated land still dominates the landscape, covering 2,141,396 units of area, or 73.29 percent of the total area. Despite agricultural land being the largest land-use category in the district, its area has reduced marginally over the study period. </w:t>
      </w:r>
    </w:p>
    <w:p w14:paraId="1C91AC33" w14:textId="35B625FC" w:rsidR="00AE5724" w:rsidRPr="005256E8" w:rsidRDefault="00AE5724" w:rsidP="00AE5724">
      <w:pPr>
        <w:spacing w:after="0" w:line="276" w:lineRule="auto"/>
        <w:ind w:firstLine="720"/>
        <w:jc w:val="both"/>
        <w:rPr>
          <w:rFonts w:ascii="Arial" w:hAnsi="Arial" w:cs="Arial"/>
          <w:sz w:val="20"/>
          <w:szCs w:val="20"/>
        </w:rPr>
      </w:pPr>
      <w:r w:rsidRPr="005256E8">
        <w:rPr>
          <w:rFonts w:ascii="Arial" w:hAnsi="Arial" w:cs="Arial"/>
          <w:sz w:val="20"/>
          <w:szCs w:val="20"/>
        </w:rPr>
        <w:t xml:space="preserve">In 2021, the built-up area rose sharply to 622,010 units, accounting for 21.29% of the total area. The overall growth of the urbanized land is predominantly concentrated around Jalandhar city and the peri-urban areas. This increase is a sign of high urbanization, population growth, and infrastructure development in the district over the last 20 years. This forest and vegetation cover </w:t>
      </w:r>
      <w:proofErr w:type="gramStart"/>
      <w:r w:rsidRPr="005256E8">
        <w:rPr>
          <w:rFonts w:ascii="Arial" w:hAnsi="Arial" w:cs="Arial"/>
          <w:sz w:val="20"/>
          <w:szCs w:val="20"/>
        </w:rPr>
        <w:t>occupies</w:t>
      </w:r>
      <w:proofErr w:type="gramEnd"/>
      <w:r w:rsidRPr="005256E8">
        <w:rPr>
          <w:rFonts w:ascii="Arial" w:hAnsi="Arial" w:cs="Arial"/>
          <w:sz w:val="20"/>
          <w:szCs w:val="20"/>
        </w:rPr>
        <w:t xml:space="preserve"> 112969 units of area, which is 3.87% of the total geographical area. The vegetation is still patchy, largely restricted to plantation belts, canal banks, and scattered green patches throughout the district. In 2021, the barren land recorded a low of 39,967 units, comprising 1.37% of the total area. The decrease in idle land could also be explained by the conversion of previously unused land to agricultural or civilized land. The water bodies cover 5,300 units of area, constituting 0.18% of the overall area, indicating a slight change from the previous period. In general, the LULC trend in 2021 is characterized by the growing role of urbanization and human activity, particularly the development of built-up areas on former agricultural and barren land.</w:t>
      </w:r>
    </w:p>
    <w:p w14:paraId="064D7FC9" w14:textId="77777777" w:rsidR="00AE5724" w:rsidRDefault="00AE5724" w:rsidP="00FD79C0">
      <w:pPr>
        <w:spacing w:after="0" w:line="276" w:lineRule="auto"/>
        <w:rPr>
          <w:rFonts w:ascii="Arial" w:hAnsi="Arial" w:cs="Arial"/>
          <w:sz w:val="20"/>
          <w:szCs w:val="20"/>
        </w:rPr>
      </w:pPr>
    </w:p>
    <w:p w14:paraId="42FBB00F" w14:textId="77777777" w:rsidR="00AE5724" w:rsidRDefault="00AE5724" w:rsidP="00FD79C0">
      <w:pPr>
        <w:spacing w:after="0" w:line="276" w:lineRule="auto"/>
        <w:rPr>
          <w:rFonts w:ascii="Arial" w:hAnsi="Arial" w:cs="Arial"/>
          <w:sz w:val="20"/>
          <w:szCs w:val="20"/>
        </w:rPr>
      </w:pPr>
    </w:p>
    <w:p w14:paraId="121E7689" w14:textId="77777777" w:rsidR="00AE5724" w:rsidRPr="005256E8" w:rsidRDefault="00AE5724" w:rsidP="00FD79C0">
      <w:pPr>
        <w:spacing w:after="0" w:line="276" w:lineRule="auto"/>
        <w:rPr>
          <w:rFonts w:ascii="Arial" w:hAnsi="Arial" w:cs="Arial"/>
          <w:sz w:val="20"/>
          <w:szCs w:val="20"/>
        </w:rPr>
      </w:pPr>
    </w:p>
    <w:p w14:paraId="3B854E86" w14:textId="4A72A83A" w:rsidR="00FD79C0" w:rsidRPr="005256E8" w:rsidRDefault="00FD79C0" w:rsidP="003C57FC">
      <w:pPr>
        <w:spacing w:after="0" w:line="276" w:lineRule="auto"/>
        <w:rPr>
          <w:rFonts w:ascii="Arial" w:hAnsi="Arial" w:cs="Arial"/>
          <w:sz w:val="20"/>
          <w:szCs w:val="20"/>
        </w:rPr>
      </w:pPr>
      <w:r w:rsidRPr="005256E8">
        <w:rPr>
          <w:rFonts w:ascii="Arial" w:hAnsi="Arial" w:cs="Arial"/>
          <w:sz w:val="20"/>
          <w:szCs w:val="20"/>
        </w:rPr>
        <w:t>Fig: 4</w:t>
      </w:r>
      <w:r w:rsidR="003C57FC">
        <w:rPr>
          <w:rFonts w:ascii="Arial" w:hAnsi="Arial" w:cs="Arial"/>
          <w:sz w:val="20"/>
          <w:szCs w:val="20"/>
        </w:rPr>
        <w:t xml:space="preserve">: Land Use and Land Cover in </w:t>
      </w:r>
      <w:r w:rsidR="003C57FC" w:rsidRPr="005256E8">
        <w:rPr>
          <w:rFonts w:ascii="Arial" w:hAnsi="Arial" w:cs="Arial"/>
          <w:sz w:val="20"/>
          <w:szCs w:val="20"/>
        </w:rPr>
        <w:t>Jala</w:t>
      </w:r>
      <w:r w:rsidR="003C57FC">
        <w:rPr>
          <w:rFonts w:ascii="Arial" w:hAnsi="Arial" w:cs="Arial"/>
          <w:sz w:val="20"/>
          <w:szCs w:val="20"/>
        </w:rPr>
        <w:t>n</w:t>
      </w:r>
      <w:r w:rsidR="003C57FC" w:rsidRPr="005256E8">
        <w:rPr>
          <w:rFonts w:ascii="Arial" w:hAnsi="Arial" w:cs="Arial"/>
          <w:sz w:val="20"/>
          <w:szCs w:val="20"/>
        </w:rPr>
        <w:t xml:space="preserve">dhar district </w:t>
      </w:r>
      <w:r w:rsidR="003C57FC">
        <w:rPr>
          <w:rFonts w:ascii="Arial" w:hAnsi="Arial" w:cs="Arial"/>
          <w:sz w:val="20"/>
          <w:szCs w:val="20"/>
        </w:rPr>
        <w:t>in 2021</w:t>
      </w:r>
    </w:p>
    <w:p w14:paraId="5468599C" w14:textId="5BFD3B80" w:rsidR="00363668" w:rsidRPr="005256E8" w:rsidRDefault="00C336DF" w:rsidP="00363668">
      <w:pPr>
        <w:spacing w:line="276" w:lineRule="auto"/>
        <w:jc w:val="both"/>
        <w:rPr>
          <w:rFonts w:ascii="Arial" w:hAnsi="Arial" w:cs="Arial"/>
          <w:sz w:val="20"/>
          <w:szCs w:val="20"/>
        </w:rPr>
      </w:pPr>
      <w:r w:rsidRPr="005256E8">
        <w:rPr>
          <w:rFonts w:ascii="Arial" w:hAnsi="Arial" w:cs="Arial"/>
          <w:noProof/>
          <w:sz w:val="20"/>
          <w:szCs w:val="20"/>
        </w:rPr>
        <w:drawing>
          <wp:inline distT="0" distB="0" distL="0" distR="0" wp14:anchorId="1CE084AE" wp14:editId="5FD638E3">
            <wp:extent cx="5943600" cy="4202430"/>
            <wp:effectExtent l="0" t="0" r="0" b="7620"/>
            <wp:docPr id="110098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8197" name="Picture 1100981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174C2987" w14:textId="0C2542D6" w:rsidR="005A67CF" w:rsidRPr="005256E8" w:rsidRDefault="005A67CF" w:rsidP="00363668">
      <w:pPr>
        <w:spacing w:line="276" w:lineRule="auto"/>
        <w:jc w:val="both"/>
        <w:rPr>
          <w:rFonts w:ascii="Arial" w:hAnsi="Arial" w:cs="Arial"/>
          <w:sz w:val="20"/>
          <w:szCs w:val="20"/>
        </w:rPr>
      </w:pPr>
      <w:r w:rsidRPr="005256E8">
        <w:rPr>
          <w:rFonts w:ascii="Arial" w:hAnsi="Arial" w:cs="Arial"/>
          <w:sz w:val="20"/>
          <w:szCs w:val="20"/>
        </w:rPr>
        <w:t>Source: Landsat 8 OLI_TIRS</w:t>
      </w:r>
    </w:p>
    <w:p w14:paraId="69900987" w14:textId="15B219F5" w:rsidR="006547B3" w:rsidRPr="00AE5724" w:rsidRDefault="006547B3" w:rsidP="00BD4C68">
      <w:pPr>
        <w:spacing w:after="0" w:line="276" w:lineRule="auto"/>
        <w:jc w:val="both"/>
        <w:rPr>
          <w:rFonts w:ascii="Arial" w:hAnsi="Arial" w:cs="Arial"/>
          <w:b/>
          <w:bCs/>
          <w:sz w:val="22"/>
          <w:szCs w:val="22"/>
        </w:rPr>
      </w:pPr>
      <w:r w:rsidRPr="00AE5724">
        <w:rPr>
          <w:rFonts w:ascii="Arial" w:hAnsi="Arial" w:cs="Arial"/>
          <w:b/>
          <w:bCs/>
          <w:sz w:val="22"/>
          <w:szCs w:val="22"/>
        </w:rPr>
        <w:t xml:space="preserve">LULC Change in </w:t>
      </w:r>
      <w:proofErr w:type="spellStart"/>
      <w:r w:rsidRPr="00AE5724">
        <w:rPr>
          <w:rFonts w:ascii="Arial" w:hAnsi="Arial" w:cs="Arial"/>
          <w:b/>
          <w:bCs/>
          <w:sz w:val="22"/>
          <w:szCs w:val="22"/>
        </w:rPr>
        <w:t>Jaladhar</w:t>
      </w:r>
      <w:proofErr w:type="spellEnd"/>
      <w:r w:rsidRPr="00AE5724">
        <w:rPr>
          <w:rFonts w:ascii="Arial" w:hAnsi="Arial" w:cs="Arial"/>
          <w:b/>
          <w:bCs/>
          <w:sz w:val="22"/>
          <w:szCs w:val="22"/>
        </w:rPr>
        <w:t xml:space="preserve"> district: 2001 to 2021</w:t>
      </w:r>
    </w:p>
    <w:p w14:paraId="6E1890E6" w14:textId="11A129DD" w:rsidR="006547B3" w:rsidRPr="005256E8" w:rsidRDefault="006547B3" w:rsidP="00BD4C68">
      <w:pPr>
        <w:spacing w:after="0" w:line="276" w:lineRule="auto"/>
        <w:ind w:firstLine="720"/>
        <w:jc w:val="both"/>
        <w:rPr>
          <w:rFonts w:ascii="Arial" w:hAnsi="Arial" w:cs="Arial"/>
          <w:sz w:val="20"/>
          <w:szCs w:val="20"/>
        </w:rPr>
      </w:pPr>
      <w:r w:rsidRPr="005256E8">
        <w:rPr>
          <w:rFonts w:ascii="Arial" w:hAnsi="Arial" w:cs="Arial"/>
          <w:sz w:val="20"/>
          <w:szCs w:val="20"/>
        </w:rPr>
        <w:t xml:space="preserve">An analysis of </w:t>
      </w:r>
      <w:r w:rsidR="004C51E7" w:rsidRPr="005256E8">
        <w:rPr>
          <w:rFonts w:ascii="Arial" w:hAnsi="Arial" w:cs="Arial"/>
          <w:sz w:val="20"/>
          <w:szCs w:val="20"/>
        </w:rPr>
        <w:t>LULC maps from 2001 and 2021 shows that the spatial distribution of land-use categories has changed</w:t>
      </w:r>
      <w:r w:rsidRPr="005256E8">
        <w:rPr>
          <w:rFonts w:ascii="Arial" w:hAnsi="Arial" w:cs="Arial"/>
          <w:sz w:val="20"/>
          <w:szCs w:val="20"/>
        </w:rPr>
        <w:t xml:space="preserve"> significantly. The built-up area increased </w:t>
      </w:r>
      <w:r w:rsidR="004C51E7" w:rsidRPr="005256E8">
        <w:rPr>
          <w:rFonts w:ascii="Arial" w:hAnsi="Arial" w:cs="Arial"/>
          <w:sz w:val="20"/>
          <w:szCs w:val="20"/>
        </w:rPr>
        <w:t xml:space="preserve">by approximately 2.81 percent during the study period, indicating rapid urbanization in </w:t>
      </w:r>
      <w:r w:rsidRPr="005256E8">
        <w:rPr>
          <w:rFonts w:ascii="Arial" w:hAnsi="Arial" w:cs="Arial"/>
          <w:sz w:val="20"/>
          <w:szCs w:val="20"/>
        </w:rPr>
        <w:t>Jalandhar district. The forest cover is slightly growing by 0.05, which proves that the vegetation cover is fairly stable. Conversely, the land under cultivation reduced by around 1.25 percent, indicating that agricultural land was slowly being converted into urban land. On the same note, the barren land declined by approximately 1.83, which might be attributed to the transformation of the land that was not in use to agricultural or residential development. The water bodies experience a slight increase of about 0.07, indicating fairly stable water resources in the district.</w:t>
      </w:r>
    </w:p>
    <w:p w14:paraId="2448E7AA" w14:textId="59261467" w:rsidR="00A35A54" w:rsidRPr="005256E8" w:rsidRDefault="006547B3" w:rsidP="006547B3">
      <w:pPr>
        <w:spacing w:line="276" w:lineRule="auto"/>
        <w:ind w:firstLine="720"/>
        <w:jc w:val="both"/>
        <w:rPr>
          <w:rFonts w:ascii="Arial" w:hAnsi="Arial" w:cs="Arial"/>
          <w:sz w:val="20"/>
          <w:szCs w:val="20"/>
        </w:rPr>
      </w:pPr>
      <w:r w:rsidRPr="005256E8">
        <w:rPr>
          <w:rFonts w:ascii="Arial" w:hAnsi="Arial" w:cs="Arial"/>
          <w:sz w:val="20"/>
          <w:szCs w:val="20"/>
        </w:rPr>
        <w:t xml:space="preserve">All in all, the analysis shows that the major </w:t>
      </w:r>
      <w:r w:rsidR="004C51E7" w:rsidRPr="005256E8">
        <w:rPr>
          <w:rFonts w:ascii="Arial" w:hAnsi="Arial" w:cs="Arial"/>
          <w:sz w:val="20"/>
          <w:szCs w:val="20"/>
        </w:rPr>
        <w:t xml:space="preserve">driver of land-use </w:t>
      </w:r>
      <w:proofErr w:type="gramStart"/>
      <w:r w:rsidR="004C51E7" w:rsidRPr="005256E8">
        <w:rPr>
          <w:rFonts w:ascii="Arial" w:hAnsi="Arial" w:cs="Arial"/>
          <w:sz w:val="20"/>
          <w:szCs w:val="20"/>
        </w:rPr>
        <w:t>change</w:t>
      </w:r>
      <w:proofErr w:type="gramEnd"/>
      <w:r w:rsidR="004C51E7" w:rsidRPr="005256E8">
        <w:rPr>
          <w:rFonts w:ascii="Arial" w:hAnsi="Arial" w:cs="Arial"/>
          <w:sz w:val="20"/>
          <w:szCs w:val="20"/>
        </w:rPr>
        <w:t xml:space="preserve"> in the Jalandhar district during 2001-2021 is urbanization and infrastructure development, which have led to an increase in built-up areas and the gradual transformation</w:t>
      </w:r>
      <w:r w:rsidRPr="005256E8">
        <w:rPr>
          <w:rFonts w:ascii="Arial" w:hAnsi="Arial" w:cs="Arial"/>
          <w:sz w:val="20"/>
          <w:szCs w:val="20"/>
        </w:rPr>
        <w:t xml:space="preserve"> of the agricultural landscape.</w:t>
      </w:r>
    </w:p>
    <w:p w14:paraId="39500249" w14:textId="005EAEC3" w:rsidR="00755A53" w:rsidRPr="00AE5724" w:rsidRDefault="00755A53" w:rsidP="00AE5724">
      <w:pPr>
        <w:spacing w:line="276" w:lineRule="auto"/>
        <w:jc w:val="both"/>
        <w:rPr>
          <w:rFonts w:ascii="Arial" w:hAnsi="Arial" w:cs="Arial"/>
          <w:b/>
          <w:bCs/>
          <w:sz w:val="22"/>
          <w:szCs w:val="22"/>
        </w:rPr>
      </w:pPr>
      <w:r w:rsidRPr="00AE5724">
        <w:rPr>
          <w:rFonts w:ascii="Arial" w:hAnsi="Arial" w:cs="Arial"/>
          <w:b/>
          <w:bCs/>
          <w:sz w:val="22"/>
          <w:szCs w:val="22"/>
        </w:rPr>
        <w:t xml:space="preserve">Table 2: </w:t>
      </w:r>
      <w:r w:rsidR="00875418" w:rsidRPr="00AE5724">
        <w:rPr>
          <w:rFonts w:ascii="Arial" w:hAnsi="Arial" w:cs="Arial"/>
          <w:b/>
          <w:bCs/>
          <w:sz w:val="22"/>
          <w:szCs w:val="22"/>
        </w:rPr>
        <w:t>Land Use/ Land Cover Change (2001 and 2021)</w:t>
      </w:r>
    </w:p>
    <w:tbl>
      <w:tblPr>
        <w:tblW w:w="5000" w:type="pct"/>
        <w:tblLook w:val="04A0" w:firstRow="1" w:lastRow="0" w:firstColumn="1" w:lastColumn="0" w:noHBand="0" w:noVBand="1"/>
      </w:tblPr>
      <w:tblGrid>
        <w:gridCol w:w="1561"/>
        <w:gridCol w:w="1286"/>
        <w:gridCol w:w="1628"/>
        <w:gridCol w:w="1329"/>
        <w:gridCol w:w="1628"/>
        <w:gridCol w:w="1928"/>
      </w:tblGrid>
      <w:tr w:rsidR="007A25CC" w:rsidRPr="005256E8" w14:paraId="5667415A" w14:textId="77777777" w:rsidTr="007A25CC">
        <w:trPr>
          <w:trHeight w:val="288"/>
        </w:trPr>
        <w:tc>
          <w:tcPr>
            <w:tcW w:w="853" w:type="pct"/>
            <w:vMerge w:val="restart"/>
            <w:tcBorders>
              <w:top w:val="single" w:sz="4" w:space="0" w:color="auto"/>
              <w:left w:val="nil"/>
              <w:right w:val="nil"/>
            </w:tcBorders>
            <w:noWrap/>
            <w:vAlign w:val="center"/>
            <w:hideMark/>
          </w:tcPr>
          <w:p w14:paraId="1CDF7A2D" w14:textId="6C8F39FB"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LULC Classes</w:t>
            </w:r>
          </w:p>
        </w:tc>
        <w:tc>
          <w:tcPr>
            <w:tcW w:w="1583" w:type="pct"/>
            <w:gridSpan w:val="2"/>
            <w:tcBorders>
              <w:top w:val="single" w:sz="4" w:space="0" w:color="auto"/>
              <w:left w:val="nil"/>
              <w:bottom w:val="nil"/>
              <w:right w:val="nil"/>
            </w:tcBorders>
            <w:noWrap/>
            <w:vAlign w:val="center"/>
            <w:hideMark/>
          </w:tcPr>
          <w:p w14:paraId="04D2CD13" w14:textId="19877BA8"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2001</w:t>
            </w:r>
          </w:p>
        </w:tc>
        <w:tc>
          <w:tcPr>
            <w:tcW w:w="1583" w:type="pct"/>
            <w:gridSpan w:val="2"/>
            <w:tcBorders>
              <w:top w:val="single" w:sz="4" w:space="0" w:color="auto"/>
              <w:left w:val="nil"/>
              <w:bottom w:val="nil"/>
              <w:right w:val="nil"/>
            </w:tcBorders>
            <w:noWrap/>
            <w:vAlign w:val="center"/>
            <w:hideMark/>
          </w:tcPr>
          <w:p w14:paraId="1D707FE3" w14:textId="7C7A02E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2021</w:t>
            </w:r>
          </w:p>
        </w:tc>
        <w:tc>
          <w:tcPr>
            <w:tcW w:w="980" w:type="pct"/>
            <w:tcBorders>
              <w:top w:val="single" w:sz="4" w:space="0" w:color="auto"/>
              <w:left w:val="nil"/>
              <w:bottom w:val="nil"/>
              <w:right w:val="nil"/>
            </w:tcBorders>
            <w:noWrap/>
            <w:vAlign w:val="center"/>
            <w:hideMark/>
          </w:tcPr>
          <w:p w14:paraId="7FE6DADD" w14:textId="7777777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2001-2021</w:t>
            </w:r>
          </w:p>
        </w:tc>
      </w:tr>
      <w:tr w:rsidR="007A25CC" w:rsidRPr="005256E8" w14:paraId="59C2F88D" w14:textId="77777777" w:rsidTr="007A25CC">
        <w:trPr>
          <w:trHeight w:val="288"/>
        </w:trPr>
        <w:tc>
          <w:tcPr>
            <w:tcW w:w="853" w:type="pct"/>
            <w:vMerge/>
            <w:tcBorders>
              <w:left w:val="nil"/>
              <w:bottom w:val="nil"/>
              <w:right w:val="nil"/>
            </w:tcBorders>
            <w:noWrap/>
            <w:vAlign w:val="center"/>
            <w:hideMark/>
          </w:tcPr>
          <w:p w14:paraId="5242F748" w14:textId="7777777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p>
        </w:tc>
        <w:tc>
          <w:tcPr>
            <w:tcW w:w="752" w:type="pct"/>
            <w:tcBorders>
              <w:top w:val="nil"/>
              <w:left w:val="nil"/>
              <w:bottom w:val="nil"/>
              <w:right w:val="nil"/>
            </w:tcBorders>
            <w:noWrap/>
            <w:vAlign w:val="center"/>
            <w:hideMark/>
          </w:tcPr>
          <w:p w14:paraId="6E1559F9" w14:textId="5F3454D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Area (</w:t>
            </w:r>
            <w:r w:rsidRPr="005256E8">
              <w:rPr>
                <w:rFonts w:ascii="Arial" w:hAnsi="Arial" w:cs="Arial"/>
                <w:b/>
                <w:bCs/>
                <w:sz w:val="20"/>
                <w:szCs w:val="20"/>
              </w:rPr>
              <w:t>km²)</w:t>
            </w:r>
          </w:p>
        </w:tc>
        <w:tc>
          <w:tcPr>
            <w:tcW w:w="831" w:type="pct"/>
            <w:tcBorders>
              <w:top w:val="nil"/>
              <w:left w:val="nil"/>
              <w:bottom w:val="nil"/>
              <w:right w:val="nil"/>
            </w:tcBorders>
            <w:noWrap/>
            <w:vAlign w:val="center"/>
            <w:hideMark/>
          </w:tcPr>
          <w:p w14:paraId="442996F9" w14:textId="21F8A9C1"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Area (per cent)</w:t>
            </w:r>
          </w:p>
        </w:tc>
        <w:tc>
          <w:tcPr>
            <w:tcW w:w="752" w:type="pct"/>
            <w:tcBorders>
              <w:top w:val="nil"/>
              <w:left w:val="nil"/>
              <w:bottom w:val="nil"/>
              <w:right w:val="nil"/>
            </w:tcBorders>
            <w:noWrap/>
            <w:vAlign w:val="center"/>
            <w:hideMark/>
          </w:tcPr>
          <w:p w14:paraId="0A91AF7E" w14:textId="34A302C3"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Area (</w:t>
            </w:r>
            <w:r w:rsidRPr="005256E8">
              <w:rPr>
                <w:rFonts w:ascii="Arial" w:hAnsi="Arial" w:cs="Arial"/>
                <w:b/>
                <w:bCs/>
                <w:sz w:val="20"/>
                <w:szCs w:val="20"/>
              </w:rPr>
              <w:t>km²)</w:t>
            </w:r>
          </w:p>
        </w:tc>
        <w:tc>
          <w:tcPr>
            <w:tcW w:w="831" w:type="pct"/>
            <w:tcBorders>
              <w:top w:val="nil"/>
              <w:left w:val="nil"/>
              <w:bottom w:val="nil"/>
              <w:right w:val="nil"/>
            </w:tcBorders>
            <w:noWrap/>
            <w:vAlign w:val="center"/>
            <w:hideMark/>
          </w:tcPr>
          <w:p w14:paraId="120630DE" w14:textId="2D51C024"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Area (per cent)</w:t>
            </w:r>
          </w:p>
        </w:tc>
        <w:tc>
          <w:tcPr>
            <w:tcW w:w="980" w:type="pct"/>
            <w:tcBorders>
              <w:top w:val="nil"/>
              <w:left w:val="nil"/>
              <w:bottom w:val="nil"/>
              <w:right w:val="nil"/>
            </w:tcBorders>
            <w:noWrap/>
            <w:vAlign w:val="center"/>
            <w:hideMark/>
          </w:tcPr>
          <w:p w14:paraId="128D820D" w14:textId="020C4F86"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Change (Per cent)</w:t>
            </w:r>
          </w:p>
        </w:tc>
      </w:tr>
      <w:tr w:rsidR="007A25CC" w:rsidRPr="005256E8" w14:paraId="6CCF26CC" w14:textId="77777777" w:rsidTr="007A25CC">
        <w:trPr>
          <w:trHeight w:val="288"/>
        </w:trPr>
        <w:tc>
          <w:tcPr>
            <w:tcW w:w="853" w:type="pct"/>
            <w:tcBorders>
              <w:top w:val="nil"/>
              <w:left w:val="nil"/>
              <w:bottom w:val="nil"/>
              <w:right w:val="nil"/>
            </w:tcBorders>
            <w:noWrap/>
            <w:vAlign w:val="center"/>
            <w:hideMark/>
          </w:tcPr>
          <w:p w14:paraId="27C60C2C" w14:textId="7777777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Water</w:t>
            </w:r>
          </w:p>
        </w:tc>
        <w:tc>
          <w:tcPr>
            <w:tcW w:w="752" w:type="pct"/>
            <w:tcBorders>
              <w:top w:val="nil"/>
              <w:left w:val="nil"/>
              <w:bottom w:val="nil"/>
              <w:right w:val="nil"/>
            </w:tcBorders>
            <w:noWrap/>
            <w:vAlign w:val="center"/>
            <w:hideMark/>
          </w:tcPr>
          <w:p w14:paraId="73CDAA61"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7426</w:t>
            </w:r>
          </w:p>
        </w:tc>
        <w:tc>
          <w:tcPr>
            <w:tcW w:w="831" w:type="pct"/>
            <w:tcBorders>
              <w:top w:val="nil"/>
              <w:left w:val="nil"/>
              <w:bottom w:val="nil"/>
              <w:right w:val="nil"/>
            </w:tcBorders>
            <w:noWrap/>
            <w:vAlign w:val="center"/>
            <w:hideMark/>
          </w:tcPr>
          <w:p w14:paraId="340E467F" w14:textId="18B0329A"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0.25</w:t>
            </w:r>
          </w:p>
        </w:tc>
        <w:tc>
          <w:tcPr>
            <w:tcW w:w="752" w:type="pct"/>
            <w:tcBorders>
              <w:top w:val="nil"/>
              <w:left w:val="nil"/>
              <w:bottom w:val="nil"/>
              <w:right w:val="nil"/>
            </w:tcBorders>
            <w:noWrap/>
            <w:vAlign w:val="center"/>
            <w:hideMark/>
          </w:tcPr>
          <w:p w14:paraId="22B34856"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5300</w:t>
            </w:r>
          </w:p>
        </w:tc>
        <w:tc>
          <w:tcPr>
            <w:tcW w:w="831" w:type="pct"/>
            <w:tcBorders>
              <w:top w:val="nil"/>
              <w:left w:val="nil"/>
              <w:bottom w:val="nil"/>
              <w:right w:val="nil"/>
            </w:tcBorders>
            <w:noWrap/>
            <w:vAlign w:val="center"/>
            <w:hideMark/>
          </w:tcPr>
          <w:p w14:paraId="52EAC8AF" w14:textId="561C59DC"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0.18</w:t>
            </w:r>
          </w:p>
        </w:tc>
        <w:tc>
          <w:tcPr>
            <w:tcW w:w="980" w:type="pct"/>
            <w:tcBorders>
              <w:top w:val="nil"/>
              <w:left w:val="nil"/>
              <w:bottom w:val="nil"/>
              <w:right w:val="nil"/>
            </w:tcBorders>
            <w:noWrap/>
            <w:vAlign w:val="center"/>
            <w:hideMark/>
          </w:tcPr>
          <w:p w14:paraId="1421B951"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0.07</w:t>
            </w:r>
          </w:p>
        </w:tc>
      </w:tr>
      <w:tr w:rsidR="007A25CC" w:rsidRPr="005256E8" w14:paraId="17C09CB3" w14:textId="77777777" w:rsidTr="007A25CC">
        <w:trPr>
          <w:trHeight w:val="288"/>
        </w:trPr>
        <w:tc>
          <w:tcPr>
            <w:tcW w:w="853" w:type="pct"/>
            <w:tcBorders>
              <w:top w:val="nil"/>
              <w:left w:val="nil"/>
              <w:bottom w:val="nil"/>
              <w:right w:val="nil"/>
            </w:tcBorders>
            <w:noWrap/>
            <w:vAlign w:val="center"/>
            <w:hideMark/>
          </w:tcPr>
          <w:p w14:paraId="62106029" w14:textId="716F98ED"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lastRenderedPageBreak/>
              <w:t>Built Up</w:t>
            </w:r>
          </w:p>
        </w:tc>
        <w:tc>
          <w:tcPr>
            <w:tcW w:w="752" w:type="pct"/>
            <w:tcBorders>
              <w:top w:val="nil"/>
              <w:left w:val="nil"/>
              <w:bottom w:val="nil"/>
              <w:right w:val="nil"/>
            </w:tcBorders>
            <w:noWrap/>
            <w:vAlign w:val="center"/>
            <w:hideMark/>
          </w:tcPr>
          <w:p w14:paraId="2945EF12"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539940</w:t>
            </w:r>
          </w:p>
        </w:tc>
        <w:tc>
          <w:tcPr>
            <w:tcW w:w="831" w:type="pct"/>
            <w:tcBorders>
              <w:top w:val="nil"/>
              <w:left w:val="nil"/>
              <w:bottom w:val="nil"/>
              <w:right w:val="nil"/>
            </w:tcBorders>
            <w:noWrap/>
            <w:vAlign w:val="center"/>
            <w:hideMark/>
          </w:tcPr>
          <w:p w14:paraId="7AF147C6" w14:textId="3A920414"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18.48</w:t>
            </w:r>
          </w:p>
        </w:tc>
        <w:tc>
          <w:tcPr>
            <w:tcW w:w="752" w:type="pct"/>
            <w:tcBorders>
              <w:top w:val="nil"/>
              <w:left w:val="nil"/>
              <w:bottom w:val="nil"/>
              <w:right w:val="nil"/>
            </w:tcBorders>
            <w:noWrap/>
            <w:vAlign w:val="center"/>
            <w:hideMark/>
          </w:tcPr>
          <w:p w14:paraId="155B66A7"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622010</w:t>
            </w:r>
          </w:p>
        </w:tc>
        <w:tc>
          <w:tcPr>
            <w:tcW w:w="831" w:type="pct"/>
            <w:tcBorders>
              <w:top w:val="nil"/>
              <w:left w:val="nil"/>
              <w:bottom w:val="nil"/>
              <w:right w:val="nil"/>
            </w:tcBorders>
            <w:noWrap/>
            <w:vAlign w:val="center"/>
            <w:hideMark/>
          </w:tcPr>
          <w:p w14:paraId="6E7DC18C" w14:textId="02182FF4"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21.29</w:t>
            </w:r>
          </w:p>
        </w:tc>
        <w:tc>
          <w:tcPr>
            <w:tcW w:w="980" w:type="pct"/>
            <w:tcBorders>
              <w:top w:val="nil"/>
              <w:left w:val="nil"/>
              <w:bottom w:val="nil"/>
              <w:right w:val="nil"/>
            </w:tcBorders>
            <w:noWrap/>
            <w:vAlign w:val="center"/>
            <w:hideMark/>
          </w:tcPr>
          <w:p w14:paraId="6977107E"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2.81</w:t>
            </w:r>
          </w:p>
        </w:tc>
      </w:tr>
      <w:tr w:rsidR="007A25CC" w:rsidRPr="005256E8" w14:paraId="054716D5" w14:textId="77777777" w:rsidTr="007A25CC">
        <w:trPr>
          <w:trHeight w:val="288"/>
        </w:trPr>
        <w:tc>
          <w:tcPr>
            <w:tcW w:w="853" w:type="pct"/>
            <w:tcBorders>
              <w:top w:val="nil"/>
              <w:left w:val="nil"/>
              <w:bottom w:val="nil"/>
              <w:right w:val="nil"/>
            </w:tcBorders>
            <w:noWrap/>
            <w:vAlign w:val="center"/>
            <w:hideMark/>
          </w:tcPr>
          <w:p w14:paraId="53483A38" w14:textId="614AA67E"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Barren</w:t>
            </w:r>
          </w:p>
        </w:tc>
        <w:tc>
          <w:tcPr>
            <w:tcW w:w="752" w:type="pct"/>
            <w:tcBorders>
              <w:top w:val="nil"/>
              <w:left w:val="nil"/>
              <w:bottom w:val="nil"/>
              <w:right w:val="nil"/>
            </w:tcBorders>
            <w:noWrap/>
            <w:vAlign w:val="center"/>
            <w:hideMark/>
          </w:tcPr>
          <w:p w14:paraId="14EE6338"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93527</w:t>
            </w:r>
          </w:p>
        </w:tc>
        <w:tc>
          <w:tcPr>
            <w:tcW w:w="831" w:type="pct"/>
            <w:tcBorders>
              <w:top w:val="nil"/>
              <w:left w:val="nil"/>
              <w:bottom w:val="nil"/>
              <w:right w:val="nil"/>
            </w:tcBorders>
            <w:noWrap/>
            <w:vAlign w:val="center"/>
            <w:hideMark/>
          </w:tcPr>
          <w:p w14:paraId="18610BE6" w14:textId="0EB34DB5"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3.20</w:t>
            </w:r>
          </w:p>
        </w:tc>
        <w:tc>
          <w:tcPr>
            <w:tcW w:w="752" w:type="pct"/>
            <w:tcBorders>
              <w:top w:val="nil"/>
              <w:left w:val="nil"/>
              <w:bottom w:val="nil"/>
              <w:right w:val="nil"/>
            </w:tcBorders>
            <w:noWrap/>
            <w:vAlign w:val="center"/>
            <w:hideMark/>
          </w:tcPr>
          <w:p w14:paraId="5E124501"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39967</w:t>
            </w:r>
          </w:p>
        </w:tc>
        <w:tc>
          <w:tcPr>
            <w:tcW w:w="831" w:type="pct"/>
            <w:tcBorders>
              <w:top w:val="nil"/>
              <w:left w:val="nil"/>
              <w:bottom w:val="nil"/>
              <w:right w:val="nil"/>
            </w:tcBorders>
            <w:noWrap/>
            <w:vAlign w:val="center"/>
            <w:hideMark/>
          </w:tcPr>
          <w:p w14:paraId="7DEE1804" w14:textId="2DFEF31E"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1.37</w:t>
            </w:r>
          </w:p>
        </w:tc>
        <w:tc>
          <w:tcPr>
            <w:tcW w:w="980" w:type="pct"/>
            <w:tcBorders>
              <w:top w:val="nil"/>
              <w:left w:val="nil"/>
              <w:bottom w:val="nil"/>
              <w:right w:val="nil"/>
            </w:tcBorders>
            <w:noWrap/>
            <w:vAlign w:val="center"/>
            <w:hideMark/>
          </w:tcPr>
          <w:p w14:paraId="321C5DCC"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-1.83</w:t>
            </w:r>
          </w:p>
        </w:tc>
      </w:tr>
      <w:tr w:rsidR="007A25CC" w:rsidRPr="005256E8" w14:paraId="36476125" w14:textId="77777777" w:rsidTr="007A25CC">
        <w:trPr>
          <w:trHeight w:val="288"/>
        </w:trPr>
        <w:tc>
          <w:tcPr>
            <w:tcW w:w="853" w:type="pct"/>
            <w:tcBorders>
              <w:top w:val="nil"/>
              <w:left w:val="nil"/>
              <w:bottom w:val="nil"/>
              <w:right w:val="nil"/>
            </w:tcBorders>
            <w:noWrap/>
            <w:vAlign w:val="center"/>
            <w:hideMark/>
          </w:tcPr>
          <w:p w14:paraId="134393F1" w14:textId="07E22D48"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Forest</w:t>
            </w:r>
          </w:p>
        </w:tc>
        <w:tc>
          <w:tcPr>
            <w:tcW w:w="752" w:type="pct"/>
            <w:tcBorders>
              <w:top w:val="nil"/>
              <w:left w:val="nil"/>
              <w:bottom w:val="nil"/>
              <w:right w:val="nil"/>
            </w:tcBorders>
            <w:noWrap/>
            <w:vAlign w:val="center"/>
            <w:hideMark/>
          </w:tcPr>
          <w:p w14:paraId="228F3E9F"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111472</w:t>
            </w:r>
          </w:p>
        </w:tc>
        <w:tc>
          <w:tcPr>
            <w:tcW w:w="831" w:type="pct"/>
            <w:tcBorders>
              <w:top w:val="nil"/>
              <w:left w:val="nil"/>
              <w:bottom w:val="nil"/>
              <w:right w:val="nil"/>
            </w:tcBorders>
            <w:noWrap/>
            <w:vAlign w:val="center"/>
            <w:hideMark/>
          </w:tcPr>
          <w:p w14:paraId="6C622AD5" w14:textId="0FB8D573"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3.82</w:t>
            </w:r>
          </w:p>
        </w:tc>
        <w:tc>
          <w:tcPr>
            <w:tcW w:w="752" w:type="pct"/>
            <w:tcBorders>
              <w:top w:val="nil"/>
              <w:left w:val="nil"/>
              <w:bottom w:val="nil"/>
              <w:right w:val="nil"/>
            </w:tcBorders>
            <w:noWrap/>
            <w:vAlign w:val="center"/>
            <w:hideMark/>
          </w:tcPr>
          <w:p w14:paraId="0D121BC0"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112969</w:t>
            </w:r>
          </w:p>
        </w:tc>
        <w:tc>
          <w:tcPr>
            <w:tcW w:w="831" w:type="pct"/>
            <w:tcBorders>
              <w:top w:val="nil"/>
              <w:left w:val="nil"/>
              <w:bottom w:val="nil"/>
              <w:right w:val="nil"/>
            </w:tcBorders>
            <w:noWrap/>
            <w:vAlign w:val="center"/>
            <w:hideMark/>
          </w:tcPr>
          <w:p w14:paraId="0ABF5DA9" w14:textId="762614F5"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3.87</w:t>
            </w:r>
          </w:p>
        </w:tc>
        <w:tc>
          <w:tcPr>
            <w:tcW w:w="980" w:type="pct"/>
            <w:tcBorders>
              <w:top w:val="nil"/>
              <w:left w:val="nil"/>
              <w:bottom w:val="nil"/>
              <w:right w:val="nil"/>
            </w:tcBorders>
            <w:noWrap/>
            <w:vAlign w:val="center"/>
            <w:hideMark/>
          </w:tcPr>
          <w:p w14:paraId="6A78C5C1"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0.05</w:t>
            </w:r>
          </w:p>
        </w:tc>
      </w:tr>
      <w:tr w:rsidR="007A25CC" w:rsidRPr="005256E8" w14:paraId="4694507B" w14:textId="77777777" w:rsidTr="007A25CC">
        <w:trPr>
          <w:trHeight w:val="288"/>
        </w:trPr>
        <w:tc>
          <w:tcPr>
            <w:tcW w:w="853" w:type="pct"/>
            <w:tcBorders>
              <w:top w:val="nil"/>
              <w:left w:val="nil"/>
              <w:bottom w:val="nil"/>
              <w:right w:val="nil"/>
            </w:tcBorders>
            <w:noWrap/>
            <w:vAlign w:val="center"/>
            <w:hideMark/>
          </w:tcPr>
          <w:p w14:paraId="6B668EB9" w14:textId="0AEFE02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Cultivated</w:t>
            </w:r>
          </w:p>
        </w:tc>
        <w:tc>
          <w:tcPr>
            <w:tcW w:w="752" w:type="pct"/>
            <w:tcBorders>
              <w:top w:val="nil"/>
              <w:left w:val="nil"/>
              <w:bottom w:val="nil"/>
              <w:right w:val="nil"/>
            </w:tcBorders>
            <w:noWrap/>
            <w:vAlign w:val="center"/>
            <w:hideMark/>
          </w:tcPr>
          <w:p w14:paraId="587E3795"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2177877</w:t>
            </w:r>
          </w:p>
        </w:tc>
        <w:tc>
          <w:tcPr>
            <w:tcW w:w="831" w:type="pct"/>
            <w:tcBorders>
              <w:top w:val="nil"/>
              <w:left w:val="nil"/>
              <w:bottom w:val="nil"/>
              <w:right w:val="nil"/>
            </w:tcBorders>
            <w:noWrap/>
            <w:vAlign w:val="center"/>
            <w:hideMark/>
          </w:tcPr>
          <w:p w14:paraId="7D272A03" w14:textId="40E15533"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74.54</w:t>
            </w:r>
          </w:p>
        </w:tc>
        <w:tc>
          <w:tcPr>
            <w:tcW w:w="752" w:type="pct"/>
            <w:tcBorders>
              <w:top w:val="nil"/>
              <w:left w:val="nil"/>
              <w:bottom w:val="nil"/>
              <w:right w:val="nil"/>
            </w:tcBorders>
            <w:noWrap/>
            <w:vAlign w:val="center"/>
            <w:hideMark/>
          </w:tcPr>
          <w:p w14:paraId="6283C1F4"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2141396</w:t>
            </w:r>
          </w:p>
        </w:tc>
        <w:tc>
          <w:tcPr>
            <w:tcW w:w="831" w:type="pct"/>
            <w:tcBorders>
              <w:top w:val="nil"/>
              <w:left w:val="nil"/>
              <w:bottom w:val="nil"/>
              <w:right w:val="nil"/>
            </w:tcBorders>
            <w:noWrap/>
            <w:vAlign w:val="center"/>
            <w:hideMark/>
          </w:tcPr>
          <w:p w14:paraId="73B49A0F" w14:textId="7A6E57AA"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73.29</w:t>
            </w:r>
          </w:p>
        </w:tc>
        <w:tc>
          <w:tcPr>
            <w:tcW w:w="980" w:type="pct"/>
            <w:tcBorders>
              <w:top w:val="nil"/>
              <w:left w:val="nil"/>
              <w:bottom w:val="nil"/>
              <w:right w:val="nil"/>
            </w:tcBorders>
            <w:noWrap/>
            <w:vAlign w:val="center"/>
            <w:hideMark/>
          </w:tcPr>
          <w:p w14:paraId="72872B48"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-1.25</w:t>
            </w:r>
          </w:p>
        </w:tc>
      </w:tr>
    </w:tbl>
    <w:p w14:paraId="0A4A72AA" w14:textId="08815A55" w:rsidR="007A25CC" w:rsidRPr="005256E8" w:rsidRDefault="007A25CC" w:rsidP="00875418">
      <w:pPr>
        <w:spacing w:line="276" w:lineRule="auto"/>
        <w:jc w:val="both"/>
        <w:rPr>
          <w:rFonts w:ascii="Arial" w:hAnsi="Arial" w:cs="Arial"/>
          <w:sz w:val="20"/>
          <w:szCs w:val="20"/>
        </w:rPr>
      </w:pPr>
      <w:r w:rsidRPr="005256E8">
        <w:rPr>
          <w:rFonts w:ascii="Arial" w:hAnsi="Arial" w:cs="Arial"/>
          <w:sz w:val="20"/>
          <w:szCs w:val="20"/>
        </w:rPr>
        <w:t>Source: Landsat 5 TM (2001) and LANDSAT 8 OLI/TIR (2021)</w:t>
      </w:r>
    </w:p>
    <w:p w14:paraId="7618CBEC" w14:textId="78759997" w:rsidR="0099137B" w:rsidRPr="00AE5724" w:rsidRDefault="0099137B" w:rsidP="0099137B">
      <w:pPr>
        <w:spacing w:after="0" w:line="276" w:lineRule="auto"/>
        <w:jc w:val="both"/>
        <w:rPr>
          <w:rFonts w:ascii="Arial" w:hAnsi="Arial" w:cs="Arial"/>
          <w:b/>
          <w:bCs/>
          <w:sz w:val="22"/>
          <w:szCs w:val="22"/>
        </w:rPr>
      </w:pPr>
      <w:r w:rsidRPr="00AE5724">
        <w:rPr>
          <w:rFonts w:ascii="Arial" w:hAnsi="Arial" w:cs="Arial"/>
          <w:b/>
          <w:bCs/>
          <w:sz w:val="22"/>
          <w:szCs w:val="22"/>
        </w:rPr>
        <w:t xml:space="preserve">Accuracy Assessment of LULC Classification </w:t>
      </w:r>
    </w:p>
    <w:p w14:paraId="37442D9E" w14:textId="71F474D6" w:rsidR="0099137B" w:rsidRPr="005256E8" w:rsidRDefault="0099137B" w:rsidP="0099137B">
      <w:pPr>
        <w:spacing w:after="0" w:line="276" w:lineRule="auto"/>
        <w:ind w:firstLine="720"/>
        <w:jc w:val="both"/>
        <w:rPr>
          <w:rFonts w:ascii="Arial" w:hAnsi="Arial" w:cs="Arial"/>
          <w:sz w:val="20"/>
          <w:szCs w:val="20"/>
        </w:rPr>
      </w:pPr>
      <w:r w:rsidRPr="005256E8">
        <w:rPr>
          <w:rFonts w:ascii="Arial" w:hAnsi="Arial" w:cs="Arial"/>
          <w:sz w:val="20"/>
          <w:szCs w:val="20"/>
        </w:rPr>
        <w:t xml:space="preserve">The quality of the classified </w:t>
      </w:r>
      <w:r w:rsidR="00AE5724">
        <w:rPr>
          <w:rFonts w:ascii="Arial" w:hAnsi="Arial" w:cs="Arial"/>
          <w:sz w:val="20"/>
          <w:szCs w:val="20"/>
        </w:rPr>
        <w:t>land-use and land-cover maps for 2001 and 2021 was assessed using a confusion matrix derived</w:t>
      </w:r>
      <w:r w:rsidRPr="005256E8">
        <w:rPr>
          <w:rFonts w:ascii="Arial" w:hAnsi="Arial" w:cs="Arial"/>
          <w:sz w:val="20"/>
          <w:szCs w:val="20"/>
        </w:rPr>
        <w:t xml:space="preserve"> from reference sample points. The accuracy assessment is a significant procedure in remote sensing studies because it evaluates the credibility of classification products by comparing classified pixels with ground reference data. </w:t>
      </w:r>
    </w:p>
    <w:p w14:paraId="314D6883" w14:textId="21957D56" w:rsidR="0099137B" w:rsidRPr="005256E8" w:rsidRDefault="0099137B" w:rsidP="0099137B">
      <w:pPr>
        <w:spacing w:line="276" w:lineRule="auto"/>
        <w:ind w:firstLine="720"/>
        <w:jc w:val="both"/>
        <w:rPr>
          <w:rFonts w:ascii="Arial" w:hAnsi="Arial" w:cs="Arial"/>
          <w:sz w:val="20"/>
          <w:szCs w:val="20"/>
        </w:rPr>
      </w:pPr>
      <w:r w:rsidRPr="005256E8">
        <w:rPr>
          <w:rFonts w:ascii="Arial" w:hAnsi="Arial" w:cs="Arial"/>
          <w:sz w:val="20"/>
          <w:szCs w:val="20"/>
        </w:rPr>
        <w:t xml:space="preserve">In the 2001 LULC map, 100 reference points were utilized in validation. The confusion matrix shows that </w:t>
      </w:r>
      <w:r w:rsidR="00E85BC3">
        <w:rPr>
          <w:rFonts w:ascii="Arial" w:hAnsi="Arial" w:cs="Arial"/>
          <w:sz w:val="20"/>
          <w:szCs w:val="20"/>
        </w:rPr>
        <w:t>classification accuracy varies across the five land use classes</w:t>
      </w:r>
      <w:r w:rsidRPr="005256E8">
        <w:rPr>
          <w:rFonts w:ascii="Arial" w:hAnsi="Arial" w:cs="Arial"/>
          <w:sz w:val="20"/>
          <w:szCs w:val="20"/>
        </w:rPr>
        <w:t xml:space="preserve">. The user accuracy values range from 0.60 to 0.95, corresponding to the classification reliability of single land cover categories. The constructed and developed classes are relatively accurate in </w:t>
      </w:r>
      <w:r w:rsidR="00F719BA" w:rsidRPr="005256E8">
        <w:rPr>
          <w:rFonts w:ascii="Arial" w:hAnsi="Arial" w:cs="Arial"/>
          <w:sz w:val="20"/>
          <w:szCs w:val="20"/>
        </w:rPr>
        <w:t>classification, but some confusion is evident among classes such as</w:t>
      </w:r>
      <w:r w:rsidRPr="005256E8">
        <w:rPr>
          <w:rFonts w:ascii="Arial" w:hAnsi="Arial" w:cs="Arial"/>
          <w:sz w:val="20"/>
          <w:szCs w:val="20"/>
        </w:rPr>
        <w:t xml:space="preserve"> forest and barren land. The total classification accuracy based on the confusion matrix is 78, and the Kappa coefficient is 0.725, indicating high agreement between the classified image and the reference data. Based on common standards, the Kappa value is above 0.70, indicating reliable classification in land-use research. </w:t>
      </w:r>
    </w:p>
    <w:p w14:paraId="64D5E9A7" w14:textId="0543AD48" w:rsidR="0099137B" w:rsidRDefault="0099137B" w:rsidP="0099137B">
      <w:pPr>
        <w:spacing w:line="276" w:lineRule="auto"/>
        <w:ind w:firstLine="720"/>
        <w:jc w:val="both"/>
        <w:rPr>
          <w:rFonts w:ascii="Arial" w:hAnsi="Arial" w:cs="Arial"/>
          <w:sz w:val="20"/>
          <w:szCs w:val="20"/>
        </w:rPr>
      </w:pPr>
      <w:r w:rsidRPr="005256E8">
        <w:rPr>
          <w:rFonts w:ascii="Arial" w:hAnsi="Arial" w:cs="Arial"/>
          <w:sz w:val="20"/>
          <w:szCs w:val="20"/>
        </w:rPr>
        <w:t>To evaluate the accuracy of the 2021 LULC map, 100 validation points and 20 reference samples per land use were used. According to the confusion matrix, all classes were properly classified, and the user and producer accuracies for all categories range from 0.85 to 1.00. Thus, the general classification accuracy of the 2021 map is 93 per cent, and the Kappa coefficient is 0.89, indicating that the classification and reference samples fully agree. Generally, the evaluation of accuracy indicates that the categorized LULC maps used in the study are suitable for studying land-use and land-cover changes in the Jalandhar district. The high overall accuracy and Kappa coefficients indicate that classification using the Maximum Likelihood algorithm yielded reliable results for change detection analysis.</w:t>
      </w:r>
    </w:p>
    <w:p w14:paraId="541009E8" w14:textId="77777777" w:rsidR="00974FF6" w:rsidRPr="001F7EFC" w:rsidRDefault="00974FF6" w:rsidP="00974FF6">
      <w:pPr>
        <w:spacing w:line="276" w:lineRule="auto"/>
        <w:jc w:val="both"/>
        <w:rPr>
          <w:rFonts w:ascii="Arial" w:hAnsi="Arial" w:cs="Arial"/>
          <w:b/>
          <w:bCs/>
          <w:sz w:val="22"/>
          <w:szCs w:val="22"/>
        </w:rPr>
      </w:pPr>
      <w:r w:rsidRPr="001F7EFC">
        <w:rPr>
          <w:rFonts w:ascii="Arial" w:hAnsi="Arial" w:cs="Arial"/>
          <w:b/>
          <w:bCs/>
          <w:sz w:val="22"/>
          <w:szCs w:val="22"/>
        </w:rPr>
        <w:t>Table 3</w:t>
      </w:r>
      <w:r>
        <w:rPr>
          <w:rFonts w:ascii="Arial" w:hAnsi="Arial" w:cs="Arial"/>
          <w:b/>
          <w:bCs/>
          <w:sz w:val="22"/>
          <w:szCs w:val="22"/>
        </w:rPr>
        <w:t>:</w:t>
      </w:r>
      <w:r w:rsidRPr="001F7EFC">
        <w:rPr>
          <w:rFonts w:ascii="Arial" w:hAnsi="Arial" w:cs="Arial"/>
          <w:b/>
          <w:bCs/>
          <w:sz w:val="22"/>
          <w:szCs w:val="22"/>
        </w:rPr>
        <w:t xml:space="preserve"> Accuracy Assessment and Kappa Coefficient </w:t>
      </w: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974FF6" w14:paraId="6EF7A190" w14:textId="77777777" w:rsidTr="00974FF6">
        <w:tc>
          <w:tcPr>
            <w:tcW w:w="1666" w:type="pct"/>
            <w:vAlign w:val="center"/>
          </w:tcPr>
          <w:p w14:paraId="0658DC9B" w14:textId="77777777" w:rsidR="00974FF6" w:rsidRDefault="00974FF6" w:rsidP="00974FF6">
            <w:pPr>
              <w:spacing w:line="360" w:lineRule="auto"/>
              <w:jc w:val="center"/>
              <w:rPr>
                <w:rFonts w:ascii="Arial" w:hAnsi="Arial" w:cs="Arial"/>
                <w:sz w:val="20"/>
                <w:szCs w:val="20"/>
              </w:rPr>
            </w:pPr>
            <w:r>
              <w:rPr>
                <w:rFonts w:ascii="Arial" w:hAnsi="Arial" w:cs="Arial"/>
                <w:sz w:val="20"/>
                <w:szCs w:val="20"/>
              </w:rPr>
              <w:t>Year</w:t>
            </w:r>
          </w:p>
        </w:tc>
        <w:tc>
          <w:tcPr>
            <w:tcW w:w="1667" w:type="pct"/>
            <w:vAlign w:val="center"/>
          </w:tcPr>
          <w:p w14:paraId="1A13D930" w14:textId="74063885" w:rsidR="00974FF6" w:rsidRDefault="00974FF6" w:rsidP="00974FF6">
            <w:pPr>
              <w:spacing w:line="360" w:lineRule="auto"/>
              <w:jc w:val="center"/>
              <w:rPr>
                <w:rFonts w:ascii="Arial" w:hAnsi="Arial" w:cs="Arial"/>
                <w:sz w:val="20"/>
                <w:szCs w:val="20"/>
              </w:rPr>
            </w:pPr>
            <w:r>
              <w:rPr>
                <w:rFonts w:ascii="Arial" w:hAnsi="Arial" w:cs="Arial"/>
                <w:sz w:val="20"/>
                <w:szCs w:val="20"/>
              </w:rPr>
              <w:t>Overall Accuracy</w:t>
            </w:r>
          </w:p>
        </w:tc>
        <w:tc>
          <w:tcPr>
            <w:tcW w:w="1667" w:type="pct"/>
            <w:vAlign w:val="center"/>
          </w:tcPr>
          <w:p w14:paraId="067FC6BB" w14:textId="2DB3440C" w:rsidR="00974FF6" w:rsidRPr="001F7EFC" w:rsidRDefault="00974FF6" w:rsidP="00974FF6">
            <w:pPr>
              <w:spacing w:line="360" w:lineRule="auto"/>
              <w:jc w:val="center"/>
              <w:rPr>
                <w:rFonts w:ascii="Arial" w:hAnsi="Arial" w:cs="Arial"/>
                <w:b/>
                <w:bCs/>
                <w:sz w:val="20"/>
                <w:szCs w:val="20"/>
              </w:rPr>
            </w:pPr>
            <w:r>
              <w:rPr>
                <w:rFonts w:ascii="Arial" w:hAnsi="Arial" w:cs="Arial"/>
                <w:sz w:val="20"/>
                <w:szCs w:val="20"/>
              </w:rPr>
              <w:t>Kappa Coefficient</w:t>
            </w:r>
          </w:p>
        </w:tc>
      </w:tr>
      <w:tr w:rsidR="00974FF6" w14:paraId="517D9BA3" w14:textId="77777777" w:rsidTr="00974FF6">
        <w:tc>
          <w:tcPr>
            <w:tcW w:w="1666" w:type="pct"/>
            <w:vAlign w:val="center"/>
          </w:tcPr>
          <w:p w14:paraId="2CFE02E8" w14:textId="77777777" w:rsidR="00974FF6" w:rsidRDefault="00974FF6" w:rsidP="00974FF6">
            <w:pPr>
              <w:spacing w:line="360" w:lineRule="auto"/>
              <w:jc w:val="center"/>
              <w:rPr>
                <w:rFonts w:ascii="Arial" w:hAnsi="Arial" w:cs="Arial"/>
                <w:sz w:val="20"/>
                <w:szCs w:val="20"/>
              </w:rPr>
            </w:pPr>
            <w:r>
              <w:rPr>
                <w:rFonts w:ascii="Arial" w:hAnsi="Arial" w:cs="Arial"/>
                <w:sz w:val="20"/>
                <w:szCs w:val="20"/>
              </w:rPr>
              <w:t>2001</w:t>
            </w:r>
          </w:p>
        </w:tc>
        <w:tc>
          <w:tcPr>
            <w:tcW w:w="1667" w:type="pct"/>
            <w:vAlign w:val="center"/>
          </w:tcPr>
          <w:p w14:paraId="27C23FD8" w14:textId="77777777" w:rsidR="00974FF6" w:rsidRDefault="00974FF6" w:rsidP="00974FF6">
            <w:pPr>
              <w:spacing w:line="360" w:lineRule="auto"/>
              <w:jc w:val="center"/>
              <w:rPr>
                <w:rFonts w:ascii="Arial" w:hAnsi="Arial" w:cs="Arial"/>
                <w:sz w:val="20"/>
                <w:szCs w:val="20"/>
              </w:rPr>
            </w:pPr>
            <w:r>
              <w:rPr>
                <w:rFonts w:ascii="Arial" w:hAnsi="Arial" w:cs="Arial"/>
                <w:sz w:val="20"/>
                <w:szCs w:val="20"/>
              </w:rPr>
              <w:t>0.78</w:t>
            </w:r>
          </w:p>
        </w:tc>
        <w:tc>
          <w:tcPr>
            <w:tcW w:w="1667" w:type="pct"/>
            <w:vAlign w:val="center"/>
          </w:tcPr>
          <w:p w14:paraId="621818D5" w14:textId="77777777" w:rsidR="00974FF6" w:rsidRDefault="00974FF6" w:rsidP="00974FF6">
            <w:pPr>
              <w:spacing w:line="360" w:lineRule="auto"/>
              <w:jc w:val="center"/>
              <w:rPr>
                <w:rFonts w:ascii="Arial" w:hAnsi="Arial" w:cs="Arial"/>
                <w:sz w:val="20"/>
                <w:szCs w:val="20"/>
              </w:rPr>
            </w:pPr>
            <w:r w:rsidRPr="005256E8">
              <w:rPr>
                <w:rFonts w:ascii="Arial" w:hAnsi="Arial" w:cs="Arial"/>
                <w:sz w:val="20"/>
                <w:szCs w:val="20"/>
              </w:rPr>
              <w:t>0.725</w:t>
            </w:r>
          </w:p>
        </w:tc>
      </w:tr>
      <w:tr w:rsidR="00974FF6" w14:paraId="2B3EA13B" w14:textId="77777777" w:rsidTr="00974FF6">
        <w:tc>
          <w:tcPr>
            <w:tcW w:w="1666" w:type="pct"/>
            <w:vAlign w:val="center"/>
          </w:tcPr>
          <w:p w14:paraId="5AC8AA82" w14:textId="77777777" w:rsidR="00974FF6" w:rsidRDefault="00974FF6" w:rsidP="00974FF6">
            <w:pPr>
              <w:spacing w:line="360" w:lineRule="auto"/>
              <w:jc w:val="center"/>
              <w:rPr>
                <w:rFonts w:ascii="Arial" w:hAnsi="Arial" w:cs="Arial"/>
                <w:sz w:val="20"/>
                <w:szCs w:val="20"/>
              </w:rPr>
            </w:pPr>
            <w:r>
              <w:rPr>
                <w:rFonts w:ascii="Arial" w:hAnsi="Arial" w:cs="Arial"/>
                <w:sz w:val="20"/>
                <w:szCs w:val="20"/>
              </w:rPr>
              <w:t>2021</w:t>
            </w:r>
          </w:p>
        </w:tc>
        <w:tc>
          <w:tcPr>
            <w:tcW w:w="1667" w:type="pct"/>
            <w:vAlign w:val="center"/>
          </w:tcPr>
          <w:p w14:paraId="5F422573" w14:textId="77777777" w:rsidR="00974FF6" w:rsidRDefault="00974FF6" w:rsidP="00974FF6">
            <w:pPr>
              <w:spacing w:line="360" w:lineRule="auto"/>
              <w:jc w:val="center"/>
              <w:rPr>
                <w:rFonts w:ascii="Arial" w:hAnsi="Arial" w:cs="Arial"/>
                <w:sz w:val="20"/>
                <w:szCs w:val="20"/>
              </w:rPr>
            </w:pPr>
            <w:r>
              <w:rPr>
                <w:rFonts w:ascii="Arial" w:hAnsi="Arial" w:cs="Arial"/>
                <w:sz w:val="20"/>
                <w:szCs w:val="20"/>
              </w:rPr>
              <w:t>0.93</w:t>
            </w:r>
          </w:p>
        </w:tc>
        <w:tc>
          <w:tcPr>
            <w:tcW w:w="1667" w:type="pct"/>
            <w:vAlign w:val="center"/>
          </w:tcPr>
          <w:p w14:paraId="07A3A005" w14:textId="77777777" w:rsidR="00974FF6" w:rsidRDefault="00974FF6" w:rsidP="00974FF6">
            <w:pPr>
              <w:spacing w:line="360" w:lineRule="auto"/>
              <w:jc w:val="center"/>
              <w:rPr>
                <w:rFonts w:ascii="Arial" w:hAnsi="Arial" w:cs="Arial"/>
                <w:sz w:val="20"/>
                <w:szCs w:val="20"/>
              </w:rPr>
            </w:pPr>
            <w:r>
              <w:rPr>
                <w:rFonts w:ascii="Arial" w:hAnsi="Arial" w:cs="Arial"/>
                <w:sz w:val="20"/>
                <w:szCs w:val="20"/>
              </w:rPr>
              <w:t>0.89</w:t>
            </w:r>
          </w:p>
        </w:tc>
      </w:tr>
    </w:tbl>
    <w:p w14:paraId="181761CF" w14:textId="18BC24D5" w:rsidR="00974FF6" w:rsidRPr="005256E8" w:rsidRDefault="00974FF6" w:rsidP="00974FF6">
      <w:pPr>
        <w:spacing w:line="276" w:lineRule="auto"/>
        <w:jc w:val="both"/>
        <w:rPr>
          <w:rFonts w:ascii="Arial" w:hAnsi="Arial" w:cs="Arial"/>
          <w:sz w:val="20"/>
          <w:szCs w:val="20"/>
        </w:rPr>
      </w:pPr>
      <w:r>
        <w:rPr>
          <w:rFonts w:ascii="Arial" w:hAnsi="Arial" w:cs="Arial"/>
          <w:sz w:val="20"/>
          <w:szCs w:val="20"/>
        </w:rPr>
        <w:t xml:space="preserve">Source: </w:t>
      </w:r>
      <w:r w:rsidRPr="005256E8">
        <w:rPr>
          <w:rFonts w:ascii="Arial" w:hAnsi="Arial" w:cs="Arial"/>
          <w:sz w:val="20"/>
          <w:szCs w:val="20"/>
        </w:rPr>
        <w:t>Landsat 5 TM (2001) and LANDSAT 8 OLI/TIR (2021)</w:t>
      </w:r>
    </w:p>
    <w:p w14:paraId="052F88DF" w14:textId="799C049B" w:rsidR="004C51E7" w:rsidRPr="00AE5724" w:rsidRDefault="004C51E7" w:rsidP="00BD4C68">
      <w:pPr>
        <w:spacing w:after="0" w:line="276" w:lineRule="auto"/>
        <w:jc w:val="both"/>
        <w:rPr>
          <w:rFonts w:ascii="Arial" w:hAnsi="Arial" w:cs="Arial"/>
          <w:b/>
          <w:bCs/>
          <w:sz w:val="22"/>
          <w:szCs w:val="22"/>
        </w:rPr>
      </w:pPr>
      <w:r w:rsidRPr="00AE5724">
        <w:rPr>
          <w:rFonts w:ascii="Arial" w:hAnsi="Arial" w:cs="Arial"/>
          <w:b/>
          <w:bCs/>
          <w:sz w:val="22"/>
          <w:szCs w:val="22"/>
        </w:rPr>
        <w:t xml:space="preserve">LULC Transformation in Jalandhar District </w:t>
      </w:r>
    </w:p>
    <w:p w14:paraId="5580EF7D" w14:textId="3168608B" w:rsidR="005A67CF" w:rsidRPr="005256E8" w:rsidRDefault="004C51E7" w:rsidP="008A55BD">
      <w:pPr>
        <w:spacing w:after="0" w:line="276" w:lineRule="auto"/>
        <w:ind w:firstLine="720"/>
        <w:jc w:val="both"/>
        <w:rPr>
          <w:rFonts w:ascii="Arial" w:hAnsi="Arial" w:cs="Arial"/>
          <w:sz w:val="20"/>
          <w:szCs w:val="20"/>
        </w:rPr>
      </w:pPr>
      <w:r w:rsidRPr="005256E8">
        <w:rPr>
          <w:rFonts w:ascii="Arial" w:hAnsi="Arial" w:cs="Arial"/>
          <w:sz w:val="20"/>
          <w:szCs w:val="20"/>
        </w:rPr>
        <w:t xml:space="preserve">The </w:t>
      </w:r>
      <w:r w:rsidR="0099137B" w:rsidRPr="005256E8">
        <w:rPr>
          <w:rFonts w:ascii="Arial" w:hAnsi="Arial" w:cs="Arial"/>
          <w:sz w:val="20"/>
          <w:szCs w:val="20"/>
        </w:rPr>
        <w:t>analysis</w:t>
      </w:r>
      <w:r w:rsidRPr="005256E8">
        <w:rPr>
          <w:rFonts w:ascii="Arial" w:hAnsi="Arial" w:cs="Arial"/>
          <w:sz w:val="20"/>
          <w:szCs w:val="20"/>
        </w:rPr>
        <w:t xml:space="preserve"> of the LULC maps from 2001 and 2021 </w:t>
      </w:r>
      <w:r w:rsidR="00F719BA" w:rsidRPr="005256E8">
        <w:rPr>
          <w:rFonts w:ascii="Arial" w:hAnsi="Arial" w:cs="Arial"/>
          <w:sz w:val="20"/>
          <w:szCs w:val="20"/>
        </w:rPr>
        <w:t>demonstrates</w:t>
      </w:r>
      <w:r w:rsidRPr="005256E8">
        <w:rPr>
          <w:rFonts w:ascii="Arial" w:hAnsi="Arial" w:cs="Arial"/>
          <w:sz w:val="20"/>
          <w:szCs w:val="20"/>
        </w:rPr>
        <w:t xml:space="preserve"> that the district of Jalandhar has experienced significant shifts in land-use categories. To measure transitions in land </w:t>
      </w:r>
    </w:p>
    <w:p w14:paraId="3BA619E0" w14:textId="7566CB08" w:rsidR="004C51E7" w:rsidRPr="005256E8" w:rsidRDefault="004C51E7" w:rsidP="005A67CF">
      <w:pPr>
        <w:spacing w:after="0" w:line="276" w:lineRule="auto"/>
        <w:jc w:val="both"/>
        <w:rPr>
          <w:rFonts w:ascii="Arial" w:hAnsi="Arial" w:cs="Arial"/>
          <w:sz w:val="20"/>
          <w:szCs w:val="20"/>
        </w:rPr>
      </w:pPr>
      <w:r w:rsidRPr="005256E8">
        <w:rPr>
          <w:rFonts w:ascii="Arial" w:hAnsi="Arial" w:cs="Arial"/>
          <w:sz w:val="20"/>
          <w:szCs w:val="20"/>
        </w:rPr>
        <w:t>between categories during the study period, a transformation matrix was developed. The matrices are very clear about the extent of stability and change across all land-use types.</w:t>
      </w:r>
    </w:p>
    <w:p w14:paraId="74AED7B3" w14:textId="5A4E0B46" w:rsidR="008A3F21" w:rsidRPr="005256E8" w:rsidRDefault="004C51E7" w:rsidP="008A3F21">
      <w:pPr>
        <w:spacing w:line="276" w:lineRule="auto"/>
        <w:ind w:firstLine="720"/>
        <w:jc w:val="both"/>
        <w:rPr>
          <w:rFonts w:ascii="Arial" w:hAnsi="Arial" w:cs="Arial"/>
          <w:sz w:val="20"/>
          <w:szCs w:val="20"/>
        </w:rPr>
      </w:pPr>
      <w:r w:rsidRPr="005256E8">
        <w:rPr>
          <w:rFonts w:ascii="Arial" w:hAnsi="Arial" w:cs="Arial"/>
          <w:sz w:val="20"/>
          <w:szCs w:val="20"/>
        </w:rPr>
        <w:t xml:space="preserve">As indicated by the transformation matrix, cultivated land was the most dominant and stable land-use category in the district. Of the total cultivated land in 2001, only 1,505.26 km² was under cultivation in 2021, indicating high continuity of agricultural land use in the district. Nevertheless, part of the cultivated land had been converted to other land-use classes. Conversion of cultivated land to built-up land was the largest land transformation in the study area, </w:t>
      </w:r>
      <w:r w:rsidR="00B04273" w:rsidRPr="005256E8">
        <w:rPr>
          <w:rFonts w:ascii="Arial" w:hAnsi="Arial" w:cs="Arial"/>
          <w:sz w:val="20"/>
          <w:szCs w:val="20"/>
        </w:rPr>
        <w:t>accounting for approximately 296.11 km²</w:t>
      </w:r>
      <w:r w:rsidRPr="005256E8">
        <w:rPr>
          <w:rFonts w:ascii="Arial" w:hAnsi="Arial" w:cs="Arial"/>
          <w:sz w:val="20"/>
          <w:szCs w:val="20"/>
        </w:rPr>
        <w:t xml:space="preserve">. Such a change indicates rapid urban growth and infrastructure development within and around Jalandhar. Moreover, </w:t>
      </w:r>
      <w:r w:rsidRPr="005256E8">
        <w:rPr>
          <w:rFonts w:ascii="Arial" w:hAnsi="Arial" w:cs="Arial"/>
          <w:sz w:val="20"/>
          <w:szCs w:val="20"/>
        </w:rPr>
        <w:lastRenderedPageBreak/>
        <w:t xml:space="preserve">approximately 46.71 km² of agricultural land became forest or vegetation cover, whereas 44.85 km² became barren land, and 1.01 km² became </w:t>
      </w:r>
    </w:p>
    <w:p w14:paraId="01068D06" w14:textId="21C947A3" w:rsidR="004C51E7" w:rsidRPr="005256E8" w:rsidRDefault="008A3F21" w:rsidP="008A55BD">
      <w:pPr>
        <w:spacing w:line="276" w:lineRule="auto"/>
        <w:jc w:val="both"/>
        <w:rPr>
          <w:rFonts w:ascii="Arial" w:hAnsi="Arial" w:cs="Arial"/>
          <w:sz w:val="20"/>
          <w:szCs w:val="20"/>
        </w:rPr>
      </w:pPr>
      <w:r w:rsidRPr="005256E8">
        <w:rPr>
          <w:rFonts w:ascii="Arial" w:hAnsi="Arial" w:cs="Arial"/>
          <w:sz w:val="20"/>
          <w:szCs w:val="20"/>
        </w:rPr>
        <w:t xml:space="preserve">water bodies. The built-up area also indicates a high rate of persistence during the study period. The built-up land area was approximately 182.30 km², indicating stability in the already established urban settlements. The accumulated class, however, obtained a large portion of the land of other types. According to the matrix, approximately 296.11 km² of cultivated land, 34.12 km² </w:t>
      </w:r>
      <w:r w:rsidR="00770284" w:rsidRPr="005256E8">
        <w:rPr>
          <w:rFonts w:ascii="Arial" w:hAnsi="Arial" w:cs="Arial"/>
          <w:sz w:val="20"/>
          <w:szCs w:val="20"/>
        </w:rPr>
        <w:t xml:space="preserve">of forest land, 22.70 km² of barren land, and 1.30 km² of water bodies were transformed into built-up areas. It means that urbanization has been built predominantly at the cost of farmland and green </w:t>
      </w:r>
      <w:r w:rsidR="004C51E7" w:rsidRPr="005256E8">
        <w:rPr>
          <w:rFonts w:ascii="Arial" w:hAnsi="Arial" w:cs="Arial"/>
          <w:sz w:val="20"/>
          <w:szCs w:val="20"/>
        </w:rPr>
        <w:t xml:space="preserve">cover. There was a moderate change in the barren land category. Approximately 9.43 km² of unproductive land remained unchanged, </w:t>
      </w:r>
      <w:r w:rsidR="00B04273" w:rsidRPr="005256E8">
        <w:rPr>
          <w:rFonts w:ascii="Arial" w:hAnsi="Arial" w:cs="Arial"/>
          <w:sz w:val="20"/>
          <w:szCs w:val="20"/>
        </w:rPr>
        <w:t>while 16.25 km² was converted to cultivated land, suggesting that the unused land should be reclaimed for agricultural use</w:t>
      </w:r>
      <w:r w:rsidR="004C51E7" w:rsidRPr="005256E8">
        <w:rPr>
          <w:rFonts w:ascii="Arial" w:hAnsi="Arial" w:cs="Arial"/>
          <w:sz w:val="20"/>
          <w:szCs w:val="20"/>
        </w:rPr>
        <w:t xml:space="preserve">. Moreover, 6.80 km² of barren land also became built-up areas, 2.54 km² forest or vegetation cover, and 0.05 km² water bodies. The forest or vegetation group also clearly experienced some changes. The forest area was left at 12.25 km², while 67.13 km² was converted to cultivated land, indicating </w:t>
      </w:r>
      <w:r w:rsidR="00B04273" w:rsidRPr="005256E8">
        <w:rPr>
          <w:rFonts w:ascii="Arial" w:hAnsi="Arial" w:cs="Arial"/>
          <w:sz w:val="20"/>
          <w:szCs w:val="20"/>
        </w:rPr>
        <w:t>intensified</w:t>
      </w:r>
      <w:r w:rsidR="004C51E7" w:rsidRPr="005256E8">
        <w:rPr>
          <w:rFonts w:ascii="Arial" w:hAnsi="Arial" w:cs="Arial"/>
          <w:sz w:val="20"/>
          <w:szCs w:val="20"/>
        </w:rPr>
        <w:t xml:space="preserve"> agricultural operations in certain areas of the district. Moreover, 13.62 km² of forest land was converted to built-up land, indicating that urban development was encroaching on vegetated areas. Less than 5.09 km² was turned into useless land, and 0.18 km2 of water bodies. Changes in </w:t>
      </w:r>
      <w:r w:rsidR="00B04273" w:rsidRPr="005256E8">
        <w:rPr>
          <w:rFonts w:ascii="Arial" w:hAnsi="Arial" w:cs="Arial"/>
          <w:sz w:val="20"/>
          <w:szCs w:val="20"/>
        </w:rPr>
        <w:t xml:space="preserve">water bodies are relatively small compared to changes in </w:t>
      </w:r>
      <w:r w:rsidR="004C51E7" w:rsidRPr="005256E8">
        <w:rPr>
          <w:rFonts w:ascii="Arial" w:hAnsi="Arial" w:cs="Arial"/>
          <w:sz w:val="20"/>
          <w:szCs w:val="20"/>
        </w:rPr>
        <w:t>the rest of the land use. The water bodies that were not changed occupied about 0.80 km², which was transformed into cultivated land; 1.79 km² into built-up regions; 0.21 km² into forest; and 0.10 km² into barren land.</w:t>
      </w:r>
    </w:p>
    <w:p w14:paraId="50B905F7" w14:textId="7D13DC6A" w:rsidR="008A3F21" w:rsidRPr="005256E8" w:rsidRDefault="004C51E7" w:rsidP="008A3F21">
      <w:pPr>
        <w:spacing w:line="276" w:lineRule="auto"/>
        <w:jc w:val="both"/>
        <w:rPr>
          <w:rFonts w:ascii="Arial" w:hAnsi="Arial" w:cs="Arial"/>
          <w:sz w:val="20"/>
          <w:szCs w:val="20"/>
        </w:rPr>
      </w:pPr>
      <w:r w:rsidRPr="005256E8">
        <w:rPr>
          <w:rFonts w:ascii="Arial" w:hAnsi="Arial" w:cs="Arial"/>
          <w:sz w:val="20"/>
          <w:szCs w:val="20"/>
        </w:rPr>
        <w:t xml:space="preserve">Overall, the transformation matrix indicates that the largest change in land use in the Jalandhar district during 2001-2021 was the conversion of cultivated land to built-up areas, reflecting a high rate of urbanization and the development of residential, commercial, and </w:t>
      </w:r>
      <w:r w:rsidR="008A3F21" w:rsidRPr="005256E8">
        <w:rPr>
          <w:rFonts w:ascii="Arial" w:hAnsi="Arial" w:cs="Arial"/>
          <w:sz w:val="20"/>
          <w:szCs w:val="20"/>
        </w:rPr>
        <w:t xml:space="preserve">industrial activities. </w:t>
      </w:r>
    </w:p>
    <w:p w14:paraId="378230ED" w14:textId="32C23C49" w:rsidR="008A3F21" w:rsidRPr="005256E8" w:rsidRDefault="008A3F21" w:rsidP="003C57FC">
      <w:pPr>
        <w:spacing w:line="276" w:lineRule="auto"/>
        <w:ind w:firstLine="720"/>
        <w:rPr>
          <w:rFonts w:ascii="Arial" w:hAnsi="Arial" w:cs="Arial"/>
          <w:sz w:val="20"/>
          <w:szCs w:val="20"/>
        </w:rPr>
      </w:pPr>
      <w:r w:rsidRPr="005256E8">
        <w:rPr>
          <w:rFonts w:ascii="Arial" w:hAnsi="Arial" w:cs="Arial"/>
          <w:sz w:val="20"/>
          <w:szCs w:val="20"/>
        </w:rPr>
        <w:t>Fig 5</w:t>
      </w:r>
      <w:r w:rsidR="003C57FC">
        <w:rPr>
          <w:rFonts w:ascii="Arial" w:hAnsi="Arial" w:cs="Arial"/>
          <w:sz w:val="20"/>
          <w:szCs w:val="20"/>
        </w:rPr>
        <w:t xml:space="preserve">: </w:t>
      </w:r>
      <w:r w:rsidR="007D483B" w:rsidRPr="007D483B">
        <w:rPr>
          <w:rFonts w:ascii="Arial" w:hAnsi="Arial" w:cs="Arial"/>
          <w:b/>
          <w:sz w:val="20"/>
          <w:szCs w:val="20"/>
        </w:rPr>
        <w:t xml:space="preserve">Map showing the </w:t>
      </w:r>
      <w:r w:rsidR="003C57FC" w:rsidRPr="007D483B">
        <w:rPr>
          <w:rFonts w:ascii="Arial" w:hAnsi="Arial" w:cs="Arial"/>
          <w:b/>
          <w:bCs/>
          <w:sz w:val="22"/>
          <w:szCs w:val="22"/>
        </w:rPr>
        <w:t>Land</w:t>
      </w:r>
      <w:r w:rsidR="003C57FC" w:rsidRPr="00AE5724">
        <w:rPr>
          <w:rFonts w:ascii="Arial" w:hAnsi="Arial" w:cs="Arial"/>
          <w:b/>
          <w:bCs/>
          <w:sz w:val="22"/>
          <w:szCs w:val="22"/>
        </w:rPr>
        <w:t xml:space="preserve"> Use/ Land Cover Change</w:t>
      </w:r>
      <w:r w:rsidR="003C57FC">
        <w:rPr>
          <w:rFonts w:ascii="Arial" w:hAnsi="Arial" w:cs="Arial"/>
          <w:b/>
          <w:bCs/>
          <w:sz w:val="22"/>
          <w:szCs w:val="22"/>
        </w:rPr>
        <w:t>s during 2001-2021</w:t>
      </w:r>
    </w:p>
    <w:p w14:paraId="189BD1B0" w14:textId="40B2F878" w:rsidR="008A3F21" w:rsidRPr="005256E8" w:rsidRDefault="00D60F47" w:rsidP="00067C7D">
      <w:pPr>
        <w:pStyle w:val="NoSpacing"/>
      </w:pPr>
      <w:r>
        <w:rPr>
          <w:noProof/>
          <w14:ligatures w14:val="standardContextual"/>
        </w:rPr>
        <w:lastRenderedPageBreak/>
        <w:drawing>
          <wp:inline distT="0" distB="0" distL="0" distR="0" wp14:anchorId="2CF2FA06" wp14:editId="4459A6F2">
            <wp:extent cx="5943600" cy="4202430"/>
            <wp:effectExtent l="0" t="0" r="0" b="7620"/>
            <wp:docPr id="61372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1389" name="Picture 6137213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2CC7FB65" w14:textId="77777777" w:rsidR="008A3F21" w:rsidRPr="005256E8" w:rsidRDefault="008A3F21" w:rsidP="008A3F21">
      <w:pPr>
        <w:spacing w:line="276" w:lineRule="auto"/>
        <w:jc w:val="both"/>
        <w:rPr>
          <w:rFonts w:ascii="Arial" w:hAnsi="Arial" w:cs="Arial"/>
          <w:sz w:val="20"/>
          <w:szCs w:val="20"/>
        </w:rPr>
      </w:pPr>
      <w:r w:rsidRPr="005256E8">
        <w:rPr>
          <w:rFonts w:ascii="Arial" w:hAnsi="Arial" w:cs="Arial"/>
          <w:sz w:val="20"/>
          <w:szCs w:val="20"/>
        </w:rPr>
        <w:t>Source: Landsat 5 TM (2001) and LANDSAT 8 OLI/TIR (2021)</w:t>
      </w:r>
    </w:p>
    <w:p w14:paraId="48DF98A9" w14:textId="594ED2F3" w:rsidR="004C51E7" w:rsidRDefault="004C51E7" w:rsidP="008A3F21">
      <w:pPr>
        <w:spacing w:line="276" w:lineRule="auto"/>
        <w:jc w:val="both"/>
        <w:rPr>
          <w:rFonts w:ascii="Arial" w:hAnsi="Arial" w:cs="Arial"/>
          <w:sz w:val="20"/>
          <w:szCs w:val="20"/>
        </w:rPr>
      </w:pPr>
      <w:r w:rsidRPr="005256E8">
        <w:rPr>
          <w:rFonts w:ascii="Arial" w:hAnsi="Arial" w:cs="Arial"/>
          <w:sz w:val="20"/>
          <w:szCs w:val="20"/>
        </w:rPr>
        <w:t>Meanwhile, a portion of unproductive land has been terraced to become arable, indicating agricultural growth in some sectors of the district. The above changes underscore the growing strain of human activities on land resources and the significance of sustainable land-use planning in delivering balanced regional development.</w:t>
      </w:r>
    </w:p>
    <w:p w14:paraId="4C14DD0B" w14:textId="74D0CE8A" w:rsidR="00510EDE" w:rsidRDefault="00510EDE" w:rsidP="008A3F21">
      <w:pPr>
        <w:spacing w:line="276" w:lineRule="auto"/>
        <w:jc w:val="both"/>
        <w:rPr>
          <w:rFonts w:ascii="Arial" w:hAnsi="Arial" w:cs="Arial"/>
          <w:sz w:val="20"/>
          <w:szCs w:val="20"/>
        </w:rPr>
      </w:pPr>
      <w:r w:rsidRPr="00510EDE">
        <w:rPr>
          <w:rFonts w:ascii="Arial" w:hAnsi="Arial" w:cs="Arial"/>
          <w:sz w:val="20"/>
          <w:szCs w:val="20"/>
        </w:rPr>
        <w:t xml:space="preserve">The </w:t>
      </w:r>
      <w:r>
        <w:rPr>
          <w:rFonts w:ascii="Arial" w:hAnsi="Arial" w:cs="Arial"/>
          <w:sz w:val="20"/>
          <w:szCs w:val="20"/>
        </w:rPr>
        <w:t>land-use transformation in Jalandhar district is mainly driven by rapid urbanization, population growth, and infrastructure development</w:t>
      </w:r>
      <w:r w:rsidRPr="00510EDE">
        <w:rPr>
          <w:rFonts w:ascii="Arial" w:hAnsi="Arial" w:cs="Arial"/>
          <w:sz w:val="20"/>
          <w:szCs w:val="20"/>
        </w:rPr>
        <w:t xml:space="preserve">. The </w:t>
      </w:r>
      <w:r>
        <w:rPr>
          <w:rFonts w:ascii="Arial" w:hAnsi="Arial" w:cs="Arial"/>
          <w:sz w:val="20"/>
          <w:szCs w:val="20"/>
        </w:rPr>
        <w:t>expansion of developed spaces at the expense of arable land points to an increase in the burden</w:t>
      </w:r>
      <w:r w:rsidRPr="00510EDE">
        <w:rPr>
          <w:rFonts w:ascii="Arial" w:hAnsi="Arial" w:cs="Arial"/>
          <w:sz w:val="20"/>
          <w:szCs w:val="20"/>
        </w:rPr>
        <w:t xml:space="preserve"> on the land resource. This change can </w:t>
      </w:r>
      <w:r w:rsidR="00C75813">
        <w:rPr>
          <w:rFonts w:ascii="Arial" w:hAnsi="Arial" w:cs="Arial"/>
          <w:sz w:val="20"/>
          <w:szCs w:val="20"/>
        </w:rPr>
        <w:t>have major consequences for food security, groundwater recharge, and the ecological balance</w:t>
      </w:r>
      <w:r w:rsidRPr="00510EDE">
        <w:rPr>
          <w:rFonts w:ascii="Arial" w:hAnsi="Arial" w:cs="Arial"/>
          <w:sz w:val="20"/>
          <w:szCs w:val="20"/>
        </w:rPr>
        <w:t xml:space="preserve"> in the area. Vegetation and barren land converted to urban areas also </w:t>
      </w:r>
      <w:r>
        <w:rPr>
          <w:rFonts w:ascii="Arial" w:hAnsi="Arial" w:cs="Arial"/>
          <w:sz w:val="20"/>
          <w:szCs w:val="20"/>
        </w:rPr>
        <w:t>indicate a further increase in anthropogenic activities, which can lead to long-term environmental consequences, including biodiversity loss</w:t>
      </w:r>
      <w:r w:rsidRPr="00510EDE">
        <w:rPr>
          <w:rFonts w:ascii="Arial" w:hAnsi="Arial" w:cs="Arial"/>
          <w:sz w:val="20"/>
          <w:szCs w:val="20"/>
        </w:rPr>
        <w:t xml:space="preserve"> and land degradation.</w:t>
      </w:r>
    </w:p>
    <w:p w14:paraId="4FE1675F" w14:textId="5DF91E60" w:rsidR="00B04273" w:rsidRPr="00AE5724" w:rsidRDefault="00B04273" w:rsidP="00AE5724">
      <w:pPr>
        <w:rPr>
          <w:rFonts w:ascii="Arial" w:eastAsia="Times New Roman" w:hAnsi="Arial" w:cs="Arial"/>
          <w:b/>
          <w:bCs/>
          <w:color w:val="000000"/>
          <w:kern w:val="0"/>
          <w:sz w:val="22"/>
          <w:szCs w:val="22"/>
          <w:lang w:bidi="hi-IN"/>
          <w14:ligatures w14:val="none"/>
        </w:rPr>
      </w:pPr>
      <w:r w:rsidRPr="00AE5724">
        <w:rPr>
          <w:rFonts w:ascii="Arial" w:hAnsi="Arial" w:cs="Arial"/>
          <w:b/>
          <w:bCs/>
          <w:sz w:val="22"/>
          <w:szCs w:val="22"/>
        </w:rPr>
        <w:t xml:space="preserve">Table </w:t>
      </w:r>
      <w:r w:rsidR="000D2C99">
        <w:rPr>
          <w:rFonts w:ascii="Arial" w:hAnsi="Arial" w:cs="Arial"/>
          <w:b/>
          <w:bCs/>
          <w:sz w:val="22"/>
          <w:szCs w:val="22"/>
        </w:rPr>
        <w:t>4</w:t>
      </w:r>
      <w:r w:rsidRPr="00AE5724">
        <w:rPr>
          <w:rFonts w:ascii="Arial" w:hAnsi="Arial" w:cs="Arial"/>
          <w:b/>
          <w:bCs/>
          <w:sz w:val="22"/>
          <w:szCs w:val="22"/>
        </w:rPr>
        <w:t xml:space="preserve"> </w:t>
      </w:r>
      <w:r w:rsidRPr="00AE5724">
        <w:rPr>
          <w:rFonts w:ascii="Arial" w:eastAsia="Times New Roman" w:hAnsi="Arial" w:cs="Arial"/>
          <w:b/>
          <w:bCs/>
          <w:color w:val="000000"/>
          <w:kern w:val="0"/>
          <w:sz w:val="22"/>
          <w:szCs w:val="22"/>
          <w:lang w:bidi="hi-IN"/>
          <w14:ligatures w14:val="none"/>
        </w:rPr>
        <w:t>Jalandhar district Transformation Matrix</w:t>
      </w:r>
    </w:p>
    <w:tbl>
      <w:tblPr>
        <w:tblW w:w="5000" w:type="pct"/>
        <w:tblBorders>
          <w:top w:val="single" w:sz="4" w:space="0" w:color="auto"/>
        </w:tblBorders>
        <w:tblLook w:val="04A0" w:firstRow="1" w:lastRow="0" w:firstColumn="1" w:lastColumn="0" w:noHBand="0" w:noVBand="1"/>
      </w:tblPr>
      <w:tblGrid>
        <w:gridCol w:w="2405"/>
        <w:gridCol w:w="1015"/>
        <w:gridCol w:w="1586"/>
        <w:gridCol w:w="1631"/>
        <w:gridCol w:w="1252"/>
        <w:gridCol w:w="1471"/>
      </w:tblGrid>
      <w:tr w:rsidR="00B04273" w:rsidRPr="005256E8" w14:paraId="4D6D33BD" w14:textId="77777777" w:rsidTr="00B04273">
        <w:trPr>
          <w:trHeight w:val="288"/>
        </w:trPr>
        <w:tc>
          <w:tcPr>
            <w:tcW w:w="1285" w:type="pct"/>
            <w:noWrap/>
            <w:vAlign w:val="center"/>
            <w:hideMark/>
          </w:tcPr>
          <w:p w14:paraId="08B606AE"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Land Use Categories</w:t>
            </w:r>
          </w:p>
        </w:tc>
        <w:tc>
          <w:tcPr>
            <w:tcW w:w="542" w:type="pct"/>
            <w:noWrap/>
            <w:vAlign w:val="center"/>
            <w:hideMark/>
          </w:tcPr>
          <w:p w14:paraId="023CFCEE"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Water</w:t>
            </w:r>
          </w:p>
          <w:p w14:paraId="4A2B0313" w14:textId="2B4BF926"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c>
          <w:tcPr>
            <w:tcW w:w="847" w:type="pct"/>
            <w:noWrap/>
            <w:vAlign w:val="center"/>
            <w:hideMark/>
          </w:tcPr>
          <w:p w14:paraId="3119424C"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Built-Up Area</w:t>
            </w:r>
          </w:p>
          <w:p w14:paraId="6F21BCC7" w14:textId="31112A30"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c>
          <w:tcPr>
            <w:tcW w:w="871" w:type="pct"/>
            <w:noWrap/>
            <w:vAlign w:val="center"/>
            <w:hideMark/>
          </w:tcPr>
          <w:p w14:paraId="613ADB2B"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Barren Land</w:t>
            </w:r>
          </w:p>
          <w:p w14:paraId="7C540611" w14:textId="29F6EFBE"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c>
          <w:tcPr>
            <w:tcW w:w="669" w:type="pct"/>
            <w:noWrap/>
            <w:vAlign w:val="center"/>
            <w:hideMark/>
          </w:tcPr>
          <w:p w14:paraId="5497BFB5"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Forest</w:t>
            </w:r>
          </w:p>
          <w:p w14:paraId="3E79AA0B" w14:textId="5CA27671"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c>
          <w:tcPr>
            <w:tcW w:w="786" w:type="pct"/>
            <w:noWrap/>
            <w:vAlign w:val="center"/>
            <w:hideMark/>
          </w:tcPr>
          <w:p w14:paraId="43A41E15"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Cultivated</w:t>
            </w:r>
          </w:p>
          <w:p w14:paraId="5C7D492D" w14:textId="0A22E852"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r>
      <w:tr w:rsidR="00B04273" w:rsidRPr="005256E8" w14:paraId="769562EF" w14:textId="77777777" w:rsidTr="00B04273">
        <w:trPr>
          <w:trHeight w:val="288"/>
        </w:trPr>
        <w:tc>
          <w:tcPr>
            <w:tcW w:w="1285" w:type="pct"/>
            <w:noWrap/>
            <w:vAlign w:val="center"/>
            <w:hideMark/>
          </w:tcPr>
          <w:p w14:paraId="7166C52E"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Water</w:t>
            </w:r>
          </w:p>
        </w:tc>
        <w:tc>
          <w:tcPr>
            <w:tcW w:w="542" w:type="pct"/>
            <w:noWrap/>
            <w:vAlign w:val="center"/>
            <w:hideMark/>
          </w:tcPr>
          <w:p w14:paraId="0EA768A7"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0.80</w:t>
            </w:r>
          </w:p>
        </w:tc>
        <w:tc>
          <w:tcPr>
            <w:tcW w:w="847" w:type="pct"/>
            <w:noWrap/>
            <w:vAlign w:val="center"/>
            <w:hideMark/>
          </w:tcPr>
          <w:p w14:paraId="47669AB8"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0.83</w:t>
            </w:r>
          </w:p>
        </w:tc>
        <w:tc>
          <w:tcPr>
            <w:tcW w:w="871" w:type="pct"/>
            <w:noWrap/>
            <w:vAlign w:val="center"/>
            <w:hideMark/>
          </w:tcPr>
          <w:p w14:paraId="464A6CB2"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0.10</w:t>
            </w:r>
          </w:p>
        </w:tc>
        <w:tc>
          <w:tcPr>
            <w:tcW w:w="669" w:type="pct"/>
            <w:noWrap/>
            <w:vAlign w:val="center"/>
            <w:hideMark/>
          </w:tcPr>
          <w:p w14:paraId="3038B910"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0.21</w:t>
            </w:r>
          </w:p>
        </w:tc>
        <w:tc>
          <w:tcPr>
            <w:tcW w:w="786" w:type="pct"/>
            <w:noWrap/>
            <w:vAlign w:val="center"/>
            <w:hideMark/>
          </w:tcPr>
          <w:p w14:paraId="0B2070D5"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1.79</w:t>
            </w:r>
          </w:p>
        </w:tc>
      </w:tr>
      <w:tr w:rsidR="00B04273" w:rsidRPr="005256E8" w14:paraId="50AD3FDF" w14:textId="77777777" w:rsidTr="00B04273">
        <w:trPr>
          <w:trHeight w:val="288"/>
        </w:trPr>
        <w:tc>
          <w:tcPr>
            <w:tcW w:w="1285" w:type="pct"/>
            <w:noWrap/>
            <w:vAlign w:val="center"/>
            <w:hideMark/>
          </w:tcPr>
          <w:p w14:paraId="5C015692" w14:textId="39783F9B"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Built-Up Area</w:t>
            </w:r>
          </w:p>
        </w:tc>
        <w:tc>
          <w:tcPr>
            <w:tcW w:w="542" w:type="pct"/>
            <w:noWrap/>
            <w:vAlign w:val="center"/>
            <w:hideMark/>
          </w:tcPr>
          <w:p w14:paraId="3A6300AC"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1.30</w:t>
            </w:r>
          </w:p>
        </w:tc>
        <w:tc>
          <w:tcPr>
            <w:tcW w:w="847" w:type="pct"/>
            <w:noWrap/>
            <w:vAlign w:val="center"/>
            <w:hideMark/>
          </w:tcPr>
          <w:p w14:paraId="031D93F7"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182.30</w:t>
            </w:r>
          </w:p>
        </w:tc>
        <w:tc>
          <w:tcPr>
            <w:tcW w:w="871" w:type="pct"/>
            <w:noWrap/>
            <w:vAlign w:val="center"/>
            <w:hideMark/>
          </w:tcPr>
          <w:p w14:paraId="20C2172A"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22.70</w:t>
            </w:r>
          </w:p>
        </w:tc>
        <w:tc>
          <w:tcPr>
            <w:tcW w:w="669" w:type="pct"/>
            <w:noWrap/>
            <w:vAlign w:val="center"/>
            <w:hideMark/>
          </w:tcPr>
          <w:p w14:paraId="50FF7516"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34.12</w:t>
            </w:r>
          </w:p>
        </w:tc>
        <w:tc>
          <w:tcPr>
            <w:tcW w:w="786" w:type="pct"/>
            <w:noWrap/>
            <w:vAlign w:val="center"/>
            <w:hideMark/>
          </w:tcPr>
          <w:p w14:paraId="733B9AC4"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296.11</w:t>
            </w:r>
          </w:p>
        </w:tc>
      </w:tr>
      <w:tr w:rsidR="00B04273" w:rsidRPr="005256E8" w14:paraId="2F07A316" w14:textId="77777777" w:rsidTr="00B04273">
        <w:trPr>
          <w:trHeight w:val="288"/>
        </w:trPr>
        <w:tc>
          <w:tcPr>
            <w:tcW w:w="1285" w:type="pct"/>
            <w:noWrap/>
            <w:vAlign w:val="center"/>
            <w:hideMark/>
          </w:tcPr>
          <w:p w14:paraId="217832CB" w14:textId="552CDD39"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Barren Land</w:t>
            </w:r>
          </w:p>
        </w:tc>
        <w:tc>
          <w:tcPr>
            <w:tcW w:w="542" w:type="pct"/>
            <w:noWrap/>
            <w:vAlign w:val="center"/>
            <w:hideMark/>
          </w:tcPr>
          <w:p w14:paraId="1B4154FD"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0.05</w:t>
            </w:r>
          </w:p>
        </w:tc>
        <w:tc>
          <w:tcPr>
            <w:tcW w:w="847" w:type="pct"/>
            <w:noWrap/>
            <w:vAlign w:val="center"/>
            <w:hideMark/>
          </w:tcPr>
          <w:p w14:paraId="34662D13"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6.80</w:t>
            </w:r>
          </w:p>
        </w:tc>
        <w:tc>
          <w:tcPr>
            <w:tcW w:w="871" w:type="pct"/>
            <w:noWrap/>
            <w:vAlign w:val="center"/>
            <w:hideMark/>
          </w:tcPr>
          <w:p w14:paraId="4EDC1076"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9.43</w:t>
            </w:r>
          </w:p>
        </w:tc>
        <w:tc>
          <w:tcPr>
            <w:tcW w:w="669" w:type="pct"/>
            <w:noWrap/>
            <w:vAlign w:val="center"/>
            <w:hideMark/>
          </w:tcPr>
          <w:p w14:paraId="6B70618C"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2.54</w:t>
            </w:r>
          </w:p>
        </w:tc>
        <w:tc>
          <w:tcPr>
            <w:tcW w:w="786" w:type="pct"/>
            <w:noWrap/>
            <w:vAlign w:val="center"/>
            <w:hideMark/>
          </w:tcPr>
          <w:p w14:paraId="515B1A2A"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16.25</w:t>
            </w:r>
          </w:p>
        </w:tc>
      </w:tr>
      <w:tr w:rsidR="00B04273" w:rsidRPr="005256E8" w14:paraId="42F03975" w14:textId="77777777" w:rsidTr="00B04273">
        <w:trPr>
          <w:trHeight w:val="288"/>
        </w:trPr>
        <w:tc>
          <w:tcPr>
            <w:tcW w:w="1285" w:type="pct"/>
            <w:noWrap/>
            <w:vAlign w:val="center"/>
            <w:hideMark/>
          </w:tcPr>
          <w:p w14:paraId="53085710" w14:textId="131A921C"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Forest</w:t>
            </w:r>
          </w:p>
        </w:tc>
        <w:tc>
          <w:tcPr>
            <w:tcW w:w="542" w:type="pct"/>
            <w:noWrap/>
            <w:vAlign w:val="center"/>
            <w:hideMark/>
          </w:tcPr>
          <w:p w14:paraId="0200D303"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0.18</w:t>
            </w:r>
          </w:p>
        </w:tc>
        <w:tc>
          <w:tcPr>
            <w:tcW w:w="847" w:type="pct"/>
            <w:noWrap/>
            <w:vAlign w:val="center"/>
            <w:hideMark/>
          </w:tcPr>
          <w:p w14:paraId="74ABD787"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13.62</w:t>
            </w:r>
          </w:p>
        </w:tc>
        <w:tc>
          <w:tcPr>
            <w:tcW w:w="871" w:type="pct"/>
            <w:noWrap/>
            <w:vAlign w:val="center"/>
            <w:hideMark/>
          </w:tcPr>
          <w:p w14:paraId="7F785425"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5.09</w:t>
            </w:r>
          </w:p>
        </w:tc>
        <w:tc>
          <w:tcPr>
            <w:tcW w:w="669" w:type="pct"/>
            <w:noWrap/>
            <w:vAlign w:val="center"/>
            <w:hideMark/>
          </w:tcPr>
          <w:p w14:paraId="46411B2F"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12.25</w:t>
            </w:r>
          </w:p>
        </w:tc>
        <w:tc>
          <w:tcPr>
            <w:tcW w:w="786" w:type="pct"/>
            <w:noWrap/>
            <w:vAlign w:val="center"/>
            <w:hideMark/>
          </w:tcPr>
          <w:p w14:paraId="4ABCAAC6"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67.13</w:t>
            </w:r>
          </w:p>
        </w:tc>
      </w:tr>
      <w:tr w:rsidR="00B04273" w:rsidRPr="005256E8" w14:paraId="6C99D740" w14:textId="77777777" w:rsidTr="00B04273">
        <w:trPr>
          <w:trHeight w:val="288"/>
        </w:trPr>
        <w:tc>
          <w:tcPr>
            <w:tcW w:w="1285" w:type="pct"/>
            <w:noWrap/>
            <w:vAlign w:val="center"/>
            <w:hideMark/>
          </w:tcPr>
          <w:p w14:paraId="14D91AF1" w14:textId="7D6404EC"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Cultivated</w:t>
            </w:r>
          </w:p>
        </w:tc>
        <w:tc>
          <w:tcPr>
            <w:tcW w:w="542" w:type="pct"/>
            <w:noWrap/>
            <w:vAlign w:val="center"/>
            <w:hideMark/>
          </w:tcPr>
          <w:p w14:paraId="67EB566E"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1.01</w:t>
            </w:r>
          </w:p>
        </w:tc>
        <w:tc>
          <w:tcPr>
            <w:tcW w:w="847" w:type="pct"/>
            <w:noWrap/>
            <w:vAlign w:val="center"/>
            <w:hideMark/>
          </w:tcPr>
          <w:p w14:paraId="4A5FB3B8"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296.11</w:t>
            </w:r>
          </w:p>
        </w:tc>
        <w:tc>
          <w:tcPr>
            <w:tcW w:w="871" w:type="pct"/>
            <w:noWrap/>
            <w:vAlign w:val="center"/>
            <w:hideMark/>
          </w:tcPr>
          <w:p w14:paraId="547E7A0D"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44.85</w:t>
            </w:r>
          </w:p>
        </w:tc>
        <w:tc>
          <w:tcPr>
            <w:tcW w:w="669" w:type="pct"/>
            <w:noWrap/>
            <w:vAlign w:val="center"/>
            <w:hideMark/>
          </w:tcPr>
          <w:p w14:paraId="131D2742"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46.71</w:t>
            </w:r>
          </w:p>
        </w:tc>
        <w:tc>
          <w:tcPr>
            <w:tcW w:w="786" w:type="pct"/>
            <w:noWrap/>
            <w:vAlign w:val="center"/>
            <w:hideMark/>
          </w:tcPr>
          <w:p w14:paraId="6077BCFB"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1505.26</w:t>
            </w:r>
          </w:p>
        </w:tc>
      </w:tr>
    </w:tbl>
    <w:p w14:paraId="5EF715E7" w14:textId="31D81776" w:rsidR="00B04273" w:rsidRPr="005256E8" w:rsidRDefault="00B04273" w:rsidP="007A25CC">
      <w:pPr>
        <w:spacing w:line="276" w:lineRule="auto"/>
        <w:jc w:val="both"/>
        <w:rPr>
          <w:rFonts w:ascii="Arial" w:hAnsi="Arial" w:cs="Arial"/>
          <w:sz w:val="20"/>
          <w:szCs w:val="20"/>
        </w:rPr>
      </w:pPr>
      <w:r w:rsidRPr="005256E8">
        <w:rPr>
          <w:rFonts w:ascii="Arial" w:hAnsi="Arial" w:cs="Arial"/>
          <w:sz w:val="20"/>
          <w:szCs w:val="20"/>
        </w:rPr>
        <w:lastRenderedPageBreak/>
        <w:t>Source: Landsat 5 TM (2001) and LANDSAT 8 OLI/TIR (2021)</w:t>
      </w:r>
    </w:p>
    <w:p w14:paraId="44F064C9" w14:textId="71A8242D" w:rsidR="004C51E7" w:rsidRPr="00AE5724" w:rsidRDefault="00BD4C68" w:rsidP="006D38A6">
      <w:pPr>
        <w:spacing w:after="0" w:line="276" w:lineRule="auto"/>
        <w:jc w:val="both"/>
        <w:rPr>
          <w:rFonts w:ascii="Arial" w:hAnsi="Arial" w:cs="Arial"/>
          <w:b/>
          <w:bCs/>
          <w:sz w:val="22"/>
          <w:szCs w:val="22"/>
        </w:rPr>
      </w:pPr>
      <w:r w:rsidRPr="00AE5724">
        <w:rPr>
          <w:rFonts w:ascii="Arial" w:hAnsi="Arial" w:cs="Arial"/>
          <w:b/>
          <w:bCs/>
          <w:sz w:val="22"/>
          <w:szCs w:val="22"/>
        </w:rPr>
        <w:t xml:space="preserve">Conclusion and Policy Implications </w:t>
      </w:r>
    </w:p>
    <w:p w14:paraId="089019BC" w14:textId="199E342B" w:rsidR="006D38A6" w:rsidRPr="006D38A6" w:rsidRDefault="006D38A6" w:rsidP="006D38A6">
      <w:pPr>
        <w:spacing w:after="0" w:line="276" w:lineRule="auto"/>
        <w:ind w:firstLine="720"/>
        <w:jc w:val="both"/>
        <w:rPr>
          <w:rFonts w:ascii="Arial" w:hAnsi="Arial" w:cs="Arial"/>
          <w:sz w:val="20"/>
          <w:szCs w:val="20"/>
        </w:rPr>
      </w:pPr>
      <w:r w:rsidRPr="006D38A6">
        <w:rPr>
          <w:rFonts w:ascii="Arial" w:hAnsi="Arial" w:cs="Arial"/>
          <w:sz w:val="20"/>
          <w:szCs w:val="20"/>
        </w:rPr>
        <w:t xml:space="preserve">The </w:t>
      </w:r>
      <w:r>
        <w:rPr>
          <w:rFonts w:ascii="Arial" w:hAnsi="Arial" w:cs="Arial"/>
          <w:sz w:val="20"/>
          <w:szCs w:val="20"/>
        </w:rPr>
        <w:t>Present</w:t>
      </w:r>
      <w:r w:rsidRPr="006D38A6">
        <w:rPr>
          <w:rFonts w:ascii="Arial" w:hAnsi="Arial" w:cs="Arial"/>
          <w:sz w:val="20"/>
          <w:szCs w:val="20"/>
        </w:rPr>
        <w:t xml:space="preserve"> study explored </w:t>
      </w:r>
      <w:r>
        <w:rPr>
          <w:rFonts w:ascii="Arial" w:hAnsi="Arial" w:cs="Arial"/>
          <w:sz w:val="20"/>
          <w:szCs w:val="20"/>
        </w:rPr>
        <w:t>land use and land cover (LULC) patterns in 2001 and 2021 in Jalandhar district using</w:t>
      </w:r>
      <w:r w:rsidRPr="006D38A6">
        <w:rPr>
          <w:rFonts w:ascii="Arial" w:hAnsi="Arial" w:cs="Arial"/>
          <w:sz w:val="20"/>
          <w:szCs w:val="20"/>
        </w:rPr>
        <w:t xml:space="preserve"> remote sensing and GIS techniques. It indicates that the dominant </w:t>
      </w:r>
      <w:r>
        <w:rPr>
          <w:rFonts w:ascii="Arial" w:hAnsi="Arial" w:cs="Arial"/>
          <w:sz w:val="20"/>
          <w:szCs w:val="20"/>
        </w:rPr>
        <w:t xml:space="preserve">land use remains cultivated land, and a huge increase in the built-up area suggests that </w:t>
      </w:r>
      <w:r w:rsidRPr="006D38A6">
        <w:rPr>
          <w:rFonts w:ascii="Arial" w:hAnsi="Arial" w:cs="Arial"/>
          <w:sz w:val="20"/>
          <w:szCs w:val="20"/>
        </w:rPr>
        <w:t xml:space="preserve">urban sprawl is not gone. The transformation matrix </w:t>
      </w:r>
      <w:r>
        <w:rPr>
          <w:rFonts w:ascii="Arial" w:hAnsi="Arial" w:cs="Arial"/>
          <w:sz w:val="20"/>
          <w:szCs w:val="20"/>
        </w:rPr>
        <w:t>shows that agricultural land has been replaced by built-up areas in large percentages, which is why the impact</w:t>
      </w:r>
      <w:r w:rsidRPr="006D38A6">
        <w:rPr>
          <w:rFonts w:ascii="Arial" w:hAnsi="Arial" w:cs="Arial"/>
          <w:sz w:val="20"/>
          <w:szCs w:val="20"/>
        </w:rPr>
        <w:t xml:space="preserve"> of urbanization is increasing on the local landscape.</w:t>
      </w:r>
    </w:p>
    <w:p w14:paraId="4949C3A4" w14:textId="431F19FE" w:rsidR="00F67F18" w:rsidRDefault="006D38A6" w:rsidP="006D38A6">
      <w:pPr>
        <w:spacing w:after="0" w:line="276" w:lineRule="auto"/>
        <w:ind w:firstLine="720"/>
        <w:jc w:val="both"/>
        <w:rPr>
          <w:rFonts w:ascii="Arial" w:hAnsi="Arial" w:cs="Arial"/>
          <w:sz w:val="20"/>
          <w:szCs w:val="20"/>
        </w:rPr>
      </w:pPr>
      <w:r w:rsidRPr="006D38A6">
        <w:rPr>
          <w:rFonts w:ascii="Arial" w:hAnsi="Arial" w:cs="Arial"/>
          <w:sz w:val="20"/>
          <w:szCs w:val="20"/>
        </w:rPr>
        <w:t xml:space="preserve">Despite the </w:t>
      </w:r>
      <w:r w:rsidR="00D60F47">
        <w:rPr>
          <w:rFonts w:ascii="Arial" w:hAnsi="Arial" w:cs="Arial"/>
          <w:sz w:val="20"/>
          <w:szCs w:val="20"/>
        </w:rPr>
        <w:t xml:space="preserve">moderate overall changes, this indicates </w:t>
      </w:r>
      <w:r>
        <w:rPr>
          <w:rFonts w:ascii="Arial" w:hAnsi="Arial" w:cs="Arial"/>
          <w:sz w:val="20"/>
          <w:szCs w:val="20"/>
        </w:rPr>
        <w:t xml:space="preserve">slow but continuous pressure on agricultural land and </w:t>
      </w:r>
      <w:r w:rsidRPr="006D38A6">
        <w:rPr>
          <w:rFonts w:ascii="Arial" w:hAnsi="Arial" w:cs="Arial"/>
          <w:sz w:val="20"/>
          <w:szCs w:val="20"/>
        </w:rPr>
        <w:t xml:space="preserve">environmental resources. These findings show that unplanned urbanization may lead to </w:t>
      </w:r>
      <w:r>
        <w:rPr>
          <w:rFonts w:ascii="Arial" w:hAnsi="Arial" w:cs="Arial"/>
          <w:sz w:val="20"/>
          <w:szCs w:val="20"/>
        </w:rPr>
        <w:t>long-term problems such as soil erosion and food insecurity</w:t>
      </w:r>
      <w:r w:rsidRPr="006D38A6">
        <w:rPr>
          <w:rFonts w:ascii="Arial" w:hAnsi="Arial" w:cs="Arial"/>
          <w:sz w:val="20"/>
          <w:szCs w:val="20"/>
        </w:rPr>
        <w:t xml:space="preserve">. Therefore, it is very important to ensure </w:t>
      </w:r>
      <w:r w:rsidR="002A630E">
        <w:rPr>
          <w:rFonts w:ascii="Arial" w:hAnsi="Arial" w:cs="Arial"/>
          <w:sz w:val="20"/>
          <w:szCs w:val="20"/>
        </w:rPr>
        <w:t xml:space="preserve">proper land-use planning, the preservation of productive lands, and the </w:t>
      </w:r>
      <w:r>
        <w:rPr>
          <w:rFonts w:ascii="Arial" w:hAnsi="Arial" w:cs="Arial"/>
          <w:sz w:val="20"/>
          <w:szCs w:val="20"/>
        </w:rPr>
        <w:t>enhancement of</w:t>
      </w:r>
      <w:r w:rsidRPr="006D38A6">
        <w:rPr>
          <w:rFonts w:ascii="Arial" w:hAnsi="Arial" w:cs="Arial"/>
          <w:sz w:val="20"/>
          <w:szCs w:val="20"/>
        </w:rPr>
        <w:t xml:space="preserve"> sustainable urban development. The research also indicates that geospatial techniques can be applied </w:t>
      </w:r>
      <w:r>
        <w:rPr>
          <w:rFonts w:ascii="Arial" w:hAnsi="Arial" w:cs="Arial"/>
          <w:sz w:val="20"/>
          <w:szCs w:val="20"/>
        </w:rPr>
        <w:t xml:space="preserve">to track land-use change, enabling practical decision-making to </w:t>
      </w:r>
      <w:r w:rsidR="00D60F47">
        <w:rPr>
          <w:rFonts w:ascii="Arial" w:hAnsi="Arial" w:cs="Arial"/>
          <w:sz w:val="20"/>
          <w:szCs w:val="20"/>
        </w:rPr>
        <w:t>support sound development in</w:t>
      </w:r>
      <w:r>
        <w:rPr>
          <w:rFonts w:ascii="Arial" w:hAnsi="Arial" w:cs="Arial"/>
          <w:sz w:val="20"/>
          <w:szCs w:val="20"/>
        </w:rPr>
        <w:t xml:space="preserve"> areas</w:t>
      </w:r>
      <w:r w:rsidRPr="006D38A6">
        <w:rPr>
          <w:rFonts w:ascii="Arial" w:hAnsi="Arial" w:cs="Arial"/>
          <w:sz w:val="20"/>
          <w:szCs w:val="20"/>
        </w:rPr>
        <w:t>.</w:t>
      </w:r>
      <w:r>
        <w:rPr>
          <w:rFonts w:ascii="Arial" w:hAnsi="Arial" w:cs="Arial"/>
          <w:sz w:val="20"/>
          <w:szCs w:val="20"/>
        </w:rPr>
        <w:t xml:space="preserve"> </w:t>
      </w:r>
      <w:r w:rsidR="00BD4C68" w:rsidRPr="005256E8">
        <w:rPr>
          <w:rFonts w:ascii="Arial" w:hAnsi="Arial" w:cs="Arial"/>
          <w:sz w:val="20"/>
          <w:szCs w:val="20"/>
        </w:rPr>
        <w:t xml:space="preserve">(Foley et al., 2005; </w:t>
      </w:r>
      <w:proofErr w:type="spellStart"/>
      <w:r w:rsidR="00BD4C68" w:rsidRPr="005256E8">
        <w:rPr>
          <w:rFonts w:ascii="Arial" w:hAnsi="Arial" w:cs="Arial"/>
          <w:sz w:val="20"/>
          <w:szCs w:val="20"/>
        </w:rPr>
        <w:t>Lambin</w:t>
      </w:r>
      <w:proofErr w:type="spellEnd"/>
      <w:r w:rsidR="00BD4C68" w:rsidRPr="005256E8">
        <w:rPr>
          <w:rFonts w:ascii="Arial" w:hAnsi="Arial" w:cs="Arial"/>
          <w:sz w:val="20"/>
          <w:szCs w:val="20"/>
        </w:rPr>
        <w:t xml:space="preserve"> &amp; Geist, 2006; </w:t>
      </w:r>
      <w:proofErr w:type="spellStart"/>
      <w:r w:rsidR="00BD4C68" w:rsidRPr="005256E8">
        <w:rPr>
          <w:rFonts w:ascii="Arial" w:hAnsi="Arial" w:cs="Arial"/>
          <w:sz w:val="20"/>
          <w:szCs w:val="20"/>
        </w:rPr>
        <w:t>Seto</w:t>
      </w:r>
      <w:proofErr w:type="spellEnd"/>
      <w:r w:rsidR="00BD4C68" w:rsidRPr="005256E8">
        <w:rPr>
          <w:rFonts w:ascii="Arial" w:hAnsi="Arial" w:cs="Arial"/>
          <w:sz w:val="20"/>
          <w:szCs w:val="20"/>
        </w:rPr>
        <w:t xml:space="preserve"> et al., 2012; Roy et al., 2015).</w:t>
      </w:r>
    </w:p>
    <w:p w14:paraId="780A5554" w14:textId="77777777" w:rsidR="00B6226E" w:rsidRDefault="00B6226E" w:rsidP="00F341CE">
      <w:pPr>
        <w:pStyle w:val="NoSpacing"/>
        <w:rPr>
          <w:rFonts w:ascii="Arial" w:hAnsi="Arial" w:cs="Arial"/>
          <w:highlight w:val="yellow"/>
        </w:rPr>
      </w:pPr>
    </w:p>
    <w:p w14:paraId="4A6E829C" w14:textId="0607E5DF" w:rsidR="00F341CE" w:rsidRPr="007D483B" w:rsidRDefault="00F341CE" w:rsidP="00F341CE">
      <w:pPr>
        <w:pStyle w:val="NoSpacing"/>
        <w:rPr>
          <w:rFonts w:ascii="Arial" w:hAnsi="Arial" w:cs="Arial"/>
          <w:b/>
          <w:highlight w:val="yellow"/>
        </w:rPr>
      </w:pPr>
      <w:r w:rsidRPr="007D483B">
        <w:rPr>
          <w:rFonts w:ascii="Arial" w:hAnsi="Arial" w:cs="Arial"/>
          <w:b/>
          <w:highlight w:val="yellow"/>
        </w:rPr>
        <w:t>Disclaimer (Artificial intelligence)</w:t>
      </w:r>
    </w:p>
    <w:p w14:paraId="0C957962" w14:textId="77777777" w:rsidR="00F341CE" w:rsidRPr="00005ED1" w:rsidRDefault="00F341CE" w:rsidP="00F341CE">
      <w:pPr>
        <w:pStyle w:val="NoSpacing"/>
        <w:rPr>
          <w:rFonts w:ascii="Arial" w:hAnsi="Arial" w:cs="Arial"/>
          <w:highlight w:val="yellow"/>
        </w:rPr>
      </w:pPr>
    </w:p>
    <w:p w14:paraId="5D5E6EDB" w14:textId="77777777" w:rsidR="00F341CE" w:rsidRPr="00005ED1" w:rsidRDefault="00F341CE" w:rsidP="00F341CE">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p w14:paraId="0ACFA1A0" w14:textId="77777777" w:rsidR="00F341CE" w:rsidRDefault="00F341CE" w:rsidP="00F341CE">
      <w:pPr>
        <w:pStyle w:val="NoSpacing"/>
        <w:rPr>
          <w:rFonts w:ascii="Arial" w:hAnsi="Arial" w:cs="Arial"/>
        </w:rPr>
      </w:pPr>
    </w:p>
    <w:p w14:paraId="5A783756" w14:textId="77777777" w:rsidR="00F341CE" w:rsidRDefault="00F341CE" w:rsidP="00F341CE">
      <w:pPr>
        <w:pStyle w:val="NoSpacing"/>
        <w:rPr>
          <w:rFonts w:ascii="Arial" w:hAnsi="Arial" w:cs="Arial"/>
        </w:rPr>
      </w:pPr>
    </w:p>
    <w:p w14:paraId="50EFD1A2" w14:textId="77777777" w:rsidR="00F341CE" w:rsidRPr="00005ED1" w:rsidRDefault="00F341CE" w:rsidP="00F341CE">
      <w:pPr>
        <w:pStyle w:val="NoSpacing"/>
        <w:rPr>
          <w:rFonts w:ascii="Arial" w:hAnsi="Arial" w:cs="Arial"/>
        </w:rPr>
      </w:pPr>
    </w:p>
    <w:p w14:paraId="23F80037" w14:textId="77777777" w:rsidR="00D60F47" w:rsidRPr="005256E8" w:rsidRDefault="00D60F47" w:rsidP="00B11F21">
      <w:pPr>
        <w:spacing w:line="276" w:lineRule="auto"/>
        <w:ind w:firstLine="720"/>
        <w:jc w:val="both"/>
        <w:rPr>
          <w:rFonts w:ascii="Arial" w:hAnsi="Arial" w:cs="Arial"/>
          <w:sz w:val="20"/>
          <w:szCs w:val="20"/>
        </w:rPr>
      </w:pPr>
    </w:p>
    <w:p w14:paraId="4385990F" w14:textId="54E7CE36" w:rsidR="00FD6340" w:rsidRPr="005256E8" w:rsidRDefault="006D3B64" w:rsidP="008C0832">
      <w:pPr>
        <w:spacing w:line="276" w:lineRule="auto"/>
        <w:jc w:val="both"/>
        <w:rPr>
          <w:rFonts w:ascii="Arial" w:hAnsi="Arial" w:cs="Arial"/>
          <w:b/>
          <w:bCs/>
          <w:sz w:val="20"/>
          <w:szCs w:val="20"/>
        </w:rPr>
      </w:pPr>
      <w:r w:rsidRPr="00AE5724">
        <w:rPr>
          <w:rFonts w:ascii="Arial" w:hAnsi="Arial" w:cs="Arial"/>
          <w:b/>
          <w:bCs/>
          <w:sz w:val="22"/>
          <w:szCs w:val="22"/>
        </w:rPr>
        <w:t>References</w:t>
      </w:r>
    </w:p>
    <w:p w14:paraId="574C223D" w14:textId="559CDBCE" w:rsidR="00BD4C68" w:rsidRPr="00EC4F0B" w:rsidRDefault="00BD4C68"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Ambin</w:t>
      </w:r>
      <w:proofErr w:type="spellEnd"/>
      <w:r w:rsidRPr="00EC4F0B">
        <w:rPr>
          <w:rFonts w:ascii="Arial" w:hAnsi="Arial" w:cs="Arial"/>
          <w:sz w:val="20"/>
          <w:szCs w:val="20"/>
        </w:rPr>
        <w:t xml:space="preserve">, E. F., &amp; Geist, H. J. (2006). </w:t>
      </w:r>
      <w:r w:rsidRPr="00EC4F0B">
        <w:rPr>
          <w:rFonts w:ascii="Arial" w:hAnsi="Arial" w:cs="Arial"/>
          <w:i/>
          <w:iCs/>
          <w:sz w:val="20"/>
          <w:szCs w:val="20"/>
        </w:rPr>
        <w:t>Land-use and land-cover change: Local processes and global impacts</w:t>
      </w:r>
      <w:r w:rsidRPr="00EC4F0B">
        <w:rPr>
          <w:rFonts w:ascii="Arial" w:hAnsi="Arial" w:cs="Arial"/>
          <w:sz w:val="20"/>
          <w:szCs w:val="20"/>
        </w:rPr>
        <w:t xml:space="preserve">. Springer. </w:t>
      </w:r>
      <w:hyperlink r:id="rId13" w:tgtFrame="_new" w:history="1">
        <w:r w:rsidRPr="00EC4F0B">
          <w:rPr>
            <w:rStyle w:val="Hyperlink"/>
            <w:rFonts w:ascii="Arial" w:hAnsi="Arial" w:cs="Arial"/>
            <w:sz w:val="20"/>
            <w:szCs w:val="20"/>
          </w:rPr>
          <w:t>https://doi.org/10.1007/3-540-32202-7</w:t>
        </w:r>
      </w:hyperlink>
    </w:p>
    <w:p w14:paraId="1ECA5C7F" w14:textId="773E0181" w:rsidR="00BD4C68" w:rsidRPr="00EC4F0B" w:rsidRDefault="00B33B86"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Chughtai</w:t>
      </w:r>
      <w:proofErr w:type="spellEnd"/>
      <w:r w:rsidRPr="00EC4F0B">
        <w:rPr>
          <w:rFonts w:ascii="Arial" w:hAnsi="Arial" w:cs="Arial"/>
          <w:sz w:val="20"/>
          <w:szCs w:val="20"/>
        </w:rPr>
        <w:t xml:space="preserve">, A.H., Abbasi, H. and </w:t>
      </w:r>
      <w:proofErr w:type="spellStart"/>
      <w:r w:rsidRPr="00EC4F0B">
        <w:rPr>
          <w:rFonts w:ascii="Arial" w:hAnsi="Arial" w:cs="Arial"/>
          <w:sz w:val="20"/>
          <w:szCs w:val="20"/>
        </w:rPr>
        <w:t>Karas</w:t>
      </w:r>
      <w:proofErr w:type="spellEnd"/>
      <w:r w:rsidRPr="00EC4F0B">
        <w:rPr>
          <w:rFonts w:ascii="Arial" w:hAnsi="Arial" w:cs="Arial"/>
          <w:sz w:val="20"/>
          <w:szCs w:val="20"/>
        </w:rPr>
        <w:t>, I.R. (2021) A Review on Change Detection Method and Accuracy Assessment for Land Use Land Cover. Remote Sensing Applications: Society and Environment, 22, Article ID:100482. https://doi.org/10.1016/j.rsase.2021.100482</w:t>
      </w:r>
    </w:p>
    <w:p w14:paraId="544B41E9"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Coppin, P., </w:t>
      </w:r>
      <w:proofErr w:type="spellStart"/>
      <w:r w:rsidRPr="00EC4F0B">
        <w:rPr>
          <w:rFonts w:ascii="Arial" w:hAnsi="Arial" w:cs="Arial"/>
          <w:sz w:val="20"/>
          <w:szCs w:val="20"/>
        </w:rPr>
        <w:t>Jonckheere</w:t>
      </w:r>
      <w:proofErr w:type="spellEnd"/>
      <w:r w:rsidRPr="00EC4F0B">
        <w:rPr>
          <w:rFonts w:ascii="Arial" w:hAnsi="Arial" w:cs="Arial"/>
          <w:sz w:val="20"/>
          <w:szCs w:val="20"/>
        </w:rPr>
        <w:t xml:space="preserve">, I., </w:t>
      </w:r>
      <w:proofErr w:type="spellStart"/>
      <w:r w:rsidRPr="00EC4F0B">
        <w:rPr>
          <w:rFonts w:ascii="Arial" w:hAnsi="Arial" w:cs="Arial"/>
          <w:sz w:val="20"/>
          <w:szCs w:val="20"/>
        </w:rPr>
        <w:t>Nackaerts</w:t>
      </w:r>
      <w:proofErr w:type="spellEnd"/>
      <w:r w:rsidRPr="00EC4F0B">
        <w:rPr>
          <w:rFonts w:ascii="Arial" w:hAnsi="Arial" w:cs="Arial"/>
          <w:sz w:val="20"/>
          <w:szCs w:val="20"/>
        </w:rPr>
        <w:t xml:space="preserve">, K., </w:t>
      </w:r>
      <w:proofErr w:type="spellStart"/>
      <w:r w:rsidRPr="00EC4F0B">
        <w:rPr>
          <w:rFonts w:ascii="Arial" w:hAnsi="Arial" w:cs="Arial"/>
          <w:sz w:val="20"/>
          <w:szCs w:val="20"/>
        </w:rPr>
        <w:t>Muys</w:t>
      </w:r>
      <w:proofErr w:type="spellEnd"/>
      <w:r w:rsidRPr="00EC4F0B">
        <w:rPr>
          <w:rFonts w:ascii="Arial" w:hAnsi="Arial" w:cs="Arial"/>
          <w:sz w:val="20"/>
          <w:szCs w:val="20"/>
        </w:rPr>
        <w:t xml:space="preserve">, B., &amp; </w:t>
      </w:r>
      <w:proofErr w:type="spellStart"/>
      <w:r w:rsidRPr="00EC4F0B">
        <w:rPr>
          <w:rFonts w:ascii="Arial" w:hAnsi="Arial" w:cs="Arial"/>
          <w:sz w:val="20"/>
          <w:szCs w:val="20"/>
        </w:rPr>
        <w:t>Lambin</w:t>
      </w:r>
      <w:proofErr w:type="spellEnd"/>
      <w:r w:rsidRPr="00EC4F0B">
        <w:rPr>
          <w:rFonts w:ascii="Arial" w:hAnsi="Arial" w:cs="Arial"/>
          <w:sz w:val="20"/>
          <w:szCs w:val="20"/>
        </w:rPr>
        <w:t xml:space="preserve">, E. (2004). Digital change detection methods in ecosystem monitoring. </w:t>
      </w:r>
      <w:r w:rsidRPr="00EC4F0B">
        <w:rPr>
          <w:rFonts w:ascii="Arial" w:hAnsi="Arial" w:cs="Arial"/>
          <w:i/>
          <w:iCs/>
          <w:sz w:val="20"/>
          <w:szCs w:val="20"/>
        </w:rPr>
        <w:t>International Journal of Remote Sensing</w:t>
      </w:r>
      <w:r w:rsidRPr="00EC4F0B">
        <w:rPr>
          <w:rFonts w:ascii="Arial" w:hAnsi="Arial" w:cs="Arial"/>
          <w:sz w:val="20"/>
          <w:szCs w:val="20"/>
        </w:rPr>
        <w:t>, 25(9), 1565–1596. https://doi.org/10.1080/0143116031000101675</w:t>
      </w:r>
    </w:p>
    <w:p w14:paraId="70321F4F" w14:textId="77777777" w:rsidR="00F93E1D" w:rsidRPr="00EC4F0B" w:rsidRDefault="00F93E1D" w:rsidP="00EC4F0B">
      <w:pPr>
        <w:pStyle w:val="ListParagraph"/>
        <w:numPr>
          <w:ilvl w:val="0"/>
          <w:numId w:val="6"/>
        </w:numPr>
        <w:spacing w:line="276" w:lineRule="auto"/>
        <w:jc w:val="both"/>
        <w:rPr>
          <w:rFonts w:ascii="Arial" w:hAnsi="Arial" w:cs="Arial"/>
          <w:sz w:val="20"/>
          <w:szCs w:val="20"/>
          <w:lang w:val="es-US"/>
        </w:rPr>
      </w:pPr>
      <w:proofErr w:type="spellStart"/>
      <w:r w:rsidRPr="00EC4F0B">
        <w:rPr>
          <w:rFonts w:ascii="Arial" w:hAnsi="Arial" w:cs="Arial"/>
          <w:sz w:val="20"/>
          <w:szCs w:val="20"/>
          <w:lang w:val="es-US"/>
        </w:rPr>
        <w:t>Sidhu</w:t>
      </w:r>
      <w:proofErr w:type="spellEnd"/>
      <w:r w:rsidRPr="00EC4F0B">
        <w:rPr>
          <w:rFonts w:ascii="Arial" w:hAnsi="Arial" w:cs="Arial"/>
          <w:sz w:val="20"/>
          <w:szCs w:val="20"/>
          <w:lang w:val="es-US"/>
        </w:rPr>
        <w:t xml:space="preserve">, P. S., &amp; Dhillon, G. S. (2019). </w:t>
      </w:r>
      <w:proofErr w:type="spellStart"/>
      <w:r w:rsidRPr="00EC4F0B">
        <w:rPr>
          <w:rFonts w:ascii="Arial" w:hAnsi="Arial" w:cs="Arial"/>
          <w:sz w:val="20"/>
          <w:szCs w:val="20"/>
          <w:lang w:val="es-US"/>
        </w:rPr>
        <w:t>The</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knowledge</w:t>
      </w:r>
      <w:proofErr w:type="spellEnd"/>
      <w:r w:rsidRPr="00EC4F0B">
        <w:rPr>
          <w:rFonts w:ascii="Arial" w:hAnsi="Arial" w:cs="Arial"/>
          <w:sz w:val="20"/>
          <w:szCs w:val="20"/>
          <w:lang w:val="es-US"/>
        </w:rPr>
        <w:t xml:space="preserve"> and </w:t>
      </w:r>
      <w:proofErr w:type="spellStart"/>
      <w:r w:rsidRPr="00EC4F0B">
        <w:rPr>
          <w:rFonts w:ascii="Arial" w:hAnsi="Arial" w:cs="Arial"/>
          <w:sz w:val="20"/>
          <w:szCs w:val="20"/>
          <w:lang w:val="es-US"/>
        </w:rPr>
        <w:t>adoption</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level</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of</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farmers</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about</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recommended</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cultivation</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practices</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for</w:t>
      </w:r>
      <w:proofErr w:type="spellEnd"/>
      <w:r w:rsidRPr="00EC4F0B">
        <w:rPr>
          <w:rFonts w:ascii="Arial" w:hAnsi="Arial" w:cs="Arial"/>
          <w:sz w:val="20"/>
          <w:szCs w:val="20"/>
          <w:lang w:val="es-US"/>
        </w:rPr>
        <w:t xml:space="preserve"> </w:t>
      </w:r>
      <w:proofErr w:type="spellStart"/>
      <w:r w:rsidRPr="00EC4F0B">
        <w:rPr>
          <w:rFonts w:ascii="Arial" w:hAnsi="Arial" w:cs="Arial"/>
          <w:sz w:val="20"/>
          <w:szCs w:val="20"/>
          <w:lang w:val="es-US"/>
        </w:rPr>
        <w:t>chickpea</w:t>
      </w:r>
      <w:proofErr w:type="spellEnd"/>
      <w:r w:rsidRPr="00EC4F0B">
        <w:rPr>
          <w:rFonts w:ascii="Arial" w:hAnsi="Arial" w:cs="Arial"/>
          <w:sz w:val="20"/>
          <w:szCs w:val="20"/>
          <w:lang w:val="es-US"/>
        </w:rPr>
        <w:t xml:space="preserve">. </w:t>
      </w:r>
    </w:p>
    <w:p w14:paraId="52C3BFC4" w14:textId="43FD8708"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Ellis, E. C., Kaplan, J. O., Fuller, D. Q., </w:t>
      </w:r>
      <w:proofErr w:type="spellStart"/>
      <w:r w:rsidRPr="00EC4F0B">
        <w:rPr>
          <w:rFonts w:ascii="Arial" w:hAnsi="Arial" w:cs="Arial"/>
          <w:sz w:val="20"/>
          <w:szCs w:val="20"/>
        </w:rPr>
        <w:t>Vavrus</w:t>
      </w:r>
      <w:proofErr w:type="spellEnd"/>
      <w:r w:rsidRPr="00EC4F0B">
        <w:rPr>
          <w:rFonts w:ascii="Arial" w:hAnsi="Arial" w:cs="Arial"/>
          <w:sz w:val="20"/>
          <w:szCs w:val="20"/>
        </w:rPr>
        <w:t xml:space="preserve">, S., Klein </w:t>
      </w:r>
      <w:proofErr w:type="spellStart"/>
      <w:r w:rsidRPr="00EC4F0B">
        <w:rPr>
          <w:rFonts w:ascii="Arial" w:hAnsi="Arial" w:cs="Arial"/>
          <w:sz w:val="20"/>
          <w:szCs w:val="20"/>
        </w:rPr>
        <w:t>Goldewijk</w:t>
      </w:r>
      <w:proofErr w:type="spellEnd"/>
      <w:r w:rsidRPr="00EC4F0B">
        <w:rPr>
          <w:rFonts w:ascii="Arial" w:hAnsi="Arial" w:cs="Arial"/>
          <w:sz w:val="20"/>
          <w:szCs w:val="20"/>
        </w:rPr>
        <w:t xml:space="preserve">, K., &amp; </w:t>
      </w:r>
      <w:proofErr w:type="spellStart"/>
      <w:r w:rsidRPr="00EC4F0B">
        <w:rPr>
          <w:rFonts w:ascii="Arial" w:hAnsi="Arial" w:cs="Arial"/>
          <w:sz w:val="20"/>
          <w:szCs w:val="20"/>
        </w:rPr>
        <w:t>Verburg</w:t>
      </w:r>
      <w:proofErr w:type="spellEnd"/>
      <w:r w:rsidRPr="00EC4F0B">
        <w:rPr>
          <w:rFonts w:ascii="Arial" w:hAnsi="Arial" w:cs="Arial"/>
          <w:sz w:val="20"/>
          <w:szCs w:val="20"/>
        </w:rPr>
        <w:t xml:space="preserve">, P. H. (2013). Used planet: A global history. </w:t>
      </w:r>
      <w:r w:rsidRPr="00EC4F0B">
        <w:rPr>
          <w:rFonts w:ascii="Arial" w:hAnsi="Arial" w:cs="Arial"/>
          <w:i/>
          <w:iCs/>
          <w:sz w:val="20"/>
          <w:szCs w:val="20"/>
        </w:rPr>
        <w:t>Proceedings of the National Academy of Sciences</w:t>
      </w:r>
      <w:r w:rsidRPr="00EC4F0B">
        <w:rPr>
          <w:rFonts w:ascii="Arial" w:hAnsi="Arial" w:cs="Arial"/>
          <w:sz w:val="20"/>
          <w:szCs w:val="20"/>
        </w:rPr>
        <w:t>, 110(20), 7978–7985. https://doi.org/10.1073/pnas.1217241110</w:t>
      </w:r>
    </w:p>
    <w:p w14:paraId="3AA0A0D7"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Foley, J. A., </w:t>
      </w:r>
      <w:proofErr w:type="spellStart"/>
      <w:r w:rsidRPr="00EC4F0B">
        <w:rPr>
          <w:rFonts w:ascii="Arial" w:hAnsi="Arial" w:cs="Arial"/>
          <w:sz w:val="20"/>
          <w:szCs w:val="20"/>
        </w:rPr>
        <w:t>DeFries</w:t>
      </w:r>
      <w:proofErr w:type="spellEnd"/>
      <w:r w:rsidRPr="00EC4F0B">
        <w:rPr>
          <w:rFonts w:ascii="Arial" w:hAnsi="Arial" w:cs="Arial"/>
          <w:sz w:val="20"/>
          <w:szCs w:val="20"/>
        </w:rPr>
        <w:t xml:space="preserve">, R., Asner, G. P., Barford, C., </w:t>
      </w:r>
      <w:proofErr w:type="spellStart"/>
      <w:r w:rsidRPr="00EC4F0B">
        <w:rPr>
          <w:rFonts w:ascii="Arial" w:hAnsi="Arial" w:cs="Arial"/>
          <w:sz w:val="20"/>
          <w:szCs w:val="20"/>
        </w:rPr>
        <w:t>Bonan</w:t>
      </w:r>
      <w:proofErr w:type="spellEnd"/>
      <w:r w:rsidRPr="00EC4F0B">
        <w:rPr>
          <w:rFonts w:ascii="Arial" w:hAnsi="Arial" w:cs="Arial"/>
          <w:sz w:val="20"/>
          <w:szCs w:val="20"/>
        </w:rPr>
        <w:t xml:space="preserve">, G., Carpenter, S. R., &amp; Snyder, P. K. (2005). Global consequences of land use. </w:t>
      </w:r>
      <w:r w:rsidRPr="00EC4F0B">
        <w:rPr>
          <w:rFonts w:ascii="Arial" w:hAnsi="Arial" w:cs="Arial"/>
          <w:i/>
          <w:iCs/>
          <w:sz w:val="20"/>
          <w:szCs w:val="20"/>
        </w:rPr>
        <w:t>Science</w:t>
      </w:r>
      <w:r w:rsidRPr="00EC4F0B">
        <w:rPr>
          <w:rFonts w:ascii="Arial" w:hAnsi="Arial" w:cs="Arial"/>
          <w:sz w:val="20"/>
          <w:szCs w:val="20"/>
        </w:rPr>
        <w:t xml:space="preserve">, 309(5734), 570–574. </w:t>
      </w:r>
      <w:hyperlink r:id="rId14" w:tgtFrame="_new" w:history="1">
        <w:r w:rsidRPr="00EC4F0B">
          <w:rPr>
            <w:rStyle w:val="Hyperlink"/>
            <w:rFonts w:ascii="Arial" w:hAnsi="Arial" w:cs="Arial"/>
            <w:sz w:val="20"/>
            <w:szCs w:val="20"/>
          </w:rPr>
          <w:t>https://doi.org/10.1126/science.1111772</w:t>
        </w:r>
      </w:hyperlink>
    </w:p>
    <w:p w14:paraId="3F471B64"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lang w:val="es-US"/>
        </w:rPr>
        <w:t xml:space="preserve">Foley, J. A., et al. </w:t>
      </w:r>
      <w:r w:rsidRPr="00EC4F0B">
        <w:rPr>
          <w:rFonts w:ascii="Arial" w:hAnsi="Arial" w:cs="Arial"/>
          <w:sz w:val="20"/>
          <w:szCs w:val="20"/>
        </w:rPr>
        <w:t xml:space="preserve">(2005). Global consequences of land use. </w:t>
      </w:r>
      <w:r w:rsidRPr="00EC4F0B">
        <w:rPr>
          <w:rFonts w:ascii="Arial" w:hAnsi="Arial" w:cs="Arial"/>
          <w:i/>
          <w:iCs/>
          <w:sz w:val="20"/>
          <w:szCs w:val="20"/>
        </w:rPr>
        <w:t>Science</w:t>
      </w:r>
      <w:r w:rsidRPr="00EC4F0B">
        <w:rPr>
          <w:rFonts w:ascii="Arial" w:hAnsi="Arial" w:cs="Arial"/>
          <w:sz w:val="20"/>
          <w:szCs w:val="20"/>
        </w:rPr>
        <w:t xml:space="preserve">, 309(5734), 570–574. </w:t>
      </w:r>
      <w:hyperlink r:id="rId15" w:tgtFrame="_new" w:history="1">
        <w:r w:rsidRPr="00EC4F0B">
          <w:rPr>
            <w:rStyle w:val="Hyperlink"/>
            <w:rFonts w:ascii="Arial" w:hAnsi="Arial" w:cs="Arial"/>
            <w:sz w:val="20"/>
            <w:szCs w:val="20"/>
          </w:rPr>
          <w:t>https://doi.org/10.1126/science.1111772</w:t>
        </w:r>
      </w:hyperlink>
    </w:p>
    <w:p w14:paraId="25F2A984"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Jensen, J. R. (2015). </w:t>
      </w:r>
      <w:r w:rsidRPr="00EC4F0B">
        <w:rPr>
          <w:rFonts w:ascii="Arial" w:hAnsi="Arial" w:cs="Arial"/>
          <w:i/>
          <w:iCs/>
          <w:sz w:val="20"/>
          <w:szCs w:val="20"/>
        </w:rPr>
        <w:t>Introductory digital image processing</w:t>
      </w:r>
      <w:r w:rsidRPr="00EC4F0B">
        <w:rPr>
          <w:rFonts w:ascii="Arial" w:hAnsi="Arial" w:cs="Arial"/>
          <w:sz w:val="20"/>
          <w:szCs w:val="20"/>
        </w:rPr>
        <w:t>. Pearson. https://doi.org/10.1016/B978-0-13-405816-7.00001-2</w:t>
      </w:r>
    </w:p>
    <w:p w14:paraId="5351F84B"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Lambin</w:t>
      </w:r>
      <w:proofErr w:type="spellEnd"/>
      <w:r w:rsidRPr="00EC4F0B">
        <w:rPr>
          <w:rFonts w:ascii="Arial" w:hAnsi="Arial" w:cs="Arial"/>
          <w:sz w:val="20"/>
          <w:szCs w:val="20"/>
        </w:rPr>
        <w:t xml:space="preserve">, E. F., &amp; Geist, H. (2006). </w:t>
      </w:r>
      <w:r w:rsidRPr="00EC4F0B">
        <w:rPr>
          <w:rFonts w:ascii="Arial" w:hAnsi="Arial" w:cs="Arial"/>
          <w:i/>
          <w:iCs/>
          <w:sz w:val="20"/>
          <w:szCs w:val="20"/>
        </w:rPr>
        <w:t>Land-use and land-cover change: Local processes and global impacts</w:t>
      </w:r>
      <w:r w:rsidRPr="00EC4F0B">
        <w:rPr>
          <w:rFonts w:ascii="Arial" w:hAnsi="Arial" w:cs="Arial"/>
          <w:sz w:val="20"/>
          <w:szCs w:val="20"/>
        </w:rPr>
        <w:t xml:space="preserve">. Springer. </w:t>
      </w:r>
      <w:hyperlink r:id="rId16" w:tgtFrame="_new" w:history="1">
        <w:r w:rsidRPr="00EC4F0B">
          <w:rPr>
            <w:rStyle w:val="Hyperlink"/>
            <w:rFonts w:ascii="Arial" w:hAnsi="Arial" w:cs="Arial"/>
            <w:sz w:val="20"/>
            <w:szCs w:val="20"/>
          </w:rPr>
          <w:t>https://doi.org/10.1007/3-540-32202-7</w:t>
        </w:r>
      </w:hyperlink>
    </w:p>
    <w:p w14:paraId="0AAF3934"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lastRenderedPageBreak/>
        <w:t xml:space="preserve">Liu, B., et al. (2023). Review of land use change detection methods using remote sensing and GIS. </w:t>
      </w:r>
      <w:r w:rsidRPr="00EC4F0B">
        <w:rPr>
          <w:rFonts w:ascii="Arial" w:hAnsi="Arial" w:cs="Arial"/>
          <w:i/>
          <w:iCs/>
          <w:sz w:val="20"/>
          <w:szCs w:val="20"/>
        </w:rPr>
        <w:t>Land</w:t>
      </w:r>
      <w:r w:rsidRPr="00EC4F0B">
        <w:rPr>
          <w:rFonts w:ascii="Arial" w:hAnsi="Arial" w:cs="Arial"/>
          <w:sz w:val="20"/>
          <w:szCs w:val="20"/>
        </w:rPr>
        <w:t>, 12(5), 1050. https://doi.org/10.3390/land12051050</w:t>
      </w:r>
    </w:p>
    <w:p w14:paraId="7F323F34"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Mallupattu</w:t>
      </w:r>
      <w:proofErr w:type="spellEnd"/>
      <w:r w:rsidRPr="00EC4F0B">
        <w:rPr>
          <w:rFonts w:ascii="Arial" w:hAnsi="Arial" w:cs="Arial"/>
          <w:sz w:val="20"/>
          <w:szCs w:val="20"/>
        </w:rPr>
        <w:t xml:space="preserve">, P. K., &amp; Reddy, J. R. S. (2013). Analysis of land use/land cover changes using remote sensing and GIS: A case study of Tirupati, India. </w:t>
      </w:r>
      <w:r w:rsidRPr="00EC4F0B">
        <w:rPr>
          <w:rFonts w:ascii="Arial" w:hAnsi="Arial" w:cs="Arial"/>
          <w:i/>
          <w:iCs/>
          <w:sz w:val="20"/>
          <w:szCs w:val="20"/>
        </w:rPr>
        <w:t>The Scientific World Journal</w:t>
      </w:r>
      <w:r w:rsidRPr="00EC4F0B">
        <w:rPr>
          <w:rFonts w:ascii="Arial" w:hAnsi="Arial" w:cs="Arial"/>
          <w:sz w:val="20"/>
          <w:szCs w:val="20"/>
        </w:rPr>
        <w:t>. https://doi.org/10.1155/2013/268623</w:t>
      </w:r>
    </w:p>
    <w:p w14:paraId="45AF9A63"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Mariye</w:t>
      </w:r>
      <w:proofErr w:type="spellEnd"/>
      <w:r w:rsidRPr="00EC4F0B">
        <w:rPr>
          <w:rFonts w:ascii="Arial" w:hAnsi="Arial" w:cs="Arial"/>
          <w:sz w:val="20"/>
          <w:szCs w:val="20"/>
        </w:rPr>
        <w:t xml:space="preserve">, M., et al. (2024). Remote sensing and GIS-based study of land use/cover changes and driving factors. </w:t>
      </w:r>
      <w:proofErr w:type="spellStart"/>
      <w:r w:rsidRPr="00EC4F0B">
        <w:rPr>
          <w:rFonts w:ascii="Arial" w:hAnsi="Arial" w:cs="Arial"/>
          <w:i/>
          <w:iCs/>
          <w:sz w:val="20"/>
          <w:szCs w:val="20"/>
        </w:rPr>
        <w:t>Heliyon</w:t>
      </w:r>
      <w:proofErr w:type="spellEnd"/>
      <w:r w:rsidRPr="00EC4F0B">
        <w:rPr>
          <w:rFonts w:ascii="Arial" w:hAnsi="Arial" w:cs="Arial"/>
          <w:sz w:val="20"/>
          <w:szCs w:val="20"/>
        </w:rPr>
        <w:t>. https://doi.org/10.1016/j.heliyon.2024.e20588</w:t>
      </w:r>
    </w:p>
    <w:p w14:paraId="4E0D4872" w14:textId="66F379BE" w:rsidR="00D65293" w:rsidRPr="00EC4F0B" w:rsidRDefault="00D65293"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Mishra, V.N., Rai, P.K. and Mohan, K. (2014) Prediction of Land Use Changes Based on Land Change Modeler Using Remote Sensing: A Case Study of Muzaffarpur (Bihar), India. Journal of the Geographical Institute “Jovan </w:t>
      </w:r>
      <w:proofErr w:type="spellStart"/>
      <w:r w:rsidRPr="00EC4F0B">
        <w:rPr>
          <w:rFonts w:ascii="Arial" w:hAnsi="Arial" w:cs="Arial"/>
          <w:sz w:val="20"/>
          <w:szCs w:val="20"/>
        </w:rPr>
        <w:t>Cvijic</w:t>
      </w:r>
      <w:proofErr w:type="spellEnd"/>
      <w:r w:rsidRPr="00EC4F0B">
        <w:rPr>
          <w:rFonts w:ascii="Arial" w:hAnsi="Arial" w:cs="Arial"/>
          <w:sz w:val="20"/>
          <w:szCs w:val="20"/>
        </w:rPr>
        <w:t xml:space="preserve">” SASA, 64, 111-127. https://doi.org/10.2298/IJGI1401111M </w:t>
      </w:r>
    </w:p>
    <w:p w14:paraId="54E6179F" w14:textId="77777777" w:rsidR="002A01B2" w:rsidRPr="00EC4F0B" w:rsidRDefault="002A01B2"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Naikoo</w:t>
      </w:r>
      <w:proofErr w:type="spellEnd"/>
      <w:r w:rsidRPr="00EC4F0B">
        <w:rPr>
          <w:rFonts w:ascii="Arial" w:hAnsi="Arial" w:cs="Arial"/>
          <w:sz w:val="20"/>
          <w:szCs w:val="20"/>
        </w:rPr>
        <w:t xml:space="preserve">, M. W., </w:t>
      </w:r>
      <w:proofErr w:type="spellStart"/>
      <w:r w:rsidRPr="00EC4F0B">
        <w:rPr>
          <w:rFonts w:ascii="Arial" w:hAnsi="Arial" w:cs="Arial"/>
          <w:sz w:val="20"/>
          <w:szCs w:val="20"/>
        </w:rPr>
        <w:t>Rihan</w:t>
      </w:r>
      <w:proofErr w:type="spellEnd"/>
      <w:r w:rsidRPr="00EC4F0B">
        <w:rPr>
          <w:rFonts w:ascii="Arial" w:hAnsi="Arial" w:cs="Arial"/>
          <w:sz w:val="20"/>
          <w:szCs w:val="20"/>
        </w:rPr>
        <w:t xml:space="preserve">, M., &amp; </w:t>
      </w:r>
      <w:proofErr w:type="spellStart"/>
      <w:r w:rsidRPr="00EC4F0B">
        <w:rPr>
          <w:rFonts w:ascii="Arial" w:hAnsi="Arial" w:cs="Arial"/>
          <w:sz w:val="20"/>
          <w:szCs w:val="20"/>
        </w:rPr>
        <w:t>Ishtiaque</w:t>
      </w:r>
      <w:proofErr w:type="spellEnd"/>
      <w:r w:rsidRPr="00EC4F0B">
        <w:rPr>
          <w:rFonts w:ascii="Arial" w:hAnsi="Arial" w:cs="Arial"/>
          <w:sz w:val="20"/>
          <w:szCs w:val="20"/>
        </w:rPr>
        <w:t xml:space="preserve">, M. (2020). Analyses of land use land cover (LULC) change and built-up expansion in the suburb of a metropolitan city: </w:t>
      </w:r>
      <w:proofErr w:type="spellStart"/>
      <w:r w:rsidRPr="00EC4F0B">
        <w:rPr>
          <w:rFonts w:ascii="Arial" w:hAnsi="Arial" w:cs="Arial"/>
          <w:sz w:val="20"/>
          <w:szCs w:val="20"/>
        </w:rPr>
        <w:t>Spatio</w:t>
      </w:r>
      <w:proofErr w:type="spellEnd"/>
      <w:r w:rsidRPr="00EC4F0B">
        <w:rPr>
          <w:rFonts w:ascii="Arial" w:hAnsi="Arial" w:cs="Arial"/>
          <w:sz w:val="20"/>
          <w:szCs w:val="20"/>
        </w:rPr>
        <w:t xml:space="preserve">-temporal analysis of Delhi NCR using </w:t>
      </w:r>
      <w:proofErr w:type="spellStart"/>
      <w:r w:rsidRPr="00EC4F0B">
        <w:rPr>
          <w:rFonts w:ascii="Arial" w:hAnsi="Arial" w:cs="Arial"/>
          <w:sz w:val="20"/>
          <w:szCs w:val="20"/>
        </w:rPr>
        <w:t>landsat</w:t>
      </w:r>
      <w:proofErr w:type="spellEnd"/>
      <w:r w:rsidRPr="00EC4F0B">
        <w:rPr>
          <w:rFonts w:ascii="Arial" w:hAnsi="Arial" w:cs="Arial"/>
          <w:sz w:val="20"/>
          <w:szCs w:val="20"/>
        </w:rPr>
        <w:t xml:space="preserve"> datasets. Journal of Urban Management, 9(3), 347-359. https://doi.org/10.1016/j.jum.2020.05.004 </w:t>
      </w:r>
    </w:p>
    <w:p w14:paraId="2CFFFCE5" w14:textId="03865E8E" w:rsidR="00BD4C68" w:rsidRPr="00EC4F0B" w:rsidRDefault="00BD4C68"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Pushpalatha</w:t>
      </w:r>
      <w:proofErr w:type="spellEnd"/>
      <w:r w:rsidRPr="00EC4F0B">
        <w:rPr>
          <w:rFonts w:ascii="Arial" w:hAnsi="Arial" w:cs="Arial"/>
          <w:sz w:val="20"/>
          <w:szCs w:val="20"/>
        </w:rPr>
        <w:t xml:space="preserve">, V., et al. (2025). Land use land cover classification and change detection using remote sensing and GIS. </w:t>
      </w:r>
      <w:r w:rsidRPr="00EC4F0B">
        <w:rPr>
          <w:rFonts w:ascii="Arial" w:hAnsi="Arial" w:cs="Arial"/>
          <w:i/>
          <w:iCs/>
          <w:sz w:val="20"/>
          <w:szCs w:val="20"/>
        </w:rPr>
        <w:t>Environmental Monitoring and Assessment</w:t>
      </w:r>
      <w:r w:rsidRPr="00EC4F0B">
        <w:rPr>
          <w:rFonts w:ascii="Arial" w:hAnsi="Arial" w:cs="Arial"/>
          <w:sz w:val="20"/>
          <w:szCs w:val="20"/>
        </w:rPr>
        <w:t>. https://doi.org/10.1016/j.rse.2025.114000</w:t>
      </w:r>
    </w:p>
    <w:p w14:paraId="739595FC"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Roy, P. S., et al. (2015). Development of decadal land use and land cover database for India. </w:t>
      </w:r>
      <w:r w:rsidRPr="00EC4F0B">
        <w:rPr>
          <w:rFonts w:ascii="Arial" w:hAnsi="Arial" w:cs="Arial"/>
          <w:i/>
          <w:iCs/>
          <w:sz w:val="20"/>
          <w:szCs w:val="20"/>
        </w:rPr>
        <w:t>Remote Sensing</w:t>
      </w:r>
      <w:r w:rsidRPr="00EC4F0B">
        <w:rPr>
          <w:rFonts w:ascii="Arial" w:hAnsi="Arial" w:cs="Arial"/>
          <w:sz w:val="20"/>
          <w:szCs w:val="20"/>
        </w:rPr>
        <w:t>, 7(3), 2401–2430. https://doi.org/10.3390/rs70302401</w:t>
      </w:r>
    </w:p>
    <w:p w14:paraId="4CA7D89C"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Roy, P. S., Roy, A., Joshi, P. K., Kale, M. P., Srivastava, V. K., Srivastava, S. K., &amp; </w:t>
      </w:r>
      <w:proofErr w:type="spellStart"/>
      <w:r w:rsidRPr="00EC4F0B">
        <w:rPr>
          <w:rFonts w:ascii="Arial" w:hAnsi="Arial" w:cs="Arial"/>
          <w:sz w:val="20"/>
          <w:szCs w:val="20"/>
        </w:rPr>
        <w:t>Dwevidi</w:t>
      </w:r>
      <w:proofErr w:type="spellEnd"/>
      <w:r w:rsidRPr="00EC4F0B">
        <w:rPr>
          <w:rFonts w:ascii="Arial" w:hAnsi="Arial" w:cs="Arial"/>
          <w:sz w:val="20"/>
          <w:szCs w:val="20"/>
        </w:rPr>
        <w:t xml:space="preserve">, R. S. (2015). Development of decadal land use and land cover database for India. </w:t>
      </w:r>
      <w:r w:rsidRPr="00EC4F0B">
        <w:rPr>
          <w:rFonts w:ascii="Arial" w:hAnsi="Arial" w:cs="Arial"/>
          <w:i/>
          <w:iCs/>
          <w:sz w:val="20"/>
          <w:szCs w:val="20"/>
        </w:rPr>
        <w:t>Remote Sensing</w:t>
      </w:r>
      <w:r w:rsidRPr="00EC4F0B">
        <w:rPr>
          <w:rFonts w:ascii="Arial" w:hAnsi="Arial" w:cs="Arial"/>
          <w:sz w:val="20"/>
          <w:szCs w:val="20"/>
        </w:rPr>
        <w:t>, 7(3), 2401–2430. https://doi.org/10.3390/rs70302401</w:t>
      </w:r>
    </w:p>
    <w:p w14:paraId="5E2DC072" w14:textId="77777777" w:rsidR="00BD4C68" w:rsidRPr="00EC4F0B" w:rsidRDefault="00BD4C68"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Seto</w:t>
      </w:r>
      <w:proofErr w:type="spellEnd"/>
      <w:r w:rsidRPr="00EC4F0B">
        <w:rPr>
          <w:rFonts w:ascii="Arial" w:hAnsi="Arial" w:cs="Arial"/>
          <w:sz w:val="20"/>
          <w:szCs w:val="20"/>
        </w:rPr>
        <w:t xml:space="preserve">, K. C., </w:t>
      </w:r>
      <w:proofErr w:type="spellStart"/>
      <w:r w:rsidRPr="00EC4F0B">
        <w:rPr>
          <w:rFonts w:ascii="Arial" w:hAnsi="Arial" w:cs="Arial"/>
          <w:sz w:val="20"/>
          <w:szCs w:val="20"/>
        </w:rPr>
        <w:t>Güneralp</w:t>
      </w:r>
      <w:proofErr w:type="spellEnd"/>
      <w:r w:rsidRPr="00EC4F0B">
        <w:rPr>
          <w:rFonts w:ascii="Arial" w:hAnsi="Arial" w:cs="Arial"/>
          <w:sz w:val="20"/>
          <w:szCs w:val="20"/>
        </w:rPr>
        <w:t xml:space="preserve">, B., &amp; </w:t>
      </w:r>
      <w:proofErr w:type="spellStart"/>
      <w:r w:rsidRPr="00EC4F0B">
        <w:rPr>
          <w:rFonts w:ascii="Arial" w:hAnsi="Arial" w:cs="Arial"/>
          <w:sz w:val="20"/>
          <w:szCs w:val="20"/>
        </w:rPr>
        <w:t>Hutyra</w:t>
      </w:r>
      <w:proofErr w:type="spellEnd"/>
      <w:r w:rsidRPr="00EC4F0B">
        <w:rPr>
          <w:rFonts w:ascii="Arial" w:hAnsi="Arial" w:cs="Arial"/>
          <w:sz w:val="20"/>
          <w:szCs w:val="20"/>
        </w:rPr>
        <w:t xml:space="preserve">, L. R. (2012). Global forecasts of urban expansion. </w:t>
      </w:r>
      <w:r w:rsidRPr="00EC4F0B">
        <w:rPr>
          <w:rFonts w:ascii="Arial" w:hAnsi="Arial" w:cs="Arial"/>
          <w:i/>
          <w:iCs/>
          <w:sz w:val="20"/>
          <w:szCs w:val="20"/>
        </w:rPr>
        <w:t>Proceedings of the National Academy of Sciences</w:t>
      </w:r>
      <w:r w:rsidRPr="00EC4F0B">
        <w:rPr>
          <w:rFonts w:ascii="Arial" w:hAnsi="Arial" w:cs="Arial"/>
          <w:sz w:val="20"/>
          <w:szCs w:val="20"/>
        </w:rPr>
        <w:t xml:space="preserve">, 109(40), 16083–16088. </w:t>
      </w:r>
      <w:hyperlink r:id="rId17" w:tgtFrame="_new" w:history="1">
        <w:r w:rsidRPr="00EC4F0B">
          <w:rPr>
            <w:rStyle w:val="Hyperlink"/>
            <w:rFonts w:ascii="Arial" w:hAnsi="Arial" w:cs="Arial"/>
            <w:sz w:val="20"/>
            <w:szCs w:val="20"/>
          </w:rPr>
          <w:t>https://doi.org/10.1073/pnas.1211658109</w:t>
        </w:r>
      </w:hyperlink>
    </w:p>
    <w:p w14:paraId="696591FC" w14:textId="77777777" w:rsidR="006E7AEE" w:rsidRPr="00EC4F0B" w:rsidRDefault="006E7AEE"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Seto</w:t>
      </w:r>
      <w:proofErr w:type="spellEnd"/>
      <w:r w:rsidRPr="00EC4F0B">
        <w:rPr>
          <w:rFonts w:ascii="Arial" w:hAnsi="Arial" w:cs="Arial"/>
          <w:sz w:val="20"/>
          <w:szCs w:val="20"/>
        </w:rPr>
        <w:t xml:space="preserve">, K. C., </w:t>
      </w:r>
      <w:proofErr w:type="spellStart"/>
      <w:r w:rsidRPr="00EC4F0B">
        <w:rPr>
          <w:rFonts w:ascii="Arial" w:hAnsi="Arial" w:cs="Arial"/>
          <w:sz w:val="20"/>
          <w:szCs w:val="20"/>
        </w:rPr>
        <w:t>Güneralp</w:t>
      </w:r>
      <w:proofErr w:type="spellEnd"/>
      <w:r w:rsidRPr="00EC4F0B">
        <w:rPr>
          <w:rFonts w:ascii="Arial" w:hAnsi="Arial" w:cs="Arial"/>
          <w:sz w:val="20"/>
          <w:szCs w:val="20"/>
        </w:rPr>
        <w:t xml:space="preserve">, B., &amp; </w:t>
      </w:r>
      <w:proofErr w:type="spellStart"/>
      <w:r w:rsidRPr="00EC4F0B">
        <w:rPr>
          <w:rFonts w:ascii="Arial" w:hAnsi="Arial" w:cs="Arial"/>
          <w:sz w:val="20"/>
          <w:szCs w:val="20"/>
        </w:rPr>
        <w:t>Hutyra</w:t>
      </w:r>
      <w:proofErr w:type="spellEnd"/>
      <w:r w:rsidRPr="00EC4F0B">
        <w:rPr>
          <w:rFonts w:ascii="Arial" w:hAnsi="Arial" w:cs="Arial"/>
          <w:sz w:val="20"/>
          <w:szCs w:val="20"/>
        </w:rPr>
        <w:t xml:space="preserve">, L. R. (2012). Global forecasts of urban expansion to 2030 and direct impacts on biodiversity and carbon pools. Proceedings of the National Academy of Sciences, 109(40), 16083-16088. https://doi.org/10.1073/pnas.1211658109 </w:t>
      </w:r>
    </w:p>
    <w:p w14:paraId="62665C64" w14:textId="7B1B8260" w:rsidR="00BD4C68" w:rsidRPr="00EC4F0B" w:rsidRDefault="00BD4C68"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Seyam</w:t>
      </w:r>
      <w:proofErr w:type="spellEnd"/>
      <w:r w:rsidRPr="00EC4F0B">
        <w:rPr>
          <w:rFonts w:ascii="Arial" w:hAnsi="Arial" w:cs="Arial"/>
          <w:sz w:val="20"/>
          <w:szCs w:val="20"/>
        </w:rPr>
        <w:t xml:space="preserve">, M. M. H., et al. (2023). Identifying land use land cover changes using remote sensing and GIS techniques. </w:t>
      </w:r>
      <w:r w:rsidRPr="00EC4F0B">
        <w:rPr>
          <w:rFonts w:ascii="Arial" w:hAnsi="Arial" w:cs="Arial"/>
          <w:i/>
          <w:iCs/>
          <w:sz w:val="20"/>
          <w:szCs w:val="20"/>
        </w:rPr>
        <w:t>Remote Sensing Applications: Society and Environment</w:t>
      </w:r>
      <w:r w:rsidRPr="00EC4F0B">
        <w:rPr>
          <w:rFonts w:ascii="Arial" w:hAnsi="Arial" w:cs="Arial"/>
          <w:sz w:val="20"/>
          <w:szCs w:val="20"/>
        </w:rPr>
        <w:t xml:space="preserve">. </w:t>
      </w:r>
      <w:hyperlink r:id="rId18" w:tgtFrame="_new" w:history="1">
        <w:r w:rsidRPr="00EC4F0B">
          <w:rPr>
            <w:rStyle w:val="Hyperlink"/>
            <w:rFonts w:ascii="Arial" w:hAnsi="Arial" w:cs="Arial"/>
            <w:sz w:val="20"/>
            <w:szCs w:val="20"/>
          </w:rPr>
          <w:t>https://doi.org/10.1016/j.rsase.2022.100847</w:t>
        </w:r>
      </w:hyperlink>
    </w:p>
    <w:p w14:paraId="2D5F9DC1" w14:textId="137B27B7" w:rsidR="002B4BEA" w:rsidRPr="00EC4F0B" w:rsidRDefault="002B4BEA"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Amanpreet</w:t>
      </w:r>
      <w:proofErr w:type="spellEnd"/>
      <w:r w:rsidRPr="00EC4F0B">
        <w:rPr>
          <w:rFonts w:ascii="Arial" w:hAnsi="Arial" w:cs="Arial"/>
          <w:sz w:val="20"/>
          <w:szCs w:val="20"/>
        </w:rPr>
        <w:t xml:space="preserve"> Singh, Dr. </w:t>
      </w:r>
      <w:proofErr w:type="spellStart"/>
      <w:r w:rsidRPr="00EC4F0B">
        <w:rPr>
          <w:rFonts w:ascii="Arial" w:hAnsi="Arial" w:cs="Arial"/>
          <w:sz w:val="20"/>
          <w:szCs w:val="20"/>
        </w:rPr>
        <w:t>Lakhveer</w:t>
      </w:r>
      <w:proofErr w:type="spellEnd"/>
      <w:r w:rsidRPr="00EC4F0B">
        <w:rPr>
          <w:rFonts w:ascii="Arial" w:hAnsi="Arial" w:cs="Arial"/>
          <w:sz w:val="20"/>
          <w:szCs w:val="20"/>
        </w:rPr>
        <w:t xml:space="preserve"> Singh, Jaskaran Singh. Assessment of land use land cover (LULC) change using remote sensing, GIS and machine learning approach: A case study of Bathinda local planning area (LPA)-(2005-2025). Int J </w:t>
      </w:r>
      <w:proofErr w:type="spellStart"/>
      <w:r w:rsidRPr="00EC4F0B">
        <w:rPr>
          <w:rFonts w:ascii="Arial" w:hAnsi="Arial" w:cs="Arial"/>
          <w:sz w:val="20"/>
          <w:szCs w:val="20"/>
        </w:rPr>
        <w:t>Geogr</w:t>
      </w:r>
      <w:proofErr w:type="spellEnd"/>
      <w:r w:rsidRPr="00EC4F0B">
        <w:rPr>
          <w:rFonts w:ascii="Arial" w:hAnsi="Arial" w:cs="Arial"/>
          <w:sz w:val="20"/>
          <w:szCs w:val="20"/>
        </w:rPr>
        <w:t xml:space="preserve"> </w:t>
      </w:r>
      <w:proofErr w:type="spellStart"/>
      <w:r w:rsidRPr="00EC4F0B">
        <w:rPr>
          <w:rFonts w:ascii="Arial" w:hAnsi="Arial" w:cs="Arial"/>
          <w:sz w:val="20"/>
          <w:szCs w:val="20"/>
        </w:rPr>
        <w:t>Geol</w:t>
      </w:r>
      <w:proofErr w:type="spellEnd"/>
      <w:r w:rsidRPr="00EC4F0B">
        <w:rPr>
          <w:rFonts w:ascii="Arial" w:hAnsi="Arial" w:cs="Arial"/>
          <w:sz w:val="20"/>
          <w:szCs w:val="20"/>
        </w:rPr>
        <w:t xml:space="preserve"> Environ 2025;7(9):125-128. </w:t>
      </w:r>
      <w:proofErr w:type="gramStart"/>
      <w:r w:rsidRPr="00EC4F0B">
        <w:rPr>
          <w:rFonts w:ascii="Arial" w:hAnsi="Arial" w:cs="Arial"/>
          <w:sz w:val="20"/>
          <w:szCs w:val="20"/>
        </w:rPr>
        <w:t>DOI:10.22271/27067483.2025.v7.i9b</w:t>
      </w:r>
      <w:proofErr w:type="gramEnd"/>
      <w:r w:rsidRPr="00EC4F0B">
        <w:rPr>
          <w:rFonts w:ascii="Arial" w:hAnsi="Arial" w:cs="Arial"/>
          <w:sz w:val="20"/>
          <w:szCs w:val="20"/>
        </w:rPr>
        <w:t xml:space="preserve">.415 </w:t>
      </w:r>
    </w:p>
    <w:p w14:paraId="11323B49" w14:textId="38339172"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Song, X. P., et al. (2018). Global land change from 1982 to 2016. </w:t>
      </w:r>
      <w:r w:rsidRPr="00EC4F0B">
        <w:rPr>
          <w:rFonts w:ascii="Arial" w:hAnsi="Arial" w:cs="Arial"/>
          <w:i/>
          <w:iCs/>
          <w:sz w:val="20"/>
          <w:szCs w:val="20"/>
        </w:rPr>
        <w:t>Nature</w:t>
      </w:r>
      <w:r w:rsidRPr="00EC4F0B">
        <w:rPr>
          <w:rFonts w:ascii="Arial" w:hAnsi="Arial" w:cs="Arial"/>
          <w:sz w:val="20"/>
          <w:szCs w:val="20"/>
        </w:rPr>
        <w:t xml:space="preserve">, 560, 639–643. </w:t>
      </w:r>
      <w:hyperlink r:id="rId19" w:tgtFrame="_new" w:history="1">
        <w:r w:rsidRPr="00EC4F0B">
          <w:rPr>
            <w:rStyle w:val="Hyperlink"/>
            <w:rFonts w:ascii="Arial" w:hAnsi="Arial" w:cs="Arial"/>
            <w:sz w:val="20"/>
            <w:szCs w:val="20"/>
          </w:rPr>
          <w:t>https://doi.org/10.1038/s41586-018-0411-9</w:t>
        </w:r>
      </w:hyperlink>
    </w:p>
    <w:p w14:paraId="4B09CF84" w14:textId="77777777" w:rsidR="00B27773" w:rsidRPr="00EC4F0B" w:rsidRDefault="00B27773" w:rsidP="00EC4F0B">
      <w:pPr>
        <w:pStyle w:val="ListParagraph"/>
        <w:numPr>
          <w:ilvl w:val="0"/>
          <w:numId w:val="6"/>
        </w:numPr>
        <w:spacing w:line="276" w:lineRule="auto"/>
        <w:jc w:val="both"/>
        <w:rPr>
          <w:rFonts w:ascii="Arial" w:hAnsi="Arial" w:cs="Arial"/>
          <w:sz w:val="20"/>
          <w:szCs w:val="20"/>
        </w:rPr>
      </w:pPr>
      <w:proofErr w:type="spellStart"/>
      <w:r w:rsidRPr="00EC4F0B">
        <w:rPr>
          <w:rFonts w:ascii="Arial" w:hAnsi="Arial" w:cs="Arial"/>
          <w:sz w:val="20"/>
          <w:szCs w:val="20"/>
        </w:rPr>
        <w:t>Tewabe</w:t>
      </w:r>
      <w:proofErr w:type="spellEnd"/>
      <w:r w:rsidRPr="00EC4F0B">
        <w:rPr>
          <w:rFonts w:ascii="Arial" w:hAnsi="Arial" w:cs="Arial"/>
          <w:sz w:val="20"/>
          <w:szCs w:val="20"/>
        </w:rPr>
        <w:t xml:space="preserve">, D. and </w:t>
      </w:r>
      <w:proofErr w:type="spellStart"/>
      <w:r w:rsidRPr="00EC4F0B">
        <w:rPr>
          <w:rFonts w:ascii="Arial" w:hAnsi="Arial" w:cs="Arial"/>
          <w:sz w:val="20"/>
          <w:szCs w:val="20"/>
        </w:rPr>
        <w:t>Fentahun</w:t>
      </w:r>
      <w:proofErr w:type="spellEnd"/>
      <w:r w:rsidRPr="00EC4F0B">
        <w:rPr>
          <w:rFonts w:ascii="Arial" w:hAnsi="Arial" w:cs="Arial"/>
          <w:sz w:val="20"/>
          <w:szCs w:val="20"/>
        </w:rPr>
        <w:t>, T. (2020) Assessing Land Use and Land Cover Change Detection Using Remote Sensing in the Lake Tana Basin, Northwest Ethiopia. Cogent Environmental Science, 6, Article ID: 1778998.</w:t>
      </w:r>
      <w:r w:rsidRPr="00EC4F0B">
        <w:rPr>
          <w:rFonts w:ascii="Arial" w:hAnsi="Arial" w:cs="Arial"/>
          <w:sz w:val="20"/>
          <w:szCs w:val="20"/>
        </w:rPr>
        <w:br/>
        <w:t xml:space="preserve">https://doi.org/10.1080/23311843.2020.1778998 </w:t>
      </w:r>
    </w:p>
    <w:p w14:paraId="1EFBE9AE" w14:textId="77777777" w:rsidR="008935E1" w:rsidRPr="00EC4F0B" w:rsidRDefault="008935E1"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Thakur, T. K., Patel, D. K., </w:t>
      </w:r>
      <w:proofErr w:type="spellStart"/>
      <w:r w:rsidRPr="00EC4F0B">
        <w:rPr>
          <w:rFonts w:ascii="Arial" w:hAnsi="Arial" w:cs="Arial"/>
          <w:sz w:val="20"/>
          <w:szCs w:val="20"/>
        </w:rPr>
        <w:t>Bijalwan</w:t>
      </w:r>
      <w:proofErr w:type="spellEnd"/>
      <w:r w:rsidRPr="00EC4F0B">
        <w:rPr>
          <w:rFonts w:ascii="Arial" w:hAnsi="Arial" w:cs="Arial"/>
          <w:sz w:val="20"/>
          <w:szCs w:val="20"/>
        </w:rPr>
        <w:t xml:space="preserve">, A., </w:t>
      </w:r>
      <w:proofErr w:type="spellStart"/>
      <w:r w:rsidRPr="00EC4F0B">
        <w:rPr>
          <w:rFonts w:ascii="Arial" w:hAnsi="Arial" w:cs="Arial"/>
          <w:sz w:val="20"/>
          <w:szCs w:val="20"/>
        </w:rPr>
        <w:t>Dobriyal</w:t>
      </w:r>
      <w:proofErr w:type="spellEnd"/>
      <w:r w:rsidRPr="00EC4F0B">
        <w:rPr>
          <w:rFonts w:ascii="Arial" w:hAnsi="Arial" w:cs="Arial"/>
          <w:sz w:val="20"/>
          <w:szCs w:val="20"/>
        </w:rPr>
        <w:t xml:space="preserve">, M. J., Kumar, A., Thakur, A., Bohra, A., &amp; Bhat, J. A. (2020). Land use land cover change detection through geospatial analysis in an Indian Biosphere Reserve. Trees, Forests and People, 2, 100018. https://doi.org/10.1016/j.tfp.2020.100018 </w:t>
      </w:r>
    </w:p>
    <w:p w14:paraId="57708735" w14:textId="598002E5"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Turner, B. L., </w:t>
      </w:r>
      <w:proofErr w:type="spellStart"/>
      <w:r w:rsidRPr="00EC4F0B">
        <w:rPr>
          <w:rFonts w:ascii="Arial" w:hAnsi="Arial" w:cs="Arial"/>
          <w:sz w:val="20"/>
          <w:szCs w:val="20"/>
        </w:rPr>
        <w:t>Lambin</w:t>
      </w:r>
      <w:proofErr w:type="spellEnd"/>
      <w:r w:rsidRPr="00EC4F0B">
        <w:rPr>
          <w:rFonts w:ascii="Arial" w:hAnsi="Arial" w:cs="Arial"/>
          <w:sz w:val="20"/>
          <w:szCs w:val="20"/>
        </w:rPr>
        <w:t xml:space="preserve">, E. F., &amp; </w:t>
      </w:r>
      <w:proofErr w:type="spellStart"/>
      <w:r w:rsidRPr="00EC4F0B">
        <w:rPr>
          <w:rFonts w:ascii="Arial" w:hAnsi="Arial" w:cs="Arial"/>
          <w:sz w:val="20"/>
          <w:szCs w:val="20"/>
        </w:rPr>
        <w:t>Reenberg</w:t>
      </w:r>
      <w:proofErr w:type="spellEnd"/>
      <w:r w:rsidRPr="00EC4F0B">
        <w:rPr>
          <w:rFonts w:ascii="Arial" w:hAnsi="Arial" w:cs="Arial"/>
          <w:sz w:val="20"/>
          <w:szCs w:val="20"/>
        </w:rPr>
        <w:t xml:space="preserve">, A. (2007). The emergence of land change science for global environmental change and sustainability. </w:t>
      </w:r>
      <w:r w:rsidRPr="00EC4F0B">
        <w:rPr>
          <w:rFonts w:ascii="Arial" w:hAnsi="Arial" w:cs="Arial"/>
          <w:i/>
          <w:iCs/>
          <w:sz w:val="20"/>
          <w:szCs w:val="20"/>
        </w:rPr>
        <w:t>Proceedings of the National Academy of Sciences</w:t>
      </w:r>
      <w:r w:rsidRPr="00EC4F0B">
        <w:rPr>
          <w:rFonts w:ascii="Arial" w:hAnsi="Arial" w:cs="Arial"/>
          <w:sz w:val="20"/>
          <w:szCs w:val="20"/>
        </w:rPr>
        <w:t xml:space="preserve">, 104(52), 20666–20671. </w:t>
      </w:r>
      <w:hyperlink r:id="rId20" w:tgtFrame="_new" w:history="1">
        <w:r w:rsidRPr="00EC4F0B">
          <w:rPr>
            <w:rStyle w:val="Hyperlink"/>
            <w:rFonts w:ascii="Arial" w:hAnsi="Arial" w:cs="Arial"/>
            <w:sz w:val="20"/>
            <w:szCs w:val="20"/>
          </w:rPr>
          <w:t>https://doi.org/10.1073/pnas.0704119104</w:t>
        </w:r>
      </w:hyperlink>
    </w:p>
    <w:p w14:paraId="12FFD725" w14:textId="6DF833A5"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lastRenderedPageBreak/>
        <w:t xml:space="preserve">Weng, Q. (2012). </w:t>
      </w:r>
      <w:r w:rsidR="00041E7B" w:rsidRPr="00EC4F0B">
        <w:rPr>
          <w:rFonts w:ascii="Arial" w:hAnsi="Arial" w:cs="Arial"/>
          <w:sz w:val="20"/>
          <w:szCs w:val="20"/>
        </w:rPr>
        <w:t>Remote sensing of impervious surfaces in the urban areas: Requirements, methods, and trends</w:t>
      </w:r>
      <w:r w:rsidR="005A5123" w:rsidRPr="00EC4F0B">
        <w:rPr>
          <w:rFonts w:ascii="Arial" w:hAnsi="Arial" w:cs="Arial"/>
          <w:sz w:val="20"/>
          <w:szCs w:val="20"/>
        </w:rPr>
        <w:t>, 117 (2012)</w:t>
      </w:r>
      <w:r w:rsidRPr="00EC4F0B">
        <w:rPr>
          <w:rFonts w:ascii="Arial" w:hAnsi="Arial" w:cs="Arial"/>
          <w:sz w:val="20"/>
          <w:szCs w:val="20"/>
        </w:rPr>
        <w:t xml:space="preserve">, </w:t>
      </w:r>
      <w:r w:rsidR="00041E7B" w:rsidRPr="00EC4F0B">
        <w:rPr>
          <w:rFonts w:ascii="Arial" w:hAnsi="Arial" w:cs="Arial"/>
          <w:sz w:val="20"/>
          <w:szCs w:val="20"/>
        </w:rPr>
        <w:t>34-49</w:t>
      </w:r>
      <w:r w:rsidRPr="00EC4F0B">
        <w:rPr>
          <w:rFonts w:ascii="Arial" w:hAnsi="Arial" w:cs="Arial"/>
          <w:sz w:val="20"/>
          <w:szCs w:val="20"/>
        </w:rPr>
        <w:t>. https://doi.org/10.1080/01431161.2012.689499</w:t>
      </w:r>
    </w:p>
    <w:p w14:paraId="5D85282F" w14:textId="622C127C" w:rsidR="00BD4C68" w:rsidRPr="00EC4F0B" w:rsidRDefault="00BD4C68" w:rsidP="00EC4F0B">
      <w:pPr>
        <w:pStyle w:val="ListParagraph"/>
        <w:numPr>
          <w:ilvl w:val="0"/>
          <w:numId w:val="6"/>
        </w:numPr>
        <w:spacing w:line="276" w:lineRule="auto"/>
        <w:jc w:val="both"/>
        <w:rPr>
          <w:rFonts w:ascii="Arial" w:hAnsi="Arial" w:cs="Arial"/>
          <w:sz w:val="20"/>
          <w:szCs w:val="20"/>
        </w:rPr>
      </w:pPr>
      <w:r w:rsidRPr="00EC4F0B">
        <w:rPr>
          <w:rFonts w:ascii="Arial" w:hAnsi="Arial" w:cs="Arial"/>
          <w:sz w:val="20"/>
          <w:szCs w:val="20"/>
        </w:rPr>
        <w:t xml:space="preserve">Zhu, Z. (2017). </w:t>
      </w:r>
      <w:r w:rsidR="00CD4304" w:rsidRPr="00EC4F0B">
        <w:rPr>
          <w:rFonts w:ascii="Arial" w:hAnsi="Arial" w:cs="Arial"/>
          <w:sz w:val="20"/>
          <w:szCs w:val="20"/>
        </w:rPr>
        <w:t>Change detection using Landsat time series: A review of frequencies, preprocessing, algorithms, and applications</w:t>
      </w:r>
      <w:r w:rsidRPr="00EC4F0B">
        <w:rPr>
          <w:rFonts w:ascii="Arial" w:hAnsi="Arial" w:cs="Arial"/>
          <w:sz w:val="20"/>
          <w:szCs w:val="20"/>
        </w:rPr>
        <w:t>, 1</w:t>
      </w:r>
      <w:r w:rsidR="00CD4304" w:rsidRPr="00EC4F0B">
        <w:rPr>
          <w:rFonts w:ascii="Arial" w:hAnsi="Arial" w:cs="Arial"/>
          <w:sz w:val="20"/>
          <w:szCs w:val="20"/>
        </w:rPr>
        <w:t>30</w:t>
      </w:r>
      <w:r w:rsidRPr="00EC4F0B">
        <w:rPr>
          <w:rFonts w:ascii="Arial" w:hAnsi="Arial" w:cs="Arial"/>
          <w:sz w:val="20"/>
          <w:szCs w:val="20"/>
        </w:rPr>
        <w:t xml:space="preserve">, </w:t>
      </w:r>
      <w:r w:rsidR="00CD4304" w:rsidRPr="00EC4F0B">
        <w:rPr>
          <w:rFonts w:ascii="Arial" w:hAnsi="Arial" w:cs="Arial"/>
          <w:sz w:val="20"/>
          <w:szCs w:val="20"/>
        </w:rPr>
        <w:t>370-384</w:t>
      </w:r>
      <w:r w:rsidRPr="00EC4F0B">
        <w:rPr>
          <w:rFonts w:ascii="Arial" w:hAnsi="Arial" w:cs="Arial"/>
          <w:sz w:val="20"/>
          <w:szCs w:val="20"/>
        </w:rPr>
        <w:t xml:space="preserve">. </w:t>
      </w:r>
      <w:r w:rsidR="00CD4304" w:rsidRPr="00EC4F0B">
        <w:rPr>
          <w:rFonts w:ascii="Arial" w:hAnsi="Arial" w:cs="Arial"/>
          <w:sz w:val="20"/>
          <w:szCs w:val="20"/>
        </w:rPr>
        <w:t>10.1016/j.isprsjprs.2017.06.013</w:t>
      </w:r>
    </w:p>
    <w:p w14:paraId="6A2A5363" w14:textId="37E314C0" w:rsidR="00482E91" w:rsidRDefault="00BD4C68" w:rsidP="00EC4F0B">
      <w:pPr>
        <w:pStyle w:val="ListParagraph"/>
        <w:numPr>
          <w:ilvl w:val="0"/>
          <w:numId w:val="6"/>
        </w:numPr>
      </w:pPr>
      <w:r w:rsidRPr="000A4FE4">
        <w:t xml:space="preserve">Zhu, Z. (2022). Remote sensing of land change: A multifaceted perspective. </w:t>
      </w:r>
      <w:r w:rsidRPr="00EC4F0B">
        <w:rPr>
          <w:i/>
          <w:iCs/>
        </w:rPr>
        <w:t>Remote Sensing of Environment</w:t>
      </w:r>
      <w:r w:rsidRPr="000A4FE4">
        <w:t xml:space="preserve">. </w:t>
      </w:r>
      <w:hyperlink r:id="rId21" w:history="1">
        <w:r w:rsidR="00F719BA" w:rsidRPr="00EC4F0B">
          <w:rPr>
            <w:rStyle w:val="Hyperlink"/>
            <w:rFonts w:ascii="Arial" w:hAnsi="Arial" w:cs="Arial"/>
            <w:sz w:val="20"/>
            <w:szCs w:val="20"/>
          </w:rPr>
          <w:t>https://doi.org/10.1016/j.rse.2022.113056</w:t>
        </w:r>
      </w:hyperlink>
    </w:p>
    <w:p w14:paraId="0F68CED3" w14:textId="599C1DAB" w:rsidR="0064491B" w:rsidRDefault="0064491B" w:rsidP="00EC4F0B">
      <w:pPr>
        <w:pStyle w:val="ListParagraph"/>
        <w:numPr>
          <w:ilvl w:val="0"/>
          <w:numId w:val="6"/>
        </w:numPr>
      </w:pPr>
      <w:proofErr w:type="spellStart"/>
      <w:r>
        <w:t>Moisa</w:t>
      </w:r>
      <w:proofErr w:type="spellEnd"/>
      <w:r>
        <w:t>, M. B., &amp;amp; Gemeda, D. O. (2021). Analysis of urban expansion and land use/land cover changes using geospatial techniques: a case of Addis Ababa City, Ethiopia. Applied Geomatics, 13(4), 853-861.</w:t>
      </w:r>
    </w:p>
    <w:p w14:paraId="6DCCECA8" w14:textId="398E2F19" w:rsidR="0064491B" w:rsidRDefault="00A20F4A" w:rsidP="00EC4F0B">
      <w:pPr>
        <w:pStyle w:val="ListParagraph"/>
        <w:numPr>
          <w:ilvl w:val="0"/>
          <w:numId w:val="6"/>
        </w:numPr>
      </w:pPr>
      <w:proofErr w:type="spellStart"/>
      <w:r>
        <w:t>Dhanaraj</w:t>
      </w:r>
      <w:proofErr w:type="spellEnd"/>
      <w:r>
        <w:t xml:space="preserve">, K., &amp;amp; </w:t>
      </w:r>
      <w:proofErr w:type="spellStart"/>
      <w:r>
        <w:t>Angadi</w:t>
      </w:r>
      <w:proofErr w:type="spellEnd"/>
      <w:r>
        <w:t xml:space="preserve">, D. P. (2022). Land use land cover mapping and monitoring urban growth using remote sensing and GIS techniques in </w:t>
      </w:r>
      <w:proofErr w:type="spellStart"/>
      <w:r>
        <w:t>Mangaluru</w:t>
      </w:r>
      <w:proofErr w:type="spellEnd"/>
      <w:r>
        <w:t xml:space="preserve">, India. </w:t>
      </w:r>
      <w:proofErr w:type="spellStart"/>
      <w:r>
        <w:t>GeoJournal</w:t>
      </w:r>
      <w:proofErr w:type="spellEnd"/>
      <w:r>
        <w:t>, 87(2), 1133-1159.</w:t>
      </w:r>
      <w:bookmarkStart w:id="0" w:name="_GoBack"/>
      <w:bookmarkEnd w:id="0"/>
    </w:p>
    <w:sectPr w:rsidR="0064491B" w:rsidSect="00002007">
      <w:headerReference w:type="even" r:id="rId22"/>
      <w:headerReference w:type="default" r:id="rId23"/>
      <w:footerReference w:type="default" r:id="rId24"/>
      <w:head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8FCCA" w14:textId="77777777" w:rsidR="00B0017E" w:rsidRDefault="00B0017E" w:rsidP="00002007">
      <w:pPr>
        <w:spacing w:after="0" w:line="240" w:lineRule="auto"/>
      </w:pPr>
      <w:r>
        <w:separator/>
      </w:r>
    </w:p>
  </w:endnote>
  <w:endnote w:type="continuationSeparator" w:id="0">
    <w:p w14:paraId="7882A1D3" w14:textId="77777777" w:rsidR="00B0017E" w:rsidRDefault="00B0017E" w:rsidP="00002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595850"/>
      <w:docPartObj>
        <w:docPartGallery w:val="Page Numbers (Bottom of Page)"/>
        <w:docPartUnique/>
      </w:docPartObj>
    </w:sdtPr>
    <w:sdtEndPr>
      <w:rPr>
        <w:noProof/>
      </w:rPr>
    </w:sdtEndPr>
    <w:sdtContent>
      <w:p w14:paraId="26298F07" w14:textId="51A0A2E4" w:rsidR="001C7EEF" w:rsidRDefault="001C7E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109169" w14:textId="77777777" w:rsidR="00002007" w:rsidRDefault="00002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9CD9C" w14:textId="77777777" w:rsidR="00B0017E" w:rsidRDefault="00B0017E" w:rsidP="00002007">
      <w:pPr>
        <w:spacing w:after="0" w:line="240" w:lineRule="auto"/>
      </w:pPr>
      <w:r>
        <w:separator/>
      </w:r>
    </w:p>
  </w:footnote>
  <w:footnote w:type="continuationSeparator" w:id="0">
    <w:p w14:paraId="501C2AB7" w14:textId="77777777" w:rsidR="00B0017E" w:rsidRDefault="00B0017E" w:rsidP="00002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58A82" w14:textId="4B783706" w:rsidR="00002007" w:rsidRDefault="00B0017E">
    <w:pPr>
      <w:pStyle w:val="Header"/>
    </w:pPr>
    <w:r>
      <w:rPr>
        <w:noProof/>
      </w:rPr>
      <w:pict w14:anchorId="6E339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32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717B" w14:textId="1535D4CA" w:rsidR="00002007" w:rsidRDefault="00B0017E">
    <w:pPr>
      <w:pStyle w:val="Header"/>
    </w:pPr>
    <w:r>
      <w:rPr>
        <w:noProof/>
      </w:rPr>
      <w:pict w14:anchorId="4A074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32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0B16A" w14:textId="3D8DBE67" w:rsidR="00002007" w:rsidRDefault="00B0017E">
    <w:pPr>
      <w:pStyle w:val="Header"/>
    </w:pPr>
    <w:r>
      <w:rPr>
        <w:noProof/>
      </w:rPr>
      <w:pict w14:anchorId="301F5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32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C7EEA"/>
    <w:multiLevelType w:val="hybridMultilevel"/>
    <w:tmpl w:val="4C4EE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D1072"/>
    <w:multiLevelType w:val="hybridMultilevel"/>
    <w:tmpl w:val="817C0E9E"/>
    <w:lvl w:ilvl="0" w:tplc="B730583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C10D6F"/>
    <w:multiLevelType w:val="hybridMultilevel"/>
    <w:tmpl w:val="67BE6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24424B"/>
    <w:multiLevelType w:val="hybridMultilevel"/>
    <w:tmpl w:val="CD2A8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6F746B"/>
    <w:multiLevelType w:val="hybridMultilevel"/>
    <w:tmpl w:val="045A5C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EB35EF1"/>
    <w:multiLevelType w:val="hybridMultilevel"/>
    <w:tmpl w:val="F110A2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C0MDUD0kYGBobGpko6SsGpxcWZ+XkgBYa1AKQ7+GQsAAAA"/>
  </w:docVars>
  <w:rsids>
    <w:rsidRoot w:val="006D3B64"/>
    <w:rsid w:val="00002007"/>
    <w:rsid w:val="00014D4E"/>
    <w:rsid w:val="00036D65"/>
    <w:rsid w:val="00040E5A"/>
    <w:rsid w:val="00041E7B"/>
    <w:rsid w:val="000633CA"/>
    <w:rsid w:val="00067C7D"/>
    <w:rsid w:val="000710F0"/>
    <w:rsid w:val="0007658C"/>
    <w:rsid w:val="0009463F"/>
    <w:rsid w:val="000A17F5"/>
    <w:rsid w:val="000A4FE4"/>
    <w:rsid w:val="000C3DC9"/>
    <w:rsid w:val="000D2C99"/>
    <w:rsid w:val="000D3B4A"/>
    <w:rsid w:val="000F53FB"/>
    <w:rsid w:val="000F6EB9"/>
    <w:rsid w:val="001105CC"/>
    <w:rsid w:val="00115445"/>
    <w:rsid w:val="00122E94"/>
    <w:rsid w:val="001247F0"/>
    <w:rsid w:val="001413C4"/>
    <w:rsid w:val="0014532B"/>
    <w:rsid w:val="001C7EEF"/>
    <w:rsid w:val="0021389C"/>
    <w:rsid w:val="002204CA"/>
    <w:rsid w:val="00236AC1"/>
    <w:rsid w:val="00254E7E"/>
    <w:rsid w:val="00262477"/>
    <w:rsid w:val="002A01B2"/>
    <w:rsid w:val="002A630E"/>
    <w:rsid w:val="002B10D6"/>
    <w:rsid w:val="002B4BEA"/>
    <w:rsid w:val="002B76A5"/>
    <w:rsid w:val="002C505A"/>
    <w:rsid w:val="002F4449"/>
    <w:rsid w:val="002F4BE6"/>
    <w:rsid w:val="003129AE"/>
    <w:rsid w:val="00313BA2"/>
    <w:rsid w:val="00363668"/>
    <w:rsid w:val="003A075D"/>
    <w:rsid w:val="003A2B62"/>
    <w:rsid w:val="003C4B03"/>
    <w:rsid w:val="003C57FC"/>
    <w:rsid w:val="003D54AB"/>
    <w:rsid w:val="003E709E"/>
    <w:rsid w:val="003F66FE"/>
    <w:rsid w:val="0041113A"/>
    <w:rsid w:val="00432368"/>
    <w:rsid w:val="00456353"/>
    <w:rsid w:val="00482E91"/>
    <w:rsid w:val="004C51E7"/>
    <w:rsid w:val="004E09C9"/>
    <w:rsid w:val="00501C52"/>
    <w:rsid w:val="00503374"/>
    <w:rsid w:val="00504E5E"/>
    <w:rsid w:val="00510EDE"/>
    <w:rsid w:val="005256E8"/>
    <w:rsid w:val="005A506B"/>
    <w:rsid w:val="005A5123"/>
    <w:rsid w:val="005A5F4B"/>
    <w:rsid w:val="005A67CF"/>
    <w:rsid w:val="005E689C"/>
    <w:rsid w:val="00642DAD"/>
    <w:rsid w:val="0064491B"/>
    <w:rsid w:val="006547B3"/>
    <w:rsid w:val="00671D84"/>
    <w:rsid w:val="006723FF"/>
    <w:rsid w:val="00680891"/>
    <w:rsid w:val="006B477D"/>
    <w:rsid w:val="006D38A6"/>
    <w:rsid w:val="006D3B64"/>
    <w:rsid w:val="006E2F89"/>
    <w:rsid w:val="006E40F6"/>
    <w:rsid w:val="006E4DE5"/>
    <w:rsid w:val="006E61F4"/>
    <w:rsid w:val="006E7AEE"/>
    <w:rsid w:val="00702204"/>
    <w:rsid w:val="00711B19"/>
    <w:rsid w:val="00740A92"/>
    <w:rsid w:val="00755A53"/>
    <w:rsid w:val="00770021"/>
    <w:rsid w:val="00770284"/>
    <w:rsid w:val="007941F4"/>
    <w:rsid w:val="007961D3"/>
    <w:rsid w:val="007A25CC"/>
    <w:rsid w:val="007D483B"/>
    <w:rsid w:val="007D7D38"/>
    <w:rsid w:val="00841549"/>
    <w:rsid w:val="0084727E"/>
    <w:rsid w:val="00875418"/>
    <w:rsid w:val="008935E1"/>
    <w:rsid w:val="008A2E23"/>
    <w:rsid w:val="008A3F21"/>
    <w:rsid w:val="008A55BD"/>
    <w:rsid w:val="008C0832"/>
    <w:rsid w:val="008D1765"/>
    <w:rsid w:val="00904B43"/>
    <w:rsid w:val="0092314E"/>
    <w:rsid w:val="009234C8"/>
    <w:rsid w:val="009236A2"/>
    <w:rsid w:val="00965E76"/>
    <w:rsid w:val="00973F81"/>
    <w:rsid w:val="00974FF6"/>
    <w:rsid w:val="0099137B"/>
    <w:rsid w:val="00996378"/>
    <w:rsid w:val="009B129A"/>
    <w:rsid w:val="009B46F0"/>
    <w:rsid w:val="009B7B65"/>
    <w:rsid w:val="00A20F4A"/>
    <w:rsid w:val="00A27625"/>
    <w:rsid w:val="00A35A54"/>
    <w:rsid w:val="00A404BD"/>
    <w:rsid w:val="00A4508B"/>
    <w:rsid w:val="00AA5567"/>
    <w:rsid w:val="00AA676A"/>
    <w:rsid w:val="00AE4A3E"/>
    <w:rsid w:val="00AE5724"/>
    <w:rsid w:val="00AE6024"/>
    <w:rsid w:val="00AF3DF4"/>
    <w:rsid w:val="00B0017E"/>
    <w:rsid w:val="00B04273"/>
    <w:rsid w:val="00B07491"/>
    <w:rsid w:val="00B11F21"/>
    <w:rsid w:val="00B15141"/>
    <w:rsid w:val="00B27773"/>
    <w:rsid w:val="00B33B86"/>
    <w:rsid w:val="00B6226E"/>
    <w:rsid w:val="00B72430"/>
    <w:rsid w:val="00BA35E1"/>
    <w:rsid w:val="00BD2126"/>
    <w:rsid w:val="00BD4C68"/>
    <w:rsid w:val="00C222A0"/>
    <w:rsid w:val="00C336DF"/>
    <w:rsid w:val="00C75813"/>
    <w:rsid w:val="00C8519F"/>
    <w:rsid w:val="00C91F18"/>
    <w:rsid w:val="00CC655F"/>
    <w:rsid w:val="00CD4304"/>
    <w:rsid w:val="00CE7AC0"/>
    <w:rsid w:val="00CF1F48"/>
    <w:rsid w:val="00D373DA"/>
    <w:rsid w:val="00D4497E"/>
    <w:rsid w:val="00D60F47"/>
    <w:rsid w:val="00D64A6F"/>
    <w:rsid w:val="00D65293"/>
    <w:rsid w:val="00D81BC2"/>
    <w:rsid w:val="00D928F9"/>
    <w:rsid w:val="00DA11D2"/>
    <w:rsid w:val="00DD00E3"/>
    <w:rsid w:val="00DE13F3"/>
    <w:rsid w:val="00DF6C08"/>
    <w:rsid w:val="00E008A5"/>
    <w:rsid w:val="00E01D09"/>
    <w:rsid w:val="00E2684E"/>
    <w:rsid w:val="00E85BC3"/>
    <w:rsid w:val="00EB0EBC"/>
    <w:rsid w:val="00EC4F0B"/>
    <w:rsid w:val="00F14C41"/>
    <w:rsid w:val="00F215A4"/>
    <w:rsid w:val="00F341CE"/>
    <w:rsid w:val="00F67F18"/>
    <w:rsid w:val="00F719BA"/>
    <w:rsid w:val="00F77C05"/>
    <w:rsid w:val="00F93E1D"/>
    <w:rsid w:val="00FD6340"/>
    <w:rsid w:val="00FD79C0"/>
    <w:rsid w:val="00FE099E"/>
    <w:rsid w:val="00FF046C"/>
    <w:rsid w:val="00FF0DF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B507C3"/>
  <w15:chartTrackingRefBased/>
  <w15:docId w15:val="{DDD61AD1-1795-48B4-9B9C-FF47718F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3F21"/>
  </w:style>
  <w:style w:type="paragraph" w:styleId="Heading1">
    <w:name w:val="heading 1"/>
    <w:basedOn w:val="Normal"/>
    <w:next w:val="Normal"/>
    <w:link w:val="Heading1Char"/>
    <w:uiPriority w:val="9"/>
    <w:qFormat/>
    <w:rsid w:val="006D3B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3B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3B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3B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3B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3B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3B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3B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3B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B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3B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3B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3B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3B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3B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3B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3B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3B64"/>
    <w:rPr>
      <w:rFonts w:eastAsiaTheme="majorEastAsia" w:cstheme="majorBidi"/>
      <w:color w:val="272727" w:themeColor="text1" w:themeTint="D8"/>
    </w:rPr>
  </w:style>
  <w:style w:type="paragraph" w:styleId="Title">
    <w:name w:val="Title"/>
    <w:basedOn w:val="Normal"/>
    <w:next w:val="Normal"/>
    <w:link w:val="TitleChar"/>
    <w:uiPriority w:val="10"/>
    <w:qFormat/>
    <w:rsid w:val="006D3B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3B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3B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3B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3B64"/>
    <w:pPr>
      <w:spacing w:before="160"/>
      <w:jc w:val="center"/>
    </w:pPr>
    <w:rPr>
      <w:i/>
      <w:iCs/>
      <w:color w:val="404040" w:themeColor="text1" w:themeTint="BF"/>
    </w:rPr>
  </w:style>
  <w:style w:type="character" w:customStyle="1" w:styleId="QuoteChar">
    <w:name w:val="Quote Char"/>
    <w:basedOn w:val="DefaultParagraphFont"/>
    <w:link w:val="Quote"/>
    <w:uiPriority w:val="29"/>
    <w:rsid w:val="006D3B64"/>
    <w:rPr>
      <w:i/>
      <w:iCs/>
      <w:color w:val="404040" w:themeColor="text1" w:themeTint="BF"/>
    </w:rPr>
  </w:style>
  <w:style w:type="paragraph" w:styleId="ListParagraph">
    <w:name w:val="List Paragraph"/>
    <w:basedOn w:val="Normal"/>
    <w:uiPriority w:val="34"/>
    <w:qFormat/>
    <w:rsid w:val="006D3B64"/>
    <w:pPr>
      <w:ind w:left="720"/>
      <w:contextualSpacing/>
    </w:pPr>
  </w:style>
  <w:style w:type="character" w:styleId="IntenseEmphasis">
    <w:name w:val="Intense Emphasis"/>
    <w:basedOn w:val="DefaultParagraphFont"/>
    <w:uiPriority w:val="21"/>
    <w:qFormat/>
    <w:rsid w:val="006D3B64"/>
    <w:rPr>
      <w:i/>
      <w:iCs/>
      <w:color w:val="2F5496" w:themeColor="accent1" w:themeShade="BF"/>
    </w:rPr>
  </w:style>
  <w:style w:type="paragraph" w:styleId="IntenseQuote">
    <w:name w:val="Intense Quote"/>
    <w:basedOn w:val="Normal"/>
    <w:next w:val="Normal"/>
    <w:link w:val="IntenseQuoteChar"/>
    <w:uiPriority w:val="30"/>
    <w:qFormat/>
    <w:rsid w:val="006D3B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3B64"/>
    <w:rPr>
      <w:i/>
      <w:iCs/>
      <w:color w:val="2F5496" w:themeColor="accent1" w:themeShade="BF"/>
    </w:rPr>
  </w:style>
  <w:style w:type="character" w:styleId="IntenseReference">
    <w:name w:val="Intense Reference"/>
    <w:basedOn w:val="DefaultParagraphFont"/>
    <w:uiPriority w:val="32"/>
    <w:qFormat/>
    <w:rsid w:val="006D3B64"/>
    <w:rPr>
      <w:b/>
      <w:bCs/>
      <w:smallCaps/>
      <w:color w:val="2F5496" w:themeColor="accent1" w:themeShade="BF"/>
      <w:spacing w:val="5"/>
    </w:rPr>
  </w:style>
  <w:style w:type="character" w:styleId="Hyperlink">
    <w:name w:val="Hyperlink"/>
    <w:basedOn w:val="DefaultParagraphFont"/>
    <w:uiPriority w:val="99"/>
    <w:unhideWhenUsed/>
    <w:rsid w:val="006D3B64"/>
    <w:rPr>
      <w:color w:val="0563C1" w:themeColor="hyperlink"/>
      <w:u w:val="single"/>
    </w:rPr>
  </w:style>
  <w:style w:type="character" w:styleId="UnresolvedMention">
    <w:name w:val="Unresolved Mention"/>
    <w:basedOn w:val="DefaultParagraphFont"/>
    <w:uiPriority w:val="99"/>
    <w:semiHidden/>
    <w:unhideWhenUsed/>
    <w:rsid w:val="006D3B64"/>
    <w:rPr>
      <w:color w:val="605E5C"/>
      <w:shd w:val="clear" w:color="auto" w:fill="E1DFDD"/>
    </w:rPr>
  </w:style>
  <w:style w:type="table" w:styleId="TableGrid">
    <w:name w:val="Table Grid"/>
    <w:basedOn w:val="TableNormal"/>
    <w:uiPriority w:val="39"/>
    <w:rsid w:val="000F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3668"/>
    <w:rPr>
      <w:rFonts w:ascii="Times New Roman" w:hAnsi="Times New Roman" w:cs="Times New Roman"/>
    </w:rPr>
  </w:style>
  <w:style w:type="character" w:styleId="PlaceholderText">
    <w:name w:val="Placeholder Text"/>
    <w:basedOn w:val="DefaultParagraphFont"/>
    <w:uiPriority w:val="99"/>
    <w:semiHidden/>
    <w:rsid w:val="000A4FE4"/>
    <w:rPr>
      <w:color w:val="666666"/>
    </w:rPr>
  </w:style>
  <w:style w:type="character" w:styleId="LineNumber">
    <w:name w:val="line number"/>
    <w:basedOn w:val="DefaultParagraphFont"/>
    <w:uiPriority w:val="99"/>
    <w:semiHidden/>
    <w:unhideWhenUsed/>
    <w:rsid w:val="000A4FE4"/>
  </w:style>
  <w:style w:type="paragraph" w:styleId="Header">
    <w:name w:val="header"/>
    <w:basedOn w:val="Normal"/>
    <w:link w:val="HeaderChar"/>
    <w:uiPriority w:val="99"/>
    <w:unhideWhenUsed/>
    <w:rsid w:val="00002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007"/>
  </w:style>
  <w:style w:type="paragraph" w:styleId="Footer">
    <w:name w:val="footer"/>
    <w:basedOn w:val="Normal"/>
    <w:link w:val="FooterChar"/>
    <w:uiPriority w:val="99"/>
    <w:unhideWhenUsed/>
    <w:rsid w:val="00002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007"/>
  </w:style>
  <w:style w:type="paragraph" w:styleId="NoSpacing">
    <w:name w:val="No Spacing"/>
    <w:uiPriority w:val="1"/>
    <w:qFormat/>
    <w:rsid w:val="00E008A5"/>
    <w:pPr>
      <w:spacing w:after="0" w:line="240" w:lineRule="auto"/>
    </w:pPr>
    <w:rPr>
      <w:kern w:val="0"/>
      <w:sz w:val="22"/>
      <w:szCs w:val="22"/>
      <w:lang w:val="en-GB"/>
      <w14:ligatures w14:val="none"/>
    </w:rPr>
  </w:style>
  <w:style w:type="character" w:styleId="FollowedHyperlink">
    <w:name w:val="FollowedHyperlink"/>
    <w:basedOn w:val="DefaultParagraphFont"/>
    <w:uiPriority w:val="99"/>
    <w:semiHidden/>
    <w:unhideWhenUsed/>
    <w:rsid w:val="006723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749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3-540-32202-7" TargetMode="External"/><Relationship Id="rId18" Type="http://schemas.openxmlformats.org/officeDocument/2006/relationships/hyperlink" Target="https://doi.org/10.1016/j.rsase.2022.10084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rse.2022.113056"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doi.org/10.1073/pnas.1211658109"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07/3-540-32202-7" TargetMode="External"/><Relationship Id="rId20" Type="http://schemas.openxmlformats.org/officeDocument/2006/relationships/hyperlink" Target="https://doi.org/10.1073/pnas.07041191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26/science.1111772"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1038/s41586-018-041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26/science.1111772"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3466F-D896-4BF4-B3E5-5752D9D60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15</Pages>
  <Words>5808</Words>
  <Characters>33111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Kamalpreet Singh</dc:creator>
  <cp:keywords/>
  <dc:description/>
  <cp:lastModifiedBy>Editor-1183</cp:lastModifiedBy>
  <cp:revision>67</cp:revision>
  <cp:lastPrinted>2026-03-28T16:01:00Z</cp:lastPrinted>
  <dcterms:created xsi:type="dcterms:W3CDTF">2026-03-16T07:40:00Z</dcterms:created>
  <dcterms:modified xsi:type="dcterms:W3CDTF">2026-04-04T06:14:00Z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8d138173-fcba-49fd-92ba-ee2c2b1e20bf</vt:lpwstr>
  </property>
</Properties>
</file>