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82D1F" w14:textId="77777777" w:rsidR="002B0B94" w:rsidRDefault="006B74FC">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560BB0">
        <w:rPr>
          <w:rFonts w:ascii="Times New Roman" w:hAnsi="Times New Roman" w:cs="Times New Roman"/>
          <w:b/>
          <w:bCs/>
          <w:sz w:val="24"/>
          <w:szCs w:val="24"/>
          <w:highlight w:val="yellow"/>
        </w:rPr>
        <w:t>STREET VENDING AND PUBLIC SPACE GOVERNANCE IN BAMENDA CITY, CAMEROON: SURVIVAL STRATEGIES AND URBAN PLANNING CHALLENGES</w:t>
      </w:r>
    </w:p>
    <w:p w14:paraId="05D7B21E" w14:textId="77777777" w:rsidR="002B0B94" w:rsidRDefault="002B0B94">
      <w:pPr>
        <w:spacing w:after="0"/>
      </w:pPr>
    </w:p>
    <w:p w14:paraId="3ED8D0B0" w14:textId="77777777" w:rsidR="002B0B94" w:rsidRDefault="002B0B94">
      <w:pPr>
        <w:spacing w:after="0"/>
      </w:pPr>
    </w:p>
    <w:p w14:paraId="1ECAB4B9" w14:textId="77777777" w:rsidR="002B0B94" w:rsidRDefault="006B74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6183ED4E" w14:textId="77777777" w:rsidR="002B0B94" w:rsidRDefault="006B74FC" w:rsidP="00560BB0">
      <w:pPr>
        <w:tabs>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The nexus between rapid urbanisation and persistent economic hardship has intensified the use of public spaces for informal commercial activities in many Cameroonian cities. In Bamenda City, street vending has emerged as a crucial survival strategy for a l</w:t>
      </w:r>
      <w:r>
        <w:rPr>
          <w:rFonts w:ascii="Times New Roman" w:hAnsi="Times New Roman" w:cs="Times New Roman"/>
          <w:sz w:val="24"/>
          <w:szCs w:val="24"/>
        </w:rPr>
        <w:t xml:space="preserve">arge fraction of the </w:t>
      </w:r>
      <w:r w:rsidRPr="00FF0BAD">
        <w:rPr>
          <w:rFonts w:ascii="Times New Roman" w:hAnsi="Times New Roman" w:cs="Times New Roman"/>
          <w:color w:val="000000" w:themeColor="text1"/>
          <w:sz w:val="24"/>
          <w:szCs w:val="24"/>
        </w:rPr>
        <w:t xml:space="preserve">urban </w:t>
      </w:r>
      <w:r>
        <w:rPr>
          <w:rFonts w:ascii="Times New Roman" w:hAnsi="Times New Roman" w:cs="Times New Roman"/>
          <w:sz w:val="24"/>
          <w:szCs w:val="24"/>
        </w:rPr>
        <w:t>population, particularly amid rising unemployment and declining formal economic opportunities. Notwithstanding its importance for livelihoods, street vending continues to generate recurring conflicts related to space use, urban p</w:t>
      </w:r>
      <w:r>
        <w:rPr>
          <w:rFonts w:ascii="Times New Roman" w:hAnsi="Times New Roman" w:cs="Times New Roman"/>
          <w:sz w:val="24"/>
          <w:szCs w:val="24"/>
        </w:rPr>
        <w:t>lanning, sanitation, traffic congestion, and municipal governance. This study examines the major challenges faced by street vendors in their daily use of public spaces and explores feasible strategies supporting livelihood sustainability and economic growt</w:t>
      </w:r>
      <w:r>
        <w:rPr>
          <w:rFonts w:ascii="Times New Roman" w:hAnsi="Times New Roman" w:cs="Times New Roman"/>
          <w:sz w:val="24"/>
          <w:szCs w:val="24"/>
        </w:rPr>
        <w:t>h within these spaces. Both quantitative and qualitative research approaches were employed, involving field observation, interviews with vendors, and consultation with the main resource persons</w:t>
      </w:r>
      <w:r w:rsidRPr="00560BB0">
        <w:rPr>
          <w:rFonts w:ascii="Times New Roman" w:hAnsi="Times New Roman" w:cs="Times New Roman"/>
          <w:sz w:val="24"/>
          <w:szCs w:val="24"/>
          <w:highlight w:val="yellow"/>
        </w:rPr>
        <w:t>. Data were analysed using descriptive, inferential, and spatia</w:t>
      </w:r>
      <w:r w:rsidRPr="00560BB0">
        <w:rPr>
          <w:rFonts w:ascii="Times New Roman" w:hAnsi="Times New Roman" w:cs="Times New Roman"/>
          <w:sz w:val="24"/>
          <w:szCs w:val="24"/>
          <w:highlight w:val="yellow"/>
        </w:rPr>
        <w:t>l techniques.</w:t>
      </w:r>
      <w:r>
        <w:rPr>
          <w:rFonts w:ascii="Times New Roman" w:hAnsi="Times New Roman" w:cs="Times New Roman"/>
          <w:sz w:val="24"/>
          <w:szCs w:val="24"/>
        </w:rPr>
        <w:t xml:space="preserve"> The study identifies major challenges, including spatial congestion, inadequate infrastructure, insecurity, weak regulatory enforcement, and limited participation of vendors in urban planning processes within market arenas. Findings further r</w:t>
      </w:r>
      <w:r>
        <w:rPr>
          <w:rFonts w:ascii="Times New Roman" w:hAnsi="Times New Roman" w:cs="Times New Roman"/>
          <w:sz w:val="24"/>
          <w:szCs w:val="24"/>
        </w:rPr>
        <w:t xml:space="preserve">eveal the existence of a wide range of socio-economic </w:t>
      </w:r>
      <w:r w:rsidRPr="00FF0BAD">
        <w:rPr>
          <w:rFonts w:ascii="Times New Roman" w:hAnsi="Times New Roman" w:cs="Times New Roman"/>
          <w:sz w:val="24"/>
          <w:szCs w:val="24"/>
        </w:rPr>
        <w:t>activities (with street vending constituting 38.6%),</w:t>
      </w:r>
      <w:r>
        <w:rPr>
          <w:rFonts w:ascii="Times New Roman" w:hAnsi="Times New Roman" w:cs="Times New Roman"/>
          <w:sz w:val="24"/>
          <w:szCs w:val="24"/>
        </w:rPr>
        <w:t xml:space="preserve"> serving as livelihood strategies for vendors. However, the continued marginalisation of informal economic activities within Bamenda City's governance</w:t>
      </w:r>
      <w:r>
        <w:rPr>
          <w:rFonts w:ascii="Times New Roman" w:hAnsi="Times New Roman" w:cs="Times New Roman"/>
          <w:sz w:val="24"/>
          <w:szCs w:val="24"/>
        </w:rPr>
        <w:t xml:space="preserve"> frameworks exacerbates tension and undermines effective public space management. The study argues that inclusive urban planning, the creation of designated vending zones, improved market infrastructure, participatory governance, and a balanced regulatory </w:t>
      </w:r>
      <w:r>
        <w:rPr>
          <w:rFonts w:ascii="Times New Roman" w:hAnsi="Times New Roman" w:cs="Times New Roman"/>
          <w:sz w:val="24"/>
          <w:szCs w:val="24"/>
        </w:rPr>
        <w:t>framework are essential for harmonising vendor activities with broader urban development goals. By integrating informal economic actors into city planning in a manner that upholds the Afro-Endogenous development approach, Bamenda City can enhance social in</w:t>
      </w:r>
      <w:r>
        <w:rPr>
          <w:rFonts w:ascii="Times New Roman" w:hAnsi="Times New Roman" w:cs="Times New Roman"/>
          <w:sz w:val="24"/>
          <w:szCs w:val="24"/>
        </w:rPr>
        <w:t>clusion, urban functionality, and strengthen the resilience and adaptability of local economic growth. Such measures are essential for fostering social stability, economic resilience, and the harmonious use of public spaces.</w:t>
      </w:r>
    </w:p>
    <w:p w14:paraId="1D33A9D9" w14:textId="77777777" w:rsidR="002B0B94" w:rsidRDefault="006B74FC">
      <w:pPr>
        <w:spacing w:line="360" w:lineRule="auto"/>
        <w:jc w:val="both"/>
        <w:rPr>
          <w:rFonts w:ascii="Times New Roman" w:hAnsi="Times New Roman" w:cs="Times New Roman"/>
          <w:sz w:val="24"/>
          <w:szCs w:val="24"/>
        </w:rPr>
      </w:pPr>
      <w:r w:rsidRPr="00B333A7">
        <w:rPr>
          <w:rFonts w:ascii="Times New Roman" w:hAnsi="Times New Roman" w:cs="Times New Roman"/>
          <w:b/>
          <w:bCs/>
          <w:sz w:val="24"/>
          <w:szCs w:val="24"/>
        </w:rPr>
        <w:t>Keywords</w:t>
      </w:r>
      <w:r>
        <w:rPr>
          <w:rFonts w:ascii="Times New Roman" w:hAnsi="Times New Roman" w:cs="Times New Roman"/>
          <w:sz w:val="24"/>
          <w:szCs w:val="24"/>
        </w:rPr>
        <w:t>: Vendors, public space</w:t>
      </w:r>
      <w:r>
        <w:rPr>
          <w:rFonts w:ascii="Times New Roman" w:hAnsi="Times New Roman" w:cs="Times New Roman"/>
          <w:sz w:val="24"/>
          <w:szCs w:val="24"/>
        </w:rPr>
        <w:t>, strategies, Afro-endogenous, Bamenda City, Cameroon</w:t>
      </w:r>
    </w:p>
    <w:p w14:paraId="62079B82" w14:textId="77777777" w:rsidR="002B0B94" w:rsidRDefault="002B0B94">
      <w:pPr>
        <w:spacing w:line="360" w:lineRule="auto"/>
        <w:jc w:val="both"/>
        <w:rPr>
          <w:rFonts w:ascii="Times New Roman" w:hAnsi="Times New Roman" w:cs="Times New Roman"/>
          <w:sz w:val="24"/>
          <w:szCs w:val="24"/>
        </w:rPr>
      </w:pPr>
    </w:p>
    <w:p w14:paraId="58E5B479" w14:textId="77777777" w:rsidR="002B0B94" w:rsidRDefault="006B74FC">
      <w:pPr>
        <w:pStyle w:val="Heading1"/>
        <w:spacing w:line="360" w:lineRule="auto"/>
        <w:rPr>
          <w:rFonts w:ascii="Times New Roman" w:hAnsi="Times New Roman" w:cs="Times New Roman"/>
          <w:b/>
          <w:bCs/>
          <w:color w:val="auto"/>
          <w:sz w:val="26"/>
          <w:szCs w:val="26"/>
        </w:rPr>
      </w:pPr>
      <w:r>
        <w:rPr>
          <w:rFonts w:ascii="Times New Roman" w:hAnsi="Times New Roman" w:cs="Times New Roman"/>
          <w:b/>
          <w:bCs/>
          <w:color w:val="auto"/>
          <w:sz w:val="26"/>
          <w:szCs w:val="26"/>
        </w:rPr>
        <w:lastRenderedPageBreak/>
        <w:t>I. INTRODUCTION</w:t>
      </w:r>
    </w:p>
    <w:p w14:paraId="7F497586" w14:textId="77777777" w:rsidR="002B0B94" w:rsidRDefault="006B74FC">
      <w:pPr>
        <w:spacing w:line="360" w:lineRule="auto"/>
        <w:jc w:val="both"/>
        <w:rPr>
          <w:rFonts w:ascii="Times New Roman" w:hAnsi="Times New Roman" w:cs="Times New Roman"/>
          <w:sz w:val="24"/>
          <w:szCs w:val="24"/>
        </w:rPr>
      </w:pPr>
      <w:r>
        <w:rPr>
          <w:rFonts w:ascii="Times New Roman" w:hAnsi="Times New Roman" w:cs="Times New Roman"/>
          <w:sz w:val="24"/>
          <w:szCs w:val="24"/>
        </w:rPr>
        <w:t>Throughout urban history, public spaces have represented important elements in urban configuration. They are known to provide residents with well-being, resilience, and inclusion. Every</w:t>
      </w:r>
      <w:r>
        <w:rPr>
          <w:rFonts w:ascii="Times New Roman" w:hAnsi="Times New Roman" w:cs="Times New Roman"/>
          <w:sz w:val="24"/>
          <w:szCs w:val="24"/>
        </w:rPr>
        <w:t xml:space="preserve"> community needs such places, where all feel welcome and where all can "enjoy being part of the great congress of humanity". Beyond this, public spaces play a critical role in shaping urban development, serving not only as physical spaces for recreation an</w:t>
      </w:r>
      <w:r>
        <w:rPr>
          <w:rFonts w:ascii="Times New Roman" w:hAnsi="Times New Roman" w:cs="Times New Roman"/>
          <w:sz w:val="24"/>
          <w:szCs w:val="24"/>
        </w:rPr>
        <w:t>d interaction but also as arenas for social, political, and economic expression (</w:t>
      </w:r>
      <w:proofErr w:type="spellStart"/>
      <w:r>
        <w:rPr>
          <w:rFonts w:ascii="Times New Roman" w:hAnsi="Times New Roman" w:cs="Times New Roman"/>
          <w:sz w:val="24"/>
          <w:szCs w:val="24"/>
        </w:rPr>
        <w:t>Ntakana</w:t>
      </w:r>
      <w:proofErr w:type="spellEnd"/>
      <w:r>
        <w:rPr>
          <w:rFonts w:ascii="Times New Roman" w:hAnsi="Times New Roman" w:cs="Times New Roman"/>
          <w:sz w:val="24"/>
          <w:szCs w:val="24"/>
        </w:rPr>
        <w:t xml:space="preserve"> et al., 2025). </w:t>
      </w:r>
      <w:r w:rsidRPr="00560BB0">
        <w:rPr>
          <w:rFonts w:ascii="Times New Roman" w:hAnsi="Times New Roman" w:cs="Times New Roman"/>
          <w:sz w:val="24"/>
          <w:szCs w:val="24"/>
          <w:highlight w:val="yellow"/>
        </w:rPr>
        <w:t>Street vending, whilst sometimes spontaneous and unplanned, serves a crucial role in the urban fabric. Globally, there has been a surge of interest in u</w:t>
      </w:r>
      <w:r w:rsidRPr="00560BB0">
        <w:rPr>
          <w:rFonts w:ascii="Times New Roman" w:hAnsi="Times New Roman" w:cs="Times New Roman"/>
          <w:sz w:val="24"/>
          <w:szCs w:val="24"/>
          <w:highlight w:val="yellow"/>
        </w:rPr>
        <w:t>nderstanding the dynamics of informal street vending, motivated by a desire to alleviate economic inequalities (Musa et al., 2024).</w:t>
      </w:r>
    </w:p>
    <w:p w14:paraId="402E8147" w14:textId="77777777" w:rsidR="002B0B94" w:rsidRDefault="006B74FC">
      <w:pPr>
        <w:pStyle w:val="NormalWeb"/>
        <w:spacing w:beforeAutospacing="1" w:after="0" w:afterAutospacing="1"/>
      </w:pPr>
      <w:r>
        <w:t xml:space="preserve">Substantial literature indicates that, in most cities with sufficient public spaces, there are well-maintained, safe, and </w:t>
      </w:r>
      <w:r>
        <w:t>attractive places to live and work in, and most streets are multifunctional areas for social interaction, economic exchange, and cultural expression among a wide diversity of participants (Assako, 2012; UN-Habitat, 2017). It is also argued that the inabili</w:t>
      </w:r>
      <w:r>
        <w:t>ty of cities to generate enough employment opportunities has contributed to widespread informality. Half of the global urban workforce is informally employed, more so in the global South (UN-Habitat, 2017).</w:t>
      </w:r>
    </w:p>
    <w:p w14:paraId="53225456" w14:textId="77777777" w:rsidR="002B0B94" w:rsidRDefault="006B74FC">
      <w:pPr>
        <w:pStyle w:val="NormalWeb"/>
        <w:spacing w:beforeAutospacing="1" w:after="0" w:afterAutospacing="1"/>
      </w:pPr>
      <w:r>
        <w:t>Still on this point, public spaces in European ci</w:t>
      </w:r>
      <w:r>
        <w:t>ties and villages are common places for information exchange, important events (such as processions, celebrations, and festivals), markets, and genuine face-to-face encounters outside the virtual world (</w:t>
      </w:r>
      <w:proofErr w:type="spellStart"/>
      <w:r>
        <w:t>Grunskis</w:t>
      </w:r>
      <w:proofErr w:type="spellEnd"/>
      <w:r>
        <w:t xml:space="preserve"> &amp; </w:t>
      </w:r>
      <w:proofErr w:type="spellStart"/>
      <w:r>
        <w:t>Mankus</w:t>
      </w:r>
      <w:proofErr w:type="spellEnd"/>
      <w:r>
        <w:t>, 2013).</w:t>
      </w:r>
    </w:p>
    <w:p w14:paraId="670A5562" w14:textId="77777777" w:rsidR="002B0B94" w:rsidRDefault="006B74FC">
      <w:pPr>
        <w:pStyle w:val="NormalWeb"/>
        <w:spacing w:beforeAutospacing="1" w:after="0" w:afterAutospacing="1"/>
      </w:pPr>
      <w:r>
        <w:t>Even though rapid urbanisat</w:t>
      </w:r>
      <w:r>
        <w:t xml:space="preserve">ion characterises many African cities, they exhibit public space patterns of a more Afro-endogenous character, compounded by the enormous challenges of coping with soaring urbanisation. Furthermore, the </w:t>
      </w:r>
      <w:r>
        <w:rPr>
          <w:rStyle w:val="Emphasis"/>
        </w:rPr>
        <w:t>Politics of Governing African Urban Spaces</w:t>
      </w:r>
      <w:r>
        <w:t xml:space="preserve"> (2018) arg</w:t>
      </w:r>
      <w:r>
        <w:t>ues for inclusive definitions that go beyond tranquil parks, focusing on multifunctional spaces that support mobility, commerce, social exchange, youth activities, and cultural life, in contrast to the European context.</w:t>
      </w:r>
    </w:p>
    <w:p w14:paraId="127A9142" w14:textId="77777777" w:rsidR="002B0B94" w:rsidRDefault="006B74FC">
      <w:pPr>
        <w:pStyle w:val="NormalWeb"/>
        <w:spacing w:beforeAutospacing="1" w:after="0" w:afterAutospacing="1"/>
      </w:pPr>
      <w:r w:rsidRPr="00560BB0">
        <w:rPr>
          <w:highlight w:val="yellow"/>
        </w:rPr>
        <w:t>In many African contexts, public spa</w:t>
      </w:r>
      <w:r w:rsidRPr="00560BB0">
        <w:rPr>
          <w:highlight w:val="yellow"/>
        </w:rPr>
        <w:t xml:space="preserve">ce is not merely a physical location but a site of ongoing negotiation. Scholars argue that street vending signifies an assertion of the "right to the city" by marginalised populations who are often excluded from formal </w:t>
      </w:r>
      <w:r w:rsidRPr="00560BB0">
        <w:rPr>
          <w:highlight w:val="yellow"/>
        </w:rPr>
        <w:lastRenderedPageBreak/>
        <w:t>economic structures (Brown et al., 2</w:t>
      </w:r>
      <w:r w:rsidRPr="00560BB0">
        <w:rPr>
          <w:highlight w:val="yellow"/>
        </w:rPr>
        <w:t>023)</w:t>
      </w:r>
      <w:r>
        <w:t xml:space="preserve">. Furthermore, many African urban scholars view public space as a lived, socially constructed, and economically functional area shaped by informality, survival strategies, and everyday negotiations between citizens and the state. </w:t>
      </w:r>
      <w:proofErr w:type="spellStart"/>
      <w:r>
        <w:t>Mabogunje</w:t>
      </w:r>
      <w:proofErr w:type="spellEnd"/>
      <w:r>
        <w:t xml:space="preserve"> (1968, 1993)</w:t>
      </w:r>
      <w:r>
        <w:t xml:space="preserve"> initially observed that in African cities, streets, markets, and open spaces develop beyond their planned functions to become vital platforms for livelihoods and social interaction, especially for low-income urban residents. This idea is expanded upon by </w:t>
      </w:r>
      <w:r>
        <w:t>Simone (2004), who describes African public spaces as fluid and improvised environments where networks of survival, informal economies, and social relations are enacted in ways that challenge formal planning logic.</w:t>
      </w:r>
    </w:p>
    <w:p w14:paraId="03233FBC" w14:textId="77777777" w:rsidR="002B0B94" w:rsidRDefault="006B74FC">
      <w:pPr>
        <w:pStyle w:val="NormalWeb"/>
        <w:spacing w:beforeAutospacing="1" w:after="0" w:afterAutospacing="1"/>
      </w:pPr>
      <w:r w:rsidRPr="00560BB0">
        <w:rPr>
          <w:highlight w:val="yellow"/>
        </w:rPr>
        <w:t xml:space="preserve">Forms of urban informality, ranging from </w:t>
      </w:r>
      <w:r w:rsidRPr="00560BB0">
        <w:rPr>
          <w:highlight w:val="yellow"/>
        </w:rPr>
        <w:t>informal settlements to street vending and informal transport, remain a key challenge for those engaged in exploring and shaping public spaces, particularly in Global South cities (</w:t>
      </w:r>
      <w:proofErr w:type="spellStart"/>
      <w:r w:rsidRPr="00560BB0">
        <w:rPr>
          <w:highlight w:val="yellow"/>
        </w:rPr>
        <w:t>Kamalipour</w:t>
      </w:r>
      <w:proofErr w:type="spellEnd"/>
      <w:r w:rsidRPr="00560BB0">
        <w:rPr>
          <w:highlight w:val="yellow"/>
        </w:rPr>
        <w:t xml:space="preserve"> et al., 2025).</w:t>
      </w:r>
      <w:r>
        <w:t xml:space="preserve"> Pieterse (2008) further situates public space wit</w:t>
      </w:r>
      <w:r>
        <w:t>hin the framework of citizenship and contestation, arguing that these spaces reveal the tensions between governance structures and the urban poor's right to the city. Similarly, Watson (2009) critiques conventional urban planning for failing to recognise t</w:t>
      </w:r>
      <w:r>
        <w:t>he "stubborn realities" of informality that define how public spaces are actually used in African cities. Myers (2011) reinforces this argument by calling for an "African urbanism" that rethinks public space through the lenses of colonial legacies, poverty</w:t>
      </w:r>
      <w:r>
        <w:t xml:space="preserve">, and informal practices rather than imported Western ideals. </w:t>
      </w:r>
      <w:r w:rsidRPr="00560BB0">
        <w:rPr>
          <w:highlight w:val="yellow"/>
        </w:rPr>
        <w:t>Rather than viewing street vending as a sign of planning failure, Crossa et al. (2021) argue that informality is a central mechanism in the production of public space.</w:t>
      </w:r>
      <w:r>
        <w:t xml:space="preserve"> Anthropological contributi</w:t>
      </w:r>
      <w:r>
        <w:t xml:space="preserve">ons deepen this understanding. De </w:t>
      </w:r>
      <w:proofErr w:type="spellStart"/>
      <w:r>
        <w:t>Boeck</w:t>
      </w:r>
      <w:proofErr w:type="spellEnd"/>
      <w:r>
        <w:t xml:space="preserve"> and </w:t>
      </w:r>
      <w:proofErr w:type="spellStart"/>
      <w:r>
        <w:t>Plissart</w:t>
      </w:r>
      <w:proofErr w:type="spellEnd"/>
      <w:r>
        <w:t xml:space="preserve"> (2004) illustrate how residents of Kinshasa culturally reinterpret streets and open areas as symbolic and socially negotiated spaces, whilst Olivier de Sardan (2005) and Alain Marie (1997) emphasise publ</w:t>
      </w:r>
      <w:r>
        <w:t>ic space as an arena of everyday negotiation, individual agency, and informal governance.</w:t>
      </w:r>
    </w:p>
    <w:p w14:paraId="7A50CFF5" w14:textId="77777777" w:rsidR="002B0B94" w:rsidRDefault="006B74FC">
      <w:pPr>
        <w:pStyle w:val="NormalWeb"/>
        <w:spacing w:beforeAutospacing="1" w:after="0" w:afterAutospacing="1"/>
      </w:pPr>
      <w:r>
        <w:t xml:space="preserve">Collectively, these scholars present public space in African cities as a livelihood space, a contested political terrain, a socially negotiated environment, and a reflection of resilience in the face of economic hardship and governance limitations. </w:t>
      </w:r>
      <w:r w:rsidRPr="00560BB0">
        <w:rPr>
          <w:highlight w:val="yellow"/>
        </w:rPr>
        <w:t>Urban s</w:t>
      </w:r>
      <w:r w:rsidRPr="00560BB0">
        <w:rPr>
          <w:highlight w:val="yellow"/>
        </w:rPr>
        <w:t xml:space="preserve">treet </w:t>
      </w:r>
      <w:r w:rsidRPr="00560BB0">
        <w:rPr>
          <w:highlight w:val="yellow"/>
        </w:rPr>
        <w:lastRenderedPageBreak/>
        <w:t>food vending is one of the most conspicuous economic activities on the streets of most cities in Sub-Saharan Africa, yet it remains largely informal (Mutandwa et al., 2025).</w:t>
      </w:r>
    </w:p>
    <w:p w14:paraId="0946E0D9" w14:textId="77777777" w:rsidR="002B0B94" w:rsidRDefault="006B74FC">
      <w:pPr>
        <w:pStyle w:val="NormalWeb"/>
        <w:spacing w:beforeAutospacing="1" w:after="0" w:afterAutospacing="1"/>
      </w:pPr>
      <w:r>
        <w:t>In Cameroon, public space is a key enabler of economic development in cities</w:t>
      </w:r>
      <w:r>
        <w:t>. Streets, pavements, markets, squares, and parks are accessible, safe, and inclusive elements of basic infrastructure that support the economic vibrancy and growth of cities (</w:t>
      </w:r>
      <w:proofErr w:type="spellStart"/>
      <w:r>
        <w:t>Yemmafouo</w:t>
      </w:r>
      <w:proofErr w:type="spellEnd"/>
      <w:r>
        <w:t>, 2018).</w:t>
      </w:r>
    </w:p>
    <w:p w14:paraId="7F2C8C2A" w14:textId="77777777" w:rsidR="002B0B94" w:rsidRDefault="006B74FC">
      <w:pPr>
        <w:pStyle w:val="NormalWeb"/>
        <w:spacing w:beforeAutospacing="1" w:after="0" w:afterAutospacing="1"/>
      </w:pPr>
      <w:r>
        <w:t>Formal urban planning approaches in Cameroonian cities are lar</w:t>
      </w:r>
      <w:r>
        <w:t>gely driven by ideals of order, aesthetics, and modernity, often implemented through urban beautification and redevelopment programmes. These approaches prioritise regulated land uses, fixed infrastructure, and visually "clean" cityscapes, which tend to re</w:t>
      </w:r>
      <w:r>
        <w:t>define public spaces as zones for circulation, leisure, or formal commerce (Assako, 2012). He further holds that informal practices such as street vending, which rely on flexibility, proximity to pedestrian flows, and affordability, are frequently labelled</w:t>
      </w:r>
      <w:r>
        <w:t xml:space="preserve"> as illegal, disorderly, or incompatible with planned urban functions. Accordingly, vendors are displaced from strategic public spaces, marginalised in planning decisions, and forced into precarious or peripheral locations, highlighting how formal planning</w:t>
      </w:r>
      <w:r>
        <w:t xml:space="preserve"> frameworks often exclude informal livelihoods despite their central role in urban life. This raises the problem of an Afro-Indigenous conceptualisation of urban public space. This conceptualisation is particularly relevant to Bamenda City, where street ve</w:t>
      </w:r>
      <w:r>
        <w:t xml:space="preserve">nding and informal activities in public spaces are not merely violations of urban order but essential survival mechanisms and expressions of citizens' adaptation to socio-economic realities. The marginalisation of these informal economic activities within </w:t>
      </w:r>
      <w:r>
        <w:t>Bamenda City's governance frameworks exacerbates tension and undermines effective public space management.</w:t>
      </w:r>
    </w:p>
    <w:p w14:paraId="6B0A3552" w14:textId="77777777" w:rsidR="002B0B94" w:rsidRDefault="006B74FC">
      <w:pPr>
        <w:pStyle w:val="NormalWeb"/>
        <w:spacing w:beforeAutospacing="1" w:after="0" w:afterAutospacing="1"/>
      </w:pPr>
      <w:r>
        <w:t xml:space="preserve">It is against this backdrop that this study seeks to investigate the concerns of vendors in relation to public space use and strategies for survival </w:t>
      </w:r>
      <w:r>
        <w:t>and growth in Bamenda City. This investigation is crucial to understanding the need for public spaces that are inclusive, responsive to Afro-endogenous needs, and reflective of individual perceptions.</w:t>
      </w:r>
    </w:p>
    <w:p w14:paraId="479EF3C3" w14:textId="77777777" w:rsidR="006640B5" w:rsidRDefault="006640B5">
      <w:pPr>
        <w:pStyle w:val="NormalWeb"/>
        <w:spacing w:beforeAutospacing="1" w:after="0" w:afterAutospacing="1"/>
      </w:pPr>
    </w:p>
    <w:p w14:paraId="01AC739E" w14:textId="77777777" w:rsidR="002B0B94" w:rsidRDefault="006B74F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II.STUDY AREA AND METHODS</w:t>
      </w:r>
    </w:p>
    <w:p w14:paraId="4FDC2C5F" w14:textId="77777777" w:rsidR="002B0B94" w:rsidRDefault="006B74FC">
      <w:pPr>
        <w:pStyle w:val="Heading2"/>
        <w:spacing w:before="0" w:after="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2.1. Study Area</w:t>
      </w:r>
    </w:p>
    <w:p w14:paraId="4C9F064A" w14:textId="77777777" w:rsidR="002B0B94" w:rsidRDefault="006B74F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Bamenda is t</w:t>
      </w:r>
      <w:r>
        <w:rPr>
          <w:rFonts w:ascii="Times New Roman" w:hAnsi="Times New Roman" w:cs="Times New Roman"/>
          <w:sz w:val="24"/>
          <w:szCs w:val="24"/>
          <w:shd w:val="clear" w:color="auto" w:fill="FFFFFF"/>
        </w:rPr>
        <w:t xml:space="preserve">he administrative seat of </w:t>
      </w:r>
      <w:proofErr w:type="spellStart"/>
      <w:r>
        <w:rPr>
          <w:rFonts w:ascii="Times New Roman" w:hAnsi="Times New Roman" w:cs="Times New Roman"/>
          <w:sz w:val="24"/>
          <w:szCs w:val="24"/>
          <w:shd w:val="clear" w:color="auto" w:fill="FFFFFF"/>
        </w:rPr>
        <w:t>Mezam</w:t>
      </w:r>
      <w:proofErr w:type="spellEnd"/>
      <w:r>
        <w:rPr>
          <w:rFonts w:ascii="Times New Roman" w:hAnsi="Times New Roman" w:cs="Times New Roman"/>
          <w:sz w:val="24"/>
          <w:szCs w:val="24"/>
          <w:shd w:val="clear" w:color="auto" w:fill="FFFFFF"/>
        </w:rPr>
        <w:t xml:space="preserve"> Division, the Regional Headquarters of the North West Region, and the largest town in the North West Region. Bamenda City covers a surface area of approximately 37.560 km². It comprises seven Sub-Divisional Councils and has </w:t>
      </w:r>
      <w:r>
        <w:rPr>
          <w:rFonts w:ascii="Times New Roman" w:hAnsi="Times New Roman" w:cs="Times New Roman"/>
          <w:sz w:val="24"/>
          <w:szCs w:val="24"/>
          <w:shd w:val="clear" w:color="auto" w:fill="FFFFFF"/>
        </w:rPr>
        <w:t>a population of approximately 800,000 inhabitants (</w:t>
      </w:r>
      <w:proofErr w:type="spellStart"/>
      <w:r>
        <w:rPr>
          <w:rFonts w:ascii="Times New Roman" w:hAnsi="Times New Roman" w:cs="Times New Roman"/>
          <w:sz w:val="24"/>
          <w:szCs w:val="24"/>
          <w:shd w:val="clear" w:color="auto" w:fill="FFFFFF"/>
        </w:rPr>
        <w:t>Kimengsi</w:t>
      </w:r>
      <w:proofErr w:type="spellEnd"/>
      <w:r>
        <w:rPr>
          <w:rFonts w:ascii="Times New Roman" w:hAnsi="Times New Roman" w:cs="Times New Roman"/>
          <w:sz w:val="24"/>
          <w:szCs w:val="24"/>
          <w:shd w:val="clear" w:color="auto" w:fill="FFFFFF"/>
        </w:rPr>
        <w:t xml:space="preserve"> &amp; </w:t>
      </w:r>
      <w:proofErr w:type="spellStart"/>
      <w:r>
        <w:rPr>
          <w:rFonts w:ascii="Times New Roman" w:hAnsi="Times New Roman" w:cs="Times New Roman"/>
          <w:sz w:val="24"/>
          <w:szCs w:val="24"/>
          <w:shd w:val="clear" w:color="auto" w:fill="FFFFFF"/>
        </w:rPr>
        <w:t>Fogwe</w:t>
      </w:r>
      <w:proofErr w:type="spellEnd"/>
      <w:r>
        <w:rPr>
          <w:rFonts w:ascii="Times New Roman" w:hAnsi="Times New Roman" w:cs="Times New Roman"/>
          <w:sz w:val="24"/>
          <w:szCs w:val="24"/>
          <w:shd w:val="clear" w:color="auto" w:fill="FFFFFF"/>
        </w:rPr>
        <w:t>, 2017). Figure 1 depicts a map of Bamenda City in Cameroon.</w:t>
      </w:r>
    </w:p>
    <w:p w14:paraId="0BC12432" w14:textId="77777777" w:rsidR="002B0B94" w:rsidRDefault="006B74FC">
      <w:pPr>
        <w:spacing w:line="360" w:lineRule="auto"/>
        <w:jc w:val="both"/>
        <w:rPr>
          <w:rFonts w:ascii="Times New Roman" w:hAnsi="Times New Roman" w:cs="Times New Roman"/>
          <w:b/>
          <w:bCs/>
          <w:sz w:val="24"/>
          <w:szCs w:val="24"/>
        </w:rPr>
      </w:pPr>
      <w:r>
        <w:rPr>
          <w:noProof/>
          <w:sz w:val="24"/>
          <w:szCs w:val="24"/>
          <w:lang w:val="en-US"/>
        </w:rPr>
        <w:drawing>
          <wp:inline distT="0" distB="0" distL="0" distR="0" wp14:anchorId="1341F77B" wp14:editId="0C70F4B0">
            <wp:extent cx="5435600" cy="6718300"/>
            <wp:effectExtent l="0" t="0" r="0" b="6350"/>
            <wp:docPr id="12216" name="Picture 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 name="Picture 1221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436000" cy="6718795"/>
                    </a:xfrm>
                    <a:prstGeom prst="rect">
                      <a:avLst/>
                    </a:prstGeom>
                    <a:noFill/>
                  </pic:spPr>
                </pic:pic>
              </a:graphicData>
            </a:graphic>
          </wp:inline>
        </w:drawing>
      </w:r>
    </w:p>
    <w:p w14:paraId="0B964771" w14:textId="75CBF4D6" w:rsidR="002B0B94" w:rsidRDefault="006B74FC">
      <w:pPr>
        <w:pStyle w:val="Caption"/>
        <w:rPr>
          <w:b w:val="0"/>
          <w:iCs w:val="0"/>
          <w:sz w:val="24"/>
          <w:szCs w:val="24"/>
        </w:rPr>
      </w:pPr>
      <w:bookmarkStart w:id="0" w:name="_Toc213422191"/>
      <w:r>
        <w:rPr>
          <w:sz w:val="24"/>
          <w:szCs w:val="24"/>
        </w:rPr>
        <w:t>Figure 1: Location of Bamenda City in the North Region of Cameroon</w:t>
      </w:r>
      <w:bookmarkEnd w:id="0"/>
    </w:p>
    <w:p w14:paraId="1F3F7326" w14:textId="77777777" w:rsidR="002B0B94" w:rsidRDefault="006B74FC">
      <w:pPr>
        <w:spacing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Bamenda City is a cosmopolitan city, and one of the bedrock</w:t>
      </w:r>
      <w:r>
        <w:rPr>
          <w:rFonts w:ascii="Times New Roman" w:hAnsi="Times New Roman" w:cs="Times New Roman"/>
          <w:sz w:val="24"/>
          <w:szCs w:val="24"/>
        </w:rPr>
        <w:t xml:space="preserve">s of Cameroonian politics, with a very strong traditional setup and extremely powerful </w:t>
      </w:r>
      <w:proofErr w:type="spellStart"/>
      <w:r>
        <w:rPr>
          <w:rFonts w:ascii="Times New Roman" w:hAnsi="Times New Roman" w:cs="Times New Roman"/>
          <w:sz w:val="24"/>
          <w:szCs w:val="24"/>
        </w:rPr>
        <w:t>Fons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Fondoms</w:t>
      </w:r>
      <w:proofErr w:type="spellEnd"/>
      <w:r>
        <w:rPr>
          <w:rFonts w:ascii="Times New Roman" w:hAnsi="Times New Roman" w:cs="Times New Roman"/>
          <w:sz w:val="24"/>
          <w:szCs w:val="24"/>
        </w:rPr>
        <w:t xml:space="preserve">. Although the population is cosmopolitan, the majority are local ethnic groups, which include the </w:t>
      </w:r>
      <w:proofErr w:type="spellStart"/>
      <w:r>
        <w:rPr>
          <w:rFonts w:ascii="Times New Roman" w:hAnsi="Times New Roman" w:cs="Times New Roman"/>
          <w:sz w:val="24"/>
          <w:szCs w:val="24"/>
        </w:rPr>
        <w:t>Bamendakwe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Nsongwa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Mbattu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who pr</w:t>
      </w:r>
      <w:r>
        <w:rPr>
          <w:rFonts w:ascii="Times New Roman" w:hAnsi="Times New Roman" w:cs="Times New Roman"/>
          <w:sz w:val="24"/>
          <w:szCs w:val="24"/>
        </w:rPr>
        <w:t xml:space="preserve">imarily practise subsistence farming. </w:t>
      </w:r>
    </w:p>
    <w:p w14:paraId="60313C04" w14:textId="77777777" w:rsidR="002B0B94" w:rsidRDefault="006B74FC">
      <w:pPr>
        <w:pStyle w:val="Heading2"/>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auto"/>
          <w:sz w:val="24"/>
          <w:szCs w:val="24"/>
        </w:rPr>
        <w:t>2.2</w:t>
      </w:r>
      <w:r>
        <w:rPr>
          <w:rFonts w:ascii="Times New Roman" w:hAnsi="Times New Roman" w:cs="Times New Roman"/>
          <w:b/>
          <w:bCs/>
          <w:color w:val="000000" w:themeColor="text1"/>
          <w:sz w:val="24"/>
          <w:szCs w:val="24"/>
        </w:rPr>
        <w:t>. Methods</w:t>
      </w:r>
    </w:p>
    <w:p w14:paraId="5BD83CAB" w14:textId="77777777" w:rsidR="002B0B94" w:rsidRDefault="006B74FC">
      <w:pPr>
        <w:pStyle w:val="NormalWeb"/>
        <w:spacing w:beforeAutospacing="1" w:after="0" w:afterAutospacing="1"/>
        <w:rPr>
          <w:sz w:val="24"/>
        </w:rPr>
      </w:pPr>
      <w:r>
        <w:t>The study used a mixed research design integrating both quantitative and qualitative methods to investigate the concerns of vendors and strategies for survival and growth in public spaces in Bamenda City. To facilitate a quantitative assessment of the stud</w:t>
      </w:r>
      <w:r>
        <w:t xml:space="preserve">y variables, a total of 170 questionnaires were administered systematically to vendors across the three Municipalities of Bamenda I, II, and III. </w:t>
      </w:r>
      <w:r w:rsidRPr="006E13DA">
        <w:rPr>
          <w:highlight w:val="yellow"/>
        </w:rPr>
        <w:t>This was done using purposive discretion to target only those public spaces directly involved in vendor-relate</w:t>
      </w:r>
      <w:r w:rsidRPr="006E13DA">
        <w:rPr>
          <w:highlight w:val="yellow"/>
        </w:rPr>
        <w:t xml:space="preserve">d activities (Bamenda Main Market, Food Market, </w:t>
      </w:r>
      <w:proofErr w:type="spellStart"/>
      <w:r w:rsidRPr="006E13DA">
        <w:rPr>
          <w:highlight w:val="yellow"/>
        </w:rPr>
        <w:t>Nkwen</w:t>
      </w:r>
      <w:proofErr w:type="spellEnd"/>
      <w:r w:rsidRPr="006E13DA">
        <w:rPr>
          <w:highlight w:val="yellow"/>
        </w:rPr>
        <w:t xml:space="preserve"> Market, </w:t>
      </w:r>
      <w:proofErr w:type="spellStart"/>
      <w:r w:rsidRPr="006E13DA">
        <w:rPr>
          <w:highlight w:val="yellow"/>
        </w:rPr>
        <w:t>Ntarikon</w:t>
      </w:r>
      <w:proofErr w:type="spellEnd"/>
      <w:r w:rsidRPr="006E13DA">
        <w:rPr>
          <w:highlight w:val="yellow"/>
        </w:rPr>
        <w:t xml:space="preserve"> Market, and major road stretches). With systematic random sampling, every fifth person from the starting point in the study area was sampled to ensure the sample was both representative</w:t>
      </w:r>
      <w:r w:rsidRPr="006E13DA">
        <w:rPr>
          <w:highlight w:val="yellow"/>
        </w:rPr>
        <w:t xml:space="preserve"> and free from bias.</w:t>
      </w:r>
      <w:r>
        <w:t xml:space="preserve"> Field surveys and observations were also conducted in the study area to assess the activities linked to street vendors in public spaces and strategies for survival and growth. In addition to an in-depth quantitative analysis of the res</w:t>
      </w:r>
      <w:r>
        <w:t xml:space="preserve">ults, a qualitative approach was also employed. </w:t>
      </w:r>
      <w:r w:rsidRPr="00D5564F">
        <w:rPr>
          <w:highlight w:val="yellow"/>
        </w:rPr>
        <w:t>These data were obtained from secondary sources, particularly journals, textbooks, and Google Scholar, which provided significant information about unauthorised vending areas. Relevant information was also ob</w:t>
      </w:r>
      <w:r w:rsidRPr="00D5564F">
        <w:rPr>
          <w:highlight w:val="yellow"/>
        </w:rPr>
        <w:t>tained from the Bamenda Municipalities on urban planning and vendor regulations, whilst data from law enforcement agencies were summarised using descriptive and inferential statistical approaches.</w:t>
      </w:r>
      <w:r>
        <w:t xml:space="preserve"> </w:t>
      </w:r>
      <w:r w:rsidRPr="00BF788C">
        <w:rPr>
          <w:highlight w:val="yellow"/>
        </w:rPr>
        <w:t xml:space="preserve">Descriptive statistics were presented in frequency tables, </w:t>
      </w:r>
      <w:r w:rsidRPr="00BF788C">
        <w:rPr>
          <w:highlight w:val="yellow"/>
        </w:rPr>
        <w:t>charts, maps, and photographs, whilst correlation analysis was used to test the relationship between street vending and public space governance in the study area.</w:t>
      </w:r>
      <w:r>
        <w:t xml:space="preserve"> Qualitative data were analysed using content and thematic approaches. Cartographic data enabl</w:t>
      </w:r>
      <w:r>
        <w:t>ed the production of maps. In addition, SPSS version 20, Microsoft Excel, and ArcGIS 10.3 software were used to facilitate spatial analysis. Results were analysed and presented qualitatively, quantitatively, and cartographically in the form of tables, char</w:t>
      </w:r>
      <w:r>
        <w:t>ts, photographs, and maps for clarity.</w:t>
      </w:r>
      <w:r>
        <w:rPr>
          <w:sz w:val="24"/>
        </w:rPr>
        <w:t xml:space="preserve"> </w:t>
      </w:r>
    </w:p>
    <w:p w14:paraId="119C5673" w14:textId="77777777" w:rsidR="002B0B94" w:rsidRDefault="006B74FC">
      <w:pPr>
        <w:pStyle w:val="Heading1"/>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III. RESULTS AND DISCUSSIONS</w:t>
      </w:r>
    </w:p>
    <w:p w14:paraId="35AD2397" w14:textId="77777777" w:rsidR="002B0B94" w:rsidRDefault="006B74FC">
      <w:pPr>
        <w:pStyle w:val="Heading2"/>
        <w:spacing w:line="360" w:lineRule="auto"/>
        <w:rPr>
          <w:rFonts w:ascii="Times New Roman" w:hAnsi="Times New Roman" w:cs="Times New Roman"/>
          <w:sz w:val="24"/>
          <w:szCs w:val="24"/>
        </w:rPr>
      </w:pPr>
      <w:r>
        <w:rPr>
          <w:rFonts w:ascii="Times New Roman" w:hAnsi="Times New Roman" w:cs="Times New Roman"/>
          <w:b/>
          <w:bCs/>
          <w:color w:val="auto"/>
          <w:sz w:val="24"/>
          <w:szCs w:val="24"/>
        </w:rPr>
        <w:t>3.1. Spatial Distribution of Public Spaces in Bamenda City</w:t>
      </w:r>
    </w:p>
    <w:p w14:paraId="4E3B18F8" w14:textId="77777777" w:rsidR="002B0B94" w:rsidRDefault="006B74F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study area comprised public spaces structured into three categories: formal (officially designed), informal (unofficial), an</w:t>
      </w:r>
      <w:r>
        <w:rPr>
          <w:rFonts w:ascii="Times New Roman" w:hAnsi="Times New Roman" w:cs="Times New Roman"/>
          <w:sz w:val="24"/>
          <w:szCs w:val="24"/>
        </w:rPr>
        <w:t>d semi-public (privately owned but publicly accessible) spaces. The informal types, which are the primary focus of this study, encompass roadsides, sports fields, market areas, green spaces, car parks, clandestine motor stops, and streets. These spaces are</w:t>
      </w:r>
      <w:r>
        <w:rPr>
          <w:rFonts w:ascii="Times New Roman" w:hAnsi="Times New Roman" w:cs="Times New Roman"/>
          <w:sz w:val="24"/>
          <w:szCs w:val="24"/>
        </w:rPr>
        <w:t xml:space="preserve"> spread across the three municipalities of Bamenda City, each serving distinct social and economic functions and involving different actors. Figure 2 presents a visual representation of the proportion of various public space typologies in Bamenda City.</w:t>
      </w:r>
    </w:p>
    <w:p w14:paraId="4C39B603" w14:textId="77777777" w:rsidR="002B0B94" w:rsidRDefault="006B74FC">
      <w:pPr>
        <w:spacing w:after="100" w:afterAutospacing="1" w:line="360" w:lineRule="auto"/>
        <w:jc w:val="both"/>
        <w:rPr>
          <w:rFonts w:ascii="Times New Roman" w:hAnsi="Times New Roman" w:cs="Times New Roman"/>
          <w:sz w:val="24"/>
          <w:szCs w:val="24"/>
        </w:rPr>
      </w:pPr>
      <w:r w:rsidRPr="00BF788C">
        <w:rPr>
          <w:noProof/>
          <w:highlight w:val="yellow"/>
          <w:lang w:val="en-CA" w:eastAsia="en-CA"/>
        </w:rPr>
        <w:drawing>
          <wp:inline distT="0" distB="0" distL="0" distR="0" wp14:anchorId="32B91B5B" wp14:editId="025B4874">
            <wp:extent cx="5731510" cy="2619375"/>
            <wp:effectExtent l="0" t="0" r="2540" b="9525"/>
            <wp:docPr id="599571289" name="Chart 599571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087BB6" w14:textId="77777777" w:rsidR="002B0B94" w:rsidRDefault="006B74FC">
      <w:pPr>
        <w:pStyle w:val="Caption"/>
        <w:spacing w:after="0"/>
        <w:rPr>
          <w:sz w:val="24"/>
          <w:szCs w:val="24"/>
        </w:rPr>
      </w:pPr>
      <w:bookmarkStart w:id="1" w:name="_Toc213422279"/>
      <w:r>
        <w:rPr>
          <w:sz w:val="24"/>
          <w:szCs w:val="24"/>
        </w:rPr>
        <w:t>F</w:t>
      </w:r>
      <w:r>
        <w:rPr>
          <w:sz w:val="24"/>
          <w:szCs w:val="24"/>
        </w:rPr>
        <w:t>igure 2: Types of public spaces in Bamenda City</w:t>
      </w:r>
      <w:bookmarkEnd w:id="1"/>
    </w:p>
    <w:p w14:paraId="297EE12A" w14:textId="77777777" w:rsidR="002B0B94" w:rsidRDefault="006B74FC">
      <w:pPr>
        <w:pStyle w:val="NormalWeb"/>
        <w:spacing w:after="0"/>
        <w:rPr>
          <w:sz w:val="24"/>
        </w:rPr>
      </w:pPr>
      <w:r>
        <w:rPr>
          <w:sz w:val="24"/>
        </w:rPr>
        <w:t xml:space="preserve">Figure 2 reveals that markets, as informal spaces accounting for </w:t>
      </w:r>
      <w:r w:rsidRPr="00FF0BAD">
        <w:rPr>
          <w:sz w:val="24"/>
        </w:rPr>
        <w:t>25%,</w:t>
      </w:r>
      <w:r>
        <w:rPr>
          <w:sz w:val="24"/>
        </w:rPr>
        <w:t xml:space="preserve"> dominate public spaces in terms of socio-economic activity, whilst clandestine motor stop areas, streets, and roads are the least frequent</w:t>
      </w:r>
      <w:r>
        <w:rPr>
          <w:sz w:val="24"/>
        </w:rPr>
        <w:t>ed by such activities. This highlights the diversity of public spaces in Bamenda, each characterised by distinct functions and spatial configurations. It is within these spaces that street vending emerges as an iconic example of an economic opportunity for</w:t>
      </w:r>
      <w:r>
        <w:rPr>
          <w:sz w:val="24"/>
        </w:rPr>
        <w:t xml:space="preserve"> the urban working poor — one that presents a management challenge to city governments, notably regarding whether and how to regulate access to public space for informal livelihoods. This is consistent with the findings of Sourav et al. (2023), who posited</w:t>
      </w:r>
      <w:r>
        <w:rPr>
          <w:sz w:val="24"/>
        </w:rPr>
        <w:t xml:space="preserve"> that streets, pathways, and nearby leftover spaces in developing countries often serve as significant public places where vendors earn a living. Figure 3 illustrates a spatial overview of the public spaces where street vendors primarily operate in the stu</w:t>
      </w:r>
      <w:r>
        <w:rPr>
          <w:sz w:val="24"/>
        </w:rPr>
        <w:t>dy area.</w:t>
      </w:r>
    </w:p>
    <w:p w14:paraId="0390DF41" w14:textId="77777777" w:rsidR="002B0B94" w:rsidRDefault="002B0B94">
      <w:pPr>
        <w:pStyle w:val="NormalWeb"/>
        <w:spacing w:after="0"/>
        <w:rPr>
          <w:sz w:val="24"/>
        </w:rPr>
      </w:pPr>
    </w:p>
    <w:p w14:paraId="67D16FAB" w14:textId="77777777" w:rsidR="002B0B94" w:rsidRDefault="006B74FC">
      <w:pPr>
        <w:spacing w:line="360" w:lineRule="auto"/>
        <w:jc w:val="center"/>
        <w:rPr>
          <w:sz w:val="24"/>
          <w:szCs w:val="24"/>
        </w:rPr>
      </w:pPr>
      <w:r>
        <w:rPr>
          <w:b/>
          <w:noProof/>
          <w:color w:val="000000" w:themeColor="text1"/>
          <w:sz w:val="24"/>
          <w:szCs w:val="24"/>
          <w:lang w:val="en-US"/>
        </w:rPr>
        <w:lastRenderedPageBreak/>
        <w:drawing>
          <wp:inline distT="0" distB="0" distL="0" distR="0" wp14:anchorId="02F74E2E" wp14:editId="647EEB7D">
            <wp:extent cx="5336540" cy="5667375"/>
            <wp:effectExtent l="0" t="0" r="0" b="0"/>
            <wp:docPr id="73" name="Picture 73" descr="G:\CLASSIFICATION PUBLIC 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CLASSIFICATION PUBLIC SPACES.jpg"/>
                    <pic:cNvPicPr>
                      <a:picLocks noChangeAspect="1" noChangeArrowheads="1"/>
                    </pic:cNvPicPr>
                  </pic:nvPicPr>
                  <pic:blipFill>
                    <a:blip r:embed="rId10">
                      <a:extLst>
                        <a:ext uri="{28A0092B-C50C-407E-A947-70E740481C1C}">
                          <a14:useLocalDpi xmlns:a14="http://schemas.microsoft.com/office/drawing/2010/main" val="0"/>
                        </a:ext>
                      </a:extLst>
                    </a:blip>
                    <a:srcRect b="6421"/>
                    <a:stretch>
                      <a:fillRect/>
                    </a:stretch>
                  </pic:blipFill>
                  <pic:spPr>
                    <a:xfrm>
                      <a:off x="0" y="0"/>
                      <a:ext cx="5344595" cy="5675379"/>
                    </a:xfrm>
                    <a:prstGeom prst="rect">
                      <a:avLst/>
                    </a:prstGeom>
                    <a:noFill/>
                    <a:ln>
                      <a:noFill/>
                    </a:ln>
                  </pic:spPr>
                </pic:pic>
              </a:graphicData>
            </a:graphic>
          </wp:inline>
        </w:drawing>
      </w:r>
    </w:p>
    <w:p w14:paraId="68B5CFA8" w14:textId="77777777" w:rsidR="002B0B94" w:rsidRDefault="006B74FC">
      <w:pPr>
        <w:tabs>
          <w:tab w:val="left" w:pos="1710"/>
        </w:tabs>
        <w:rPr>
          <w:rFonts w:ascii="Times New Roman" w:hAnsi="Times New Roman" w:cs="Times New Roman"/>
          <w:b/>
          <w:sz w:val="24"/>
        </w:rPr>
      </w:pPr>
      <w:r>
        <w:rPr>
          <w:sz w:val="24"/>
          <w:szCs w:val="24"/>
        </w:rPr>
        <w:t xml:space="preserve">   </w:t>
      </w:r>
      <w:r>
        <w:rPr>
          <w:rFonts w:ascii="Times New Roman" w:hAnsi="Times New Roman" w:cs="Times New Roman"/>
          <w:b/>
          <w:sz w:val="24"/>
          <w:szCs w:val="24"/>
        </w:rPr>
        <w:t xml:space="preserve">Figure 3: </w:t>
      </w:r>
      <w:r>
        <w:rPr>
          <w:rFonts w:ascii="Times New Roman" w:hAnsi="Times New Roman" w:cs="Times New Roman"/>
          <w:b/>
          <w:sz w:val="24"/>
        </w:rPr>
        <w:t>Spatial view of public space types in Bamenda City</w:t>
      </w:r>
    </w:p>
    <w:p w14:paraId="21EC4663" w14:textId="77777777" w:rsidR="002B0B94" w:rsidRDefault="006B74FC">
      <w:pPr>
        <w:tabs>
          <w:tab w:val="left" w:pos="1710"/>
        </w:tabs>
        <w:rPr>
          <w:rFonts w:ascii="Times New Roman" w:hAnsi="Times New Roman" w:cs="Times New Roman"/>
          <w:b/>
          <w:sz w:val="24"/>
          <w:szCs w:val="24"/>
        </w:rPr>
      </w:pPr>
      <w:r>
        <w:rPr>
          <w:rFonts w:ascii="Times New Roman" w:hAnsi="Times New Roman" w:cs="Times New Roman"/>
          <w:b/>
          <w:sz w:val="24"/>
        </w:rPr>
        <w:t xml:space="preserve">Source: </w:t>
      </w:r>
      <w:r>
        <w:rPr>
          <w:rFonts w:ascii="Times New Roman" w:hAnsi="Times New Roman" w:cs="Times New Roman"/>
          <w:sz w:val="24"/>
        </w:rPr>
        <w:t>Field Work 2024</w:t>
      </w:r>
    </w:p>
    <w:p w14:paraId="0054FC17" w14:textId="77777777" w:rsidR="002B0B94" w:rsidRDefault="006B74FC">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As illustrated in Figure 3, the majority of public spaces in the study area are concentrated within the Bamenda II and Bamenda III Municipalities. In contrast, Bamenda I Municipality is predominantly characterised by well-planned residential neighbourhoods</w:t>
      </w:r>
      <w:r>
        <w:rPr>
          <w:rFonts w:ascii="Times New Roman" w:hAnsi="Times New Roman" w:cs="Times New Roman"/>
          <w:sz w:val="24"/>
          <w:szCs w:val="24"/>
        </w:rPr>
        <w:t xml:space="preserve"> and administrative and government facilities, with comparatively fewer active public spaces. The map clearly highlights the main categories of public spaces across the study area, including roadside vending zones, market yards, informal motor parks, stree</w:t>
      </w:r>
      <w:r>
        <w:rPr>
          <w:rFonts w:ascii="Times New Roman" w:hAnsi="Times New Roman" w:cs="Times New Roman"/>
          <w:sz w:val="24"/>
          <w:szCs w:val="24"/>
        </w:rPr>
        <w:t xml:space="preserve">ts, road junctions, and sporting grounds frequented by vendors. The typology and spatial distribution of public spaces in the study area reveal a city shaped by numerous economic corridors and extensive informal spatial practices. This case study diverges </w:t>
      </w:r>
      <w:r>
        <w:rPr>
          <w:rFonts w:ascii="Times New Roman" w:hAnsi="Times New Roman" w:cs="Times New Roman"/>
          <w:sz w:val="24"/>
          <w:szCs w:val="24"/>
        </w:rPr>
        <w:t xml:space="preserve">from the works of </w:t>
      </w:r>
      <w:proofErr w:type="spellStart"/>
      <w:r>
        <w:rPr>
          <w:rFonts w:ascii="Times New Roman" w:hAnsi="Times New Roman" w:cs="Times New Roman"/>
          <w:sz w:val="24"/>
          <w:szCs w:val="24"/>
        </w:rPr>
        <w:t>Adegunloye</w:t>
      </w:r>
      <w:proofErr w:type="spellEnd"/>
      <w:r>
        <w:rPr>
          <w:rFonts w:ascii="Times New Roman" w:hAnsi="Times New Roman" w:cs="Times New Roman"/>
          <w:sz w:val="24"/>
          <w:szCs w:val="24"/>
        </w:rPr>
        <w:t xml:space="preserve"> et al. (2022) and Irene (2021), who pointed out that public spaces connect one part of the city to another and must </w:t>
      </w:r>
      <w:r>
        <w:rPr>
          <w:rFonts w:ascii="Times New Roman" w:hAnsi="Times New Roman" w:cs="Times New Roman"/>
          <w:sz w:val="24"/>
          <w:szCs w:val="24"/>
        </w:rPr>
        <w:lastRenderedPageBreak/>
        <w:t>relate to the physical elements of the city that shape its image, and that there is a positive relationship bet</w:t>
      </w:r>
      <w:r>
        <w:rPr>
          <w:rFonts w:ascii="Times New Roman" w:hAnsi="Times New Roman" w:cs="Times New Roman"/>
          <w:sz w:val="24"/>
          <w:szCs w:val="24"/>
        </w:rPr>
        <w:t xml:space="preserve">ween public spaces and the city's image.  </w:t>
      </w:r>
    </w:p>
    <w:p w14:paraId="5757B3B4" w14:textId="77777777" w:rsidR="002B0B94" w:rsidRDefault="006B74FC">
      <w:pPr>
        <w:pStyle w:val="Heading2"/>
        <w:spacing w:line="360" w:lineRule="auto"/>
        <w:rPr>
          <w:sz w:val="24"/>
          <w:szCs w:val="24"/>
        </w:rPr>
      </w:pPr>
      <w:r>
        <w:rPr>
          <w:rFonts w:ascii="Times New Roman" w:hAnsi="Times New Roman" w:cs="Times New Roman"/>
          <w:b/>
          <w:bCs/>
          <w:color w:val="auto"/>
          <w:sz w:val="24"/>
          <w:szCs w:val="24"/>
        </w:rPr>
        <w:t>3.2. Vendors’ activities in public spaces in Bamenda City</w:t>
      </w:r>
    </w:p>
    <w:p w14:paraId="5A95E6D1" w14:textId="77777777" w:rsidR="002B0B94" w:rsidRDefault="006B74FC">
      <w:pPr>
        <w:spacing w:line="360" w:lineRule="auto"/>
        <w:jc w:val="both"/>
        <w:rPr>
          <w:rFonts w:ascii="Times New Roman" w:hAnsi="Times New Roman" w:cs="Times New Roman"/>
          <w:sz w:val="24"/>
          <w:szCs w:val="24"/>
        </w:rPr>
      </w:pPr>
      <w:r>
        <w:rPr>
          <w:rFonts w:ascii="Times New Roman" w:hAnsi="Times New Roman" w:cs="Times New Roman"/>
          <w:sz w:val="24"/>
          <w:szCs w:val="24"/>
        </w:rPr>
        <w:t>Bamenda City is endowed with a myriad of socio-economic activities spread across urban open public spaces. These activities vary in terms of space, actors,</w:t>
      </w:r>
      <w:r>
        <w:rPr>
          <w:rFonts w:ascii="Times New Roman" w:hAnsi="Times New Roman" w:cs="Times New Roman"/>
          <w:sz w:val="24"/>
          <w:szCs w:val="24"/>
        </w:rPr>
        <w:t xml:space="preserve"> and tenure arrangements. The most common activities in these spaces are those practised by street vendors, which is one of the main preoccupations of this study. Vending activity, as a specific spatial phenomenon in the study area, is observed to be a maj</w:t>
      </w:r>
      <w:r>
        <w:rPr>
          <w:rFonts w:ascii="Times New Roman" w:hAnsi="Times New Roman" w:cs="Times New Roman"/>
          <w:sz w:val="24"/>
          <w:szCs w:val="24"/>
        </w:rPr>
        <w:t xml:space="preserve">or form of livelihood for many people engaged in the informal economy. This gives rise to an almost daily pattern of informal traders moving from one location to another, eventually cycling back to the same place once the attention of the municipal police </w:t>
      </w:r>
      <w:r>
        <w:rPr>
          <w:rFonts w:ascii="Times New Roman" w:hAnsi="Times New Roman" w:cs="Times New Roman"/>
          <w:sz w:val="24"/>
          <w:szCs w:val="24"/>
        </w:rPr>
        <w:t>is directed elsewhere. Figure 4 illustrates the various economic activities carried out by street vendors in the study area.</w:t>
      </w:r>
    </w:p>
    <w:p w14:paraId="43C4D3C4" w14:textId="77777777" w:rsidR="002B0B94" w:rsidRDefault="006B74FC">
      <w:pPr>
        <w:spacing w:line="360" w:lineRule="auto"/>
        <w:rPr>
          <w:rFonts w:ascii="Times New Roman" w:hAnsi="Times New Roman" w:cs="Times New Roman"/>
          <w:sz w:val="24"/>
          <w:szCs w:val="24"/>
        </w:rPr>
      </w:pPr>
      <w:r>
        <w:rPr>
          <w:noProof/>
          <w:sz w:val="24"/>
          <w:szCs w:val="24"/>
          <w:lang w:val="en-US"/>
        </w:rPr>
        <w:lastRenderedPageBreak/>
        <w:drawing>
          <wp:inline distT="0" distB="0" distL="0" distR="0" wp14:anchorId="741D14C3" wp14:editId="1AB266CB">
            <wp:extent cx="5860415" cy="6267450"/>
            <wp:effectExtent l="0" t="0" r="6985" b="0"/>
            <wp:docPr id="12205" name="Picture 1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 name="Picture 12205"/>
                    <pic:cNvPicPr>
                      <a:picLocks noChangeAspect="1" noChangeArrowheads="1"/>
                    </pic:cNvPicPr>
                  </pic:nvPicPr>
                  <pic:blipFill>
                    <a:blip r:embed="rId11">
                      <a:extLst>
                        <a:ext uri="{28A0092B-C50C-407E-A947-70E740481C1C}">
                          <a14:useLocalDpi xmlns:a14="http://schemas.microsoft.com/office/drawing/2010/main" val="0"/>
                        </a:ext>
                      </a:extLst>
                    </a:blip>
                    <a:srcRect b="10065"/>
                    <a:stretch>
                      <a:fillRect/>
                    </a:stretch>
                  </pic:blipFill>
                  <pic:spPr>
                    <a:xfrm>
                      <a:off x="0" y="0"/>
                      <a:ext cx="5869525" cy="6277131"/>
                    </a:xfrm>
                    <a:prstGeom prst="rect">
                      <a:avLst/>
                    </a:prstGeom>
                    <a:noFill/>
                    <a:ln>
                      <a:noFill/>
                    </a:ln>
                  </pic:spPr>
                </pic:pic>
              </a:graphicData>
            </a:graphic>
          </wp:inline>
        </w:drawing>
      </w:r>
    </w:p>
    <w:p w14:paraId="70FCD8FF" w14:textId="77777777" w:rsidR="002B0B94" w:rsidRDefault="006B74FC">
      <w:pPr>
        <w:pStyle w:val="Caption"/>
        <w:spacing w:after="0"/>
        <w:rPr>
          <w:b w:val="0"/>
          <w:sz w:val="24"/>
          <w:szCs w:val="24"/>
        </w:rPr>
      </w:pPr>
      <w:bookmarkStart w:id="2" w:name="_Toc213422289"/>
      <w:r>
        <w:rPr>
          <w:sz w:val="24"/>
          <w:szCs w:val="24"/>
        </w:rPr>
        <w:t>Figure 4. Economic activities in the Bamenda City Public space</w:t>
      </w:r>
      <w:bookmarkEnd w:id="2"/>
      <w:r>
        <w:rPr>
          <w:sz w:val="24"/>
          <w:szCs w:val="24"/>
        </w:rPr>
        <w:t xml:space="preserve">s </w:t>
      </w:r>
    </w:p>
    <w:p w14:paraId="2F1DA3D3" w14:textId="77777777" w:rsidR="002B0B94" w:rsidRDefault="006B74FC">
      <w:pPr>
        <w:tabs>
          <w:tab w:val="left" w:pos="709"/>
          <w:tab w:val="left" w:pos="8550"/>
          <w:tab w:val="left" w:pos="8640"/>
          <w:tab w:val="left" w:pos="9360"/>
        </w:tabs>
        <w:autoSpaceDE w:val="0"/>
        <w:autoSpaceDN w:val="0"/>
        <w:adjustRightInd w:val="0"/>
        <w:spacing w:line="360" w:lineRule="auto"/>
        <w:rPr>
          <w:rFonts w:ascii="Times New Roman" w:hAnsi="Times New Roman" w:cs="Times New Roman"/>
          <w:sz w:val="24"/>
          <w:szCs w:val="24"/>
        </w:rPr>
      </w:pPr>
      <w:r>
        <w:rPr>
          <w:b/>
          <w:sz w:val="24"/>
          <w:szCs w:val="24"/>
        </w:rPr>
        <w:t xml:space="preserve"> </w:t>
      </w:r>
      <w:r>
        <w:rPr>
          <w:rFonts w:ascii="Times New Roman" w:hAnsi="Times New Roman" w:cs="Times New Roman"/>
          <w:b/>
          <w:sz w:val="24"/>
          <w:szCs w:val="24"/>
        </w:rPr>
        <w:t xml:space="preserve">Source: </w:t>
      </w:r>
      <w:r>
        <w:rPr>
          <w:rFonts w:ascii="Times New Roman" w:hAnsi="Times New Roman" w:cs="Times New Roman"/>
          <w:sz w:val="24"/>
          <w:szCs w:val="24"/>
        </w:rPr>
        <w:t xml:space="preserve">Fieldwork,2023 </w:t>
      </w:r>
    </w:p>
    <w:p w14:paraId="1F22B2CA" w14:textId="77777777" w:rsidR="002B0B94"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 illustrates the various econom</w:t>
      </w:r>
      <w:r>
        <w:rPr>
          <w:rFonts w:ascii="Times New Roman" w:hAnsi="Times New Roman" w:cs="Times New Roman"/>
          <w:sz w:val="24"/>
          <w:szCs w:val="24"/>
        </w:rPr>
        <w:t xml:space="preserve">ic activities within public spaces in Bamenda. Field evidence indicates that street vending (or hawking) is the primary activity, accounting for 38.6% of public space usage, whilst other activities are less frequent. It was observed that the occupation of </w:t>
      </w:r>
      <w:r>
        <w:rPr>
          <w:rFonts w:ascii="Times New Roman" w:hAnsi="Times New Roman" w:cs="Times New Roman"/>
          <w:sz w:val="24"/>
          <w:szCs w:val="24"/>
        </w:rPr>
        <w:t>most of these areas is authorised by municipal authorities through temporary occupation permits. Figure 5 displays examples of street vending and the arrangement of goods for sale along Commercial Avenue in Bamenda.</w:t>
      </w:r>
    </w:p>
    <w:p w14:paraId="1131C0C2" w14:textId="77777777" w:rsidR="002B0B94" w:rsidRDefault="002B0B94">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p>
    <w:p w14:paraId="3CBC8FFE" w14:textId="77777777" w:rsidR="002B0B94" w:rsidRDefault="002B0B94">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p>
    <w:p w14:paraId="28ECE1FC" w14:textId="77777777" w:rsidR="002B0B94"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noProof/>
        </w:rPr>
        <w:lastRenderedPageBreak/>
        <w:drawing>
          <wp:inline distT="0" distB="0" distL="0" distR="0" wp14:anchorId="491E273A" wp14:editId="24D3BFBA">
            <wp:extent cx="2924175" cy="2415540"/>
            <wp:effectExtent l="0" t="0" r="0" b="3810"/>
            <wp:docPr id="87" name="Picture 87" descr="C:\Users\Dr Nfor\AppData\Local\Microsoft\Windows\INetCache\Content.Word\JMEV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Dr Nfor\AppData\Local\Microsoft\Windows\INetCache\Content.Word\JMEV53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30705" cy="2586758"/>
                    </a:xfrm>
                    <a:prstGeom prst="rect">
                      <a:avLst/>
                    </a:prstGeom>
                    <a:noFill/>
                    <a:ln>
                      <a:noFill/>
                    </a:ln>
                  </pic:spPr>
                </pic:pic>
              </a:graphicData>
            </a:graphic>
          </wp:inline>
        </w:drawing>
      </w:r>
      <w:r>
        <w:rPr>
          <w:noProof/>
        </w:rPr>
        <w:drawing>
          <wp:inline distT="0" distB="0" distL="0" distR="0" wp14:anchorId="6A6F0C5F" wp14:editId="413A957E">
            <wp:extent cx="2799715" cy="2421255"/>
            <wp:effectExtent l="0" t="0" r="635" b="0"/>
            <wp:docPr id="1056" name="Picture 1056" descr="C:\Users\Dr Nfor\AppData\Local\Microsoft\Windows\INetCache\Content.Word\RPKA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C:\Users\Dr Nfor\AppData\Local\Microsoft\Windows\INetCache\Content.Word\RPKA2917.jpg"/>
                    <pic:cNvPicPr>
                      <a:picLocks noChangeAspect="1" noChangeArrowheads="1"/>
                    </pic:cNvPicPr>
                  </pic:nvPicPr>
                  <pic:blipFill>
                    <a:blip r:embed="rId13" cstate="print">
                      <a:extLst>
                        <a:ext uri="{28A0092B-C50C-407E-A947-70E740481C1C}">
                          <a14:useLocalDpi xmlns:a14="http://schemas.microsoft.com/office/drawing/2010/main" val="0"/>
                        </a:ext>
                      </a:extLst>
                    </a:blip>
                    <a:srcRect t="8120"/>
                    <a:stretch>
                      <a:fillRect/>
                    </a:stretch>
                  </pic:blipFill>
                  <pic:spPr>
                    <a:xfrm>
                      <a:off x="0" y="0"/>
                      <a:ext cx="2820538" cy="2439081"/>
                    </a:xfrm>
                    <a:prstGeom prst="rect">
                      <a:avLst/>
                    </a:prstGeom>
                    <a:noFill/>
                    <a:ln>
                      <a:noFill/>
                    </a:ln>
                  </pic:spPr>
                </pic:pic>
              </a:graphicData>
            </a:graphic>
          </wp:inline>
        </w:drawing>
      </w:r>
    </w:p>
    <w:p w14:paraId="22A64ACE" w14:textId="77777777" w:rsidR="002B0B94"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Figure 5: Sample of vendors’ </w:t>
      </w:r>
      <w:r>
        <w:rPr>
          <w:rFonts w:ascii="Times New Roman" w:hAnsi="Times New Roman" w:cs="Times New Roman"/>
          <w:b/>
          <w:sz w:val="24"/>
          <w:szCs w:val="24"/>
        </w:rPr>
        <w:t>occupation at Commercial Avenue in Bamenda City</w:t>
      </w:r>
    </w:p>
    <w:p w14:paraId="60907489" w14:textId="77777777" w:rsidR="002B0B94"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Source:</w:t>
      </w:r>
      <w:r>
        <w:rPr>
          <w:rFonts w:ascii="Times New Roman" w:hAnsi="Times New Roman" w:cs="Times New Roman"/>
          <w:sz w:val="24"/>
          <w:szCs w:val="24"/>
        </w:rPr>
        <w:t xml:space="preserve"> Fieldwork, 2024</w:t>
      </w:r>
    </w:p>
    <w:p w14:paraId="20D39259" w14:textId="77777777" w:rsidR="002B0B94" w:rsidRDefault="006B74FC">
      <w:pPr>
        <w:pStyle w:val="NormalWeb"/>
        <w:spacing w:beforeAutospacing="1" w:after="0" w:afterAutospacing="1"/>
      </w:pPr>
      <w:r>
        <w:t>The photograph above vividly illustrates public space occupation along Commercial Avenue in Bamenda City. The proliferation of hawking in urban areas such as Bamenda, coupled with the</w:t>
      </w:r>
      <w:r>
        <w:t xml:space="preserve"> constant movement and displacement of goods for sale, underscores the important role that informal economic activities play within the urban fabric. Far from being marginal or peripheral, street vending reflects a dynamic and adaptive form of commerce tha</w:t>
      </w:r>
      <w:r>
        <w:t>t meets the immediate needs of urban residents. The visibility of goods displayed on streets, pavements, and public squares signals not only economic vitality but also the social and cultural integration of informal trade within the cityscape, as well as A</w:t>
      </w:r>
      <w:r>
        <w:t>fro-indigenous practices. The study argues that the persistence and ubiquity of street vending suggest it holds substantial economic and social value for the Bamenda urban community — values that warrant significantly greater development and policy integra</w:t>
      </w:r>
      <w:r>
        <w:t xml:space="preserve">tion. Despite its challenges, street vending provides livelihoods for vendors, access to affordable goods for consumers, and contributes to the vibrancy and functionality of public spaces. This prominence within the urban environment challenges prevailing </w:t>
      </w:r>
      <w:r>
        <w:t>perceptions of informality as chaotic or undesirable, instead highlighting it as a critical component of urban life that supports mobility, sustenance, and social interaction in Bamenda City and beyond.</w:t>
      </w:r>
    </w:p>
    <w:p w14:paraId="6FA22D5B" w14:textId="77777777" w:rsidR="002B0B94" w:rsidRPr="000A1487" w:rsidRDefault="006B74FC">
      <w:pPr>
        <w:pStyle w:val="NormalWeb"/>
        <w:spacing w:beforeAutospacing="1" w:after="0" w:afterAutospacing="1"/>
        <w:rPr>
          <w:sz w:val="24"/>
          <w:highlight w:val="yellow"/>
        </w:rPr>
      </w:pPr>
      <w:r>
        <w:t xml:space="preserve">As underscored by </w:t>
      </w:r>
      <w:proofErr w:type="spellStart"/>
      <w:r>
        <w:t>Peimani</w:t>
      </w:r>
      <w:proofErr w:type="spellEnd"/>
      <w:r>
        <w:t xml:space="preserve"> et al. (2024), public space</w:t>
      </w:r>
      <w:r>
        <w:t xml:space="preserve">s in Global South cities generally involve informal actors and activities competing for access, use, and visibility, with street vending being one of the most prevalent forms of urban informality. However, </w:t>
      </w:r>
      <w:r>
        <w:lastRenderedPageBreak/>
        <w:t xml:space="preserve">despite the crucial role of street vendors in the </w:t>
      </w:r>
      <w:r>
        <w:t xml:space="preserve">informal economic sector, they often face little dignity and tolerance from authorities, as is the case in Bamenda City. </w:t>
      </w:r>
      <w:r w:rsidRPr="000A1487">
        <w:rPr>
          <w:highlight w:val="yellow"/>
        </w:rPr>
        <w:t>Field findings also revealed the demographic characteristics of street vending in the study area, bringing into focus a range of varied</w:t>
      </w:r>
      <w:r w:rsidRPr="000A1487">
        <w:rPr>
          <w:highlight w:val="yellow"/>
        </w:rPr>
        <w:t xml:space="preserve"> metrics with corresponding values as indicated in Table 1.</w:t>
      </w:r>
    </w:p>
    <w:p w14:paraId="5AF1FA31" w14:textId="77777777" w:rsidR="002B0B94" w:rsidRPr="000A1487"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eastAsia="Times New Roman" w:hAnsi="Times New Roman" w:cs="Times New Roman"/>
          <w:b/>
          <w:bCs/>
          <w:color w:val="0A0A0A"/>
          <w:sz w:val="24"/>
          <w:szCs w:val="24"/>
          <w:highlight w:val="yellow"/>
        </w:rPr>
      </w:pPr>
      <w:r w:rsidRPr="000A1487">
        <w:rPr>
          <w:rFonts w:ascii="Times New Roman" w:eastAsia="Times New Roman" w:hAnsi="Times New Roman" w:cs="Times New Roman"/>
          <w:b/>
          <w:bCs/>
          <w:color w:val="0A0A0A"/>
          <w:sz w:val="24"/>
          <w:szCs w:val="24"/>
          <w:highlight w:val="yellow"/>
        </w:rPr>
        <w:t xml:space="preserve">Table 1: Street Vending Demographic Characteristics in Bamenda City </w:t>
      </w:r>
    </w:p>
    <w:tbl>
      <w:tblPr>
        <w:tblStyle w:val="TableGrid"/>
        <w:tblW w:w="8926" w:type="dxa"/>
        <w:tblLook w:val="04A0" w:firstRow="1" w:lastRow="0" w:firstColumn="1" w:lastColumn="0" w:noHBand="0" w:noVBand="1"/>
      </w:tblPr>
      <w:tblGrid>
        <w:gridCol w:w="2468"/>
        <w:gridCol w:w="6458"/>
      </w:tblGrid>
      <w:tr w:rsidR="002B0B94" w:rsidRPr="000A1487" w14:paraId="3629BEF1" w14:textId="77777777">
        <w:tc>
          <w:tcPr>
            <w:tcW w:w="0" w:type="auto"/>
          </w:tcPr>
          <w:p w14:paraId="10180BA9" w14:textId="77777777" w:rsidR="002B0B94" w:rsidRPr="000A1487" w:rsidRDefault="006B74FC">
            <w:pPr>
              <w:spacing w:after="0" w:line="330" w:lineRule="atLeast"/>
              <w:jc w:val="both"/>
              <w:rPr>
                <w:rFonts w:ascii="Times New Roman" w:eastAsia="Times New Roman" w:hAnsi="Times New Roman" w:cs="Times New Roman"/>
                <w:b/>
                <w:bCs/>
                <w:sz w:val="24"/>
                <w:szCs w:val="24"/>
                <w:highlight w:val="yellow"/>
              </w:rPr>
            </w:pPr>
            <w:r w:rsidRPr="000A1487">
              <w:rPr>
                <w:rFonts w:ascii="Times New Roman" w:eastAsia="Times New Roman" w:hAnsi="Times New Roman" w:cs="Times New Roman"/>
                <w:b/>
                <w:bCs/>
                <w:sz w:val="24"/>
                <w:szCs w:val="24"/>
                <w:highlight w:val="yellow"/>
              </w:rPr>
              <w:t>Metric </w:t>
            </w:r>
          </w:p>
        </w:tc>
        <w:tc>
          <w:tcPr>
            <w:tcW w:w="6458" w:type="dxa"/>
          </w:tcPr>
          <w:p w14:paraId="05840E6A" w14:textId="77777777" w:rsidR="002B0B94" w:rsidRPr="000A1487" w:rsidRDefault="006B74FC">
            <w:pPr>
              <w:spacing w:after="0" w:line="330" w:lineRule="atLeast"/>
              <w:jc w:val="both"/>
              <w:rPr>
                <w:rFonts w:ascii="Times New Roman" w:eastAsia="Times New Roman" w:hAnsi="Times New Roman" w:cs="Times New Roman"/>
                <w:b/>
                <w:bCs/>
                <w:sz w:val="24"/>
                <w:szCs w:val="24"/>
                <w:highlight w:val="yellow"/>
              </w:rPr>
            </w:pPr>
            <w:r w:rsidRPr="000A1487">
              <w:rPr>
                <w:rFonts w:ascii="Times New Roman" w:eastAsia="Times New Roman" w:hAnsi="Times New Roman" w:cs="Times New Roman"/>
                <w:b/>
                <w:bCs/>
                <w:sz w:val="24"/>
                <w:szCs w:val="24"/>
                <w:highlight w:val="yellow"/>
              </w:rPr>
              <w:t>Estimated figure</w:t>
            </w:r>
          </w:p>
        </w:tc>
      </w:tr>
      <w:tr w:rsidR="002B0B94" w:rsidRPr="000A1487" w14:paraId="4679BAF9" w14:textId="77777777">
        <w:tc>
          <w:tcPr>
            <w:tcW w:w="0" w:type="auto"/>
          </w:tcPr>
          <w:p w14:paraId="7A8EF37F" w14:textId="77777777" w:rsidR="002B0B94" w:rsidRPr="000A1487" w:rsidRDefault="006B74FC">
            <w:pPr>
              <w:spacing w:after="0" w:line="330" w:lineRule="atLeast"/>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Gender Participation</w:t>
            </w:r>
          </w:p>
        </w:tc>
        <w:tc>
          <w:tcPr>
            <w:tcW w:w="6458" w:type="dxa"/>
          </w:tcPr>
          <w:p w14:paraId="59204812" w14:textId="77777777" w:rsidR="002B0B94" w:rsidRPr="000A1487" w:rsidRDefault="006B74FC">
            <w:pPr>
              <w:spacing w:after="0" w:line="240" w:lineRule="auto"/>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60% to 68% of street vendors are women.</w:t>
            </w:r>
          </w:p>
        </w:tc>
      </w:tr>
      <w:tr w:rsidR="002B0B94" w:rsidRPr="000A1487" w14:paraId="25A81B57" w14:textId="77777777">
        <w:tc>
          <w:tcPr>
            <w:tcW w:w="0" w:type="auto"/>
          </w:tcPr>
          <w:p w14:paraId="4706B388" w14:textId="77777777" w:rsidR="002B0B94" w:rsidRPr="000A1487" w:rsidRDefault="006B74FC">
            <w:pPr>
              <w:spacing w:after="0" w:line="330" w:lineRule="atLeast"/>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Primary Age Group</w:t>
            </w:r>
          </w:p>
        </w:tc>
        <w:tc>
          <w:tcPr>
            <w:tcW w:w="6458" w:type="dxa"/>
          </w:tcPr>
          <w:p w14:paraId="67223069" w14:textId="77777777" w:rsidR="002B0B94" w:rsidRPr="000A1487" w:rsidRDefault="006B74FC">
            <w:pPr>
              <w:spacing w:after="0" w:line="240" w:lineRule="auto"/>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 xml:space="preserve">The majority fall </w:t>
            </w:r>
            <w:r w:rsidRPr="000A1487">
              <w:rPr>
                <w:rFonts w:ascii="Times New Roman" w:eastAsia="Times New Roman" w:hAnsi="Times New Roman" w:cs="Times New Roman"/>
                <w:color w:val="0A0A0A"/>
                <w:sz w:val="24"/>
                <w:szCs w:val="24"/>
                <w:highlight w:val="yellow"/>
              </w:rPr>
              <w:t>between 28 and 43 years old.</w:t>
            </w:r>
          </w:p>
        </w:tc>
      </w:tr>
      <w:tr w:rsidR="002B0B94" w:rsidRPr="000A1487" w14:paraId="41CB8350" w14:textId="77777777">
        <w:tc>
          <w:tcPr>
            <w:tcW w:w="0" w:type="auto"/>
          </w:tcPr>
          <w:p w14:paraId="3D2DA15D" w14:textId="77777777" w:rsidR="002B0B94" w:rsidRPr="000A1487" w:rsidRDefault="006B74FC">
            <w:pPr>
              <w:spacing w:after="0" w:line="330" w:lineRule="atLeast"/>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Daily Income</w:t>
            </w:r>
          </w:p>
        </w:tc>
        <w:tc>
          <w:tcPr>
            <w:tcW w:w="6458" w:type="dxa"/>
          </w:tcPr>
          <w:p w14:paraId="1A942E93" w14:textId="77777777" w:rsidR="002B0B94" w:rsidRPr="000A1487" w:rsidRDefault="006B74FC">
            <w:pPr>
              <w:spacing w:after="0" w:line="240" w:lineRule="auto"/>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Often, less than 500 FCFA for the most vulnerable.</w:t>
            </w:r>
          </w:p>
        </w:tc>
      </w:tr>
      <w:tr w:rsidR="002B0B94" w:rsidRPr="000A1487" w14:paraId="501E49E0" w14:textId="77777777">
        <w:tc>
          <w:tcPr>
            <w:tcW w:w="0" w:type="auto"/>
          </w:tcPr>
          <w:p w14:paraId="37795999" w14:textId="77777777" w:rsidR="002B0B94" w:rsidRPr="000A1487" w:rsidRDefault="006B74FC">
            <w:pPr>
              <w:spacing w:after="0" w:line="330" w:lineRule="atLeast"/>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Education Level</w:t>
            </w:r>
          </w:p>
        </w:tc>
        <w:tc>
          <w:tcPr>
            <w:tcW w:w="6458" w:type="dxa"/>
          </w:tcPr>
          <w:p w14:paraId="456F0BA3" w14:textId="77777777" w:rsidR="002B0B94" w:rsidRPr="000A1487" w:rsidRDefault="006B74FC">
            <w:pPr>
              <w:spacing w:after="0" w:line="240" w:lineRule="auto"/>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High prevalence of low formal education; many have not completed primary school.</w:t>
            </w:r>
          </w:p>
        </w:tc>
      </w:tr>
      <w:tr w:rsidR="002B0B94" w:rsidRPr="000A1487" w14:paraId="1B3D8438" w14:textId="77777777">
        <w:tc>
          <w:tcPr>
            <w:tcW w:w="0" w:type="auto"/>
          </w:tcPr>
          <w:p w14:paraId="3504F22A" w14:textId="77777777" w:rsidR="002B0B94" w:rsidRPr="000A1487" w:rsidRDefault="006B74FC">
            <w:pPr>
              <w:spacing w:after="0" w:line="330" w:lineRule="atLeast"/>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Marital Status</w:t>
            </w:r>
          </w:p>
        </w:tc>
        <w:tc>
          <w:tcPr>
            <w:tcW w:w="6458" w:type="dxa"/>
          </w:tcPr>
          <w:p w14:paraId="19CAFC4B" w14:textId="77777777" w:rsidR="002B0B94" w:rsidRPr="000A1487" w:rsidRDefault="006B74FC">
            <w:pPr>
              <w:spacing w:after="0" w:line="240" w:lineRule="auto"/>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A mix of young wives, widows, and single mothers</w:t>
            </w:r>
            <w:r w:rsidRPr="000A1487">
              <w:rPr>
                <w:rFonts w:ascii="Times New Roman" w:eastAsia="Times New Roman" w:hAnsi="Times New Roman" w:cs="Times New Roman"/>
                <w:color w:val="0A0A0A"/>
                <w:sz w:val="24"/>
                <w:szCs w:val="24"/>
                <w:highlight w:val="yellow"/>
              </w:rPr>
              <w:t> seeking family sustenance.</w:t>
            </w:r>
          </w:p>
        </w:tc>
      </w:tr>
      <w:tr w:rsidR="002B0B94" w:rsidRPr="000A1487" w14:paraId="2A1B877E" w14:textId="77777777">
        <w:tc>
          <w:tcPr>
            <w:tcW w:w="0" w:type="auto"/>
          </w:tcPr>
          <w:p w14:paraId="220609F3" w14:textId="77777777" w:rsidR="002B0B94" w:rsidRPr="000A1487" w:rsidRDefault="006B74FC">
            <w:pPr>
              <w:spacing w:after="0" w:line="330" w:lineRule="atLeast"/>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Hotspots</w:t>
            </w:r>
          </w:p>
        </w:tc>
        <w:tc>
          <w:tcPr>
            <w:tcW w:w="6458" w:type="dxa"/>
          </w:tcPr>
          <w:p w14:paraId="5CB86C31" w14:textId="77777777" w:rsidR="002B0B94" w:rsidRPr="000A1487" w:rsidRDefault="006B74FC">
            <w:pPr>
              <w:spacing w:after="0" w:line="240" w:lineRule="auto"/>
              <w:jc w:val="both"/>
              <w:rPr>
                <w:rFonts w:ascii="Times New Roman" w:eastAsia="Times New Roman" w:hAnsi="Times New Roman" w:cs="Times New Roman"/>
                <w:color w:val="0A0A0A"/>
                <w:sz w:val="24"/>
                <w:szCs w:val="24"/>
                <w:highlight w:val="yellow"/>
              </w:rPr>
            </w:pPr>
            <w:r w:rsidRPr="000A1487">
              <w:rPr>
                <w:rFonts w:ascii="Times New Roman" w:eastAsia="Times New Roman" w:hAnsi="Times New Roman" w:cs="Times New Roman"/>
                <w:color w:val="0A0A0A"/>
                <w:sz w:val="24"/>
                <w:szCs w:val="24"/>
                <w:highlight w:val="yellow"/>
              </w:rPr>
              <w:t xml:space="preserve">Main market, Food market, </w:t>
            </w:r>
            <w:proofErr w:type="spellStart"/>
            <w:r w:rsidRPr="000A1487">
              <w:rPr>
                <w:rFonts w:ascii="Times New Roman" w:eastAsia="Times New Roman" w:hAnsi="Times New Roman" w:cs="Times New Roman"/>
                <w:color w:val="0A0A0A"/>
                <w:sz w:val="24"/>
                <w:szCs w:val="24"/>
                <w:highlight w:val="yellow"/>
              </w:rPr>
              <w:t>Nkwen</w:t>
            </w:r>
            <w:proofErr w:type="spellEnd"/>
            <w:r w:rsidRPr="000A1487">
              <w:rPr>
                <w:rFonts w:ascii="Times New Roman" w:eastAsia="Times New Roman" w:hAnsi="Times New Roman" w:cs="Times New Roman"/>
                <w:color w:val="0A0A0A"/>
                <w:sz w:val="24"/>
                <w:szCs w:val="24"/>
                <w:highlight w:val="yellow"/>
              </w:rPr>
              <w:t xml:space="preserve"> market, </w:t>
            </w:r>
            <w:proofErr w:type="spellStart"/>
            <w:r w:rsidRPr="000A1487">
              <w:rPr>
                <w:rFonts w:ascii="Times New Roman" w:eastAsia="Times New Roman" w:hAnsi="Times New Roman" w:cs="Times New Roman"/>
                <w:color w:val="0A0A0A"/>
                <w:sz w:val="24"/>
                <w:szCs w:val="24"/>
                <w:highlight w:val="yellow"/>
              </w:rPr>
              <w:t>Ntarikon</w:t>
            </w:r>
            <w:proofErr w:type="spellEnd"/>
            <w:r w:rsidRPr="000A1487">
              <w:rPr>
                <w:rFonts w:ascii="Times New Roman" w:eastAsia="Times New Roman" w:hAnsi="Times New Roman" w:cs="Times New Roman"/>
                <w:color w:val="0A0A0A"/>
                <w:sz w:val="24"/>
                <w:szCs w:val="24"/>
                <w:highlight w:val="yellow"/>
              </w:rPr>
              <w:t xml:space="preserve"> market and major road stretches </w:t>
            </w:r>
          </w:p>
        </w:tc>
      </w:tr>
    </w:tbl>
    <w:p w14:paraId="7D29B1A1" w14:textId="77777777" w:rsidR="002B0B94" w:rsidRPr="000A1487" w:rsidRDefault="006B74FC">
      <w:pPr>
        <w:tabs>
          <w:tab w:val="left" w:pos="709"/>
          <w:tab w:val="left" w:pos="8550"/>
          <w:tab w:val="left" w:pos="8640"/>
          <w:tab w:val="left" w:pos="9360"/>
        </w:tabs>
        <w:autoSpaceDE w:val="0"/>
        <w:autoSpaceDN w:val="0"/>
        <w:adjustRightInd w:val="0"/>
        <w:spacing w:after="0" w:line="360" w:lineRule="auto"/>
        <w:jc w:val="both"/>
        <w:rPr>
          <w:rFonts w:ascii="Times New Roman" w:hAnsi="Times New Roman" w:cs="Times New Roman"/>
          <w:sz w:val="24"/>
          <w:szCs w:val="24"/>
          <w:highlight w:val="yellow"/>
        </w:rPr>
      </w:pPr>
      <w:r w:rsidRPr="000A1487">
        <w:rPr>
          <w:rFonts w:ascii="Times New Roman" w:hAnsi="Times New Roman" w:cs="Times New Roman"/>
          <w:sz w:val="24"/>
          <w:szCs w:val="24"/>
          <w:highlight w:val="yellow"/>
        </w:rPr>
        <w:t xml:space="preserve"> </w:t>
      </w:r>
      <w:r w:rsidRPr="000A1487">
        <w:rPr>
          <w:rFonts w:ascii="Times New Roman" w:hAnsi="Times New Roman" w:cs="Times New Roman"/>
          <w:b/>
          <w:bCs/>
          <w:sz w:val="24"/>
          <w:szCs w:val="24"/>
          <w:highlight w:val="yellow"/>
        </w:rPr>
        <w:t>Source:</w:t>
      </w:r>
      <w:r w:rsidRPr="000A1487">
        <w:rPr>
          <w:rFonts w:ascii="Times New Roman" w:hAnsi="Times New Roman" w:cs="Times New Roman"/>
          <w:sz w:val="24"/>
          <w:szCs w:val="24"/>
          <w:highlight w:val="yellow"/>
        </w:rPr>
        <w:t xml:space="preserve"> Field work, 2024</w:t>
      </w:r>
    </w:p>
    <w:p w14:paraId="43906AEB" w14:textId="77777777" w:rsidR="002B0B94" w:rsidRDefault="006B74FC">
      <w:pPr>
        <w:spacing w:after="0" w:line="360" w:lineRule="auto"/>
        <w:jc w:val="both"/>
        <w:rPr>
          <w:rFonts w:ascii="Times New Roman" w:eastAsia="Times New Roman" w:hAnsi="Times New Roman" w:cs="Times New Roman"/>
          <w:color w:val="0A0A0A"/>
          <w:sz w:val="24"/>
          <w:szCs w:val="24"/>
        </w:rPr>
      </w:pPr>
      <w:r w:rsidRPr="000A1487">
        <w:rPr>
          <w:rFonts w:ascii="Times New Roman" w:eastAsia="Times New Roman" w:hAnsi="Times New Roman" w:cs="Times New Roman"/>
          <w:color w:val="0A0A0A"/>
          <w:sz w:val="24"/>
          <w:szCs w:val="24"/>
          <w:highlight w:val="yellow"/>
        </w:rPr>
        <w:t>Table 1 shows that street vending is a cornerstone of the informal economy in the study area, with women making up approximately 60% to 68% of the workforce. The sector has recently witnessed a shift, as the ongoing socio-political crisis has pushed more w</w:t>
      </w:r>
      <w:r w:rsidRPr="000A1487">
        <w:rPr>
          <w:rFonts w:ascii="Times New Roman" w:eastAsia="Times New Roman" w:hAnsi="Times New Roman" w:cs="Times New Roman"/>
          <w:color w:val="0A0A0A"/>
          <w:sz w:val="24"/>
          <w:szCs w:val="24"/>
          <w:highlight w:val="yellow"/>
        </w:rPr>
        <w:t xml:space="preserve">omen and displaced students into high-risk trades such as informal petrol retailing (zoa-zoa). This is consistent with the findings of </w:t>
      </w:r>
      <w:proofErr w:type="spellStart"/>
      <w:r w:rsidRPr="000A1487">
        <w:rPr>
          <w:rFonts w:ascii="Times New Roman" w:eastAsia="Times New Roman" w:hAnsi="Times New Roman" w:cs="Times New Roman"/>
          <w:color w:val="0A0A0A"/>
          <w:sz w:val="24"/>
          <w:szCs w:val="24"/>
          <w:highlight w:val="yellow"/>
        </w:rPr>
        <w:t>Abagissa</w:t>
      </w:r>
      <w:proofErr w:type="spellEnd"/>
      <w:r w:rsidRPr="000A1487">
        <w:rPr>
          <w:rFonts w:ascii="Times New Roman" w:eastAsia="Times New Roman" w:hAnsi="Times New Roman" w:cs="Times New Roman"/>
          <w:color w:val="0A0A0A"/>
          <w:sz w:val="24"/>
          <w:szCs w:val="24"/>
          <w:highlight w:val="yellow"/>
        </w:rPr>
        <w:t xml:space="preserve"> (2020), who showed that most traders in Yeka sub-city came from outside Addis Ababa in search of employment, and</w:t>
      </w:r>
      <w:r w:rsidRPr="000A1487">
        <w:rPr>
          <w:rFonts w:ascii="Times New Roman" w:eastAsia="Times New Roman" w:hAnsi="Times New Roman" w:cs="Times New Roman"/>
          <w:color w:val="0A0A0A"/>
          <w:sz w:val="24"/>
          <w:szCs w:val="24"/>
          <w:highlight w:val="yellow"/>
        </w:rPr>
        <w:t xml:space="preserve"> that street vending proliferated as a way of life and a coping mechanism adopted by economically underprivileged segments of society. It was also revealed that the factors contributing to high levels of street vending were complex and varied, including th</w:t>
      </w:r>
      <w:r w:rsidRPr="000A1487">
        <w:rPr>
          <w:rFonts w:ascii="Times New Roman" w:eastAsia="Times New Roman" w:hAnsi="Times New Roman" w:cs="Times New Roman"/>
          <w:color w:val="0A0A0A"/>
          <w:sz w:val="24"/>
          <w:szCs w:val="24"/>
          <w:highlight w:val="yellow"/>
        </w:rPr>
        <w:t xml:space="preserve">e absence of opportunities in the formal sector and cultural habituation. This study argues that, unless managed effectively, street vending will have a negative impact on traffic movement, encroachment into public space, and unfair competition within the </w:t>
      </w:r>
      <w:r w:rsidRPr="000A1487">
        <w:rPr>
          <w:rFonts w:ascii="Times New Roman" w:eastAsia="Times New Roman" w:hAnsi="Times New Roman" w:cs="Times New Roman"/>
          <w:color w:val="0A0A0A"/>
          <w:sz w:val="24"/>
          <w:szCs w:val="24"/>
          <w:highlight w:val="yellow"/>
        </w:rPr>
        <w:t>formal business sector.</w:t>
      </w:r>
    </w:p>
    <w:p w14:paraId="166295E9" w14:textId="77777777" w:rsidR="002B0B94" w:rsidRDefault="006B74FC">
      <w:pPr>
        <w:pStyle w:val="Heading2"/>
        <w:spacing w:after="0"/>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3.3. Reasons for Street Vending Activities in Bamenda City </w:t>
      </w:r>
    </w:p>
    <w:p w14:paraId="5F1DCBA2" w14:textId="77777777" w:rsidR="002B0B94" w:rsidRDefault="002B0B94">
      <w:pPr>
        <w:rPr>
          <w:sz w:val="4"/>
          <w:szCs w:val="4"/>
        </w:rPr>
      </w:pPr>
    </w:p>
    <w:p w14:paraId="1519E457" w14:textId="77777777" w:rsidR="002B0B94" w:rsidRDefault="006B74FC">
      <w:pPr>
        <w:pStyle w:val="NormalWeb"/>
        <w:spacing w:beforeAutospacing="1" w:after="0" w:afterAutospacing="1"/>
      </w:pPr>
      <w:r>
        <w:t>Urban public spaces serve as critical arenas for social interaction, economic activity, and cultural expression in cities across Africa (</w:t>
      </w:r>
      <w:proofErr w:type="spellStart"/>
      <w:r>
        <w:t>Ntakana</w:t>
      </w:r>
      <w:proofErr w:type="spellEnd"/>
      <w:r>
        <w:t xml:space="preserve"> et al., 2025). In Bamenda, the capital of the North West Region of Cameroon, these spaces are not only centres of movement and gathering but also primary sites for informal economic activity, particularly street vending. The occupation of public spaces by</w:t>
      </w:r>
      <w:r>
        <w:t xml:space="preserve"> vendors is shaped by </w:t>
      </w:r>
      <w:r>
        <w:lastRenderedPageBreak/>
        <w:t>multiple interrelated factors, including proximity to consumers, perceived security, employment opportunities, affordability, environmental conditions, family and social ties, and the availability of essential amenities.</w:t>
      </w:r>
    </w:p>
    <w:p w14:paraId="1D5992F5" w14:textId="77777777" w:rsidR="002B0B94" w:rsidRDefault="006B74FC">
      <w:pPr>
        <w:pStyle w:val="NormalWeb"/>
        <w:spacing w:beforeAutospacing="1" w:after="0" w:afterAutospacing="1"/>
      </w:pPr>
      <w:r>
        <w:t>Street vendin</w:t>
      </w:r>
      <w:r>
        <w:t>g in Bamenda City reflects both economic necessity and urban spatial dynamics. For many individuals excluded from formal employment, public spaces provide accessible and low-cost opportunities to earn a livelihood. The strategic positioning of vendors in a</w:t>
      </w:r>
      <w:r>
        <w:t>reas with high foot traffic, near social gathering points, and in spaces with basic amenities allows them to maximise sales whilst responding to the needs of the urban population. Furthermore, public spaces function as communal hubs where social, cultural,</w:t>
      </w:r>
      <w:r>
        <w:t xml:space="preserve"> and economic activities converge, highlighting the complex relationship between urban planning, social behaviour, and informal economies.</w:t>
      </w:r>
    </w:p>
    <w:p w14:paraId="10678112" w14:textId="77777777" w:rsidR="002B0B94" w:rsidRDefault="006B74FC">
      <w:pPr>
        <w:pStyle w:val="NormalWeb"/>
        <w:spacing w:beforeAutospacing="1" w:after="0" w:afterAutospacing="1"/>
      </w:pPr>
      <w:r>
        <w:t xml:space="preserve">Understanding the motivations behind vendors' use of public spaces in the study area is crucial for urban policy and </w:t>
      </w:r>
      <w:r>
        <w:t>planning. It not only illuminates the economic strategies of urban dwellers but also provides insights into how Bamenda City can accommodate informal activities without unduly compromising order and public welfare. This study explores the following driving</w:t>
      </w:r>
      <w:r>
        <w:t xml:space="preserve"> factors — proximity, security, employment, affordability, cleanliness, family gatherings, and amenities — to provide a comprehensive analysis of why vendors occupy public spaces in Bamenda City. Table 1 captures a quantitative analysis of the various reas</w:t>
      </w:r>
      <w:r>
        <w:t xml:space="preserve">ons that motivate vendors to use public open spaces in the study area. </w:t>
      </w:r>
    </w:p>
    <w:p w14:paraId="6DCF4EA0" w14:textId="77777777" w:rsidR="002B0B94" w:rsidRDefault="006B74FC">
      <w:pPr>
        <w:pStyle w:val="Caption"/>
        <w:spacing w:after="0" w:line="240" w:lineRule="auto"/>
        <w:rPr>
          <w:b w:val="0"/>
          <w:sz w:val="24"/>
          <w:szCs w:val="24"/>
        </w:rPr>
      </w:pPr>
      <w:bookmarkStart w:id="3" w:name="_Toc213421867"/>
      <w:r>
        <w:rPr>
          <w:sz w:val="24"/>
          <w:szCs w:val="24"/>
        </w:rPr>
        <w:t>Table 2: Reasons for Public Space Use by Vendors in Bamenda City</w:t>
      </w:r>
      <w:bookmarkEnd w:id="3"/>
      <w:r>
        <w:rPr>
          <w:sz w:val="24"/>
          <w:szCs w:val="24"/>
        </w:rPr>
        <w:t xml:space="preserve"> </w:t>
      </w:r>
    </w:p>
    <w:tbl>
      <w:tblPr>
        <w:tblStyle w:val="TableGrid1"/>
        <w:tblW w:w="0" w:type="auto"/>
        <w:jc w:val="center"/>
        <w:tblLook w:val="04A0" w:firstRow="1" w:lastRow="0" w:firstColumn="1" w:lastColumn="0" w:noHBand="0" w:noVBand="1"/>
      </w:tblPr>
      <w:tblGrid>
        <w:gridCol w:w="6025"/>
        <w:gridCol w:w="1607"/>
      </w:tblGrid>
      <w:tr w:rsidR="002B0B94" w14:paraId="531819FA" w14:textId="77777777">
        <w:trPr>
          <w:jc w:val="center"/>
        </w:trPr>
        <w:tc>
          <w:tcPr>
            <w:tcW w:w="6025" w:type="dxa"/>
          </w:tcPr>
          <w:p w14:paraId="45084E14" w14:textId="77777777" w:rsidR="002B0B94" w:rsidRDefault="006B74FC">
            <w:pPr>
              <w:spacing w:after="0"/>
              <w:rPr>
                <w:rFonts w:ascii="Times New Roman" w:hAnsi="Times New Roman" w:cs="Times New Roman"/>
                <w:b/>
                <w:sz w:val="24"/>
                <w:szCs w:val="24"/>
                <w:lang w:eastAsia="en-GB"/>
              </w:rPr>
            </w:pPr>
            <w:r>
              <w:rPr>
                <w:rFonts w:ascii="Times New Roman" w:hAnsi="Times New Roman" w:cs="Times New Roman"/>
                <w:b/>
                <w:sz w:val="24"/>
                <w:szCs w:val="24"/>
                <w:lang w:eastAsia="en-GB"/>
              </w:rPr>
              <w:t>Reasons</w:t>
            </w:r>
          </w:p>
        </w:tc>
        <w:tc>
          <w:tcPr>
            <w:tcW w:w="1607" w:type="dxa"/>
          </w:tcPr>
          <w:p w14:paraId="6AA83C24" w14:textId="77777777" w:rsidR="002B0B94" w:rsidRDefault="006B74FC">
            <w:pPr>
              <w:spacing w:after="0"/>
              <w:jc w:val="center"/>
              <w:rPr>
                <w:rFonts w:ascii="Times New Roman" w:hAnsi="Times New Roman" w:cs="Times New Roman"/>
                <w:b/>
                <w:sz w:val="24"/>
                <w:szCs w:val="24"/>
                <w:lang w:eastAsia="en-GB"/>
              </w:rPr>
            </w:pPr>
            <w:r>
              <w:rPr>
                <w:rFonts w:ascii="Times New Roman" w:hAnsi="Times New Roman" w:cs="Times New Roman"/>
                <w:b/>
                <w:sz w:val="24"/>
                <w:szCs w:val="24"/>
                <w:lang w:eastAsia="en-GB"/>
              </w:rPr>
              <w:t>Percentage</w:t>
            </w:r>
          </w:p>
        </w:tc>
      </w:tr>
      <w:tr w:rsidR="002B0B94" w14:paraId="58C902F2" w14:textId="77777777">
        <w:trPr>
          <w:jc w:val="center"/>
        </w:trPr>
        <w:tc>
          <w:tcPr>
            <w:tcW w:w="6025" w:type="dxa"/>
          </w:tcPr>
          <w:p w14:paraId="5EA9710C"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Proximity</w:t>
            </w:r>
          </w:p>
        </w:tc>
        <w:tc>
          <w:tcPr>
            <w:tcW w:w="1607" w:type="dxa"/>
          </w:tcPr>
          <w:p w14:paraId="2562C269"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9,5%</w:t>
            </w:r>
          </w:p>
        </w:tc>
      </w:tr>
      <w:tr w:rsidR="002B0B94" w14:paraId="656CE83D" w14:textId="77777777">
        <w:trPr>
          <w:jc w:val="center"/>
        </w:trPr>
        <w:tc>
          <w:tcPr>
            <w:tcW w:w="6025" w:type="dxa"/>
          </w:tcPr>
          <w:p w14:paraId="3282DEB9"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Amenities available</w:t>
            </w:r>
          </w:p>
        </w:tc>
        <w:tc>
          <w:tcPr>
            <w:tcW w:w="1607" w:type="dxa"/>
          </w:tcPr>
          <w:p w14:paraId="61A72CC2"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2,3%</w:t>
            </w:r>
          </w:p>
        </w:tc>
      </w:tr>
      <w:tr w:rsidR="002B0B94" w14:paraId="2A43BCFB" w14:textId="77777777">
        <w:trPr>
          <w:jc w:val="center"/>
        </w:trPr>
        <w:tc>
          <w:tcPr>
            <w:tcW w:w="6025" w:type="dxa"/>
          </w:tcPr>
          <w:p w14:paraId="1E165D3B"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Security</w:t>
            </w:r>
          </w:p>
        </w:tc>
        <w:tc>
          <w:tcPr>
            <w:tcW w:w="1607" w:type="dxa"/>
          </w:tcPr>
          <w:p w14:paraId="5B035794"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15,3%</w:t>
            </w:r>
          </w:p>
        </w:tc>
      </w:tr>
      <w:tr w:rsidR="002B0B94" w14:paraId="5337C800" w14:textId="77777777">
        <w:trPr>
          <w:jc w:val="center"/>
        </w:trPr>
        <w:tc>
          <w:tcPr>
            <w:tcW w:w="6025" w:type="dxa"/>
          </w:tcPr>
          <w:p w14:paraId="03B5B876"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Cleanliness</w:t>
            </w:r>
          </w:p>
        </w:tc>
        <w:tc>
          <w:tcPr>
            <w:tcW w:w="1607" w:type="dxa"/>
          </w:tcPr>
          <w:p w14:paraId="6D724116"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3,6%</w:t>
            </w:r>
          </w:p>
        </w:tc>
      </w:tr>
      <w:tr w:rsidR="002B0B94" w14:paraId="7B9B0FBF" w14:textId="77777777">
        <w:trPr>
          <w:jc w:val="center"/>
        </w:trPr>
        <w:tc>
          <w:tcPr>
            <w:tcW w:w="6025" w:type="dxa"/>
          </w:tcPr>
          <w:p w14:paraId="1E008E21"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Accessibility</w:t>
            </w:r>
          </w:p>
        </w:tc>
        <w:tc>
          <w:tcPr>
            <w:tcW w:w="1607" w:type="dxa"/>
          </w:tcPr>
          <w:p w14:paraId="16595192"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10,8%</w:t>
            </w:r>
          </w:p>
        </w:tc>
      </w:tr>
      <w:tr w:rsidR="002B0B94" w14:paraId="3BD2E9B4" w14:textId="77777777">
        <w:trPr>
          <w:jc w:val="center"/>
        </w:trPr>
        <w:tc>
          <w:tcPr>
            <w:tcW w:w="6025" w:type="dxa"/>
          </w:tcPr>
          <w:p w14:paraId="06B81E0F"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Family gatherings</w:t>
            </w:r>
          </w:p>
        </w:tc>
        <w:tc>
          <w:tcPr>
            <w:tcW w:w="1607" w:type="dxa"/>
          </w:tcPr>
          <w:p w14:paraId="6065C8BD"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1,8%</w:t>
            </w:r>
          </w:p>
        </w:tc>
      </w:tr>
      <w:tr w:rsidR="002B0B94" w14:paraId="022C0B7D" w14:textId="77777777">
        <w:trPr>
          <w:jc w:val="center"/>
        </w:trPr>
        <w:tc>
          <w:tcPr>
            <w:tcW w:w="6025" w:type="dxa"/>
          </w:tcPr>
          <w:p w14:paraId="255C7F93"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Income generation</w:t>
            </w:r>
          </w:p>
        </w:tc>
        <w:tc>
          <w:tcPr>
            <w:tcW w:w="1607" w:type="dxa"/>
          </w:tcPr>
          <w:p w14:paraId="6896F46E"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46,2%</w:t>
            </w:r>
          </w:p>
        </w:tc>
      </w:tr>
      <w:tr w:rsidR="002B0B94" w14:paraId="46824B76" w14:textId="77777777">
        <w:trPr>
          <w:trHeight w:val="305"/>
          <w:jc w:val="center"/>
        </w:trPr>
        <w:tc>
          <w:tcPr>
            <w:tcW w:w="6025" w:type="dxa"/>
          </w:tcPr>
          <w:p w14:paraId="6EC1609F" w14:textId="77777777" w:rsidR="002B0B94" w:rsidRDefault="006B74FC">
            <w:pPr>
              <w:spacing w:after="0"/>
              <w:ind w:left="60" w:right="60"/>
              <w:rPr>
                <w:rFonts w:ascii="Times New Roman" w:hAnsi="Times New Roman" w:cs="Times New Roman"/>
                <w:sz w:val="24"/>
                <w:szCs w:val="24"/>
                <w:lang w:eastAsia="en-GB"/>
              </w:rPr>
            </w:pPr>
            <w:r>
              <w:rPr>
                <w:rFonts w:ascii="Times New Roman" w:hAnsi="Times New Roman" w:cs="Times New Roman"/>
                <w:sz w:val="24"/>
                <w:szCs w:val="24"/>
                <w:lang w:eastAsia="en-GB"/>
              </w:rPr>
              <w:t>Affordability</w:t>
            </w:r>
          </w:p>
        </w:tc>
        <w:tc>
          <w:tcPr>
            <w:tcW w:w="1607" w:type="dxa"/>
          </w:tcPr>
          <w:p w14:paraId="0BA4A609" w14:textId="77777777" w:rsidR="002B0B94" w:rsidRDefault="006B74FC">
            <w:pPr>
              <w:spacing w:after="0"/>
              <w:ind w:left="60" w:right="60"/>
              <w:jc w:val="center"/>
              <w:rPr>
                <w:rFonts w:ascii="Times New Roman" w:hAnsi="Times New Roman" w:cs="Times New Roman"/>
                <w:sz w:val="24"/>
                <w:szCs w:val="24"/>
                <w:lang w:eastAsia="en-GB"/>
              </w:rPr>
            </w:pPr>
            <w:r>
              <w:rPr>
                <w:rFonts w:ascii="Times New Roman" w:hAnsi="Times New Roman" w:cs="Times New Roman"/>
                <w:sz w:val="24"/>
                <w:szCs w:val="24"/>
                <w:lang w:eastAsia="en-GB"/>
              </w:rPr>
              <w:t>10,4%</w:t>
            </w:r>
          </w:p>
        </w:tc>
      </w:tr>
      <w:tr w:rsidR="002B0B94" w14:paraId="2C3B4FF8" w14:textId="77777777">
        <w:trPr>
          <w:jc w:val="center"/>
        </w:trPr>
        <w:tc>
          <w:tcPr>
            <w:tcW w:w="6025" w:type="dxa"/>
          </w:tcPr>
          <w:p w14:paraId="0F95BD72" w14:textId="77777777" w:rsidR="002B0B94" w:rsidRDefault="006B74FC">
            <w:pPr>
              <w:spacing w:after="0"/>
              <w:ind w:left="60" w:right="60"/>
              <w:rPr>
                <w:rFonts w:ascii="Times New Roman" w:hAnsi="Times New Roman" w:cs="Times New Roman"/>
                <w:b/>
                <w:sz w:val="24"/>
                <w:szCs w:val="24"/>
                <w:lang w:eastAsia="en-GB"/>
              </w:rPr>
            </w:pPr>
            <w:r>
              <w:rPr>
                <w:rFonts w:ascii="Times New Roman" w:hAnsi="Times New Roman" w:cs="Times New Roman"/>
                <w:b/>
                <w:sz w:val="24"/>
                <w:szCs w:val="24"/>
                <w:lang w:eastAsia="en-GB"/>
              </w:rPr>
              <w:t>Total</w:t>
            </w:r>
          </w:p>
        </w:tc>
        <w:tc>
          <w:tcPr>
            <w:tcW w:w="1607" w:type="dxa"/>
          </w:tcPr>
          <w:p w14:paraId="7E916E24" w14:textId="77777777" w:rsidR="002B0B94" w:rsidRDefault="006B74FC">
            <w:pPr>
              <w:spacing w:after="0"/>
              <w:ind w:left="60" w:right="60"/>
              <w:jc w:val="center"/>
              <w:rPr>
                <w:rFonts w:ascii="Times New Roman" w:hAnsi="Times New Roman" w:cs="Times New Roman"/>
                <w:b/>
                <w:sz w:val="24"/>
                <w:szCs w:val="24"/>
                <w:lang w:eastAsia="en-GB"/>
              </w:rPr>
            </w:pPr>
            <w:r>
              <w:rPr>
                <w:rFonts w:ascii="Times New Roman" w:hAnsi="Times New Roman" w:cs="Times New Roman"/>
                <w:b/>
                <w:sz w:val="24"/>
                <w:szCs w:val="24"/>
                <w:lang w:eastAsia="en-GB"/>
              </w:rPr>
              <w:t>100 %</w:t>
            </w:r>
          </w:p>
        </w:tc>
      </w:tr>
    </w:tbl>
    <w:p w14:paraId="7A779E5A" w14:textId="77777777" w:rsidR="002B0B94" w:rsidRDefault="006B74FC">
      <w:pPr>
        <w:rPr>
          <w:rFonts w:ascii="Times New Roman" w:hAnsi="Times New Roman" w:cs="Times New Roman"/>
          <w:bCs/>
        </w:rPr>
      </w:pPr>
      <w:r>
        <w:rPr>
          <w:b/>
        </w:rPr>
        <w:t xml:space="preserve">            </w:t>
      </w:r>
      <w:r>
        <w:rPr>
          <w:rFonts w:ascii="Times New Roman" w:hAnsi="Times New Roman" w:cs="Times New Roman"/>
          <w:b/>
        </w:rPr>
        <w:t>Source</w:t>
      </w:r>
      <w:r>
        <w:rPr>
          <w:rFonts w:ascii="Times New Roman" w:hAnsi="Times New Roman" w:cs="Times New Roman"/>
          <w:bCs/>
        </w:rPr>
        <w:t>: Fieldwork, 2024</w:t>
      </w:r>
    </w:p>
    <w:p w14:paraId="0BEA3D61" w14:textId="77777777" w:rsidR="006F523E" w:rsidRDefault="006F523E">
      <w:pPr>
        <w:pStyle w:val="Heading2"/>
        <w:spacing w:before="0" w:after="0"/>
        <w:rPr>
          <w:rFonts w:ascii="Times New Roman" w:eastAsia="Times New Roman" w:hAnsi="Times New Roman" w:cs="Times New Roman"/>
          <w:b/>
          <w:bCs/>
          <w:color w:val="auto"/>
          <w:sz w:val="24"/>
          <w:szCs w:val="24"/>
        </w:rPr>
      </w:pPr>
    </w:p>
    <w:p w14:paraId="4B8073CF" w14:textId="77777777" w:rsidR="006F523E" w:rsidRPr="006F523E" w:rsidRDefault="006F523E" w:rsidP="006F523E"/>
    <w:p w14:paraId="5A02EAEA" w14:textId="102C3B43" w:rsidR="002B0B94" w:rsidRDefault="006B74FC">
      <w:pPr>
        <w:pStyle w:val="Heading2"/>
        <w:spacing w:before="0" w:after="0"/>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lastRenderedPageBreak/>
        <w:t xml:space="preserve">3.4. Temporal </w:t>
      </w:r>
      <w:r>
        <w:rPr>
          <w:rFonts w:ascii="Times New Roman" w:eastAsia="Times New Roman" w:hAnsi="Times New Roman" w:cs="Times New Roman"/>
          <w:b/>
          <w:bCs/>
          <w:color w:val="auto"/>
          <w:sz w:val="24"/>
          <w:szCs w:val="24"/>
          <w:lang w:val="en-US"/>
        </w:rPr>
        <w:t>P</w:t>
      </w:r>
      <w:proofErr w:type="spellStart"/>
      <w:r>
        <w:rPr>
          <w:rFonts w:ascii="Times New Roman" w:eastAsia="Times New Roman" w:hAnsi="Times New Roman" w:cs="Times New Roman"/>
          <w:b/>
          <w:bCs/>
          <w:color w:val="auto"/>
          <w:sz w:val="24"/>
          <w:szCs w:val="24"/>
        </w:rPr>
        <w:t>atterns</w:t>
      </w:r>
      <w:proofErr w:type="spellEnd"/>
      <w:r>
        <w:rPr>
          <w:rFonts w:ascii="Times New Roman" w:eastAsia="Times New Roman" w:hAnsi="Times New Roman" w:cs="Times New Roman"/>
          <w:b/>
          <w:bCs/>
          <w:color w:val="auto"/>
          <w:sz w:val="24"/>
          <w:szCs w:val="24"/>
        </w:rPr>
        <w:t xml:space="preserve"> of </w:t>
      </w:r>
      <w:r>
        <w:rPr>
          <w:rFonts w:ascii="Times New Roman" w:eastAsia="Times New Roman" w:hAnsi="Times New Roman" w:cs="Times New Roman"/>
          <w:b/>
          <w:bCs/>
          <w:color w:val="auto"/>
          <w:sz w:val="24"/>
          <w:szCs w:val="24"/>
          <w:lang w:val="en-US"/>
        </w:rPr>
        <w:t>V</w:t>
      </w:r>
      <w:proofErr w:type="spellStart"/>
      <w:r>
        <w:rPr>
          <w:rFonts w:ascii="Times New Roman" w:eastAsia="Times New Roman" w:hAnsi="Times New Roman" w:cs="Times New Roman"/>
          <w:b/>
          <w:bCs/>
          <w:color w:val="auto"/>
          <w:sz w:val="24"/>
          <w:szCs w:val="24"/>
        </w:rPr>
        <w:t>endors</w:t>
      </w:r>
      <w:proofErr w:type="spellEnd"/>
      <w:r>
        <w:rPr>
          <w:rFonts w:ascii="Times New Roman" w:eastAsia="Times New Roman" w:hAnsi="Times New Roman" w:cs="Times New Roman"/>
          <w:b/>
          <w:bCs/>
          <w:color w:val="auto"/>
          <w:sz w:val="24"/>
          <w:szCs w:val="24"/>
        </w:rPr>
        <w:t xml:space="preserve">’ </w:t>
      </w:r>
      <w:r>
        <w:rPr>
          <w:rFonts w:ascii="Times New Roman" w:eastAsia="Times New Roman" w:hAnsi="Times New Roman" w:cs="Times New Roman"/>
          <w:b/>
          <w:bCs/>
          <w:color w:val="auto"/>
          <w:sz w:val="24"/>
          <w:szCs w:val="24"/>
          <w:lang w:val="en-US"/>
        </w:rPr>
        <w:t>U</w:t>
      </w:r>
      <w:r>
        <w:rPr>
          <w:rFonts w:ascii="Times New Roman" w:eastAsia="Times New Roman" w:hAnsi="Times New Roman" w:cs="Times New Roman"/>
          <w:b/>
          <w:bCs/>
          <w:color w:val="auto"/>
          <w:sz w:val="24"/>
          <w:szCs w:val="24"/>
        </w:rPr>
        <w:t xml:space="preserve">se of </w:t>
      </w:r>
      <w:r>
        <w:rPr>
          <w:rFonts w:ascii="Times New Roman" w:eastAsia="Times New Roman" w:hAnsi="Times New Roman" w:cs="Times New Roman"/>
          <w:b/>
          <w:bCs/>
          <w:color w:val="auto"/>
          <w:sz w:val="24"/>
          <w:szCs w:val="24"/>
          <w:lang w:val="en-US"/>
        </w:rPr>
        <w:t>P</w:t>
      </w:r>
      <w:proofErr w:type="spellStart"/>
      <w:r>
        <w:rPr>
          <w:rFonts w:ascii="Times New Roman" w:eastAsia="Times New Roman" w:hAnsi="Times New Roman" w:cs="Times New Roman"/>
          <w:b/>
          <w:bCs/>
          <w:color w:val="auto"/>
          <w:sz w:val="24"/>
          <w:szCs w:val="24"/>
        </w:rPr>
        <w:t>ublic</w:t>
      </w:r>
      <w:proofErr w:type="spellEnd"/>
      <w:r>
        <w:rPr>
          <w:rFonts w:ascii="Times New Roman" w:eastAsia="Times New Roman" w:hAnsi="Times New Roman" w:cs="Times New Roman"/>
          <w:b/>
          <w:bCs/>
          <w:color w:val="auto"/>
          <w:sz w:val="24"/>
          <w:szCs w:val="24"/>
        </w:rPr>
        <w:t xml:space="preserve"> </w:t>
      </w:r>
      <w:r>
        <w:rPr>
          <w:rFonts w:ascii="Times New Roman" w:eastAsia="Times New Roman" w:hAnsi="Times New Roman" w:cs="Times New Roman"/>
          <w:b/>
          <w:bCs/>
          <w:color w:val="auto"/>
          <w:sz w:val="24"/>
          <w:szCs w:val="24"/>
          <w:lang w:val="en-US"/>
        </w:rPr>
        <w:t>S</w:t>
      </w:r>
      <w:r>
        <w:rPr>
          <w:rFonts w:ascii="Times New Roman" w:eastAsia="Times New Roman" w:hAnsi="Times New Roman" w:cs="Times New Roman"/>
          <w:b/>
          <w:bCs/>
          <w:color w:val="auto"/>
          <w:sz w:val="24"/>
          <w:szCs w:val="24"/>
        </w:rPr>
        <w:t>paces in Bamenda City</w:t>
      </w:r>
    </w:p>
    <w:p w14:paraId="3CFAF58A" w14:textId="77777777" w:rsidR="002B0B94" w:rsidRDefault="002B0B94">
      <w:pPr>
        <w:rPr>
          <w:sz w:val="4"/>
          <w:szCs w:val="4"/>
        </w:rPr>
      </w:pPr>
    </w:p>
    <w:p w14:paraId="02AA8382" w14:textId="77777777" w:rsidR="002B0B94" w:rsidRDefault="006B74FC">
      <w:pPr>
        <w:pStyle w:val="NormalWeb"/>
        <w:spacing w:beforeAutospacing="1" w:after="0" w:afterAutospacing="1"/>
      </w:pPr>
      <w:r>
        <w:t xml:space="preserve">The use of public spaces by vendors in Bamenda City is not </w:t>
      </w:r>
      <w:r>
        <w:t xml:space="preserve">static but follows distinct temporal patterns influenced by human behaviour, economic considerations, climatic conditions, and security realities. Vendors strategically align their activities with periods of peak customer presence to maximise sales whilst </w:t>
      </w:r>
      <w:r>
        <w:t>minimising risks and physical strain, as indicated in Table 2. Understanding these temporal dynamics is crucial, as it highlights how vendors adapt to daily urban rhythms, the distribution of public spaces, and surrounding infrastructure.</w:t>
      </w:r>
    </w:p>
    <w:p w14:paraId="54C32521" w14:textId="77777777" w:rsidR="00B333A7" w:rsidRDefault="006B74FC" w:rsidP="00B333A7">
      <w:pPr>
        <w:pStyle w:val="NormalWeb"/>
        <w:spacing w:beforeAutospacing="1" w:after="0" w:afterAutospacing="1"/>
      </w:pPr>
      <w:r>
        <w:t>Moreover, the int</w:t>
      </w:r>
      <w:r>
        <w:t>eraction between temporal patterns and spatial accessibility — that is, how far vendors and residents are from public spaces — creates a complex set of behaviours that shape the functionality, congestion, and vibrancy of urban areas (</w:t>
      </w:r>
      <w:proofErr w:type="spellStart"/>
      <w:r>
        <w:t>Ntakana</w:t>
      </w:r>
      <w:proofErr w:type="spellEnd"/>
      <w:r>
        <w:t xml:space="preserve"> et al., 2025).</w:t>
      </w:r>
      <w:r>
        <w:t xml:space="preserve"> The findings suggest that, by analysing these patterns, stakeholders can better design urban policies, regulations, and public space management strategies that support informal livelihoods whilst maintaining order, accessibility, and safety in the city. T</w:t>
      </w:r>
      <w:r>
        <w:t>able 3 summarises the temporal patterns and spatial accessibility of vendor activities in Bamenda City.</w:t>
      </w:r>
    </w:p>
    <w:p w14:paraId="718CBB5C" w14:textId="4F6E47BE" w:rsidR="002B0B94" w:rsidRDefault="006B74FC" w:rsidP="00B333A7">
      <w:pPr>
        <w:pStyle w:val="NormalWeb"/>
        <w:spacing w:beforeAutospacing="1" w:after="0" w:afterAutospacing="1"/>
        <w:rPr>
          <w:sz w:val="24"/>
        </w:rPr>
      </w:pPr>
      <w:r>
        <w:rPr>
          <w:b/>
          <w:sz w:val="24"/>
        </w:rPr>
        <w:t>Table 3:</w:t>
      </w:r>
      <w:r>
        <w:rPr>
          <w:sz w:val="24"/>
        </w:rPr>
        <w:t xml:space="preserve"> </w:t>
      </w:r>
      <w:r>
        <w:rPr>
          <w:b/>
          <w:bCs/>
          <w:sz w:val="24"/>
        </w:rPr>
        <w:t>Temporal patterns of Street vendors’ use of public spaces in Bamenda City</w:t>
      </w:r>
    </w:p>
    <w:tbl>
      <w:tblPr>
        <w:tblStyle w:val="TableGrid"/>
        <w:tblW w:w="9720" w:type="dxa"/>
        <w:tblInd w:w="-185" w:type="dxa"/>
        <w:tblLook w:val="04A0" w:firstRow="1" w:lastRow="0" w:firstColumn="1" w:lastColumn="0" w:noHBand="0" w:noVBand="1"/>
      </w:tblPr>
      <w:tblGrid>
        <w:gridCol w:w="1594"/>
        <w:gridCol w:w="1849"/>
        <w:gridCol w:w="2191"/>
        <w:gridCol w:w="2144"/>
        <w:gridCol w:w="1942"/>
      </w:tblGrid>
      <w:tr w:rsidR="002B0B94" w14:paraId="0E641873" w14:textId="77777777">
        <w:trPr>
          <w:trHeight w:val="602"/>
        </w:trPr>
        <w:tc>
          <w:tcPr>
            <w:tcW w:w="1594" w:type="dxa"/>
          </w:tcPr>
          <w:p w14:paraId="3EFCA8AA" w14:textId="77777777" w:rsidR="002B0B94" w:rsidRPr="00B333A7" w:rsidRDefault="006B74FC" w:rsidP="00B333A7">
            <w:pPr>
              <w:spacing w:after="0" w:line="240" w:lineRule="auto"/>
              <w:jc w:val="center"/>
              <w:rPr>
                <w:rFonts w:ascii="Times New Roman" w:eastAsia="Times New Roman" w:hAnsi="Times New Roman" w:cs="Times New Roman"/>
                <w:b/>
                <w:bCs/>
              </w:rPr>
            </w:pPr>
            <w:r w:rsidRPr="00B333A7">
              <w:rPr>
                <w:rFonts w:ascii="Times New Roman" w:eastAsia="Times New Roman" w:hAnsi="Times New Roman" w:cs="Times New Roman"/>
                <w:b/>
                <w:bCs/>
              </w:rPr>
              <w:t>Time of Day</w:t>
            </w:r>
          </w:p>
        </w:tc>
        <w:tc>
          <w:tcPr>
            <w:tcW w:w="0" w:type="auto"/>
          </w:tcPr>
          <w:p w14:paraId="7DDF5F7D" w14:textId="77777777" w:rsidR="002B0B94" w:rsidRPr="00B333A7" w:rsidRDefault="006B74FC" w:rsidP="00B333A7">
            <w:pPr>
              <w:spacing w:after="0" w:line="240" w:lineRule="auto"/>
              <w:jc w:val="center"/>
              <w:rPr>
                <w:rFonts w:ascii="Times New Roman" w:eastAsia="Times New Roman" w:hAnsi="Times New Roman" w:cs="Times New Roman"/>
                <w:b/>
                <w:bCs/>
              </w:rPr>
            </w:pPr>
            <w:r w:rsidRPr="00B333A7">
              <w:rPr>
                <w:rFonts w:ascii="Times New Roman" w:eastAsia="Times New Roman" w:hAnsi="Times New Roman" w:cs="Times New Roman"/>
                <w:b/>
                <w:bCs/>
              </w:rPr>
              <w:t>Vendor Activity Level</w:t>
            </w:r>
          </w:p>
        </w:tc>
        <w:tc>
          <w:tcPr>
            <w:tcW w:w="0" w:type="auto"/>
          </w:tcPr>
          <w:p w14:paraId="7D5F4787" w14:textId="77777777" w:rsidR="002B0B94" w:rsidRPr="00B333A7" w:rsidRDefault="006B74FC" w:rsidP="00B333A7">
            <w:pPr>
              <w:spacing w:after="0" w:line="240" w:lineRule="auto"/>
              <w:jc w:val="center"/>
              <w:rPr>
                <w:rFonts w:ascii="Times New Roman" w:eastAsia="Times New Roman" w:hAnsi="Times New Roman" w:cs="Times New Roman"/>
                <w:b/>
                <w:bCs/>
              </w:rPr>
            </w:pPr>
            <w:r w:rsidRPr="00B333A7">
              <w:rPr>
                <w:rFonts w:ascii="Times New Roman" w:eastAsia="Times New Roman" w:hAnsi="Times New Roman" w:cs="Times New Roman"/>
                <w:b/>
                <w:bCs/>
              </w:rPr>
              <w:t>Characteristics / Observations</w:t>
            </w:r>
          </w:p>
        </w:tc>
        <w:tc>
          <w:tcPr>
            <w:tcW w:w="0" w:type="auto"/>
          </w:tcPr>
          <w:p w14:paraId="4B47EF77" w14:textId="77777777" w:rsidR="002B0B94" w:rsidRPr="00B333A7" w:rsidRDefault="006B74FC" w:rsidP="00B333A7">
            <w:pPr>
              <w:spacing w:after="0" w:line="240" w:lineRule="auto"/>
              <w:jc w:val="center"/>
              <w:rPr>
                <w:rFonts w:ascii="Times New Roman" w:eastAsia="Times New Roman" w:hAnsi="Times New Roman" w:cs="Times New Roman"/>
                <w:b/>
                <w:bCs/>
              </w:rPr>
            </w:pPr>
            <w:r w:rsidRPr="00B333A7">
              <w:rPr>
                <w:rFonts w:ascii="Times New Roman" w:eastAsia="Times New Roman" w:hAnsi="Times New Roman" w:cs="Times New Roman"/>
                <w:b/>
                <w:bCs/>
              </w:rPr>
              <w:t>Drivers / Influencing Factors</w:t>
            </w:r>
          </w:p>
        </w:tc>
        <w:tc>
          <w:tcPr>
            <w:tcW w:w="1942" w:type="dxa"/>
          </w:tcPr>
          <w:p w14:paraId="21BA97F3" w14:textId="77777777" w:rsidR="002B0B94" w:rsidRPr="00B333A7" w:rsidRDefault="006B74FC" w:rsidP="00B333A7">
            <w:pPr>
              <w:spacing w:after="0" w:line="240" w:lineRule="auto"/>
              <w:jc w:val="center"/>
              <w:rPr>
                <w:rFonts w:ascii="Times New Roman" w:eastAsia="Times New Roman" w:hAnsi="Times New Roman" w:cs="Times New Roman"/>
                <w:b/>
                <w:bCs/>
              </w:rPr>
            </w:pPr>
            <w:r w:rsidRPr="00B333A7">
              <w:rPr>
                <w:rFonts w:ascii="Times New Roman" w:eastAsia="Times New Roman" w:hAnsi="Times New Roman" w:cs="Times New Roman"/>
                <w:b/>
                <w:bCs/>
              </w:rPr>
              <w:t>Examples / Locations</w:t>
            </w:r>
          </w:p>
        </w:tc>
      </w:tr>
      <w:tr w:rsidR="002B0B94" w14:paraId="3541A46E" w14:textId="77777777">
        <w:tc>
          <w:tcPr>
            <w:tcW w:w="1594" w:type="dxa"/>
          </w:tcPr>
          <w:p w14:paraId="310ABF15"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bCs/>
              </w:rPr>
              <w:t>Morning (6:00 AM – 10:00 AM)</w:t>
            </w:r>
          </w:p>
        </w:tc>
        <w:tc>
          <w:tcPr>
            <w:tcW w:w="0" w:type="auto"/>
          </w:tcPr>
          <w:p w14:paraId="0451512A"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Highest activity</w:t>
            </w:r>
          </w:p>
        </w:tc>
        <w:tc>
          <w:tcPr>
            <w:tcW w:w="0" w:type="auto"/>
          </w:tcPr>
          <w:p w14:paraId="3EA36524"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Peak customer traffic; vendors sell breakfast items, farm produce, snacks, newspapers, and mobile credit; early operation to avoid municipal enforcement</w:t>
            </w:r>
          </w:p>
        </w:tc>
        <w:tc>
          <w:tcPr>
            <w:tcW w:w="0" w:type="auto"/>
          </w:tcPr>
          <w:p w14:paraId="1D6BE85A"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 xml:space="preserve">High </w:t>
            </w:r>
            <w:r w:rsidRPr="00B333A7">
              <w:rPr>
                <w:rFonts w:ascii="Times New Roman" w:eastAsia="Times New Roman" w:hAnsi="Times New Roman" w:cs="Times New Roman"/>
              </w:rPr>
              <w:t>foot traffic from commuters; freshness of perishable goods; favorable climate; avoiding officials</w:t>
            </w:r>
          </w:p>
        </w:tc>
        <w:tc>
          <w:tcPr>
            <w:tcW w:w="1942" w:type="dxa"/>
          </w:tcPr>
          <w:p w14:paraId="4FBD891B"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 xml:space="preserve">Central core areas: City Chemist, Finance Junction, Mobile </w:t>
            </w:r>
            <w:proofErr w:type="spellStart"/>
            <w:r w:rsidRPr="00B333A7">
              <w:rPr>
                <w:rFonts w:ascii="Times New Roman" w:eastAsia="Times New Roman" w:hAnsi="Times New Roman" w:cs="Times New Roman"/>
              </w:rPr>
              <w:t>Nkwen</w:t>
            </w:r>
            <w:proofErr w:type="spellEnd"/>
            <w:r w:rsidRPr="00B333A7">
              <w:rPr>
                <w:rFonts w:ascii="Times New Roman" w:eastAsia="Times New Roman" w:hAnsi="Times New Roman" w:cs="Times New Roman"/>
              </w:rPr>
              <w:t xml:space="preserve">, PMI Neighborhood </w:t>
            </w:r>
          </w:p>
        </w:tc>
      </w:tr>
      <w:tr w:rsidR="002B0B94" w14:paraId="30ADAF87" w14:textId="77777777">
        <w:tc>
          <w:tcPr>
            <w:tcW w:w="1594" w:type="dxa"/>
          </w:tcPr>
          <w:p w14:paraId="324DDEB6"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bCs/>
              </w:rPr>
              <w:t>Afternoon (12:00 PM – 2:00 PM)</w:t>
            </w:r>
          </w:p>
        </w:tc>
        <w:tc>
          <w:tcPr>
            <w:tcW w:w="0" w:type="auto"/>
          </w:tcPr>
          <w:p w14:paraId="7065C248"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Moderate activity</w:t>
            </w:r>
          </w:p>
        </w:tc>
        <w:tc>
          <w:tcPr>
            <w:tcW w:w="0" w:type="auto"/>
          </w:tcPr>
          <w:p w14:paraId="0ADB4004"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 xml:space="preserve">Surge in food vending </w:t>
            </w:r>
            <w:r w:rsidRPr="00B333A7">
              <w:rPr>
                <w:rFonts w:ascii="Times New Roman" w:eastAsia="Times New Roman" w:hAnsi="Times New Roman" w:cs="Times New Roman"/>
              </w:rPr>
              <w:t>for lunch; buyers who missed morning errands; activity declines after peak</w:t>
            </w:r>
          </w:p>
        </w:tc>
        <w:tc>
          <w:tcPr>
            <w:tcW w:w="0" w:type="auto"/>
          </w:tcPr>
          <w:p w14:paraId="183396AC"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Worker lunch breaks; residual shopping needs; midday heat in the dry season discourages prolonged vending</w:t>
            </w:r>
          </w:p>
        </w:tc>
        <w:tc>
          <w:tcPr>
            <w:tcW w:w="1942" w:type="dxa"/>
          </w:tcPr>
          <w:p w14:paraId="0E280753"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Areas near markets and workplaces</w:t>
            </w:r>
          </w:p>
        </w:tc>
      </w:tr>
      <w:tr w:rsidR="002B0B94" w14:paraId="5549E7D2" w14:textId="77777777">
        <w:tc>
          <w:tcPr>
            <w:tcW w:w="1594" w:type="dxa"/>
          </w:tcPr>
          <w:p w14:paraId="1233A69D"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bCs/>
              </w:rPr>
              <w:t>Evening (After 5:00 PM)</w:t>
            </w:r>
          </w:p>
        </w:tc>
        <w:tc>
          <w:tcPr>
            <w:tcW w:w="0" w:type="auto"/>
          </w:tcPr>
          <w:p w14:paraId="628B7CF8"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Lower activity</w:t>
            </w:r>
          </w:p>
        </w:tc>
        <w:tc>
          <w:tcPr>
            <w:tcW w:w="0" w:type="auto"/>
          </w:tcPr>
          <w:p w14:paraId="1C462F2E"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S</w:t>
            </w:r>
            <w:r w:rsidRPr="00B333A7">
              <w:rPr>
                <w:rFonts w:ascii="Times New Roman" w:eastAsia="Times New Roman" w:hAnsi="Times New Roman" w:cs="Times New Roman"/>
              </w:rPr>
              <w:t>treets are less crowded; vendors leave before dark; security and transport limitations reduce presence</w:t>
            </w:r>
          </w:p>
        </w:tc>
        <w:tc>
          <w:tcPr>
            <w:tcW w:w="0" w:type="auto"/>
          </w:tcPr>
          <w:p w14:paraId="4B8CBF91"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Security concerns (socio-political instability), reduced transportation, and exhaustion</w:t>
            </w:r>
          </w:p>
        </w:tc>
        <w:tc>
          <w:tcPr>
            <w:tcW w:w="1942" w:type="dxa"/>
          </w:tcPr>
          <w:p w14:paraId="719DFEEE"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Peripheral areas and markets with security risks</w:t>
            </w:r>
          </w:p>
        </w:tc>
      </w:tr>
      <w:tr w:rsidR="002B0B94" w14:paraId="0F03DA6D" w14:textId="77777777">
        <w:tc>
          <w:tcPr>
            <w:tcW w:w="1594" w:type="dxa"/>
          </w:tcPr>
          <w:p w14:paraId="0F4F4AC5"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bCs/>
              </w:rPr>
              <w:lastRenderedPageBreak/>
              <w:t>Whole Day (All-</w:t>
            </w:r>
            <w:r w:rsidRPr="00B333A7">
              <w:rPr>
                <w:rFonts w:ascii="Times New Roman" w:eastAsia="Times New Roman" w:hAnsi="Times New Roman" w:cs="Times New Roman"/>
                <w:bCs/>
              </w:rPr>
              <w:t>day vending)</w:t>
            </w:r>
          </w:p>
        </w:tc>
        <w:tc>
          <w:tcPr>
            <w:tcW w:w="0" w:type="auto"/>
          </w:tcPr>
          <w:p w14:paraId="6FF4151F"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Limited/rotational activity</w:t>
            </w:r>
          </w:p>
        </w:tc>
        <w:tc>
          <w:tcPr>
            <w:tcW w:w="0" w:type="auto"/>
          </w:tcPr>
          <w:p w14:paraId="01DB30E4"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Physically exhausting; some vendors operate in shifts or rotations; restricted by municipal regulations</w:t>
            </w:r>
          </w:p>
        </w:tc>
        <w:tc>
          <w:tcPr>
            <w:tcW w:w="0" w:type="auto"/>
          </w:tcPr>
          <w:p w14:paraId="50EF3A39"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Lack of shelter/sanitation; need for rest; legal restrictions; rotational space-sharing</w:t>
            </w:r>
          </w:p>
        </w:tc>
        <w:tc>
          <w:tcPr>
            <w:tcW w:w="1942" w:type="dxa"/>
          </w:tcPr>
          <w:p w14:paraId="04997AAC" w14:textId="77777777" w:rsidR="002B0B94" w:rsidRPr="00B333A7" w:rsidRDefault="006B74FC" w:rsidP="00B333A7">
            <w:pPr>
              <w:spacing w:after="0" w:line="240" w:lineRule="auto"/>
              <w:rPr>
                <w:rFonts w:ascii="Times New Roman" w:eastAsia="Times New Roman" w:hAnsi="Times New Roman" w:cs="Times New Roman"/>
              </w:rPr>
            </w:pPr>
            <w:r w:rsidRPr="00B333A7">
              <w:rPr>
                <w:rFonts w:ascii="Times New Roman" w:eastAsia="Times New Roman" w:hAnsi="Times New Roman" w:cs="Times New Roman"/>
              </w:rPr>
              <w:t xml:space="preserve">Front of main markets: </w:t>
            </w:r>
            <w:proofErr w:type="spellStart"/>
            <w:r w:rsidRPr="00B333A7">
              <w:rPr>
                <w:rFonts w:ascii="Times New Roman" w:eastAsia="Times New Roman" w:hAnsi="Times New Roman" w:cs="Times New Roman"/>
              </w:rPr>
              <w:t>Ntarinkon</w:t>
            </w:r>
            <w:proofErr w:type="spellEnd"/>
            <w:r w:rsidRPr="00B333A7">
              <w:rPr>
                <w:rFonts w:ascii="Times New Roman" w:eastAsia="Times New Roman" w:hAnsi="Times New Roman" w:cs="Times New Roman"/>
              </w:rPr>
              <w:t xml:space="preserve"> Market, Food Market, Mobile </w:t>
            </w:r>
            <w:proofErr w:type="spellStart"/>
            <w:r w:rsidRPr="00B333A7">
              <w:rPr>
                <w:rFonts w:ascii="Times New Roman" w:eastAsia="Times New Roman" w:hAnsi="Times New Roman" w:cs="Times New Roman"/>
              </w:rPr>
              <w:t>Nkwen</w:t>
            </w:r>
            <w:proofErr w:type="spellEnd"/>
          </w:p>
        </w:tc>
      </w:tr>
    </w:tbl>
    <w:p w14:paraId="21DF3515" w14:textId="77777777" w:rsidR="002B0B94" w:rsidRDefault="006B74FC">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b/>
          <w:bCs/>
        </w:rPr>
        <w:t xml:space="preserve">Sources: </w:t>
      </w:r>
      <w:r>
        <w:rPr>
          <w:rFonts w:ascii="Times New Roman" w:eastAsia="Times New Roman" w:hAnsi="Times New Roman" w:cs="Times New Roman"/>
        </w:rPr>
        <w:t>Field work,2024</w:t>
      </w:r>
    </w:p>
    <w:p w14:paraId="0B0423EC" w14:textId="77777777" w:rsidR="002B0B94" w:rsidRDefault="006B74FC">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3.5. Creole-Based Lingua Franca (Language) among Street Vendors in Bamenda City</w:t>
      </w:r>
    </w:p>
    <w:p w14:paraId="38E2DE8A" w14:textId="77777777" w:rsidR="002B0B94" w:rsidRDefault="002B0B94">
      <w:pPr>
        <w:rPr>
          <w:sz w:val="4"/>
          <w:szCs w:val="4"/>
        </w:rPr>
      </w:pPr>
    </w:p>
    <w:p w14:paraId="72802ABF" w14:textId="77777777" w:rsidR="002B0B94" w:rsidRDefault="006B74FC">
      <w:pPr>
        <w:pStyle w:val="NormalWeb"/>
        <w:rPr>
          <w:sz w:val="24"/>
        </w:rPr>
      </w:pPr>
      <w:r>
        <w:rPr>
          <w:sz w:val="24"/>
        </w:rPr>
        <w:t xml:space="preserve">In Bamenda City, street vendors rely primarily on Cameroonian Pidgin English, alongside standard English and local </w:t>
      </w:r>
      <w:proofErr w:type="spellStart"/>
      <w:r>
        <w:rPr>
          <w:sz w:val="24"/>
        </w:rPr>
        <w:t>Grassfields</w:t>
      </w:r>
      <w:proofErr w:type="spellEnd"/>
      <w:r>
        <w:rPr>
          <w:sz w:val="24"/>
        </w:rPr>
        <w:t xml:space="preserve"> languages, to conduct everyday economic activities in public spaces such as streets, markets, and transit points. This language s</w:t>
      </w:r>
      <w:r>
        <w:rPr>
          <w:sz w:val="24"/>
        </w:rPr>
        <w:t xml:space="preserve">erves as a shared urban lingua franca, enabling vendors to attract customers, negotiate prices, coordinate with peers, and manage interactions with authorities. Its informal, flexible, and culturally resonant nature makes it a critical tool for sustaining </w:t>
      </w:r>
      <w:r>
        <w:rPr>
          <w:sz w:val="24"/>
        </w:rPr>
        <w:t xml:space="preserve">economic activities and organising the flow of urban life in densely populated public spaces. Table 3 showcases common Pidgin English phrases and their standard English equivalents as used by vendors in the study area. </w:t>
      </w:r>
    </w:p>
    <w:p w14:paraId="025CB129" w14:textId="77777777" w:rsidR="002B0B94" w:rsidRDefault="006B74FC">
      <w:r>
        <w:rPr>
          <w:rStyle w:val="Strong"/>
          <w:rFonts w:ascii="Times New Roman" w:hAnsi="Times New Roman" w:cs="Times New Roman"/>
          <w:sz w:val="24"/>
          <w:szCs w:val="24"/>
        </w:rPr>
        <w:t>Table 4: Common Pidgin English Phras</w:t>
      </w:r>
      <w:r>
        <w:rPr>
          <w:rStyle w:val="Strong"/>
          <w:rFonts w:ascii="Times New Roman" w:hAnsi="Times New Roman" w:cs="Times New Roman"/>
          <w:sz w:val="24"/>
          <w:szCs w:val="24"/>
        </w:rPr>
        <w:t>es in Bamenda City</w:t>
      </w:r>
    </w:p>
    <w:tbl>
      <w:tblPr>
        <w:tblStyle w:val="TableGrid"/>
        <w:tblW w:w="0" w:type="auto"/>
        <w:tblLook w:val="04A0" w:firstRow="1" w:lastRow="0" w:firstColumn="1" w:lastColumn="0" w:noHBand="0" w:noVBand="1"/>
      </w:tblPr>
      <w:tblGrid>
        <w:gridCol w:w="3074"/>
        <w:gridCol w:w="3156"/>
        <w:gridCol w:w="2786"/>
      </w:tblGrid>
      <w:tr w:rsidR="002B0B94" w14:paraId="2BA5DE96" w14:textId="77777777">
        <w:tc>
          <w:tcPr>
            <w:tcW w:w="3204" w:type="dxa"/>
          </w:tcPr>
          <w:p w14:paraId="3905109E" w14:textId="77777777" w:rsidR="002B0B94" w:rsidRDefault="006B74FC">
            <w:pPr>
              <w:spacing w:after="0"/>
              <w:jc w:val="center"/>
              <w:rPr>
                <w:rFonts w:ascii="Times New Roman" w:hAnsi="Times New Roman" w:cs="Times New Roman"/>
                <w:b/>
                <w:bCs/>
              </w:rPr>
            </w:pPr>
            <w:r>
              <w:rPr>
                <w:rStyle w:val="Strong"/>
                <w:rFonts w:ascii="Times New Roman" w:hAnsi="Times New Roman" w:cs="Times New Roman"/>
              </w:rPr>
              <w:t xml:space="preserve">Pidgin English </w:t>
            </w:r>
          </w:p>
        </w:tc>
        <w:tc>
          <w:tcPr>
            <w:tcW w:w="3271" w:type="dxa"/>
          </w:tcPr>
          <w:p w14:paraId="125B4303" w14:textId="77777777" w:rsidR="002B0B94" w:rsidRDefault="006B74FC">
            <w:pPr>
              <w:spacing w:after="0"/>
              <w:jc w:val="center"/>
              <w:rPr>
                <w:rFonts w:ascii="Times New Roman" w:hAnsi="Times New Roman" w:cs="Times New Roman"/>
                <w:b/>
                <w:bCs/>
              </w:rPr>
            </w:pPr>
            <w:r>
              <w:rPr>
                <w:rStyle w:val="Strong"/>
                <w:rFonts w:ascii="Times New Roman" w:hAnsi="Times New Roman" w:cs="Times New Roman"/>
              </w:rPr>
              <w:t>English Language Meaning</w:t>
            </w:r>
          </w:p>
        </w:tc>
        <w:tc>
          <w:tcPr>
            <w:tcW w:w="2875" w:type="dxa"/>
          </w:tcPr>
          <w:p w14:paraId="52268AC1" w14:textId="77777777" w:rsidR="002B0B94" w:rsidRDefault="006B74FC">
            <w:pPr>
              <w:spacing w:after="0"/>
              <w:jc w:val="center"/>
              <w:rPr>
                <w:rFonts w:ascii="Times New Roman" w:hAnsi="Times New Roman" w:cs="Times New Roman"/>
                <w:b/>
                <w:bCs/>
              </w:rPr>
            </w:pPr>
            <w:r>
              <w:rPr>
                <w:rStyle w:val="Strong"/>
                <w:rFonts w:ascii="Times New Roman" w:hAnsi="Times New Roman" w:cs="Times New Roman"/>
              </w:rPr>
              <w:t>Purpose in Public Space</w:t>
            </w:r>
          </w:p>
        </w:tc>
      </w:tr>
      <w:tr w:rsidR="002B0B94" w14:paraId="1F10AFC7" w14:textId="77777777">
        <w:tc>
          <w:tcPr>
            <w:tcW w:w="0" w:type="auto"/>
          </w:tcPr>
          <w:p w14:paraId="1558FD7B" w14:textId="77777777" w:rsidR="002B0B94" w:rsidRDefault="006B74FC">
            <w:pPr>
              <w:spacing w:after="0"/>
              <w:rPr>
                <w:rFonts w:ascii="Times New Roman" w:hAnsi="Times New Roman" w:cs="Times New Roman"/>
              </w:rPr>
            </w:pPr>
            <w:r>
              <w:rPr>
                <w:rStyle w:val="Emphasis"/>
                <w:rFonts w:ascii="Times New Roman" w:hAnsi="Times New Roman" w:cs="Times New Roman"/>
              </w:rPr>
              <w:t xml:space="preserve">“Ma </w:t>
            </w:r>
            <w:proofErr w:type="spellStart"/>
            <w:r>
              <w:rPr>
                <w:rStyle w:val="Emphasis"/>
                <w:rFonts w:ascii="Times New Roman" w:hAnsi="Times New Roman" w:cs="Times New Roman"/>
              </w:rPr>
              <w:t>sista</w:t>
            </w:r>
            <w:proofErr w:type="spellEnd"/>
            <w:r>
              <w:rPr>
                <w:rStyle w:val="Emphasis"/>
                <w:rFonts w:ascii="Times New Roman" w:hAnsi="Times New Roman" w:cs="Times New Roman"/>
              </w:rPr>
              <w:t>, come see oh”</w:t>
            </w:r>
          </w:p>
        </w:tc>
        <w:tc>
          <w:tcPr>
            <w:tcW w:w="3271" w:type="dxa"/>
          </w:tcPr>
          <w:p w14:paraId="12011B1F" w14:textId="77777777" w:rsidR="002B0B94" w:rsidRDefault="006B74FC">
            <w:pPr>
              <w:spacing w:after="0"/>
              <w:rPr>
                <w:rFonts w:ascii="Times New Roman" w:hAnsi="Times New Roman" w:cs="Times New Roman"/>
              </w:rPr>
            </w:pPr>
            <w:r>
              <w:rPr>
                <w:rFonts w:ascii="Times New Roman" w:hAnsi="Times New Roman" w:cs="Times New Roman"/>
              </w:rPr>
              <w:t>“My sister, come and see”</w:t>
            </w:r>
          </w:p>
        </w:tc>
        <w:tc>
          <w:tcPr>
            <w:tcW w:w="2875" w:type="dxa"/>
          </w:tcPr>
          <w:p w14:paraId="4F7A3A05" w14:textId="77777777" w:rsidR="002B0B94" w:rsidRDefault="006B74FC">
            <w:pPr>
              <w:spacing w:after="0"/>
              <w:jc w:val="both"/>
              <w:rPr>
                <w:rFonts w:ascii="Times New Roman" w:hAnsi="Times New Roman" w:cs="Times New Roman"/>
              </w:rPr>
            </w:pPr>
            <w:r>
              <w:rPr>
                <w:rFonts w:ascii="Times New Roman" w:hAnsi="Times New Roman" w:cs="Times New Roman"/>
              </w:rPr>
              <w:t>Vendor calls attention to passersby, attracting potential customers.</w:t>
            </w:r>
          </w:p>
        </w:tc>
      </w:tr>
      <w:tr w:rsidR="002B0B94" w14:paraId="278F5027" w14:textId="77777777">
        <w:tc>
          <w:tcPr>
            <w:tcW w:w="0" w:type="auto"/>
          </w:tcPr>
          <w:p w14:paraId="5E343697" w14:textId="77777777" w:rsidR="002B0B94" w:rsidRDefault="006B74FC">
            <w:pPr>
              <w:spacing w:after="0"/>
              <w:rPr>
                <w:rFonts w:ascii="Times New Roman" w:hAnsi="Times New Roman" w:cs="Times New Roman"/>
              </w:rPr>
            </w:pPr>
            <w:r>
              <w:rPr>
                <w:rStyle w:val="Emphasis"/>
                <w:rFonts w:ascii="Times New Roman" w:hAnsi="Times New Roman" w:cs="Times New Roman"/>
              </w:rPr>
              <w:t>“</w:t>
            </w:r>
            <w:proofErr w:type="spellStart"/>
            <w:r>
              <w:rPr>
                <w:rStyle w:val="Emphasis"/>
                <w:rFonts w:ascii="Times New Roman" w:hAnsi="Times New Roman" w:cs="Times New Roman"/>
              </w:rPr>
              <w:t>Broda</w:t>
            </w:r>
            <w:proofErr w:type="spellEnd"/>
            <w:r>
              <w:rPr>
                <w:rStyle w:val="Emphasis"/>
                <w:rFonts w:ascii="Times New Roman" w:hAnsi="Times New Roman" w:cs="Times New Roman"/>
              </w:rPr>
              <w:t xml:space="preserve">, </w:t>
            </w:r>
            <w:proofErr w:type="spellStart"/>
            <w:r>
              <w:rPr>
                <w:rStyle w:val="Emphasis"/>
                <w:rFonts w:ascii="Times New Roman" w:hAnsi="Times New Roman" w:cs="Times New Roman"/>
              </w:rPr>
              <w:t>wetin</w:t>
            </w:r>
            <w:proofErr w:type="spellEnd"/>
            <w:r>
              <w:rPr>
                <w:rStyle w:val="Emphasis"/>
                <w:rFonts w:ascii="Times New Roman" w:hAnsi="Times New Roman" w:cs="Times New Roman"/>
              </w:rPr>
              <w:t xml:space="preserve"> you </w:t>
            </w:r>
            <w:proofErr w:type="spellStart"/>
            <w:r>
              <w:rPr>
                <w:rStyle w:val="Emphasis"/>
                <w:rFonts w:ascii="Times New Roman" w:hAnsi="Times New Roman" w:cs="Times New Roman"/>
              </w:rPr>
              <w:t>di</w:t>
            </w:r>
            <w:proofErr w:type="spellEnd"/>
            <w:r>
              <w:rPr>
                <w:rStyle w:val="Emphasis"/>
                <w:rFonts w:ascii="Times New Roman" w:hAnsi="Times New Roman" w:cs="Times New Roman"/>
              </w:rPr>
              <w:t xml:space="preserve"> find?”</w:t>
            </w:r>
          </w:p>
        </w:tc>
        <w:tc>
          <w:tcPr>
            <w:tcW w:w="3271" w:type="dxa"/>
          </w:tcPr>
          <w:p w14:paraId="141F1BC5" w14:textId="77777777" w:rsidR="002B0B94" w:rsidRDefault="006B74FC">
            <w:pPr>
              <w:spacing w:after="0"/>
              <w:rPr>
                <w:rFonts w:ascii="Times New Roman" w:hAnsi="Times New Roman" w:cs="Times New Roman"/>
              </w:rPr>
            </w:pPr>
            <w:r>
              <w:rPr>
                <w:rFonts w:ascii="Times New Roman" w:hAnsi="Times New Roman" w:cs="Times New Roman"/>
              </w:rPr>
              <w:t xml:space="preserve">“Brother, what are you </w:t>
            </w:r>
            <w:r>
              <w:rPr>
                <w:rFonts w:ascii="Times New Roman" w:hAnsi="Times New Roman" w:cs="Times New Roman"/>
              </w:rPr>
              <w:t>looking for?”</w:t>
            </w:r>
          </w:p>
        </w:tc>
        <w:tc>
          <w:tcPr>
            <w:tcW w:w="2875" w:type="dxa"/>
          </w:tcPr>
          <w:p w14:paraId="0879110A" w14:textId="77777777" w:rsidR="002B0B94" w:rsidRDefault="006B74FC">
            <w:pPr>
              <w:spacing w:after="0"/>
              <w:jc w:val="both"/>
              <w:rPr>
                <w:rFonts w:ascii="Times New Roman" w:hAnsi="Times New Roman" w:cs="Times New Roman"/>
              </w:rPr>
            </w:pPr>
            <w:r>
              <w:rPr>
                <w:rFonts w:ascii="Times New Roman" w:hAnsi="Times New Roman" w:cs="Times New Roman"/>
              </w:rPr>
              <w:t>Engages customers directly, starting negotiations.</w:t>
            </w:r>
          </w:p>
        </w:tc>
      </w:tr>
      <w:tr w:rsidR="002B0B94" w14:paraId="49B9D7F6" w14:textId="77777777">
        <w:tc>
          <w:tcPr>
            <w:tcW w:w="0" w:type="auto"/>
          </w:tcPr>
          <w:p w14:paraId="40029F64" w14:textId="77777777" w:rsidR="002B0B94" w:rsidRDefault="006B74FC">
            <w:pPr>
              <w:spacing w:after="0"/>
              <w:rPr>
                <w:rFonts w:ascii="Times New Roman" w:hAnsi="Times New Roman" w:cs="Times New Roman"/>
              </w:rPr>
            </w:pPr>
            <w:r>
              <w:rPr>
                <w:rStyle w:val="Emphasis"/>
                <w:rFonts w:ascii="Times New Roman" w:hAnsi="Times New Roman" w:cs="Times New Roman"/>
              </w:rPr>
              <w:t>“Fine tomato here! Fresh-fresh”</w:t>
            </w:r>
          </w:p>
        </w:tc>
        <w:tc>
          <w:tcPr>
            <w:tcW w:w="3271" w:type="dxa"/>
          </w:tcPr>
          <w:p w14:paraId="3FA99426" w14:textId="77777777" w:rsidR="002B0B94" w:rsidRDefault="006B74FC">
            <w:pPr>
              <w:spacing w:after="0"/>
              <w:rPr>
                <w:rFonts w:ascii="Times New Roman" w:hAnsi="Times New Roman" w:cs="Times New Roman"/>
              </w:rPr>
            </w:pPr>
            <w:r>
              <w:rPr>
                <w:rFonts w:ascii="Times New Roman" w:hAnsi="Times New Roman" w:cs="Times New Roman"/>
              </w:rPr>
              <w:t>“Good tomatoes here, very fresh”</w:t>
            </w:r>
          </w:p>
        </w:tc>
        <w:tc>
          <w:tcPr>
            <w:tcW w:w="2875" w:type="dxa"/>
          </w:tcPr>
          <w:p w14:paraId="67A540F5" w14:textId="77777777" w:rsidR="002B0B94" w:rsidRDefault="006B74FC">
            <w:pPr>
              <w:spacing w:after="0"/>
              <w:jc w:val="both"/>
              <w:rPr>
                <w:rFonts w:ascii="Times New Roman" w:hAnsi="Times New Roman" w:cs="Times New Roman"/>
              </w:rPr>
            </w:pPr>
            <w:r>
              <w:rPr>
                <w:rFonts w:ascii="Times New Roman" w:hAnsi="Times New Roman" w:cs="Times New Roman"/>
              </w:rPr>
              <w:t>Marketing phrase to highlight product quality.</w:t>
            </w:r>
          </w:p>
        </w:tc>
      </w:tr>
      <w:tr w:rsidR="002B0B94" w14:paraId="50BEA318" w14:textId="77777777">
        <w:tc>
          <w:tcPr>
            <w:tcW w:w="0" w:type="auto"/>
          </w:tcPr>
          <w:p w14:paraId="799ED3DA" w14:textId="77777777" w:rsidR="002B0B94" w:rsidRDefault="006B74FC">
            <w:pPr>
              <w:spacing w:after="0"/>
              <w:rPr>
                <w:rFonts w:ascii="Times New Roman" w:hAnsi="Times New Roman" w:cs="Times New Roman"/>
              </w:rPr>
            </w:pPr>
            <w:r>
              <w:rPr>
                <w:rStyle w:val="Emphasis"/>
                <w:rFonts w:ascii="Times New Roman" w:hAnsi="Times New Roman" w:cs="Times New Roman"/>
              </w:rPr>
              <w:t>“Na last price oh!”</w:t>
            </w:r>
          </w:p>
        </w:tc>
        <w:tc>
          <w:tcPr>
            <w:tcW w:w="3271" w:type="dxa"/>
          </w:tcPr>
          <w:p w14:paraId="5D324A14" w14:textId="77777777" w:rsidR="002B0B94" w:rsidRDefault="006B74FC">
            <w:pPr>
              <w:spacing w:after="0"/>
              <w:rPr>
                <w:rFonts w:ascii="Times New Roman" w:hAnsi="Times New Roman" w:cs="Times New Roman"/>
              </w:rPr>
            </w:pPr>
            <w:r>
              <w:rPr>
                <w:rFonts w:ascii="Times New Roman" w:hAnsi="Times New Roman" w:cs="Times New Roman"/>
              </w:rPr>
              <w:t>“This is the final price.”</w:t>
            </w:r>
          </w:p>
        </w:tc>
        <w:tc>
          <w:tcPr>
            <w:tcW w:w="2875" w:type="dxa"/>
          </w:tcPr>
          <w:p w14:paraId="6D50D314" w14:textId="77777777" w:rsidR="002B0B94" w:rsidRDefault="006B74FC">
            <w:pPr>
              <w:spacing w:after="0"/>
              <w:jc w:val="both"/>
              <w:rPr>
                <w:rFonts w:ascii="Times New Roman" w:hAnsi="Times New Roman" w:cs="Times New Roman"/>
              </w:rPr>
            </w:pPr>
            <w:r>
              <w:rPr>
                <w:rFonts w:ascii="Times New Roman" w:hAnsi="Times New Roman" w:cs="Times New Roman"/>
              </w:rPr>
              <w:t>Signals firmness in bargaining</w:t>
            </w:r>
            <w:r>
              <w:rPr>
                <w:rFonts w:ascii="Times New Roman" w:hAnsi="Times New Roman" w:cs="Times New Roman"/>
              </w:rPr>
              <w:t>; used to close deals</w:t>
            </w:r>
          </w:p>
        </w:tc>
      </w:tr>
      <w:tr w:rsidR="002B0B94" w14:paraId="68474377" w14:textId="77777777">
        <w:tc>
          <w:tcPr>
            <w:tcW w:w="0" w:type="auto"/>
          </w:tcPr>
          <w:p w14:paraId="3C83C13C" w14:textId="77777777" w:rsidR="002B0B94" w:rsidRDefault="006B74FC">
            <w:pPr>
              <w:spacing w:after="0"/>
              <w:rPr>
                <w:rFonts w:ascii="Times New Roman" w:hAnsi="Times New Roman" w:cs="Times New Roman"/>
              </w:rPr>
            </w:pPr>
            <w:r>
              <w:rPr>
                <w:rStyle w:val="Emphasis"/>
                <w:rFonts w:ascii="Times New Roman" w:hAnsi="Times New Roman" w:cs="Times New Roman"/>
              </w:rPr>
              <w:t>“How much you get?”</w:t>
            </w:r>
          </w:p>
        </w:tc>
        <w:tc>
          <w:tcPr>
            <w:tcW w:w="3271" w:type="dxa"/>
          </w:tcPr>
          <w:p w14:paraId="2598FBC2" w14:textId="77777777" w:rsidR="002B0B94" w:rsidRDefault="006B74FC">
            <w:pPr>
              <w:spacing w:after="0"/>
              <w:rPr>
                <w:rFonts w:ascii="Times New Roman" w:hAnsi="Times New Roman" w:cs="Times New Roman"/>
              </w:rPr>
            </w:pPr>
            <w:r>
              <w:rPr>
                <w:rFonts w:ascii="Times New Roman" w:hAnsi="Times New Roman" w:cs="Times New Roman"/>
              </w:rPr>
              <w:t>“How much do you have?”</w:t>
            </w:r>
          </w:p>
        </w:tc>
        <w:tc>
          <w:tcPr>
            <w:tcW w:w="2875" w:type="dxa"/>
          </w:tcPr>
          <w:p w14:paraId="78FEF699" w14:textId="77777777" w:rsidR="002B0B94" w:rsidRDefault="006B74FC">
            <w:pPr>
              <w:spacing w:after="0"/>
              <w:jc w:val="both"/>
              <w:rPr>
                <w:rFonts w:ascii="Times New Roman" w:hAnsi="Times New Roman" w:cs="Times New Roman"/>
              </w:rPr>
            </w:pPr>
            <w:r>
              <w:rPr>
                <w:rFonts w:ascii="Times New Roman" w:hAnsi="Times New Roman" w:cs="Times New Roman"/>
              </w:rPr>
              <w:t>Opens the price negotiation process with buyers.</w:t>
            </w:r>
          </w:p>
        </w:tc>
      </w:tr>
      <w:tr w:rsidR="002B0B94" w14:paraId="47E9AAD7" w14:textId="77777777">
        <w:tc>
          <w:tcPr>
            <w:tcW w:w="0" w:type="auto"/>
          </w:tcPr>
          <w:p w14:paraId="10F41E0D" w14:textId="77777777" w:rsidR="002B0B94" w:rsidRDefault="006B74FC">
            <w:pPr>
              <w:spacing w:after="0"/>
              <w:rPr>
                <w:rFonts w:ascii="Times New Roman" w:hAnsi="Times New Roman" w:cs="Times New Roman"/>
              </w:rPr>
            </w:pPr>
            <w:r>
              <w:rPr>
                <w:rStyle w:val="Emphasis"/>
                <w:rFonts w:ascii="Times New Roman" w:hAnsi="Times New Roman" w:cs="Times New Roman"/>
              </w:rPr>
              <w:t>“You di buy plenty, I go reduce.”</w:t>
            </w:r>
          </w:p>
        </w:tc>
        <w:tc>
          <w:tcPr>
            <w:tcW w:w="3271" w:type="dxa"/>
          </w:tcPr>
          <w:p w14:paraId="003188D5" w14:textId="77777777" w:rsidR="002B0B94" w:rsidRDefault="006B74FC">
            <w:pPr>
              <w:spacing w:after="0"/>
              <w:rPr>
                <w:rFonts w:ascii="Times New Roman" w:hAnsi="Times New Roman" w:cs="Times New Roman"/>
              </w:rPr>
            </w:pPr>
            <w:r>
              <w:rPr>
                <w:rFonts w:ascii="Times New Roman" w:hAnsi="Times New Roman" w:cs="Times New Roman"/>
              </w:rPr>
              <w:t>“If you buy a lot, I’ll reduce the price.”</w:t>
            </w:r>
          </w:p>
        </w:tc>
        <w:tc>
          <w:tcPr>
            <w:tcW w:w="2875" w:type="dxa"/>
          </w:tcPr>
          <w:p w14:paraId="075AF806" w14:textId="77777777" w:rsidR="002B0B94" w:rsidRDefault="006B74FC">
            <w:pPr>
              <w:spacing w:after="0"/>
              <w:rPr>
                <w:rFonts w:ascii="Times New Roman" w:hAnsi="Times New Roman" w:cs="Times New Roman"/>
              </w:rPr>
            </w:pPr>
            <w:r>
              <w:rPr>
                <w:rFonts w:ascii="Times New Roman" w:hAnsi="Times New Roman" w:cs="Times New Roman"/>
              </w:rPr>
              <w:t>Incentive for bulk purchases; builds customer rapport.</w:t>
            </w:r>
          </w:p>
        </w:tc>
      </w:tr>
      <w:tr w:rsidR="002B0B94" w14:paraId="49E4978C" w14:textId="77777777">
        <w:tc>
          <w:tcPr>
            <w:tcW w:w="0" w:type="auto"/>
          </w:tcPr>
          <w:p w14:paraId="6A4BC5D9" w14:textId="77777777" w:rsidR="002B0B94" w:rsidRDefault="006B74FC">
            <w:pPr>
              <w:spacing w:after="0"/>
              <w:rPr>
                <w:rFonts w:ascii="Times New Roman" w:hAnsi="Times New Roman" w:cs="Times New Roman"/>
              </w:rPr>
            </w:pPr>
            <w:r>
              <w:rPr>
                <w:rStyle w:val="Emphasis"/>
                <w:rFonts w:ascii="Times New Roman" w:hAnsi="Times New Roman" w:cs="Times New Roman"/>
              </w:rPr>
              <w:t xml:space="preserve">“I no </w:t>
            </w:r>
            <w:r>
              <w:rPr>
                <w:rStyle w:val="Emphasis"/>
                <w:rFonts w:ascii="Times New Roman" w:hAnsi="Times New Roman" w:cs="Times New Roman"/>
              </w:rPr>
              <w:t>di lie you.”</w:t>
            </w:r>
          </w:p>
        </w:tc>
        <w:tc>
          <w:tcPr>
            <w:tcW w:w="3271" w:type="dxa"/>
          </w:tcPr>
          <w:p w14:paraId="77F1F8E2" w14:textId="77777777" w:rsidR="002B0B94" w:rsidRDefault="006B74FC">
            <w:pPr>
              <w:spacing w:after="0"/>
              <w:rPr>
                <w:rFonts w:ascii="Times New Roman" w:hAnsi="Times New Roman" w:cs="Times New Roman"/>
              </w:rPr>
            </w:pPr>
            <w:r>
              <w:rPr>
                <w:rFonts w:ascii="Times New Roman" w:hAnsi="Times New Roman" w:cs="Times New Roman"/>
              </w:rPr>
              <w:t>“I’m not lying to you.”</w:t>
            </w:r>
          </w:p>
        </w:tc>
        <w:tc>
          <w:tcPr>
            <w:tcW w:w="2875" w:type="dxa"/>
          </w:tcPr>
          <w:p w14:paraId="18E5FB40" w14:textId="77777777" w:rsidR="002B0B94" w:rsidRDefault="006B74FC">
            <w:pPr>
              <w:spacing w:after="0"/>
              <w:jc w:val="both"/>
              <w:rPr>
                <w:rFonts w:ascii="Times New Roman" w:hAnsi="Times New Roman" w:cs="Times New Roman"/>
              </w:rPr>
            </w:pPr>
            <w:r>
              <w:rPr>
                <w:rFonts w:ascii="Times New Roman" w:hAnsi="Times New Roman" w:cs="Times New Roman"/>
              </w:rPr>
              <w:t>Builds trust and credibility in the transaction</w:t>
            </w:r>
          </w:p>
        </w:tc>
      </w:tr>
      <w:tr w:rsidR="002B0B94" w14:paraId="33245A90" w14:textId="77777777">
        <w:tc>
          <w:tcPr>
            <w:tcW w:w="0" w:type="auto"/>
          </w:tcPr>
          <w:p w14:paraId="6196B2C5" w14:textId="77777777" w:rsidR="002B0B94" w:rsidRDefault="006B74FC">
            <w:pPr>
              <w:spacing w:after="0"/>
              <w:rPr>
                <w:rFonts w:ascii="Times New Roman" w:hAnsi="Times New Roman" w:cs="Times New Roman"/>
              </w:rPr>
            </w:pPr>
            <w:r>
              <w:rPr>
                <w:rStyle w:val="Emphasis"/>
                <w:rFonts w:ascii="Times New Roman" w:hAnsi="Times New Roman" w:cs="Times New Roman"/>
              </w:rPr>
              <w:t>“Carry go”</w:t>
            </w:r>
          </w:p>
        </w:tc>
        <w:tc>
          <w:tcPr>
            <w:tcW w:w="3271" w:type="dxa"/>
          </w:tcPr>
          <w:p w14:paraId="6D551265" w14:textId="77777777" w:rsidR="002B0B94" w:rsidRDefault="006B74FC">
            <w:pPr>
              <w:spacing w:after="0"/>
              <w:rPr>
                <w:rFonts w:ascii="Times New Roman" w:hAnsi="Times New Roman" w:cs="Times New Roman"/>
              </w:rPr>
            </w:pPr>
            <w:r>
              <w:rPr>
                <w:rFonts w:ascii="Times New Roman" w:hAnsi="Times New Roman" w:cs="Times New Roman"/>
              </w:rPr>
              <w:t>“Take it.”</w:t>
            </w:r>
          </w:p>
        </w:tc>
        <w:tc>
          <w:tcPr>
            <w:tcW w:w="2875" w:type="dxa"/>
          </w:tcPr>
          <w:p w14:paraId="73AF9CEE" w14:textId="77777777" w:rsidR="002B0B94" w:rsidRDefault="006B74FC">
            <w:pPr>
              <w:spacing w:after="0"/>
              <w:jc w:val="both"/>
              <w:rPr>
                <w:rFonts w:ascii="Times New Roman" w:hAnsi="Times New Roman" w:cs="Times New Roman"/>
              </w:rPr>
            </w:pPr>
            <w:r>
              <w:rPr>
                <w:rFonts w:ascii="Times New Roman" w:hAnsi="Times New Roman" w:cs="Times New Roman"/>
              </w:rPr>
              <w:t>Concludes a sale; instructions for the customer to take the goods.</w:t>
            </w:r>
          </w:p>
        </w:tc>
      </w:tr>
      <w:tr w:rsidR="002B0B94" w14:paraId="761584E0" w14:textId="77777777">
        <w:tc>
          <w:tcPr>
            <w:tcW w:w="0" w:type="auto"/>
          </w:tcPr>
          <w:p w14:paraId="14B302C8" w14:textId="77777777" w:rsidR="002B0B94" w:rsidRDefault="006B74FC">
            <w:pPr>
              <w:spacing w:after="0"/>
              <w:rPr>
                <w:rFonts w:ascii="Times New Roman" w:hAnsi="Times New Roman" w:cs="Times New Roman"/>
              </w:rPr>
            </w:pPr>
            <w:r>
              <w:rPr>
                <w:rStyle w:val="Emphasis"/>
                <w:rFonts w:ascii="Times New Roman" w:hAnsi="Times New Roman" w:cs="Times New Roman"/>
              </w:rPr>
              <w:t>“Make I wrap am?”</w:t>
            </w:r>
          </w:p>
        </w:tc>
        <w:tc>
          <w:tcPr>
            <w:tcW w:w="3271" w:type="dxa"/>
          </w:tcPr>
          <w:p w14:paraId="327E7C89" w14:textId="77777777" w:rsidR="002B0B94" w:rsidRDefault="006B74FC">
            <w:pPr>
              <w:spacing w:after="0"/>
              <w:rPr>
                <w:rFonts w:ascii="Times New Roman" w:hAnsi="Times New Roman" w:cs="Times New Roman"/>
              </w:rPr>
            </w:pPr>
            <w:r>
              <w:rPr>
                <w:rFonts w:ascii="Times New Roman" w:hAnsi="Times New Roman" w:cs="Times New Roman"/>
              </w:rPr>
              <w:t>“Should I wrap it?”</w:t>
            </w:r>
          </w:p>
        </w:tc>
        <w:tc>
          <w:tcPr>
            <w:tcW w:w="2875" w:type="dxa"/>
          </w:tcPr>
          <w:p w14:paraId="397C715B" w14:textId="77777777" w:rsidR="002B0B94" w:rsidRDefault="006B74FC">
            <w:pPr>
              <w:spacing w:after="0"/>
              <w:jc w:val="both"/>
              <w:rPr>
                <w:rFonts w:ascii="Times New Roman" w:hAnsi="Times New Roman" w:cs="Times New Roman"/>
              </w:rPr>
            </w:pPr>
            <w:r>
              <w:rPr>
                <w:rFonts w:ascii="Times New Roman" w:hAnsi="Times New Roman" w:cs="Times New Roman"/>
              </w:rPr>
              <w:t>Offers convenience and signals service qua</w:t>
            </w:r>
            <w:r>
              <w:rPr>
                <w:rFonts w:ascii="Times New Roman" w:hAnsi="Times New Roman" w:cs="Times New Roman"/>
              </w:rPr>
              <w:t>lity.</w:t>
            </w:r>
          </w:p>
        </w:tc>
      </w:tr>
      <w:tr w:rsidR="002B0B94" w14:paraId="245379CB" w14:textId="77777777">
        <w:tc>
          <w:tcPr>
            <w:tcW w:w="0" w:type="auto"/>
          </w:tcPr>
          <w:p w14:paraId="329776E4" w14:textId="77777777" w:rsidR="002B0B94" w:rsidRDefault="006B74FC">
            <w:pPr>
              <w:spacing w:after="0"/>
              <w:rPr>
                <w:rFonts w:ascii="Times New Roman" w:hAnsi="Times New Roman" w:cs="Times New Roman"/>
              </w:rPr>
            </w:pPr>
            <w:r>
              <w:rPr>
                <w:rStyle w:val="Emphasis"/>
                <w:rFonts w:ascii="Times New Roman" w:hAnsi="Times New Roman" w:cs="Times New Roman"/>
              </w:rPr>
              <w:t>“</w:t>
            </w:r>
            <w:proofErr w:type="gramStart"/>
            <w:r>
              <w:rPr>
                <w:rStyle w:val="Emphasis"/>
                <w:rFonts w:ascii="Times New Roman" w:hAnsi="Times New Roman" w:cs="Times New Roman"/>
              </w:rPr>
              <w:t>Man</w:t>
            </w:r>
            <w:proofErr w:type="gramEnd"/>
            <w:r>
              <w:rPr>
                <w:rStyle w:val="Emphasis"/>
                <w:rFonts w:ascii="Times New Roman" w:hAnsi="Times New Roman" w:cs="Times New Roman"/>
              </w:rPr>
              <w:t xml:space="preserve"> di come”</w:t>
            </w:r>
          </w:p>
        </w:tc>
        <w:tc>
          <w:tcPr>
            <w:tcW w:w="3271" w:type="dxa"/>
          </w:tcPr>
          <w:p w14:paraId="77B8E9DB" w14:textId="77777777" w:rsidR="002B0B94" w:rsidRDefault="006B74FC">
            <w:pPr>
              <w:spacing w:after="0"/>
              <w:rPr>
                <w:rFonts w:ascii="Times New Roman" w:hAnsi="Times New Roman" w:cs="Times New Roman"/>
              </w:rPr>
            </w:pPr>
            <w:r>
              <w:rPr>
                <w:rFonts w:ascii="Times New Roman" w:hAnsi="Times New Roman" w:cs="Times New Roman"/>
              </w:rPr>
              <w:t>“Authorities are coming”</w:t>
            </w:r>
          </w:p>
        </w:tc>
        <w:tc>
          <w:tcPr>
            <w:tcW w:w="2875" w:type="dxa"/>
          </w:tcPr>
          <w:p w14:paraId="0BF07F62" w14:textId="77777777" w:rsidR="002B0B94" w:rsidRDefault="006B74FC">
            <w:pPr>
              <w:spacing w:after="0"/>
              <w:jc w:val="both"/>
              <w:rPr>
                <w:rFonts w:ascii="Times New Roman" w:hAnsi="Times New Roman" w:cs="Times New Roman"/>
              </w:rPr>
            </w:pPr>
            <w:r>
              <w:rPr>
                <w:rFonts w:ascii="Times New Roman" w:hAnsi="Times New Roman" w:cs="Times New Roman"/>
              </w:rPr>
              <w:t>Alerts vendors and peers to approaching officials; used in coordinated action.</w:t>
            </w:r>
          </w:p>
        </w:tc>
      </w:tr>
    </w:tbl>
    <w:p w14:paraId="31741426" w14:textId="77777777" w:rsidR="002B0B94" w:rsidRDefault="006B74FC">
      <w:r>
        <w:rPr>
          <w:rFonts w:ascii="Times New Roman" w:hAnsi="Times New Roman" w:cs="Times New Roman"/>
          <w:sz w:val="24"/>
          <w:szCs w:val="24"/>
        </w:rPr>
        <w:t xml:space="preserve"> </w:t>
      </w:r>
      <w:r>
        <w:rPr>
          <w:rFonts w:ascii="Times New Roman" w:hAnsi="Times New Roman" w:cs="Times New Roman"/>
          <w:b/>
          <w:sz w:val="24"/>
          <w:szCs w:val="24"/>
        </w:rPr>
        <w:t>Source:</w:t>
      </w:r>
      <w:r>
        <w:rPr>
          <w:rFonts w:ascii="Times New Roman" w:hAnsi="Times New Roman" w:cs="Times New Roman"/>
          <w:sz w:val="24"/>
          <w:szCs w:val="24"/>
        </w:rPr>
        <w:t xml:space="preserve"> Field work,2025</w:t>
      </w:r>
    </w:p>
    <w:p w14:paraId="4D35C082" w14:textId="77777777" w:rsidR="002B0B94" w:rsidRDefault="006B74FC">
      <w:pPr>
        <w:tabs>
          <w:tab w:val="left" w:pos="709"/>
          <w:tab w:val="left" w:pos="8550"/>
          <w:tab w:val="left" w:pos="8640"/>
          <w:tab w:val="left" w:pos="9360"/>
        </w:tabs>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creole-based lingua franca summarised in Table 4, commonly expressed through Cameroon Pidgin English,</w:t>
      </w:r>
      <w:r>
        <w:rPr>
          <w:rFonts w:ascii="Times New Roman" w:hAnsi="Times New Roman" w:cs="Times New Roman"/>
          <w:bCs/>
          <w:sz w:val="24"/>
          <w:szCs w:val="24"/>
        </w:rPr>
        <w:t xml:space="preserve"> plays a significant role in public space interactions in the study area. It functions as an effective medium of communication that bridges linguistic, educational, and social differences amongst vendors and customers. Beyond facilitating trade, this lingu</w:t>
      </w:r>
      <w:r>
        <w:rPr>
          <w:rFonts w:ascii="Times New Roman" w:hAnsi="Times New Roman" w:cs="Times New Roman"/>
          <w:bCs/>
          <w:sz w:val="24"/>
          <w:szCs w:val="24"/>
        </w:rPr>
        <w:t xml:space="preserve">a franca enhances social cohesion, conveys cultural identity, and adds vibrancy to urban public spaces. Its widespread use underscores its importance as both an economic tool and a unifying social language within Bamenda's informal urban economy. As noted </w:t>
      </w:r>
      <w:r>
        <w:rPr>
          <w:rFonts w:ascii="Times New Roman" w:hAnsi="Times New Roman" w:cs="Times New Roman"/>
          <w:bCs/>
          <w:sz w:val="24"/>
          <w:szCs w:val="24"/>
        </w:rPr>
        <w:t xml:space="preserve">by </w:t>
      </w:r>
      <w:proofErr w:type="spellStart"/>
      <w:r>
        <w:rPr>
          <w:rFonts w:ascii="Times New Roman" w:hAnsi="Times New Roman" w:cs="Times New Roman"/>
          <w:bCs/>
          <w:sz w:val="24"/>
          <w:szCs w:val="24"/>
        </w:rPr>
        <w:t>Alobwede</w:t>
      </w:r>
      <w:proofErr w:type="spellEnd"/>
      <w:r>
        <w:rPr>
          <w:rFonts w:ascii="Times New Roman" w:hAnsi="Times New Roman" w:cs="Times New Roman"/>
          <w:bCs/>
          <w:sz w:val="24"/>
          <w:szCs w:val="24"/>
        </w:rPr>
        <w:t xml:space="preserve"> (1998), Cameroon Pidgin English serves as a vital unifying force in culturally diverse urban centres. In Bamenda, this lingua franca does more than facilitate transactions; it serves as a tool for building social capital, resonating with Simo's</w:t>
      </w:r>
      <w:r>
        <w:rPr>
          <w:rFonts w:ascii="Times New Roman" w:hAnsi="Times New Roman" w:cs="Times New Roman"/>
          <w:bCs/>
          <w:sz w:val="24"/>
          <w:szCs w:val="24"/>
        </w:rPr>
        <w:t xml:space="preserve"> (2001) assertion that Cameroon Pidgin English is the lifeblood of the informal urban economy.</w:t>
      </w:r>
    </w:p>
    <w:p w14:paraId="222718BD" w14:textId="77777777" w:rsidR="002B0B94" w:rsidRDefault="006B74FC">
      <w:pPr>
        <w:pStyle w:val="Heading2"/>
        <w:spacing w:line="360" w:lineRule="auto"/>
        <w:rPr>
          <w:sz w:val="24"/>
          <w:szCs w:val="24"/>
        </w:rPr>
      </w:pPr>
      <w:r>
        <w:rPr>
          <w:rFonts w:ascii="Times New Roman" w:hAnsi="Times New Roman" w:cs="Times New Roman"/>
          <w:b/>
          <w:bCs/>
          <w:color w:val="auto"/>
          <w:sz w:val="24"/>
          <w:szCs w:val="24"/>
        </w:rPr>
        <w:t xml:space="preserve">  3.6. Street vendors in the face of challenges in Bamenda City</w:t>
      </w:r>
    </w:p>
    <w:p w14:paraId="50ECD883" w14:textId="77777777" w:rsidR="002B0B94" w:rsidRDefault="006B74FC">
      <w:pPr>
        <w:pStyle w:val="NormalWeb"/>
        <w:spacing w:beforeAutospacing="1" w:after="0" w:afterAutospacing="1"/>
      </w:pPr>
      <w:r>
        <w:rPr>
          <w:sz w:val="24"/>
        </w:rPr>
        <w:t xml:space="preserve"> </w:t>
      </w:r>
      <w:r>
        <w:t xml:space="preserve">In the specific context of Bamenda, public space management is further complicated by the </w:t>
      </w:r>
      <w:r>
        <w:t>diverse array of informal economic actors, including market stallholders, street hawkers, fuel sellers, and food vendors. These actors play a vital role in the local economy by ensuring the steady provision of goods and services, creating employment opport</w:t>
      </w:r>
      <w:r>
        <w:t>unities, and supporting food distribution, particularly for low-income households. Despite these contributions, the informal sector operates within a framework of challenges that affect both vendors and the broader urban environment. Principal issues inclu</w:t>
      </w:r>
      <w:r>
        <w:t>de insecurity and crime, overcrowding of streets and marketplaces, traffic congestion, poor sanitation, inaccessibility of main urban spaces, high rents and taxes, and instances of illegal occupation of public areas.</w:t>
      </w:r>
    </w:p>
    <w:p w14:paraId="293AE8DE" w14:textId="77777777" w:rsidR="002B0B94" w:rsidRDefault="006B74FC">
      <w:pPr>
        <w:pStyle w:val="NormalWeb"/>
        <w:spacing w:beforeAutospacing="1" w:after="0" w:afterAutospacing="1"/>
        <w:rPr>
          <w:sz w:val="24"/>
        </w:rPr>
      </w:pPr>
      <w:r>
        <w:t>The daily experiences of street vendors</w:t>
      </w:r>
      <w:r>
        <w:t xml:space="preserve"> in Bamenda City reveal a dynamic tension: they are indispensable to the city's economic and social life, yet their activities often clash with urban planning goals and regulatory frameworks. Figure 6 illustrates the range of challenges confronting street </w:t>
      </w:r>
      <w:r>
        <w:t>vendors in Bamenda, highlighting the need for nuanced policies that integrate informal livelihoods into sustainable urban development strategies. Addressing these challenges requires a balanced approach that safeguards public order, ensures accessibility a</w:t>
      </w:r>
      <w:r>
        <w:t>nd sanitation, and simultaneously supports the informal economy that sustains a significant portion of the city's population. Figure 6 illustrates the main challenges faced by vendors in open public spaces.</w:t>
      </w:r>
    </w:p>
    <w:p w14:paraId="540446DE" w14:textId="77777777" w:rsidR="002B0B94" w:rsidRDefault="006B74FC">
      <w:pPr>
        <w:spacing w:line="360" w:lineRule="auto"/>
        <w:jc w:val="both"/>
        <w:rPr>
          <w:sz w:val="24"/>
          <w:szCs w:val="24"/>
        </w:rPr>
      </w:pPr>
      <w:r>
        <w:rPr>
          <w:noProof/>
          <w:sz w:val="24"/>
          <w:szCs w:val="24"/>
          <w:lang w:val="en-US"/>
        </w:rPr>
        <w:lastRenderedPageBreak/>
        <w:drawing>
          <wp:inline distT="0" distB="0" distL="0" distR="0" wp14:anchorId="7F85DBB6" wp14:editId="4D4AC642">
            <wp:extent cx="5731510" cy="2330450"/>
            <wp:effectExtent l="0" t="0" r="2540" b="12700"/>
            <wp:docPr id="12208" name="Graphique 12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1F91A8" w14:textId="77777777" w:rsidR="002B0B94" w:rsidRDefault="006B74FC">
      <w:pPr>
        <w:pStyle w:val="Caption"/>
        <w:spacing w:after="0"/>
        <w:rPr>
          <w:b w:val="0"/>
          <w:sz w:val="24"/>
          <w:szCs w:val="24"/>
        </w:rPr>
      </w:pPr>
      <w:bookmarkStart w:id="4" w:name="_Toc213422303"/>
      <w:r>
        <w:rPr>
          <w:sz w:val="24"/>
          <w:szCs w:val="24"/>
        </w:rPr>
        <w:t>Figure 6: Challenges faced by street vendors in</w:t>
      </w:r>
      <w:r>
        <w:rPr>
          <w:sz w:val="24"/>
          <w:szCs w:val="24"/>
        </w:rPr>
        <w:t xml:space="preserve"> public spaces in Bamenda City</w:t>
      </w:r>
      <w:bookmarkEnd w:id="4"/>
    </w:p>
    <w:p w14:paraId="2D23C029" w14:textId="77777777" w:rsidR="002B0B94" w:rsidRDefault="006B74FC">
      <w:pPr>
        <w:spacing w:line="360" w:lineRule="auto"/>
      </w:pPr>
      <w:r>
        <w:rPr>
          <w:rFonts w:ascii="Times New Roman" w:hAnsi="Times New Roman" w:cs="Times New Roman"/>
          <w:b/>
          <w:bCs/>
          <w:sz w:val="24"/>
          <w:szCs w:val="24"/>
        </w:rPr>
        <w:t>Source</w:t>
      </w:r>
      <w:r>
        <w:rPr>
          <w:rFonts w:ascii="Times New Roman" w:hAnsi="Times New Roman" w:cs="Times New Roman"/>
          <w:sz w:val="24"/>
          <w:szCs w:val="24"/>
        </w:rPr>
        <w:t>: Fieldwork, 2024</w:t>
      </w:r>
    </w:p>
    <w:p w14:paraId="4F8FAE79" w14:textId="77777777" w:rsidR="002B0B94" w:rsidRDefault="006B74FC">
      <w:pPr>
        <w:pStyle w:val="NormalWeb"/>
        <w:spacing w:beforeAutospacing="1" w:after="0" w:afterAutospacing="1"/>
      </w:pPr>
      <w:r>
        <w:t xml:space="preserve">From Figure 6, it is evident that public spaces in the study area face numerous and diverse challenges. These challenges arise from multiple triggers and have varying impacts on both vendors operating </w:t>
      </w:r>
      <w:r>
        <w:t>within these spaces and the surrounding urban environment. This situation reflects broader urban issues highlighted by Jude et al. (2017), who argued that cities worldwide are increasingly confronted with the "triple threats" of informal vending activities</w:t>
      </w:r>
      <w:r>
        <w:t>, congestion, and environmental degradation. In Bamenda City, the intensified use of public spaces for street vending remains a particularly pressing concern.</w:t>
      </w:r>
    </w:p>
    <w:p w14:paraId="56254008" w14:textId="77777777" w:rsidR="002B0B94" w:rsidRDefault="006B74FC">
      <w:pPr>
        <w:pStyle w:val="NormalWeb"/>
        <w:spacing w:beforeAutospacing="1" w:after="0" w:afterAutospacing="1"/>
      </w:pPr>
      <w:r>
        <w:t>Whilst street vending constitutes a vital component of the urban informal economy, its unregulate</w:t>
      </w:r>
      <w:r>
        <w:t xml:space="preserve">d expansion disrupts normal mobility, urban aesthetics, and the functionality of public spaces. Street vending around major markets, in particular, has become a contentious issue for urban policymakers, economists, planners, designers, and local councils. </w:t>
      </w:r>
      <w:r>
        <w:t>It can contribute to traffic congestion, litter, and grime; however, these challenges are not solely caused by vendors. Pedestrian movement, vehicular traffic, inadequate enforcement, and insufficient municipal sanitation services also play significant rol</w:t>
      </w:r>
      <w:r>
        <w:t>es in shaping the urban environment.</w:t>
      </w:r>
    </w:p>
    <w:p w14:paraId="6E165835" w14:textId="77777777" w:rsidR="002B0B94" w:rsidRDefault="006B74FC">
      <w:pPr>
        <w:pStyle w:val="NormalWeb"/>
        <w:spacing w:beforeAutospacing="1" w:after="0" w:afterAutospacing="1"/>
      </w:pPr>
      <w:r>
        <w:t xml:space="preserve">Moreover, many street vendors comply with municipal regulations by paying operating fees and local taxes, even though most earn incomes below the threshold for personal </w:t>
      </w:r>
      <w:r>
        <w:lastRenderedPageBreak/>
        <w:t>or corporate taxation. This underscores the econom</w:t>
      </w:r>
      <w:r>
        <w:t>ic contribution of vendors to the city despite the challenges associated with informal operations.</w:t>
      </w:r>
    </w:p>
    <w:p w14:paraId="6A42D945" w14:textId="77777777" w:rsidR="002B0B94" w:rsidRDefault="006B74FC">
      <w:pPr>
        <w:pStyle w:val="NormalWeb"/>
        <w:spacing w:beforeAutospacing="1" w:after="0" w:afterAutospacing="1"/>
        <w:rPr>
          <w:sz w:val="24"/>
        </w:rPr>
      </w:pPr>
      <w:r>
        <w:t>Given the aforementioned challenges and their impacts in the study area, this study argues that there is a pressing need for balanced and inclusive urban pla</w:t>
      </w:r>
      <w:r>
        <w:t>nning that not only supports the economic survival of street vendors but also promotes the orderly, sustainable, and safe use of public spaces, ensuring that informal livelihoods and urban functionality coexist harmoniously.</w:t>
      </w:r>
    </w:p>
    <w:p w14:paraId="21961B30" w14:textId="77777777" w:rsidR="002B0B94" w:rsidRDefault="006B74FC">
      <w:pPr>
        <w:pStyle w:val="Heading2"/>
        <w:rPr>
          <w:rFonts w:ascii="Times New Roman" w:hAnsi="Times New Roman" w:cs="Times New Roman"/>
          <w:b/>
          <w:bCs/>
          <w:color w:val="auto"/>
          <w:sz w:val="24"/>
          <w:szCs w:val="24"/>
        </w:rPr>
      </w:pPr>
      <w:r>
        <w:rPr>
          <w:rFonts w:ascii="Times New Roman" w:hAnsi="Times New Roman" w:cs="Times New Roman"/>
          <w:b/>
          <w:bCs/>
          <w:color w:val="auto"/>
          <w:sz w:val="24"/>
          <w:szCs w:val="24"/>
        </w:rPr>
        <w:t>4. Strategies for street vendor</w:t>
      </w:r>
      <w:r>
        <w:rPr>
          <w:rFonts w:ascii="Times New Roman" w:hAnsi="Times New Roman" w:cs="Times New Roman"/>
          <w:b/>
          <w:bCs/>
          <w:color w:val="auto"/>
          <w:sz w:val="24"/>
          <w:szCs w:val="24"/>
        </w:rPr>
        <w:t>s’ survival in public spaces in Bamenda City</w:t>
      </w:r>
    </w:p>
    <w:p w14:paraId="169DC23A" w14:textId="77777777" w:rsidR="002B0B94" w:rsidRDefault="002B0B94">
      <w:pPr>
        <w:rPr>
          <w:sz w:val="4"/>
          <w:szCs w:val="4"/>
        </w:rPr>
      </w:pPr>
    </w:p>
    <w:p w14:paraId="3D30F0FB" w14:textId="77777777" w:rsidR="002B0B94" w:rsidRDefault="006B74FC">
      <w:pPr>
        <w:spacing w:line="360" w:lineRule="auto"/>
        <w:jc w:val="both"/>
        <w:rPr>
          <w:rFonts w:ascii="Times New Roman" w:hAnsi="Times New Roman" w:cs="Times New Roman"/>
          <w:sz w:val="24"/>
          <w:szCs w:val="24"/>
        </w:rPr>
      </w:pPr>
      <w:r>
        <w:rPr>
          <w:rFonts w:ascii="Times New Roman" w:hAnsi="Times New Roman" w:cs="Times New Roman"/>
          <w:sz w:val="24"/>
          <w:szCs w:val="24"/>
        </w:rPr>
        <w:t>Vendors in Bamenda City, operating in the highly contested environment of poorly regulated public spaces, employ a range of proactive and reactive survival strategies. Based on field inquiries, 85% of operators</w:t>
      </w:r>
      <w:r>
        <w:rPr>
          <w:rFonts w:ascii="Times New Roman" w:hAnsi="Times New Roman" w:cs="Times New Roman"/>
          <w:sz w:val="24"/>
          <w:szCs w:val="24"/>
        </w:rPr>
        <w:t xml:space="preserve"> rely on highly mobile infrastructure, such as wheelbarrows and baskets, to disappear within seconds during municipal police raids at locations such as Commercial Avenue, Food Market, and Mobile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Field investigations also reveal that, in high-density</w:t>
      </w:r>
      <w:r>
        <w:rPr>
          <w:rFonts w:ascii="Times New Roman" w:hAnsi="Times New Roman" w:cs="Times New Roman"/>
          <w:sz w:val="24"/>
          <w:szCs w:val="24"/>
        </w:rPr>
        <w:t xml:space="preserve"> junctions such as the Hospital Roundabout and Finance Junction, vendors tap into massive pedestrian flows, often settling near formal businesses to capture a 70% overlap in customer bases. This spatial encroachment is balanced by extreme temporal flexibil</w:t>
      </w:r>
      <w:r>
        <w:rPr>
          <w:rFonts w:ascii="Times New Roman" w:hAnsi="Times New Roman" w:cs="Times New Roman"/>
          <w:sz w:val="24"/>
          <w:szCs w:val="24"/>
        </w:rPr>
        <w:t xml:space="preserve">ity, with approximately 60% of vendors shifting to "shadow hours," operating late at night or in the very early morning to serve clandestine bus stops (travelling to towns such as </w:t>
      </w:r>
      <w:proofErr w:type="spellStart"/>
      <w:r>
        <w:rPr>
          <w:rFonts w:ascii="Times New Roman" w:hAnsi="Times New Roman" w:cs="Times New Roman"/>
          <w:sz w:val="24"/>
          <w:szCs w:val="24"/>
        </w:rPr>
        <w:t>Bafoussam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Dschang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Mbouda</w:t>
      </w:r>
      <w:proofErr w:type="spellEnd"/>
      <w:r>
        <w:rPr>
          <w:rFonts w:ascii="Times New Roman" w:hAnsi="Times New Roman" w:cs="Times New Roman"/>
          <w:sz w:val="24"/>
          <w:szCs w:val="24"/>
        </w:rPr>
        <w:t>, Yaoundé, and Douala) and commuters whilst avoidi</w:t>
      </w:r>
      <w:r>
        <w:rPr>
          <w:rFonts w:ascii="Times New Roman" w:hAnsi="Times New Roman" w:cs="Times New Roman"/>
          <w:sz w:val="24"/>
          <w:szCs w:val="24"/>
        </w:rPr>
        <w:t>ng the daytime scrutiny of the municipal police. Financial resilience in this contested environment often demands a "tax" on thin margins; roughly 45% of vendors engage in informal payments to security personnel to secure temporary non-eviction or the retu</w:t>
      </w:r>
      <w:r>
        <w:rPr>
          <w:rFonts w:ascii="Times New Roman" w:hAnsi="Times New Roman" w:cs="Times New Roman"/>
          <w:sz w:val="24"/>
          <w:szCs w:val="24"/>
        </w:rPr>
        <w:t>rn of seized goods. To manage the lack of formal infrastructure, 70% of vendors have established a "subterranean" logistics network, paying small fees to store products overnight in the backyards of trusted neighbours rather than transporting them daily. F</w:t>
      </w:r>
      <w:r>
        <w:rPr>
          <w:rFonts w:ascii="Times New Roman" w:hAnsi="Times New Roman" w:cs="Times New Roman"/>
          <w:sz w:val="24"/>
          <w:szCs w:val="24"/>
        </w:rPr>
        <w:t>urthermore, to hedge against enforcement targeting specific commodities, over 55% of vendors have diversified their inventory, often pairing perishable food items with high-turnover electronics or phone credit. Ultimately, these strategies transform Bamend</w:t>
      </w:r>
      <w:r>
        <w:rPr>
          <w:rFonts w:ascii="Times New Roman" w:hAnsi="Times New Roman" w:cs="Times New Roman"/>
          <w:sz w:val="24"/>
          <w:szCs w:val="24"/>
        </w:rPr>
        <w:t>a's public spaces into a living laboratory of informal urban planning, where economic necessity consistently outpaces formal regulation. Table 5 portrays street vendors' survival strategies in the study area.</w:t>
      </w:r>
    </w:p>
    <w:p w14:paraId="7FEECC6F" w14:textId="77777777" w:rsidR="00EB2F11" w:rsidRDefault="00EB2F11">
      <w:pPr>
        <w:spacing w:line="360" w:lineRule="auto"/>
        <w:jc w:val="both"/>
        <w:rPr>
          <w:rFonts w:ascii="Times New Roman" w:hAnsi="Times New Roman" w:cs="Times New Roman"/>
          <w:b/>
          <w:bCs/>
          <w:sz w:val="24"/>
          <w:szCs w:val="24"/>
        </w:rPr>
      </w:pPr>
    </w:p>
    <w:p w14:paraId="4D479B95" w14:textId="77777777" w:rsidR="00EB2F11" w:rsidRDefault="00EB2F11">
      <w:pPr>
        <w:spacing w:line="360" w:lineRule="auto"/>
        <w:jc w:val="both"/>
        <w:rPr>
          <w:rFonts w:ascii="Times New Roman" w:hAnsi="Times New Roman" w:cs="Times New Roman"/>
          <w:b/>
          <w:bCs/>
          <w:sz w:val="24"/>
          <w:szCs w:val="24"/>
        </w:rPr>
      </w:pPr>
    </w:p>
    <w:p w14:paraId="199992B8" w14:textId="0725B96F" w:rsidR="002B0B94" w:rsidRDefault="006B74F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5: Street Vendors' Survival Strategies </w:t>
      </w:r>
      <w:r>
        <w:rPr>
          <w:rFonts w:ascii="Times New Roman" w:hAnsi="Times New Roman" w:cs="Times New Roman"/>
          <w:b/>
          <w:bCs/>
          <w:sz w:val="24"/>
          <w:szCs w:val="24"/>
        </w:rPr>
        <w:t>in Bamenda City</w:t>
      </w:r>
    </w:p>
    <w:tbl>
      <w:tblPr>
        <w:tblStyle w:val="TableGrid"/>
        <w:tblW w:w="9640" w:type="dxa"/>
        <w:tblInd w:w="-289" w:type="dxa"/>
        <w:tblLayout w:type="fixed"/>
        <w:tblLook w:val="04A0" w:firstRow="1" w:lastRow="0" w:firstColumn="1" w:lastColumn="0" w:noHBand="0" w:noVBand="1"/>
      </w:tblPr>
      <w:tblGrid>
        <w:gridCol w:w="1418"/>
        <w:gridCol w:w="2552"/>
        <w:gridCol w:w="1417"/>
        <w:gridCol w:w="2268"/>
        <w:gridCol w:w="1985"/>
      </w:tblGrid>
      <w:tr w:rsidR="002B0B94" w14:paraId="46AFCDF9" w14:textId="77777777">
        <w:tc>
          <w:tcPr>
            <w:tcW w:w="1418" w:type="dxa"/>
          </w:tcPr>
          <w:p w14:paraId="339E65E6" w14:textId="77777777" w:rsidR="002B0B94" w:rsidRDefault="006B74F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Strategy Category</w:t>
            </w:r>
          </w:p>
        </w:tc>
        <w:tc>
          <w:tcPr>
            <w:tcW w:w="2552" w:type="dxa"/>
          </w:tcPr>
          <w:p w14:paraId="5EB80637" w14:textId="77777777" w:rsidR="002B0B94" w:rsidRDefault="006B74F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Specific Tactic/Variable</w:t>
            </w:r>
          </w:p>
        </w:tc>
        <w:tc>
          <w:tcPr>
            <w:tcW w:w="1417" w:type="dxa"/>
          </w:tcPr>
          <w:p w14:paraId="54D347C4" w14:textId="77777777" w:rsidR="002B0B94" w:rsidRDefault="006B74F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Prevalence (%)</w:t>
            </w:r>
          </w:p>
        </w:tc>
        <w:tc>
          <w:tcPr>
            <w:tcW w:w="2268" w:type="dxa"/>
          </w:tcPr>
          <w:p w14:paraId="48751799" w14:textId="77777777" w:rsidR="002B0B94" w:rsidRDefault="006B74F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Primary Risk Mitigated</w:t>
            </w:r>
          </w:p>
        </w:tc>
        <w:tc>
          <w:tcPr>
            <w:tcW w:w="1985" w:type="dxa"/>
          </w:tcPr>
          <w:p w14:paraId="4F1729EA" w14:textId="77777777" w:rsidR="002B0B94" w:rsidRDefault="006B74F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Key Locations Affected</w:t>
            </w:r>
          </w:p>
        </w:tc>
      </w:tr>
      <w:tr w:rsidR="002B0B94" w14:paraId="4E94E093" w14:textId="77777777">
        <w:tc>
          <w:tcPr>
            <w:tcW w:w="1418" w:type="dxa"/>
          </w:tcPr>
          <w:p w14:paraId="617DACBC"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Spatial Mobility</w:t>
            </w:r>
          </w:p>
        </w:tc>
        <w:tc>
          <w:tcPr>
            <w:tcW w:w="2552" w:type="dxa"/>
          </w:tcPr>
          <w:p w14:paraId="2D589BFD" w14:textId="77777777" w:rsidR="002B0B94" w:rsidRDefault="006B74FC">
            <w:pPr>
              <w:spacing w:after="0" w:line="240" w:lineRule="auto"/>
              <w:rPr>
                <w:rFonts w:ascii="Times New Roman" w:hAnsi="Times New Roman" w:cs="Times New Roman"/>
                <w:sz w:val="24"/>
                <w:szCs w:val="24"/>
              </w:rPr>
            </w:pPr>
            <w:r>
              <w:rPr>
                <w:rFonts w:ascii="Times New Roman" w:hAnsi="Times New Roman" w:cs="Times New Roman"/>
                <w:sz w:val="24"/>
                <w:szCs w:val="24"/>
              </w:rPr>
              <w:t>Use of mobile infrastructure (wheelbarrows, baskets)</w:t>
            </w:r>
          </w:p>
        </w:tc>
        <w:tc>
          <w:tcPr>
            <w:tcW w:w="1417" w:type="dxa"/>
          </w:tcPr>
          <w:p w14:paraId="3B64FDC5" w14:textId="77777777" w:rsidR="002B0B94" w:rsidRDefault="006B7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268" w:type="dxa"/>
          </w:tcPr>
          <w:p w14:paraId="2C6845A2"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Asset Confiscation</w:t>
            </w:r>
          </w:p>
        </w:tc>
        <w:tc>
          <w:tcPr>
            <w:tcW w:w="1985" w:type="dxa"/>
          </w:tcPr>
          <w:p w14:paraId="3744343D" w14:textId="77777777" w:rsidR="002B0B94" w:rsidRDefault="006B74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Commercial Avenue, Mobile </w:t>
            </w:r>
            <w:proofErr w:type="spellStart"/>
            <w:r>
              <w:rPr>
                <w:rFonts w:ascii="Times New Roman" w:hAnsi="Times New Roman" w:cs="Times New Roman"/>
                <w:sz w:val="24"/>
                <w:szCs w:val="24"/>
              </w:rPr>
              <w:t>Nkwen</w:t>
            </w:r>
            <w:proofErr w:type="spellEnd"/>
          </w:p>
        </w:tc>
      </w:tr>
      <w:tr w:rsidR="002B0B94" w14:paraId="1772D763" w14:textId="77777777">
        <w:tc>
          <w:tcPr>
            <w:tcW w:w="1418" w:type="dxa"/>
          </w:tcPr>
          <w:p w14:paraId="40784E21"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Spatial </w:t>
            </w:r>
            <w:r>
              <w:rPr>
                <w:rFonts w:ascii="Times New Roman" w:hAnsi="Times New Roman" w:cs="Times New Roman"/>
                <w:sz w:val="24"/>
                <w:szCs w:val="24"/>
              </w:rPr>
              <w:t>Selection</w:t>
            </w:r>
          </w:p>
        </w:tc>
        <w:tc>
          <w:tcPr>
            <w:tcW w:w="2552" w:type="dxa"/>
          </w:tcPr>
          <w:p w14:paraId="625A22F3"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Anchoring near formal businesses/junctions</w:t>
            </w:r>
          </w:p>
        </w:tc>
        <w:tc>
          <w:tcPr>
            <w:tcW w:w="1417" w:type="dxa"/>
          </w:tcPr>
          <w:p w14:paraId="36FBB1C0" w14:textId="77777777" w:rsidR="002B0B94" w:rsidRDefault="006B7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268" w:type="dxa"/>
          </w:tcPr>
          <w:p w14:paraId="70DED4AF"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Low Sales Volume</w:t>
            </w:r>
          </w:p>
        </w:tc>
        <w:tc>
          <w:tcPr>
            <w:tcW w:w="1985" w:type="dxa"/>
          </w:tcPr>
          <w:p w14:paraId="2F9237C9"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Hospital Roundabout, Finance Junction</w:t>
            </w:r>
          </w:p>
        </w:tc>
      </w:tr>
      <w:tr w:rsidR="002B0B94" w14:paraId="2AAE750A" w14:textId="77777777">
        <w:tc>
          <w:tcPr>
            <w:tcW w:w="1418" w:type="dxa"/>
          </w:tcPr>
          <w:p w14:paraId="2BBDC1BD"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Temporal Shift</w:t>
            </w:r>
          </w:p>
        </w:tc>
        <w:tc>
          <w:tcPr>
            <w:tcW w:w="2552" w:type="dxa"/>
          </w:tcPr>
          <w:p w14:paraId="29BE4228"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Night/Early morning operations (Off-peak)</w:t>
            </w:r>
          </w:p>
        </w:tc>
        <w:tc>
          <w:tcPr>
            <w:tcW w:w="1417" w:type="dxa"/>
          </w:tcPr>
          <w:p w14:paraId="02FCD1DA" w14:textId="77777777" w:rsidR="002B0B94" w:rsidRDefault="006B7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268" w:type="dxa"/>
          </w:tcPr>
          <w:p w14:paraId="380B3917"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Municipal Raids</w:t>
            </w:r>
          </w:p>
        </w:tc>
        <w:tc>
          <w:tcPr>
            <w:tcW w:w="1985" w:type="dxa"/>
          </w:tcPr>
          <w:p w14:paraId="2199F73C" w14:textId="77777777" w:rsidR="002B0B94" w:rsidRDefault="006B74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Amour </w:t>
            </w:r>
            <w:proofErr w:type="spellStart"/>
            <w:r>
              <w:rPr>
                <w:rFonts w:ascii="Times New Roman" w:hAnsi="Times New Roman" w:cs="Times New Roman"/>
                <w:sz w:val="24"/>
                <w:szCs w:val="24"/>
              </w:rPr>
              <w:t>Mezam</w:t>
            </w:r>
            <w:proofErr w:type="spellEnd"/>
            <w:r>
              <w:rPr>
                <w:rFonts w:ascii="Times New Roman" w:hAnsi="Times New Roman" w:cs="Times New Roman"/>
                <w:sz w:val="24"/>
                <w:szCs w:val="24"/>
              </w:rPr>
              <w:t xml:space="preserve">, Mobile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xml:space="preserve"> and finance junction Clandestine Bus Stops</w:t>
            </w:r>
          </w:p>
        </w:tc>
      </w:tr>
      <w:tr w:rsidR="002B0B94" w14:paraId="16222976" w14:textId="77777777">
        <w:tc>
          <w:tcPr>
            <w:tcW w:w="1418" w:type="dxa"/>
          </w:tcPr>
          <w:p w14:paraId="01CCDBF9"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Logistics</w:t>
            </w:r>
          </w:p>
        </w:tc>
        <w:tc>
          <w:tcPr>
            <w:tcW w:w="2552" w:type="dxa"/>
          </w:tcPr>
          <w:p w14:paraId="2B1FA30B"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Informal overnight storage with </w:t>
            </w:r>
            <w:proofErr w:type="spellStart"/>
            <w:r>
              <w:rPr>
                <w:rFonts w:ascii="Times New Roman" w:hAnsi="Times New Roman" w:cs="Times New Roman"/>
                <w:sz w:val="24"/>
                <w:szCs w:val="24"/>
              </w:rPr>
              <w:t>neighbours</w:t>
            </w:r>
            <w:proofErr w:type="spellEnd"/>
            <w:r>
              <w:rPr>
                <w:rFonts w:ascii="Times New Roman" w:hAnsi="Times New Roman" w:cs="Times New Roman"/>
                <w:sz w:val="24"/>
                <w:szCs w:val="24"/>
              </w:rPr>
              <w:t>/shops</w:t>
            </w:r>
          </w:p>
        </w:tc>
        <w:tc>
          <w:tcPr>
            <w:tcW w:w="1417" w:type="dxa"/>
          </w:tcPr>
          <w:p w14:paraId="77BEB0B1" w14:textId="77777777" w:rsidR="002B0B94" w:rsidRDefault="006B7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268" w:type="dxa"/>
          </w:tcPr>
          <w:p w14:paraId="698D6305"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Theft and Transport Costs</w:t>
            </w:r>
          </w:p>
        </w:tc>
        <w:tc>
          <w:tcPr>
            <w:tcW w:w="1985" w:type="dxa"/>
          </w:tcPr>
          <w:p w14:paraId="701CA63B" w14:textId="77777777" w:rsidR="002B0B94" w:rsidRDefault="006B74F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Ntarikon</w:t>
            </w:r>
            <w:proofErr w:type="spellEnd"/>
            <w:r>
              <w:rPr>
                <w:rFonts w:ascii="Times New Roman" w:hAnsi="Times New Roman" w:cs="Times New Roman"/>
                <w:sz w:val="24"/>
                <w:szCs w:val="24"/>
              </w:rPr>
              <w:t xml:space="preserve"> Market, Food Market</w:t>
            </w:r>
          </w:p>
        </w:tc>
      </w:tr>
      <w:tr w:rsidR="002B0B94" w14:paraId="1B5AF2DB" w14:textId="77777777">
        <w:tc>
          <w:tcPr>
            <w:tcW w:w="1418" w:type="dxa"/>
          </w:tcPr>
          <w:p w14:paraId="379D4971"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Economic Hedging</w:t>
            </w:r>
          </w:p>
        </w:tc>
        <w:tc>
          <w:tcPr>
            <w:tcW w:w="2552" w:type="dxa"/>
          </w:tcPr>
          <w:p w14:paraId="28174905" w14:textId="77777777" w:rsidR="002B0B94" w:rsidRDefault="006B74FC">
            <w:pPr>
              <w:spacing w:after="0" w:line="240" w:lineRule="auto"/>
              <w:rPr>
                <w:rFonts w:ascii="Times New Roman" w:hAnsi="Times New Roman" w:cs="Times New Roman"/>
                <w:sz w:val="24"/>
                <w:szCs w:val="24"/>
              </w:rPr>
            </w:pPr>
            <w:r>
              <w:rPr>
                <w:rFonts w:ascii="Times New Roman" w:hAnsi="Times New Roman" w:cs="Times New Roman"/>
                <w:sz w:val="24"/>
                <w:szCs w:val="24"/>
              </w:rPr>
              <w:t>Product diversification (Food and Electronics)</w:t>
            </w:r>
          </w:p>
        </w:tc>
        <w:tc>
          <w:tcPr>
            <w:tcW w:w="1417" w:type="dxa"/>
          </w:tcPr>
          <w:p w14:paraId="20591DE9" w14:textId="77777777" w:rsidR="002B0B94" w:rsidRDefault="006B7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268" w:type="dxa"/>
          </w:tcPr>
          <w:p w14:paraId="15DD2600"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Market Volatility</w:t>
            </w:r>
          </w:p>
        </w:tc>
        <w:tc>
          <w:tcPr>
            <w:tcW w:w="1985" w:type="dxa"/>
          </w:tcPr>
          <w:p w14:paraId="600783DF" w14:textId="77777777" w:rsidR="002B0B94" w:rsidRDefault="006B74FC">
            <w:pPr>
              <w:spacing w:after="0" w:line="240" w:lineRule="auto"/>
              <w:rPr>
                <w:rFonts w:ascii="Times New Roman" w:hAnsi="Times New Roman" w:cs="Times New Roman"/>
                <w:sz w:val="24"/>
                <w:szCs w:val="24"/>
              </w:rPr>
            </w:pPr>
            <w:r>
              <w:rPr>
                <w:rFonts w:ascii="Times New Roman" w:hAnsi="Times New Roman" w:cs="Times New Roman"/>
                <w:sz w:val="24"/>
                <w:szCs w:val="24"/>
              </w:rPr>
              <w:t>Main Road Junctions</w:t>
            </w:r>
          </w:p>
        </w:tc>
      </w:tr>
      <w:tr w:rsidR="002B0B94" w14:paraId="22BE79D9" w14:textId="77777777">
        <w:trPr>
          <w:trHeight w:val="939"/>
        </w:trPr>
        <w:tc>
          <w:tcPr>
            <w:tcW w:w="1418" w:type="dxa"/>
          </w:tcPr>
          <w:p w14:paraId="0B23842B"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Informal Governance</w:t>
            </w:r>
          </w:p>
        </w:tc>
        <w:tc>
          <w:tcPr>
            <w:tcW w:w="2552" w:type="dxa"/>
          </w:tcPr>
          <w:p w14:paraId="6C921978"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Payments to security </w:t>
            </w:r>
          </w:p>
        </w:tc>
        <w:tc>
          <w:tcPr>
            <w:tcW w:w="1417" w:type="dxa"/>
          </w:tcPr>
          <w:p w14:paraId="3BE8051C" w14:textId="77777777" w:rsidR="002B0B94" w:rsidRDefault="006B7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268" w:type="dxa"/>
          </w:tcPr>
          <w:p w14:paraId="4F18C808" w14:textId="77777777" w:rsidR="002B0B94" w:rsidRDefault="006B7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Eviction/Harassment</w:t>
            </w:r>
          </w:p>
        </w:tc>
        <w:tc>
          <w:tcPr>
            <w:tcW w:w="1985" w:type="dxa"/>
          </w:tcPr>
          <w:p w14:paraId="04BEB1FA" w14:textId="77777777" w:rsidR="002B0B94" w:rsidRDefault="006B74FC">
            <w:pPr>
              <w:spacing w:after="480" w:line="240" w:lineRule="auto"/>
              <w:rPr>
                <w:rFonts w:ascii="Times New Roman" w:hAnsi="Times New Roman" w:cs="Times New Roman"/>
                <w:sz w:val="24"/>
                <w:szCs w:val="24"/>
              </w:rPr>
            </w:pPr>
            <w:r>
              <w:rPr>
                <w:rFonts w:ascii="Times New Roman" w:hAnsi="Times New Roman" w:cs="Times New Roman"/>
                <w:sz w:val="24"/>
                <w:szCs w:val="24"/>
              </w:rPr>
              <w:t>Highly Contested Centers</w:t>
            </w:r>
          </w:p>
        </w:tc>
      </w:tr>
    </w:tbl>
    <w:p w14:paraId="00552BE3" w14:textId="77777777" w:rsidR="002B0B94" w:rsidRDefault="002B0B94">
      <w:pPr>
        <w:spacing w:line="240" w:lineRule="auto"/>
        <w:jc w:val="both"/>
        <w:rPr>
          <w:rFonts w:ascii="Times New Roman" w:hAnsi="Times New Roman" w:cs="Times New Roman"/>
          <w:b/>
          <w:bCs/>
          <w:sz w:val="6"/>
          <w:szCs w:val="6"/>
        </w:rPr>
      </w:pPr>
    </w:p>
    <w:p w14:paraId="5E8163D4" w14:textId="77777777" w:rsidR="002B0B94" w:rsidRDefault="006B74FC">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Source:</w:t>
      </w:r>
      <w:r>
        <w:rPr>
          <w:rFonts w:ascii="Times New Roman" w:hAnsi="Times New Roman" w:cs="Times New Roman"/>
          <w:sz w:val="24"/>
          <w:szCs w:val="24"/>
        </w:rPr>
        <w:t xml:space="preserve"> Fieldwork,2025</w:t>
      </w:r>
    </w:p>
    <w:p w14:paraId="24DF96FB" w14:textId="77777777" w:rsidR="002B0B94" w:rsidRDefault="006B74FC">
      <w:pPr>
        <w:spacing w:line="360" w:lineRule="auto"/>
        <w:jc w:val="both"/>
        <w:rPr>
          <w:rFonts w:ascii="Times New Roman" w:hAnsi="Times New Roman" w:cs="Times New Roman"/>
          <w:sz w:val="24"/>
          <w:szCs w:val="24"/>
        </w:rPr>
      </w:pPr>
      <w:r>
        <w:rPr>
          <w:rFonts w:ascii="Times New Roman" w:hAnsi="Times New Roman" w:cs="Times New Roman"/>
          <w:sz w:val="24"/>
        </w:rPr>
        <w:t>The data reveal that spatial mobility (85%) is the most critical survival determinant, indicating that a vendor's ability to retreat physically is more important</w:t>
      </w:r>
      <w:r>
        <w:rPr>
          <w:rFonts w:ascii="Times New Roman" w:hAnsi="Times New Roman" w:cs="Times New Roman"/>
          <w:sz w:val="24"/>
        </w:rPr>
        <w:t xml:space="preserve"> than the profitability of their location. Furthermore, the high reliance on informal storage (70%) suggests a deeply integrated community network that compensates for the city's lack of formal infrastructure. The 45% engagement in informal payments highli</w:t>
      </w:r>
      <w:r>
        <w:rPr>
          <w:rFonts w:ascii="Times New Roman" w:hAnsi="Times New Roman" w:cs="Times New Roman"/>
          <w:sz w:val="24"/>
        </w:rPr>
        <w:t xml:space="preserve">ghts a significant "shadow tax" that reduces the net profit of the informal sector but provides a necessary, albeit fragile, layer of workspace stability. </w:t>
      </w:r>
      <w:r w:rsidRPr="006F523E">
        <w:rPr>
          <w:rFonts w:ascii="Times New Roman" w:hAnsi="Times New Roman" w:cs="Times New Roman"/>
          <w:sz w:val="24"/>
          <w:highlight w:val="yellow"/>
        </w:rPr>
        <w:t>This is consistent with the observation of Simone (2004), who describes African public spaces as flui</w:t>
      </w:r>
      <w:r w:rsidRPr="006F523E">
        <w:rPr>
          <w:rFonts w:ascii="Times New Roman" w:hAnsi="Times New Roman" w:cs="Times New Roman"/>
          <w:sz w:val="24"/>
          <w:highlight w:val="yellow"/>
        </w:rPr>
        <w:t>d and improvised environments where networks of survival, informal economies, and social relations are enacted in ways that challenge formal planning logic.</w:t>
      </w:r>
      <w:r>
        <w:rPr>
          <w:rFonts w:ascii="Times New Roman" w:hAnsi="Times New Roman" w:cs="Times New Roman"/>
          <w:sz w:val="24"/>
        </w:rPr>
        <w:t xml:space="preserve"> </w:t>
      </w:r>
    </w:p>
    <w:p w14:paraId="30AFF0AE" w14:textId="77777777" w:rsidR="002B0B94" w:rsidRDefault="006B74FC">
      <w:pPr>
        <w:pStyle w:val="Heading1"/>
        <w:spacing w:before="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IV. CONCLUSION</w:t>
      </w:r>
    </w:p>
    <w:p w14:paraId="68B1005A" w14:textId="77777777" w:rsidR="002B0B94" w:rsidRDefault="006B74FC">
      <w:pPr>
        <w:pStyle w:val="NormalWeb"/>
        <w:spacing w:beforeAutospacing="1" w:after="0" w:afterAutospacing="1"/>
      </w:pPr>
      <w:r>
        <w:t>This study has demonstrated that public spaces in Bamenda City constitute significant socio-economic assets, particularly for the urban working poor whose livelihoods depend heavily on informal economic activities. Yet the value of these spaces is often ov</w:t>
      </w:r>
      <w:r>
        <w:t xml:space="preserve">erlooked or underestimated in urban policy and planning processes. This oversight has limited meaningful engagement with the potential of public spaces as inclusive, </w:t>
      </w:r>
      <w:r>
        <w:lastRenderedPageBreak/>
        <w:t>multi-functional urban systems capable of accommodating both formal and informal activitie</w:t>
      </w:r>
      <w:r>
        <w:t>s, as well as diverse socio-economic groups. In Bamenda City, public spaces</w:t>
      </w:r>
      <w:r>
        <w:rPr>
          <w:lang w:val="en-US"/>
        </w:rPr>
        <w:t>,</w:t>
      </w:r>
      <w:r>
        <w:t xml:space="preserve"> including markets, roads, roadsides, pavements, green areas, sports fields, and car parks are unevenly distributed across Bamenda I, II, and III municipalities, with varying level</w:t>
      </w:r>
      <w:r>
        <w:t>s of functionality shaped by poor infrastructure, inadequate maintenance, and limited inclusive design, thereby creating a significant gap.</w:t>
      </w:r>
    </w:p>
    <w:p w14:paraId="69675EED" w14:textId="77777777" w:rsidR="002B0B94" w:rsidRDefault="006B74FC">
      <w:pPr>
        <w:pStyle w:val="NormalWeb"/>
        <w:spacing w:beforeAutospacing="1" w:after="0" w:afterAutospacing="1"/>
      </w:pPr>
      <w:r>
        <w:t>Findings from the study reveal that vendors are drawn to public spaces by a combination of interrelated factors such</w:t>
      </w:r>
      <w:r>
        <w:t xml:space="preserve"> as proximity to customers, accessibility, availability of basic amenities, perceived security, cleanliness, opportunities for social and family interactions, income generation, and overall affordability. These spaces therefore serve not only as economic p</w:t>
      </w:r>
      <w:r>
        <w:t>latforms but also as important social environments that support everyday urban life. However, despite the efforts of municipal authorities and other stakeholders, the absence of clear policy direction, weak enforcement mechanisms, and inadequate maintenanc</w:t>
      </w:r>
      <w:r>
        <w:t>e frameworks has resulted in persistent challenges. These include illegal occupation of public spaces, overcrowding, poor sanitation, traffic congestion, tax evasion, and recurring conflicts between vendors, pedestrians, and authorities.</w:t>
      </w:r>
    </w:p>
    <w:p w14:paraId="3DB188F5" w14:textId="77777777" w:rsidR="002B0B94" w:rsidRDefault="006B74FC">
      <w:pPr>
        <w:pStyle w:val="NormalWeb"/>
        <w:spacing w:beforeAutospacing="1" w:after="0" w:afterAutospacing="1"/>
        <w:rPr>
          <w:sz w:val="24"/>
        </w:rPr>
      </w:pPr>
      <w:r>
        <w:t>The study thus und</w:t>
      </w:r>
      <w:r>
        <w:t>erscores that these challenges are not solely the result of street vending but rather reflect broader shortcomings in public space governance and urban management policies. Consequently, addressing vendors' concerns and improving public space use in Bamend</w:t>
      </w:r>
      <w:r>
        <w:t>a requires a shift from exclusionary and reactive approaches towards balanced, inclusive, and participatory planning strategies informed by Afro-endogenous perspectives. To this end, coordinated collaboration amongst municipal authorities, vendors' associa</w:t>
      </w:r>
      <w:r>
        <w:t>tions, urban planners, designers, and community members is essential to enhance the quality, functionality, and accessibility of public spaces. By integrating informal livelihoods into urban planning frameworks, Bamenda City can promote coexistence, econom</w:t>
      </w:r>
      <w:r>
        <w:t>ic growth, and sustainable urban development whilst ensuring that public spaces remain orderly, safe, and inclusive for all users.</w:t>
      </w:r>
    </w:p>
    <w:p w14:paraId="4D33206A" w14:textId="77777777" w:rsidR="00E07648" w:rsidRDefault="00E07648">
      <w:pPr>
        <w:rPr>
          <w:b/>
        </w:rPr>
      </w:pPr>
    </w:p>
    <w:p w14:paraId="72BB2512" w14:textId="77777777" w:rsidR="00E07648" w:rsidRDefault="00E07648">
      <w:pPr>
        <w:rPr>
          <w:b/>
        </w:rPr>
      </w:pPr>
    </w:p>
    <w:p w14:paraId="5EDFF731" w14:textId="3D6F5275" w:rsidR="002B0B94" w:rsidRPr="006F523E" w:rsidRDefault="006B74FC">
      <w:pPr>
        <w:rPr>
          <w:b/>
          <w:highlight w:val="yellow"/>
        </w:rPr>
      </w:pPr>
      <w:r w:rsidRPr="006F523E">
        <w:rPr>
          <w:b/>
          <w:highlight w:val="yellow"/>
        </w:rPr>
        <w:lastRenderedPageBreak/>
        <w:t>Disclaimer (Artificial intelligence)</w:t>
      </w:r>
    </w:p>
    <w:p w14:paraId="511B0AFC" w14:textId="77777777" w:rsidR="002B0B94" w:rsidRDefault="006B74FC">
      <w:r w:rsidRPr="006F523E">
        <w:rPr>
          <w:highlight w:val="yellow"/>
        </w:rPr>
        <w:t xml:space="preserve">Author(s) hereby declares that NO generative AI technologies such as Large Language </w:t>
      </w:r>
      <w:r w:rsidRPr="006F523E">
        <w:rPr>
          <w:highlight w:val="yellow"/>
        </w:rPr>
        <w:t>Models (ChatGPT, COPILOT, etc.) and text-to-image generators have been used during the writing or editing of this manuscript.</w:t>
      </w:r>
      <w:r>
        <w:t xml:space="preserve"> </w:t>
      </w:r>
    </w:p>
    <w:p w14:paraId="1C6EF35C" w14:textId="77777777" w:rsidR="002B0B94" w:rsidRDefault="006B74FC">
      <w:pPr>
        <w:pStyle w:val="Heading1"/>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REFERENCES </w:t>
      </w:r>
    </w:p>
    <w:p w14:paraId="677ADCEC" w14:textId="4F2166DE" w:rsidR="002B0B94" w:rsidRPr="00D54727" w:rsidRDefault="006B74FC" w:rsidP="00D54727">
      <w:pPr>
        <w:pStyle w:val="ListParagraph"/>
        <w:numPr>
          <w:ilvl w:val="0"/>
          <w:numId w:val="1"/>
        </w:numPr>
        <w:rPr>
          <w:rFonts w:ascii="Times New Roman" w:hAnsi="Times New Roman" w:cs="Times New Roman"/>
          <w:sz w:val="24"/>
          <w:szCs w:val="24"/>
        </w:rPr>
      </w:pPr>
      <w:bookmarkStart w:id="5" w:name="_GoBack"/>
      <w:proofErr w:type="spellStart"/>
      <w:r w:rsidRPr="00D54727">
        <w:rPr>
          <w:rFonts w:ascii="Times New Roman" w:hAnsi="Times New Roman" w:cs="Times New Roman"/>
          <w:sz w:val="24"/>
          <w:szCs w:val="24"/>
        </w:rPr>
        <w:t>Abagissa</w:t>
      </w:r>
      <w:proofErr w:type="spellEnd"/>
      <w:r w:rsidRPr="00D54727">
        <w:rPr>
          <w:rFonts w:ascii="Times New Roman" w:hAnsi="Times New Roman" w:cs="Times New Roman"/>
          <w:sz w:val="24"/>
          <w:szCs w:val="24"/>
        </w:rPr>
        <w:t xml:space="preserve"> Jemal (2020). Street Businesses in Addis Ababa: Causes, Consequences, and Administrative Interventions. Jou</w:t>
      </w:r>
      <w:r w:rsidRPr="00D54727">
        <w:rPr>
          <w:rFonts w:ascii="Times New Roman" w:hAnsi="Times New Roman" w:cs="Times New Roman"/>
          <w:sz w:val="24"/>
          <w:szCs w:val="24"/>
        </w:rPr>
        <w:t>rnal of Governance and Development Vol. 16. Issue 1</w:t>
      </w:r>
    </w:p>
    <w:p w14:paraId="6F7A3507" w14:textId="77777777" w:rsidR="002B0B94" w:rsidRDefault="006B74FC" w:rsidP="00D54727">
      <w:pPr>
        <w:pStyle w:val="ListParagraph"/>
        <w:numPr>
          <w:ilvl w:val="0"/>
          <w:numId w:val="1"/>
        </w:numPr>
        <w:spacing w:line="360" w:lineRule="auto"/>
        <w:jc w:val="both"/>
      </w:pPr>
      <w:proofErr w:type="spellStart"/>
      <w:r w:rsidRPr="00D54727">
        <w:rPr>
          <w:rFonts w:ascii="Times New Roman" w:hAnsi="Times New Roman" w:cs="Times New Roman"/>
          <w:sz w:val="24"/>
          <w:szCs w:val="24"/>
        </w:rPr>
        <w:t>Adegunloye</w:t>
      </w:r>
      <w:proofErr w:type="spellEnd"/>
      <w:r w:rsidRPr="00D54727">
        <w:rPr>
          <w:rFonts w:ascii="Times New Roman" w:hAnsi="Times New Roman" w:cs="Times New Roman"/>
          <w:sz w:val="24"/>
          <w:szCs w:val="24"/>
        </w:rPr>
        <w:t xml:space="preserve"> O.O.1, </w:t>
      </w:r>
      <w:proofErr w:type="spellStart"/>
      <w:r w:rsidRPr="00D54727">
        <w:rPr>
          <w:rFonts w:ascii="Times New Roman" w:hAnsi="Times New Roman" w:cs="Times New Roman"/>
          <w:sz w:val="24"/>
          <w:szCs w:val="24"/>
        </w:rPr>
        <w:t>Folorunso</w:t>
      </w:r>
      <w:proofErr w:type="spellEnd"/>
      <w:r w:rsidRPr="00D54727">
        <w:rPr>
          <w:rFonts w:ascii="Times New Roman" w:hAnsi="Times New Roman" w:cs="Times New Roman"/>
          <w:sz w:val="24"/>
          <w:szCs w:val="24"/>
        </w:rPr>
        <w:t xml:space="preserve"> C.O.2, Taiwo, A.A.3, and </w:t>
      </w:r>
      <w:proofErr w:type="spellStart"/>
      <w:r w:rsidRPr="00D54727">
        <w:rPr>
          <w:rFonts w:ascii="Times New Roman" w:hAnsi="Times New Roman" w:cs="Times New Roman"/>
          <w:sz w:val="24"/>
          <w:szCs w:val="24"/>
        </w:rPr>
        <w:t>Adegbehingbe</w:t>
      </w:r>
      <w:proofErr w:type="spellEnd"/>
      <w:r w:rsidRPr="00D54727">
        <w:rPr>
          <w:rFonts w:ascii="Times New Roman" w:hAnsi="Times New Roman" w:cs="Times New Roman"/>
          <w:sz w:val="24"/>
          <w:szCs w:val="24"/>
        </w:rPr>
        <w:t xml:space="preserve"> (2022). Nexus between Public Spaces and City Image: A Case Study of Akure, Nigeria. Covenant Journal of Research in the Built Environment </w:t>
      </w:r>
      <w:r w:rsidRPr="00D54727">
        <w:rPr>
          <w:rFonts w:ascii="Times New Roman" w:hAnsi="Times New Roman" w:cs="Times New Roman"/>
          <w:sz w:val="24"/>
          <w:szCs w:val="24"/>
        </w:rPr>
        <w:t>(CJRBE) Vol. 10 No. 1, June, 2022SSN: p. 2384-5724e.2384-5716</w:t>
      </w:r>
    </w:p>
    <w:p w14:paraId="3E5151F1" w14:textId="77777777" w:rsidR="002B0B94" w:rsidRPr="00D54727" w:rsidRDefault="006B74FC" w:rsidP="00D54727">
      <w:pPr>
        <w:pStyle w:val="ListParagraph"/>
        <w:numPr>
          <w:ilvl w:val="0"/>
          <w:numId w:val="1"/>
        </w:numPr>
        <w:rPr>
          <w:rFonts w:ascii="Times New Roman" w:hAnsi="Times New Roman" w:cs="Times New Roman"/>
          <w:sz w:val="24"/>
          <w:szCs w:val="24"/>
        </w:rPr>
      </w:pPr>
      <w:proofErr w:type="spellStart"/>
      <w:r w:rsidRPr="00D54727">
        <w:rPr>
          <w:rFonts w:ascii="Times New Roman" w:hAnsi="Times New Roman" w:cs="Times New Roman"/>
          <w:sz w:val="24"/>
          <w:szCs w:val="24"/>
        </w:rPr>
        <w:t>Alobwede</w:t>
      </w:r>
      <w:proofErr w:type="spellEnd"/>
      <w:r w:rsidRPr="00D54727">
        <w:rPr>
          <w:rFonts w:ascii="Times New Roman" w:hAnsi="Times New Roman" w:cs="Times New Roman"/>
          <w:sz w:val="24"/>
          <w:szCs w:val="24"/>
        </w:rPr>
        <w:t xml:space="preserve"> </w:t>
      </w:r>
      <w:proofErr w:type="spellStart"/>
      <w:r w:rsidRPr="00D54727">
        <w:rPr>
          <w:rFonts w:ascii="Times New Roman" w:hAnsi="Times New Roman" w:cs="Times New Roman"/>
          <w:sz w:val="24"/>
          <w:szCs w:val="24"/>
        </w:rPr>
        <w:t>d’Epie</w:t>
      </w:r>
      <w:proofErr w:type="spellEnd"/>
      <w:r w:rsidRPr="00D54727">
        <w:rPr>
          <w:rFonts w:ascii="Times New Roman" w:hAnsi="Times New Roman" w:cs="Times New Roman"/>
          <w:sz w:val="24"/>
          <w:szCs w:val="24"/>
        </w:rPr>
        <w:t>, C. (1998). Bending the stems of the bushes: Pidgin English in Cameroon. English Today, 14(1), 20–26.</w:t>
      </w:r>
    </w:p>
    <w:p w14:paraId="50C162E4" w14:textId="77777777" w:rsidR="002B0B94" w:rsidRPr="00D54727" w:rsidRDefault="006B74FC" w:rsidP="00D54727">
      <w:pPr>
        <w:pStyle w:val="ListParagraph"/>
        <w:numPr>
          <w:ilvl w:val="0"/>
          <w:numId w:val="1"/>
        </w:numPr>
        <w:jc w:val="both"/>
        <w:rPr>
          <w:rFonts w:ascii="Times New Roman" w:hAnsi="Times New Roman" w:cs="Times New Roman"/>
          <w:i/>
          <w:sz w:val="24"/>
          <w:szCs w:val="24"/>
        </w:rPr>
      </w:pPr>
      <w:r w:rsidRPr="00D54727">
        <w:rPr>
          <w:rFonts w:ascii="Times New Roman" w:hAnsi="Times New Roman" w:cs="Times New Roman"/>
          <w:iCs/>
          <w:sz w:val="24"/>
          <w:szCs w:val="24"/>
        </w:rPr>
        <w:t xml:space="preserve">Assako, R. J. A. (2012). </w:t>
      </w:r>
      <w:r w:rsidRPr="00D54727">
        <w:rPr>
          <w:rStyle w:val="Emphasis"/>
          <w:rFonts w:ascii="Times New Roman" w:hAnsi="Times New Roman" w:cs="Times New Roman"/>
          <w:sz w:val="24"/>
          <w:szCs w:val="24"/>
        </w:rPr>
        <w:t xml:space="preserve">À </w:t>
      </w:r>
      <w:proofErr w:type="spellStart"/>
      <w:r w:rsidRPr="00D54727">
        <w:rPr>
          <w:rStyle w:val="Emphasis"/>
          <w:rFonts w:ascii="Times New Roman" w:hAnsi="Times New Roman" w:cs="Times New Roman"/>
          <w:sz w:val="24"/>
          <w:szCs w:val="24"/>
        </w:rPr>
        <w:t>propos</w:t>
      </w:r>
      <w:proofErr w:type="spellEnd"/>
      <w:r w:rsidRPr="00D54727">
        <w:rPr>
          <w:rStyle w:val="Emphasis"/>
          <w:rFonts w:ascii="Times New Roman" w:hAnsi="Times New Roman" w:cs="Times New Roman"/>
          <w:sz w:val="24"/>
          <w:szCs w:val="24"/>
        </w:rPr>
        <w:t xml:space="preserve"> de </w:t>
      </w:r>
      <w:proofErr w:type="spellStart"/>
      <w:r w:rsidRPr="00D54727">
        <w:rPr>
          <w:rStyle w:val="Emphasis"/>
          <w:rFonts w:ascii="Times New Roman" w:hAnsi="Times New Roman" w:cs="Times New Roman"/>
          <w:sz w:val="24"/>
          <w:szCs w:val="24"/>
        </w:rPr>
        <w:t>l’opération</w:t>
      </w:r>
      <w:proofErr w:type="spellEnd"/>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d’embellissement</w:t>
      </w:r>
      <w:proofErr w:type="spellEnd"/>
      <w:r w:rsidRPr="00D54727">
        <w:rPr>
          <w:rStyle w:val="Emphasis"/>
          <w:rFonts w:ascii="Times New Roman" w:hAnsi="Times New Roman" w:cs="Times New Roman"/>
          <w:sz w:val="24"/>
          <w:szCs w:val="24"/>
        </w:rPr>
        <w:t xml:space="preserve"> de Yaoundé</w:t>
      </w:r>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capitale</w:t>
      </w:r>
      <w:proofErr w:type="spellEnd"/>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d’Afrique</w:t>
      </w:r>
      <w:proofErr w:type="spellEnd"/>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centrale</w:t>
      </w:r>
      <w:proofErr w:type="spellEnd"/>
      <w:r w:rsidRPr="00D54727">
        <w:rPr>
          <w:rFonts w:ascii="Times New Roman" w:hAnsi="Times New Roman" w:cs="Times New Roman"/>
          <w:i/>
          <w:sz w:val="24"/>
          <w:szCs w:val="24"/>
        </w:rPr>
        <w:t xml:space="preserve">. </w:t>
      </w:r>
      <w:r w:rsidRPr="00D54727">
        <w:rPr>
          <w:rStyle w:val="Emphasis"/>
          <w:rFonts w:ascii="Times New Roman" w:hAnsi="Times New Roman" w:cs="Times New Roman"/>
          <w:sz w:val="24"/>
          <w:szCs w:val="24"/>
        </w:rPr>
        <w:t xml:space="preserve">Les Cahiers </w:t>
      </w:r>
      <w:proofErr w:type="spellStart"/>
      <w:r w:rsidRPr="00D54727">
        <w:rPr>
          <w:rStyle w:val="Emphasis"/>
          <w:rFonts w:ascii="Times New Roman" w:hAnsi="Times New Roman" w:cs="Times New Roman"/>
          <w:sz w:val="24"/>
          <w:szCs w:val="24"/>
        </w:rPr>
        <w:t>d’Outre</w:t>
      </w:r>
      <w:proofErr w:type="spellEnd"/>
      <w:r w:rsidRPr="00D54727">
        <w:rPr>
          <w:rStyle w:val="Emphasis"/>
          <w:rFonts w:ascii="Times New Roman" w:hAnsi="Times New Roman" w:cs="Times New Roman"/>
          <w:sz w:val="24"/>
          <w:szCs w:val="24"/>
        </w:rPr>
        <w:noBreakHyphen/>
        <w:t>Mer</w:t>
      </w:r>
      <w:r w:rsidRPr="00D54727">
        <w:rPr>
          <w:rFonts w:ascii="Times New Roman" w:hAnsi="Times New Roman" w:cs="Times New Roman"/>
          <w:i/>
          <w:sz w:val="24"/>
          <w:szCs w:val="24"/>
        </w:rPr>
        <w:t>, 259, 371–393. https://doi.org/10.4000/com.6652</w:t>
      </w:r>
    </w:p>
    <w:p w14:paraId="25FBA497"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highlight w:val="yellow"/>
        </w:rPr>
        <w:t xml:space="preserve">Brown, A., </w:t>
      </w:r>
      <w:proofErr w:type="spellStart"/>
      <w:r w:rsidRPr="00D54727">
        <w:rPr>
          <w:rFonts w:ascii="Times New Roman" w:hAnsi="Times New Roman" w:cs="Times New Roman"/>
          <w:sz w:val="24"/>
          <w:szCs w:val="24"/>
          <w:highlight w:val="yellow"/>
        </w:rPr>
        <w:t>Msoka</w:t>
      </w:r>
      <w:proofErr w:type="spellEnd"/>
      <w:r w:rsidRPr="00D54727">
        <w:rPr>
          <w:rFonts w:ascii="Times New Roman" w:hAnsi="Times New Roman" w:cs="Times New Roman"/>
          <w:sz w:val="24"/>
          <w:szCs w:val="24"/>
          <w:highlight w:val="yellow"/>
        </w:rPr>
        <w:t xml:space="preserve">, C., </w:t>
      </w:r>
      <w:proofErr w:type="gramStart"/>
      <w:r w:rsidRPr="00D54727">
        <w:rPr>
          <w:rFonts w:ascii="Times New Roman" w:hAnsi="Times New Roman" w:cs="Times New Roman"/>
          <w:sz w:val="24"/>
          <w:szCs w:val="24"/>
          <w:highlight w:val="yellow"/>
        </w:rPr>
        <w:t xml:space="preserve">and  </w:t>
      </w:r>
      <w:proofErr w:type="spellStart"/>
      <w:r w:rsidRPr="00D54727">
        <w:rPr>
          <w:rFonts w:ascii="Times New Roman" w:hAnsi="Times New Roman" w:cs="Times New Roman"/>
          <w:sz w:val="24"/>
          <w:szCs w:val="24"/>
          <w:highlight w:val="yellow"/>
        </w:rPr>
        <w:t>Dankoco</w:t>
      </w:r>
      <w:proofErr w:type="spellEnd"/>
      <w:proofErr w:type="gramEnd"/>
      <w:r w:rsidRPr="00D54727">
        <w:rPr>
          <w:rFonts w:ascii="Times New Roman" w:hAnsi="Times New Roman" w:cs="Times New Roman"/>
          <w:sz w:val="24"/>
          <w:szCs w:val="24"/>
          <w:highlight w:val="yellow"/>
        </w:rPr>
        <w:t>, I. (2023). A right to the city: Informal vendors and public space in African municipalities. Routledge</w:t>
      </w:r>
    </w:p>
    <w:p w14:paraId="41E5ED94"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Budi, R. N. </w:t>
      </w:r>
      <w:r w:rsidRPr="00D54727">
        <w:rPr>
          <w:rFonts w:ascii="Times New Roman" w:hAnsi="Times New Roman" w:cs="Times New Roman"/>
          <w:sz w:val="24"/>
          <w:szCs w:val="24"/>
        </w:rPr>
        <w:t>(2021). Cameroonian Women in the Informal Petrol Trade: The Case of Bamenda City Council Area, 1980-2017. African Studies Quarterly, 20(2), 23-42.</w:t>
      </w:r>
    </w:p>
    <w:p w14:paraId="2CD80D80" w14:textId="77777777" w:rsidR="002B0B94" w:rsidRPr="00D54727" w:rsidRDefault="006B74FC" w:rsidP="00D54727">
      <w:pPr>
        <w:pStyle w:val="ListParagraph"/>
        <w:numPr>
          <w:ilvl w:val="0"/>
          <w:numId w:val="1"/>
        </w:numPr>
        <w:spacing w:line="360" w:lineRule="auto"/>
        <w:rPr>
          <w:rFonts w:ascii="Times New Roman" w:hAnsi="Times New Roman" w:cs="Times New Roman"/>
          <w:sz w:val="24"/>
          <w:szCs w:val="24"/>
        </w:rPr>
      </w:pPr>
      <w:r w:rsidRPr="00D54727">
        <w:rPr>
          <w:rFonts w:ascii="Times New Roman" w:hAnsi="Times New Roman" w:cs="Times New Roman"/>
          <w:sz w:val="24"/>
          <w:szCs w:val="24"/>
          <w:highlight w:val="yellow"/>
        </w:rPr>
        <w:t>Crossa, V., &amp; Ward, P. M. (2021). Informality and the production of public space: Critiques and possibilities</w:t>
      </w:r>
      <w:r w:rsidRPr="00D54727">
        <w:rPr>
          <w:rFonts w:ascii="Times New Roman" w:hAnsi="Times New Roman" w:cs="Times New Roman"/>
          <w:sz w:val="24"/>
          <w:szCs w:val="24"/>
          <w:highlight w:val="yellow"/>
        </w:rPr>
        <w:t>. Urban Studies, 58(11), 2201–2216. https://doi.org/10.1177/00420980211018318</w:t>
      </w:r>
    </w:p>
    <w:p w14:paraId="778AACF5" w14:textId="77777777" w:rsidR="002B0B94" w:rsidRPr="00D54727" w:rsidRDefault="006B74FC" w:rsidP="00D54727">
      <w:pPr>
        <w:pStyle w:val="ListParagraph"/>
        <w:numPr>
          <w:ilvl w:val="0"/>
          <w:numId w:val="1"/>
        </w:numPr>
        <w:spacing w:line="360" w:lineRule="auto"/>
        <w:rPr>
          <w:rFonts w:ascii="Times New Roman" w:hAnsi="Times New Roman" w:cs="Times New Roman"/>
          <w:sz w:val="24"/>
          <w:szCs w:val="24"/>
        </w:rPr>
      </w:pPr>
      <w:r w:rsidRPr="00D54727">
        <w:rPr>
          <w:rFonts w:ascii="Times New Roman" w:hAnsi="Times New Roman" w:cs="Times New Roman"/>
          <w:sz w:val="24"/>
          <w:szCs w:val="24"/>
        </w:rPr>
        <w:t>Grunskis, J., and Mankus, J. (2013). Research on the Importance of Public Spaces in Modern   European Cities. Procedia Engineering, 57, 356–361.</w:t>
      </w:r>
    </w:p>
    <w:p w14:paraId="1E1A1B75" w14:textId="77777777" w:rsidR="002B0B94" w:rsidRPr="00D54727" w:rsidRDefault="006B74FC" w:rsidP="00D54727">
      <w:pPr>
        <w:pStyle w:val="ListParagraph"/>
        <w:numPr>
          <w:ilvl w:val="0"/>
          <w:numId w:val="1"/>
        </w:numPr>
        <w:spacing w:line="360" w:lineRule="auto"/>
        <w:rPr>
          <w:rFonts w:ascii="Times New Roman" w:hAnsi="Times New Roman" w:cs="Times New Roman"/>
          <w:sz w:val="24"/>
          <w:szCs w:val="24"/>
        </w:rPr>
      </w:pPr>
      <w:proofErr w:type="spellStart"/>
      <w:r w:rsidRPr="00D54727">
        <w:rPr>
          <w:rFonts w:ascii="Times New Roman" w:hAnsi="Times New Roman" w:cs="Times New Roman"/>
          <w:sz w:val="24"/>
          <w:szCs w:val="24"/>
          <w:highlight w:val="yellow"/>
        </w:rPr>
        <w:t>Kamalipour</w:t>
      </w:r>
      <w:proofErr w:type="spellEnd"/>
      <w:r w:rsidRPr="00D54727">
        <w:rPr>
          <w:rFonts w:ascii="Times New Roman" w:hAnsi="Times New Roman" w:cs="Times New Roman"/>
          <w:sz w:val="24"/>
          <w:szCs w:val="24"/>
          <w:highlight w:val="yellow"/>
        </w:rPr>
        <w:t xml:space="preserve">, H., &amp; </w:t>
      </w:r>
      <w:proofErr w:type="spellStart"/>
      <w:r w:rsidRPr="00D54727">
        <w:rPr>
          <w:rFonts w:ascii="Times New Roman" w:hAnsi="Times New Roman" w:cs="Times New Roman"/>
          <w:sz w:val="24"/>
          <w:szCs w:val="24"/>
          <w:highlight w:val="yellow"/>
        </w:rPr>
        <w:t>Peimani</w:t>
      </w:r>
      <w:proofErr w:type="spellEnd"/>
      <w:r w:rsidRPr="00D54727">
        <w:rPr>
          <w:rFonts w:ascii="Times New Roman" w:hAnsi="Times New Roman" w:cs="Times New Roman"/>
          <w:sz w:val="24"/>
          <w:szCs w:val="24"/>
          <w:highlight w:val="yellow"/>
        </w:rPr>
        <w:t>, N. (20</w:t>
      </w:r>
      <w:r w:rsidRPr="00D54727">
        <w:rPr>
          <w:rFonts w:ascii="Times New Roman" w:hAnsi="Times New Roman" w:cs="Times New Roman"/>
          <w:sz w:val="24"/>
          <w:szCs w:val="24"/>
          <w:highlight w:val="yellow"/>
        </w:rPr>
        <w:t>25). Public space and informal urbanism in the Global South. In J. Dolley, K. Hardy, &amp; T. Matthews (Eds.), Public Space and the Sustainable Development Goals (pp. 105-114). Cheltenham: Edward Elgar Publishing. https://doi.org/10.4337/9781035322411.00014</w:t>
      </w:r>
      <w:r w:rsidRPr="00D54727">
        <w:rPr>
          <w:rFonts w:ascii="Times New Roman" w:hAnsi="Times New Roman" w:cs="Times New Roman"/>
          <w:sz w:val="24"/>
          <w:szCs w:val="24"/>
        </w:rPr>
        <w:t xml:space="preserve"> </w:t>
      </w:r>
    </w:p>
    <w:p w14:paraId="6A9C1312" w14:textId="77777777" w:rsidR="002B0B94" w:rsidRPr="00D54727" w:rsidRDefault="006B74FC" w:rsidP="00D54727">
      <w:pPr>
        <w:pStyle w:val="ListParagraph"/>
        <w:numPr>
          <w:ilvl w:val="0"/>
          <w:numId w:val="1"/>
        </w:numPr>
        <w:spacing w:line="360" w:lineRule="auto"/>
        <w:rPr>
          <w:rFonts w:ascii="Times New Roman" w:hAnsi="Times New Roman" w:cs="Times New Roman"/>
          <w:sz w:val="24"/>
          <w:szCs w:val="24"/>
        </w:rPr>
      </w:pPr>
      <w:r w:rsidRPr="00D54727">
        <w:rPr>
          <w:rFonts w:ascii="Times New Roman" w:hAnsi="Times New Roman" w:cs="Times New Roman"/>
          <w:sz w:val="24"/>
          <w:szCs w:val="24"/>
        </w:rPr>
        <w:t>I</w:t>
      </w:r>
      <w:r w:rsidRPr="00D54727">
        <w:rPr>
          <w:rFonts w:ascii="Times New Roman" w:hAnsi="Times New Roman" w:cs="Times New Roman"/>
          <w:sz w:val="24"/>
          <w:szCs w:val="24"/>
        </w:rPr>
        <w:t xml:space="preserve">rene </w:t>
      </w:r>
      <w:proofErr w:type="spellStart"/>
      <w:r w:rsidRPr="00D54727">
        <w:rPr>
          <w:rFonts w:ascii="Times New Roman" w:hAnsi="Times New Roman" w:cs="Times New Roman"/>
          <w:sz w:val="24"/>
          <w:szCs w:val="24"/>
        </w:rPr>
        <w:t>Doosuur</w:t>
      </w:r>
      <w:proofErr w:type="spellEnd"/>
      <w:r w:rsidRPr="00D54727">
        <w:rPr>
          <w:rFonts w:ascii="Times New Roman" w:hAnsi="Times New Roman" w:cs="Times New Roman"/>
          <w:sz w:val="24"/>
          <w:szCs w:val="24"/>
        </w:rPr>
        <w:t xml:space="preserve"> </w:t>
      </w:r>
      <w:proofErr w:type="spellStart"/>
      <w:r w:rsidRPr="00D54727">
        <w:rPr>
          <w:rFonts w:ascii="Times New Roman" w:hAnsi="Times New Roman" w:cs="Times New Roman"/>
          <w:sz w:val="24"/>
          <w:szCs w:val="24"/>
        </w:rPr>
        <w:t>Mngutyo</w:t>
      </w:r>
      <w:proofErr w:type="spellEnd"/>
      <w:r w:rsidRPr="00D54727">
        <w:rPr>
          <w:rFonts w:ascii="Times New Roman" w:hAnsi="Times New Roman" w:cs="Times New Roman"/>
          <w:sz w:val="24"/>
          <w:szCs w:val="24"/>
        </w:rPr>
        <w:t xml:space="preserve">. (2021) Interrogating Access to Public Space for Peace, Security and Development of African Cities. Urban and Regional Planning. Vol. 6, No. 1, 2021, pp. 26-40. </w:t>
      </w:r>
      <w:proofErr w:type="spellStart"/>
      <w:r w:rsidRPr="00D54727">
        <w:rPr>
          <w:rFonts w:ascii="Times New Roman" w:hAnsi="Times New Roman" w:cs="Times New Roman"/>
          <w:sz w:val="24"/>
          <w:szCs w:val="24"/>
        </w:rPr>
        <w:t>doi</w:t>
      </w:r>
      <w:proofErr w:type="spellEnd"/>
      <w:r w:rsidRPr="00D54727">
        <w:rPr>
          <w:rFonts w:ascii="Times New Roman" w:hAnsi="Times New Roman" w:cs="Times New Roman"/>
          <w:sz w:val="24"/>
          <w:szCs w:val="24"/>
        </w:rPr>
        <w:t>: 10.11648/j.urp.20210601.13</w:t>
      </w:r>
    </w:p>
    <w:p w14:paraId="009482E4"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Jude </w:t>
      </w:r>
      <w:proofErr w:type="spellStart"/>
      <w:r w:rsidRPr="00D54727">
        <w:rPr>
          <w:rFonts w:ascii="Times New Roman" w:hAnsi="Times New Roman" w:cs="Times New Roman"/>
          <w:sz w:val="24"/>
          <w:szCs w:val="24"/>
        </w:rPr>
        <w:t>Ndzifon</w:t>
      </w:r>
      <w:proofErr w:type="spellEnd"/>
      <w:r w:rsidRPr="00D54727">
        <w:rPr>
          <w:rFonts w:ascii="Times New Roman" w:hAnsi="Times New Roman" w:cs="Times New Roman"/>
          <w:sz w:val="24"/>
          <w:szCs w:val="24"/>
        </w:rPr>
        <w:t xml:space="preserve"> </w:t>
      </w:r>
      <w:proofErr w:type="spellStart"/>
      <w:r w:rsidRPr="00D54727">
        <w:rPr>
          <w:rFonts w:ascii="Times New Roman" w:hAnsi="Times New Roman" w:cs="Times New Roman"/>
          <w:sz w:val="24"/>
          <w:szCs w:val="24"/>
        </w:rPr>
        <w:t>Kimengsi</w:t>
      </w:r>
      <w:proofErr w:type="spellEnd"/>
      <w:r w:rsidRPr="00D54727">
        <w:rPr>
          <w:rFonts w:ascii="Times New Roman" w:hAnsi="Times New Roman" w:cs="Times New Roman"/>
          <w:sz w:val="24"/>
          <w:szCs w:val="24"/>
        </w:rPr>
        <w:t xml:space="preserve"> and </w:t>
      </w:r>
      <w:proofErr w:type="spellStart"/>
      <w:r w:rsidRPr="00D54727">
        <w:rPr>
          <w:rFonts w:ascii="Times New Roman" w:hAnsi="Times New Roman" w:cs="Times New Roman"/>
          <w:sz w:val="24"/>
          <w:szCs w:val="24"/>
        </w:rPr>
        <w:t>Zephania</w:t>
      </w:r>
      <w:proofErr w:type="spellEnd"/>
      <w:r w:rsidRPr="00D54727">
        <w:rPr>
          <w:rFonts w:ascii="Times New Roman" w:hAnsi="Times New Roman" w:cs="Times New Roman"/>
          <w:sz w:val="24"/>
          <w:szCs w:val="24"/>
        </w:rPr>
        <w:t>. (2017)</w:t>
      </w:r>
      <w:r w:rsidRPr="00D54727">
        <w:rPr>
          <w:rFonts w:ascii="Times New Roman" w:hAnsi="Times New Roman" w:cs="Times New Roman"/>
          <w:sz w:val="24"/>
          <w:szCs w:val="24"/>
        </w:rPr>
        <w:t>. Urban Green Development Planning    Opportunities and Challenges in Sub-Saharan Africa: Lessons from Bamenda City, International Journal of Global Sustainability, ISSN 1937-7924 2017, Vol. 1, No.1</w:t>
      </w:r>
    </w:p>
    <w:p w14:paraId="5C6E2723"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proofErr w:type="spellStart"/>
      <w:r w:rsidRPr="00D54727">
        <w:rPr>
          <w:rFonts w:ascii="Times New Roman" w:hAnsi="Times New Roman" w:cs="Times New Roman"/>
          <w:sz w:val="24"/>
          <w:szCs w:val="24"/>
        </w:rPr>
        <w:lastRenderedPageBreak/>
        <w:t>Mabogunje</w:t>
      </w:r>
      <w:proofErr w:type="spellEnd"/>
      <w:r w:rsidRPr="00D54727">
        <w:rPr>
          <w:rFonts w:ascii="Times New Roman" w:hAnsi="Times New Roman" w:cs="Times New Roman"/>
          <w:sz w:val="24"/>
          <w:szCs w:val="24"/>
        </w:rPr>
        <w:t xml:space="preserve">, A. L. (1993). </w:t>
      </w:r>
      <w:r w:rsidRPr="00D54727">
        <w:rPr>
          <w:rStyle w:val="Emphasis"/>
          <w:rFonts w:ascii="Times New Roman" w:hAnsi="Times New Roman" w:cs="Times New Roman"/>
          <w:sz w:val="24"/>
          <w:szCs w:val="24"/>
        </w:rPr>
        <w:t>Perspective on urban land and ur</w:t>
      </w:r>
      <w:r w:rsidRPr="00D54727">
        <w:rPr>
          <w:rStyle w:val="Emphasis"/>
          <w:rFonts w:ascii="Times New Roman" w:hAnsi="Times New Roman" w:cs="Times New Roman"/>
          <w:sz w:val="24"/>
          <w:szCs w:val="24"/>
        </w:rPr>
        <w:t>ban management policies in Sub-Saharan Africa</w:t>
      </w:r>
      <w:r w:rsidRPr="00D54727">
        <w:rPr>
          <w:rFonts w:ascii="Times New Roman" w:hAnsi="Times New Roman" w:cs="Times New Roman"/>
          <w:sz w:val="24"/>
          <w:szCs w:val="24"/>
        </w:rPr>
        <w:t>. Washington, DC: World Bank.</w:t>
      </w:r>
    </w:p>
    <w:p w14:paraId="08E06068" w14:textId="77777777" w:rsidR="002B0B94" w:rsidRPr="00D54727" w:rsidRDefault="006B74FC" w:rsidP="00D54727">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D54727">
        <w:rPr>
          <w:rFonts w:ascii="Times New Roman" w:eastAsia="Times New Roman" w:hAnsi="Times New Roman" w:cs="Times New Roman"/>
          <w:sz w:val="24"/>
          <w:szCs w:val="24"/>
          <w:lang w:val="en-US"/>
        </w:rPr>
        <w:t>Mabogunje</w:t>
      </w:r>
      <w:proofErr w:type="spellEnd"/>
      <w:r w:rsidRPr="00D54727">
        <w:rPr>
          <w:rFonts w:ascii="Times New Roman" w:eastAsia="Times New Roman" w:hAnsi="Times New Roman" w:cs="Times New Roman"/>
          <w:sz w:val="24"/>
          <w:szCs w:val="24"/>
          <w:lang w:val="en-US"/>
        </w:rPr>
        <w:t xml:space="preserve">, A.L (1968). Public space in African cities often evolves beyond its planned purpose into a livelihood arena for urban residents </w:t>
      </w:r>
    </w:p>
    <w:p w14:paraId="22DF29EF"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Marie, A. (1997). </w:t>
      </w:r>
      <w:r w:rsidRPr="00D54727">
        <w:rPr>
          <w:rStyle w:val="Emphasis"/>
          <w:rFonts w:ascii="Times New Roman" w:hAnsi="Times New Roman" w:cs="Times New Roman"/>
          <w:sz w:val="24"/>
          <w:szCs w:val="24"/>
        </w:rPr>
        <w:t xml:space="preserve">La </w:t>
      </w:r>
      <w:proofErr w:type="spellStart"/>
      <w:r w:rsidRPr="00D54727">
        <w:rPr>
          <w:rStyle w:val="Emphasis"/>
          <w:rFonts w:ascii="Times New Roman" w:hAnsi="Times New Roman" w:cs="Times New Roman"/>
          <w:sz w:val="24"/>
          <w:szCs w:val="24"/>
        </w:rPr>
        <w:t>ville</w:t>
      </w:r>
      <w:proofErr w:type="spellEnd"/>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africaine</w:t>
      </w:r>
      <w:proofErr w:type="spellEnd"/>
      <w:r w:rsidRPr="00D54727">
        <w:rPr>
          <w:rStyle w:val="Emphasis"/>
          <w:rFonts w:ascii="Times New Roman" w:hAnsi="Times New Roman" w:cs="Times New Roman"/>
          <w:sz w:val="24"/>
          <w:szCs w:val="24"/>
        </w:rPr>
        <w:t xml:space="preserve"> et </w:t>
      </w:r>
      <w:proofErr w:type="spellStart"/>
      <w:r w:rsidRPr="00D54727">
        <w:rPr>
          <w:rStyle w:val="Emphasis"/>
          <w:rFonts w:ascii="Times New Roman" w:hAnsi="Times New Roman" w:cs="Times New Roman"/>
          <w:sz w:val="24"/>
          <w:szCs w:val="24"/>
        </w:rPr>
        <w:t>ses</w:t>
      </w:r>
      <w:proofErr w:type="spellEnd"/>
      <w:r w:rsidRPr="00D54727">
        <w:rPr>
          <w:rStyle w:val="Emphasis"/>
          <w:rFonts w:ascii="Times New Roman" w:hAnsi="Times New Roman" w:cs="Times New Roman"/>
          <w:sz w:val="24"/>
          <w:szCs w:val="24"/>
        </w:rPr>
        <w:t xml:space="preserve"> mutations</w:t>
      </w:r>
      <w:r w:rsidRPr="00D54727">
        <w:rPr>
          <w:rFonts w:ascii="Times New Roman" w:hAnsi="Times New Roman" w:cs="Times New Roman"/>
          <w:sz w:val="24"/>
          <w:szCs w:val="24"/>
        </w:rPr>
        <w:t xml:space="preserve">. Paris: </w:t>
      </w:r>
      <w:proofErr w:type="spellStart"/>
      <w:r w:rsidRPr="00D54727">
        <w:rPr>
          <w:rFonts w:ascii="Times New Roman" w:hAnsi="Times New Roman" w:cs="Times New Roman"/>
          <w:sz w:val="24"/>
          <w:szCs w:val="24"/>
        </w:rPr>
        <w:t>L’Harmattan</w:t>
      </w:r>
      <w:proofErr w:type="spellEnd"/>
      <w:r w:rsidRPr="00D54727">
        <w:rPr>
          <w:rFonts w:ascii="Times New Roman" w:hAnsi="Times New Roman" w:cs="Times New Roman"/>
          <w:sz w:val="24"/>
          <w:szCs w:val="24"/>
        </w:rPr>
        <w:t>.</w:t>
      </w:r>
    </w:p>
    <w:p w14:paraId="6658797C"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highlight w:val="yellow"/>
        </w:rPr>
        <w:t xml:space="preserve">Musa Adamu </w:t>
      </w:r>
      <w:proofErr w:type="spellStart"/>
      <w:r w:rsidRPr="00D54727">
        <w:rPr>
          <w:rFonts w:ascii="Times New Roman" w:hAnsi="Times New Roman" w:cs="Times New Roman"/>
          <w:sz w:val="24"/>
          <w:szCs w:val="24"/>
          <w:highlight w:val="yellow"/>
        </w:rPr>
        <w:t>Eya</w:t>
      </w:r>
      <w:proofErr w:type="spellEnd"/>
      <w:r w:rsidRPr="00D54727">
        <w:rPr>
          <w:rFonts w:ascii="Times New Roman" w:hAnsi="Times New Roman" w:cs="Times New Roman"/>
          <w:sz w:val="24"/>
          <w:szCs w:val="24"/>
          <w:highlight w:val="yellow"/>
        </w:rPr>
        <w:t xml:space="preserve">, Gobi Krishna </w:t>
      </w:r>
      <w:proofErr w:type="spellStart"/>
      <w:proofErr w:type="gramStart"/>
      <w:r w:rsidRPr="00D54727">
        <w:rPr>
          <w:rFonts w:ascii="Times New Roman" w:hAnsi="Times New Roman" w:cs="Times New Roman"/>
          <w:sz w:val="24"/>
          <w:szCs w:val="24"/>
          <w:highlight w:val="yellow"/>
        </w:rPr>
        <w:t>Sinniah</w:t>
      </w:r>
      <w:proofErr w:type="spellEnd"/>
      <w:r w:rsidRPr="00D54727">
        <w:rPr>
          <w:rFonts w:ascii="Times New Roman" w:hAnsi="Times New Roman" w:cs="Times New Roman"/>
          <w:sz w:val="24"/>
          <w:szCs w:val="24"/>
          <w:highlight w:val="yellow"/>
        </w:rPr>
        <w:t xml:space="preserve"> ,</w:t>
      </w:r>
      <w:proofErr w:type="gramEnd"/>
      <w:r w:rsidRPr="00D54727">
        <w:rPr>
          <w:rFonts w:ascii="Times New Roman" w:hAnsi="Times New Roman" w:cs="Times New Roman"/>
          <w:sz w:val="24"/>
          <w:szCs w:val="24"/>
          <w:highlight w:val="yellow"/>
        </w:rPr>
        <w:t xml:space="preserve"> Muhammad </w:t>
      </w:r>
      <w:proofErr w:type="spellStart"/>
      <w:r w:rsidRPr="00D54727">
        <w:rPr>
          <w:rFonts w:ascii="Times New Roman" w:hAnsi="Times New Roman" w:cs="Times New Roman"/>
          <w:sz w:val="24"/>
          <w:szCs w:val="24"/>
          <w:highlight w:val="yellow"/>
        </w:rPr>
        <w:t>Zaly</w:t>
      </w:r>
      <w:proofErr w:type="spellEnd"/>
      <w:r w:rsidRPr="00D54727">
        <w:rPr>
          <w:rFonts w:ascii="Times New Roman" w:hAnsi="Times New Roman" w:cs="Times New Roman"/>
          <w:sz w:val="24"/>
          <w:szCs w:val="24"/>
          <w:highlight w:val="yellow"/>
        </w:rPr>
        <w:t xml:space="preserve"> Shah, Abdullahi Hashim. (2024). Factors Influencing Community Participation in Street Vending Business on Urban Road Corridors: A Disposition of Economic Theories and L</w:t>
      </w:r>
      <w:r w:rsidRPr="00D54727">
        <w:rPr>
          <w:rFonts w:ascii="Times New Roman" w:hAnsi="Times New Roman" w:cs="Times New Roman"/>
          <w:sz w:val="24"/>
          <w:szCs w:val="24"/>
          <w:highlight w:val="yellow"/>
        </w:rPr>
        <w:t>and Use Models. international journal of research and innovation in applied science (</w:t>
      </w:r>
      <w:proofErr w:type="spellStart"/>
      <w:r w:rsidRPr="00D54727">
        <w:rPr>
          <w:rFonts w:ascii="Times New Roman" w:hAnsi="Times New Roman" w:cs="Times New Roman"/>
          <w:sz w:val="24"/>
          <w:szCs w:val="24"/>
          <w:highlight w:val="yellow"/>
        </w:rPr>
        <w:t>ijrias</w:t>
      </w:r>
      <w:proofErr w:type="spellEnd"/>
      <w:r w:rsidRPr="00D54727">
        <w:rPr>
          <w:rFonts w:ascii="Times New Roman" w:hAnsi="Times New Roman" w:cs="Times New Roman"/>
          <w:sz w:val="24"/>
          <w:szCs w:val="24"/>
          <w:highlight w:val="yellow"/>
        </w:rPr>
        <w:t>). ISSN No. 2454-6194 | DOI: 10.51584/IJRIAS |Volume X Issue VII</w:t>
      </w:r>
    </w:p>
    <w:p w14:paraId="6B3964B5" w14:textId="00C80C9E"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highlight w:val="yellow"/>
        </w:rPr>
        <w:t xml:space="preserve">Mutandwa E, Saidi PT and Baraka Munyaka </w:t>
      </w:r>
      <w:r w:rsidR="006F523E" w:rsidRPr="00D54727">
        <w:rPr>
          <w:rFonts w:ascii="Times New Roman" w:hAnsi="Times New Roman" w:cs="Times New Roman"/>
          <w:sz w:val="24"/>
          <w:szCs w:val="24"/>
          <w:highlight w:val="yellow"/>
        </w:rPr>
        <w:t>JC. (2025)</w:t>
      </w:r>
      <w:r w:rsidRPr="00D54727">
        <w:rPr>
          <w:rFonts w:ascii="Times New Roman" w:hAnsi="Times New Roman" w:cs="Times New Roman"/>
          <w:sz w:val="24"/>
          <w:szCs w:val="24"/>
          <w:highlight w:val="yellow"/>
        </w:rPr>
        <w:t xml:space="preserve">. Assessing the Contribution of Urban Street Food </w:t>
      </w:r>
      <w:r w:rsidRPr="00D54727">
        <w:rPr>
          <w:rFonts w:ascii="Times New Roman" w:hAnsi="Times New Roman" w:cs="Times New Roman"/>
          <w:sz w:val="24"/>
          <w:szCs w:val="24"/>
          <w:highlight w:val="yellow"/>
        </w:rPr>
        <w:t xml:space="preserve">Vending to Incomes in Harare and Surrounding Areas: A Fuzzy Numbers Approach [version 1] </w:t>
      </w:r>
      <w:proofErr w:type="spellStart"/>
      <w:r w:rsidRPr="00D54727">
        <w:rPr>
          <w:rFonts w:ascii="Times New Roman" w:hAnsi="Times New Roman" w:cs="Times New Roman"/>
          <w:sz w:val="24"/>
          <w:szCs w:val="24"/>
          <w:highlight w:val="yellow"/>
        </w:rPr>
        <w:t>VeriXiv</w:t>
      </w:r>
      <w:proofErr w:type="spellEnd"/>
      <w:r w:rsidRPr="00D54727">
        <w:rPr>
          <w:rFonts w:ascii="Times New Roman" w:hAnsi="Times New Roman" w:cs="Times New Roman"/>
          <w:sz w:val="24"/>
          <w:szCs w:val="24"/>
          <w:highlight w:val="yellow"/>
        </w:rPr>
        <w:t xml:space="preserve"> 2025, 2:317 https://doi.org/10.12688/verixiv.1754.1</w:t>
      </w:r>
    </w:p>
    <w:p w14:paraId="13D96BB8"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Myers, G. A. (2011). </w:t>
      </w:r>
      <w:r w:rsidRPr="00D54727">
        <w:rPr>
          <w:rStyle w:val="Emphasis"/>
          <w:rFonts w:ascii="Times New Roman" w:hAnsi="Times New Roman" w:cs="Times New Roman"/>
          <w:sz w:val="24"/>
          <w:szCs w:val="24"/>
        </w:rPr>
        <w:t>African cities: Alternative visions of urban theory and practice</w:t>
      </w:r>
      <w:r w:rsidRPr="00D54727">
        <w:rPr>
          <w:rFonts w:ascii="Times New Roman" w:hAnsi="Times New Roman" w:cs="Times New Roman"/>
          <w:sz w:val="24"/>
          <w:szCs w:val="24"/>
        </w:rPr>
        <w:t>. London: Zed Books.</w:t>
      </w:r>
    </w:p>
    <w:p w14:paraId="17061DFB"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proofErr w:type="spellStart"/>
      <w:r w:rsidRPr="00D54727">
        <w:rPr>
          <w:rFonts w:ascii="Times New Roman" w:hAnsi="Times New Roman" w:cs="Times New Roman"/>
          <w:sz w:val="24"/>
          <w:szCs w:val="24"/>
        </w:rPr>
        <w:t>N</w:t>
      </w:r>
      <w:r w:rsidRPr="00D54727">
        <w:rPr>
          <w:rFonts w:ascii="Times New Roman" w:hAnsi="Times New Roman" w:cs="Times New Roman"/>
          <w:sz w:val="24"/>
          <w:szCs w:val="24"/>
        </w:rPr>
        <w:t>takana</w:t>
      </w:r>
      <w:proofErr w:type="spellEnd"/>
      <w:r w:rsidRPr="00D54727">
        <w:rPr>
          <w:rFonts w:ascii="Times New Roman" w:hAnsi="Times New Roman" w:cs="Times New Roman"/>
          <w:sz w:val="24"/>
          <w:szCs w:val="24"/>
        </w:rPr>
        <w:t xml:space="preserve">, K., </w:t>
      </w:r>
      <w:proofErr w:type="spellStart"/>
      <w:r w:rsidRPr="00D54727">
        <w:rPr>
          <w:rFonts w:ascii="Times New Roman" w:hAnsi="Times New Roman" w:cs="Times New Roman"/>
          <w:sz w:val="24"/>
          <w:szCs w:val="24"/>
        </w:rPr>
        <w:t>Mbanga</w:t>
      </w:r>
      <w:proofErr w:type="spellEnd"/>
      <w:r w:rsidRPr="00D54727">
        <w:rPr>
          <w:rFonts w:ascii="Times New Roman" w:hAnsi="Times New Roman" w:cs="Times New Roman"/>
          <w:sz w:val="24"/>
          <w:szCs w:val="24"/>
        </w:rPr>
        <w:t xml:space="preserve">, S., and </w:t>
      </w:r>
      <w:proofErr w:type="spellStart"/>
      <w:r w:rsidRPr="00D54727">
        <w:rPr>
          <w:rFonts w:ascii="Times New Roman" w:hAnsi="Times New Roman" w:cs="Times New Roman"/>
          <w:sz w:val="24"/>
          <w:szCs w:val="24"/>
        </w:rPr>
        <w:t>Mosiea</w:t>
      </w:r>
      <w:proofErr w:type="spellEnd"/>
      <w:r w:rsidRPr="00D54727">
        <w:rPr>
          <w:rFonts w:ascii="Times New Roman" w:hAnsi="Times New Roman" w:cs="Times New Roman"/>
          <w:sz w:val="24"/>
          <w:szCs w:val="24"/>
        </w:rPr>
        <w:t>, T. (2025). Urban public space development: themes and trends in the urban planning rhetoric. Frontiers in Built Environment, 01. DOI: 10.3389/</w:t>
      </w:r>
      <w:proofErr w:type="spellStart"/>
      <w:proofErr w:type="gramStart"/>
      <w:r w:rsidRPr="00D54727">
        <w:rPr>
          <w:rFonts w:ascii="Times New Roman" w:hAnsi="Times New Roman" w:cs="Times New Roman"/>
          <w:sz w:val="24"/>
          <w:szCs w:val="24"/>
        </w:rPr>
        <w:t>fbuil</w:t>
      </w:r>
      <w:proofErr w:type="spellEnd"/>
      <w:r w:rsidRPr="00D54727">
        <w:rPr>
          <w:rFonts w:ascii="Times New Roman" w:hAnsi="Times New Roman" w:cs="Times New Roman"/>
          <w:sz w:val="24"/>
          <w:szCs w:val="24"/>
        </w:rPr>
        <w:t>..</w:t>
      </w:r>
      <w:proofErr w:type="gramEnd"/>
      <w:r w:rsidRPr="00D54727">
        <w:rPr>
          <w:rFonts w:ascii="Times New Roman" w:hAnsi="Times New Roman" w:cs="Times New Roman"/>
          <w:sz w:val="24"/>
          <w:szCs w:val="24"/>
        </w:rPr>
        <w:t xml:space="preserve"> 2025.1456638</w:t>
      </w:r>
    </w:p>
    <w:p w14:paraId="60B8D922"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Olivier de Sardan, J.-P. (2005). </w:t>
      </w:r>
      <w:r w:rsidRPr="00D54727">
        <w:rPr>
          <w:rStyle w:val="Emphasis"/>
          <w:rFonts w:ascii="Times New Roman" w:hAnsi="Times New Roman" w:cs="Times New Roman"/>
          <w:sz w:val="24"/>
          <w:szCs w:val="24"/>
        </w:rPr>
        <w:t xml:space="preserve">Anthropologie et </w:t>
      </w:r>
      <w:proofErr w:type="spellStart"/>
      <w:r w:rsidRPr="00D54727">
        <w:rPr>
          <w:rStyle w:val="Emphasis"/>
          <w:rFonts w:ascii="Times New Roman" w:hAnsi="Times New Roman" w:cs="Times New Roman"/>
          <w:sz w:val="24"/>
          <w:szCs w:val="24"/>
        </w:rPr>
        <w:t>dévelop</w:t>
      </w:r>
      <w:r w:rsidRPr="00D54727">
        <w:rPr>
          <w:rStyle w:val="Emphasis"/>
          <w:rFonts w:ascii="Times New Roman" w:hAnsi="Times New Roman" w:cs="Times New Roman"/>
          <w:sz w:val="24"/>
          <w:szCs w:val="24"/>
        </w:rPr>
        <w:t>pement</w:t>
      </w:r>
      <w:proofErr w:type="spellEnd"/>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Essais</w:t>
      </w:r>
      <w:proofErr w:type="spellEnd"/>
      <w:r w:rsidRPr="00D54727">
        <w:rPr>
          <w:rStyle w:val="Emphasis"/>
          <w:rFonts w:ascii="Times New Roman" w:hAnsi="Times New Roman" w:cs="Times New Roman"/>
          <w:sz w:val="24"/>
          <w:szCs w:val="24"/>
        </w:rPr>
        <w:t xml:space="preserve"> </w:t>
      </w:r>
      <w:proofErr w:type="spellStart"/>
      <w:r w:rsidRPr="00D54727">
        <w:rPr>
          <w:rStyle w:val="Emphasis"/>
          <w:rFonts w:ascii="Times New Roman" w:hAnsi="Times New Roman" w:cs="Times New Roman"/>
          <w:sz w:val="24"/>
          <w:szCs w:val="24"/>
        </w:rPr>
        <w:t>en</w:t>
      </w:r>
      <w:proofErr w:type="spellEnd"/>
      <w:r w:rsidRPr="00D54727">
        <w:rPr>
          <w:rStyle w:val="Emphasis"/>
          <w:rFonts w:ascii="Times New Roman" w:hAnsi="Times New Roman" w:cs="Times New Roman"/>
          <w:sz w:val="24"/>
          <w:szCs w:val="24"/>
        </w:rPr>
        <w:t xml:space="preserve"> socio-</w:t>
      </w:r>
      <w:proofErr w:type="spellStart"/>
      <w:r w:rsidRPr="00D54727">
        <w:rPr>
          <w:rStyle w:val="Emphasis"/>
          <w:rFonts w:ascii="Times New Roman" w:hAnsi="Times New Roman" w:cs="Times New Roman"/>
          <w:sz w:val="24"/>
          <w:szCs w:val="24"/>
        </w:rPr>
        <w:t>anthropologie</w:t>
      </w:r>
      <w:proofErr w:type="spellEnd"/>
      <w:r w:rsidRPr="00D54727">
        <w:rPr>
          <w:rStyle w:val="Emphasis"/>
          <w:rFonts w:ascii="Times New Roman" w:hAnsi="Times New Roman" w:cs="Times New Roman"/>
          <w:sz w:val="24"/>
          <w:szCs w:val="24"/>
        </w:rPr>
        <w:t xml:space="preserve"> du </w:t>
      </w:r>
      <w:proofErr w:type="spellStart"/>
      <w:r w:rsidRPr="00D54727">
        <w:rPr>
          <w:rStyle w:val="Emphasis"/>
          <w:rFonts w:ascii="Times New Roman" w:hAnsi="Times New Roman" w:cs="Times New Roman"/>
          <w:sz w:val="24"/>
          <w:szCs w:val="24"/>
        </w:rPr>
        <w:t>changement</w:t>
      </w:r>
      <w:proofErr w:type="spellEnd"/>
      <w:r w:rsidRPr="00D54727">
        <w:rPr>
          <w:rStyle w:val="Emphasis"/>
          <w:rFonts w:ascii="Times New Roman" w:hAnsi="Times New Roman" w:cs="Times New Roman"/>
          <w:sz w:val="24"/>
          <w:szCs w:val="24"/>
        </w:rPr>
        <w:t xml:space="preserve"> social</w:t>
      </w:r>
      <w:r w:rsidRPr="00D54727">
        <w:rPr>
          <w:rFonts w:ascii="Times New Roman" w:hAnsi="Times New Roman" w:cs="Times New Roman"/>
          <w:sz w:val="24"/>
          <w:szCs w:val="24"/>
        </w:rPr>
        <w:t>. Paris: Karthala.</w:t>
      </w:r>
    </w:p>
    <w:p w14:paraId="2E6EDAF9"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Peimani, N., and </w:t>
      </w:r>
      <w:proofErr w:type="spellStart"/>
      <w:r w:rsidRPr="00D54727">
        <w:rPr>
          <w:rFonts w:ascii="Times New Roman" w:hAnsi="Times New Roman" w:cs="Times New Roman"/>
          <w:sz w:val="24"/>
          <w:szCs w:val="24"/>
        </w:rPr>
        <w:t>Kamalipour</w:t>
      </w:r>
      <w:proofErr w:type="spellEnd"/>
      <w:r w:rsidRPr="00D54727">
        <w:rPr>
          <w:rFonts w:ascii="Times New Roman" w:hAnsi="Times New Roman" w:cs="Times New Roman"/>
          <w:sz w:val="24"/>
          <w:szCs w:val="24"/>
        </w:rPr>
        <w:t>, H. (2024). Informal public space: Exploring street vending in Tehran. Journal of Urbanism: International Research on Placemaking and Urban Sustainabil</w:t>
      </w:r>
      <w:r w:rsidRPr="00D54727">
        <w:rPr>
          <w:rFonts w:ascii="Times New Roman" w:hAnsi="Times New Roman" w:cs="Times New Roman"/>
          <w:sz w:val="24"/>
          <w:szCs w:val="24"/>
        </w:rPr>
        <w:t xml:space="preserve">ity. </w:t>
      </w:r>
      <w:hyperlink r:id="rId15" w:history="1">
        <w:r w:rsidR="002B0B94" w:rsidRPr="00D54727">
          <w:rPr>
            <w:rStyle w:val="Hyperlink"/>
            <w:rFonts w:ascii="Times New Roman" w:hAnsi="Times New Roman" w:cs="Times New Roman"/>
            <w:sz w:val="24"/>
            <w:szCs w:val="24"/>
          </w:rPr>
          <w:t>https://doi.org/10.1080/17549175.2024.2348792</w:t>
        </w:r>
      </w:hyperlink>
    </w:p>
    <w:p w14:paraId="6DD35254"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Pieterse, E. (2008). </w:t>
      </w:r>
      <w:proofErr w:type="spellStart"/>
      <w:r w:rsidRPr="00D54727">
        <w:rPr>
          <w:rStyle w:val="Emphasis"/>
          <w:rFonts w:ascii="Times New Roman" w:hAnsi="Times New Roman" w:cs="Times New Roman"/>
          <w:sz w:val="24"/>
          <w:szCs w:val="24"/>
        </w:rPr>
        <w:t>Cityness</w:t>
      </w:r>
      <w:proofErr w:type="spellEnd"/>
      <w:r w:rsidRPr="00D54727">
        <w:rPr>
          <w:rStyle w:val="Emphasis"/>
          <w:rFonts w:ascii="Times New Roman" w:hAnsi="Times New Roman" w:cs="Times New Roman"/>
          <w:sz w:val="24"/>
          <w:szCs w:val="24"/>
        </w:rPr>
        <w:t xml:space="preserve"> in the African city: Re</w:t>
      </w:r>
      <w:r w:rsidRPr="00D54727">
        <w:rPr>
          <w:rStyle w:val="Emphasis"/>
          <w:rFonts w:ascii="Times New Roman" w:hAnsi="Times New Roman" w:cs="Times New Roman"/>
          <w:sz w:val="24"/>
          <w:szCs w:val="24"/>
        </w:rPr>
        <w:noBreakHyphen/>
        <w:t>imagining urban life</w:t>
      </w:r>
      <w:r w:rsidRPr="00D54727">
        <w:rPr>
          <w:rFonts w:ascii="Times New Roman" w:hAnsi="Times New Roman" w:cs="Times New Roman"/>
          <w:sz w:val="24"/>
          <w:szCs w:val="24"/>
        </w:rPr>
        <w:t xml:space="preserve">. </w:t>
      </w:r>
      <w:r w:rsidRPr="00D54727">
        <w:rPr>
          <w:rStyle w:val="Emphasis"/>
          <w:rFonts w:ascii="Times New Roman" w:hAnsi="Times New Roman" w:cs="Times New Roman"/>
          <w:sz w:val="24"/>
          <w:szCs w:val="24"/>
        </w:rPr>
        <w:t>Urban Studies</w:t>
      </w:r>
      <w:r w:rsidRPr="00D54727">
        <w:rPr>
          <w:rFonts w:ascii="Times New Roman" w:hAnsi="Times New Roman" w:cs="Times New Roman"/>
          <w:sz w:val="24"/>
          <w:szCs w:val="24"/>
        </w:rPr>
        <w:t>, 45(3), 556–570.</w:t>
      </w:r>
    </w:p>
    <w:p w14:paraId="5F0A527B"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proofErr w:type="spellStart"/>
      <w:r w:rsidRPr="00D54727">
        <w:rPr>
          <w:rFonts w:ascii="Times New Roman" w:hAnsi="Times New Roman" w:cs="Times New Roman"/>
          <w:sz w:val="24"/>
          <w:szCs w:val="24"/>
        </w:rPr>
        <w:t>Plissart</w:t>
      </w:r>
      <w:proofErr w:type="spellEnd"/>
      <w:r w:rsidRPr="00D54727">
        <w:rPr>
          <w:rFonts w:ascii="Times New Roman" w:hAnsi="Times New Roman" w:cs="Times New Roman"/>
          <w:sz w:val="24"/>
          <w:szCs w:val="24"/>
        </w:rPr>
        <w:t xml:space="preserve">, R. (2004). </w:t>
      </w:r>
      <w:r w:rsidRPr="00D54727">
        <w:rPr>
          <w:rStyle w:val="Emphasis"/>
          <w:rFonts w:ascii="Times New Roman" w:hAnsi="Times New Roman" w:cs="Times New Roman"/>
          <w:sz w:val="24"/>
          <w:szCs w:val="24"/>
        </w:rPr>
        <w:t xml:space="preserve">Kinshasa: The </w:t>
      </w:r>
      <w:r w:rsidRPr="00D54727">
        <w:rPr>
          <w:rStyle w:val="Emphasis"/>
          <w:rFonts w:ascii="Times New Roman" w:hAnsi="Times New Roman" w:cs="Times New Roman"/>
          <w:sz w:val="24"/>
          <w:szCs w:val="24"/>
        </w:rPr>
        <w:t>imaginary city</w:t>
      </w:r>
      <w:r w:rsidRPr="00D54727">
        <w:rPr>
          <w:rFonts w:ascii="Times New Roman" w:hAnsi="Times New Roman" w:cs="Times New Roman"/>
          <w:sz w:val="24"/>
          <w:szCs w:val="24"/>
        </w:rPr>
        <w:t>. Brussels: Fonds Mercator</w:t>
      </w:r>
    </w:p>
    <w:p w14:paraId="2A0B1D2A"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Simo Bobda, A. (2001). English in the Cameroon territory: Its development and education. Peter Lang.</w:t>
      </w:r>
    </w:p>
    <w:p w14:paraId="076A9DFE"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Sourav Zaman1 and </w:t>
      </w:r>
      <w:proofErr w:type="spellStart"/>
      <w:r w:rsidRPr="00D54727">
        <w:rPr>
          <w:rFonts w:ascii="Times New Roman" w:hAnsi="Times New Roman" w:cs="Times New Roman"/>
          <w:sz w:val="24"/>
          <w:szCs w:val="24"/>
        </w:rPr>
        <w:t>Nafia</w:t>
      </w:r>
      <w:proofErr w:type="spellEnd"/>
      <w:r w:rsidRPr="00D54727">
        <w:rPr>
          <w:rFonts w:ascii="Times New Roman" w:hAnsi="Times New Roman" w:cs="Times New Roman"/>
          <w:sz w:val="24"/>
          <w:szCs w:val="24"/>
        </w:rPr>
        <w:t xml:space="preserve"> </w:t>
      </w:r>
      <w:proofErr w:type="spellStart"/>
      <w:r w:rsidRPr="00D54727">
        <w:rPr>
          <w:rFonts w:ascii="Times New Roman" w:hAnsi="Times New Roman" w:cs="Times New Roman"/>
          <w:sz w:val="24"/>
          <w:szCs w:val="24"/>
        </w:rPr>
        <w:t>Nawreen</w:t>
      </w:r>
      <w:proofErr w:type="spellEnd"/>
      <w:r w:rsidRPr="00D54727">
        <w:rPr>
          <w:rFonts w:ascii="Times New Roman" w:hAnsi="Times New Roman" w:cs="Times New Roman"/>
          <w:sz w:val="24"/>
          <w:szCs w:val="24"/>
        </w:rPr>
        <w:t xml:space="preserve"> Ahmed (2023). The Impact of Street Vendors on Social Sustainability of Public Plac</w:t>
      </w:r>
      <w:r w:rsidRPr="00D54727">
        <w:rPr>
          <w:rFonts w:ascii="Times New Roman" w:hAnsi="Times New Roman" w:cs="Times New Roman"/>
          <w:sz w:val="24"/>
          <w:szCs w:val="24"/>
        </w:rPr>
        <w:t>es: The Case of Khulna City in Bangladesh, Department of Architecture, Northern University of Business and Technology, ISVS e-journal, Vol. 10, Issue 3.</w:t>
      </w:r>
    </w:p>
    <w:p w14:paraId="203BC290"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Street Hawking and Urban Disorder in Bamenda II Subdivision, Northwest Region of Cameroon. (2025). Rese</w:t>
      </w:r>
      <w:r w:rsidRPr="00D54727">
        <w:rPr>
          <w:rFonts w:ascii="Times New Roman" w:hAnsi="Times New Roman" w:cs="Times New Roman"/>
          <w:sz w:val="24"/>
          <w:szCs w:val="24"/>
        </w:rPr>
        <w:t>arch Guru.</w:t>
      </w:r>
    </w:p>
    <w:p w14:paraId="2FA3C503"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lastRenderedPageBreak/>
        <w:t>UN-HABITAT (2017). Improving Public Space Worldwide Over: Hanoi, Vietnam © Love Strandell/Katla Studios</w:t>
      </w:r>
    </w:p>
    <w:p w14:paraId="38C9CE7F"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r w:rsidRPr="00D54727">
        <w:rPr>
          <w:rFonts w:ascii="Times New Roman" w:hAnsi="Times New Roman" w:cs="Times New Roman"/>
          <w:sz w:val="24"/>
          <w:szCs w:val="24"/>
        </w:rPr>
        <w:t xml:space="preserve">Watson, V. (2009). The planned city sweeps the poor away: Urban planning and 21st century African cities. </w:t>
      </w:r>
      <w:r w:rsidRPr="00D54727">
        <w:rPr>
          <w:rStyle w:val="Emphasis"/>
          <w:rFonts w:ascii="Times New Roman" w:hAnsi="Times New Roman" w:cs="Times New Roman"/>
          <w:sz w:val="24"/>
          <w:szCs w:val="24"/>
        </w:rPr>
        <w:t>Progress in Planning</w:t>
      </w:r>
      <w:r w:rsidRPr="00D54727">
        <w:rPr>
          <w:rFonts w:ascii="Times New Roman" w:hAnsi="Times New Roman" w:cs="Times New Roman"/>
          <w:sz w:val="24"/>
          <w:szCs w:val="24"/>
        </w:rPr>
        <w:t>, 72(3), 151–19</w:t>
      </w:r>
      <w:r w:rsidRPr="00D54727">
        <w:rPr>
          <w:rFonts w:ascii="Times New Roman" w:hAnsi="Times New Roman" w:cs="Times New Roman"/>
          <w:sz w:val="24"/>
          <w:szCs w:val="24"/>
        </w:rPr>
        <w:t>3</w:t>
      </w:r>
    </w:p>
    <w:p w14:paraId="31039FC6" w14:textId="77777777" w:rsidR="002B0B94" w:rsidRPr="00D54727" w:rsidRDefault="006B74FC" w:rsidP="00D54727">
      <w:pPr>
        <w:pStyle w:val="ListParagraph"/>
        <w:numPr>
          <w:ilvl w:val="0"/>
          <w:numId w:val="1"/>
        </w:numPr>
        <w:spacing w:line="360" w:lineRule="auto"/>
        <w:jc w:val="both"/>
        <w:rPr>
          <w:rFonts w:ascii="Times New Roman" w:hAnsi="Times New Roman" w:cs="Times New Roman"/>
          <w:sz w:val="24"/>
          <w:szCs w:val="24"/>
        </w:rPr>
      </w:pPr>
      <w:proofErr w:type="spellStart"/>
      <w:r w:rsidRPr="00D54727">
        <w:rPr>
          <w:rFonts w:ascii="Times New Roman" w:hAnsi="Times New Roman" w:cs="Times New Roman"/>
          <w:sz w:val="24"/>
          <w:szCs w:val="24"/>
        </w:rPr>
        <w:t>Yemmafouo</w:t>
      </w:r>
      <w:proofErr w:type="spellEnd"/>
      <w:r w:rsidRPr="00D54727">
        <w:rPr>
          <w:rFonts w:ascii="Times New Roman" w:hAnsi="Times New Roman" w:cs="Times New Roman"/>
          <w:sz w:val="24"/>
          <w:szCs w:val="24"/>
        </w:rPr>
        <w:t xml:space="preserve">, A. (2018). Street Vending Power Relationships and Governance of Public Spaces in </w:t>
      </w:r>
      <w:proofErr w:type="spellStart"/>
      <w:r w:rsidRPr="00D54727">
        <w:rPr>
          <w:rFonts w:ascii="Times New Roman" w:hAnsi="Times New Roman" w:cs="Times New Roman"/>
          <w:sz w:val="24"/>
          <w:szCs w:val="24"/>
        </w:rPr>
        <w:t>Bafoussam</w:t>
      </w:r>
      <w:proofErr w:type="spellEnd"/>
      <w:r w:rsidRPr="00D54727">
        <w:rPr>
          <w:rFonts w:ascii="Times New Roman" w:hAnsi="Times New Roman" w:cs="Times New Roman"/>
          <w:sz w:val="24"/>
          <w:szCs w:val="24"/>
        </w:rPr>
        <w:t xml:space="preserve">, West Cameroon. Current Urban Studies, 6, 611-629. </w:t>
      </w:r>
      <w:hyperlink r:id="rId16" w:history="1">
        <w:r w:rsidR="002B0B94" w:rsidRPr="00D54727">
          <w:rPr>
            <w:rStyle w:val="Hyperlink"/>
            <w:rFonts w:ascii="Times New Roman" w:hAnsi="Times New Roman" w:cs="Times New Roman"/>
            <w:sz w:val="24"/>
            <w:szCs w:val="24"/>
          </w:rPr>
          <w:t>https://doi.org/10.4236/cus.2018.64032</w:t>
        </w:r>
      </w:hyperlink>
    </w:p>
    <w:bookmarkEnd w:id="5"/>
    <w:p w14:paraId="73154D43" w14:textId="77777777" w:rsidR="002B0B94" w:rsidRDefault="002B0B94"/>
    <w:sectPr w:rsidR="002B0B94" w:rsidSect="00B333A7">
      <w:headerReference w:type="even" r:id="rId17"/>
      <w:headerReference w:type="default" r:id="rId18"/>
      <w:footerReference w:type="even" r:id="rId19"/>
      <w:footerReference w:type="default" r:id="rId20"/>
      <w:headerReference w:type="first" r:id="rId21"/>
      <w:footerReference w:type="first" r:id="rId22"/>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F9016" w14:textId="77777777" w:rsidR="006B74FC" w:rsidRDefault="006B74FC">
      <w:pPr>
        <w:spacing w:line="240" w:lineRule="auto"/>
      </w:pPr>
      <w:r>
        <w:separator/>
      </w:r>
    </w:p>
  </w:endnote>
  <w:endnote w:type="continuationSeparator" w:id="0">
    <w:p w14:paraId="4B17C5B2" w14:textId="77777777" w:rsidR="006B74FC" w:rsidRDefault="006B7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EABC" w14:textId="77777777" w:rsidR="002B0B94" w:rsidRDefault="002B0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2738"/>
      <w:docPartObj>
        <w:docPartGallery w:val="AutoText"/>
      </w:docPartObj>
    </w:sdtPr>
    <w:sdtEndPr/>
    <w:sdtContent>
      <w:p w14:paraId="7B0294E4" w14:textId="77777777" w:rsidR="002B0B94" w:rsidRDefault="006B74FC">
        <w:pPr>
          <w:pStyle w:val="Footer"/>
          <w:jc w:val="right"/>
        </w:pPr>
        <w:r>
          <w:fldChar w:fldCharType="begin"/>
        </w:r>
        <w:r>
          <w:instrText xml:space="preserve"> PAGE   \* MERGEFORMAT </w:instrText>
        </w:r>
        <w:r>
          <w:fldChar w:fldCharType="separate"/>
        </w:r>
        <w:r>
          <w:t>2</w:t>
        </w:r>
        <w:r>
          <w:fldChar w:fldCharType="end"/>
        </w:r>
      </w:p>
    </w:sdtContent>
  </w:sdt>
  <w:p w14:paraId="2D16F267" w14:textId="77777777" w:rsidR="002B0B94" w:rsidRDefault="002B0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87D5" w14:textId="77777777" w:rsidR="002B0B94" w:rsidRDefault="002B0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5F2EF" w14:textId="77777777" w:rsidR="006B74FC" w:rsidRDefault="006B74FC">
      <w:pPr>
        <w:spacing w:after="0"/>
      </w:pPr>
      <w:r>
        <w:separator/>
      </w:r>
    </w:p>
  </w:footnote>
  <w:footnote w:type="continuationSeparator" w:id="0">
    <w:p w14:paraId="556CD13D" w14:textId="77777777" w:rsidR="006B74FC" w:rsidRDefault="006B74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1657" w14:textId="77777777" w:rsidR="002B0B94" w:rsidRDefault="006B74FC">
    <w:pPr>
      <w:pStyle w:val="Header"/>
    </w:pPr>
    <w:r>
      <w:pict w14:anchorId="1E598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60" o:spid="_x0000_s2050" type="#_x0000_t136" style="position:absolute;margin-left:0;margin-top:0;width:535.8pt;height:100.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F0A" w14:textId="77777777" w:rsidR="002B0B94" w:rsidRDefault="006B74FC">
    <w:pPr>
      <w:pStyle w:val="Header"/>
    </w:pPr>
    <w:r>
      <w:pict w14:anchorId="6B88A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61" o:spid="_x0000_s2051"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BF3D" w14:textId="77777777" w:rsidR="002B0B94" w:rsidRDefault="006B74FC">
    <w:pPr>
      <w:pStyle w:val="Header"/>
    </w:pPr>
    <w:r>
      <w:pict w14:anchorId="74850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87359"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5C3260"/>
    <w:multiLevelType w:val="hybridMultilevel"/>
    <w:tmpl w:val="A10CC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749"/>
    <w:rsid w:val="00001B85"/>
    <w:rsid w:val="000136C5"/>
    <w:rsid w:val="000258D6"/>
    <w:rsid w:val="000362AC"/>
    <w:rsid w:val="00037DDA"/>
    <w:rsid w:val="0004112B"/>
    <w:rsid w:val="000421D2"/>
    <w:rsid w:val="00097760"/>
    <w:rsid w:val="000A1487"/>
    <w:rsid w:val="000D6E6B"/>
    <w:rsid w:val="001046C4"/>
    <w:rsid w:val="0013655A"/>
    <w:rsid w:val="001444DF"/>
    <w:rsid w:val="001F5DEA"/>
    <w:rsid w:val="0021185C"/>
    <w:rsid w:val="00214E2E"/>
    <w:rsid w:val="00242224"/>
    <w:rsid w:val="00243749"/>
    <w:rsid w:val="002A043E"/>
    <w:rsid w:val="002B0B94"/>
    <w:rsid w:val="002B43E0"/>
    <w:rsid w:val="002B634C"/>
    <w:rsid w:val="002E6050"/>
    <w:rsid w:val="002F37BE"/>
    <w:rsid w:val="002F78AE"/>
    <w:rsid w:val="0032277B"/>
    <w:rsid w:val="00324465"/>
    <w:rsid w:val="003323B8"/>
    <w:rsid w:val="0034517B"/>
    <w:rsid w:val="0035431E"/>
    <w:rsid w:val="00374A4F"/>
    <w:rsid w:val="003769C6"/>
    <w:rsid w:val="00382000"/>
    <w:rsid w:val="0038532C"/>
    <w:rsid w:val="00386D2B"/>
    <w:rsid w:val="0039254E"/>
    <w:rsid w:val="003C6607"/>
    <w:rsid w:val="003D7B81"/>
    <w:rsid w:val="003F6F2B"/>
    <w:rsid w:val="00403773"/>
    <w:rsid w:val="00405074"/>
    <w:rsid w:val="00416540"/>
    <w:rsid w:val="0042353F"/>
    <w:rsid w:val="00426211"/>
    <w:rsid w:val="0044777A"/>
    <w:rsid w:val="00451E7E"/>
    <w:rsid w:val="00482153"/>
    <w:rsid w:val="004A649A"/>
    <w:rsid w:val="004B2E07"/>
    <w:rsid w:val="004C6A05"/>
    <w:rsid w:val="00500CB9"/>
    <w:rsid w:val="00502164"/>
    <w:rsid w:val="00502573"/>
    <w:rsid w:val="0054540C"/>
    <w:rsid w:val="005500E7"/>
    <w:rsid w:val="0055724D"/>
    <w:rsid w:val="00560BB0"/>
    <w:rsid w:val="00583CF8"/>
    <w:rsid w:val="005B57F3"/>
    <w:rsid w:val="005B703E"/>
    <w:rsid w:val="005D5814"/>
    <w:rsid w:val="005E186F"/>
    <w:rsid w:val="005E7A4F"/>
    <w:rsid w:val="006062BA"/>
    <w:rsid w:val="00650B02"/>
    <w:rsid w:val="00654C81"/>
    <w:rsid w:val="006640B5"/>
    <w:rsid w:val="0066721B"/>
    <w:rsid w:val="00686DF7"/>
    <w:rsid w:val="006B2B7A"/>
    <w:rsid w:val="006B3AF2"/>
    <w:rsid w:val="006B74FC"/>
    <w:rsid w:val="006E13DA"/>
    <w:rsid w:val="006F523E"/>
    <w:rsid w:val="00722409"/>
    <w:rsid w:val="00730342"/>
    <w:rsid w:val="00756E46"/>
    <w:rsid w:val="0075706E"/>
    <w:rsid w:val="00761B0C"/>
    <w:rsid w:val="007627F2"/>
    <w:rsid w:val="00765FFD"/>
    <w:rsid w:val="0077001E"/>
    <w:rsid w:val="00793FD1"/>
    <w:rsid w:val="007A4967"/>
    <w:rsid w:val="00801E95"/>
    <w:rsid w:val="0083218C"/>
    <w:rsid w:val="00862925"/>
    <w:rsid w:val="00876D7A"/>
    <w:rsid w:val="00880057"/>
    <w:rsid w:val="008D74B6"/>
    <w:rsid w:val="008E341C"/>
    <w:rsid w:val="008F13BB"/>
    <w:rsid w:val="008F60A2"/>
    <w:rsid w:val="009061FF"/>
    <w:rsid w:val="00926D4C"/>
    <w:rsid w:val="009338CD"/>
    <w:rsid w:val="00933A42"/>
    <w:rsid w:val="00965EAD"/>
    <w:rsid w:val="009672E8"/>
    <w:rsid w:val="00983E00"/>
    <w:rsid w:val="0099575F"/>
    <w:rsid w:val="009A1C1F"/>
    <w:rsid w:val="009A45EE"/>
    <w:rsid w:val="009D01F9"/>
    <w:rsid w:val="009E63BF"/>
    <w:rsid w:val="00A17865"/>
    <w:rsid w:val="00A21E92"/>
    <w:rsid w:val="00A30A9E"/>
    <w:rsid w:val="00A42AC6"/>
    <w:rsid w:val="00A42F46"/>
    <w:rsid w:val="00A45693"/>
    <w:rsid w:val="00A45DA2"/>
    <w:rsid w:val="00A46738"/>
    <w:rsid w:val="00A75DEC"/>
    <w:rsid w:val="00A82B0A"/>
    <w:rsid w:val="00A83371"/>
    <w:rsid w:val="00A87C56"/>
    <w:rsid w:val="00AD3C58"/>
    <w:rsid w:val="00AF0A48"/>
    <w:rsid w:val="00AF3C69"/>
    <w:rsid w:val="00B074C5"/>
    <w:rsid w:val="00B27AB7"/>
    <w:rsid w:val="00B327E1"/>
    <w:rsid w:val="00B333A7"/>
    <w:rsid w:val="00B71674"/>
    <w:rsid w:val="00B765BA"/>
    <w:rsid w:val="00B807B0"/>
    <w:rsid w:val="00BB7D96"/>
    <w:rsid w:val="00BC4BB7"/>
    <w:rsid w:val="00BD4ED1"/>
    <w:rsid w:val="00BE009B"/>
    <w:rsid w:val="00BE3519"/>
    <w:rsid w:val="00BE45C3"/>
    <w:rsid w:val="00BF788C"/>
    <w:rsid w:val="00C02DD3"/>
    <w:rsid w:val="00C13C1C"/>
    <w:rsid w:val="00C13E3C"/>
    <w:rsid w:val="00C30EFD"/>
    <w:rsid w:val="00C616E1"/>
    <w:rsid w:val="00C82EF8"/>
    <w:rsid w:val="00CD3781"/>
    <w:rsid w:val="00CF3A1B"/>
    <w:rsid w:val="00CF47E7"/>
    <w:rsid w:val="00CF5CC7"/>
    <w:rsid w:val="00D40C25"/>
    <w:rsid w:val="00D54727"/>
    <w:rsid w:val="00D5564F"/>
    <w:rsid w:val="00D72364"/>
    <w:rsid w:val="00DA2672"/>
    <w:rsid w:val="00DD520B"/>
    <w:rsid w:val="00DF0F1D"/>
    <w:rsid w:val="00E04F1A"/>
    <w:rsid w:val="00E07648"/>
    <w:rsid w:val="00E16FF5"/>
    <w:rsid w:val="00E54FD0"/>
    <w:rsid w:val="00E868F2"/>
    <w:rsid w:val="00EB2F11"/>
    <w:rsid w:val="00EF0F22"/>
    <w:rsid w:val="00F03599"/>
    <w:rsid w:val="00F03872"/>
    <w:rsid w:val="00F1486B"/>
    <w:rsid w:val="00F21938"/>
    <w:rsid w:val="00F353AB"/>
    <w:rsid w:val="00F57A6D"/>
    <w:rsid w:val="00F60F15"/>
    <w:rsid w:val="00F65ED2"/>
    <w:rsid w:val="00F92FAF"/>
    <w:rsid w:val="00FB44C9"/>
    <w:rsid w:val="00FB5426"/>
    <w:rsid w:val="00FD2301"/>
    <w:rsid w:val="00FF0BAD"/>
    <w:rsid w:val="00FF684D"/>
    <w:rsid w:val="19311A5E"/>
    <w:rsid w:val="3167532C"/>
    <w:rsid w:val="45C86E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EC7DEF"/>
  <w15:docId w15:val="{61F40948-36DF-4E3C-8FA6-3BB38260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40" w:line="360" w:lineRule="auto"/>
      <w:jc w:val="both"/>
    </w:pPr>
    <w:rPr>
      <w:rFonts w:ascii="Times New Roman" w:eastAsia="Times New Roman" w:hAnsi="Times New Roman" w:cs="Times New Roman"/>
      <w:b/>
      <w:iCs/>
      <w:sz w:val="26"/>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after="150" w:line="360" w:lineRule="auto"/>
      <w:jc w:val="both"/>
    </w:pPr>
    <w:rPr>
      <w:rFonts w:ascii="Times New Roman" w:eastAsia="Times New Roman" w:hAnsi="Times New Roman" w:cs="Times New Roman"/>
      <w:sz w:val="26"/>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fontstyle01">
    <w:name w:val="fontstyle01"/>
    <w:rPr>
      <w:rFonts w:ascii="TimesNewRomanPSMT" w:hAnsi="TimesNewRomanPSMT" w:cs="TimesNewRomanPSMT"/>
      <w:color w:val="000000"/>
      <w:sz w:val="20"/>
      <w:szCs w:val="20"/>
    </w:rPr>
  </w:style>
  <w:style w:type="paragraph" w:styleId="NoSpacing">
    <w:name w:val="No Spacing"/>
    <w:uiPriority w:val="1"/>
    <w:qFormat/>
    <w:pPr>
      <w:spacing w:line="360" w:lineRule="auto"/>
      <w:jc w:val="both"/>
    </w:pPr>
    <w:rPr>
      <w:rFonts w:asciiTheme="minorHAnsi" w:eastAsiaTheme="minorHAnsi" w:hAnsiTheme="minorHAnsi" w:cstheme="minorBidi"/>
      <w:sz w:val="22"/>
      <w:szCs w:val="22"/>
      <w:lang w:eastAsia="en-US"/>
    </w:rPr>
  </w:style>
  <w:style w:type="character" w:customStyle="1" w:styleId="BalloonTextChar">
    <w:name w:val="Balloon Text Char"/>
    <w:basedOn w:val="DefaultParagraphFont"/>
    <w:link w:val="BalloonText"/>
    <w:uiPriority w:val="99"/>
    <w:semiHidden/>
    <w:rPr>
      <w:rFonts w:ascii="Segoe UI" w:hAnsi="Segoe UI" w:cs="Segoe UI"/>
      <w:kern w:val="0"/>
      <w:sz w:val="18"/>
      <w:szCs w:val="18"/>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gd">
    <w:name w:val="gd"/>
  </w:style>
  <w:style w:type="paragraph" w:customStyle="1" w:styleId="Contenudecadre">
    <w:name w:val="Contenu de cadre"/>
    <w:basedOn w:val="Normal"/>
    <w:pPr>
      <w:suppressAutoHyphens/>
      <w:spacing w:after="0" w:line="360" w:lineRule="auto"/>
      <w:jc w:val="both"/>
    </w:pPr>
    <w:rPr>
      <w:rFonts w:ascii="Times New Roman" w:eastAsia="Calibri" w:hAnsi="Times New Roman" w:cs="Times New Roman"/>
      <w:sz w:val="24"/>
      <w:lang w:val="en-US" w:eastAsia="zh-CN"/>
    </w:rPr>
  </w:style>
  <w:style w:type="table" w:customStyle="1" w:styleId="TableGrid1">
    <w:name w:val="Table Grid1"/>
    <w:basedOn w:val="TableNormal"/>
    <w:uiPriority w:val="5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kern w:val="0"/>
      <w:sz w:val="22"/>
      <w:szCs w:val="22"/>
      <w14:ligatures w14:val="none"/>
    </w:rPr>
  </w:style>
  <w:style w:type="character" w:customStyle="1" w:styleId="FooterChar">
    <w:name w:val="Footer Char"/>
    <w:basedOn w:val="DefaultParagraphFont"/>
    <w:link w:val="Footer"/>
    <w:uiPriority w:val="99"/>
    <w:rPr>
      <w:kern w:val="0"/>
      <w:sz w:val="22"/>
      <w:szCs w:val="22"/>
      <w14:ligatures w14:val="none"/>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4236/cus.2018.6403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17549175.2024.2348792"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r%20MOFOR\BELINDA_DOCS\DATA_PhD\Classeur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Feuil1!$D$20</c:f>
              <c:strCache>
                <c:ptCount val="1"/>
                <c:pt idx="0">
                  <c:v>Frequency</c:v>
                </c:pt>
              </c:strCache>
            </c:strRef>
          </c:tx>
          <c:spPr>
            <a:solidFill>
              <a:schemeClr val="accent1"/>
            </a:solidFill>
            <a:ln>
              <a:noFill/>
            </a:ln>
            <a:effectLst/>
          </c:spPr>
          <c:invertIfNegative val="0"/>
          <c:cat>
            <c:strRef>
              <c:f>Feuil1!$B$21:$C$31</c:f>
              <c:strCache>
                <c:ptCount val="11"/>
                <c:pt idx="0">
                  <c:v>Clandestine Motor stops</c:v>
                </c:pt>
                <c:pt idx="1">
                  <c:v>Sports field</c:v>
                </c:pt>
                <c:pt idx="2">
                  <c:v>Market</c:v>
                </c:pt>
                <c:pt idx="3">
                  <c:v>parking lots</c:v>
                </c:pt>
                <c:pt idx="4">
                  <c:v>Side walk</c:v>
                </c:pt>
                <c:pt idx="5">
                  <c:v>Green space</c:v>
                </c:pt>
                <c:pt idx="6">
                  <c:v>Playground</c:v>
                </c:pt>
                <c:pt idx="7">
                  <c:v>Road</c:v>
                </c:pt>
                <c:pt idx="8">
                  <c:v>Roadside</c:v>
                </c:pt>
                <c:pt idx="9">
                  <c:v>Others</c:v>
                </c:pt>
                <c:pt idx="10">
                  <c:v>Street</c:v>
                </c:pt>
              </c:strCache>
            </c:strRef>
          </c:cat>
          <c:val>
            <c:numRef>
              <c:f>Feuil1!$D$21:$D$31</c:f>
              <c:numCache>
                <c:formatCode>General</c:formatCode>
                <c:ptCount val="11"/>
                <c:pt idx="0">
                  <c:v>9</c:v>
                </c:pt>
                <c:pt idx="1">
                  <c:v>6</c:v>
                </c:pt>
                <c:pt idx="2">
                  <c:v>44</c:v>
                </c:pt>
                <c:pt idx="3">
                  <c:v>25</c:v>
                </c:pt>
                <c:pt idx="4">
                  <c:v>10</c:v>
                </c:pt>
                <c:pt idx="5">
                  <c:v>9</c:v>
                </c:pt>
                <c:pt idx="6">
                  <c:v>11</c:v>
                </c:pt>
                <c:pt idx="7">
                  <c:v>18</c:v>
                </c:pt>
                <c:pt idx="8">
                  <c:v>29</c:v>
                </c:pt>
                <c:pt idx="9">
                  <c:v>2</c:v>
                </c:pt>
                <c:pt idx="10">
                  <c:v>7</c:v>
                </c:pt>
              </c:numCache>
            </c:numRef>
          </c:val>
          <c:extLst>
            <c:ext xmlns:c16="http://schemas.microsoft.com/office/drawing/2014/chart" uri="{C3380CC4-5D6E-409C-BE32-E72D297353CC}">
              <c16:uniqueId val="{00000000-6711-4882-ABA2-CF6B541FC208}"/>
            </c:ext>
          </c:extLst>
        </c:ser>
        <c:ser>
          <c:idx val="1"/>
          <c:order val="1"/>
          <c:tx>
            <c:strRef>
              <c:f>Feuil1!$E$20</c:f>
              <c:strCache>
                <c:ptCount val="1"/>
                <c:pt idx="0">
                  <c:v>Percent</c:v>
                </c:pt>
              </c:strCache>
            </c:strRef>
          </c:tx>
          <c:spPr>
            <a:solidFill>
              <a:schemeClr val="accent2"/>
            </a:solidFill>
            <a:ln>
              <a:noFill/>
            </a:ln>
            <a:effectLst/>
          </c:spPr>
          <c:invertIfNegative val="0"/>
          <c:cat>
            <c:strRef>
              <c:f>Feuil1!$B$21:$C$31</c:f>
              <c:strCache>
                <c:ptCount val="11"/>
                <c:pt idx="0">
                  <c:v>Clandestine Motor stops</c:v>
                </c:pt>
                <c:pt idx="1">
                  <c:v>Sports field</c:v>
                </c:pt>
                <c:pt idx="2">
                  <c:v>Market</c:v>
                </c:pt>
                <c:pt idx="3">
                  <c:v>parking lots</c:v>
                </c:pt>
                <c:pt idx="4">
                  <c:v>Side walk</c:v>
                </c:pt>
                <c:pt idx="5">
                  <c:v>Green space</c:v>
                </c:pt>
                <c:pt idx="6">
                  <c:v>Playground</c:v>
                </c:pt>
                <c:pt idx="7">
                  <c:v>Road</c:v>
                </c:pt>
                <c:pt idx="8">
                  <c:v>Roadside</c:v>
                </c:pt>
                <c:pt idx="9">
                  <c:v>Others</c:v>
                </c:pt>
                <c:pt idx="10">
                  <c:v>Street</c:v>
                </c:pt>
              </c:strCache>
            </c:strRef>
          </c:cat>
          <c:val>
            <c:numRef>
              <c:f>Feuil1!$E$21:$E$31</c:f>
              <c:numCache>
                <c:formatCode>General</c:formatCode>
                <c:ptCount val="11"/>
                <c:pt idx="0">
                  <c:v>5.3</c:v>
                </c:pt>
                <c:pt idx="1">
                  <c:v>3.5</c:v>
                </c:pt>
                <c:pt idx="2">
                  <c:v>25.9</c:v>
                </c:pt>
                <c:pt idx="3">
                  <c:v>14.7</c:v>
                </c:pt>
                <c:pt idx="4">
                  <c:v>5.9</c:v>
                </c:pt>
                <c:pt idx="5">
                  <c:v>5.3</c:v>
                </c:pt>
                <c:pt idx="6">
                  <c:v>6.5</c:v>
                </c:pt>
                <c:pt idx="7">
                  <c:v>10.6</c:v>
                </c:pt>
                <c:pt idx="8">
                  <c:v>17.100000000000001</c:v>
                </c:pt>
                <c:pt idx="9">
                  <c:v>1.2</c:v>
                </c:pt>
                <c:pt idx="10">
                  <c:v>4.0999999999999996</c:v>
                </c:pt>
              </c:numCache>
            </c:numRef>
          </c:val>
          <c:extLst>
            <c:ext xmlns:c16="http://schemas.microsoft.com/office/drawing/2014/chart" uri="{C3380CC4-5D6E-409C-BE32-E72D297353CC}">
              <c16:uniqueId val="{00000001-6711-4882-ABA2-CF6B541FC208}"/>
            </c:ext>
          </c:extLst>
        </c:ser>
        <c:dLbls>
          <c:showLegendKey val="0"/>
          <c:showVal val="0"/>
          <c:showCatName val="0"/>
          <c:showSerName val="0"/>
          <c:showPercent val="0"/>
          <c:showBubbleSize val="0"/>
        </c:dLbls>
        <c:gapWidth val="219"/>
        <c:overlap val="-27"/>
        <c:axId val="1827064847"/>
        <c:axId val="1827065263"/>
      </c:barChart>
      <c:catAx>
        <c:axId val="182706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27065263"/>
        <c:crosses val="autoZero"/>
        <c:auto val="1"/>
        <c:lblAlgn val="ctr"/>
        <c:lblOffset val="100"/>
        <c:noMultiLvlLbl val="0"/>
      </c:catAx>
      <c:valAx>
        <c:axId val="182706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2706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f226ace-6c05-41f3-8f59-47ca3e34077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Feuil2!$C$111</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Feuil2!$B$112:$B$119</c:f>
              <c:strCache>
                <c:ptCount val="8"/>
                <c:pt idx="0">
                  <c:v>Insecurity</c:v>
                </c:pt>
                <c:pt idx="1">
                  <c:v>Traffic congestion</c:v>
                </c:pt>
                <c:pt idx="2">
                  <c:v>Over crowding</c:v>
                </c:pt>
                <c:pt idx="3">
                  <c:v>Poor sanitation</c:v>
                </c:pt>
                <c:pt idx="4">
                  <c:v>Inaccessibility</c:v>
                </c:pt>
                <c:pt idx="5">
                  <c:v>High taxes</c:v>
                </c:pt>
                <c:pt idx="6">
                  <c:v>Illegal occupation of public space</c:v>
                </c:pt>
                <c:pt idx="7">
                  <c:v>High rent</c:v>
                </c:pt>
              </c:strCache>
            </c:strRef>
          </c:cat>
          <c:val>
            <c:numRef>
              <c:f>Feuil2!$C$112:$C$119</c:f>
              <c:numCache>
                <c:formatCode>General</c:formatCode>
                <c:ptCount val="8"/>
                <c:pt idx="0">
                  <c:v>28.6</c:v>
                </c:pt>
                <c:pt idx="1">
                  <c:v>18.2</c:v>
                </c:pt>
                <c:pt idx="2">
                  <c:v>16.899999999999999</c:v>
                </c:pt>
                <c:pt idx="3">
                  <c:v>13</c:v>
                </c:pt>
                <c:pt idx="4">
                  <c:v>3.9</c:v>
                </c:pt>
                <c:pt idx="5">
                  <c:v>1.3</c:v>
                </c:pt>
                <c:pt idx="6">
                  <c:v>15.6</c:v>
                </c:pt>
                <c:pt idx="7">
                  <c:v>2.6</c:v>
                </c:pt>
              </c:numCache>
            </c:numRef>
          </c:val>
          <c:extLst>
            <c:ext xmlns:c16="http://schemas.microsoft.com/office/drawing/2014/chart" uri="{C3380CC4-5D6E-409C-BE32-E72D297353CC}">
              <c16:uniqueId val="{00000000-B031-4EC9-9CA3-5F303175C5A6}"/>
            </c:ext>
          </c:extLst>
        </c:ser>
        <c:dLbls>
          <c:showLegendKey val="0"/>
          <c:showVal val="1"/>
          <c:showCatName val="0"/>
          <c:showSerName val="0"/>
          <c:showPercent val="0"/>
          <c:showBubbleSize val="0"/>
        </c:dLbls>
        <c:gapWidth val="75"/>
        <c:axId val="871514480"/>
        <c:axId val="871519056"/>
      </c:barChart>
      <c:catAx>
        <c:axId val="87151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871519056"/>
        <c:crosses val="autoZero"/>
        <c:auto val="1"/>
        <c:lblAlgn val="ctr"/>
        <c:lblOffset val="100"/>
        <c:noMultiLvlLbl val="0"/>
      </c:catAx>
      <c:valAx>
        <c:axId val="871519056"/>
        <c:scaling>
          <c:orientation val="minMax"/>
        </c:scaling>
        <c:delete val="0"/>
        <c:axPos val="b"/>
        <c:title>
          <c:tx>
            <c:rich>
              <a:bodyPr rot="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Percentage</a:t>
                </a:r>
              </a:p>
            </c:rich>
          </c:tx>
          <c:layout>
            <c:manualLayout>
              <c:xMode val="edge"/>
              <c:yMode val="edge"/>
              <c:x val="0.60542666766698505"/>
              <c:y val="0.86686648501362396"/>
            </c:manualLayout>
          </c:layout>
          <c:overlay val="0"/>
          <c:spPr>
            <a:noFill/>
            <a:ln>
              <a:noFill/>
            </a:ln>
            <a:effectLst/>
          </c:spPr>
          <c:txPr>
            <a:bodyPr rot="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871514480"/>
        <c:crosses val="autoZero"/>
        <c:crossBetween val="between"/>
      </c:valAx>
      <c:spPr>
        <a:noFill/>
        <a:ln>
          <a:noFill/>
        </a:ln>
        <a:effectLst/>
      </c:spPr>
    </c:plotArea>
    <c:plotVisOnly val="1"/>
    <c:dispBlanksAs val="gap"/>
    <c:showDLblsOverMax val="0"/>
    <c:extLst>
      <c:ext uri="{0b15fc19-7d7d-44ad-8c2d-2c3a37ce22c3}">
        <chartProps xmlns="https://web.wps.cn/et/2018/main" chartId="{7b1b8276-bfa3-41f0-8eb0-725cdd63c729}"/>
      </c:ext>
    </c:extLst>
  </c:chart>
  <c:spPr>
    <a:solidFill>
      <a:schemeClr val="bg1"/>
    </a:solidFill>
    <a:ln w="9525" cap="flat" cmpd="sng" algn="ctr">
      <a:solidFill>
        <a:schemeClr val="tx1">
          <a:lumMod val="15000"/>
          <a:lumOff val="85000"/>
        </a:schemeClr>
      </a:solidFill>
      <a:round/>
    </a:ln>
    <a:effectLst/>
  </c:spPr>
  <c:txPr>
    <a:bodyPr/>
    <a:lstStyle/>
    <a:p>
      <a:pPr>
        <a:defRPr lang="en-US" sz="1300">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6610</Words>
  <Characters>37677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1186</cp:lastModifiedBy>
  <cp:revision>4</cp:revision>
  <dcterms:created xsi:type="dcterms:W3CDTF">2026-03-23T19:52:00Z</dcterms:created>
  <dcterms:modified xsi:type="dcterms:W3CDTF">2026-03-24T09:07:00Z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f7da0e36-acc2-472d-9b04-efe023d3d0e2</vt:lpwstr>
  </property>
  <property fmtid="{D5CDD505-2E9C-101B-9397-08002B2CF9AE}" pid="3" name="KSOProductBuildVer">
    <vt:lpwstr>1033-12.2.0.23196</vt:lpwstr>
  </property>
  <property fmtid="{D5CDD505-2E9C-101B-9397-08002B2CF9AE}" pid="4" name="ICV">
    <vt:lpwstr>59B1155A60354693899E71B9590D7505_12</vt:lpwstr>
  </property>
</Properties>
</file>