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1B1F9" w14:textId="77777777" w:rsidR="007D429A" w:rsidRPr="0025108B" w:rsidRDefault="00C03610" w:rsidP="007D429A">
      <w:pPr>
        <w:jc w:val="both"/>
        <w:rPr>
          <w:rFonts w:ascii="Times New Roman" w:hAnsi="Times New Roman"/>
          <w:sz w:val="20"/>
          <w:szCs w:val="20"/>
        </w:rPr>
      </w:pPr>
      <w:r w:rsidRPr="0025108B">
        <w:rPr>
          <w:rFonts w:ascii="Times New Roman" w:hAnsi="Times New Roman"/>
          <w:sz w:val="20"/>
          <w:szCs w:val="20"/>
        </w:rPr>
        <w:t xml:space="preserve">Type of the Article </w:t>
      </w:r>
      <w:r w:rsidR="007D429A" w:rsidRPr="0025108B">
        <w:rPr>
          <w:rFonts w:ascii="Times New Roman" w:hAnsi="Times New Roman"/>
          <w:sz w:val="20"/>
          <w:szCs w:val="20"/>
        </w:rPr>
        <w:t>(Original Research Article)</w:t>
      </w:r>
    </w:p>
    <w:p w14:paraId="01E562B2" w14:textId="518C3271" w:rsidR="007D429A" w:rsidRDefault="007D429A" w:rsidP="007D429A">
      <w:pPr>
        <w:jc w:val="center"/>
        <w:rPr>
          <w:rFonts w:ascii="Times New Roman" w:hAnsi="Times New Roman"/>
          <w:b/>
          <w:bCs/>
          <w:sz w:val="28"/>
          <w:szCs w:val="28"/>
        </w:rPr>
      </w:pPr>
      <w:r w:rsidRPr="0025108B">
        <w:rPr>
          <w:rFonts w:ascii="Times New Roman" w:hAnsi="Times New Roman"/>
          <w:b/>
          <w:bCs/>
          <w:sz w:val="28"/>
          <w:szCs w:val="28"/>
        </w:rPr>
        <w:t>Gender Dynamics and Socio-Economic Implications of Household Water Collection in Bayelsa State, Nigeria</w:t>
      </w:r>
    </w:p>
    <w:p w14:paraId="13929D4D" w14:textId="77777777" w:rsidR="00153782" w:rsidRPr="0025108B" w:rsidRDefault="00307B82" w:rsidP="00904071">
      <w:pPr>
        <w:spacing w:after="0"/>
        <w:jc w:val="both"/>
        <w:rPr>
          <w:rFonts w:ascii="Times New Roman" w:hAnsi="Times New Roman"/>
          <w:b/>
          <w:bCs/>
        </w:rPr>
      </w:pPr>
      <w:r w:rsidRPr="0025108B">
        <w:rPr>
          <w:rFonts w:ascii="Times New Roman" w:hAnsi="Times New Roman"/>
          <w:b/>
          <w:bCs/>
        </w:rPr>
        <w:t>ABSTRACT</w:t>
      </w:r>
    </w:p>
    <w:p w14:paraId="7AA954D5" w14:textId="77777777" w:rsidR="00C75E70" w:rsidRDefault="00C140EB" w:rsidP="00904071">
      <w:pPr>
        <w:spacing w:after="0" w:line="240" w:lineRule="auto"/>
        <w:jc w:val="both"/>
        <w:rPr>
          <w:rFonts w:ascii="Times New Roman" w:hAnsi="Times New Roman"/>
          <w:lang w:val="en-US"/>
        </w:rPr>
      </w:pPr>
      <w:r w:rsidRPr="005772B5">
        <w:rPr>
          <w:rFonts w:ascii="Times New Roman" w:hAnsi="Times New Roman"/>
        </w:rPr>
        <w:t xml:space="preserve">Despite the high hydrological density of the Niger Delta, household water insecurity remains a critical driver of time-poverty and socio-economic inequality. This study provides an empirical assessment of the gendered dynamics and socio-economic implications of water collection across eight Local Government Area (LGA) headquarters in Bayelsa State. Moving beyond global generalizations, the research investigates the </w:t>
      </w:r>
      <w:r w:rsidRPr="005772B5">
        <w:rPr>
          <w:rFonts w:ascii="Times New Roman" w:hAnsi="Times New Roman"/>
          <w:i/>
          <w:iCs/>
        </w:rPr>
        <w:t>"paradox of plenty"</w:t>
      </w:r>
      <w:r w:rsidRPr="005772B5">
        <w:rPr>
          <w:rFonts w:ascii="Times New Roman" w:hAnsi="Times New Roman"/>
        </w:rPr>
        <w:t xml:space="preserve"> where abundant surface water fails to translate into domestic security. A multi-stage, cross-sectional descriptive survey of 395 households was employed; this design was specifically selected to facilitate a comparative analysis across diverse riverine</w:t>
      </w:r>
      <w:r w:rsidR="007A41C0">
        <w:rPr>
          <w:rFonts w:ascii="Times New Roman" w:hAnsi="Times New Roman"/>
        </w:rPr>
        <w:t xml:space="preserve">, </w:t>
      </w:r>
      <w:r w:rsidRPr="005772B5">
        <w:rPr>
          <w:rFonts w:ascii="Times New Roman" w:hAnsi="Times New Roman"/>
        </w:rPr>
        <w:t>semi-urban</w:t>
      </w:r>
      <w:r w:rsidR="007A41C0">
        <w:rPr>
          <w:rFonts w:ascii="Times New Roman" w:hAnsi="Times New Roman"/>
        </w:rPr>
        <w:t xml:space="preserve"> and urban</w:t>
      </w:r>
      <w:r w:rsidRPr="005772B5">
        <w:rPr>
          <w:rFonts w:ascii="Times New Roman" w:hAnsi="Times New Roman"/>
        </w:rPr>
        <w:t xml:space="preserve"> strata, utilizing structured questionnaires and contextual qualitative interviews to capture "invisible" labo</w:t>
      </w:r>
      <w:r>
        <w:rPr>
          <w:rFonts w:ascii="Times New Roman" w:hAnsi="Times New Roman"/>
        </w:rPr>
        <w:t>u</w:t>
      </w:r>
      <w:r w:rsidRPr="005772B5">
        <w:rPr>
          <w:rFonts w:ascii="Times New Roman" w:hAnsi="Times New Roman"/>
        </w:rPr>
        <w:t>r patterns</w:t>
      </w:r>
      <w:r w:rsidR="004E2C57">
        <w:rPr>
          <w:rFonts w:ascii="Times New Roman" w:hAnsi="Times New Roman"/>
        </w:rPr>
        <w:t xml:space="preserve">. Data were analysed using both descriptive and inferential statistics using </w:t>
      </w:r>
      <w:r w:rsidR="004E2C57" w:rsidRPr="0025108B">
        <w:rPr>
          <w:rFonts w:ascii="Times New Roman" w:hAnsi="Times New Roman"/>
        </w:rPr>
        <w:t>Microsoft Excel and SPSS version 26.0</w:t>
      </w:r>
      <w:r w:rsidRPr="005772B5">
        <w:rPr>
          <w:rFonts w:ascii="Times New Roman" w:hAnsi="Times New Roman"/>
        </w:rPr>
        <w:t xml:space="preserve">. Results from 157 primary collectors revealed a nuanced gendered distribution: adult females (34%), male children (24%), and adult males (21%). Crucially, Chi-square tests (p = 0.061) revealed no statistically significant association between gender and responsibility across most locations, challenging the global </w:t>
      </w:r>
      <w:r w:rsidRPr="005772B5">
        <w:rPr>
          <w:rFonts w:ascii="Times New Roman" w:hAnsi="Times New Roman"/>
          <w:i/>
          <w:iCs/>
        </w:rPr>
        <w:t>"feminization of water"</w:t>
      </w:r>
      <w:r w:rsidRPr="005772B5">
        <w:rPr>
          <w:rFonts w:ascii="Times New Roman" w:hAnsi="Times New Roman"/>
        </w:rPr>
        <w:t xml:space="preserve"> narrative. This suggests that in the Bayelsa context, extreme infrastructural deficits</w:t>
      </w:r>
      <w:r>
        <w:rPr>
          <w:rFonts w:ascii="Times New Roman" w:hAnsi="Times New Roman"/>
        </w:rPr>
        <w:t xml:space="preserve"> </w:t>
      </w:r>
      <w:r w:rsidRPr="005772B5">
        <w:rPr>
          <w:rFonts w:ascii="Times New Roman" w:hAnsi="Times New Roman"/>
        </w:rPr>
        <w:t>transcend gender roles, forcing a "collective household survival" model. However, the socio-economic toll remains skewed, with 68% citing physical strain and 16% reporting harassment, directly impeding education and income-generation. The study concludes that water collection in the region is a survival-driven labo</w:t>
      </w:r>
      <w:r>
        <w:rPr>
          <w:rFonts w:ascii="Times New Roman" w:hAnsi="Times New Roman"/>
        </w:rPr>
        <w:t>u</w:t>
      </w:r>
      <w:r w:rsidRPr="005772B5">
        <w:rPr>
          <w:rFonts w:ascii="Times New Roman" w:hAnsi="Times New Roman"/>
        </w:rPr>
        <w:t xml:space="preserve">r activity rather than a socially assigned gender role, dictated by failed utility infrastructure. </w:t>
      </w:r>
      <w:r w:rsidR="00AE39C8" w:rsidRPr="000F3696">
        <w:rPr>
          <w:rFonts w:ascii="Times New Roman" w:hAnsi="Times New Roman"/>
          <w:lang w:val="en-US"/>
        </w:rPr>
        <w:t xml:space="preserve">Addressing this crisis, therefore, requires more than technical engineering; it demands gender-sensitive WASH policies that recognize the "silent" </w:t>
      </w:r>
      <w:proofErr w:type="spellStart"/>
      <w:r w:rsidR="00AE39C8">
        <w:rPr>
          <w:rFonts w:ascii="Times New Roman" w:hAnsi="Times New Roman"/>
          <w:lang w:val="en-US"/>
        </w:rPr>
        <w:t>labour</w:t>
      </w:r>
      <w:proofErr w:type="spellEnd"/>
      <w:r w:rsidR="00AE39C8" w:rsidRPr="000F3696">
        <w:rPr>
          <w:rFonts w:ascii="Times New Roman" w:hAnsi="Times New Roman"/>
          <w:lang w:val="en-US"/>
        </w:rPr>
        <w:t xml:space="preserve"> of women and children. By improving proximate access to water, the state can effectively redistribute household </w:t>
      </w:r>
      <w:proofErr w:type="spellStart"/>
      <w:r w:rsidR="00AE39C8">
        <w:rPr>
          <w:rFonts w:ascii="Times New Roman" w:hAnsi="Times New Roman"/>
          <w:lang w:val="en-US"/>
        </w:rPr>
        <w:t>labour</w:t>
      </w:r>
      <w:proofErr w:type="spellEnd"/>
      <w:r w:rsidR="00AE39C8" w:rsidRPr="000F3696">
        <w:rPr>
          <w:rFonts w:ascii="Times New Roman" w:hAnsi="Times New Roman"/>
          <w:lang w:val="en-US"/>
        </w:rPr>
        <w:t>, mitigating the physical and safety risks that currently accumulate unevenly among the most vulnerable household members.</w:t>
      </w:r>
    </w:p>
    <w:p w14:paraId="4D28629E" w14:textId="77777777" w:rsidR="00A426A1" w:rsidRPr="00A426A1" w:rsidRDefault="00A426A1" w:rsidP="00A426A1">
      <w:pPr>
        <w:spacing w:after="0" w:line="240" w:lineRule="auto"/>
        <w:jc w:val="both"/>
        <w:rPr>
          <w:rFonts w:ascii="Times New Roman" w:hAnsi="Times New Roman"/>
          <w:lang w:val="en-US"/>
        </w:rPr>
      </w:pPr>
    </w:p>
    <w:p w14:paraId="215C2F2D" w14:textId="77777777" w:rsidR="00904071" w:rsidRDefault="00A95A6E" w:rsidP="00B06E9C">
      <w:pPr>
        <w:jc w:val="both"/>
        <w:rPr>
          <w:rFonts w:ascii="Times New Roman" w:hAnsi="Times New Roman"/>
          <w:b/>
          <w:bCs/>
        </w:rPr>
      </w:pPr>
      <w:r w:rsidRPr="0025108B">
        <w:rPr>
          <w:rFonts w:ascii="Times New Roman" w:hAnsi="Times New Roman"/>
          <w:b/>
          <w:bCs/>
        </w:rPr>
        <w:t xml:space="preserve">Keywords: </w:t>
      </w:r>
      <w:r w:rsidRPr="0025108B">
        <w:rPr>
          <w:rFonts w:ascii="Times New Roman" w:hAnsi="Times New Roman"/>
        </w:rPr>
        <w:t>Gender dynamics, Household water collection, Socio-economic impacts, Bayelsa State</w:t>
      </w:r>
    </w:p>
    <w:p w14:paraId="688A9AC6" w14:textId="77777777" w:rsidR="001F30F5" w:rsidRDefault="00E71273" w:rsidP="00B06E9C">
      <w:pPr>
        <w:jc w:val="both"/>
        <w:rPr>
          <w:rFonts w:ascii="Times New Roman" w:hAnsi="Times New Roman"/>
          <w:b/>
          <w:bCs/>
        </w:rPr>
      </w:pPr>
      <w:r>
        <w:rPr>
          <w:rFonts w:ascii="Times New Roman" w:hAnsi="Times New Roman"/>
          <w:b/>
          <w:bCs/>
        </w:rPr>
        <w:t xml:space="preserve">Suggested </w:t>
      </w:r>
      <w:r w:rsidR="00DA6B39" w:rsidRPr="0025108B">
        <w:rPr>
          <w:rFonts w:ascii="Times New Roman" w:hAnsi="Times New Roman"/>
          <w:b/>
          <w:bCs/>
        </w:rPr>
        <w:t xml:space="preserve">Citation: </w:t>
      </w:r>
      <w:r w:rsidR="00DA6B39" w:rsidRPr="00A7419A">
        <w:rPr>
          <w:rFonts w:ascii="Times New Roman" w:hAnsi="Times New Roman"/>
        </w:rPr>
        <w:t xml:space="preserve">Ojile, M.O., </w:t>
      </w:r>
      <w:proofErr w:type="spellStart"/>
      <w:r w:rsidR="00DA6B39" w:rsidRPr="00A7419A">
        <w:rPr>
          <w:rFonts w:ascii="Times New Roman" w:hAnsi="Times New Roman"/>
        </w:rPr>
        <w:t>Afenfia</w:t>
      </w:r>
      <w:proofErr w:type="spellEnd"/>
      <w:r w:rsidR="00DA6B39" w:rsidRPr="00A7419A">
        <w:rPr>
          <w:rFonts w:ascii="Times New Roman" w:hAnsi="Times New Roman"/>
        </w:rPr>
        <w:t>, Z. F., and Disi, F.T. (2025). Gender Dynamics and Socio-Economic Implications of Household Water Collection in Bayelsa State, Nigeria.</w:t>
      </w:r>
    </w:p>
    <w:p w14:paraId="28609E6F" w14:textId="77777777" w:rsidR="00B06E9C" w:rsidRPr="0025108B" w:rsidRDefault="00B06E9C" w:rsidP="00B06E9C">
      <w:pPr>
        <w:jc w:val="both"/>
        <w:rPr>
          <w:rFonts w:ascii="Times New Roman" w:hAnsi="Times New Roman"/>
          <w:b/>
          <w:bCs/>
        </w:rPr>
      </w:pPr>
      <w:r w:rsidRPr="0025108B">
        <w:rPr>
          <w:rFonts w:ascii="Times New Roman" w:hAnsi="Times New Roman"/>
          <w:b/>
          <w:bCs/>
        </w:rPr>
        <w:t>1.0 INTRODUCTION</w:t>
      </w:r>
    </w:p>
    <w:p w14:paraId="1DAACF82" w14:textId="77777777" w:rsidR="00ED6C8B" w:rsidRPr="0025108B" w:rsidRDefault="001F2FC3" w:rsidP="008359B6">
      <w:pPr>
        <w:ind w:firstLine="720"/>
        <w:jc w:val="both"/>
        <w:rPr>
          <w:rFonts w:ascii="Times New Roman" w:hAnsi="Times New Roman"/>
        </w:rPr>
      </w:pPr>
      <w:r w:rsidRPr="0025108B">
        <w:rPr>
          <w:rFonts w:ascii="Times New Roman" w:hAnsi="Times New Roman"/>
        </w:rPr>
        <w:t xml:space="preserve">Safe drinking water is widely recognized as a basic human right, yet millions still lack access to it </w:t>
      </w:r>
      <w:r w:rsidR="008359B6" w:rsidRPr="0025108B">
        <w:rPr>
          <w:rFonts w:ascii="Times New Roman" w:hAnsi="Times New Roman"/>
        </w:rPr>
        <w:t>(De Guzman et al., 2023). Globally, one in four people—about 2.1 billion—still lack access to safely managed drinking water, and 106 million drinks directly from untreated surface sources (WHO &amp; UNICEF, 2025). These disparities are most acute in low-income and rural contexts, where residents are more than twice as likely as those in other regions to lack basic drinking water services (</w:t>
      </w:r>
      <w:r w:rsidR="00C7408C" w:rsidRPr="0025108B">
        <w:rPr>
          <w:rFonts w:ascii="Times New Roman" w:hAnsi="Times New Roman"/>
        </w:rPr>
        <w:t xml:space="preserve">Sahoo &amp; Rath, 2025; </w:t>
      </w:r>
      <w:r w:rsidR="008359B6" w:rsidRPr="0025108B">
        <w:rPr>
          <w:rFonts w:ascii="Times New Roman" w:hAnsi="Times New Roman"/>
        </w:rPr>
        <w:t xml:space="preserve">WHO &amp; UNICEF, 2025). </w:t>
      </w:r>
      <w:r w:rsidR="00396A94" w:rsidRPr="0025108B">
        <w:rPr>
          <w:rFonts w:ascii="Times New Roman" w:hAnsi="Times New Roman"/>
        </w:rPr>
        <w:t xml:space="preserve"> </w:t>
      </w:r>
      <w:r w:rsidR="00ED6C8B" w:rsidRPr="0025108B">
        <w:rPr>
          <w:rFonts w:ascii="Times New Roman" w:hAnsi="Times New Roman"/>
        </w:rPr>
        <w:t>I</w:t>
      </w:r>
      <w:r w:rsidRPr="0025108B">
        <w:rPr>
          <w:rFonts w:ascii="Times New Roman" w:hAnsi="Times New Roman"/>
        </w:rPr>
        <w:t>n</w:t>
      </w:r>
      <w:r w:rsidR="00ED6C8B" w:rsidRPr="0025108B">
        <w:rPr>
          <w:rFonts w:ascii="Times New Roman" w:hAnsi="Times New Roman"/>
        </w:rPr>
        <w:t xml:space="preserve"> </w:t>
      </w:r>
      <w:r w:rsidR="008359B6" w:rsidRPr="0025108B">
        <w:rPr>
          <w:rFonts w:ascii="Times New Roman" w:hAnsi="Times New Roman"/>
        </w:rPr>
        <w:t>areas without</w:t>
      </w:r>
      <w:r w:rsidR="00ED6C8B" w:rsidRPr="0025108B">
        <w:rPr>
          <w:rFonts w:ascii="Times New Roman" w:hAnsi="Times New Roman"/>
        </w:rPr>
        <w:t xml:space="preserve"> piped household </w:t>
      </w:r>
      <w:r w:rsidRPr="0025108B">
        <w:rPr>
          <w:rFonts w:ascii="Times New Roman" w:hAnsi="Times New Roman"/>
        </w:rPr>
        <w:t xml:space="preserve">water </w:t>
      </w:r>
      <w:r w:rsidR="00ED6C8B" w:rsidRPr="0025108B">
        <w:rPr>
          <w:rFonts w:ascii="Times New Roman" w:hAnsi="Times New Roman"/>
        </w:rPr>
        <w:t xml:space="preserve">connections, water procurement is a </w:t>
      </w:r>
      <w:proofErr w:type="spellStart"/>
      <w:r w:rsidR="00ED6C8B" w:rsidRPr="0025108B">
        <w:rPr>
          <w:rFonts w:ascii="Times New Roman" w:hAnsi="Times New Roman"/>
        </w:rPr>
        <w:t>grueling</w:t>
      </w:r>
      <w:proofErr w:type="spellEnd"/>
      <w:r w:rsidR="00ED6C8B" w:rsidRPr="0025108B">
        <w:rPr>
          <w:rFonts w:ascii="Times New Roman" w:hAnsi="Times New Roman"/>
        </w:rPr>
        <w:t xml:space="preserve">, labour-intensive task, </w:t>
      </w:r>
      <w:r w:rsidR="008359B6" w:rsidRPr="0025108B">
        <w:rPr>
          <w:rFonts w:ascii="Times New Roman" w:hAnsi="Times New Roman"/>
        </w:rPr>
        <w:t xml:space="preserve">that </w:t>
      </w:r>
      <w:r w:rsidR="00ED6C8B" w:rsidRPr="0025108B">
        <w:rPr>
          <w:rFonts w:ascii="Times New Roman" w:hAnsi="Times New Roman"/>
        </w:rPr>
        <w:t xml:space="preserve">often </w:t>
      </w:r>
      <w:r w:rsidR="00ED6C8B" w:rsidRPr="0025108B">
        <w:rPr>
          <w:rFonts w:ascii="Times New Roman" w:hAnsi="Times New Roman"/>
        </w:rPr>
        <w:lastRenderedPageBreak/>
        <w:t>requir</w:t>
      </w:r>
      <w:r w:rsidR="008359B6" w:rsidRPr="0025108B">
        <w:rPr>
          <w:rFonts w:ascii="Times New Roman" w:hAnsi="Times New Roman"/>
        </w:rPr>
        <w:t>es</w:t>
      </w:r>
      <w:r w:rsidR="00ED6C8B" w:rsidRPr="0025108B">
        <w:rPr>
          <w:rFonts w:ascii="Times New Roman" w:hAnsi="Times New Roman"/>
        </w:rPr>
        <w:t xml:space="preserve"> long-distance treks with heavy containers (UNICEF, 2016; Geere et al., 2018b). This burden is not distributed equally; as studies </w:t>
      </w:r>
      <w:r w:rsidR="00CA7969" w:rsidRPr="0025108B">
        <w:rPr>
          <w:rFonts w:ascii="Times New Roman" w:hAnsi="Times New Roman"/>
        </w:rPr>
        <w:t>ha</w:t>
      </w:r>
      <w:r w:rsidR="00ED6C8B" w:rsidRPr="0025108B">
        <w:rPr>
          <w:rFonts w:ascii="Times New Roman" w:hAnsi="Times New Roman"/>
        </w:rPr>
        <w:t xml:space="preserve">s shown that women and girls account for nearly 80% of household water collection globally, a statistic that reinforces deep-seated structural gender inequalities and limits the socio-economic mobility of females in developing nations (UNICEF, 2016; </w:t>
      </w:r>
      <w:r w:rsidRPr="0025108B">
        <w:rPr>
          <w:rFonts w:ascii="Times New Roman" w:hAnsi="Times New Roman"/>
        </w:rPr>
        <w:t xml:space="preserve">Graham et al., 2016; Kayser et al., 2019; </w:t>
      </w:r>
      <w:proofErr w:type="spellStart"/>
      <w:r w:rsidRPr="0025108B">
        <w:rPr>
          <w:rFonts w:ascii="Times New Roman" w:hAnsi="Times New Roman"/>
        </w:rPr>
        <w:t>Pouramin</w:t>
      </w:r>
      <w:proofErr w:type="spellEnd"/>
      <w:r w:rsidRPr="0025108B">
        <w:rPr>
          <w:rFonts w:ascii="Times New Roman" w:hAnsi="Times New Roman"/>
        </w:rPr>
        <w:t xml:space="preserve"> et al., 2020; </w:t>
      </w:r>
      <w:proofErr w:type="spellStart"/>
      <w:r w:rsidRPr="0025108B">
        <w:rPr>
          <w:rFonts w:ascii="Times New Roman" w:hAnsi="Times New Roman"/>
        </w:rPr>
        <w:t>Tomberge</w:t>
      </w:r>
      <w:proofErr w:type="spellEnd"/>
      <w:r w:rsidRPr="0025108B">
        <w:rPr>
          <w:rFonts w:ascii="Times New Roman" w:hAnsi="Times New Roman"/>
        </w:rPr>
        <w:t xml:space="preserve"> et al., 2021). </w:t>
      </w:r>
      <w:r w:rsidR="00F238AD" w:rsidRPr="0025108B">
        <w:rPr>
          <w:rFonts w:ascii="Times New Roman" w:hAnsi="Times New Roman"/>
        </w:rPr>
        <w:t>Dickin &amp; Caretta, 2022</w:t>
      </w:r>
      <w:r w:rsidR="00ED6C8B" w:rsidRPr="0025108B">
        <w:rPr>
          <w:rFonts w:ascii="Times New Roman" w:hAnsi="Times New Roman"/>
        </w:rPr>
        <w:t>).</w:t>
      </w:r>
    </w:p>
    <w:p w14:paraId="3CE77722" w14:textId="77777777" w:rsidR="00ED6C8B" w:rsidRPr="0025108B" w:rsidRDefault="00ED6C8B" w:rsidP="00ED6C8B">
      <w:pPr>
        <w:jc w:val="both"/>
        <w:rPr>
          <w:rFonts w:ascii="Times New Roman" w:hAnsi="Times New Roman"/>
        </w:rPr>
      </w:pPr>
      <w:r w:rsidRPr="0025108B">
        <w:rPr>
          <w:rFonts w:ascii="Times New Roman" w:hAnsi="Times New Roman"/>
        </w:rPr>
        <w:t>The physical and socio-economic consequences of this water insecurity are profound. Beyond the immediate risk of waterborne illnesses such as diarrheal diseases, women face specific reproductive health complications and chronic musculoskeletal strain from the physical toll of carrying heavy loads (</w:t>
      </w:r>
      <w:r w:rsidR="00B73EC3" w:rsidRPr="0025108B">
        <w:rPr>
          <w:rFonts w:ascii="Times New Roman" w:hAnsi="Times New Roman"/>
        </w:rPr>
        <w:t xml:space="preserve">Geere et al., 2018a; </w:t>
      </w:r>
      <w:proofErr w:type="spellStart"/>
      <w:r w:rsidRPr="0025108B">
        <w:rPr>
          <w:rFonts w:ascii="Times New Roman" w:hAnsi="Times New Roman"/>
        </w:rPr>
        <w:t>Prüss-Ustün</w:t>
      </w:r>
      <w:proofErr w:type="spellEnd"/>
      <w:r w:rsidRPr="0025108B">
        <w:rPr>
          <w:rFonts w:ascii="Times New Roman" w:hAnsi="Times New Roman"/>
        </w:rPr>
        <w:t xml:space="preserve"> et al., 2019; </w:t>
      </w:r>
      <w:proofErr w:type="spellStart"/>
      <w:r w:rsidRPr="0025108B">
        <w:rPr>
          <w:rFonts w:ascii="Times New Roman" w:hAnsi="Times New Roman"/>
        </w:rPr>
        <w:t>Ademas</w:t>
      </w:r>
      <w:proofErr w:type="spellEnd"/>
      <w:r w:rsidRPr="0025108B">
        <w:rPr>
          <w:rFonts w:ascii="Times New Roman" w:hAnsi="Times New Roman"/>
        </w:rPr>
        <w:t xml:space="preserve"> et al., 2020</w:t>
      </w:r>
      <w:r w:rsidR="00CA7969" w:rsidRPr="0025108B">
        <w:rPr>
          <w:rFonts w:ascii="Times New Roman" w:hAnsi="Times New Roman"/>
        </w:rPr>
        <w:t>; Kayser et al., 2021</w:t>
      </w:r>
      <w:r w:rsidRPr="0025108B">
        <w:rPr>
          <w:rFonts w:ascii="Times New Roman" w:hAnsi="Times New Roman"/>
        </w:rPr>
        <w:t xml:space="preserve">). Furthermore, the </w:t>
      </w:r>
      <w:r w:rsidRPr="00D73E85">
        <w:rPr>
          <w:rFonts w:ascii="Times New Roman" w:hAnsi="Times New Roman"/>
          <w:i/>
          <w:iCs/>
        </w:rPr>
        <w:t xml:space="preserve">"opportunity cost" </w:t>
      </w:r>
      <w:r w:rsidRPr="0025108B">
        <w:rPr>
          <w:rFonts w:ascii="Times New Roman" w:hAnsi="Times New Roman"/>
        </w:rPr>
        <w:t>of water collection is staggering;</w:t>
      </w:r>
      <w:r w:rsidR="00D73E85">
        <w:rPr>
          <w:rFonts w:ascii="Times New Roman" w:hAnsi="Times New Roman"/>
        </w:rPr>
        <w:t xml:space="preserve"> for instance,</w:t>
      </w:r>
      <w:r w:rsidRPr="0025108B">
        <w:rPr>
          <w:rFonts w:ascii="Times New Roman" w:hAnsi="Times New Roman"/>
        </w:rPr>
        <w:t xml:space="preserve"> time spent fetching water directly displaces formal education, income-generating activities, and necessary rest, thereby trapping households in a cycle of poverty (Geere et al., 2018b; </w:t>
      </w:r>
      <w:r w:rsidR="00A47474" w:rsidRPr="0025108B">
        <w:rPr>
          <w:rFonts w:ascii="Times New Roman" w:hAnsi="Times New Roman"/>
        </w:rPr>
        <w:t>Dickin &amp; Caretta, 2022</w:t>
      </w:r>
      <w:r w:rsidRPr="0025108B">
        <w:rPr>
          <w:rFonts w:ascii="Times New Roman" w:hAnsi="Times New Roman"/>
        </w:rPr>
        <w:t>).</w:t>
      </w:r>
    </w:p>
    <w:p w14:paraId="16D22314" w14:textId="77777777" w:rsidR="00D10885" w:rsidRDefault="00ED6C8B" w:rsidP="00D10885">
      <w:pPr>
        <w:jc w:val="both"/>
        <w:rPr>
          <w:rFonts w:ascii="Times New Roman" w:hAnsi="Times New Roman"/>
        </w:rPr>
      </w:pPr>
      <w:r w:rsidRPr="0025108B">
        <w:rPr>
          <w:rFonts w:ascii="Times New Roman" w:hAnsi="Times New Roman"/>
        </w:rPr>
        <w:t>In Nigeria, the water crisis is particularly acute in rural and riverine territories. Despite the country’s vast natural resources, over 6</w:t>
      </w:r>
      <w:r w:rsidR="00CA7969" w:rsidRPr="0025108B">
        <w:rPr>
          <w:rFonts w:ascii="Times New Roman" w:hAnsi="Times New Roman"/>
        </w:rPr>
        <w:t>6.3</w:t>
      </w:r>
      <w:r w:rsidRPr="0025108B">
        <w:rPr>
          <w:rFonts w:ascii="Times New Roman" w:hAnsi="Times New Roman"/>
        </w:rPr>
        <w:t xml:space="preserve"> million Nigerians lack access to clean water</w:t>
      </w:r>
      <w:r w:rsidR="00A47474" w:rsidRPr="0025108B">
        <w:rPr>
          <w:rFonts w:ascii="Times New Roman" w:hAnsi="Times New Roman"/>
        </w:rPr>
        <w:t xml:space="preserve"> (UNICEF, 2018</w:t>
      </w:r>
      <w:r w:rsidR="00CA7969" w:rsidRPr="0025108B">
        <w:rPr>
          <w:rFonts w:ascii="Times New Roman" w:hAnsi="Times New Roman"/>
        </w:rPr>
        <w:t xml:space="preserve">; </w:t>
      </w:r>
      <w:proofErr w:type="spellStart"/>
      <w:r w:rsidR="00CA7969" w:rsidRPr="0025108B">
        <w:rPr>
          <w:rFonts w:ascii="Times New Roman" w:hAnsi="Times New Roman"/>
        </w:rPr>
        <w:t>Ighalo</w:t>
      </w:r>
      <w:proofErr w:type="spellEnd"/>
      <w:r w:rsidR="00CA7969" w:rsidRPr="0025108B">
        <w:rPr>
          <w:rFonts w:ascii="Times New Roman" w:hAnsi="Times New Roman"/>
        </w:rPr>
        <w:t xml:space="preserve"> &amp; Adeniyi, 2020</w:t>
      </w:r>
      <w:r w:rsidR="00A47474" w:rsidRPr="0025108B">
        <w:rPr>
          <w:rFonts w:ascii="Times New Roman" w:hAnsi="Times New Roman"/>
        </w:rPr>
        <w:t>)</w:t>
      </w:r>
      <w:r w:rsidRPr="0025108B">
        <w:rPr>
          <w:rFonts w:ascii="Times New Roman" w:hAnsi="Times New Roman"/>
        </w:rPr>
        <w:t>. In the Niger Delta region, this crisis is compounded by an environmental paradox: while the region is defined by its abundance of water, much of it is undrinkable due to oil exploration pollution, untreated industrial waste, and complex hydrogeological interactions (UNICEF, 2018</w:t>
      </w:r>
      <w:r w:rsidR="00CA7969" w:rsidRPr="0025108B">
        <w:rPr>
          <w:rFonts w:ascii="Times New Roman" w:hAnsi="Times New Roman"/>
        </w:rPr>
        <w:t xml:space="preserve">; </w:t>
      </w:r>
      <w:proofErr w:type="spellStart"/>
      <w:r w:rsidR="00CA7969" w:rsidRPr="0025108B">
        <w:rPr>
          <w:rFonts w:ascii="Times New Roman" w:hAnsi="Times New Roman"/>
        </w:rPr>
        <w:t>Ighalo</w:t>
      </w:r>
      <w:proofErr w:type="spellEnd"/>
      <w:r w:rsidR="00CA7969" w:rsidRPr="0025108B">
        <w:rPr>
          <w:rFonts w:ascii="Times New Roman" w:hAnsi="Times New Roman"/>
        </w:rPr>
        <w:t xml:space="preserve"> &amp; Adeniyi, 2020</w:t>
      </w:r>
      <w:r w:rsidRPr="0025108B">
        <w:rPr>
          <w:rFonts w:ascii="Times New Roman" w:hAnsi="Times New Roman"/>
        </w:rPr>
        <w:t xml:space="preserve">). Bayelsa State serves as the </w:t>
      </w:r>
      <w:proofErr w:type="spellStart"/>
      <w:r w:rsidRPr="0025108B">
        <w:rPr>
          <w:rFonts w:ascii="Times New Roman" w:hAnsi="Times New Roman"/>
        </w:rPr>
        <w:t>epicenter</w:t>
      </w:r>
      <w:proofErr w:type="spellEnd"/>
      <w:r w:rsidRPr="0025108B">
        <w:rPr>
          <w:rFonts w:ascii="Times New Roman" w:hAnsi="Times New Roman"/>
        </w:rPr>
        <w:t xml:space="preserve"> of this irony</w:t>
      </w:r>
      <w:r w:rsidR="00CA7969" w:rsidRPr="0025108B">
        <w:rPr>
          <w:rFonts w:ascii="Times New Roman" w:hAnsi="Times New Roman"/>
        </w:rPr>
        <w:t>, because, d</w:t>
      </w:r>
      <w:r w:rsidRPr="0025108B">
        <w:rPr>
          <w:rFonts w:ascii="Times New Roman" w:hAnsi="Times New Roman"/>
        </w:rPr>
        <w:t xml:space="preserve">espite being situated amidst a vast network of rivers and swamps, </w:t>
      </w:r>
      <w:r w:rsidR="00F238AD" w:rsidRPr="0025108B">
        <w:rPr>
          <w:rFonts w:ascii="Times New Roman" w:hAnsi="Times New Roman"/>
        </w:rPr>
        <w:t xml:space="preserve">the state should, in principle, enjoy abundant water but instead </w:t>
      </w:r>
      <w:r w:rsidRPr="0025108B">
        <w:rPr>
          <w:rFonts w:ascii="Times New Roman" w:hAnsi="Times New Roman"/>
        </w:rPr>
        <w:t>suffers from severe contamination, derelict infrastructure, and the high cost of private water provision. This forced reliance on unimproved sources creates a "</w:t>
      </w:r>
      <w:r w:rsidRPr="00D73E85">
        <w:rPr>
          <w:rFonts w:ascii="Times New Roman" w:hAnsi="Times New Roman"/>
          <w:i/>
          <w:iCs/>
        </w:rPr>
        <w:t>scarcity amidst plenty"</w:t>
      </w:r>
      <w:r w:rsidRPr="0025108B">
        <w:rPr>
          <w:rFonts w:ascii="Times New Roman" w:hAnsi="Times New Roman"/>
        </w:rPr>
        <w:t xml:space="preserve"> that dictates the daily lives of its residents (Ite et al., 2018; Ohwo, 2019).</w:t>
      </w:r>
      <w:r w:rsidR="00CA7969" w:rsidRPr="0025108B">
        <w:rPr>
          <w:rFonts w:ascii="Times New Roman" w:hAnsi="Times New Roman"/>
        </w:rPr>
        <w:t xml:space="preserve"> </w:t>
      </w:r>
      <w:r w:rsidR="004C0752" w:rsidRPr="0025108B">
        <w:rPr>
          <w:rFonts w:ascii="Times New Roman" w:hAnsi="Times New Roman"/>
        </w:rPr>
        <w:t>Statistics shows that</w:t>
      </w:r>
      <w:r w:rsidR="00CA7969" w:rsidRPr="0025108B">
        <w:rPr>
          <w:rFonts w:ascii="Times New Roman" w:hAnsi="Times New Roman"/>
        </w:rPr>
        <w:t xml:space="preserve"> </w:t>
      </w:r>
      <w:r w:rsidR="004C0752" w:rsidRPr="0025108B">
        <w:rPr>
          <w:rFonts w:ascii="Times New Roman" w:hAnsi="Times New Roman"/>
        </w:rPr>
        <w:t xml:space="preserve">only </w:t>
      </w:r>
      <w:r w:rsidR="00CA7969" w:rsidRPr="0025108B">
        <w:rPr>
          <w:rFonts w:ascii="Times New Roman" w:hAnsi="Times New Roman"/>
        </w:rPr>
        <w:t xml:space="preserve">51% of </w:t>
      </w:r>
      <w:r w:rsidR="004C0752" w:rsidRPr="0025108B">
        <w:rPr>
          <w:rFonts w:ascii="Times New Roman" w:hAnsi="Times New Roman"/>
        </w:rPr>
        <w:t>its</w:t>
      </w:r>
      <w:r w:rsidR="00CA7969" w:rsidRPr="0025108B">
        <w:rPr>
          <w:rFonts w:ascii="Times New Roman" w:hAnsi="Times New Roman"/>
        </w:rPr>
        <w:t xml:space="preserve"> population has access to basic drinking water services, </w:t>
      </w:r>
      <w:r w:rsidR="004C0752" w:rsidRPr="0025108B">
        <w:rPr>
          <w:rFonts w:ascii="Times New Roman" w:hAnsi="Times New Roman"/>
        </w:rPr>
        <w:t xml:space="preserve">and when </w:t>
      </w:r>
      <w:r w:rsidR="00CA7969" w:rsidRPr="0025108B">
        <w:rPr>
          <w:rFonts w:ascii="Times New Roman" w:hAnsi="Times New Roman"/>
        </w:rPr>
        <w:t xml:space="preserve">compared to the national average of 67% and the South </w:t>
      </w:r>
      <w:proofErr w:type="spellStart"/>
      <w:r w:rsidR="00CA7969" w:rsidRPr="0025108B">
        <w:rPr>
          <w:rFonts w:ascii="Times New Roman" w:hAnsi="Times New Roman"/>
        </w:rPr>
        <w:t>South</w:t>
      </w:r>
      <w:proofErr w:type="spellEnd"/>
      <w:r w:rsidR="00CA7969" w:rsidRPr="0025108B">
        <w:rPr>
          <w:rFonts w:ascii="Times New Roman" w:hAnsi="Times New Roman"/>
        </w:rPr>
        <w:t xml:space="preserve"> geopolitical zone average of 65%;</w:t>
      </w:r>
      <w:r w:rsidR="004C0752" w:rsidRPr="0025108B">
        <w:rPr>
          <w:rFonts w:ascii="Times New Roman" w:hAnsi="Times New Roman"/>
        </w:rPr>
        <w:t xml:space="preserve"> that is quite low.</w:t>
      </w:r>
      <w:r w:rsidR="00CA7969" w:rsidRPr="0025108B">
        <w:rPr>
          <w:rFonts w:ascii="Times New Roman" w:hAnsi="Times New Roman"/>
        </w:rPr>
        <w:t xml:space="preserve"> </w:t>
      </w:r>
      <w:r w:rsidR="004C0752" w:rsidRPr="0025108B">
        <w:rPr>
          <w:rFonts w:ascii="Times New Roman" w:hAnsi="Times New Roman"/>
        </w:rPr>
        <w:t>S</w:t>
      </w:r>
      <w:r w:rsidR="00CA7969" w:rsidRPr="0025108B">
        <w:rPr>
          <w:rFonts w:ascii="Times New Roman" w:hAnsi="Times New Roman"/>
        </w:rPr>
        <w:t>imilarly, the state is ranked 30th out of 37 states and the Federal Capital Territory, with residents in Lagos (96%) being nearly twice as likely to have such access</w:t>
      </w:r>
      <w:r w:rsidR="004C0752" w:rsidRPr="0025108B">
        <w:rPr>
          <w:rFonts w:ascii="Times New Roman" w:hAnsi="Times New Roman"/>
        </w:rPr>
        <w:t xml:space="preserve"> to safe drinking water, the alarming reality</w:t>
      </w:r>
      <w:r w:rsidR="00CA7969" w:rsidRPr="0025108B">
        <w:rPr>
          <w:rFonts w:ascii="Times New Roman" w:hAnsi="Times New Roman"/>
        </w:rPr>
        <w:t xml:space="preserve"> </w:t>
      </w:r>
      <w:r w:rsidR="00690A7F" w:rsidRPr="0025108B">
        <w:rPr>
          <w:rFonts w:ascii="Times New Roman" w:hAnsi="Times New Roman"/>
        </w:rPr>
        <w:t xml:space="preserve">for the people of the state </w:t>
      </w:r>
      <w:r w:rsidR="00CA7969" w:rsidRPr="0025108B">
        <w:rPr>
          <w:rFonts w:ascii="Times New Roman" w:hAnsi="Times New Roman"/>
        </w:rPr>
        <w:t>(Federal Ministry of Water Resources, 2021).</w:t>
      </w:r>
      <w:r w:rsidR="004C0752" w:rsidRPr="0025108B">
        <w:rPr>
          <w:rFonts w:ascii="Times New Roman" w:hAnsi="Times New Roman"/>
        </w:rPr>
        <w:t xml:space="preserve"> </w:t>
      </w:r>
      <w:r w:rsidR="00690A7F" w:rsidRPr="0025108B">
        <w:rPr>
          <w:rFonts w:ascii="Times New Roman" w:hAnsi="Times New Roman"/>
        </w:rPr>
        <w:t>T</w:t>
      </w:r>
      <w:r w:rsidR="004C0752" w:rsidRPr="0025108B">
        <w:rPr>
          <w:rFonts w:ascii="Times New Roman" w:hAnsi="Times New Roman"/>
        </w:rPr>
        <w:t xml:space="preserve">he situation is </w:t>
      </w:r>
      <w:r w:rsidR="00690A7F" w:rsidRPr="0025108B">
        <w:rPr>
          <w:rFonts w:ascii="Times New Roman" w:hAnsi="Times New Roman"/>
        </w:rPr>
        <w:t xml:space="preserve">further </w:t>
      </w:r>
      <w:r w:rsidR="004C0752" w:rsidRPr="0025108B">
        <w:rPr>
          <w:rFonts w:ascii="Times New Roman" w:hAnsi="Times New Roman"/>
        </w:rPr>
        <w:t>compounded by the swampy terrain, which drives up the costs of pipe</w:t>
      </w:r>
      <w:r w:rsidR="00D73E85">
        <w:rPr>
          <w:rFonts w:ascii="Times New Roman" w:hAnsi="Times New Roman"/>
        </w:rPr>
        <w:t>-water</w:t>
      </w:r>
      <w:r w:rsidR="004C0752" w:rsidRPr="0025108B">
        <w:rPr>
          <w:rFonts w:ascii="Times New Roman" w:hAnsi="Times New Roman"/>
        </w:rPr>
        <w:t xml:space="preserve"> and treatment plants and limiting the reach of conventional water projects (Ohwo, 2019).</w:t>
      </w:r>
      <w:r w:rsidR="00D10885">
        <w:rPr>
          <w:rFonts w:ascii="Times New Roman" w:hAnsi="Times New Roman"/>
        </w:rPr>
        <w:t xml:space="preserve"> </w:t>
      </w:r>
      <w:r w:rsidR="00C97846" w:rsidRPr="00C97846">
        <w:rPr>
          <w:rFonts w:ascii="Times New Roman" w:hAnsi="Times New Roman"/>
        </w:rPr>
        <w:t>These constraints shift responsibility to households, where water collection becomes a routine and time-intensive activity, often requiring over 30 minutes per trip in similar contexts across Sub-Saharan Africa (World Bank, 2024).</w:t>
      </w:r>
    </w:p>
    <w:p w14:paraId="169873EF" w14:textId="77777777" w:rsidR="00F70882" w:rsidRPr="00F70882" w:rsidRDefault="00F70882" w:rsidP="00F70882">
      <w:pPr>
        <w:jc w:val="both"/>
        <w:rPr>
          <w:rFonts w:ascii="Times New Roman" w:hAnsi="Times New Roman"/>
          <w:lang w:val="en-US"/>
        </w:rPr>
      </w:pPr>
      <w:r w:rsidRPr="00F70882">
        <w:rPr>
          <w:rFonts w:ascii="Times New Roman" w:hAnsi="Times New Roman"/>
          <w:lang w:val="en-US"/>
        </w:rPr>
        <w:t xml:space="preserve">Consequently, many households rely heavily on manual water collection, creating unequal </w:t>
      </w:r>
      <w:proofErr w:type="spellStart"/>
      <w:r w:rsidRPr="00F70882">
        <w:rPr>
          <w:rFonts w:ascii="Times New Roman" w:hAnsi="Times New Roman"/>
          <w:lang w:val="en-US"/>
        </w:rPr>
        <w:t>labour</w:t>
      </w:r>
      <w:proofErr w:type="spellEnd"/>
      <w:r w:rsidRPr="00F70882">
        <w:rPr>
          <w:rFonts w:ascii="Times New Roman" w:hAnsi="Times New Roman"/>
          <w:lang w:val="en-US"/>
        </w:rPr>
        <w:t xml:space="preserve"> exposure and clear socio-economic burdens within the household. Yet the structure of this </w:t>
      </w:r>
      <w:proofErr w:type="spellStart"/>
      <w:r w:rsidRPr="00F70882">
        <w:rPr>
          <w:rFonts w:ascii="Times New Roman" w:hAnsi="Times New Roman"/>
          <w:lang w:val="en-US"/>
        </w:rPr>
        <w:t>labour</w:t>
      </w:r>
      <w:proofErr w:type="spellEnd"/>
      <w:r w:rsidRPr="00F70882">
        <w:rPr>
          <w:rFonts w:ascii="Times New Roman" w:hAnsi="Times New Roman"/>
          <w:lang w:val="en-US"/>
        </w:rPr>
        <w:t xml:space="preserve"> and its associated costs remain poorly documented in Bayelsa State. </w:t>
      </w:r>
      <w:r>
        <w:rPr>
          <w:rFonts w:ascii="Times New Roman" w:hAnsi="Times New Roman"/>
          <w:lang w:val="en-US"/>
        </w:rPr>
        <w:t>While</w:t>
      </w:r>
      <w:r w:rsidRPr="00F70882">
        <w:rPr>
          <w:rFonts w:ascii="Times New Roman" w:hAnsi="Times New Roman"/>
          <w:lang w:val="en-US"/>
        </w:rPr>
        <w:t xml:space="preserve"> the </w:t>
      </w:r>
      <w:r w:rsidRPr="00F70882">
        <w:rPr>
          <w:rFonts w:ascii="Times New Roman" w:hAnsi="Times New Roman"/>
          <w:i/>
          <w:iCs/>
          <w:lang w:val="en-US"/>
        </w:rPr>
        <w:t xml:space="preserve">“feminization of water collection” </w:t>
      </w:r>
      <w:r w:rsidRPr="00F70882">
        <w:rPr>
          <w:rFonts w:ascii="Times New Roman" w:hAnsi="Times New Roman"/>
          <w:lang w:val="en-US"/>
        </w:rPr>
        <w:t xml:space="preserve">is widely reported in global literature, the specific dynamics within Bayelsa’s </w:t>
      </w:r>
      <w:r w:rsidRPr="00F70882">
        <w:rPr>
          <w:rFonts w:ascii="Times New Roman" w:hAnsi="Times New Roman"/>
          <w:lang w:val="en-US"/>
        </w:rPr>
        <w:lastRenderedPageBreak/>
        <w:t xml:space="preserve">riverine communities have received limited empirical attention. The everyday act of fetching water—routine, normalized, and often invisible in policy discourse—has not been sufficiently examined as a mechanism through which inequality and </w:t>
      </w:r>
      <w:r w:rsidR="00F10C98">
        <w:rPr>
          <w:rFonts w:ascii="Times New Roman" w:hAnsi="Times New Roman"/>
          <w:lang w:val="en-US"/>
        </w:rPr>
        <w:t>socio</w:t>
      </w:r>
      <w:r w:rsidRPr="00F70882">
        <w:rPr>
          <w:rFonts w:ascii="Times New Roman" w:hAnsi="Times New Roman"/>
          <w:lang w:val="en-US"/>
        </w:rPr>
        <w:t>economic constraints are reproduced at the household level. Existing studies tend to generalize across sub-Saharan Africa, consistently identifying women and girls as the primary actors in domestic water collection (Dickin &amp; Caretta, 2022; Fisher et al., 2017; Nkolola &amp; Phiri, 2024; World Bank, 2024). For example, recent estimates indicate that women and girls account for about 90% of water collection in South Sudan, 84% in Mozambique and Malawi, 75% in Ethiopia, 72% in the Democratic Republic of the Congo, and 69% in Zambia (World Bank, 2024).</w:t>
      </w:r>
    </w:p>
    <w:p w14:paraId="71A45E1B" w14:textId="77777777" w:rsidR="00F70882" w:rsidRPr="00F70882" w:rsidRDefault="00F70882" w:rsidP="00F70882">
      <w:pPr>
        <w:jc w:val="both"/>
        <w:rPr>
          <w:rFonts w:ascii="Times New Roman" w:hAnsi="Times New Roman"/>
          <w:lang w:val="en-US"/>
        </w:rPr>
      </w:pPr>
      <w:r w:rsidRPr="00F70882">
        <w:rPr>
          <w:rFonts w:ascii="Times New Roman" w:hAnsi="Times New Roman"/>
          <w:lang w:val="en-US"/>
        </w:rPr>
        <w:t xml:space="preserve">These figures </w:t>
      </w:r>
      <w:r w:rsidR="00C179D3">
        <w:rPr>
          <w:rFonts w:ascii="Times New Roman" w:hAnsi="Times New Roman"/>
          <w:lang w:val="en-US"/>
        </w:rPr>
        <w:t xml:space="preserve">above </w:t>
      </w:r>
      <w:r w:rsidRPr="00F70882">
        <w:rPr>
          <w:rFonts w:ascii="Times New Roman" w:hAnsi="Times New Roman"/>
          <w:lang w:val="en-US"/>
        </w:rPr>
        <w:t xml:space="preserve">point to a deeply entrenched and persistent inequality in the distribution of domestic </w:t>
      </w:r>
      <w:proofErr w:type="spellStart"/>
      <w:r w:rsidRPr="00F70882">
        <w:rPr>
          <w:rFonts w:ascii="Times New Roman" w:hAnsi="Times New Roman"/>
          <w:lang w:val="en-US"/>
        </w:rPr>
        <w:t>labour</w:t>
      </w:r>
      <w:proofErr w:type="spellEnd"/>
      <w:r w:rsidRPr="00F70882">
        <w:rPr>
          <w:rFonts w:ascii="Times New Roman" w:hAnsi="Times New Roman"/>
          <w:lang w:val="en-US"/>
        </w:rPr>
        <w:t>. However, it remains unclear whether such patterns hold under the distinct ecological conditions, dispersed settlement structures, and presence of informal water markets that characterize Bayelsa State. The transferability of these regional statistics cannot be assumed, particularly in a setting where water is physically abundant but functionally scarce. This study addresses that uncertainty by examining whether the gendered patterns observed across sub-Saharan Africa are replicated within Bayelsa, thereby providing context-specific evidence from a region where data remain limited and policy assumptions often fail to reflect lived realities.</w:t>
      </w:r>
    </w:p>
    <w:p w14:paraId="49BB1A2F" w14:textId="77777777" w:rsidR="00F70882" w:rsidRPr="00F70882" w:rsidRDefault="00F70882" w:rsidP="00F70882">
      <w:pPr>
        <w:jc w:val="both"/>
        <w:rPr>
          <w:rFonts w:ascii="Times New Roman" w:hAnsi="Times New Roman"/>
          <w:lang w:val="en-US"/>
        </w:rPr>
      </w:pPr>
      <w:r w:rsidRPr="00F70882">
        <w:rPr>
          <w:rFonts w:ascii="Times New Roman" w:hAnsi="Times New Roman"/>
          <w:lang w:val="en-US"/>
        </w:rPr>
        <w:t xml:space="preserve">Such grounding is </w:t>
      </w:r>
      <w:r w:rsidR="00003C3B">
        <w:rPr>
          <w:rFonts w:ascii="Times New Roman" w:hAnsi="Times New Roman"/>
          <w:lang w:val="en-US"/>
        </w:rPr>
        <w:t xml:space="preserve">very </w:t>
      </w:r>
      <w:r w:rsidRPr="00F70882">
        <w:rPr>
          <w:rFonts w:ascii="Times New Roman" w:hAnsi="Times New Roman"/>
          <w:lang w:val="en-US"/>
        </w:rPr>
        <w:t xml:space="preserve">necessary in a state where the persistence of water scarcity within a water-rich environment exposes a deeper structural issue. Access to water is not solely a technical challenge of infrastructure and supply; it is also shaped by social relations, power dynamics, and the everyday organization of </w:t>
      </w:r>
      <w:proofErr w:type="spellStart"/>
      <w:r w:rsidRPr="00F70882">
        <w:rPr>
          <w:rFonts w:ascii="Times New Roman" w:hAnsi="Times New Roman"/>
          <w:lang w:val="en-US"/>
        </w:rPr>
        <w:t>labour</w:t>
      </w:r>
      <w:proofErr w:type="spellEnd"/>
      <w:r w:rsidRPr="00F70882">
        <w:rPr>
          <w:rFonts w:ascii="Times New Roman" w:hAnsi="Times New Roman"/>
          <w:lang w:val="en-US"/>
        </w:rPr>
        <w:t xml:space="preserve"> within households</w:t>
      </w:r>
      <w:r w:rsidR="00F6751F" w:rsidRPr="00F6751F">
        <w:rPr>
          <w:rFonts w:ascii="Times New Roman" w:hAnsi="Times New Roman"/>
          <w:lang w:val="en-US"/>
        </w:rPr>
        <w:t xml:space="preserve"> (</w:t>
      </w:r>
      <w:r w:rsidR="00F6751F" w:rsidRPr="00F6751F">
        <w:rPr>
          <w:rFonts w:ascii="Times New Roman" w:hAnsi="Times New Roman"/>
        </w:rPr>
        <w:t xml:space="preserve">Ohwo, 2019; </w:t>
      </w:r>
      <w:proofErr w:type="spellStart"/>
      <w:r w:rsidR="00F6751F" w:rsidRPr="00F6751F">
        <w:rPr>
          <w:rFonts w:ascii="Times New Roman" w:eastAsia="Times New Roman" w:hAnsi="Times New Roman"/>
        </w:rPr>
        <w:t>Afenfia</w:t>
      </w:r>
      <w:proofErr w:type="spellEnd"/>
      <w:r w:rsidR="00F6751F" w:rsidRPr="00F6751F">
        <w:rPr>
          <w:rFonts w:ascii="Times New Roman" w:eastAsia="Times New Roman" w:hAnsi="Times New Roman"/>
        </w:rPr>
        <w:t xml:space="preserve"> &amp; Ojile, 2025)</w:t>
      </w:r>
      <w:r w:rsidRPr="00F70882">
        <w:rPr>
          <w:rFonts w:ascii="Times New Roman" w:hAnsi="Times New Roman"/>
          <w:lang w:val="en-US"/>
        </w:rPr>
        <w:t>. This duality</w:t>
      </w:r>
      <w:r w:rsidR="00F6751F">
        <w:rPr>
          <w:rFonts w:ascii="Times New Roman" w:hAnsi="Times New Roman"/>
          <w:lang w:val="en-US"/>
        </w:rPr>
        <w:t xml:space="preserve"> </w:t>
      </w:r>
      <w:r w:rsidRPr="00F70882">
        <w:rPr>
          <w:rFonts w:ascii="Times New Roman" w:hAnsi="Times New Roman"/>
          <w:lang w:val="en-US"/>
        </w:rPr>
        <w:t>of environmental abundance and social constraint</w:t>
      </w:r>
      <w:r w:rsidR="00F6751F">
        <w:rPr>
          <w:rFonts w:ascii="Times New Roman" w:hAnsi="Times New Roman"/>
          <w:lang w:val="en-US"/>
        </w:rPr>
        <w:t xml:space="preserve">, </w:t>
      </w:r>
      <w:r w:rsidRPr="00F70882">
        <w:rPr>
          <w:rFonts w:ascii="Times New Roman" w:hAnsi="Times New Roman"/>
          <w:lang w:val="en-US"/>
        </w:rPr>
        <w:t>demands a more nuanced analysis that moves beyond aggregate access indicators.</w:t>
      </w:r>
      <w:r w:rsidR="009D4B35">
        <w:rPr>
          <w:rFonts w:ascii="Times New Roman" w:hAnsi="Times New Roman"/>
          <w:color w:val="FF0000"/>
          <w:lang w:val="en-US"/>
        </w:rPr>
        <w:t xml:space="preserve"> </w:t>
      </w:r>
      <w:r w:rsidRPr="00F70882">
        <w:rPr>
          <w:rFonts w:ascii="Times New Roman" w:hAnsi="Times New Roman"/>
          <w:lang w:val="en-US"/>
        </w:rPr>
        <w:t xml:space="preserve">This study responds directly to that need by examining the distribution and drivers of household water collection in Bayelsa’s riverine communities and assessing its socio-economic implications across time use, education, health, and personal safety. </w:t>
      </w:r>
      <w:r w:rsidR="00003C3B">
        <w:rPr>
          <w:rFonts w:ascii="Times New Roman" w:hAnsi="Times New Roman"/>
          <w:lang w:val="en-US"/>
        </w:rPr>
        <w:t>It specifically, focuses</w:t>
      </w:r>
      <w:r w:rsidRPr="00F70882">
        <w:rPr>
          <w:rFonts w:ascii="Times New Roman" w:hAnsi="Times New Roman"/>
          <w:lang w:val="en-US"/>
        </w:rPr>
        <w:t xml:space="preserve"> on who bears the burden and how that burden is structured, the study reveals </w:t>
      </w:r>
      <w:r w:rsidR="007E54CB">
        <w:rPr>
          <w:rFonts w:ascii="Times New Roman" w:hAnsi="Times New Roman"/>
          <w:lang w:val="en-US"/>
        </w:rPr>
        <w:t xml:space="preserve">if </w:t>
      </w:r>
      <w:r w:rsidRPr="00F70882">
        <w:rPr>
          <w:rFonts w:ascii="Times New Roman" w:hAnsi="Times New Roman"/>
          <w:lang w:val="en-US"/>
        </w:rPr>
        <w:t>routine water access practices reinforce broader patterns of inequality. The contribution is both empirical and practical, offering evidence that captures local complexity and highlights the risks of one-size-fits-all interventions. Centering gender within the analysis provides a stronger basis for designing more responsive and equitable water, sanitation, and hygiene strategies in Bayelsa State and comparable riverine environments across the Niger Delta.</w:t>
      </w:r>
      <w:r w:rsidRPr="00F70882">
        <w:rPr>
          <w:rFonts w:ascii="Times New Roman" w:hAnsi="Times New Roman"/>
          <w:vanish/>
          <w:lang w:val="en-US"/>
        </w:rPr>
        <w:t>Top of Form</w:t>
      </w:r>
    </w:p>
    <w:p w14:paraId="29E857F7" w14:textId="77777777" w:rsidR="00F70882" w:rsidRPr="00F70882" w:rsidRDefault="00F70882" w:rsidP="00F70882">
      <w:pPr>
        <w:jc w:val="both"/>
        <w:rPr>
          <w:rFonts w:ascii="Times New Roman" w:hAnsi="Times New Roman"/>
          <w:vanish/>
          <w:lang w:val="en-US"/>
        </w:rPr>
      </w:pPr>
      <w:r w:rsidRPr="00F70882">
        <w:rPr>
          <w:rFonts w:ascii="Times New Roman" w:hAnsi="Times New Roman"/>
          <w:vanish/>
          <w:lang w:val="en-US"/>
        </w:rPr>
        <w:t>Bottom of Form</w:t>
      </w:r>
    </w:p>
    <w:p w14:paraId="51835EDE" w14:textId="77777777" w:rsidR="00153782" w:rsidRPr="0025108B" w:rsidRDefault="00153782" w:rsidP="0027282F">
      <w:pPr>
        <w:jc w:val="both"/>
        <w:rPr>
          <w:rFonts w:ascii="Times New Roman" w:hAnsi="Times New Roman"/>
        </w:rPr>
      </w:pPr>
      <w:r w:rsidRPr="0025108B">
        <w:rPr>
          <w:rFonts w:ascii="Times New Roman" w:hAnsi="Times New Roman"/>
          <w:b/>
          <w:bCs/>
        </w:rPr>
        <w:t>2.0 MATERIALS AND METHODS</w:t>
      </w:r>
    </w:p>
    <w:p w14:paraId="37DB5712" w14:textId="77777777" w:rsidR="00DF7C4F" w:rsidRPr="00DF7C4F" w:rsidRDefault="00DF7C4F" w:rsidP="00DF7C4F">
      <w:pPr>
        <w:jc w:val="both"/>
        <w:rPr>
          <w:rFonts w:ascii="Times New Roman" w:hAnsi="Times New Roman"/>
          <w:b/>
          <w:bCs/>
          <w:lang w:val="en-US"/>
        </w:rPr>
      </w:pPr>
      <w:r w:rsidRPr="00DF7C4F">
        <w:rPr>
          <w:rFonts w:ascii="Times New Roman" w:hAnsi="Times New Roman"/>
          <w:b/>
          <w:bCs/>
          <w:lang w:val="en-US"/>
        </w:rPr>
        <w:t>2.1 Research Design and Methodological Approach</w:t>
      </w:r>
    </w:p>
    <w:p w14:paraId="74A82102" w14:textId="77777777" w:rsidR="00DF7C4F" w:rsidRPr="00DF7C4F" w:rsidRDefault="00DF7C4F" w:rsidP="00DF7C4F">
      <w:pPr>
        <w:jc w:val="both"/>
        <w:rPr>
          <w:rFonts w:ascii="Times New Roman" w:hAnsi="Times New Roman"/>
          <w:lang w:val="en-US"/>
        </w:rPr>
      </w:pPr>
      <w:r w:rsidRPr="00DF7C4F">
        <w:rPr>
          <w:rFonts w:ascii="Times New Roman" w:hAnsi="Times New Roman"/>
          <w:lang w:val="en-US"/>
        </w:rPr>
        <w:t xml:space="preserve">This study adopted a cross-sectional descriptive research design to examine the gender dynamics and socio-economic implications of household water collection in Bayelsa State. The design involves collecting data from selected households at a single point in time, making it suitable for assessing existing patterns of water access, </w:t>
      </w:r>
      <w:proofErr w:type="spellStart"/>
      <w:r w:rsidRPr="00DF7C4F">
        <w:rPr>
          <w:rFonts w:ascii="Times New Roman" w:hAnsi="Times New Roman"/>
          <w:lang w:val="en-US"/>
        </w:rPr>
        <w:t>labour</w:t>
      </w:r>
      <w:proofErr w:type="spellEnd"/>
      <w:r w:rsidRPr="00DF7C4F">
        <w:rPr>
          <w:rFonts w:ascii="Times New Roman" w:hAnsi="Times New Roman"/>
          <w:lang w:val="en-US"/>
        </w:rPr>
        <w:t xml:space="preserve"> distribution, and associated socio-economic </w:t>
      </w:r>
      <w:r w:rsidRPr="00DF7C4F">
        <w:rPr>
          <w:rFonts w:ascii="Times New Roman" w:hAnsi="Times New Roman"/>
          <w:lang w:val="en-US"/>
        </w:rPr>
        <w:lastRenderedPageBreak/>
        <w:t>outcomes without manipulating any variables (Creswell &amp; Creswell, 2018).</w:t>
      </w:r>
      <w:r>
        <w:rPr>
          <w:rFonts w:ascii="Times New Roman" w:hAnsi="Times New Roman"/>
          <w:lang w:val="en-US"/>
        </w:rPr>
        <w:t xml:space="preserve"> </w:t>
      </w:r>
      <w:r w:rsidRPr="00DF7C4F">
        <w:rPr>
          <w:rFonts w:ascii="Times New Roman" w:hAnsi="Times New Roman"/>
          <w:lang w:val="en-US"/>
        </w:rPr>
        <w:t>The choice of this design is informed by the nature of the research problem.</w:t>
      </w:r>
      <w:r>
        <w:rPr>
          <w:rFonts w:ascii="Times New Roman" w:hAnsi="Times New Roman"/>
          <w:lang w:val="en-US"/>
        </w:rPr>
        <w:t xml:space="preserve"> </w:t>
      </w:r>
      <w:r w:rsidRPr="00DF7C4F">
        <w:rPr>
          <w:rFonts w:ascii="Times New Roman" w:hAnsi="Times New Roman"/>
          <w:lang w:val="en-US"/>
        </w:rPr>
        <w:t>Water collection practices in Bayelsa are embedded in daily household routines and shaped by social norms, particularly gender roles. These patterns cannot be experimentally controlled or altered. A cross-sectional approach therefore allows for the direct observation and analysis of how water collection responsibilities are distributed within households and how they relate to factors such as time use, distance to water sources, and perceived burden.</w:t>
      </w:r>
    </w:p>
    <w:p w14:paraId="710730E6" w14:textId="77777777" w:rsidR="00781889" w:rsidRDefault="00DF7C4F" w:rsidP="00A31463">
      <w:pPr>
        <w:jc w:val="both"/>
        <w:rPr>
          <w:rFonts w:ascii="Times New Roman" w:hAnsi="Times New Roman"/>
          <w:lang w:val="en-US"/>
        </w:rPr>
      </w:pPr>
      <w:r w:rsidRPr="00DF7C4F">
        <w:rPr>
          <w:rFonts w:ascii="Times New Roman" w:hAnsi="Times New Roman"/>
          <w:lang w:val="en-US"/>
        </w:rPr>
        <w:t>To capture both measurable and experiential dimensions of the issue, the study employed a semi-structured methodological approach within a survey framework</w:t>
      </w:r>
      <w:r>
        <w:rPr>
          <w:rFonts w:ascii="Times New Roman" w:hAnsi="Times New Roman"/>
          <w:lang w:val="en-US"/>
        </w:rPr>
        <w:t xml:space="preserve"> (</w:t>
      </w:r>
      <w:r w:rsidRPr="00F70882">
        <w:rPr>
          <w:rFonts w:ascii="Times New Roman" w:hAnsi="Times New Roman"/>
          <w:lang w:val="en-US"/>
        </w:rPr>
        <w:t>Nkolola &amp; Phiri, 2024</w:t>
      </w:r>
      <w:r>
        <w:rPr>
          <w:rFonts w:ascii="Times New Roman" w:hAnsi="Times New Roman"/>
          <w:lang w:val="en-US"/>
        </w:rPr>
        <w:t>)</w:t>
      </w:r>
      <w:r w:rsidRPr="00DF7C4F">
        <w:rPr>
          <w:rFonts w:ascii="Times New Roman" w:hAnsi="Times New Roman"/>
          <w:lang w:val="en-US"/>
        </w:rPr>
        <w:t xml:space="preserve">. Structured questionnaire items were used to generate quantitative data on variables such as </w:t>
      </w:r>
      <w:r w:rsidRPr="00DF7C4F">
        <w:rPr>
          <w:rFonts w:ascii="Times New Roman" w:hAnsi="Times New Roman"/>
        </w:rPr>
        <w:t>the distribution of water collection responsibilities, the presence of gender roles, and the types of challenges experienced by household members</w:t>
      </w:r>
      <w:r w:rsidRPr="00DF7C4F">
        <w:rPr>
          <w:rFonts w:ascii="Times New Roman" w:hAnsi="Times New Roman"/>
          <w:lang w:val="en-US"/>
        </w:rPr>
        <w:t>. This approach provides flexibility in data collection while maintaining consistency in the themes explored across respondents (Aung et al., 2021).</w:t>
      </w:r>
      <w:r>
        <w:rPr>
          <w:rFonts w:ascii="Times New Roman" w:hAnsi="Times New Roman"/>
          <w:lang w:val="en-US"/>
        </w:rPr>
        <w:t xml:space="preserve"> </w:t>
      </w:r>
      <w:r w:rsidR="00781889" w:rsidRPr="00781889">
        <w:rPr>
          <w:rFonts w:ascii="Times New Roman" w:hAnsi="Times New Roman"/>
          <w:lang w:val="en-US"/>
        </w:rPr>
        <w:t xml:space="preserve">The integration of quantitative and qualitative elements provides a comprehensive analytical framework that strengthens the study’s depth. By triangulating measurable patterns with lived experiences, the study moves beyond mere statistical trends to capture the contextual realities of water access in a riverine environment. This approach is essential for identifying how gender roles and ecological constraints intersect to shape </w:t>
      </w:r>
      <w:proofErr w:type="spellStart"/>
      <w:r w:rsidR="00781889" w:rsidRPr="00781889">
        <w:rPr>
          <w:rFonts w:ascii="Times New Roman" w:hAnsi="Times New Roman"/>
          <w:lang w:val="en-US"/>
        </w:rPr>
        <w:t>labo</w:t>
      </w:r>
      <w:r w:rsidR="00781889">
        <w:rPr>
          <w:rFonts w:ascii="Times New Roman" w:hAnsi="Times New Roman"/>
          <w:lang w:val="en-US"/>
        </w:rPr>
        <w:t>u</w:t>
      </w:r>
      <w:r w:rsidR="00781889" w:rsidRPr="00781889">
        <w:rPr>
          <w:rFonts w:ascii="Times New Roman" w:hAnsi="Times New Roman"/>
          <w:lang w:val="en-US"/>
        </w:rPr>
        <w:t>r</w:t>
      </w:r>
      <w:proofErr w:type="spellEnd"/>
      <w:r w:rsidR="00781889" w:rsidRPr="00781889">
        <w:rPr>
          <w:rFonts w:ascii="Times New Roman" w:hAnsi="Times New Roman"/>
          <w:lang w:val="en-US"/>
        </w:rPr>
        <w:t xml:space="preserve"> allocation and socio-economic outcomes</w:t>
      </w:r>
      <w:r w:rsidR="00781889">
        <w:rPr>
          <w:rFonts w:ascii="Times New Roman" w:hAnsi="Times New Roman"/>
          <w:lang w:val="en-US"/>
        </w:rPr>
        <w:t xml:space="preserve">, </w:t>
      </w:r>
      <w:r w:rsidR="00781889" w:rsidRPr="00781889">
        <w:rPr>
          <w:rFonts w:ascii="Times New Roman" w:hAnsi="Times New Roman"/>
          <w:lang w:val="en-US"/>
        </w:rPr>
        <w:t>nuances that a single-method approach might overlook (Dickin &amp; Caretta, 2022; Fisher et al., 2017).</w:t>
      </w:r>
    </w:p>
    <w:p w14:paraId="3BEBEC67" w14:textId="77777777" w:rsidR="00A31463" w:rsidRPr="0025108B" w:rsidRDefault="00781889" w:rsidP="00A31463">
      <w:pPr>
        <w:jc w:val="both"/>
        <w:rPr>
          <w:rFonts w:ascii="Times New Roman" w:hAnsi="Times New Roman"/>
          <w:b/>
          <w:bCs/>
        </w:rPr>
      </w:pPr>
      <w:r>
        <w:rPr>
          <w:rFonts w:ascii="Times New Roman" w:hAnsi="Times New Roman"/>
          <w:b/>
          <w:bCs/>
          <w:lang w:val="en-US"/>
        </w:rPr>
        <w:t xml:space="preserve">2.2 </w:t>
      </w:r>
      <w:r w:rsidR="00A31463" w:rsidRPr="0025108B">
        <w:rPr>
          <w:rFonts w:ascii="Times New Roman" w:hAnsi="Times New Roman"/>
          <w:b/>
          <w:bCs/>
        </w:rPr>
        <w:t>Study Area</w:t>
      </w:r>
    </w:p>
    <w:p w14:paraId="64D90734" w14:textId="77777777" w:rsidR="00A31463" w:rsidRPr="0025108B" w:rsidRDefault="00A31463" w:rsidP="00A31463">
      <w:pPr>
        <w:jc w:val="both"/>
        <w:rPr>
          <w:rFonts w:ascii="Times New Roman" w:hAnsi="Times New Roman"/>
        </w:rPr>
      </w:pPr>
      <w:r w:rsidRPr="0025108B">
        <w:rPr>
          <w:rFonts w:ascii="Times New Roman" w:hAnsi="Times New Roman"/>
        </w:rPr>
        <w:t xml:space="preserve">The study was conducted in Bayelsa State, located in the Niger Delta region </w:t>
      </w:r>
      <w:r w:rsidR="00BF1652" w:rsidRPr="0025108B">
        <w:rPr>
          <w:rFonts w:ascii="Times New Roman" w:hAnsi="Times New Roman"/>
        </w:rPr>
        <w:t xml:space="preserve">of </w:t>
      </w:r>
      <w:r w:rsidRPr="0025108B">
        <w:rPr>
          <w:rFonts w:ascii="Times New Roman" w:hAnsi="Times New Roman"/>
        </w:rPr>
        <w:t xml:space="preserve">Nigeria (4°15′–5°23′ N and 5°22′–6°45′ E). The state is bounded by Delta State to the west and north, Rivers State to the east, and the Atlantic Ocean to the south, with Yenagoa as its administrative capital. Bayelsa occupies approximately 10,773 km² and is </w:t>
      </w:r>
      <w:r w:rsidR="00BF1652" w:rsidRPr="0025108B">
        <w:rPr>
          <w:rFonts w:ascii="Times New Roman" w:hAnsi="Times New Roman"/>
        </w:rPr>
        <w:t>characterized</w:t>
      </w:r>
      <w:r w:rsidRPr="0025108B">
        <w:rPr>
          <w:rFonts w:ascii="Times New Roman" w:hAnsi="Times New Roman"/>
        </w:rPr>
        <w:t xml:space="preserve"> by dispersed settlements linked by waterways and limited road access</w:t>
      </w:r>
      <w:r w:rsidR="00F238AD" w:rsidRPr="0025108B">
        <w:rPr>
          <w:rFonts w:ascii="Times New Roman" w:hAnsi="Times New Roman"/>
        </w:rPr>
        <w:t xml:space="preserve"> (Okonkwo &amp; </w:t>
      </w:r>
      <w:proofErr w:type="spellStart"/>
      <w:r w:rsidR="00F238AD" w:rsidRPr="0025108B">
        <w:rPr>
          <w:rFonts w:ascii="Times New Roman" w:hAnsi="Times New Roman"/>
        </w:rPr>
        <w:t>Ehirim</w:t>
      </w:r>
      <w:proofErr w:type="spellEnd"/>
      <w:r w:rsidR="00F238AD" w:rsidRPr="0025108B">
        <w:rPr>
          <w:rFonts w:ascii="Times New Roman" w:hAnsi="Times New Roman"/>
        </w:rPr>
        <w:t>, 2017)</w:t>
      </w:r>
      <w:r w:rsidRPr="0025108B">
        <w:rPr>
          <w:rFonts w:ascii="Times New Roman" w:hAnsi="Times New Roman"/>
        </w:rPr>
        <w:t>.</w:t>
      </w:r>
      <w:r w:rsidR="00912BBA">
        <w:rPr>
          <w:rFonts w:ascii="Times New Roman" w:hAnsi="Times New Roman"/>
        </w:rPr>
        <w:t xml:space="preserve"> </w:t>
      </w:r>
      <w:r w:rsidR="00912BBA" w:rsidRPr="0025108B">
        <w:rPr>
          <w:rFonts w:ascii="Times New Roman" w:hAnsi="Times New Roman"/>
        </w:rPr>
        <w:t>For the population size of the study area; the study used a census projection with a 3% annual growth rate, the combined population of the selected towns was estimated at 230,027 in 2023 (NPC, 2006).</w:t>
      </w:r>
    </w:p>
    <w:p w14:paraId="74F64348" w14:textId="77777777" w:rsidR="00A31463" w:rsidRPr="0025108B" w:rsidRDefault="00A31463" w:rsidP="00A31463">
      <w:pPr>
        <w:jc w:val="both"/>
        <w:rPr>
          <w:rFonts w:ascii="Times New Roman" w:hAnsi="Times New Roman"/>
        </w:rPr>
      </w:pPr>
      <w:r w:rsidRPr="0025108B">
        <w:rPr>
          <w:rFonts w:ascii="Times New Roman" w:hAnsi="Times New Roman"/>
        </w:rPr>
        <w:t xml:space="preserve">This study is of particular </w:t>
      </w:r>
      <w:r w:rsidR="00B36CA2">
        <w:rPr>
          <w:rFonts w:ascii="Times New Roman" w:hAnsi="Times New Roman"/>
        </w:rPr>
        <w:t>importance</w:t>
      </w:r>
      <w:r w:rsidRPr="0025108B">
        <w:rPr>
          <w:rFonts w:ascii="Times New Roman" w:hAnsi="Times New Roman"/>
        </w:rPr>
        <w:t xml:space="preserve">, because </w:t>
      </w:r>
      <w:r w:rsidR="00BC7158" w:rsidRPr="0025108B">
        <w:rPr>
          <w:rFonts w:ascii="Times New Roman" w:hAnsi="Times New Roman"/>
        </w:rPr>
        <w:t xml:space="preserve">Bayelsa </w:t>
      </w:r>
      <w:r w:rsidRPr="0025108B">
        <w:rPr>
          <w:rFonts w:ascii="Times New Roman" w:hAnsi="Times New Roman"/>
        </w:rPr>
        <w:t>state presents a paradox situation</w:t>
      </w:r>
      <w:r w:rsidR="00427BB8" w:rsidRPr="0025108B">
        <w:rPr>
          <w:rFonts w:ascii="Times New Roman" w:hAnsi="Times New Roman"/>
        </w:rPr>
        <w:t xml:space="preserve"> of where there is abundant surface water but poor or limited access</w:t>
      </w:r>
      <w:r w:rsidRPr="0025108B">
        <w:rPr>
          <w:rFonts w:ascii="Times New Roman" w:hAnsi="Times New Roman"/>
        </w:rPr>
        <w:t xml:space="preserve"> to safe domestic water. The state is intersected by numerous rivers and creeks, including the Nun and Brass rivers, yet many households rely on rainwater harvesting, shallow wells, and surface water sources for daily use. Public water supply infrastructure is sparse and unreliable, particularly outside a few urban centres</w:t>
      </w:r>
      <w:r w:rsidR="00F238AD" w:rsidRPr="0025108B">
        <w:rPr>
          <w:rFonts w:ascii="Times New Roman" w:hAnsi="Times New Roman"/>
        </w:rPr>
        <w:t xml:space="preserve"> (Ohwo, 2019).</w:t>
      </w:r>
      <w:r w:rsidR="00BC7158" w:rsidRPr="0025108B">
        <w:rPr>
          <w:rFonts w:ascii="Times New Roman" w:hAnsi="Times New Roman"/>
        </w:rPr>
        <w:t xml:space="preserve"> This situation is further strained by o</w:t>
      </w:r>
      <w:r w:rsidRPr="0025108B">
        <w:rPr>
          <w:rFonts w:ascii="Times New Roman" w:hAnsi="Times New Roman"/>
        </w:rPr>
        <w:t>il exploration activities, seasonal flooding, and saline intrusion</w:t>
      </w:r>
      <w:r w:rsidR="00BC7158" w:rsidRPr="0025108B">
        <w:rPr>
          <w:rFonts w:ascii="Times New Roman" w:hAnsi="Times New Roman"/>
        </w:rPr>
        <w:t xml:space="preserve"> especially in the coastal communities</w:t>
      </w:r>
      <w:r w:rsidRPr="0025108B">
        <w:rPr>
          <w:rFonts w:ascii="Times New Roman" w:hAnsi="Times New Roman"/>
        </w:rPr>
        <w:t xml:space="preserve"> further reduce the availability of potable water sources, increasing dependence on manual water collection.</w:t>
      </w:r>
    </w:p>
    <w:p w14:paraId="268028DA" w14:textId="77777777" w:rsidR="00A31463" w:rsidRPr="0025108B" w:rsidRDefault="00A31463" w:rsidP="00A31463">
      <w:pPr>
        <w:jc w:val="both"/>
        <w:rPr>
          <w:rFonts w:ascii="Times New Roman" w:hAnsi="Times New Roman"/>
        </w:rPr>
      </w:pPr>
      <w:r w:rsidRPr="0025108B">
        <w:rPr>
          <w:rFonts w:ascii="Times New Roman" w:hAnsi="Times New Roman"/>
        </w:rPr>
        <w:lastRenderedPageBreak/>
        <w:t xml:space="preserve">Against this backdrop, these conditions directly relate to the study objective. Where </w:t>
      </w:r>
      <w:r w:rsidR="00690902" w:rsidRPr="0025108B">
        <w:rPr>
          <w:rFonts w:ascii="Times New Roman" w:hAnsi="Times New Roman"/>
        </w:rPr>
        <w:t xml:space="preserve">in cases </w:t>
      </w:r>
      <w:r w:rsidRPr="0025108B">
        <w:rPr>
          <w:rFonts w:ascii="Times New Roman" w:hAnsi="Times New Roman"/>
        </w:rPr>
        <w:t>piped</w:t>
      </w:r>
      <w:r w:rsidR="00690902" w:rsidRPr="0025108B">
        <w:rPr>
          <w:rFonts w:ascii="Times New Roman" w:hAnsi="Times New Roman"/>
        </w:rPr>
        <w:t xml:space="preserve"> water</w:t>
      </w:r>
      <w:r w:rsidRPr="0025108B">
        <w:rPr>
          <w:rFonts w:ascii="Times New Roman" w:hAnsi="Times New Roman"/>
        </w:rPr>
        <w:t xml:space="preserve"> supply is absent, households must obtain water physically, making water access a labour activity rather than a service. In Bayelsa communities this responsibility is largely socially assigned within households, creating observable gender differences in who collects water and the time and effort involved.</w:t>
      </w:r>
    </w:p>
    <w:p w14:paraId="1DAC0B3D" w14:textId="77777777" w:rsidR="0023599C" w:rsidRDefault="00A31463" w:rsidP="00A31463">
      <w:pPr>
        <w:jc w:val="both"/>
        <w:rPr>
          <w:rFonts w:ascii="Times New Roman" w:hAnsi="Times New Roman"/>
          <w:lang w:val="en-US"/>
        </w:rPr>
      </w:pPr>
      <w:r w:rsidRPr="0025108B">
        <w:rPr>
          <w:rFonts w:ascii="Times New Roman" w:hAnsi="Times New Roman"/>
        </w:rPr>
        <w:t xml:space="preserve">The study focused on the headquarters of the eight Local Government Areas: Twon Brass, Yenagoa, </w:t>
      </w:r>
      <w:proofErr w:type="spellStart"/>
      <w:r w:rsidRPr="0025108B">
        <w:rPr>
          <w:rFonts w:ascii="Times New Roman" w:hAnsi="Times New Roman"/>
        </w:rPr>
        <w:t>Ekeremor</w:t>
      </w:r>
      <w:proofErr w:type="spellEnd"/>
      <w:r w:rsidRPr="0025108B">
        <w:rPr>
          <w:rFonts w:ascii="Times New Roman" w:hAnsi="Times New Roman"/>
        </w:rPr>
        <w:t xml:space="preserve"> Town, </w:t>
      </w:r>
      <w:proofErr w:type="spellStart"/>
      <w:r w:rsidRPr="0025108B">
        <w:rPr>
          <w:rFonts w:ascii="Times New Roman" w:hAnsi="Times New Roman"/>
        </w:rPr>
        <w:t>Ogbia</w:t>
      </w:r>
      <w:proofErr w:type="spellEnd"/>
      <w:r w:rsidRPr="0025108B">
        <w:rPr>
          <w:rFonts w:ascii="Times New Roman" w:hAnsi="Times New Roman"/>
        </w:rPr>
        <w:t xml:space="preserve"> Town, </w:t>
      </w:r>
      <w:proofErr w:type="spellStart"/>
      <w:r w:rsidRPr="0025108B">
        <w:rPr>
          <w:rFonts w:ascii="Times New Roman" w:hAnsi="Times New Roman"/>
        </w:rPr>
        <w:t>Nembe</w:t>
      </w:r>
      <w:proofErr w:type="spellEnd"/>
      <w:r w:rsidRPr="0025108B">
        <w:rPr>
          <w:rFonts w:ascii="Times New Roman" w:hAnsi="Times New Roman"/>
        </w:rPr>
        <w:t xml:space="preserve">, Kaiama, </w:t>
      </w:r>
      <w:proofErr w:type="spellStart"/>
      <w:r w:rsidRPr="0025108B">
        <w:rPr>
          <w:rFonts w:ascii="Times New Roman" w:hAnsi="Times New Roman"/>
        </w:rPr>
        <w:t>Oporoma</w:t>
      </w:r>
      <w:proofErr w:type="spellEnd"/>
      <w:r w:rsidRPr="0025108B">
        <w:rPr>
          <w:rFonts w:ascii="Times New Roman" w:hAnsi="Times New Roman"/>
        </w:rPr>
        <w:t xml:space="preserve">, and </w:t>
      </w:r>
      <w:proofErr w:type="spellStart"/>
      <w:r w:rsidRPr="0025108B">
        <w:rPr>
          <w:rFonts w:ascii="Times New Roman" w:hAnsi="Times New Roman"/>
        </w:rPr>
        <w:t>Sagbama</w:t>
      </w:r>
      <w:proofErr w:type="spellEnd"/>
      <w:r w:rsidRPr="0025108B">
        <w:rPr>
          <w:rFonts w:ascii="Times New Roman" w:hAnsi="Times New Roman"/>
        </w:rPr>
        <w:t xml:space="preserve"> Town</w:t>
      </w:r>
      <w:r w:rsidR="00A7325A" w:rsidRPr="0025108B">
        <w:rPr>
          <w:rFonts w:ascii="Times New Roman" w:hAnsi="Times New Roman"/>
        </w:rPr>
        <w:t xml:space="preserve"> (Fig.</w:t>
      </w:r>
      <w:r w:rsidR="00427BB8" w:rsidRPr="0025108B">
        <w:rPr>
          <w:rFonts w:ascii="Times New Roman" w:hAnsi="Times New Roman"/>
        </w:rPr>
        <w:t>1</w:t>
      </w:r>
      <w:r w:rsidR="00A7325A" w:rsidRPr="0025108B">
        <w:rPr>
          <w:rFonts w:ascii="Times New Roman" w:hAnsi="Times New Roman"/>
        </w:rPr>
        <w:t>)</w:t>
      </w:r>
      <w:r w:rsidRPr="0025108B">
        <w:rPr>
          <w:rFonts w:ascii="Times New Roman" w:hAnsi="Times New Roman"/>
        </w:rPr>
        <w:t xml:space="preserve">. These administrative centres were chosen because they concentrate population, markets, schools, and health facilities while still reflecting surrounding semi-urban and peri-rural conditions. They therefore provide comparable community units across the state for examining household water collection practices, that might reflect that of the whole state, especially in the rural areas of the state, were clean water accessibility is a challenge. </w:t>
      </w:r>
      <w:r w:rsidR="0023599C">
        <w:rPr>
          <w:rFonts w:ascii="Times New Roman" w:hAnsi="Times New Roman"/>
          <w:lang w:val="en-US"/>
        </w:rPr>
        <w:t>While i</w:t>
      </w:r>
      <w:r w:rsidR="0023599C" w:rsidRPr="008E67E7">
        <w:rPr>
          <w:rFonts w:ascii="Times New Roman" w:hAnsi="Times New Roman"/>
          <w:lang w:val="en-US"/>
        </w:rPr>
        <w:t>t is recognized that remote rural settlements may experience more severe water access constraints due to limited infrastructure, longer travel distances, and greater reliance on unimproved water sources. Evidence shows that such communities often face higher time burdens and reduced service coverage compared to semi-urban areas (World Bank, 2024; WHO &amp; UNICEF, 2023). As a result, the findings may not fully capture the extent of water access challenges in the most isolated riverine settlements.</w:t>
      </w:r>
    </w:p>
    <w:p w14:paraId="6C37E70B" w14:textId="77777777" w:rsidR="00912BBA" w:rsidRPr="0023599C" w:rsidRDefault="00912BBA" w:rsidP="00A31463">
      <w:pPr>
        <w:jc w:val="both"/>
        <w:rPr>
          <w:rFonts w:ascii="Times New Roman" w:hAnsi="Times New Roman"/>
          <w:lang w:val="en-US"/>
        </w:rPr>
      </w:pPr>
    </w:p>
    <w:p w14:paraId="37A78091" w14:textId="77777777" w:rsidR="00153782" w:rsidRPr="0025108B" w:rsidRDefault="00616902" w:rsidP="00153782">
      <w:pPr>
        <w:spacing w:after="0" w:line="240" w:lineRule="auto"/>
        <w:jc w:val="both"/>
        <w:rPr>
          <w:rFonts w:ascii="Times New Roman" w:hAnsi="Times New Roman"/>
        </w:rPr>
      </w:pPr>
      <w:r w:rsidRPr="0025108B">
        <w:rPr>
          <w:rFonts w:ascii="Times New Roman" w:hAnsi="Times New Roman"/>
          <w:noProof/>
          <w:color w:val="000000"/>
        </w:rPr>
        <w:lastRenderedPageBreak/>
        <w:drawing>
          <wp:inline distT="0" distB="0" distL="0" distR="0" wp14:anchorId="46EDE985" wp14:editId="302474E0">
            <wp:extent cx="3907790" cy="5053330"/>
            <wp:effectExtent l="19050" t="19050" r="0" b="0"/>
            <wp:docPr id="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7790" cy="5053330"/>
                    </a:xfrm>
                    <a:prstGeom prst="rect">
                      <a:avLst/>
                    </a:prstGeom>
                    <a:noFill/>
                    <a:ln w="9525" cmpd="sng">
                      <a:solidFill>
                        <a:srgbClr val="000000"/>
                      </a:solidFill>
                      <a:miter lim="800000"/>
                      <a:headEnd/>
                      <a:tailEnd/>
                    </a:ln>
                    <a:effectLst/>
                  </pic:spPr>
                </pic:pic>
              </a:graphicData>
            </a:graphic>
          </wp:inline>
        </w:drawing>
      </w:r>
    </w:p>
    <w:p w14:paraId="2FFBFFFC" w14:textId="77777777" w:rsidR="00153782" w:rsidRPr="0025108B" w:rsidRDefault="00153782" w:rsidP="00153782">
      <w:pPr>
        <w:spacing w:after="0" w:line="240" w:lineRule="auto"/>
        <w:jc w:val="both"/>
        <w:rPr>
          <w:rFonts w:ascii="Times New Roman" w:hAnsi="Times New Roman"/>
        </w:rPr>
      </w:pPr>
      <w:r w:rsidRPr="0025108B">
        <w:rPr>
          <w:rFonts w:ascii="Times New Roman" w:hAnsi="Times New Roman"/>
        </w:rPr>
        <w:t>Fig. 1: Map of Bayelsa Showing Sampled Points</w:t>
      </w:r>
    </w:p>
    <w:p w14:paraId="7198410F" w14:textId="77777777" w:rsidR="00153782" w:rsidRDefault="00153782" w:rsidP="00153782">
      <w:pPr>
        <w:spacing w:line="240" w:lineRule="auto"/>
        <w:jc w:val="both"/>
        <w:rPr>
          <w:rFonts w:ascii="Times New Roman" w:hAnsi="Times New Roman"/>
        </w:rPr>
      </w:pPr>
      <w:r w:rsidRPr="0025108B">
        <w:rPr>
          <w:rFonts w:ascii="Times New Roman" w:hAnsi="Times New Roman"/>
        </w:rPr>
        <w:t xml:space="preserve">Source: </w:t>
      </w:r>
      <w:r w:rsidR="00B36CA2" w:rsidRPr="0025108B">
        <w:rPr>
          <w:rFonts w:ascii="Times New Roman" w:hAnsi="Times New Roman"/>
        </w:rPr>
        <w:t>Authors</w:t>
      </w:r>
      <w:r w:rsidR="00B36CA2">
        <w:rPr>
          <w:rFonts w:ascii="Times New Roman" w:hAnsi="Times New Roman"/>
        </w:rPr>
        <w:t xml:space="preserve"> (2</w:t>
      </w:r>
      <w:r w:rsidR="00B36CA2" w:rsidRPr="0025108B">
        <w:rPr>
          <w:rFonts w:ascii="Times New Roman" w:hAnsi="Times New Roman"/>
        </w:rPr>
        <w:t>025)</w:t>
      </w:r>
      <w:r w:rsidR="00B36CA2">
        <w:rPr>
          <w:rFonts w:ascii="Times New Roman" w:hAnsi="Times New Roman"/>
        </w:rPr>
        <w:t>,</w:t>
      </w:r>
      <w:r w:rsidRPr="0025108B">
        <w:rPr>
          <w:rFonts w:ascii="Times New Roman" w:hAnsi="Times New Roman"/>
        </w:rPr>
        <w:t xml:space="preserve"> prepared using ArcGIS 10.8, Department of Environmental Management, Niger Delta University. No third-party copyrighted material used.</w:t>
      </w:r>
    </w:p>
    <w:p w14:paraId="7904C678" w14:textId="77777777" w:rsidR="00D5417E" w:rsidRPr="0025108B" w:rsidRDefault="00D5417E" w:rsidP="00D5417E">
      <w:pPr>
        <w:jc w:val="both"/>
        <w:rPr>
          <w:rFonts w:ascii="Times New Roman" w:hAnsi="Times New Roman"/>
          <w:b/>
          <w:bCs/>
        </w:rPr>
      </w:pPr>
      <w:r w:rsidRPr="0025108B">
        <w:rPr>
          <w:rFonts w:ascii="Times New Roman" w:hAnsi="Times New Roman"/>
          <w:b/>
          <w:bCs/>
        </w:rPr>
        <w:t xml:space="preserve">2.3 Target Population and Eligibility Criteria </w:t>
      </w:r>
    </w:p>
    <w:p w14:paraId="473EEAB2" w14:textId="77777777" w:rsidR="00D5417E" w:rsidRPr="0025108B" w:rsidRDefault="00D5417E" w:rsidP="00D5417E">
      <w:pPr>
        <w:jc w:val="both"/>
        <w:rPr>
          <w:rFonts w:ascii="Times New Roman" w:hAnsi="Times New Roman"/>
        </w:rPr>
      </w:pPr>
      <w:r w:rsidRPr="0025108B">
        <w:rPr>
          <w:rFonts w:ascii="Times New Roman" w:hAnsi="Times New Roman"/>
        </w:rPr>
        <w:t xml:space="preserve">The study population comprised adult residents of households in the eight selected LGA headquarters of Bayelsa State: Twon Brass, Yenagoa, </w:t>
      </w:r>
      <w:proofErr w:type="spellStart"/>
      <w:r w:rsidRPr="0025108B">
        <w:rPr>
          <w:rFonts w:ascii="Times New Roman" w:hAnsi="Times New Roman"/>
        </w:rPr>
        <w:t>Ekeremor</w:t>
      </w:r>
      <w:proofErr w:type="spellEnd"/>
      <w:r w:rsidRPr="0025108B">
        <w:rPr>
          <w:rFonts w:ascii="Times New Roman" w:hAnsi="Times New Roman"/>
        </w:rPr>
        <w:t xml:space="preserve"> Town, </w:t>
      </w:r>
      <w:proofErr w:type="spellStart"/>
      <w:r w:rsidRPr="0025108B">
        <w:rPr>
          <w:rFonts w:ascii="Times New Roman" w:hAnsi="Times New Roman"/>
        </w:rPr>
        <w:t>Ogbia</w:t>
      </w:r>
      <w:proofErr w:type="spellEnd"/>
      <w:r w:rsidRPr="0025108B">
        <w:rPr>
          <w:rFonts w:ascii="Times New Roman" w:hAnsi="Times New Roman"/>
        </w:rPr>
        <w:t xml:space="preserve"> Town, </w:t>
      </w:r>
      <w:proofErr w:type="spellStart"/>
      <w:r w:rsidRPr="0025108B">
        <w:rPr>
          <w:rFonts w:ascii="Times New Roman" w:hAnsi="Times New Roman"/>
        </w:rPr>
        <w:t>Nembe</w:t>
      </w:r>
      <w:proofErr w:type="spellEnd"/>
      <w:r w:rsidRPr="0025108B">
        <w:rPr>
          <w:rFonts w:ascii="Times New Roman" w:hAnsi="Times New Roman"/>
        </w:rPr>
        <w:t xml:space="preserve">, Kaiama, </w:t>
      </w:r>
      <w:proofErr w:type="spellStart"/>
      <w:r w:rsidRPr="0025108B">
        <w:rPr>
          <w:rFonts w:ascii="Times New Roman" w:hAnsi="Times New Roman"/>
        </w:rPr>
        <w:t>Oporoma</w:t>
      </w:r>
      <w:proofErr w:type="spellEnd"/>
      <w:r w:rsidRPr="0025108B">
        <w:rPr>
          <w:rFonts w:ascii="Times New Roman" w:hAnsi="Times New Roman"/>
        </w:rPr>
        <w:t xml:space="preserve">, and </w:t>
      </w:r>
      <w:proofErr w:type="spellStart"/>
      <w:r w:rsidRPr="0025108B">
        <w:rPr>
          <w:rFonts w:ascii="Times New Roman" w:hAnsi="Times New Roman"/>
        </w:rPr>
        <w:t>Sagbama</w:t>
      </w:r>
      <w:proofErr w:type="spellEnd"/>
      <w:r w:rsidRPr="0025108B">
        <w:rPr>
          <w:rFonts w:ascii="Times New Roman" w:hAnsi="Times New Roman"/>
        </w:rPr>
        <w:t xml:space="preserve"> Town. </w:t>
      </w:r>
    </w:p>
    <w:p w14:paraId="53BE874E" w14:textId="77777777" w:rsidR="00D5417E" w:rsidRPr="0025108B" w:rsidRDefault="00D5417E" w:rsidP="00D5417E">
      <w:pPr>
        <w:jc w:val="both"/>
        <w:rPr>
          <w:rFonts w:ascii="Times New Roman" w:hAnsi="Times New Roman"/>
        </w:rPr>
      </w:pPr>
      <w:r w:rsidRPr="0025108B">
        <w:rPr>
          <w:rFonts w:ascii="Times New Roman" w:hAnsi="Times New Roman"/>
        </w:rPr>
        <w:t>Eligible participants were defined as:</w:t>
      </w:r>
    </w:p>
    <w:p w14:paraId="4F59909B" w14:textId="77777777" w:rsidR="00D5417E" w:rsidRPr="0025108B" w:rsidRDefault="00D5417E" w:rsidP="00D5417E">
      <w:pPr>
        <w:pStyle w:val="ListParagraph"/>
        <w:numPr>
          <w:ilvl w:val="0"/>
          <w:numId w:val="2"/>
        </w:numPr>
        <w:jc w:val="both"/>
        <w:rPr>
          <w:rFonts w:ascii="Times New Roman" w:hAnsi="Times New Roman"/>
        </w:rPr>
      </w:pPr>
      <w:r w:rsidRPr="0025108B">
        <w:rPr>
          <w:rFonts w:ascii="Times New Roman" w:hAnsi="Times New Roman"/>
        </w:rPr>
        <w:t>Adults aged 18 years and above</w:t>
      </w:r>
    </w:p>
    <w:p w14:paraId="3A0D58E9" w14:textId="77777777" w:rsidR="00D5417E" w:rsidRPr="0025108B" w:rsidRDefault="00D5417E" w:rsidP="00D5417E">
      <w:pPr>
        <w:pStyle w:val="ListParagraph"/>
        <w:numPr>
          <w:ilvl w:val="0"/>
          <w:numId w:val="2"/>
        </w:numPr>
        <w:jc w:val="both"/>
        <w:rPr>
          <w:rFonts w:ascii="Times New Roman" w:hAnsi="Times New Roman"/>
        </w:rPr>
      </w:pPr>
      <w:r w:rsidRPr="0025108B">
        <w:rPr>
          <w:rFonts w:ascii="Times New Roman" w:hAnsi="Times New Roman"/>
        </w:rPr>
        <w:t>Permanent household members who have lived in the community for at least six months</w:t>
      </w:r>
    </w:p>
    <w:p w14:paraId="2D18AAE0" w14:textId="77777777" w:rsidR="00D5417E" w:rsidRPr="0025108B" w:rsidRDefault="00D5417E" w:rsidP="00D5417E">
      <w:pPr>
        <w:pStyle w:val="ListParagraph"/>
        <w:numPr>
          <w:ilvl w:val="0"/>
          <w:numId w:val="2"/>
        </w:numPr>
        <w:jc w:val="both"/>
        <w:rPr>
          <w:rFonts w:ascii="Times New Roman" w:hAnsi="Times New Roman"/>
        </w:rPr>
      </w:pPr>
      <w:r w:rsidRPr="0025108B">
        <w:rPr>
          <w:rFonts w:ascii="Times New Roman" w:hAnsi="Times New Roman"/>
        </w:rPr>
        <w:t>Primary water collectors within the household (the person responsible for fetching water), or in their absence, a household member knowledgeable about water collection practices</w:t>
      </w:r>
      <w:r w:rsidR="006A63D4">
        <w:rPr>
          <w:rFonts w:ascii="Times New Roman" w:hAnsi="Times New Roman"/>
        </w:rPr>
        <w:t xml:space="preserve"> </w:t>
      </w:r>
      <w:r w:rsidR="006A63D4">
        <w:rPr>
          <w:rFonts w:ascii="Times New Roman" w:hAnsi="Times New Roman"/>
          <w:lang w:val="en-US"/>
        </w:rPr>
        <w:t>(</w:t>
      </w:r>
      <w:r w:rsidR="006A63D4" w:rsidRPr="00F70882">
        <w:rPr>
          <w:rFonts w:ascii="Times New Roman" w:hAnsi="Times New Roman"/>
          <w:lang w:val="en-US"/>
        </w:rPr>
        <w:t>Nkolola &amp; Phiri, 2024</w:t>
      </w:r>
      <w:r w:rsidR="006A63D4">
        <w:rPr>
          <w:rFonts w:ascii="Times New Roman" w:hAnsi="Times New Roman"/>
          <w:lang w:val="en-US"/>
        </w:rPr>
        <w:t>)</w:t>
      </w:r>
      <w:r w:rsidR="006A63D4" w:rsidRPr="00DF7C4F">
        <w:rPr>
          <w:rFonts w:ascii="Times New Roman" w:hAnsi="Times New Roman"/>
          <w:lang w:val="en-US"/>
        </w:rPr>
        <w:t>.</w:t>
      </w:r>
    </w:p>
    <w:p w14:paraId="2660311D" w14:textId="77777777" w:rsidR="00D5417E" w:rsidRPr="0025108B" w:rsidRDefault="00D5417E" w:rsidP="00D5417E">
      <w:pPr>
        <w:jc w:val="both"/>
        <w:rPr>
          <w:rFonts w:ascii="Times New Roman" w:hAnsi="Times New Roman"/>
        </w:rPr>
      </w:pPr>
      <w:r w:rsidRPr="0025108B">
        <w:rPr>
          <w:rFonts w:ascii="Times New Roman" w:hAnsi="Times New Roman"/>
        </w:rPr>
        <w:lastRenderedPageBreak/>
        <w:t>This approach ensured that respondents could accurately provide information on water access, collection responsibilities, and gendered experiences related to water fetching. Only one respondent per household was selected to avoid duplication and maintain consistency in data collection.</w:t>
      </w:r>
    </w:p>
    <w:p w14:paraId="5348E1ED" w14:textId="77777777" w:rsidR="00D5417E" w:rsidRPr="0025108B" w:rsidRDefault="00D5417E" w:rsidP="00D5417E">
      <w:pPr>
        <w:jc w:val="both"/>
        <w:rPr>
          <w:rFonts w:ascii="Times New Roman" w:hAnsi="Times New Roman"/>
        </w:rPr>
      </w:pPr>
      <w:r w:rsidRPr="0025108B">
        <w:rPr>
          <w:rFonts w:ascii="Times New Roman" w:hAnsi="Times New Roman"/>
          <w:b/>
          <w:bCs/>
        </w:rPr>
        <w:t>2.4</w:t>
      </w:r>
      <w:r w:rsidRPr="0025108B">
        <w:rPr>
          <w:rFonts w:ascii="Times New Roman" w:hAnsi="Times New Roman"/>
        </w:rPr>
        <w:t xml:space="preserve"> </w:t>
      </w:r>
      <w:r w:rsidRPr="0025108B">
        <w:rPr>
          <w:rFonts w:ascii="Times New Roman" w:hAnsi="Times New Roman"/>
          <w:b/>
          <w:bCs/>
        </w:rPr>
        <w:t>Sample Size Determination</w:t>
      </w:r>
    </w:p>
    <w:p w14:paraId="2E102A60" w14:textId="77777777" w:rsidR="00D5417E" w:rsidRPr="0025108B" w:rsidRDefault="00D5417E" w:rsidP="00D5417E">
      <w:pPr>
        <w:jc w:val="both"/>
        <w:rPr>
          <w:rFonts w:ascii="Times New Roman" w:hAnsi="Times New Roman"/>
        </w:rPr>
      </w:pPr>
      <w:r w:rsidRPr="0025108B">
        <w:rPr>
          <w:rFonts w:ascii="Times New Roman" w:hAnsi="Times New Roman"/>
        </w:rPr>
        <w:t>The sample size for the study was determined using the Taro Yamane formula (Yamane, 1967) with a 95% confidence level and a 5% margin of error. The projected 2023 population for the eight selected LGA headquarters was 230,027.</w:t>
      </w:r>
    </w:p>
    <w:p w14:paraId="3D366038" w14:textId="77777777" w:rsidR="00D5417E" w:rsidRPr="0025108B" w:rsidRDefault="00D5417E" w:rsidP="00D5417E">
      <w:pPr>
        <w:jc w:val="both"/>
        <w:rPr>
          <w:rFonts w:ascii="Times New Roman" w:hAnsi="Times New Roman"/>
        </w:rPr>
      </w:pPr>
      <w:r w:rsidRPr="0025108B">
        <w:rPr>
          <w:rFonts w:ascii="Times New Roman" w:hAnsi="Times New Roman"/>
        </w:rPr>
        <w:t>The formula is:</w:t>
      </w:r>
    </w:p>
    <w:p w14:paraId="6A1618C9" w14:textId="77777777" w:rsidR="00614362" w:rsidRPr="0025108B" w:rsidRDefault="00F33A8E" w:rsidP="00D5417E">
      <w:pPr>
        <w:jc w:val="both"/>
        <w:rPr>
          <w:rFonts w:ascii="Times New Roman" w:hAnsi="Times New Roman"/>
        </w:rPr>
      </w:pPr>
      <w:r w:rsidRPr="0025108B">
        <w:rPr>
          <w:rFonts w:ascii="Times New Roman" w:hAnsi="Times New Roman"/>
        </w:rPr>
        <w:fldChar w:fldCharType="begin"/>
      </w:r>
      <w:r w:rsidRPr="0025108B">
        <w:rPr>
          <w:rFonts w:ascii="Times New Roman" w:hAnsi="Times New Roman"/>
        </w:rPr>
        <w:instrText xml:space="preserve"> QUOTE </w:instrText>
      </w:r>
      <w:r w:rsidR="00AA6C1B">
        <w:rPr>
          <w:noProof/>
          <w:position w:val="-16"/>
        </w:rPr>
        <w:pict w14:anchorId="7ABE1B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3.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31463&quot;/&gt;&lt;wsp:rsid wsp:val=&quot;0000054E&quot;/&gt;&lt;wsp:rsid wsp:val=&quot;00063059&quot;/&gt;&lt;wsp:rsid wsp:val=&quot;000F7CDA&quot;/&gt;&lt;wsp:rsid wsp:val=&quot;00104BD6&quot;/&gt;&lt;wsp:rsid wsp:val=&quot;00153782&quot;/&gt;&lt;wsp:rsid wsp:val=&quot;001D0406&quot;/&gt;&lt;wsp:rsid wsp:val=&quot;001F2FC3&quot;/&gt;&lt;wsp:rsid wsp:val=&quot;00205E07&quot;/&gt;&lt;wsp:rsid wsp:val=&quot;00263BE9&quot;/&gt;&lt;wsp:rsid wsp:val=&quot;00275DAF&quot;/&gt;&lt;wsp:rsid wsp:val=&quot;002928E8&quot;/&gt;&lt;wsp:rsid wsp:val=&quot;0029320E&quot;/&gt;&lt;wsp:rsid wsp:val=&quot;002B59F3&quot;/&gt;&lt;wsp:rsid wsp:val=&quot;002E7325&quot;/&gt;&lt;wsp:rsid wsp:val=&quot;00307B82&quot;/&gt;&lt;wsp:rsid wsp:val=&quot;00344E0E&quot;/&gt;&lt;wsp:rsid wsp:val=&quot;003576AA&quot;/&gt;&lt;wsp:rsid wsp:val=&quot;00381D89&quot;/&gt;&lt;wsp:rsid wsp:val=&quot;00396A94&quot;/&gt;&lt;wsp:rsid wsp:val=&quot;00427266&quot;/&gt;&lt;wsp:rsid wsp:val=&quot;00427BB8&quot;/&gt;&lt;wsp:rsid wsp:val=&quot;00465334&quot;/&gt;&lt;wsp:rsid wsp:val=&quot;00477F23&quot;/&gt;&lt;wsp:rsid wsp:val=&quot;004C0752&quot;/&gt;&lt;wsp:rsid wsp:val=&quot;004E6465&quot;/&gt;&lt;wsp:rsid wsp:val=&quot;005221DF&quot;/&gt;&lt;wsp:rsid wsp:val=&quot;00530D93&quot;/&gt;&lt;wsp:rsid wsp:val=&quot;00537995&quot;/&gt;&lt;wsp:rsid wsp:val=&quot;005823E6&quot;/&gt;&lt;wsp:rsid wsp:val=&quot;005F70FE&quot;/&gt;&lt;wsp:rsid wsp:val=&quot;00614362&quot;/&gt;&lt;wsp:rsid wsp:val=&quot;00632678&quot;/&gt;&lt;wsp:rsid wsp:val=&quot;006354E5&quot;/&gt;&lt;wsp:rsid wsp:val=&quot;00670812&quot;/&gt;&lt;wsp:rsid wsp:val=&quot;00675B35&quot;/&gt;&lt;wsp:rsid wsp:val=&quot;00690902&quot;/&gt;&lt;wsp:rsid wsp:val=&quot;00690A7F&quot;/&gt;&lt;wsp:rsid wsp:val=&quot;006C759B&quot;/&gt;&lt;wsp:rsid wsp:val=&quot;00716ABC&quot;/&gt;&lt;wsp:rsid wsp:val=&quot;0073016F&quot;/&gt;&lt;wsp:rsid wsp:val=&quot;00737E20&quot;/&gt;&lt;wsp:rsid wsp:val=&quot;00781D90&quot;/&gt;&lt;wsp:rsid wsp:val=&quot;00786EB1&quot;/&gt;&lt;wsp:rsid wsp:val=&quot;00787041&quot;/&gt;&lt;wsp:rsid wsp:val=&quot;007D429A&quot;/&gt;&lt;wsp:rsid wsp:val=&quot;007D7160&quot;/&gt;&lt;wsp:rsid wsp:val=&quot;007F151F&quot;/&gt;&lt;wsp:rsid wsp:val=&quot;008359B6&quot;/&gt;&lt;wsp:rsid wsp:val=&quot;0086065E&quot;/&gt;&lt;wsp:rsid wsp:val=&quot;00883382&quot;/&gt;&lt;wsp:rsid wsp:val=&quot;008A676F&quot;/&gt;&lt;wsp:rsid wsp:val=&quot;00942B53&quot;/&gt;&lt;wsp:rsid wsp:val=&quot;00961CE8&quot;/&gt;&lt;wsp:rsid wsp:val=&quot;00970FEA&quot;/&gt;&lt;wsp:rsid wsp:val=&quot;00A31463&quot;/&gt;&lt;wsp:rsid wsp:val=&quot;00A47474&quot;/&gt;&lt;wsp:rsid wsp:val=&quot;00A554B6&quot;/&gt;&lt;wsp:rsid wsp:val=&quot;00A67180&quot;/&gt;&lt;wsp:rsid wsp:val=&quot;00A7325A&quot;/&gt;&lt;wsp:rsid wsp:val=&quot;00A95A6E&quot;/&gt;&lt;wsp:rsid wsp:val=&quot;00AC14C7&quot;/&gt;&lt;wsp:rsid wsp:val=&quot;00B06E9C&quot;/&gt;&lt;wsp:rsid wsp:val=&quot;00B11516&quot;/&gt;&lt;wsp:rsid wsp:val=&quot;00B54A10&quot;/&gt;&lt;wsp:rsid wsp:val=&quot;00B73EC3&quot;/&gt;&lt;wsp:rsid wsp:val=&quot;00B90478&quot;/&gt;&lt;wsp:rsid wsp:val=&quot;00BA4B66&quot;/&gt;&lt;wsp:rsid wsp:val=&quot;00BB0F04&quot;/&gt;&lt;wsp:rsid wsp:val=&quot;00BC38A6&quot;/&gt;&lt;wsp:rsid wsp:val=&quot;00BC3F56&quot;/&gt;&lt;wsp:rsid wsp:val=&quot;00BC7158&quot;/&gt;&lt;wsp:rsid wsp:val=&quot;00BF1652&quot;/&gt;&lt;wsp:rsid wsp:val=&quot;00BF7D72&quot;/&gt;&lt;wsp:rsid wsp:val=&quot;00C03610&quot;/&gt;&lt;wsp:rsid wsp:val=&quot;00C27245&quot;/&gt;&lt;wsp:rsid wsp:val=&quot;00C7408C&quot;/&gt;&lt;wsp:rsid wsp:val=&quot;00CA7969&quot;/&gt;&lt;wsp:rsid wsp:val=&quot;00CC1B44&quot;/&gt;&lt;wsp:rsid wsp:val=&quot;00CC7CAC&quot;/&gt;&lt;wsp:rsid wsp:val=&quot;00CE2FEB&quot;/&gt;&lt;wsp:rsid wsp:val=&quot;00D5417E&quot;/&gt;&lt;wsp:rsid wsp:val=&quot;00DA6B39&quot;/&gt;&lt;wsp:rsid wsp:val=&quot;00E17709&quot;/&gt;&lt;wsp:rsid wsp:val=&quot;00E449C7&quot;/&gt;&lt;wsp:rsid wsp:val=&quot;00E57B69&quot;/&gt;&lt;wsp:rsid wsp:val=&quot;00ED6C8B&quot;/&gt;&lt;wsp:rsid wsp:val=&quot;00EE03BC&quot;/&gt;&lt;wsp:rsid wsp:val=&quot;00F238AD&quot;/&gt;&lt;wsp:rsid wsp:val=&quot;00F33A8E&quot;/&gt;&lt;wsp:rsid wsp:val=&quot;00F42594&quot;/&gt;&lt;wsp:rsid wsp:val=&quot;00F721F2&quot;/&gt;&lt;wsp:rsid wsp:val=&quot;00F84FD2&quot;/&gt;&lt;wsp:rsid wsp:val=&quot;00F86088&quot;/&gt;&lt;wsp:rsid wsp:val=&quot;00FE668F&quot;/&gt;&lt;/wsp:rsids&gt;&lt;/w:docPr&gt;&lt;w:body&gt;&lt;wx:sect&gt;&lt;w:p wsp:rsidR=&quot;00E17709&quot; wsp:rsidRDefault=&quot;00E17709&quot; wsp:rsidP=&quot;00E17709&quot;&gt;&lt;m:oMathPara&gt;&lt;m:oMath&gt;&lt;m:r&gt;&lt;w:rPr&gt;&lt;w:rFonts w:ascii=&quot;Cambria Math&quot; w:h-ansi=&quot;Cambria Math&quot;/&gt;&lt;wx:font wx:val=&quot;Cambria Math&quot;/&gt;&lt;w:i/&gt;&lt;/w:rPr&gt;&lt;m:t&gt;n=&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N&lt;/m:t&gt;&lt;/m:r&gt;&lt;/m:num&gt;&lt;m:den&gt;&lt;m:r&gt;&lt;w:rPr&gt;&lt;w:rFonts w:ascii=&quot;Cambria Math&quot; w:h-ansi=&quot;Cambria Math&quot;/&gt;&lt;wx:font wx:val=&quot;Cambria Math&quot;/&gt;&lt;w:i/&gt;&lt;/w:rPr&gt;&lt;m:t&gt;1+NÃ—&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e&lt;/m:t&gt;&lt;/m:r&gt;&lt;/m:e&gt;&lt;m:sup&gt;&lt;m:r&gt;&lt;w:rPr&gt;&lt;w:rFonts w:ascii=&quot;Cambria Math&quot; w:h-ansi=&quot;Cambria Math&quot;/&gt;&lt;wx:font wx:val=&quot;Cambria Math&quot;/&gt;&lt;w:i/&gt;&lt;/w:rPr&gt;&lt;m:t&gt;2&lt;/m:t&gt;&lt;/m:r&gt;&lt;/m:sup&gt;&lt;/m:sSup&gt;&lt;/m:den&gt;&lt;/m:f&gt;&lt;m:r&gt;&lt;w:rPr&gt;&lt;w:rFonts w:ascii=&quot;Cambria Math&quot; w:h-ans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25108B">
        <w:rPr>
          <w:rFonts w:ascii="Times New Roman" w:hAnsi="Times New Roman"/>
        </w:rPr>
        <w:instrText xml:space="preserve"> </w:instrText>
      </w:r>
      <w:r w:rsidRPr="0025108B">
        <w:rPr>
          <w:rFonts w:ascii="Times New Roman" w:hAnsi="Times New Roman"/>
        </w:rPr>
        <w:fldChar w:fldCharType="separate"/>
      </w:r>
      <w:r w:rsidR="00AA6C1B">
        <w:rPr>
          <w:noProof/>
          <w:position w:val="-16"/>
        </w:rPr>
        <w:pict w14:anchorId="5466B189">
          <v:shape id="_x0000_i1026" type="#_x0000_t75" style="width:77.25pt;height:23.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31463&quot;/&gt;&lt;wsp:rsid wsp:val=&quot;0000054E&quot;/&gt;&lt;wsp:rsid wsp:val=&quot;00063059&quot;/&gt;&lt;wsp:rsid wsp:val=&quot;000F7CDA&quot;/&gt;&lt;wsp:rsid wsp:val=&quot;00104BD6&quot;/&gt;&lt;wsp:rsid wsp:val=&quot;00153782&quot;/&gt;&lt;wsp:rsid wsp:val=&quot;001D0406&quot;/&gt;&lt;wsp:rsid wsp:val=&quot;001F2FC3&quot;/&gt;&lt;wsp:rsid wsp:val=&quot;00205E07&quot;/&gt;&lt;wsp:rsid wsp:val=&quot;00263BE9&quot;/&gt;&lt;wsp:rsid wsp:val=&quot;00275DAF&quot;/&gt;&lt;wsp:rsid wsp:val=&quot;002928E8&quot;/&gt;&lt;wsp:rsid wsp:val=&quot;0029320E&quot;/&gt;&lt;wsp:rsid wsp:val=&quot;002B59F3&quot;/&gt;&lt;wsp:rsid wsp:val=&quot;002E7325&quot;/&gt;&lt;wsp:rsid wsp:val=&quot;00307B82&quot;/&gt;&lt;wsp:rsid wsp:val=&quot;00344E0E&quot;/&gt;&lt;wsp:rsid wsp:val=&quot;003576AA&quot;/&gt;&lt;wsp:rsid wsp:val=&quot;00381D89&quot;/&gt;&lt;wsp:rsid wsp:val=&quot;00396A94&quot;/&gt;&lt;wsp:rsid wsp:val=&quot;00427266&quot;/&gt;&lt;wsp:rsid wsp:val=&quot;00427BB8&quot;/&gt;&lt;wsp:rsid wsp:val=&quot;00465334&quot;/&gt;&lt;wsp:rsid wsp:val=&quot;00477F23&quot;/&gt;&lt;wsp:rsid wsp:val=&quot;004C0752&quot;/&gt;&lt;wsp:rsid wsp:val=&quot;004E6465&quot;/&gt;&lt;wsp:rsid wsp:val=&quot;005221DF&quot;/&gt;&lt;wsp:rsid wsp:val=&quot;00530D93&quot;/&gt;&lt;wsp:rsid wsp:val=&quot;00537995&quot;/&gt;&lt;wsp:rsid wsp:val=&quot;005823E6&quot;/&gt;&lt;wsp:rsid wsp:val=&quot;005F70FE&quot;/&gt;&lt;wsp:rsid wsp:val=&quot;00614362&quot;/&gt;&lt;wsp:rsid wsp:val=&quot;00632678&quot;/&gt;&lt;wsp:rsid wsp:val=&quot;006354E5&quot;/&gt;&lt;wsp:rsid wsp:val=&quot;00670812&quot;/&gt;&lt;wsp:rsid wsp:val=&quot;00675B35&quot;/&gt;&lt;wsp:rsid wsp:val=&quot;00690902&quot;/&gt;&lt;wsp:rsid wsp:val=&quot;00690A7F&quot;/&gt;&lt;wsp:rsid wsp:val=&quot;006C759B&quot;/&gt;&lt;wsp:rsid wsp:val=&quot;00716ABC&quot;/&gt;&lt;wsp:rsid wsp:val=&quot;0073016F&quot;/&gt;&lt;wsp:rsid wsp:val=&quot;00737E20&quot;/&gt;&lt;wsp:rsid wsp:val=&quot;00781D90&quot;/&gt;&lt;wsp:rsid wsp:val=&quot;00786EB1&quot;/&gt;&lt;wsp:rsid wsp:val=&quot;00787041&quot;/&gt;&lt;wsp:rsid wsp:val=&quot;007D429A&quot;/&gt;&lt;wsp:rsid wsp:val=&quot;007D7160&quot;/&gt;&lt;wsp:rsid wsp:val=&quot;007F151F&quot;/&gt;&lt;wsp:rsid wsp:val=&quot;008359B6&quot;/&gt;&lt;wsp:rsid wsp:val=&quot;0086065E&quot;/&gt;&lt;wsp:rsid wsp:val=&quot;00883382&quot;/&gt;&lt;wsp:rsid wsp:val=&quot;008A676F&quot;/&gt;&lt;wsp:rsid wsp:val=&quot;00942B53&quot;/&gt;&lt;wsp:rsid wsp:val=&quot;00961CE8&quot;/&gt;&lt;wsp:rsid wsp:val=&quot;00970FEA&quot;/&gt;&lt;wsp:rsid wsp:val=&quot;00A31463&quot;/&gt;&lt;wsp:rsid wsp:val=&quot;00A47474&quot;/&gt;&lt;wsp:rsid wsp:val=&quot;00A554B6&quot;/&gt;&lt;wsp:rsid wsp:val=&quot;00A67180&quot;/&gt;&lt;wsp:rsid wsp:val=&quot;00A7325A&quot;/&gt;&lt;wsp:rsid wsp:val=&quot;00A95A6E&quot;/&gt;&lt;wsp:rsid wsp:val=&quot;00AC14C7&quot;/&gt;&lt;wsp:rsid wsp:val=&quot;00B06E9C&quot;/&gt;&lt;wsp:rsid wsp:val=&quot;00B11516&quot;/&gt;&lt;wsp:rsid wsp:val=&quot;00B54A10&quot;/&gt;&lt;wsp:rsid wsp:val=&quot;00B73EC3&quot;/&gt;&lt;wsp:rsid wsp:val=&quot;00B90478&quot;/&gt;&lt;wsp:rsid wsp:val=&quot;00BA4B66&quot;/&gt;&lt;wsp:rsid wsp:val=&quot;00BB0F04&quot;/&gt;&lt;wsp:rsid wsp:val=&quot;00BC38A6&quot;/&gt;&lt;wsp:rsid wsp:val=&quot;00BC3F56&quot;/&gt;&lt;wsp:rsid wsp:val=&quot;00BC7158&quot;/&gt;&lt;wsp:rsid wsp:val=&quot;00BF1652&quot;/&gt;&lt;wsp:rsid wsp:val=&quot;00BF7D72&quot;/&gt;&lt;wsp:rsid wsp:val=&quot;00C03610&quot;/&gt;&lt;wsp:rsid wsp:val=&quot;00C27245&quot;/&gt;&lt;wsp:rsid wsp:val=&quot;00C7408C&quot;/&gt;&lt;wsp:rsid wsp:val=&quot;00CA7969&quot;/&gt;&lt;wsp:rsid wsp:val=&quot;00CC1B44&quot;/&gt;&lt;wsp:rsid wsp:val=&quot;00CC7CAC&quot;/&gt;&lt;wsp:rsid wsp:val=&quot;00CE2FEB&quot;/&gt;&lt;wsp:rsid wsp:val=&quot;00D5417E&quot;/&gt;&lt;wsp:rsid wsp:val=&quot;00DA6B39&quot;/&gt;&lt;wsp:rsid wsp:val=&quot;00E17709&quot;/&gt;&lt;wsp:rsid wsp:val=&quot;00E449C7&quot;/&gt;&lt;wsp:rsid wsp:val=&quot;00E57B69&quot;/&gt;&lt;wsp:rsid wsp:val=&quot;00ED6C8B&quot;/&gt;&lt;wsp:rsid wsp:val=&quot;00EE03BC&quot;/&gt;&lt;wsp:rsid wsp:val=&quot;00F238AD&quot;/&gt;&lt;wsp:rsid wsp:val=&quot;00F33A8E&quot;/&gt;&lt;wsp:rsid wsp:val=&quot;00F42594&quot;/&gt;&lt;wsp:rsid wsp:val=&quot;00F721F2&quot;/&gt;&lt;wsp:rsid wsp:val=&quot;00F84FD2&quot;/&gt;&lt;wsp:rsid wsp:val=&quot;00F86088&quot;/&gt;&lt;wsp:rsid wsp:val=&quot;00FE668F&quot;/&gt;&lt;/wsp:rsids&gt;&lt;/w:docPr&gt;&lt;w:body&gt;&lt;wx:sect&gt;&lt;w:p wsp:rsidR=&quot;00E17709&quot; wsp:rsidRDefault=&quot;00E17709&quot; wsp:rsidP=&quot;00E17709&quot;&gt;&lt;m:oMathPara&gt;&lt;m:oMath&gt;&lt;m:r&gt;&lt;w:rPr&gt;&lt;w:rFonts w:ascii=&quot;Cambria Math&quot; w:h-ansi=&quot;Cambria Math&quot;/&gt;&lt;wx:font wx:val=&quot;Cambria Math&quot;/&gt;&lt;w:i/&gt;&lt;/w:rPr&gt;&lt;m:t&gt;n=&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N&lt;/m:t&gt;&lt;/m:r&gt;&lt;/m:num&gt;&lt;m:den&gt;&lt;m:r&gt;&lt;w:rPr&gt;&lt;w:rFonts w:ascii=&quot;Cambria Math&quot; w:h-ansi=&quot;Cambria Math&quot;/&gt;&lt;wx:font wx:val=&quot;Cambria Math&quot;/&gt;&lt;w:i/&gt;&lt;/w:rPr&gt;&lt;m:t&gt;1+NÃ—&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e&lt;/m:t&gt;&lt;/m:r&gt;&lt;/m:e&gt;&lt;m:sup&gt;&lt;m:r&gt;&lt;w:rPr&gt;&lt;w:rFonts w:ascii=&quot;Cambria Math&quot; w:h-ansi=&quot;Cambria Math&quot;/&gt;&lt;wx:font wx:val=&quot;Cambria Math&quot;/&gt;&lt;w:i/&gt;&lt;/w:rPr&gt;&lt;m:t&gt;2&lt;/m:t&gt;&lt;/m:r&gt;&lt;/m:sup&gt;&lt;/m:sSup&gt;&lt;/m:den&gt;&lt;/m:f&gt;&lt;m:r&gt;&lt;w:rPr&gt;&lt;w:rFonts w:ascii=&quot;Cambria Math&quot; w:h-ans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25108B">
        <w:rPr>
          <w:rFonts w:ascii="Times New Roman" w:hAnsi="Times New Roman"/>
        </w:rPr>
        <w:fldChar w:fldCharType="end"/>
      </w:r>
      <w:r w:rsidR="00614362" w:rsidRPr="0025108B">
        <w:rPr>
          <w:rFonts w:ascii="Times New Roman" w:hAnsi="Times New Roman"/>
        </w:rPr>
        <w:t>…………………………………………….………...</w:t>
      </w:r>
      <w:proofErr w:type="spellStart"/>
      <w:r w:rsidR="00614362" w:rsidRPr="0025108B">
        <w:rPr>
          <w:rFonts w:ascii="Times New Roman" w:hAnsi="Times New Roman"/>
        </w:rPr>
        <w:t>equa</w:t>
      </w:r>
      <w:proofErr w:type="spellEnd"/>
      <w:r w:rsidR="00614362" w:rsidRPr="0025108B">
        <w:rPr>
          <w:rFonts w:ascii="Times New Roman" w:hAnsi="Times New Roman"/>
        </w:rPr>
        <w:t>. 1</w:t>
      </w:r>
    </w:p>
    <w:p w14:paraId="6CC1CC0E" w14:textId="77777777" w:rsidR="00D5417E" w:rsidRPr="0025108B" w:rsidRDefault="00D5417E" w:rsidP="00D5417E">
      <w:pPr>
        <w:jc w:val="both"/>
        <w:rPr>
          <w:rFonts w:ascii="Times New Roman" w:hAnsi="Times New Roman"/>
        </w:rPr>
      </w:pPr>
      <w:r w:rsidRPr="0025108B">
        <w:rPr>
          <w:rFonts w:ascii="Times New Roman" w:hAnsi="Times New Roman"/>
        </w:rPr>
        <w:t>Where:</w:t>
      </w:r>
    </w:p>
    <w:p w14:paraId="61BE2AA6" w14:textId="77777777" w:rsidR="00D5417E" w:rsidRPr="0025108B" w:rsidRDefault="00F33A8E" w:rsidP="00D5417E">
      <w:pPr>
        <w:numPr>
          <w:ilvl w:val="0"/>
          <w:numId w:val="3"/>
        </w:numPr>
        <w:jc w:val="both"/>
        <w:rPr>
          <w:rFonts w:ascii="Times New Roman" w:hAnsi="Times New Roman"/>
        </w:rPr>
      </w:pPr>
      <w:r w:rsidRPr="0025108B">
        <w:rPr>
          <w:rFonts w:ascii="Times New Roman" w:hAnsi="Times New Roman"/>
        </w:rPr>
        <w:fldChar w:fldCharType="begin"/>
      </w:r>
      <w:r w:rsidRPr="0025108B">
        <w:rPr>
          <w:rFonts w:ascii="Times New Roman" w:hAnsi="Times New Roman"/>
        </w:rPr>
        <w:instrText xml:space="preserve"> QUOTE </w:instrText>
      </w:r>
      <w:r w:rsidR="00AA6C1B">
        <w:rPr>
          <w:noProof/>
          <w:position w:val="-9"/>
        </w:rPr>
        <w:pict w14:anchorId="40751E26">
          <v:shape id="_x0000_i1027" type="#_x0000_t75" style="width:6.75pt;height:17.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31463&quot;/&gt;&lt;wsp:rsid wsp:val=&quot;0000054E&quot;/&gt;&lt;wsp:rsid wsp:val=&quot;00063059&quot;/&gt;&lt;wsp:rsid wsp:val=&quot;000F7CDA&quot;/&gt;&lt;wsp:rsid wsp:val=&quot;00104BD6&quot;/&gt;&lt;wsp:rsid wsp:val=&quot;00153782&quot;/&gt;&lt;wsp:rsid wsp:val=&quot;001D0406&quot;/&gt;&lt;wsp:rsid wsp:val=&quot;001F2FC3&quot;/&gt;&lt;wsp:rsid wsp:val=&quot;00205E07&quot;/&gt;&lt;wsp:rsid wsp:val=&quot;00263BE9&quot;/&gt;&lt;wsp:rsid wsp:val=&quot;00275DAF&quot;/&gt;&lt;wsp:rsid wsp:val=&quot;002928E8&quot;/&gt;&lt;wsp:rsid wsp:val=&quot;0029320E&quot;/&gt;&lt;wsp:rsid wsp:val=&quot;002B59F3&quot;/&gt;&lt;wsp:rsid wsp:val=&quot;002E7325&quot;/&gt;&lt;wsp:rsid wsp:val=&quot;00307B82&quot;/&gt;&lt;wsp:rsid wsp:val=&quot;00344E0E&quot;/&gt;&lt;wsp:rsid wsp:val=&quot;003576AA&quot;/&gt;&lt;wsp:rsid wsp:val=&quot;00381D89&quot;/&gt;&lt;wsp:rsid wsp:val=&quot;00396A94&quot;/&gt;&lt;wsp:rsid wsp:val=&quot;00427266&quot;/&gt;&lt;wsp:rsid wsp:val=&quot;00427BB8&quot;/&gt;&lt;wsp:rsid wsp:val=&quot;00465334&quot;/&gt;&lt;wsp:rsid wsp:val=&quot;00477F23&quot;/&gt;&lt;wsp:rsid wsp:val=&quot;004C0752&quot;/&gt;&lt;wsp:rsid wsp:val=&quot;004E6465&quot;/&gt;&lt;wsp:rsid wsp:val=&quot;005221DF&quot;/&gt;&lt;wsp:rsid wsp:val=&quot;00530D93&quot;/&gt;&lt;wsp:rsid wsp:val=&quot;00537995&quot;/&gt;&lt;wsp:rsid wsp:val=&quot;005823E6&quot;/&gt;&lt;wsp:rsid wsp:val=&quot;005F70FE&quot;/&gt;&lt;wsp:rsid wsp:val=&quot;00614362&quot;/&gt;&lt;wsp:rsid wsp:val=&quot;00632678&quot;/&gt;&lt;wsp:rsid wsp:val=&quot;006354E5&quot;/&gt;&lt;wsp:rsid wsp:val=&quot;00670812&quot;/&gt;&lt;wsp:rsid wsp:val=&quot;00675B35&quot;/&gt;&lt;wsp:rsid wsp:val=&quot;00690902&quot;/&gt;&lt;wsp:rsid wsp:val=&quot;00690A7F&quot;/&gt;&lt;wsp:rsid wsp:val=&quot;006C759B&quot;/&gt;&lt;wsp:rsid wsp:val=&quot;00716ABC&quot;/&gt;&lt;wsp:rsid wsp:val=&quot;0073016F&quot;/&gt;&lt;wsp:rsid wsp:val=&quot;00737E20&quot;/&gt;&lt;wsp:rsid wsp:val=&quot;00781D90&quot;/&gt;&lt;wsp:rsid wsp:val=&quot;00786EB1&quot;/&gt;&lt;wsp:rsid wsp:val=&quot;00787041&quot;/&gt;&lt;wsp:rsid wsp:val=&quot;007D429A&quot;/&gt;&lt;wsp:rsid wsp:val=&quot;007D7160&quot;/&gt;&lt;wsp:rsid wsp:val=&quot;007F151F&quot;/&gt;&lt;wsp:rsid wsp:val=&quot;008359B6&quot;/&gt;&lt;wsp:rsid wsp:val=&quot;0086065E&quot;/&gt;&lt;wsp:rsid wsp:val=&quot;00883382&quot;/&gt;&lt;wsp:rsid wsp:val=&quot;008A676F&quot;/&gt;&lt;wsp:rsid wsp:val=&quot;00942B53&quot;/&gt;&lt;wsp:rsid wsp:val=&quot;00961CE8&quot;/&gt;&lt;wsp:rsid wsp:val=&quot;00970FEA&quot;/&gt;&lt;wsp:rsid wsp:val=&quot;00A31463&quot;/&gt;&lt;wsp:rsid wsp:val=&quot;00A47474&quot;/&gt;&lt;wsp:rsid wsp:val=&quot;00A554B6&quot;/&gt;&lt;wsp:rsid wsp:val=&quot;00A67180&quot;/&gt;&lt;wsp:rsid wsp:val=&quot;00A7325A&quot;/&gt;&lt;wsp:rsid wsp:val=&quot;00A95A6E&quot;/&gt;&lt;wsp:rsid wsp:val=&quot;00AC14C7&quot;/&gt;&lt;wsp:rsid wsp:val=&quot;00B06E9C&quot;/&gt;&lt;wsp:rsid wsp:val=&quot;00B11516&quot;/&gt;&lt;wsp:rsid wsp:val=&quot;00B160EC&quot;/&gt;&lt;wsp:rsid wsp:val=&quot;00B54A10&quot;/&gt;&lt;wsp:rsid wsp:val=&quot;00B73EC3&quot;/&gt;&lt;wsp:rsid wsp:val=&quot;00B90478&quot;/&gt;&lt;wsp:rsid wsp:val=&quot;00BA4B66&quot;/&gt;&lt;wsp:rsid wsp:val=&quot;00BB0F04&quot;/&gt;&lt;wsp:rsid wsp:val=&quot;00BC38A6&quot;/&gt;&lt;wsp:rsid wsp:val=&quot;00BC3F56&quot;/&gt;&lt;wsp:rsid wsp:val=&quot;00BC7158&quot;/&gt;&lt;wsp:rsid wsp:val=&quot;00BF1652&quot;/&gt;&lt;wsp:rsid wsp:val=&quot;00BF7D72&quot;/&gt;&lt;wsp:rsid wsp:val=&quot;00C03610&quot;/&gt;&lt;wsp:rsid wsp:val=&quot;00C27245&quot;/&gt;&lt;wsp:rsid wsp:val=&quot;00C7408C&quot;/&gt;&lt;wsp:rsid wsp:val=&quot;00CA7969&quot;/&gt;&lt;wsp:rsid wsp:val=&quot;00CC1B44&quot;/&gt;&lt;wsp:rsid wsp:val=&quot;00CC7CAC&quot;/&gt;&lt;wsp:rsid wsp:val=&quot;00CE2FEB&quot;/&gt;&lt;wsp:rsid wsp:val=&quot;00D5417E&quot;/&gt;&lt;wsp:rsid wsp:val=&quot;00DA6B39&quot;/&gt;&lt;wsp:rsid wsp:val=&quot;00E449C7&quot;/&gt;&lt;wsp:rsid wsp:val=&quot;00E57B69&quot;/&gt;&lt;wsp:rsid wsp:val=&quot;00ED6C8B&quot;/&gt;&lt;wsp:rsid wsp:val=&quot;00EE03BC&quot;/&gt;&lt;wsp:rsid wsp:val=&quot;00F238AD&quot;/&gt;&lt;wsp:rsid wsp:val=&quot;00F33A8E&quot;/&gt;&lt;wsp:rsid wsp:val=&quot;00F42594&quot;/&gt;&lt;wsp:rsid wsp:val=&quot;00F721F2&quot;/&gt;&lt;wsp:rsid wsp:val=&quot;00F84FD2&quot;/&gt;&lt;wsp:rsid wsp:val=&quot;00F86088&quot;/&gt;&lt;wsp:rsid wsp:val=&quot;00FE668F&quot;/&gt;&lt;/wsp:rsids&gt;&lt;/w:docPr&gt;&lt;w:body&gt;&lt;wx:sect&gt;&lt;w:p wsp:rsidR=&quot;00B160EC&quot; wsp:rsidRDefault=&quot;00B160EC&quot; wsp:rsidP=&quot;00B160EC&quot;&gt;&lt;m:oMathPara&gt;&lt;m:oMath&gt;&lt;m:r&gt;&lt;w:rPr&gt;&lt;w:rFonts w:ascii=&quot;Cambria Math&quot; w:h-ansi=&quot;Cambria Math&quot;/&gt;&lt;wx:font wx:val=&quot;Cambria Math&quot;/&gt;&lt;w:i/&gt;&lt;/w:rPr&gt;&lt;m:t&gt;n&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25108B">
        <w:rPr>
          <w:rFonts w:ascii="Times New Roman" w:hAnsi="Times New Roman"/>
        </w:rPr>
        <w:instrText xml:space="preserve"> </w:instrText>
      </w:r>
      <w:r w:rsidRPr="0025108B">
        <w:rPr>
          <w:rFonts w:ascii="Times New Roman" w:hAnsi="Times New Roman"/>
        </w:rPr>
        <w:fldChar w:fldCharType="separate"/>
      </w:r>
      <w:r w:rsidR="00AA6C1B">
        <w:rPr>
          <w:noProof/>
          <w:position w:val="-9"/>
        </w:rPr>
        <w:pict w14:anchorId="61C21089">
          <v:shape id="_x0000_i1028" type="#_x0000_t75" style="width:6.75pt;height:17.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31463&quot;/&gt;&lt;wsp:rsid wsp:val=&quot;0000054E&quot;/&gt;&lt;wsp:rsid wsp:val=&quot;00063059&quot;/&gt;&lt;wsp:rsid wsp:val=&quot;000F7CDA&quot;/&gt;&lt;wsp:rsid wsp:val=&quot;00104BD6&quot;/&gt;&lt;wsp:rsid wsp:val=&quot;00153782&quot;/&gt;&lt;wsp:rsid wsp:val=&quot;001D0406&quot;/&gt;&lt;wsp:rsid wsp:val=&quot;001F2FC3&quot;/&gt;&lt;wsp:rsid wsp:val=&quot;00205E07&quot;/&gt;&lt;wsp:rsid wsp:val=&quot;00263BE9&quot;/&gt;&lt;wsp:rsid wsp:val=&quot;00275DAF&quot;/&gt;&lt;wsp:rsid wsp:val=&quot;002928E8&quot;/&gt;&lt;wsp:rsid wsp:val=&quot;0029320E&quot;/&gt;&lt;wsp:rsid wsp:val=&quot;002B59F3&quot;/&gt;&lt;wsp:rsid wsp:val=&quot;002E7325&quot;/&gt;&lt;wsp:rsid wsp:val=&quot;00307B82&quot;/&gt;&lt;wsp:rsid wsp:val=&quot;00344E0E&quot;/&gt;&lt;wsp:rsid wsp:val=&quot;003576AA&quot;/&gt;&lt;wsp:rsid wsp:val=&quot;00381D89&quot;/&gt;&lt;wsp:rsid wsp:val=&quot;00396A94&quot;/&gt;&lt;wsp:rsid wsp:val=&quot;00427266&quot;/&gt;&lt;wsp:rsid wsp:val=&quot;00427BB8&quot;/&gt;&lt;wsp:rsid wsp:val=&quot;00465334&quot;/&gt;&lt;wsp:rsid wsp:val=&quot;00477F23&quot;/&gt;&lt;wsp:rsid wsp:val=&quot;004C0752&quot;/&gt;&lt;wsp:rsid wsp:val=&quot;004E6465&quot;/&gt;&lt;wsp:rsid wsp:val=&quot;005221DF&quot;/&gt;&lt;wsp:rsid wsp:val=&quot;00530D93&quot;/&gt;&lt;wsp:rsid wsp:val=&quot;00537995&quot;/&gt;&lt;wsp:rsid wsp:val=&quot;005823E6&quot;/&gt;&lt;wsp:rsid wsp:val=&quot;005F70FE&quot;/&gt;&lt;wsp:rsid wsp:val=&quot;00614362&quot;/&gt;&lt;wsp:rsid wsp:val=&quot;00632678&quot;/&gt;&lt;wsp:rsid wsp:val=&quot;006354E5&quot;/&gt;&lt;wsp:rsid wsp:val=&quot;00670812&quot;/&gt;&lt;wsp:rsid wsp:val=&quot;00675B35&quot;/&gt;&lt;wsp:rsid wsp:val=&quot;00690902&quot;/&gt;&lt;wsp:rsid wsp:val=&quot;00690A7F&quot;/&gt;&lt;wsp:rsid wsp:val=&quot;006C759B&quot;/&gt;&lt;wsp:rsid wsp:val=&quot;00716ABC&quot;/&gt;&lt;wsp:rsid wsp:val=&quot;0073016F&quot;/&gt;&lt;wsp:rsid wsp:val=&quot;00737E20&quot;/&gt;&lt;wsp:rsid wsp:val=&quot;00781D90&quot;/&gt;&lt;wsp:rsid wsp:val=&quot;00786EB1&quot;/&gt;&lt;wsp:rsid wsp:val=&quot;00787041&quot;/&gt;&lt;wsp:rsid wsp:val=&quot;007D429A&quot;/&gt;&lt;wsp:rsid wsp:val=&quot;007D7160&quot;/&gt;&lt;wsp:rsid wsp:val=&quot;007F151F&quot;/&gt;&lt;wsp:rsid wsp:val=&quot;008359B6&quot;/&gt;&lt;wsp:rsid wsp:val=&quot;0086065E&quot;/&gt;&lt;wsp:rsid wsp:val=&quot;00883382&quot;/&gt;&lt;wsp:rsid wsp:val=&quot;008A676F&quot;/&gt;&lt;wsp:rsid wsp:val=&quot;00942B53&quot;/&gt;&lt;wsp:rsid wsp:val=&quot;00961CE8&quot;/&gt;&lt;wsp:rsid wsp:val=&quot;00970FEA&quot;/&gt;&lt;wsp:rsid wsp:val=&quot;00A31463&quot;/&gt;&lt;wsp:rsid wsp:val=&quot;00A47474&quot;/&gt;&lt;wsp:rsid wsp:val=&quot;00A554B6&quot;/&gt;&lt;wsp:rsid wsp:val=&quot;00A67180&quot;/&gt;&lt;wsp:rsid wsp:val=&quot;00A7325A&quot;/&gt;&lt;wsp:rsid wsp:val=&quot;00A95A6E&quot;/&gt;&lt;wsp:rsid wsp:val=&quot;00AC14C7&quot;/&gt;&lt;wsp:rsid wsp:val=&quot;00B06E9C&quot;/&gt;&lt;wsp:rsid wsp:val=&quot;00B11516&quot;/&gt;&lt;wsp:rsid wsp:val=&quot;00B160EC&quot;/&gt;&lt;wsp:rsid wsp:val=&quot;00B54A10&quot;/&gt;&lt;wsp:rsid wsp:val=&quot;00B73EC3&quot;/&gt;&lt;wsp:rsid wsp:val=&quot;00B90478&quot;/&gt;&lt;wsp:rsid wsp:val=&quot;00BA4B66&quot;/&gt;&lt;wsp:rsid wsp:val=&quot;00BB0F04&quot;/&gt;&lt;wsp:rsid wsp:val=&quot;00BC38A6&quot;/&gt;&lt;wsp:rsid wsp:val=&quot;00BC3F56&quot;/&gt;&lt;wsp:rsid wsp:val=&quot;00BC7158&quot;/&gt;&lt;wsp:rsid wsp:val=&quot;00BF1652&quot;/&gt;&lt;wsp:rsid wsp:val=&quot;00BF7D72&quot;/&gt;&lt;wsp:rsid wsp:val=&quot;00C03610&quot;/&gt;&lt;wsp:rsid wsp:val=&quot;00C27245&quot;/&gt;&lt;wsp:rsid wsp:val=&quot;00C7408C&quot;/&gt;&lt;wsp:rsid wsp:val=&quot;00CA7969&quot;/&gt;&lt;wsp:rsid wsp:val=&quot;00CC1B44&quot;/&gt;&lt;wsp:rsid wsp:val=&quot;00CC7CAC&quot;/&gt;&lt;wsp:rsid wsp:val=&quot;00CE2FEB&quot;/&gt;&lt;wsp:rsid wsp:val=&quot;00D5417E&quot;/&gt;&lt;wsp:rsid wsp:val=&quot;00DA6B39&quot;/&gt;&lt;wsp:rsid wsp:val=&quot;00E449C7&quot;/&gt;&lt;wsp:rsid wsp:val=&quot;00E57B69&quot;/&gt;&lt;wsp:rsid wsp:val=&quot;00ED6C8B&quot;/&gt;&lt;wsp:rsid wsp:val=&quot;00EE03BC&quot;/&gt;&lt;wsp:rsid wsp:val=&quot;00F238AD&quot;/&gt;&lt;wsp:rsid wsp:val=&quot;00F33A8E&quot;/&gt;&lt;wsp:rsid wsp:val=&quot;00F42594&quot;/&gt;&lt;wsp:rsid wsp:val=&quot;00F721F2&quot;/&gt;&lt;wsp:rsid wsp:val=&quot;00F84FD2&quot;/&gt;&lt;wsp:rsid wsp:val=&quot;00F86088&quot;/&gt;&lt;wsp:rsid wsp:val=&quot;00FE668F&quot;/&gt;&lt;/wsp:rsids&gt;&lt;/w:docPr&gt;&lt;w:body&gt;&lt;wx:sect&gt;&lt;w:p wsp:rsidR=&quot;00B160EC&quot; wsp:rsidRDefault=&quot;00B160EC&quot; wsp:rsidP=&quot;00B160EC&quot;&gt;&lt;m:oMathPara&gt;&lt;m:oMath&gt;&lt;m:r&gt;&lt;w:rPr&gt;&lt;w:rFonts w:ascii=&quot;Cambria Math&quot; w:h-ansi=&quot;Cambria Math&quot;/&gt;&lt;wx:font wx:val=&quot;Cambria Math&quot;/&gt;&lt;w:i/&gt;&lt;/w:rPr&gt;&lt;m:t&gt;n&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25108B">
        <w:rPr>
          <w:rFonts w:ascii="Times New Roman" w:hAnsi="Times New Roman"/>
        </w:rPr>
        <w:fldChar w:fldCharType="end"/>
      </w:r>
      <w:r w:rsidR="00D5417E" w:rsidRPr="0025108B">
        <w:rPr>
          <w:rFonts w:ascii="Times New Roman" w:hAnsi="Times New Roman"/>
        </w:rPr>
        <w:t>= sample size</w:t>
      </w:r>
    </w:p>
    <w:p w14:paraId="5776FBFE" w14:textId="77777777" w:rsidR="00D5417E" w:rsidRPr="0025108B" w:rsidRDefault="00F33A8E" w:rsidP="00D5417E">
      <w:pPr>
        <w:numPr>
          <w:ilvl w:val="0"/>
          <w:numId w:val="3"/>
        </w:numPr>
        <w:jc w:val="both"/>
        <w:rPr>
          <w:rFonts w:ascii="Times New Roman" w:hAnsi="Times New Roman"/>
        </w:rPr>
      </w:pPr>
      <w:r w:rsidRPr="0025108B">
        <w:rPr>
          <w:rFonts w:ascii="Times New Roman" w:hAnsi="Times New Roman"/>
        </w:rPr>
        <w:fldChar w:fldCharType="begin"/>
      </w:r>
      <w:r w:rsidRPr="0025108B">
        <w:rPr>
          <w:rFonts w:ascii="Times New Roman" w:hAnsi="Times New Roman"/>
        </w:rPr>
        <w:instrText xml:space="preserve"> QUOTE </w:instrText>
      </w:r>
      <w:r w:rsidR="00AA6C1B">
        <w:rPr>
          <w:noProof/>
          <w:position w:val="-9"/>
        </w:rPr>
        <w:pict w14:anchorId="3F279DA4">
          <v:shape id="_x0000_i1029" type="#_x0000_t75" style="width:9.75pt;height:17.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31463&quot;/&gt;&lt;wsp:rsid wsp:val=&quot;0000054E&quot;/&gt;&lt;wsp:rsid wsp:val=&quot;00063059&quot;/&gt;&lt;wsp:rsid wsp:val=&quot;000F7CDA&quot;/&gt;&lt;wsp:rsid wsp:val=&quot;00104BD6&quot;/&gt;&lt;wsp:rsid wsp:val=&quot;00153782&quot;/&gt;&lt;wsp:rsid wsp:val=&quot;001D0406&quot;/&gt;&lt;wsp:rsid wsp:val=&quot;001F2FC3&quot;/&gt;&lt;wsp:rsid wsp:val=&quot;00205E07&quot;/&gt;&lt;wsp:rsid wsp:val=&quot;00263BE9&quot;/&gt;&lt;wsp:rsid wsp:val=&quot;00275DAF&quot;/&gt;&lt;wsp:rsid wsp:val=&quot;002928E8&quot;/&gt;&lt;wsp:rsid wsp:val=&quot;0029320E&quot;/&gt;&lt;wsp:rsid wsp:val=&quot;002B59F3&quot;/&gt;&lt;wsp:rsid wsp:val=&quot;002E7325&quot;/&gt;&lt;wsp:rsid wsp:val=&quot;00307B82&quot;/&gt;&lt;wsp:rsid wsp:val=&quot;00344E0E&quot;/&gt;&lt;wsp:rsid wsp:val=&quot;003576AA&quot;/&gt;&lt;wsp:rsid wsp:val=&quot;00381D89&quot;/&gt;&lt;wsp:rsid wsp:val=&quot;00396A94&quot;/&gt;&lt;wsp:rsid wsp:val=&quot;00427266&quot;/&gt;&lt;wsp:rsid wsp:val=&quot;00427BB8&quot;/&gt;&lt;wsp:rsid wsp:val=&quot;00465334&quot;/&gt;&lt;wsp:rsid wsp:val=&quot;00477F23&quot;/&gt;&lt;wsp:rsid wsp:val=&quot;004C0752&quot;/&gt;&lt;wsp:rsid wsp:val=&quot;004E6465&quot;/&gt;&lt;wsp:rsid wsp:val=&quot;005221DF&quot;/&gt;&lt;wsp:rsid wsp:val=&quot;00530D93&quot;/&gt;&lt;wsp:rsid wsp:val=&quot;00537995&quot;/&gt;&lt;wsp:rsid wsp:val=&quot;005823E6&quot;/&gt;&lt;wsp:rsid wsp:val=&quot;005F70FE&quot;/&gt;&lt;wsp:rsid wsp:val=&quot;00614362&quot;/&gt;&lt;wsp:rsid wsp:val=&quot;00632678&quot;/&gt;&lt;wsp:rsid wsp:val=&quot;006354E5&quot;/&gt;&lt;wsp:rsid wsp:val=&quot;00670812&quot;/&gt;&lt;wsp:rsid wsp:val=&quot;00675B35&quot;/&gt;&lt;wsp:rsid wsp:val=&quot;00690902&quot;/&gt;&lt;wsp:rsid wsp:val=&quot;00690A7F&quot;/&gt;&lt;wsp:rsid wsp:val=&quot;006C759B&quot;/&gt;&lt;wsp:rsid wsp:val=&quot;00716ABC&quot;/&gt;&lt;wsp:rsid wsp:val=&quot;0073016F&quot;/&gt;&lt;wsp:rsid wsp:val=&quot;00737E20&quot;/&gt;&lt;wsp:rsid wsp:val=&quot;00781D90&quot;/&gt;&lt;wsp:rsid wsp:val=&quot;00786EB1&quot;/&gt;&lt;wsp:rsid wsp:val=&quot;00787041&quot;/&gt;&lt;wsp:rsid wsp:val=&quot;007D429A&quot;/&gt;&lt;wsp:rsid wsp:val=&quot;007D7160&quot;/&gt;&lt;wsp:rsid wsp:val=&quot;007F151F&quot;/&gt;&lt;wsp:rsid wsp:val=&quot;008359B6&quot;/&gt;&lt;wsp:rsid wsp:val=&quot;0086065E&quot;/&gt;&lt;wsp:rsid wsp:val=&quot;00883382&quot;/&gt;&lt;wsp:rsid wsp:val=&quot;008A676F&quot;/&gt;&lt;wsp:rsid wsp:val=&quot;008B1694&quot;/&gt;&lt;wsp:rsid wsp:val=&quot;00942B53&quot;/&gt;&lt;wsp:rsid wsp:val=&quot;00961CE8&quot;/&gt;&lt;wsp:rsid wsp:val=&quot;00970FEA&quot;/&gt;&lt;wsp:rsid wsp:val=&quot;00A31463&quot;/&gt;&lt;wsp:rsid wsp:val=&quot;00A47474&quot;/&gt;&lt;wsp:rsid wsp:val=&quot;00A554B6&quot;/&gt;&lt;wsp:rsid wsp:val=&quot;00A67180&quot;/&gt;&lt;wsp:rsid wsp:val=&quot;00A7325A&quot;/&gt;&lt;wsp:rsid wsp:val=&quot;00A95A6E&quot;/&gt;&lt;wsp:rsid wsp:val=&quot;00AC14C7&quot;/&gt;&lt;wsp:rsid wsp:val=&quot;00B06E9C&quot;/&gt;&lt;wsp:rsid wsp:val=&quot;00B11516&quot;/&gt;&lt;wsp:rsid wsp:val=&quot;00B54A10&quot;/&gt;&lt;wsp:rsid wsp:val=&quot;00B73EC3&quot;/&gt;&lt;wsp:rsid wsp:val=&quot;00B90478&quot;/&gt;&lt;wsp:rsid wsp:val=&quot;00BA4B66&quot;/&gt;&lt;wsp:rsid wsp:val=&quot;00BB0F04&quot;/&gt;&lt;wsp:rsid wsp:val=&quot;00BC38A6&quot;/&gt;&lt;wsp:rsid wsp:val=&quot;00BC3F56&quot;/&gt;&lt;wsp:rsid wsp:val=&quot;00BC7158&quot;/&gt;&lt;wsp:rsid wsp:val=&quot;00BF1652&quot;/&gt;&lt;wsp:rsid wsp:val=&quot;00BF7D72&quot;/&gt;&lt;wsp:rsid wsp:val=&quot;00C03610&quot;/&gt;&lt;wsp:rsid wsp:val=&quot;00C27245&quot;/&gt;&lt;wsp:rsid wsp:val=&quot;00C7408C&quot;/&gt;&lt;wsp:rsid wsp:val=&quot;00CA7969&quot;/&gt;&lt;wsp:rsid wsp:val=&quot;00CC1B44&quot;/&gt;&lt;wsp:rsid wsp:val=&quot;00CC7CAC&quot;/&gt;&lt;wsp:rsid wsp:val=&quot;00CE2FEB&quot;/&gt;&lt;wsp:rsid wsp:val=&quot;00D5417E&quot;/&gt;&lt;wsp:rsid wsp:val=&quot;00DA6B39&quot;/&gt;&lt;wsp:rsid wsp:val=&quot;00E449C7&quot;/&gt;&lt;wsp:rsid wsp:val=&quot;00E57B69&quot;/&gt;&lt;wsp:rsid wsp:val=&quot;00ED6C8B&quot;/&gt;&lt;wsp:rsid wsp:val=&quot;00EE03BC&quot;/&gt;&lt;wsp:rsid wsp:val=&quot;00F238AD&quot;/&gt;&lt;wsp:rsid wsp:val=&quot;00F33A8E&quot;/&gt;&lt;wsp:rsid wsp:val=&quot;00F42594&quot;/&gt;&lt;wsp:rsid wsp:val=&quot;00F721F2&quot;/&gt;&lt;wsp:rsid wsp:val=&quot;00F84FD2&quot;/&gt;&lt;wsp:rsid wsp:val=&quot;00F86088&quot;/&gt;&lt;wsp:rsid wsp:val=&quot;00FE668F&quot;/&gt;&lt;/wsp:rsids&gt;&lt;/w:docPr&gt;&lt;w:body&gt;&lt;wx:sect&gt;&lt;w:p wsp:rsidR=&quot;008B1694&quot; wsp:rsidRDefault=&quot;008B1694&quot; wsp:rsidP=&quot;008B1694&quot;&gt;&lt;m:oMathPara&gt;&lt;m:oMath&gt;&lt;m:r&gt;&lt;w:rPr&gt;&lt;w:rFonts w:ascii=&quot;Cambria Math&quot; w:h-ansi=&quot;Cambria Math&quot;/&gt;&lt;wx:font wx:val=&quot;Cambria Math&quot;/&gt;&lt;w:i/&gt;&lt;/w:rPr&gt;&lt;m:t&gt;N&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25108B">
        <w:rPr>
          <w:rFonts w:ascii="Times New Roman" w:hAnsi="Times New Roman"/>
        </w:rPr>
        <w:instrText xml:space="preserve"> </w:instrText>
      </w:r>
      <w:r w:rsidRPr="0025108B">
        <w:rPr>
          <w:rFonts w:ascii="Times New Roman" w:hAnsi="Times New Roman"/>
        </w:rPr>
        <w:fldChar w:fldCharType="separate"/>
      </w:r>
      <w:r w:rsidR="00AA6C1B">
        <w:rPr>
          <w:noProof/>
          <w:position w:val="-9"/>
        </w:rPr>
        <w:pict w14:anchorId="55539148">
          <v:shape id="_x0000_i1030" type="#_x0000_t75" style="width:9.75pt;height:17.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31463&quot;/&gt;&lt;wsp:rsid wsp:val=&quot;0000054E&quot;/&gt;&lt;wsp:rsid wsp:val=&quot;00063059&quot;/&gt;&lt;wsp:rsid wsp:val=&quot;000F7CDA&quot;/&gt;&lt;wsp:rsid wsp:val=&quot;00104BD6&quot;/&gt;&lt;wsp:rsid wsp:val=&quot;00153782&quot;/&gt;&lt;wsp:rsid wsp:val=&quot;001D0406&quot;/&gt;&lt;wsp:rsid wsp:val=&quot;001F2FC3&quot;/&gt;&lt;wsp:rsid wsp:val=&quot;00205E07&quot;/&gt;&lt;wsp:rsid wsp:val=&quot;00263BE9&quot;/&gt;&lt;wsp:rsid wsp:val=&quot;00275DAF&quot;/&gt;&lt;wsp:rsid wsp:val=&quot;002928E8&quot;/&gt;&lt;wsp:rsid wsp:val=&quot;0029320E&quot;/&gt;&lt;wsp:rsid wsp:val=&quot;002B59F3&quot;/&gt;&lt;wsp:rsid wsp:val=&quot;002E7325&quot;/&gt;&lt;wsp:rsid wsp:val=&quot;00307B82&quot;/&gt;&lt;wsp:rsid wsp:val=&quot;00344E0E&quot;/&gt;&lt;wsp:rsid wsp:val=&quot;003576AA&quot;/&gt;&lt;wsp:rsid wsp:val=&quot;00381D89&quot;/&gt;&lt;wsp:rsid wsp:val=&quot;00396A94&quot;/&gt;&lt;wsp:rsid wsp:val=&quot;00427266&quot;/&gt;&lt;wsp:rsid wsp:val=&quot;00427BB8&quot;/&gt;&lt;wsp:rsid wsp:val=&quot;00465334&quot;/&gt;&lt;wsp:rsid wsp:val=&quot;00477F23&quot;/&gt;&lt;wsp:rsid wsp:val=&quot;004C0752&quot;/&gt;&lt;wsp:rsid wsp:val=&quot;004E6465&quot;/&gt;&lt;wsp:rsid wsp:val=&quot;005221DF&quot;/&gt;&lt;wsp:rsid wsp:val=&quot;00530D93&quot;/&gt;&lt;wsp:rsid wsp:val=&quot;00537995&quot;/&gt;&lt;wsp:rsid wsp:val=&quot;005823E6&quot;/&gt;&lt;wsp:rsid wsp:val=&quot;005F70FE&quot;/&gt;&lt;wsp:rsid wsp:val=&quot;00614362&quot;/&gt;&lt;wsp:rsid wsp:val=&quot;00632678&quot;/&gt;&lt;wsp:rsid wsp:val=&quot;006354E5&quot;/&gt;&lt;wsp:rsid wsp:val=&quot;00670812&quot;/&gt;&lt;wsp:rsid wsp:val=&quot;00675B35&quot;/&gt;&lt;wsp:rsid wsp:val=&quot;00690902&quot;/&gt;&lt;wsp:rsid wsp:val=&quot;00690A7F&quot;/&gt;&lt;wsp:rsid wsp:val=&quot;006C759B&quot;/&gt;&lt;wsp:rsid wsp:val=&quot;00716ABC&quot;/&gt;&lt;wsp:rsid wsp:val=&quot;0073016F&quot;/&gt;&lt;wsp:rsid wsp:val=&quot;00737E20&quot;/&gt;&lt;wsp:rsid wsp:val=&quot;00781D90&quot;/&gt;&lt;wsp:rsid wsp:val=&quot;00786EB1&quot;/&gt;&lt;wsp:rsid wsp:val=&quot;00787041&quot;/&gt;&lt;wsp:rsid wsp:val=&quot;007D429A&quot;/&gt;&lt;wsp:rsid wsp:val=&quot;007D7160&quot;/&gt;&lt;wsp:rsid wsp:val=&quot;007F151F&quot;/&gt;&lt;wsp:rsid wsp:val=&quot;008359B6&quot;/&gt;&lt;wsp:rsid wsp:val=&quot;0086065E&quot;/&gt;&lt;wsp:rsid wsp:val=&quot;00883382&quot;/&gt;&lt;wsp:rsid wsp:val=&quot;008A676F&quot;/&gt;&lt;wsp:rsid wsp:val=&quot;008B1694&quot;/&gt;&lt;wsp:rsid wsp:val=&quot;00942B53&quot;/&gt;&lt;wsp:rsid wsp:val=&quot;00961CE8&quot;/&gt;&lt;wsp:rsid wsp:val=&quot;00970FEA&quot;/&gt;&lt;wsp:rsid wsp:val=&quot;00A31463&quot;/&gt;&lt;wsp:rsid wsp:val=&quot;00A47474&quot;/&gt;&lt;wsp:rsid wsp:val=&quot;00A554B6&quot;/&gt;&lt;wsp:rsid wsp:val=&quot;00A67180&quot;/&gt;&lt;wsp:rsid wsp:val=&quot;00A7325A&quot;/&gt;&lt;wsp:rsid wsp:val=&quot;00A95A6E&quot;/&gt;&lt;wsp:rsid wsp:val=&quot;00AC14C7&quot;/&gt;&lt;wsp:rsid wsp:val=&quot;00B06E9C&quot;/&gt;&lt;wsp:rsid wsp:val=&quot;00B11516&quot;/&gt;&lt;wsp:rsid wsp:val=&quot;00B54A10&quot;/&gt;&lt;wsp:rsid wsp:val=&quot;00B73EC3&quot;/&gt;&lt;wsp:rsid wsp:val=&quot;00B90478&quot;/&gt;&lt;wsp:rsid wsp:val=&quot;00BA4B66&quot;/&gt;&lt;wsp:rsid wsp:val=&quot;00BB0F04&quot;/&gt;&lt;wsp:rsid wsp:val=&quot;00BC38A6&quot;/&gt;&lt;wsp:rsid wsp:val=&quot;00BC3F56&quot;/&gt;&lt;wsp:rsid wsp:val=&quot;00BC7158&quot;/&gt;&lt;wsp:rsid wsp:val=&quot;00BF1652&quot;/&gt;&lt;wsp:rsid wsp:val=&quot;00BF7D72&quot;/&gt;&lt;wsp:rsid wsp:val=&quot;00C03610&quot;/&gt;&lt;wsp:rsid wsp:val=&quot;00C27245&quot;/&gt;&lt;wsp:rsid wsp:val=&quot;00C7408C&quot;/&gt;&lt;wsp:rsid wsp:val=&quot;00CA7969&quot;/&gt;&lt;wsp:rsid wsp:val=&quot;00CC1B44&quot;/&gt;&lt;wsp:rsid wsp:val=&quot;00CC7CAC&quot;/&gt;&lt;wsp:rsid wsp:val=&quot;00CE2FEB&quot;/&gt;&lt;wsp:rsid wsp:val=&quot;00D5417E&quot;/&gt;&lt;wsp:rsid wsp:val=&quot;00DA6B39&quot;/&gt;&lt;wsp:rsid wsp:val=&quot;00E449C7&quot;/&gt;&lt;wsp:rsid wsp:val=&quot;00E57B69&quot;/&gt;&lt;wsp:rsid wsp:val=&quot;00ED6C8B&quot;/&gt;&lt;wsp:rsid wsp:val=&quot;00EE03BC&quot;/&gt;&lt;wsp:rsid wsp:val=&quot;00F238AD&quot;/&gt;&lt;wsp:rsid wsp:val=&quot;00F33A8E&quot;/&gt;&lt;wsp:rsid wsp:val=&quot;00F42594&quot;/&gt;&lt;wsp:rsid wsp:val=&quot;00F721F2&quot;/&gt;&lt;wsp:rsid wsp:val=&quot;00F84FD2&quot;/&gt;&lt;wsp:rsid wsp:val=&quot;00F86088&quot;/&gt;&lt;wsp:rsid wsp:val=&quot;00FE668F&quot;/&gt;&lt;/wsp:rsids&gt;&lt;/w:docPr&gt;&lt;w:body&gt;&lt;wx:sect&gt;&lt;w:p wsp:rsidR=&quot;008B1694&quot; wsp:rsidRDefault=&quot;008B1694&quot; wsp:rsidP=&quot;008B1694&quot;&gt;&lt;m:oMathPara&gt;&lt;m:oMath&gt;&lt;m:r&gt;&lt;w:rPr&gt;&lt;w:rFonts w:ascii=&quot;Cambria Math&quot; w:h-ansi=&quot;Cambria Math&quot;/&gt;&lt;wx:font wx:val=&quot;Cambria Math&quot;/&gt;&lt;w:i/&gt;&lt;/w:rPr&gt;&lt;m:t&gt;N&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25108B">
        <w:rPr>
          <w:rFonts w:ascii="Times New Roman" w:hAnsi="Times New Roman"/>
        </w:rPr>
        <w:fldChar w:fldCharType="end"/>
      </w:r>
      <w:r w:rsidR="00D5417E" w:rsidRPr="0025108B">
        <w:rPr>
          <w:rFonts w:ascii="Times New Roman" w:hAnsi="Times New Roman"/>
        </w:rPr>
        <w:t>= population size (230,027)</w:t>
      </w:r>
    </w:p>
    <w:p w14:paraId="0AAE2960" w14:textId="77777777" w:rsidR="00D5417E" w:rsidRPr="0025108B" w:rsidRDefault="00F33A8E" w:rsidP="00D5417E">
      <w:pPr>
        <w:numPr>
          <w:ilvl w:val="0"/>
          <w:numId w:val="3"/>
        </w:numPr>
        <w:jc w:val="both"/>
        <w:rPr>
          <w:rFonts w:ascii="Times New Roman" w:hAnsi="Times New Roman"/>
        </w:rPr>
      </w:pPr>
      <w:r w:rsidRPr="0025108B">
        <w:rPr>
          <w:rFonts w:ascii="Times New Roman" w:hAnsi="Times New Roman"/>
        </w:rPr>
        <w:fldChar w:fldCharType="begin"/>
      </w:r>
      <w:r w:rsidRPr="0025108B">
        <w:rPr>
          <w:rFonts w:ascii="Times New Roman" w:hAnsi="Times New Roman"/>
        </w:rPr>
        <w:instrText xml:space="preserve"> QUOTE </w:instrText>
      </w:r>
      <w:r w:rsidR="00AA6C1B">
        <w:rPr>
          <w:noProof/>
          <w:position w:val="-9"/>
        </w:rPr>
        <w:pict w14:anchorId="711402D5">
          <v:shape id="_x0000_i1031" type="#_x0000_t75" style="width:5.25pt;height:17.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31463&quot;/&gt;&lt;wsp:rsid wsp:val=&quot;0000054E&quot;/&gt;&lt;wsp:rsid wsp:val=&quot;00063059&quot;/&gt;&lt;wsp:rsid wsp:val=&quot;000F7CDA&quot;/&gt;&lt;wsp:rsid wsp:val=&quot;00104BD6&quot;/&gt;&lt;wsp:rsid wsp:val=&quot;00153782&quot;/&gt;&lt;wsp:rsid wsp:val=&quot;001C3F00&quot;/&gt;&lt;wsp:rsid wsp:val=&quot;001D0406&quot;/&gt;&lt;wsp:rsid wsp:val=&quot;001F2FC3&quot;/&gt;&lt;wsp:rsid wsp:val=&quot;00205E07&quot;/&gt;&lt;wsp:rsid wsp:val=&quot;00263BE9&quot;/&gt;&lt;wsp:rsid wsp:val=&quot;00275DAF&quot;/&gt;&lt;wsp:rsid wsp:val=&quot;002928E8&quot;/&gt;&lt;wsp:rsid wsp:val=&quot;0029320E&quot;/&gt;&lt;wsp:rsid wsp:val=&quot;002B59F3&quot;/&gt;&lt;wsp:rsid wsp:val=&quot;002E7325&quot;/&gt;&lt;wsp:rsid wsp:val=&quot;00307B82&quot;/&gt;&lt;wsp:rsid wsp:val=&quot;00344E0E&quot;/&gt;&lt;wsp:rsid wsp:val=&quot;003576AA&quot;/&gt;&lt;wsp:rsid wsp:val=&quot;00381D89&quot;/&gt;&lt;wsp:rsid wsp:val=&quot;00396A94&quot;/&gt;&lt;wsp:rsid wsp:val=&quot;00427266&quot;/&gt;&lt;wsp:rsid wsp:val=&quot;00427BB8&quot;/&gt;&lt;wsp:rsid wsp:val=&quot;00465334&quot;/&gt;&lt;wsp:rsid wsp:val=&quot;00477F23&quot;/&gt;&lt;wsp:rsid wsp:val=&quot;004C0752&quot;/&gt;&lt;wsp:rsid wsp:val=&quot;004E6465&quot;/&gt;&lt;wsp:rsid wsp:val=&quot;005221DF&quot;/&gt;&lt;wsp:rsid wsp:val=&quot;00530D93&quot;/&gt;&lt;wsp:rsid wsp:val=&quot;00537995&quot;/&gt;&lt;wsp:rsid wsp:val=&quot;005823E6&quot;/&gt;&lt;wsp:rsid wsp:val=&quot;005F70FE&quot;/&gt;&lt;wsp:rsid wsp:val=&quot;00614362&quot;/&gt;&lt;wsp:rsid wsp:val=&quot;00632678&quot;/&gt;&lt;wsp:rsid wsp:val=&quot;006354E5&quot;/&gt;&lt;wsp:rsid wsp:val=&quot;00670812&quot;/&gt;&lt;wsp:rsid wsp:val=&quot;00675B35&quot;/&gt;&lt;wsp:rsid wsp:val=&quot;00690902&quot;/&gt;&lt;wsp:rsid wsp:val=&quot;00690A7F&quot;/&gt;&lt;wsp:rsid wsp:val=&quot;006C759B&quot;/&gt;&lt;wsp:rsid wsp:val=&quot;00716ABC&quot;/&gt;&lt;wsp:rsid wsp:val=&quot;0073016F&quot;/&gt;&lt;wsp:rsid wsp:val=&quot;00737E20&quot;/&gt;&lt;wsp:rsid wsp:val=&quot;00781D90&quot;/&gt;&lt;wsp:rsid wsp:val=&quot;00786EB1&quot;/&gt;&lt;wsp:rsid wsp:val=&quot;00787041&quot;/&gt;&lt;wsp:rsid wsp:val=&quot;007D429A&quot;/&gt;&lt;wsp:rsid wsp:val=&quot;007D7160&quot;/&gt;&lt;wsp:rsid wsp:val=&quot;007F151F&quot;/&gt;&lt;wsp:rsid wsp:val=&quot;008359B6&quot;/&gt;&lt;wsp:rsid wsp:val=&quot;0086065E&quot;/&gt;&lt;wsp:rsid wsp:val=&quot;00883382&quot;/&gt;&lt;wsp:rsid wsp:val=&quot;008A676F&quot;/&gt;&lt;wsp:rsid wsp:val=&quot;00942B53&quot;/&gt;&lt;wsp:rsid wsp:val=&quot;00961CE8&quot;/&gt;&lt;wsp:rsid wsp:val=&quot;00970FEA&quot;/&gt;&lt;wsp:rsid wsp:val=&quot;00A31463&quot;/&gt;&lt;wsp:rsid wsp:val=&quot;00A47474&quot;/&gt;&lt;wsp:rsid wsp:val=&quot;00A554B6&quot;/&gt;&lt;wsp:rsid wsp:val=&quot;00A67180&quot;/&gt;&lt;wsp:rsid wsp:val=&quot;00A7325A&quot;/&gt;&lt;wsp:rsid wsp:val=&quot;00A95A6E&quot;/&gt;&lt;wsp:rsid wsp:val=&quot;00AC14C7&quot;/&gt;&lt;wsp:rsid wsp:val=&quot;00B06E9C&quot;/&gt;&lt;wsp:rsid wsp:val=&quot;00B11516&quot;/&gt;&lt;wsp:rsid wsp:val=&quot;00B54A10&quot;/&gt;&lt;wsp:rsid wsp:val=&quot;00B73EC3&quot;/&gt;&lt;wsp:rsid wsp:val=&quot;00B90478&quot;/&gt;&lt;wsp:rsid wsp:val=&quot;00BA4B66&quot;/&gt;&lt;wsp:rsid wsp:val=&quot;00BB0F04&quot;/&gt;&lt;wsp:rsid wsp:val=&quot;00BC38A6&quot;/&gt;&lt;wsp:rsid wsp:val=&quot;00BC3F56&quot;/&gt;&lt;wsp:rsid wsp:val=&quot;00BC7158&quot;/&gt;&lt;wsp:rsid wsp:val=&quot;00BF1652&quot;/&gt;&lt;wsp:rsid wsp:val=&quot;00BF7D72&quot;/&gt;&lt;wsp:rsid wsp:val=&quot;00C03610&quot;/&gt;&lt;wsp:rsid wsp:val=&quot;00C27245&quot;/&gt;&lt;wsp:rsid wsp:val=&quot;00C7408C&quot;/&gt;&lt;wsp:rsid wsp:val=&quot;00CA7969&quot;/&gt;&lt;wsp:rsid wsp:val=&quot;00CC1B44&quot;/&gt;&lt;wsp:rsid wsp:val=&quot;00CC7CAC&quot;/&gt;&lt;wsp:rsid wsp:val=&quot;00CE2FEB&quot;/&gt;&lt;wsp:rsid wsp:val=&quot;00D5417E&quot;/&gt;&lt;wsp:rsid wsp:val=&quot;00DA6B39&quot;/&gt;&lt;wsp:rsid wsp:val=&quot;00E449C7&quot;/&gt;&lt;wsp:rsid wsp:val=&quot;00E57B69&quot;/&gt;&lt;wsp:rsid wsp:val=&quot;00ED6C8B&quot;/&gt;&lt;wsp:rsid wsp:val=&quot;00EE03BC&quot;/&gt;&lt;wsp:rsid wsp:val=&quot;00F238AD&quot;/&gt;&lt;wsp:rsid wsp:val=&quot;00F33A8E&quot;/&gt;&lt;wsp:rsid wsp:val=&quot;00F42594&quot;/&gt;&lt;wsp:rsid wsp:val=&quot;00F721F2&quot;/&gt;&lt;wsp:rsid wsp:val=&quot;00F84FD2&quot;/&gt;&lt;wsp:rsid wsp:val=&quot;00F86088&quot;/&gt;&lt;wsp:rsid wsp:val=&quot;00FE668F&quot;/&gt;&lt;/wsp:rsids&gt;&lt;/w:docPr&gt;&lt;w:body&gt;&lt;wx:sect&gt;&lt;w:p wsp:rsidR=&quot;001C3F00&quot; wsp:rsidRDefault=&quot;001C3F00&quot; wsp:rsidP=&quot;001C3F00&quot;&gt;&lt;m:oMathPara&gt;&lt;m:oMath&gt;&lt;m:r&gt;&lt;w:rPr&gt;&lt;w:rFonts w:ascii=&quot;Cambria Math&quot; w:h-ansi=&quot;Cambria Math&quot;/&gt;&lt;wx:font wx:val=&quot;Cambria Math&quot;/&gt;&lt;w:i/&gt;&lt;/w:rPr&gt;&lt;m:t&gt;e&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25108B">
        <w:rPr>
          <w:rFonts w:ascii="Times New Roman" w:hAnsi="Times New Roman"/>
        </w:rPr>
        <w:instrText xml:space="preserve"> </w:instrText>
      </w:r>
      <w:r w:rsidRPr="0025108B">
        <w:rPr>
          <w:rFonts w:ascii="Times New Roman" w:hAnsi="Times New Roman"/>
        </w:rPr>
        <w:fldChar w:fldCharType="separate"/>
      </w:r>
      <w:r w:rsidR="00AA6C1B">
        <w:rPr>
          <w:noProof/>
          <w:position w:val="-9"/>
        </w:rPr>
        <w:pict w14:anchorId="6FDAD7D5">
          <v:shape id="_x0000_i1032" type="#_x0000_t75" style="width:5.25pt;height:17.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31463&quot;/&gt;&lt;wsp:rsid wsp:val=&quot;0000054E&quot;/&gt;&lt;wsp:rsid wsp:val=&quot;00063059&quot;/&gt;&lt;wsp:rsid wsp:val=&quot;000F7CDA&quot;/&gt;&lt;wsp:rsid wsp:val=&quot;00104BD6&quot;/&gt;&lt;wsp:rsid wsp:val=&quot;00153782&quot;/&gt;&lt;wsp:rsid wsp:val=&quot;001C3F00&quot;/&gt;&lt;wsp:rsid wsp:val=&quot;001D0406&quot;/&gt;&lt;wsp:rsid wsp:val=&quot;001F2FC3&quot;/&gt;&lt;wsp:rsid wsp:val=&quot;00205E07&quot;/&gt;&lt;wsp:rsid wsp:val=&quot;00263BE9&quot;/&gt;&lt;wsp:rsid wsp:val=&quot;00275DAF&quot;/&gt;&lt;wsp:rsid wsp:val=&quot;002928E8&quot;/&gt;&lt;wsp:rsid wsp:val=&quot;0029320E&quot;/&gt;&lt;wsp:rsid wsp:val=&quot;002B59F3&quot;/&gt;&lt;wsp:rsid wsp:val=&quot;002E7325&quot;/&gt;&lt;wsp:rsid wsp:val=&quot;00307B82&quot;/&gt;&lt;wsp:rsid wsp:val=&quot;00344E0E&quot;/&gt;&lt;wsp:rsid wsp:val=&quot;003576AA&quot;/&gt;&lt;wsp:rsid wsp:val=&quot;00381D89&quot;/&gt;&lt;wsp:rsid wsp:val=&quot;00396A94&quot;/&gt;&lt;wsp:rsid wsp:val=&quot;00427266&quot;/&gt;&lt;wsp:rsid wsp:val=&quot;00427BB8&quot;/&gt;&lt;wsp:rsid wsp:val=&quot;00465334&quot;/&gt;&lt;wsp:rsid wsp:val=&quot;00477F23&quot;/&gt;&lt;wsp:rsid wsp:val=&quot;004C0752&quot;/&gt;&lt;wsp:rsid wsp:val=&quot;004E6465&quot;/&gt;&lt;wsp:rsid wsp:val=&quot;005221DF&quot;/&gt;&lt;wsp:rsid wsp:val=&quot;00530D93&quot;/&gt;&lt;wsp:rsid wsp:val=&quot;00537995&quot;/&gt;&lt;wsp:rsid wsp:val=&quot;005823E6&quot;/&gt;&lt;wsp:rsid wsp:val=&quot;005F70FE&quot;/&gt;&lt;wsp:rsid wsp:val=&quot;00614362&quot;/&gt;&lt;wsp:rsid wsp:val=&quot;00632678&quot;/&gt;&lt;wsp:rsid wsp:val=&quot;006354E5&quot;/&gt;&lt;wsp:rsid wsp:val=&quot;00670812&quot;/&gt;&lt;wsp:rsid wsp:val=&quot;00675B35&quot;/&gt;&lt;wsp:rsid wsp:val=&quot;00690902&quot;/&gt;&lt;wsp:rsid wsp:val=&quot;00690A7F&quot;/&gt;&lt;wsp:rsid wsp:val=&quot;006C759B&quot;/&gt;&lt;wsp:rsid wsp:val=&quot;00716ABC&quot;/&gt;&lt;wsp:rsid wsp:val=&quot;0073016F&quot;/&gt;&lt;wsp:rsid wsp:val=&quot;00737E20&quot;/&gt;&lt;wsp:rsid wsp:val=&quot;00781D90&quot;/&gt;&lt;wsp:rsid wsp:val=&quot;00786EB1&quot;/&gt;&lt;wsp:rsid wsp:val=&quot;00787041&quot;/&gt;&lt;wsp:rsid wsp:val=&quot;007D429A&quot;/&gt;&lt;wsp:rsid wsp:val=&quot;007D7160&quot;/&gt;&lt;wsp:rsid wsp:val=&quot;007F151F&quot;/&gt;&lt;wsp:rsid wsp:val=&quot;008359B6&quot;/&gt;&lt;wsp:rsid wsp:val=&quot;0086065E&quot;/&gt;&lt;wsp:rsid wsp:val=&quot;00883382&quot;/&gt;&lt;wsp:rsid wsp:val=&quot;008A676F&quot;/&gt;&lt;wsp:rsid wsp:val=&quot;00942B53&quot;/&gt;&lt;wsp:rsid wsp:val=&quot;00961CE8&quot;/&gt;&lt;wsp:rsid wsp:val=&quot;00970FEA&quot;/&gt;&lt;wsp:rsid wsp:val=&quot;00A31463&quot;/&gt;&lt;wsp:rsid wsp:val=&quot;00A47474&quot;/&gt;&lt;wsp:rsid wsp:val=&quot;00A554B6&quot;/&gt;&lt;wsp:rsid wsp:val=&quot;00A67180&quot;/&gt;&lt;wsp:rsid wsp:val=&quot;00A7325A&quot;/&gt;&lt;wsp:rsid wsp:val=&quot;00A95A6E&quot;/&gt;&lt;wsp:rsid wsp:val=&quot;00AC14C7&quot;/&gt;&lt;wsp:rsid wsp:val=&quot;00B06E9C&quot;/&gt;&lt;wsp:rsid wsp:val=&quot;00B11516&quot;/&gt;&lt;wsp:rsid wsp:val=&quot;00B54A10&quot;/&gt;&lt;wsp:rsid wsp:val=&quot;00B73EC3&quot;/&gt;&lt;wsp:rsid wsp:val=&quot;00B90478&quot;/&gt;&lt;wsp:rsid wsp:val=&quot;00BA4B66&quot;/&gt;&lt;wsp:rsid wsp:val=&quot;00BB0F04&quot;/&gt;&lt;wsp:rsid wsp:val=&quot;00BC38A6&quot;/&gt;&lt;wsp:rsid wsp:val=&quot;00BC3F56&quot;/&gt;&lt;wsp:rsid wsp:val=&quot;00BC7158&quot;/&gt;&lt;wsp:rsid wsp:val=&quot;00BF1652&quot;/&gt;&lt;wsp:rsid wsp:val=&quot;00BF7D72&quot;/&gt;&lt;wsp:rsid wsp:val=&quot;00C03610&quot;/&gt;&lt;wsp:rsid wsp:val=&quot;00C27245&quot;/&gt;&lt;wsp:rsid wsp:val=&quot;00C7408C&quot;/&gt;&lt;wsp:rsid wsp:val=&quot;00CA7969&quot;/&gt;&lt;wsp:rsid wsp:val=&quot;00CC1B44&quot;/&gt;&lt;wsp:rsid wsp:val=&quot;00CC7CAC&quot;/&gt;&lt;wsp:rsid wsp:val=&quot;00CE2FEB&quot;/&gt;&lt;wsp:rsid wsp:val=&quot;00D5417E&quot;/&gt;&lt;wsp:rsid wsp:val=&quot;00DA6B39&quot;/&gt;&lt;wsp:rsid wsp:val=&quot;00E449C7&quot;/&gt;&lt;wsp:rsid wsp:val=&quot;00E57B69&quot;/&gt;&lt;wsp:rsid wsp:val=&quot;00ED6C8B&quot;/&gt;&lt;wsp:rsid wsp:val=&quot;00EE03BC&quot;/&gt;&lt;wsp:rsid wsp:val=&quot;00F238AD&quot;/&gt;&lt;wsp:rsid wsp:val=&quot;00F33A8E&quot;/&gt;&lt;wsp:rsid wsp:val=&quot;00F42594&quot;/&gt;&lt;wsp:rsid wsp:val=&quot;00F721F2&quot;/&gt;&lt;wsp:rsid wsp:val=&quot;00F84FD2&quot;/&gt;&lt;wsp:rsid wsp:val=&quot;00F86088&quot;/&gt;&lt;wsp:rsid wsp:val=&quot;00FE668F&quot;/&gt;&lt;/wsp:rsids&gt;&lt;/w:docPr&gt;&lt;w:body&gt;&lt;wx:sect&gt;&lt;w:p wsp:rsidR=&quot;001C3F00&quot; wsp:rsidRDefault=&quot;001C3F00&quot; wsp:rsidP=&quot;001C3F00&quot;&gt;&lt;m:oMathPara&gt;&lt;m:oMath&gt;&lt;m:r&gt;&lt;w:rPr&gt;&lt;w:rFonts w:ascii=&quot;Cambria Math&quot; w:h-ansi=&quot;Cambria Math&quot;/&gt;&lt;wx:font wx:val=&quot;Cambria Math&quot;/&gt;&lt;w:i/&gt;&lt;/w:rPr&gt;&lt;m:t&gt;e&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25108B">
        <w:rPr>
          <w:rFonts w:ascii="Times New Roman" w:hAnsi="Times New Roman"/>
        </w:rPr>
        <w:fldChar w:fldCharType="end"/>
      </w:r>
      <w:r w:rsidR="00D5417E" w:rsidRPr="0025108B">
        <w:rPr>
          <w:rFonts w:ascii="Times New Roman" w:hAnsi="Times New Roman"/>
        </w:rPr>
        <w:t>= margin of error (0.05)</w:t>
      </w:r>
    </w:p>
    <w:p w14:paraId="56760324" w14:textId="77777777" w:rsidR="00D5417E" w:rsidRPr="0025108B" w:rsidRDefault="00D5417E" w:rsidP="00D5417E">
      <w:pPr>
        <w:jc w:val="both"/>
        <w:rPr>
          <w:rFonts w:ascii="Times New Roman" w:hAnsi="Times New Roman"/>
        </w:rPr>
      </w:pPr>
      <w:r w:rsidRPr="0025108B">
        <w:rPr>
          <w:rFonts w:ascii="Times New Roman" w:hAnsi="Times New Roman"/>
        </w:rPr>
        <w:t>Substituting the values:</w:t>
      </w:r>
    </w:p>
    <w:p w14:paraId="08636FEC" w14:textId="77777777" w:rsidR="00D5417E" w:rsidRPr="0025108B" w:rsidRDefault="00AA6C1B" w:rsidP="00D5417E">
      <w:pPr>
        <w:jc w:val="both"/>
        <w:rPr>
          <w:rFonts w:ascii="Times New Roman" w:hAnsi="Times New Roman"/>
        </w:rPr>
      </w:pPr>
      <w:r>
        <w:rPr>
          <w:noProof/>
        </w:rPr>
        <w:pict w14:anchorId="5978A764">
          <v:shape id="_x0000_i1033" type="#_x0000_t75" style="width:236.25pt;height:30.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31463&quot;/&gt;&lt;wsp:rsid wsp:val=&quot;0000054E&quot;/&gt;&lt;wsp:rsid wsp:val=&quot;00063059&quot;/&gt;&lt;wsp:rsid wsp:val=&quot;000F7CDA&quot;/&gt;&lt;wsp:rsid wsp:val=&quot;00104BD6&quot;/&gt;&lt;wsp:rsid wsp:val=&quot;00153782&quot;/&gt;&lt;wsp:rsid wsp:val=&quot;001D0406&quot;/&gt;&lt;wsp:rsid wsp:val=&quot;001F2FC3&quot;/&gt;&lt;wsp:rsid wsp:val=&quot;00205E07&quot;/&gt;&lt;wsp:rsid wsp:val=&quot;00263BE9&quot;/&gt;&lt;wsp:rsid wsp:val=&quot;00275DAF&quot;/&gt;&lt;wsp:rsid wsp:val=&quot;002928E8&quot;/&gt;&lt;wsp:rsid wsp:val=&quot;0029320E&quot;/&gt;&lt;wsp:rsid wsp:val=&quot;002B59F3&quot;/&gt;&lt;wsp:rsid wsp:val=&quot;002E7325&quot;/&gt;&lt;wsp:rsid wsp:val=&quot;00307B82&quot;/&gt;&lt;wsp:rsid wsp:val=&quot;00344E0E&quot;/&gt;&lt;wsp:rsid wsp:val=&quot;003576AA&quot;/&gt;&lt;wsp:rsid wsp:val=&quot;00381D89&quot;/&gt;&lt;wsp:rsid wsp:val=&quot;00396A94&quot;/&gt;&lt;wsp:rsid wsp:val=&quot;00427266&quot;/&gt;&lt;wsp:rsid wsp:val=&quot;00427BB8&quot;/&gt;&lt;wsp:rsid wsp:val=&quot;00465334&quot;/&gt;&lt;wsp:rsid wsp:val=&quot;00477F23&quot;/&gt;&lt;wsp:rsid wsp:val=&quot;004C0752&quot;/&gt;&lt;wsp:rsid wsp:val=&quot;004E6465&quot;/&gt;&lt;wsp:rsid wsp:val=&quot;005221DF&quot;/&gt;&lt;wsp:rsid wsp:val=&quot;00530D93&quot;/&gt;&lt;wsp:rsid wsp:val=&quot;00537995&quot;/&gt;&lt;wsp:rsid wsp:val=&quot;005823E6&quot;/&gt;&lt;wsp:rsid wsp:val=&quot;005F70FE&quot;/&gt;&lt;wsp:rsid wsp:val=&quot;00614362&quot;/&gt;&lt;wsp:rsid wsp:val=&quot;00632678&quot;/&gt;&lt;wsp:rsid wsp:val=&quot;006354E5&quot;/&gt;&lt;wsp:rsid wsp:val=&quot;00670812&quot;/&gt;&lt;wsp:rsid wsp:val=&quot;00675B35&quot;/&gt;&lt;wsp:rsid wsp:val=&quot;00690902&quot;/&gt;&lt;wsp:rsid wsp:val=&quot;00690A7F&quot;/&gt;&lt;wsp:rsid wsp:val=&quot;006C759B&quot;/&gt;&lt;wsp:rsid wsp:val=&quot;00716ABC&quot;/&gt;&lt;wsp:rsid wsp:val=&quot;0073016F&quot;/&gt;&lt;wsp:rsid wsp:val=&quot;00737E20&quot;/&gt;&lt;wsp:rsid wsp:val=&quot;00781D90&quot;/&gt;&lt;wsp:rsid wsp:val=&quot;00786EB1&quot;/&gt;&lt;wsp:rsid wsp:val=&quot;00787041&quot;/&gt;&lt;wsp:rsid wsp:val=&quot;007D429A&quot;/&gt;&lt;wsp:rsid wsp:val=&quot;007D7160&quot;/&gt;&lt;wsp:rsid wsp:val=&quot;007F151F&quot;/&gt;&lt;wsp:rsid wsp:val=&quot;008359B6&quot;/&gt;&lt;wsp:rsid wsp:val=&quot;0086065E&quot;/&gt;&lt;wsp:rsid wsp:val=&quot;00883382&quot;/&gt;&lt;wsp:rsid wsp:val=&quot;008A676F&quot;/&gt;&lt;wsp:rsid wsp:val=&quot;00942B53&quot;/&gt;&lt;wsp:rsid wsp:val=&quot;00961CE8&quot;/&gt;&lt;wsp:rsid wsp:val=&quot;00970FEA&quot;/&gt;&lt;wsp:rsid wsp:val=&quot;00A31463&quot;/&gt;&lt;wsp:rsid wsp:val=&quot;00A47474&quot;/&gt;&lt;wsp:rsid wsp:val=&quot;00A554B6&quot;/&gt;&lt;wsp:rsid wsp:val=&quot;00A67180&quot;/&gt;&lt;wsp:rsid wsp:val=&quot;00A7325A&quot;/&gt;&lt;wsp:rsid wsp:val=&quot;00A95A6E&quot;/&gt;&lt;wsp:rsid wsp:val=&quot;00AC14C7&quot;/&gt;&lt;wsp:rsid wsp:val=&quot;00B06E9C&quot;/&gt;&lt;wsp:rsid wsp:val=&quot;00B11516&quot;/&gt;&lt;wsp:rsid wsp:val=&quot;00B54A10&quot;/&gt;&lt;wsp:rsid wsp:val=&quot;00B73EC3&quot;/&gt;&lt;wsp:rsid wsp:val=&quot;00B90478&quot;/&gt;&lt;wsp:rsid wsp:val=&quot;00BA4B66&quot;/&gt;&lt;wsp:rsid wsp:val=&quot;00BB0F04&quot;/&gt;&lt;wsp:rsid wsp:val=&quot;00BC38A6&quot;/&gt;&lt;wsp:rsid wsp:val=&quot;00BC3F56&quot;/&gt;&lt;wsp:rsid wsp:val=&quot;00BC7158&quot;/&gt;&lt;wsp:rsid wsp:val=&quot;00BF1652&quot;/&gt;&lt;wsp:rsid wsp:val=&quot;00BF7D72&quot;/&gt;&lt;wsp:rsid wsp:val=&quot;00C03610&quot;/&gt;&lt;wsp:rsid wsp:val=&quot;00C27245&quot;/&gt;&lt;wsp:rsid wsp:val=&quot;00C7408C&quot;/&gt;&lt;wsp:rsid wsp:val=&quot;00CA7969&quot;/&gt;&lt;wsp:rsid wsp:val=&quot;00CC1B44&quot;/&gt;&lt;wsp:rsid wsp:val=&quot;00CC7CAC&quot;/&gt;&lt;wsp:rsid wsp:val=&quot;00CE2FEB&quot;/&gt;&lt;wsp:rsid wsp:val=&quot;00D5417E&quot;/&gt;&lt;wsp:rsid wsp:val=&quot;00D8225D&quot;/&gt;&lt;wsp:rsid wsp:val=&quot;00DA6B39&quot;/&gt;&lt;wsp:rsid wsp:val=&quot;00E449C7&quot;/&gt;&lt;wsp:rsid wsp:val=&quot;00E57B69&quot;/&gt;&lt;wsp:rsid wsp:val=&quot;00ED6C8B&quot;/&gt;&lt;wsp:rsid wsp:val=&quot;00EE03BC&quot;/&gt;&lt;wsp:rsid wsp:val=&quot;00F238AD&quot;/&gt;&lt;wsp:rsid wsp:val=&quot;00F33A8E&quot;/&gt;&lt;wsp:rsid wsp:val=&quot;00F42594&quot;/&gt;&lt;wsp:rsid wsp:val=&quot;00F721F2&quot;/&gt;&lt;wsp:rsid wsp:val=&quot;00F84FD2&quot;/&gt;&lt;wsp:rsid wsp:val=&quot;00F86088&quot;/&gt;&lt;wsp:rsid wsp:val=&quot;00FE668F&quot;/&gt;&lt;/wsp:rsids&gt;&lt;/w:docPr&gt;&lt;w:body&gt;&lt;wx:sect&gt;&lt;w:p wsp:rsidR=&quot;00D8225D&quot; wsp:rsidRPr=&quot;00D8225D&quot; wsp:rsidRDefault=&quot;00D8225D&quot; wsp:rsidP=&quot;00D8225D&quot;&gt;&lt;m:oMathPara&gt;&lt;m:oMath&gt;&lt;m:r&gt;&lt;w:rPr&gt;&lt;w:rFonts w:ascii=&quot;Cambria Math&quot; w:h-ansi=&quot;Cambria Math&quot;/&gt;&lt;wx:font wx:val=&quot;Cambria Math&quot;/&gt;&lt;w:i/&gt;&lt;/w:rPr&gt;&lt;m:t&gt;n=&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230,027&lt;/m:t&gt;&lt;/m:r&gt;&lt;/m:num&gt;&lt;m:den&gt;&lt;m:r&gt;&lt;w:rPr&gt;&lt;w:rFonts w:ascii=&quot;Cambria Math&quot; w:h-ansi=&quot;Cambria Math&quot;/&gt;&lt;wx:font wx:val=&quot;Cambria Math&quot;/&gt;&lt;w:i/&gt;&lt;/w:rPr&gt;&lt;m:t&gt;1+230,027Ã—0.0025&lt;/m:t&gt;&lt;/m:r&gt;&lt;/m:den&gt;&lt;/m:f&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230,027&lt;/m:t&gt;&lt;/m:r&gt;&lt;/m:num&gt;&lt;m:den&gt;&lt;m:r&gt;&lt;w:rPr&gt;&lt;w:rFonts w:ascii=&quot;Cambria Math&quot; w:h-ansi=&quot;Cambria Math&quot;/&gt;&lt;wx:font wx:val=&quot;Cambria Math&quot;/&gt;&lt;w:i/&gt;&lt;/w:rPr&gt;&lt;m:t&gt;576.0675&lt;/m:t&gt;&lt;/m:r&gt;&lt;/m:den&gt;&lt;/m:f&gt;&lt;m:r&gt;&lt;w:rPr&gt;&lt;w:rFonts w:ascii=&quot;Cambria Math&quot; w:h-ansi=&quot;Cambria Math&quot;/&gt;&lt;wx:font wx:val=&quot;Cambria Math&quot;/&gt;&lt;w:i/&gt;&lt;/w:rPr&gt;&lt;m:t&gt;â‰ˆ399&lt;/m:t&gt;&lt;/m:r&gt;&lt;/m:oMath&gt;&lt;/m:oMathPara&gt;&lt;/w:p&gt;&lt;w:sectPr wsp:rsidR=&quot;00000000&quot; wsp:rsidRPr=&quot;00D8225D&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D5417E" w:rsidRPr="0025108B">
        <w:rPr>
          <w:rFonts w:ascii="Cambria Math" w:hAnsi="Cambria Math"/>
        </w:rPr>
        <w:br/>
      </w:r>
    </w:p>
    <w:p w14:paraId="69C95D2A" w14:textId="77777777" w:rsidR="00D5417E" w:rsidRPr="0025108B" w:rsidRDefault="00D5417E" w:rsidP="00D5417E">
      <w:pPr>
        <w:jc w:val="both"/>
        <w:rPr>
          <w:rFonts w:ascii="Times New Roman" w:hAnsi="Times New Roman"/>
        </w:rPr>
      </w:pPr>
      <w:r w:rsidRPr="0025108B">
        <w:rPr>
          <w:rFonts w:ascii="Times New Roman" w:hAnsi="Times New Roman"/>
        </w:rPr>
        <w:t>Rounding to the nearest whole number, the total sample size was set at 400 respondents.</w:t>
      </w:r>
      <w:r w:rsidR="00153782" w:rsidRPr="0025108B">
        <w:rPr>
          <w:rFonts w:ascii="Times New Roman" w:hAnsi="Times New Roman"/>
        </w:rPr>
        <w:t xml:space="preserve"> </w:t>
      </w:r>
      <w:r w:rsidRPr="0025108B">
        <w:rPr>
          <w:rFonts w:ascii="Times New Roman" w:hAnsi="Times New Roman"/>
        </w:rPr>
        <w:t>This sample size ensures sufficient statistical power to detect associations between gender and water collection responsibilities while maintaining a manageable field workload.</w:t>
      </w:r>
    </w:p>
    <w:p w14:paraId="6D080971" w14:textId="77777777" w:rsidR="00614362" w:rsidRPr="0025108B" w:rsidRDefault="00614362" w:rsidP="00614362">
      <w:pPr>
        <w:jc w:val="both"/>
        <w:rPr>
          <w:rFonts w:ascii="Times New Roman" w:hAnsi="Times New Roman"/>
          <w:b/>
          <w:bCs/>
        </w:rPr>
      </w:pPr>
      <w:r w:rsidRPr="0025108B">
        <w:rPr>
          <w:rFonts w:ascii="Times New Roman" w:hAnsi="Times New Roman"/>
          <w:b/>
          <w:bCs/>
        </w:rPr>
        <w:t>2.5 Sampling Technique and Sample Allocation</w:t>
      </w:r>
    </w:p>
    <w:p w14:paraId="685F378C" w14:textId="77777777" w:rsidR="00470481" w:rsidRDefault="00470481" w:rsidP="002469B1">
      <w:pPr>
        <w:jc w:val="both"/>
        <w:rPr>
          <w:rFonts w:ascii="Times New Roman" w:hAnsi="Times New Roman"/>
          <w:lang w:val="en-US"/>
        </w:rPr>
      </w:pPr>
      <w:r w:rsidRPr="00470481">
        <w:rPr>
          <w:rFonts w:ascii="Times New Roman" w:hAnsi="Times New Roman"/>
          <w:b/>
          <w:bCs/>
          <w:lang w:val="en-US"/>
        </w:rPr>
        <w:t>2.5</w:t>
      </w:r>
      <w:r>
        <w:rPr>
          <w:rFonts w:ascii="Times New Roman" w:hAnsi="Times New Roman"/>
          <w:b/>
          <w:bCs/>
        </w:rPr>
        <w:t>.1</w:t>
      </w:r>
      <w:r w:rsidRPr="00470481">
        <w:rPr>
          <w:rFonts w:ascii="Times New Roman" w:hAnsi="Times New Roman"/>
          <w:b/>
          <w:bCs/>
        </w:rPr>
        <w:t xml:space="preserve"> </w:t>
      </w:r>
      <w:r w:rsidRPr="0025108B">
        <w:rPr>
          <w:rFonts w:ascii="Times New Roman" w:hAnsi="Times New Roman"/>
          <w:b/>
          <w:bCs/>
        </w:rPr>
        <w:t>Sampling Technique</w:t>
      </w:r>
    </w:p>
    <w:p w14:paraId="27E2EDAC" w14:textId="77777777" w:rsidR="002469B1" w:rsidRPr="002469B1" w:rsidRDefault="002469B1" w:rsidP="002469B1">
      <w:pPr>
        <w:jc w:val="both"/>
        <w:rPr>
          <w:rFonts w:ascii="Times New Roman" w:hAnsi="Times New Roman"/>
          <w:lang w:val="en-US"/>
        </w:rPr>
      </w:pPr>
      <w:r w:rsidRPr="002469B1">
        <w:rPr>
          <w:rFonts w:ascii="Times New Roman" w:hAnsi="Times New Roman"/>
          <w:lang w:val="en-US"/>
        </w:rPr>
        <w:t xml:space="preserve">Purposive sampling was adopted for this study to ensure that data were obtained from respondents with direct knowledge and experience of household water collection in Bayelsa State. This non-probability sampling technique is widely applied in social and environmental research where the objective is to obtain detailed, context-specific information from relevant participants rather than achieve statistical generalization (Achore et al., 2020; </w:t>
      </w:r>
      <w:proofErr w:type="spellStart"/>
      <w:r w:rsidRPr="002469B1">
        <w:rPr>
          <w:rFonts w:ascii="Times New Roman" w:hAnsi="Times New Roman"/>
          <w:lang w:val="en-US"/>
        </w:rPr>
        <w:t>Wolo</w:t>
      </w:r>
      <w:proofErr w:type="spellEnd"/>
      <w:r w:rsidRPr="002469B1">
        <w:rPr>
          <w:rFonts w:ascii="Times New Roman" w:hAnsi="Times New Roman"/>
          <w:lang w:val="en-US"/>
        </w:rPr>
        <w:t xml:space="preserve"> et al., 2020; Adom &amp; </w:t>
      </w:r>
      <w:proofErr w:type="spellStart"/>
      <w:r w:rsidRPr="002469B1">
        <w:rPr>
          <w:rFonts w:ascii="Times New Roman" w:hAnsi="Times New Roman"/>
          <w:lang w:val="en-US"/>
        </w:rPr>
        <w:t>Simatele</w:t>
      </w:r>
      <w:proofErr w:type="spellEnd"/>
      <w:r w:rsidRPr="002469B1">
        <w:rPr>
          <w:rFonts w:ascii="Times New Roman" w:hAnsi="Times New Roman"/>
          <w:lang w:val="en-US"/>
        </w:rPr>
        <w:t>, 2022).</w:t>
      </w:r>
      <w:r w:rsidR="008E67E7">
        <w:rPr>
          <w:rFonts w:ascii="Times New Roman" w:hAnsi="Times New Roman"/>
          <w:lang w:val="en-US"/>
        </w:rPr>
        <w:t xml:space="preserve"> T</w:t>
      </w:r>
      <w:r w:rsidRPr="002469B1">
        <w:rPr>
          <w:rFonts w:ascii="Times New Roman" w:hAnsi="Times New Roman"/>
          <w:lang w:val="en-US"/>
        </w:rPr>
        <w:t>he choice of purposive sampling is grounded in the nature of the research problem.</w:t>
      </w:r>
      <w:r>
        <w:rPr>
          <w:rFonts w:ascii="Times New Roman" w:hAnsi="Times New Roman"/>
          <w:lang w:val="en-US"/>
        </w:rPr>
        <w:t xml:space="preserve"> </w:t>
      </w:r>
      <w:r w:rsidRPr="002469B1">
        <w:rPr>
          <w:rFonts w:ascii="Times New Roman" w:hAnsi="Times New Roman"/>
          <w:lang w:val="en-US"/>
        </w:rPr>
        <w:t xml:space="preserve">The study focuses on gendered responsibilities in water collection, which requires input specifically from individuals who are directly involved in, or knowledgeable about, household water access </w:t>
      </w:r>
      <w:r w:rsidRPr="002469B1">
        <w:rPr>
          <w:rFonts w:ascii="Times New Roman" w:hAnsi="Times New Roman"/>
          <w:lang w:val="en-US"/>
        </w:rPr>
        <w:lastRenderedPageBreak/>
        <w:t>practices. Random sampling would have increased the likelihood of including respondents without sufficient experience of water collection, thereby reducing the reliability and depth of the data. In contrast, purposive sampling enabled the deliberate selection of respondents capable of providing relevant and informed responses (Nkolola &amp; Phiri, 2024).</w:t>
      </w:r>
    </w:p>
    <w:p w14:paraId="47C4A3F8" w14:textId="77777777" w:rsidR="002469B1" w:rsidRDefault="002469B1" w:rsidP="002469B1">
      <w:pPr>
        <w:jc w:val="both"/>
        <w:rPr>
          <w:rFonts w:ascii="Times New Roman" w:hAnsi="Times New Roman"/>
          <w:lang w:val="en-US"/>
        </w:rPr>
      </w:pPr>
      <w:r w:rsidRPr="002469B1">
        <w:rPr>
          <w:rFonts w:ascii="Times New Roman" w:hAnsi="Times New Roman"/>
          <w:lang w:val="en-US"/>
        </w:rPr>
        <w:t xml:space="preserve">The sampling approach can therefore be described as criterion-based sampling, as participants were selected based on predefined characteristics, including being primary water collectors or having substantial knowledge of household water practices. This ensured that the data collected accurately reflected lived experiences and gendered </w:t>
      </w:r>
      <w:proofErr w:type="spellStart"/>
      <w:r w:rsidRPr="002469B1">
        <w:rPr>
          <w:rFonts w:ascii="Times New Roman" w:hAnsi="Times New Roman"/>
          <w:lang w:val="en-US"/>
        </w:rPr>
        <w:t>labour</w:t>
      </w:r>
      <w:proofErr w:type="spellEnd"/>
      <w:r w:rsidRPr="002469B1">
        <w:rPr>
          <w:rFonts w:ascii="Times New Roman" w:hAnsi="Times New Roman"/>
          <w:lang w:val="en-US"/>
        </w:rPr>
        <w:t xml:space="preserve"> patterns within households (Nkolola &amp; Phiri, 2024).</w:t>
      </w:r>
    </w:p>
    <w:p w14:paraId="5DD33BAE" w14:textId="77777777" w:rsidR="008E67E7" w:rsidRPr="002469B1" w:rsidRDefault="00470481" w:rsidP="006A63D4">
      <w:pPr>
        <w:jc w:val="both"/>
        <w:rPr>
          <w:rFonts w:ascii="Times New Roman" w:hAnsi="Times New Roman"/>
          <w:b/>
          <w:bCs/>
        </w:rPr>
      </w:pPr>
      <w:r>
        <w:rPr>
          <w:rFonts w:ascii="Times New Roman" w:hAnsi="Times New Roman"/>
          <w:b/>
          <w:bCs/>
        </w:rPr>
        <w:t xml:space="preserve">2.5.2 </w:t>
      </w:r>
      <w:r w:rsidR="006A63D4" w:rsidRPr="0025108B">
        <w:rPr>
          <w:rFonts w:ascii="Times New Roman" w:hAnsi="Times New Roman"/>
          <w:b/>
          <w:bCs/>
        </w:rPr>
        <w:t>Sample Allocation</w:t>
      </w:r>
    </w:p>
    <w:p w14:paraId="0BA57335" w14:textId="77777777" w:rsidR="00470481" w:rsidRPr="00470481" w:rsidRDefault="008E67E7" w:rsidP="00470481">
      <w:pPr>
        <w:jc w:val="both"/>
        <w:rPr>
          <w:rFonts w:ascii="Times New Roman" w:hAnsi="Times New Roman"/>
          <w:lang w:val="en-US"/>
        </w:rPr>
      </w:pPr>
      <w:r w:rsidRPr="008E67E7">
        <w:rPr>
          <w:rFonts w:ascii="Times New Roman" w:hAnsi="Times New Roman"/>
          <w:lang w:val="en-US"/>
        </w:rPr>
        <w:t>The study focused on the headquarters of eight Local Government Areas</w:t>
      </w:r>
      <w:r w:rsidR="00470481">
        <w:rPr>
          <w:rFonts w:ascii="Times New Roman" w:hAnsi="Times New Roman"/>
          <w:lang w:val="en-US"/>
        </w:rPr>
        <w:t xml:space="preserve"> as mentioned above. </w:t>
      </w:r>
      <w:r w:rsidRPr="008E67E7">
        <w:rPr>
          <w:rFonts w:ascii="Times New Roman" w:hAnsi="Times New Roman"/>
          <w:lang w:val="en-US"/>
        </w:rPr>
        <w:t>Within these locations, households were approached, and eligible respondents were purposively selected in line with the study criteria.</w:t>
      </w:r>
      <w:r w:rsidR="00470481">
        <w:rPr>
          <w:rFonts w:ascii="Times New Roman" w:hAnsi="Times New Roman"/>
          <w:lang w:val="en-US"/>
        </w:rPr>
        <w:t xml:space="preserve"> </w:t>
      </w:r>
      <w:r w:rsidRPr="008E67E7">
        <w:rPr>
          <w:rFonts w:ascii="Times New Roman" w:hAnsi="Times New Roman"/>
          <w:lang w:val="en-US"/>
        </w:rPr>
        <w:t>A total of 400 respondents were included in the study,</w:t>
      </w:r>
      <w:r w:rsidR="00470481">
        <w:rPr>
          <w:rFonts w:ascii="Times New Roman" w:hAnsi="Times New Roman"/>
          <w:lang w:val="en-US"/>
        </w:rPr>
        <w:t xml:space="preserve"> t</w:t>
      </w:r>
      <w:r w:rsidR="00470481" w:rsidRPr="00470481">
        <w:rPr>
          <w:rFonts w:ascii="Times New Roman" w:hAnsi="Times New Roman"/>
          <w:lang w:val="en-US"/>
        </w:rPr>
        <w:t xml:space="preserve">o ensure geographical equity and statistical robustness for cross-LGA comparisons, the study employed disproportional stratified sampling (Bryman, 2016). </w:t>
      </w:r>
      <w:r w:rsidR="0023599C">
        <w:rPr>
          <w:rFonts w:ascii="Times New Roman" w:hAnsi="Times New Roman"/>
          <w:lang w:val="en-US"/>
        </w:rPr>
        <w:t xml:space="preserve">This involved </w:t>
      </w:r>
      <w:r w:rsidR="00470481" w:rsidRPr="00470481">
        <w:rPr>
          <w:rFonts w:ascii="Times New Roman" w:hAnsi="Times New Roman"/>
          <w:lang w:val="en-US"/>
        </w:rPr>
        <w:t>allocating an equal sample of</w:t>
      </w:r>
      <w:r w:rsidR="00AA2326">
        <w:rPr>
          <w:rFonts w:ascii="Times New Roman" w:hAnsi="Times New Roman"/>
          <w:lang w:val="en-US"/>
        </w:rPr>
        <w:t xml:space="preserve"> 50 respondents </w:t>
      </w:r>
      <w:r w:rsidR="00470481" w:rsidRPr="00470481">
        <w:rPr>
          <w:rFonts w:ascii="Times New Roman" w:hAnsi="Times New Roman"/>
          <w:lang w:val="en-US"/>
        </w:rPr>
        <w:t xml:space="preserve">to each headquarters, the </w:t>
      </w:r>
      <w:r w:rsidR="00AA2326">
        <w:rPr>
          <w:rFonts w:ascii="Times New Roman" w:hAnsi="Times New Roman"/>
          <w:lang w:val="en-US"/>
        </w:rPr>
        <w:t xml:space="preserve">aim here was to </w:t>
      </w:r>
      <w:r w:rsidR="00470481" w:rsidRPr="00470481">
        <w:rPr>
          <w:rFonts w:ascii="Times New Roman" w:hAnsi="Times New Roman"/>
          <w:lang w:val="en-US"/>
        </w:rPr>
        <w:t xml:space="preserve">prevents higher-density urban data from overshadowing the unique socio-economic realities of </w:t>
      </w:r>
      <w:r w:rsidR="00470481" w:rsidRPr="00470481">
        <w:rPr>
          <w:rFonts w:ascii="Times New Roman" w:hAnsi="Times New Roman"/>
        </w:rPr>
        <w:t xml:space="preserve">smaller, remote riverine headquarters (such as </w:t>
      </w:r>
      <w:proofErr w:type="spellStart"/>
      <w:r w:rsidR="00470481" w:rsidRPr="00470481">
        <w:rPr>
          <w:rFonts w:ascii="Times New Roman" w:hAnsi="Times New Roman"/>
        </w:rPr>
        <w:t>Oporoma</w:t>
      </w:r>
      <w:proofErr w:type="spellEnd"/>
      <w:r w:rsidR="00470481" w:rsidRPr="00470481">
        <w:rPr>
          <w:rFonts w:ascii="Times New Roman" w:hAnsi="Times New Roman"/>
        </w:rPr>
        <w:t xml:space="preserve"> and Twon Brass), </w:t>
      </w:r>
      <w:r w:rsidR="00E76801">
        <w:rPr>
          <w:rFonts w:ascii="Times New Roman" w:hAnsi="Times New Roman"/>
        </w:rPr>
        <w:t xml:space="preserve">and also </w:t>
      </w:r>
      <w:r w:rsidR="00470481" w:rsidRPr="00470481">
        <w:rPr>
          <w:rFonts w:ascii="Times New Roman" w:hAnsi="Times New Roman"/>
        </w:rPr>
        <w:t xml:space="preserve">preventing the higher population density of urban </w:t>
      </w:r>
      <w:proofErr w:type="spellStart"/>
      <w:r w:rsidR="00470481" w:rsidRPr="00470481">
        <w:rPr>
          <w:rFonts w:ascii="Times New Roman" w:hAnsi="Times New Roman"/>
        </w:rPr>
        <w:t>centers</w:t>
      </w:r>
      <w:proofErr w:type="spellEnd"/>
      <w:r w:rsidR="00470481" w:rsidRPr="00470481">
        <w:rPr>
          <w:rFonts w:ascii="Times New Roman" w:hAnsi="Times New Roman"/>
        </w:rPr>
        <w:t xml:space="preserve"> like Yenagoa from masking the unique socio-economic realities of more isolated communities</w:t>
      </w:r>
      <w:r w:rsidR="00470481" w:rsidRPr="00470481">
        <w:rPr>
          <w:rFonts w:ascii="Times New Roman" w:hAnsi="Times New Roman"/>
          <w:lang w:val="en-US"/>
        </w:rPr>
        <w:t xml:space="preserve"> (Onwuegbuzie &amp; Leech, 2007). This is particularly critical in the Niger Delta context, where infrastructural access varies significantly across ecological zones (Ohwo, 2019).</w:t>
      </w:r>
    </w:p>
    <w:p w14:paraId="6541686E" w14:textId="77777777" w:rsidR="00A554B6" w:rsidRPr="0025108B" w:rsidRDefault="00A554B6" w:rsidP="00A554B6">
      <w:pPr>
        <w:jc w:val="both"/>
        <w:rPr>
          <w:rFonts w:ascii="Times New Roman" w:hAnsi="Times New Roman"/>
          <w:b/>
          <w:bCs/>
        </w:rPr>
      </w:pPr>
      <w:r w:rsidRPr="0025108B">
        <w:rPr>
          <w:rFonts w:ascii="Times New Roman" w:hAnsi="Times New Roman"/>
          <w:b/>
          <w:bCs/>
        </w:rPr>
        <w:t>2.6 Research Instrument, Validity, and Reliability</w:t>
      </w:r>
    </w:p>
    <w:p w14:paraId="19503C4C" w14:textId="77777777" w:rsidR="00A554B6" w:rsidRPr="0025108B" w:rsidRDefault="00A554B6" w:rsidP="00A554B6">
      <w:pPr>
        <w:jc w:val="both"/>
        <w:rPr>
          <w:rFonts w:ascii="Times New Roman" w:hAnsi="Times New Roman"/>
        </w:rPr>
      </w:pPr>
      <w:r w:rsidRPr="0025108B">
        <w:rPr>
          <w:rFonts w:ascii="Times New Roman" w:hAnsi="Times New Roman"/>
        </w:rPr>
        <w:t>The primary instrument for this study was a structured questionnaire, designed to capture both quantitative and qualitative information. For additional clarification of responses and contextual information on gendered water collection experiences, qualitative insights were also gathered through informal discussions with respondents during the survey</w:t>
      </w:r>
      <w:r w:rsidR="001F30F5">
        <w:rPr>
          <w:rFonts w:ascii="Times New Roman" w:hAnsi="Times New Roman"/>
        </w:rPr>
        <w:t xml:space="preserve"> </w:t>
      </w:r>
      <w:r w:rsidR="001F30F5" w:rsidRPr="001F30F5">
        <w:rPr>
          <w:rFonts w:ascii="Times New Roman" w:hAnsi="Times New Roman"/>
        </w:rPr>
        <w:t>(</w:t>
      </w:r>
      <w:proofErr w:type="spellStart"/>
      <w:r w:rsidR="001F30F5" w:rsidRPr="001F30F5">
        <w:rPr>
          <w:rFonts w:ascii="Times New Roman" w:hAnsi="Times New Roman"/>
        </w:rPr>
        <w:t>Oranga</w:t>
      </w:r>
      <w:proofErr w:type="spellEnd"/>
      <w:r w:rsidR="001F30F5" w:rsidRPr="001F30F5">
        <w:rPr>
          <w:rFonts w:ascii="Times New Roman" w:hAnsi="Times New Roman"/>
        </w:rPr>
        <w:t>, 2025)</w:t>
      </w:r>
      <w:r w:rsidRPr="0025108B">
        <w:rPr>
          <w:rFonts w:ascii="Times New Roman" w:hAnsi="Times New Roman"/>
        </w:rPr>
        <w:t>.</w:t>
      </w:r>
    </w:p>
    <w:p w14:paraId="3625FE83" w14:textId="77777777" w:rsidR="0029320E" w:rsidRPr="0025108B" w:rsidRDefault="0029320E" w:rsidP="0029320E">
      <w:pPr>
        <w:jc w:val="both"/>
        <w:rPr>
          <w:rFonts w:ascii="Times New Roman" w:hAnsi="Times New Roman"/>
        </w:rPr>
      </w:pPr>
      <w:r w:rsidRPr="0025108B">
        <w:rPr>
          <w:rFonts w:ascii="Times New Roman" w:hAnsi="Times New Roman"/>
        </w:rPr>
        <w:t>The questionnaire included:</w:t>
      </w:r>
    </w:p>
    <w:p w14:paraId="6AA1A554" w14:textId="77777777" w:rsidR="0029320E" w:rsidRPr="0025108B" w:rsidRDefault="0029320E" w:rsidP="0029320E">
      <w:pPr>
        <w:pStyle w:val="ListParagraph"/>
        <w:numPr>
          <w:ilvl w:val="0"/>
          <w:numId w:val="4"/>
        </w:numPr>
        <w:jc w:val="both"/>
        <w:rPr>
          <w:rFonts w:ascii="Times New Roman" w:hAnsi="Times New Roman"/>
        </w:rPr>
      </w:pPr>
      <w:r w:rsidRPr="0025108B">
        <w:rPr>
          <w:rFonts w:ascii="Times New Roman" w:hAnsi="Times New Roman"/>
        </w:rPr>
        <w:t>Closed-ended items to capture quantitative data on water access, frequency of collection, sources used, and demographic characteristics.</w:t>
      </w:r>
    </w:p>
    <w:p w14:paraId="56507B21" w14:textId="77777777" w:rsidR="0029320E" w:rsidRPr="0025108B" w:rsidRDefault="0029320E" w:rsidP="0029320E">
      <w:pPr>
        <w:pStyle w:val="ListParagraph"/>
        <w:numPr>
          <w:ilvl w:val="0"/>
          <w:numId w:val="4"/>
        </w:numPr>
        <w:jc w:val="both"/>
        <w:rPr>
          <w:rFonts w:ascii="Times New Roman" w:hAnsi="Times New Roman"/>
        </w:rPr>
      </w:pPr>
      <w:r w:rsidRPr="0025108B">
        <w:rPr>
          <w:rFonts w:ascii="Times New Roman" w:hAnsi="Times New Roman"/>
        </w:rPr>
        <w:t>Open-ended items to capture qualitative insights on perceived challenges, physical burden, and social norms influencing water collection</w:t>
      </w:r>
    </w:p>
    <w:p w14:paraId="6890853D" w14:textId="77777777" w:rsidR="00A554B6" w:rsidRPr="0025108B" w:rsidRDefault="00A554B6" w:rsidP="0029320E">
      <w:pPr>
        <w:jc w:val="both"/>
        <w:rPr>
          <w:rFonts w:ascii="Times New Roman" w:hAnsi="Times New Roman"/>
          <w:b/>
          <w:bCs/>
        </w:rPr>
      </w:pPr>
      <w:r w:rsidRPr="0025108B">
        <w:rPr>
          <w:rFonts w:ascii="Times New Roman" w:hAnsi="Times New Roman"/>
          <w:b/>
          <w:bCs/>
        </w:rPr>
        <w:t>2.6.1 Instrument Validity</w:t>
      </w:r>
    </w:p>
    <w:p w14:paraId="0B5476B7" w14:textId="77777777" w:rsidR="00A554B6" w:rsidRPr="0025108B" w:rsidRDefault="00A554B6" w:rsidP="00A554B6">
      <w:pPr>
        <w:jc w:val="both"/>
        <w:rPr>
          <w:rFonts w:ascii="Times New Roman" w:hAnsi="Times New Roman"/>
        </w:rPr>
      </w:pPr>
      <w:r w:rsidRPr="0025108B">
        <w:rPr>
          <w:rFonts w:ascii="Times New Roman" w:hAnsi="Times New Roman"/>
        </w:rPr>
        <w:t xml:space="preserve">To ensure content validity, the questionnaire was developed based on a comprehensive literature review and existing validated instruments used in water, sanitation, and gender studies. It was reviewed by experts from </w:t>
      </w:r>
      <w:r w:rsidR="00942B53" w:rsidRPr="0025108B">
        <w:rPr>
          <w:rFonts w:ascii="Times New Roman" w:hAnsi="Times New Roman"/>
        </w:rPr>
        <w:t xml:space="preserve">both </w:t>
      </w:r>
      <w:r w:rsidRPr="0025108B">
        <w:rPr>
          <w:rFonts w:ascii="Times New Roman" w:hAnsi="Times New Roman"/>
        </w:rPr>
        <w:t>the</w:t>
      </w:r>
      <w:r w:rsidR="00942B53" w:rsidRPr="0025108B">
        <w:rPr>
          <w:rFonts w:ascii="Times New Roman" w:hAnsi="Times New Roman"/>
        </w:rPr>
        <w:t xml:space="preserve"> Department of Water, Sanitation, and Hygiene (WASH), and </w:t>
      </w:r>
      <w:r w:rsidRPr="0025108B">
        <w:rPr>
          <w:rFonts w:ascii="Times New Roman" w:hAnsi="Times New Roman"/>
        </w:rPr>
        <w:lastRenderedPageBreak/>
        <w:t>Environmental Management, Niger Delta University, to confirm that all relevant dimensions were adequately captured. A pilot test was conducted with 40 respondents in non-sampled communities, and refinements were made based on their feedback to improve clarity and relevance.</w:t>
      </w:r>
    </w:p>
    <w:p w14:paraId="425B0021" w14:textId="77777777" w:rsidR="00A554B6" w:rsidRPr="0025108B" w:rsidRDefault="00A554B6" w:rsidP="00A554B6">
      <w:pPr>
        <w:jc w:val="both"/>
        <w:rPr>
          <w:rFonts w:ascii="Times New Roman" w:hAnsi="Times New Roman"/>
          <w:b/>
          <w:bCs/>
        </w:rPr>
      </w:pPr>
      <w:r w:rsidRPr="0025108B">
        <w:rPr>
          <w:rFonts w:ascii="Times New Roman" w:hAnsi="Times New Roman"/>
          <w:b/>
          <w:bCs/>
        </w:rPr>
        <w:t>2.6.2 Instrument Reliability</w:t>
      </w:r>
    </w:p>
    <w:p w14:paraId="3820CDED" w14:textId="77777777" w:rsidR="00A554B6" w:rsidRPr="0025108B" w:rsidRDefault="00A554B6" w:rsidP="00A554B6">
      <w:pPr>
        <w:jc w:val="both"/>
        <w:rPr>
          <w:rFonts w:ascii="Times New Roman" w:hAnsi="Times New Roman"/>
        </w:rPr>
      </w:pPr>
      <w:r w:rsidRPr="0025108B">
        <w:rPr>
          <w:rFonts w:ascii="Times New Roman" w:hAnsi="Times New Roman"/>
        </w:rPr>
        <w:t>Reliability was established through multiple approaches:</w:t>
      </w:r>
    </w:p>
    <w:p w14:paraId="5D88D211" w14:textId="77777777" w:rsidR="00A554B6" w:rsidRPr="0025108B" w:rsidRDefault="00A554B6" w:rsidP="00A554B6">
      <w:pPr>
        <w:pStyle w:val="ListParagraph"/>
        <w:numPr>
          <w:ilvl w:val="0"/>
          <w:numId w:val="6"/>
        </w:numPr>
        <w:jc w:val="both"/>
        <w:rPr>
          <w:rFonts w:ascii="Times New Roman" w:hAnsi="Times New Roman"/>
        </w:rPr>
      </w:pPr>
      <w:r w:rsidRPr="0025108B">
        <w:rPr>
          <w:rFonts w:ascii="Times New Roman" w:hAnsi="Times New Roman"/>
          <w:b/>
          <w:bCs/>
        </w:rPr>
        <w:t>Test–Retest Reliability:</w:t>
      </w:r>
      <w:r w:rsidRPr="0025108B">
        <w:rPr>
          <w:rFonts w:ascii="Times New Roman" w:hAnsi="Times New Roman"/>
        </w:rPr>
        <w:t xml:space="preserve"> Forty respondents completed the questionnaire twice, with a two-week interval. The correlation coefficient of 0.84 indicated strong stability over time.</w:t>
      </w:r>
    </w:p>
    <w:p w14:paraId="64EFAF43" w14:textId="77777777" w:rsidR="00A554B6" w:rsidRPr="0025108B" w:rsidRDefault="00A554B6" w:rsidP="00A554B6">
      <w:pPr>
        <w:pStyle w:val="ListParagraph"/>
        <w:numPr>
          <w:ilvl w:val="0"/>
          <w:numId w:val="6"/>
        </w:numPr>
        <w:jc w:val="both"/>
        <w:rPr>
          <w:rFonts w:ascii="Times New Roman" w:hAnsi="Times New Roman"/>
        </w:rPr>
      </w:pPr>
      <w:r w:rsidRPr="0025108B">
        <w:rPr>
          <w:rFonts w:ascii="Times New Roman" w:hAnsi="Times New Roman"/>
          <w:b/>
          <w:bCs/>
        </w:rPr>
        <w:t>Internal Consistency:</w:t>
      </w:r>
      <w:r w:rsidRPr="0025108B">
        <w:rPr>
          <w:rFonts w:ascii="Times New Roman" w:hAnsi="Times New Roman"/>
        </w:rPr>
        <w:t xml:space="preserve"> Cronbach’s alpha (α = 0.78) was calculated for scaled items, confirming acceptable consistency.</w:t>
      </w:r>
    </w:p>
    <w:p w14:paraId="5A239C6B" w14:textId="77777777" w:rsidR="00A554B6" w:rsidRPr="0025108B" w:rsidRDefault="00A554B6" w:rsidP="00A554B6">
      <w:pPr>
        <w:pStyle w:val="ListParagraph"/>
        <w:numPr>
          <w:ilvl w:val="0"/>
          <w:numId w:val="6"/>
        </w:numPr>
        <w:jc w:val="both"/>
        <w:rPr>
          <w:rFonts w:ascii="Times New Roman" w:hAnsi="Times New Roman"/>
        </w:rPr>
      </w:pPr>
      <w:r w:rsidRPr="0025108B">
        <w:rPr>
          <w:rFonts w:ascii="Times New Roman" w:hAnsi="Times New Roman"/>
          <w:b/>
          <w:bCs/>
        </w:rPr>
        <w:t>Inter-Rater Reliability:</w:t>
      </w:r>
      <w:r w:rsidRPr="0025108B">
        <w:rPr>
          <w:rFonts w:ascii="Times New Roman" w:hAnsi="Times New Roman"/>
        </w:rPr>
        <w:t xml:space="preserve"> Two trained enumerators independently assessed a subset of households (n = 40) for observational items. Cohen’s kappa coefficient of 0.81 demonstrated a high level of agreement.</w:t>
      </w:r>
    </w:p>
    <w:p w14:paraId="2334911C" w14:textId="77777777" w:rsidR="00A554B6" w:rsidRPr="0025108B" w:rsidRDefault="00A554B6" w:rsidP="00A554B6">
      <w:pPr>
        <w:jc w:val="both"/>
        <w:rPr>
          <w:rFonts w:ascii="Times New Roman" w:hAnsi="Times New Roman"/>
        </w:rPr>
      </w:pPr>
      <w:r w:rsidRPr="0025108B">
        <w:rPr>
          <w:rFonts w:ascii="Times New Roman" w:hAnsi="Times New Roman"/>
        </w:rPr>
        <w:t>These procedures confirm that the instrument was both valid and reliable, ensuring confidence in the quantitative and qualitative data collected on water collection and gendered responsibilities.</w:t>
      </w:r>
    </w:p>
    <w:p w14:paraId="32AFA9A7" w14:textId="77777777" w:rsidR="007D7160" w:rsidRPr="0025108B" w:rsidRDefault="007D7160" w:rsidP="007D7160">
      <w:pPr>
        <w:jc w:val="both"/>
        <w:rPr>
          <w:rFonts w:ascii="Times New Roman" w:hAnsi="Times New Roman"/>
          <w:b/>
          <w:bCs/>
        </w:rPr>
      </w:pPr>
      <w:r w:rsidRPr="0025108B">
        <w:rPr>
          <w:rFonts w:ascii="Times New Roman" w:hAnsi="Times New Roman"/>
          <w:b/>
          <w:bCs/>
        </w:rPr>
        <w:t>2.</w:t>
      </w:r>
      <w:r w:rsidR="00A554B6" w:rsidRPr="0025108B">
        <w:rPr>
          <w:rFonts w:ascii="Times New Roman" w:hAnsi="Times New Roman"/>
          <w:b/>
          <w:bCs/>
        </w:rPr>
        <w:t>7</w:t>
      </w:r>
      <w:r w:rsidRPr="0025108B">
        <w:rPr>
          <w:rFonts w:ascii="Times New Roman" w:hAnsi="Times New Roman"/>
          <w:b/>
          <w:bCs/>
        </w:rPr>
        <w:t xml:space="preserve"> Data Collection Methods</w:t>
      </w:r>
    </w:p>
    <w:p w14:paraId="180C3447" w14:textId="77777777" w:rsidR="00A554B6" w:rsidRPr="0025108B" w:rsidRDefault="00A554B6" w:rsidP="007D7160">
      <w:pPr>
        <w:jc w:val="both"/>
        <w:rPr>
          <w:rFonts w:ascii="Times New Roman" w:hAnsi="Times New Roman"/>
        </w:rPr>
      </w:pPr>
      <w:r w:rsidRPr="0025108B">
        <w:rPr>
          <w:rFonts w:ascii="Times New Roman" w:hAnsi="Times New Roman"/>
        </w:rPr>
        <w:t>A reconnaissance survey was conducted before the main survey (for data collection) in order for the researcher and research assistants to familiarize themselves with the study area and also to conduct a pilot test of the questionnaire with a few respondents to ascertain if there is a need for any adjustments on the questionnaire; the information obtained from the reconnaissance survey helped in refining the data collection instruments.</w:t>
      </w:r>
    </w:p>
    <w:p w14:paraId="273E3BA5" w14:textId="77777777" w:rsidR="0029320E" w:rsidRPr="0025108B" w:rsidRDefault="007D7160" w:rsidP="007D7160">
      <w:pPr>
        <w:jc w:val="both"/>
        <w:rPr>
          <w:rFonts w:ascii="Times New Roman" w:hAnsi="Times New Roman"/>
        </w:rPr>
      </w:pPr>
      <w:r w:rsidRPr="0025108B">
        <w:rPr>
          <w:rFonts w:ascii="Times New Roman" w:hAnsi="Times New Roman"/>
        </w:rPr>
        <w:t>Data were collected through an interviewer-administered household survey over a two-week period. Trained enumerators visited selected households, explained the purpose of the study, and administered the structured questionnaire face-to-face. Each respondent completed the questionnaire in the presence of an enumerator, ensuring accuracy, clarity, and completeness of responses.</w:t>
      </w:r>
      <w:r w:rsidR="0029320E" w:rsidRPr="0025108B">
        <w:rPr>
          <w:rFonts w:ascii="Times New Roman" w:hAnsi="Times New Roman"/>
        </w:rPr>
        <w:t xml:space="preserve"> </w:t>
      </w:r>
    </w:p>
    <w:p w14:paraId="1982F718" w14:textId="77777777" w:rsidR="007D7160" w:rsidRPr="0025108B" w:rsidRDefault="007D7160" w:rsidP="007D7160">
      <w:pPr>
        <w:jc w:val="both"/>
        <w:rPr>
          <w:rFonts w:ascii="Times New Roman" w:hAnsi="Times New Roman"/>
        </w:rPr>
      </w:pPr>
      <w:r w:rsidRPr="0025108B">
        <w:rPr>
          <w:rFonts w:ascii="Times New Roman" w:hAnsi="Times New Roman"/>
        </w:rPr>
        <w:t>This approach allow</w:t>
      </w:r>
      <w:r w:rsidR="00786EB1" w:rsidRPr="0025108B">
        <w:rPr>
          <w:rFonts w:ascii="Times New Roman" w:hAnsi="Times New Roman"/>
        </w:rPr>
        <w:t>ed</w:t>
      </w:r>
      <w:r w:rsidRPr="0025108B">
        <w:rPr>
          <w:rFonts w:ascii="Times New Roman" w:hAnsi="Times New Roman"/>
        </w:rPr>
        <w:t xml:space="preserve"> the study to combine</w:t>
      </w:r>
      <w:r w:rsidR="00786EB1" w:rsidRPr="0025108B">
        <w:rPr>
          <w:rFonts w:ascii="Times New Roman" w:hAnsi="Times New Roman"/>
        </w:rPr>
        <w:t xml:space="preserve"> both</w:t>
      </w:r>
      <w:r w:rsidRPr="0025108B">
        <w:rPr>
          <w:rFonts w:ascii="Times New Roman" w:hAnsi="Times New Roman"/>
        </w:rPr>
        <w:t xml:space="preserve"> quantitative and qualitative information from a single instrument.</w:t>
      </w:r>
      <w:r w:rsidR="00786EB1" w:rsidRPr="0025108B">
        <w:rPr>
          <w:rFonts w:ascii="Times New Roman" w:hAnsi="Times New Roman"/>
        </w:rPr>
        <w:t xml:space="preserve"> For additional clarification of responses and contextual information on gendered water collection experiences, qualitative insights were also gathered through informal discussions with respondents during the survey. </w:t>
      </w:r>
      <w:r w:rsidRPr="0025108B">
        <w:rPr>
          <w:rFonts w:ascii="Times New Roman" w:hAnsi="Times New Roman"/>
        </w:rPr>
        <w:t xml:space="preserve">A total of 400 questionnaires were administered. Of these, 395 were retrieved, representing a 98.75% response rate. Most </w:t>
      </w:r>
      <w:r w:rsidR="00787041" w:rsidRPr="0025108B">
        <w:rPr>
          <w:rFonts w:ascii="Times New Roman" w:hAnsi="Times New Roman"/>
        </w:rPr>
        <w:t>LGA headquarters</w:t>
      </w:r>
      <w:r w:rsidRPr="0025108B">
        <w:rPr>
          <w:rFonts w:ascii="Times New Roman" w:hAnsi="Times New Roman"/>
        </w:rPr>
        <w:t xml:space="preserve"> returned all 50 questionnaires, while </w:t>
      </w:r>
      <w:proofErr w:type="spellStart"/>
      <w:r w:rsidRPr="0025108B">
        <w:rPr>
          <w:rFonts w:ascii="Times New Roman" w:hAnsi="Times New Roman"/>
        </w:rPr>
        <w:t>Oporoma</w:t>
      </w:r>
      <w:proofErr w:type="spellEnd"/>
      <w:r w:rsidRPr="0025108B">
        <w:rPr>
          <w:rFonts w:ascii="Times New Roman" w:hAnsi="Times New Roman"/>
        </w:rPr>
        <w:t xml:space="preserve"> returned 45. The high retrieval rate was achieved because questionnaires were completed under supervision and collected immediately, reducing non-response and missing data.</w:t>
      </w:r>
    </w:p>
    <w:p w14:paraId="504E1881" w14:textId="77777777" w:rsidR="00CC1B44" w:rsidRPr="0025108B" w:rsidRDefault="00942B53" w:rsidP="00CC1B44">
      <w:pPr>
        <w:jc w:val="both"/>
        <w:rPr>
          <w:rFonts w:ascii="Times New Roman" w:hAnsi="Times New Roman"/>
          <w:b/>
          <w:bCs/>
        </w:rPr>
      </w:pPr>
      <w:r w:rsidRPr="0025108B">
        <w:rPr>
          <w:rFonts w:ascii="Times New Roman" w:hAnsi="Times New Roman"/>
          <w:b/>
          <w:bCs/>
        </w:rPr>
        <w:t xml:space="preserve">2.8 </w:t>
      </w:r>
      <w:r w:rsidR="00CC1B44" w:rsidRPr="0025108B">
        <w:rPr>
          <w:rFonts w:ascii="Times New Roman" w:hAnsi="Times New Roman"/>
          <w:b/>
          <w:bCs/>
        </w:rPr>
        <w:t>Data Analysis</w:t>
      </w:r>
    </w:p>
    <w:p w14:paraId="5F0EDCF6" w14:textId="77777777" w:rsidR="00CC1B44" w:rsidRPr="0025108B" w:rsidRDefault="00CC1B44" w:rsidP="00CC1B44">
      <w:pPr>
        <w:jc w:val="both"/>
        <w:rPr>
          <w:rFonts w:ascii="Times New Roman" w:hAnsi="Times New Roman"/>
        </w:rPr>
      </w:pPr>
      <w:r w:rsidRPr="0025108B">
        <w:rPr>
          <w:rFonts w:ascii="Times New Roman" w:hAnsi="Times New Roman"/>
        </w:rPr>
        <w:lastRenderedPageBreak/>
        <w:t xml:space="preserve">The data for this study were </w:t>
      </w:r>
      <w:proofErr w:type="spellStart"/>
      <w:r w:rsidRPr="0025108B">
        <w:rPr>
          <w:rFonts w:ascii="Times New Roman" w:hAnsi="Times New Roman"/>
        </w:rPr>
        <w:t>analyzed</w:t>
      </w:r>
      <w:proofErr w:type="spellEnd"/>
      <w:r w:rsidRPr="0025108B">
        <w:rPr>
          <w:rFonts w:ascii="Times New Roman" w:hAnsi="Times New Roman"/>
        </w:rPr>
        <w:t xml:space="preserve"> using both descriptive and inferential methods. Descriptive statistics, including frequencies and percentages, </w:t>
      </w:r>
      <w:r w:rsidR="0029320E" w:rsidRPr="0025108B">
        <w:rPr>
          <w:rFonts w:ascii="Times New Roman" w:hAnsi="Times New Roman"/>
        </w:rPr>
        <w:t xml:space="preserve">which </w:t>
      </w:r>
      <w:r w:rsidRPr="0025108B">
        <w:rPr>
          <w:rFonts w:ascii="Times New Roman" w:hAnsi="Times New Roman"/>
        </w:rPr>
        <w:t>were used to summarize the data</w:t>
      </w:r>
      <w:r w:rsidR="0029320E" w:rsidRPr="0025108B">
        <w:rPr>
          <w:rFonts w:ascii="Times New Roman" w:hAnsi="Times New Roman"/>
        </w:rPr>
        <w:t xml:space="preserve">, and then </w:t>
      </w:r>
      <w:r w:rsidRPr="0025108B">
        <w:rPr>
          <w:rFonts w:ascii="Times New Roman" w:hAnsi="Times New Roman"/>
        </w:rPr>
        <w:t>presented in tables and charts for data visualization. Th</w:t>
      </w:r>
      <w:r w:rsidR="0029320E" w:rsidRPr="0025108B">
        <w:rPr>
          <w:rFonts w:ascii="Times New Roman" w:hAnsi="Times New Roman"/>
        </w:rPr>
        <w:t xml:space="preserve">is </w:t>
      </w:r>
      <w:r w:rsidRPr="0025108B">
        <w:rPr>
          <w:rFonts w:ascii="Times New Roman" w:hAnsi="Times New Roman"/>
        </w:rPr>
        <w:t xml:space="preserve">helped </w:t>
      </w:r>
      <w:r w:rsidR="0029320E" w:rsidRPr="0025108B">
        <w:rPr>
          <w:rFonts w:ascii="Times New Roman" w:hAnsi="Times New Roman"/>
        </w:rPr>
        <w:t xml:space="preserve">to </w:t>
      </w:r>
      <w:r w:rsidRPr="0025108B">
        <w:rPr>
          <w:rFonts w:ascii="Times New Roman" w:hAnsi="Times New Roman"/>
        </w:rPr>
        <w:t xml:space="preserve">identify patterns and general trends </w:t>
      </w:r>
      <w:r w:rsidR="00942B53" w:rsidRPr="0025108B">
        <w:rPr>
          <w:rFonts w:ascii="Times New Roman" w:hAnsi="Times New Roman"/>
        </w:rPr>
        <w:t xml:space="preserve">and associations </w:t>
      </w:r>
      <w:r w:rsidRPr="0025108B">
        <w:rPr>
          <w:rFonts w:ascii="Times New Roman" w:hAnsi="Times New Roman"/>
        </w:rPr>
        <w:t>across the eight Local Government Area headquarters in Bayelsa State.</w:t>
      </w:r>
    </w:p>
    <w:p w14:paraId="583FA9E0" w14:textId="77777777" w:rsidR="00942B53" w:rsidRPr="0025108B" w:rsidRDefault="00CC1B44" w:rsidP="007D7160">
      <w:pPr>
        <w:jc w:val="both"/>
        <w:rPr>
          <w:rFonts w:ascii="Times New Roman" w:hAnsi="Times New Roman"/>
        </w:rPr>
      </w:pPr>
      <w:r w:rsidRPr="0025108B">
        <w:rPr>
          <w:rFonts w:ascii="Times New Roman" w:hAnsi="Times New Roman"/>
        </w:rPr>
        <w:t xml:space="preserve">For the qualitative </w:t>
      </w:r>
      <w:r w:rsidR="00787041" w:rsidRPr="0025108B">
        <w:rPr>
          <w:rFonts w:ascii="Times New Roman" w:hAnsi="Times New Roman"/>
        </w:rPr>
        <w:t xml:space="preserve">aspect </w:t>
      </w:r>
      <w:r w:rsidRPr="0025108B">
        <w:rPr>
          <w:rFonts w:ascii="Times New Roman" w:hAnsi="Times New Roman"/>
        </w:rPr>
        <w:t xml:space="preserve">insights </w:t>
      </w:r>
      <w:r w:rsidR="00787041" w:rsidRPr="0025108B">
        <w:rPr>
          <w:rFonts w:ascii="Times New Roman" w:hAnsi="Times New Roman"/>
        </w:rPr>
        <w:t xml:space="preserve">were drawn </w:t>
      </w:r>
      <w:r w:rsidRPr="0025108B">
        <w:rPr>
          <w:rFonts w:ascii="Times New Roman" w:hAnsi="Times New Roman"/>
        </w:rPr>
        <w:t xml:space="preserve">from the open-ended questions; </w:t>
      </w:r>
      <w:r w:rsidR="00787041" w:rsidRPr="0025108B">
        <w:rPr>
          <w:rFonts w:ascii="Times New Roman" w:hAnsi="Times New Roman"/>
        </w:rPr>
        <w:t xml:space="preserve">and </w:t>
      </w:r>
      <w:r w:rsidRPr="0025108B">
        <w:rPr>
          <w:rFonts w:ascii="Times New Roman" w:hAnsi="Times New Roman"/>
        </w:rPr>
        <w:t xml:space="preserve">were </w:t>
      </w:r>
      <w:r w:rsidR="00787041" w:rsidRPr="0025108B">
        <w:rPr>
          <w:rFonts w:ascii="Times New Roman" w:hAnsi="Times New Roman"/>
        </w:rPr>
        <w:t xml:space="preserve">then </w:t>
      </w:r>
      <w:r w:rsidRPr="0025108B">
        <w:rPr>
          <w:rFonts w:ascii="Times New Roman" w:hAnsi="Times New Roman"/>
        </w:rPr>
        <w:t xml:space="preserve">triangulated with quantitative findings and </w:t>
      </w:r>
      <w:r w:rsidR="00787041" w:rsidRPr="0025108B">
        <w:rPr>
          <w:rFonts w:ascii="Times New Roman" w:hAnsi="Times New Roman"/>
        </w:rPr>
        <w:t>finally</w:t>
      </w:r>
      <w:r w:rsidRPr="0025108B">
        <w:rPr>
          <w:rFonts w:ascii="Times New Roman" w:hAnsi="Times New Roman"/>
        </w:rPr>
        <w:t xml:space="preserve"> organized into themes to reflect gendered experiences and community perspectives given a fuller understanding of the</w:t>
      </w:r>
      <w:r w:rsidRPr="0025108B">
        <w:rPr>
          <w:rFonts w:ascii="Times New Roman" w:hAnsi="Times New Roman"/>
          <w:color w:val="EE0000"/>
        </w:rPr>
        <w:t xml:space="preserve"> </w:t>
      </w:r>
      <w:r w:rsidRPr="0025108B">
        <w:rPr>
          <w:rFonts w:ascii="Times New Roman" w:hAnsi="Times New Roman"/>
        </w:rPr>
        <w:t>gender dimensions of water collection.</w:t>
      </w:r>
      <w:r w:rsidR="00942B53" w:rsidRPr="0025108B">
        <w:rPr>
          <w:rFonts w:ascii="Times New Roman" w:hAnsi="Times New Roman"/>
        </w:rPr>
        <w:t xml:space="preserve"> </w:t>
      </w:r>
      <w:r w:rsidRPr="0025108B">
        <w:rPr>
          <w:rFonts w:ascii="Times New Roman" w:hAnsi="Times New Roman"/>
        </w:rPr>
        <w:t>Lastly, inferential analysis was carried out using cross-tabulation and Chi-Square Tests of Independence to examine the relationship between gender and responsibility for water collection. Statistical significance was assessed at a 5% level (α = 0.05). Microsoft Excel and SPSS version 26.0 were used for data entry, coding, cleaning, and statistical analysis.</w:t>
      </w:r>
    </w:p>
    <w:p w14:paraId="0DFDBFD0" w14:textId="77777777" w:rsidR="00675B35" w:rsidRPr="0025108B" w:rsidRDefault="00BC7158" w:rsidP="00675B35">
      <w:pPr>
        <w:jc w:val="both"/>
        <w:rPr>
          <w:rFonts w:ascii="Times New Roman" w:hAnsi="Times New Roman"/>
          <w:b/>
          <w:bCs/>
        </w:rPr>
      </w:pPr>
      <w:r w:rsidRPr="0025108B">
        <w:rPr>
          <w:rFonts w:ascii="Times New Roman" w:hAnsi="Times New Roman"/>
          <w:b/>
          <w:bCs/>
        </w:rPr>
        <w:t>3.0 RESULTS</w:t>
      </w:r>
    </w:p>
    <w:p w14:paraId="5AB43BBE" w14:textId="77777777" w:rsidR="00BC7158" w:rsidRPr="0025108B" w:rsidRDefault="00BC7158" w:rsidP="00675B35">
      <w:pPr>
        <w:jc w:val="both"/>
        <w:rPr>
          <w:rFonts w:ascii="Times New Roman" w:hAnsi="Times New Roman"/>
        </w:rPr>
      </w:pPr>
      <w:r w:rsidRPr="0025108B">
        <w:rPr>
          <w:rFonts w:ascii="Times New Roman" w:hAnsi="Times New Roman"/>
        </w:rPr>
        <w:t xml:space="preserve">For the analysis in this section of the study; the primary focus was on only households where a clearly identifiable primary water collector (adult male, adult female, male child, or female child) was reported were included in the cross-tabulation. After data screening and coding, 157 valid cases met this criterion and were used for the Chi-square analysis. Although 395 questionnaires were retrieved, the Chi-square analysis required classification of the specific household member responsible for water collection as many households reported shared responsibility or “any available member,” which could not be categorized into a single gender group. </w:t>
      </w:r>
    </w:p>
    <w:p w14:paraId="4F64D62B" w14:textId="77777777" w:rsidR="00675B35" w:rsidRPr="0025108B" w:rsidRDefault="00537995" w:rsidP="00675B35">
      <w:pPr>
        <w:jc w:val="both"/>
        <w:rPr>
          <w:rFonts w:ascii="Times New Roman" w:hAnsi="Times New Roman"/>
          <w:b/>
          <w:bCs/>
        </w:rPr>
      </w:pPr>
      <w:r w:rsidRPr="0025108B">
        <w:rPr>
          <w:rFonts w:ascii="Times New Roman" w:hAnsi="Times New Roman"/>
          <w:b/>
          <w:bCs/>
        </w:rPr>
        <w:t>3</w:t>
      </w:r>
      <w:r w:rsidR="00675B35" w:rsidRPr="0025108B">
        <w:rPr>
          <w:rFonts w:ascii="Times New Roman" w:hAnsi="Times New Roman"/>
          <w:b/>
          <w:bCs/>
        </w:rPr>
        <w:t>.1 Individuals Responsible for Fetching Water</w:t>
      </w:r>
    </w:p>
    <w:p w14:paraId="6A7909E8" w14:textId="77777777" w:rsidR="00675B35" w:rsidRPr="0025108B" w:rsidRDefault="00675B35" w:rsidP="00675B35">
      <w:pPr>
        <w:jc w:val="both"/>
        <w:rPr>
          <w:rFonts w:ascii="Times New Roman" w:hAnsi="Times New Roman"/>
        </w:rPr>
      </w:pPr>
      <w:r w:rsidRPr="0025108B">
        <w:rPr>
          <w:rFonts w:ascii="Times New Roman" w:hAnsi="Times New Roman"/>
        </w:rPr>
        <w:t xml:space="preserve">The distribution of water collection responsibilities shows a clear gendered and age-based pattern </w:t>
      </w:r>
      <w:r w:rsidR="00787041" w:rsidRPr="0025108B">
        <w:rPr>
          <w:rFonts w:ascii="Times New Roman" w:hAnsi="Times New Roman"/>
        </w:rPr>
        <w:t xml:space="preserve">across all LGA headquarters in Bayelsa State </w:t>
      </w:r>
      <w:r w:rsidRPr="0025108B">
        <w:rPr>
          <w:rFonts w:ascii="Times New Roman" w:hAnsi="Times New Roman"/>
        </w:rPr>
        <w:t xml:space="preserve">(Table 1, Fig. 2). </w:t>
      </w:r>
      <w:r w:rsidR="00787041" w:rsidRPr="0025108B">
        <w:rPr>
          <w:rFonts w:ascii="Times New Roman" w:hAnsi="Times New Roman"/>
        </w:rPr>
        <w:t>Within the classified households, adult females form the largest group involved in water collection</w:t>
      </w:r>
      <w:r w:rsidRPr="0025108B">
        <w:rPr>
          <w:rFonts w:ascii="Times New Roman" w:hAnsi="Times New Roman"/>
        </w:rPr>
        <w:t>, averaging 34% across all LGA</w:t>
      </w:r>
      <w:r w:rsidR="005F70FE" w:rsidRPr="0025108B">
        <w:rPr>
          <w:rFonts w:ascii="Times New Roman" w:hAnsi="Times New Roman"/>
        </w:rPr>
        <w:t xml:space="preserve"> headquarters</w:t>
      </w:r>
      <w:r w:rsidRPr="0025108B">
        <w:rPr>
          <w:rFonts w:ascii="Times New Roman" w:hAnsi="Times New Roman"/>
        </w:rPr>
        <w:t xml:space="preserve">. </w:t>
      </w:r>
      <w:r w:rsidR="00737E20" w:rsidRPr="0025108B">
        <w:rPr>
          <w:rFonts w:ascii="Times New Roman" w:hAnsi="Times New Roman"/>
        </w:rPr>
        <w:t xml:space="preserve">This was followed by </w:t>
      </w:r>
      <w:r w:rsidRPr="0025108B">
        <w:rPr>
          <w:rFonts w:ascii="Times New Roman" w:hAnsi="Times New Roman"/>
        </w:rPr>
        <w:t xml:space="preserve">male </w:t>
      </w:r>
      <w:r w:rsidR="00737E20" w:rsidRPr="0025108B">
        <w:rPr>
          <w:rFonts w:ascii="Times New Roman" w:hAnsi="Times New Roman"/>
        </w:rPr>
        <w:t xml:space="preserve">children </w:t>
      </w:r>
      <w:r w:rsidRPr="0025108B">
        <w:rPr>
          <w:rFonts w:ascii="Times New Roman" w:hAnsi="Times New Roman"/>
        </w:rPr>
        <w:t>accounting for 2</w:t>
      </w:r>
      <w:r w:rsidR="00737E20" w:rsidRPr="0025108B">
        <w:rPr>
          <w:rFonts w:ascii="Times New Roman" w:hAnsi="Times New Roman"/>
        </w:rPr>
        <w:t>4</w:t>
      </w:r>
      <w:r w:rsidRPr="0025108B">
        <w:rPr>
          <w:rFonts w:ascii="Times New Roman" w:hAnsi="Times New Roman"/>
        </w:rPr>
        <w:t>%</w:t>
      </w:r>
      <w:r w:rsidR="00737E20" w:rsidRPr="0025108B">
        <w:rPr>
          <w:rFonts w:ascii="Times New Roman" w:hAnsi="Times New Roman"/>
        </w:rPr>
        <w:t xml:space="preserve"> of the sample</w:t>
      </w:r>
      <w:r w:rsidRPr="0025108B">
        <w:rPr>
          <w:rFonts w:ascii="Times New Roman" w:hAnsi="Times New Roman"/>
        </w:rPr>
        <w:t xml:space="preserve">. </w:t>
      </w:r>
      <w:r w:rsidR="00737E20" w:rsidRPr="0025108B">
        <w:rPr>
          <w:rFonts w:ascii="Times New Roman" w:hAnsi="Times New Roman"/>
        </w:rPr>
        <w:t>While a</w:t>
      </w:r>
      <w:r w:rsidRPr="0025108B">
        <w:rPr>
          <w:rFonts w:ascii="Times New Roman" w:hAnsi="Times New Roman"/>
        </w:rPr>
        <w:t xml:space="preserve">dult males </w:t>
      </w:r>
      <w:r w:rsidR="00737E20" w:rsidRPr="0025108B">
        <w:rPr>
          <w:rFonts w:ascii="Times New Roman" w:hAnsi="Times New Roman"/>
        </w:rPr>
        <w:t>and female children, both had</w:t>
      </w:r>
      <w:r w:rsidRPr="0025108B">
        <w:rPr>
          <w:rFonts w:ascii="Times New Roman" w:hAnsi="Times New Roman"/>
        </w:rPr>
        <w:t xml:space="preserve"> 21%</w:t>
      </w:r>
      <w:r w:rsidR="00737E20" w:rsidRPr="0025108B">
        <w:rPr>
          <w:rFonts w:ascii="Times New Roman" w:hAnsi="Times New Roman"/>
        </w:rPr>
        <w:t xml:space="preserve"> respectively</w:t>
      </w:r>
      <w:r w:rsidRPr="0025108B">
        <w:rPr>
          <w:rFonts w:ascii="Times New Roman" w:hAnsi="Times New Roman"/>
        </w:rPr>
        <w:t xml:space="preserve">. Shared responsibility within households remains low (11%), while the “based on availability” category is highest overall (25%), particularly in </w:t>
      </w:r>
      <w:proofErr w:type="spellStart"/>
      <w:r w:rsidRPr="0025108B">
        <w:rPr>
          <w:rFonts w:ascii="Times New Roman" w:hAnsi="Times New Roman"/>
        </w:rPr>
        <w:t>Oporoma</w:t>
      </w:r>
      <w:proofErr w:type="spellEnd"/>
      <w:r w:rsidRPr="0025108B">
        <w:rPr>
          <w:rFonts w:ascii="Times New Roman" w:hAnsi="Times New Roman"/>
        </w:rPr>
        <w:t xml:space="preserve"> (32%) and </w:t>
      </w:r>
      <w:proofErr w:type="spellStart"/>
      <w:r w:rsidRPr="0025108B">
        <w:rPr>
          <w:rFonts w:ascii="Times New Roman" w:hAnsi="Times New Roman"/>
        </w:rPr>
        <w:t>Ogbia</w:t>
      </w:r>
      <w:proofErr w:type="spellEnd"/>
      <w:r w:rsidRPr="0025108B">
        <w:rPr>
          <w:rFonts w:ascii="Times New Roman" w:hAnsi="Times New Roman"/>
        </w:rPr>
        <w:t xml:space="preserve"> (28%)</w:t>
      </w:r>
      <w:r w:rsidR="00787041" w:rsidRPr="0025108B">
        <w:rPr>
          <w:rFonts w:ascii="Times New Roman" w:hAnsi="Times New Roman"/>
        </w:rPr>
        <w:t xml:space="preserve"> (Fig. 2)</w:t>
      </w:r>
      <w:r w:rsidRPr="0025108B">
        <w:rPr>
          <w:rFonts w:ascii="Times New Roman" w:hAnsi="Times New Roman"/>
        </w:rPr>
        <w:t>.</w:t>
      </w:r>
    </w:p>
    <w:p w14:paraId="407E04C3" w14:textId="77777777" w:rsidR="00675B35" w:rsidRPr="0025108B" w:rsidRDefault="00675B35" w:rsidP="00675B35">
      <w:pPr>
        <w:jc w:val="both"/>
        <w:rPr>
          <w:rFonts w:ascii="Times New Roman" w:hAnsi="Times New Roman"/>
        </w:rPr>
      </w:pPr>
      <w:r w:rsidRPr="0025108B">
        <w:rPr>
          <w:rFonts w:ascii="Times New Roman" w:hAnsi="Times New Roman"/>
        </w:rPr>
        <w:t xml:space="preserve">This indicates that despite the proximity of rivers and other water sources, the burden of water collection largely falls on women and children. In </w:t>
      </w:r>
      <w:r w:rsidR="00883382" w:rsidRPr="0025108B">
        <w:rPr>
          <w:rFonts w:ascii="Times New Roman" w:hAnsi="Times New Roman"/>
        </w:rPr>
        <w:t>LGA headquarters</w:t>
      </w:r>
      <w:r w:rsidRPr="0025108B">
        <w:rPr>
          <w:rFonts w:ascii="Times New Roman" w:hAnsi="Times New Roman"/>
        </w:rPr>
        <w:t xml:space="preserve"> like </w:t>
      </w:r>
      <w:proofErr w:type="spellStart"/>
      <w:r w:rsidRPr="0025108B">
        <w:rPr>
          <w:rFonts w:ascii="Times New Roman" w:hAnsi="Times New Roman"/>
        </w:rPr>
        <w:t>Ekeremor</w:t>
      </w:r>
      <w:proofErr w:type="spellEnd"/>
      <w:r w:rsidRPr="0025108B">
        <w:rPr>
          <w:rFonts w:ascii="Times New Roman" w:hAnsi="Times New Roman"/>
        </w:rPr>
        <w:t xml:space="preserve">, Kaiama, and </w:t>
      </w:r>
      <w:proofErr w:type="spellStart"/>
      <w:r w:rsidRPr="0025108B">
        <w:rPr>
          <w:rFonts w:ascii="Times New Roman" w:hAnsi="Times New Roman"/>
        </w:rPr>
        <w:t>Sagbama</w:t>
      </w:r>
      <w:proofErr w:type="spellEnd"/>
      <w:r w:rsidRPr="0025108B">
        <w:rPr>
          <w:rFonts w:ascii="Times New Roman" w:hAnsi="Times New Roman"/>
        </w:rPr>
        <w:t xml:space="preserve">, male and female children participate almost equally, reflecting intergenerational labour transfer in households lacking reliable water access. These results reveal that household </w:t>
      </w:r>
      <w:r w:rsidR="00537995" w:rsidRPr="0025108B">
        <w:rPr>
          <w:rFonts w:ascii="Times New Roman" w:hAnsi="Times New Roman"/>
        </w:rPr>
        <w:t xml:space="preserve">water </w:t>
      </w:r>
      <w:r w:rsidRPr="0025108B">
        <w:rPr>
          <w:rFonts w:ascii="Times New Roman" w:hAnsi="Times New Roman"/>
        </w:rPr>
        <w:t>labour is heavily skewed toward women and children. Adult males are rarely engaged, suggesting that water collection remains socially coded as women’s and children’s work, while household convenience (“availability”) still shapes actual responsibilities</w:t>
      </w:r>
      <w:r w:rsidR="00883382" w:rsidRPr="0025108B">
        <w:rPr>
          <w:rFonts w:ascii="Times New Roman" w:hAnsi="Times New Roman"/>
        </w:rPr>
        <w:t xml:space="preserve"> (Fig. 2)</w:t>
      </w:r>
      <w:r w:rsidRPr="0025108B">
        <w:rPr>
          <w:rFonts w:ascii="Times New Roman" w:hAnsi="Times New Roman"/>
        </w:rPr>
        <w:t>.</w:t>
      </w:r>
    </w:p>
    <w:p w14:paraId="3D8993DE" w14:textId="77777777" w:rsidR="00675B35" w:rsidRPr="0076417B" w:rsidRDefault="00675B35" w:rsidP="00675B35">
      <w:pPr>
        <w:jc w:val="both"/>
        <w:rPr>
          <w:rFonts w:ascii="Times New Roman" w:hAnsi="Times New Roman"/>
        </w:rPr>
      </w:pPr>
      <w:r w:rsidRPr="0076417B">
        <w:rPr>
          <w:rFonts w:ascii="Times New Roman" w:hAnsi="Times New Roman"/>
        </w:rPr>
        <w:t>Table 1: Individuals Responsible for Fetching Water</w:t>
      </w:r>
    </w:p>
    <w:tbl>
      <w:tblPr>
        <w:tblW w:w="9022" w:type="dxa"/>
        <w:tblBorders>
          <w:top w:val="single" w:sz="4" w:space="0" w:color="7F7F7F"/>
          <w:bottom w:val="single" w:sz="4" w:space="0" w:color="7F7F7F"/>
        </w:tblBorders>
        <w:tblLook w:val="0660" w:firstRow="1" w:lastRow="1" w:firstColumn="0" w:lastColumn="0" w:noHBand="1" w:noVBand="1"/>
      </w:tblPr>
      <w:tblGrid>
        <w:gridCol w:w="1006"/>
        <w:gridCol w:w="1244"/>
        <w:gridCol w:w="1244"/>
        <w:gridCol w:w="1069"/>
        <w:gridCol w:w="1066"/>
        <w:gridCol w:w="1213"/>
        <w:gridCol w:w="1025"/>
        <w:gridCol w:w="1155"/>
      </w:tblGrid>
      <w:tr w:rsidR="00675B35" w:rsidRPr="0025108B" w14:paraId="1352FB50" w14:textId="77777777" w:rsidTr="00F33A8E">
        <w:trPr>
          <w:trHeight w:val="569"/>
        </w:trPr>
        <w:tc>
          <w:tcPr>
            <w:tcW w:w="0" w:type="auto"/>
            <w:tcBorders>
              <w:bottom w:val="single" w:sz="4" w:space="0" w:color="7F7F7F"/>
            </w:tcBorders>
            <w:hideMark/>
          </w:tcPr>
          <w:p w14:paraId="61FA7C1F" w14:textId="77777777" w:rsidR="00675B35" w:rsidRPr="0025108B" w:rsidRDefault="00675B35" w:rsidP="00B36CA2">
            <w:pPr>
              <w:spacing w:line="240" w:lineRule="auto"/>
              <w:jc w:val="both"/>
              <w:rPr>
                <w:rFonts w:ascii="Times New Roman" w:hAnsi="Times New Roman"/>
                <w:b/>
                <w:bCs/>
                <w:sz w:val="20"/>
                <w:szCs w:val="20"/>
              </w:rPr>
            </w:pPr>
            <w:r w:rsidRPr="0025108B">
              <w:rPr>
                <w:rFonts w:ascii="Times New Roman" w:hAnsi="Times New Roman"/>
                <w:b/>
                <w:bCs/>
                <w:sz w:val="20"/>
                <w:szCs w:val="20"/>
              </w:rPr>
              <w:lastRenderedPageBreak/>
              <w:t>LGA</w:t>
            </w:r>
          </w:p>
        </w:tc>
        <w:tc>
          <w:tcPr>
            <w:tcW w:w="0" w:type="auto"/>
            <w:tcBorders>
              <w:bottom w:val="single" w:sz="4" w:space="0" w:color="7F7F7F"/>
            </w:tcBorders>
            <w:hideMark/>
          </w:tcPr>
          <w:p w14:paraId="61788E3F" w14:textId="77777777" w:rsidR="00675B35" w:rsidRPr="0025108B" w:rsidRDefault="00675B35" w:rsidP="00B36CA2">
            <w:pPr>
              <w:spacing w:line="240" w:lineRule="auto"/>
              <w:jc w:val="center"/>
              <w:rPr>
                <w:rFonts w:ascii="Times New Roman" w:hAnsi="Times New Roman"/>
                <w:b/>
                <w:bCs/>
                <w:sz w:val="20"/>
                <w:szCs w:val="20"/>
              </w:rPr>
            </w:pPr>
            <w:r w:rsidRPr="0025108B">
              <w:rPr>
                <w:rFonts w:ascii="Times New Roman" w:hAnsi="Times New Roman"/>
                <w:b/>
                <w:bCs/>
                <w:sz w:val="20"/>
                <w:szCs w:val="20"/>
              </w:rPr>
              <w:t>Female Adult</w:t>
            </w:r>
          </w:p>
        </w:tc>
        <w:tc>
          <w:tcPr>
            <w:tcW w:w="0" w:type="auto"/>
            <w:tcBorders>
              <w:bottom w:val="single" w:sz="4" w:space="0" w:color="7F7F7F"/>
            </w:tcBorders>
            <w:hideMark/>
          </w:tcPr>
          <w:p w14:paraId="68F5F0AF" w14:textId="77777777" w:rsidR="00675B35" w:rsidRPr="0025108B" w:rsidRDefault="00675B35" w:rsidP="00B36CA2">
            <w:pPr>
              <w:spacing w:line="240" w:lineRule="auto"/>
              <w:jc w:val="center"/>
              <w:rPr>
                <w:rFonts w:ascii="Times New Roman" w:hAnsi="Times New Roman"/>
                <w:b/>
                <w:bCs/>
                <w:sz w:val="20"/>
                <w:szCs w:val="20"/>
              </w:rPr>
            </w:pPr>
            <w:r w:rsidRPr="0025108B">
              <w:rPr>
                <w:rFonts w:ascii="Times New Roman" w:hAnsi="Times New Roman"/>
                <w:b/>
                <w:bCs/>
                <w:sz w:val="20"/>
                <w:szCs w:val="20"/>
              </w:rPr>
              <w:t>Female Child</w:t>
            </w:r>
          </w:p>
        </w:tc>
        <w:tc>
          <w:tcPr>
            <w:tcW w:w="0" w:type="auto"/>
            <w:tcBorders>
              <w:bottom w:val="single" w:sz="4" w:space="0" w:color="7F7F7F"/>
            </w:tcBorders>
            <w:hideMark/>
          </w:tcPr>
          <w:p w14:paraId="3E1F55B2" w14:textId="77777777" w:rsidR="00675B35" w:rsidRPr="0025108B" w:rsidRDefault="00675B35" w:rsidP="00B36CA2">
            <w:pPr>
              <w:spacing w:line="240" w:lineRule="auto"/>
              <w:jc w:val="center"/>
              <w:rPr>
                <w:rFonts w:ascii="Times New Roman" w:hAnsi="Times New Roman"/>
                <w:b/>
                <w:bCs/>
                <w:sz w:val="20"/>
                <w:szCs w:val="20"/>
              </w:rPr>
            </w:pPr>
            <w:r w:rsidRPr="0025108B">
              <w:rPr>
                <w:rFonts w:ascii="Times New Roman" w:hAnsi="Times New Roman"/>
                <w:b/>
                <w:bCs/>
                <w:sz w:val="20"/>
                <w:szCs w:val="20"/>
              </w:rPr>
              <w:t>Male Adult</w:t>
            </w:r>
          </w:p>
        </w:tc>
        <w:tc>
          <w:tcPr>
            <w:tcW w:w="0" w:type="auto"/>
            <w:tcBorders>
              <w:bottom w:val="single" w:sz="4" w:space="0" w:color="7F7F7F"/>
            </w:tcBorders>
            <w:hideMark/>
          </w:tcPr>
          <w:p w14:paraId="53276BA0" w14:textId="77777777" w:rsidR="00675B35" w:rsidRPr="0025108B" w:rsidRDefault="00675B35" w:rsidP="00B36CA2">
            <w:pPr>
              <w:spacing w:line="240" w:lineRule="auto"/>
              <w:jc w:val="center"/>
              <w:rPr>
                <w:rFonts w:ascii="Times New Roman" w:hAnsi="Times New Roman"/>
                <w:b/>
                <w:bCs/>
                <w:sz w:val="20"/>
                <w:szCs w:val="20"/>
              </w:rPr>
            </w:pPr>
            <w:r w:rsidRPr="0025108B">
              <w:rPr>
                <w:rFonts w:ascii="Times New Roman" w:hAnsi="Times New Roman"/>
                <w:b/>
                <w:bCs/>
                <w:sz w:val="20"/>
                <w:szCs w:val="20"/>
              </w:rPr>
              <w:t>Male Child</w:t>
            </w:r>
          </w:p>
        </w:tc>
        <w:tc>
          <w:tcPr>
            <w:tcW w:w="0" w:type="auto"/>
            <w:tcBorders>
              <w:bottom w:val="single" w:sz="4" w:space="0" w:color="7F7F7F"/>
            </w:tcBorders>
            <w:hideMark/>
          </w:tcPr>
          <w:p w14:paraId="2A58AA6D" w14:textId="77777777" w:rsidR="00675B35" w:rsidRPr="0025108B" w:rsidRDefault="00675B35" w:rsidP="00B36CA2">
            <w:pPr>
              <w:spacing w:line="240" w:lineRule="auto"/>
              <w:jc w:val="center"/>
              <w:rPr>
                <w:rFonts w:ascii="Times New Roman" w:hAnsi="Times New Roman"/>
                <w:b/>
                <w:bCs/>
                <w:sz w:val="20"/>
                <w:szCs w:val="20"/>
              </w:rPr>
            </w:pPr>
            <w:r w:rsidRPr="0025108B">
              <w:rPr>
                <w:rFonts w:ascii="Times New Roman" w:hAnsi="Times New Roman"/>
                <w:b/>
                <w:bCs/>
                <w:sz w:val="20"/>
                <w:szCs w:val="20"/>
              </w:rPr>
              <w:t>Total Female</w:t>
            </w:r>
          </w:p>
        </w:tc>
        <w:tc>
          <w:tcPr>
            <w:tcW w:w="0" w:type="auto"/>
            <w:tcBorders>
              <w:bottom w:val="single" w:sz="4" w:space="0" w:color="7F7F7F"/>
            </w:tcBorders>
            <w:hideMark/>
          </w:tcPr>
          <w:p w14:paraId="268ECE26" w14:textId="77777777" w:rsidR="00675B35" w:rsidRPr="0025108B" w:rsidRDefault="00675B35" w:rsidP="00B36CA2">
            <w:pPr>
              <w:spacing w:line="240" w:lineRule="auto"/>
              <w:jc w:val="center"/>
              <w:rPr>
                <w:rFonts w:ascii="Times New Roman" w:hAnsi="Times New Roman"/>
                <w:b/>
                <w:bCs/>
                <w:sz w:val="20"/>
                <w:szCs w:val="20"/>
              </w:rPr>
            </w:pPr>
            <w:r w:rsidRPr="0025108B">
              <w:rPr>
                <w:rFonts w:ascii="Times New Roman" w:hAnsi="Times New Roman"/>
                <w:b/>
                <w:bCs/>
                <w:sz w:val="20"/>
                <w:szCs w:val="20"/>
              </w:rPr>
              <w:t>Total Male</w:t>
            </w:r>
          </w:p>
        </w:tc>
        <w:tc>
          <w:tcPr>
            <w:tcW w:w="0" w:type="auto"/>
            <w:tcBorders>
              <w:bottom w:val="single" w:sz="4" w:space="0" w:color="7F7F7F"/>
            </w:tcBorders>
            <w:hideMark/>
          </w:tcPr>
          <w:p w14:paraId="4F874445" w14:textId="77777777" w:rsidR="00675B35" w:rsidRPr="0025108B" w:rsidRDefault="00675B35" w:rsidP="00B36CA2">
            <w:pPr>
              <w:spacing w:line="240" w:lineRule="auto"/>
              <w:jc w:val="center"/>
              <w:rPr>
                <w:rFonts w:ascii="Times New Roman" w:hAnsi="Times New Roman"/>
                <w:b/>
                <w:bCs/>
                <w:sz w:val="20"/>
                <w:szCs w:val="20"/>
              </w:rPr>
            </w:pPr>
            <w:r w:rsidRPr="0025108B">
              <w:rPr>
                <w:rFonts w:ascii="Times New Roman" w:hAnsi="Times New Roman"/>
                <w:b/>
                <w:bCs/>
                <w:sz w:val="20"/>
                <w:szCs w:val="20"/>
              </w:rPr>
              <w:t>Grand Total</w:t>
            </w:r>
          </w:p>
        </w:tc>
      </w:tr>
      <w:tr w:rsidR="00675B35" w:rsidRPr="0025108B" w14:paraId="63348BF9" w14:textId="77777777" w:rsidTr="00F33A8E">
        <w:trPr>
          <w:trHeight w:val="358"/>
        </w:trPr>
        <w:tc>
          <w:tcPr>
            <w:tcW w:w="0" w:type="auto"/>
            <w:hideMark/>
          </w:tcPr>
          <w:p w14:paraId="717FE348" w14:textId="77777777" w:rsidR="00675B35" w:rsidRPr="0025108B" w:rsidRDefault="00675B35" w:rsidP="00B36CA2">
            <w:pPr>
              <w:spacing w:line="240" w:lineRule="auto"/>
              <w:jc w:val="both"/>
              <w:rPr>
                <w:rFonts w:ascii="Times New Roman" w:hAnsi="Times New Roman"/>
                <w:sz w:val="20"/>
                <w:szCs w:val="20"/>
              </w:rPr>
            </w:pPr>
            <w:r w:rsidRPr="0025108B">
              <w:rPr>
                <w:rFonts w:ascii="Times New Roman" w:hAnsi="Times New Roman"/>
                <w:sz w:val="20"/>
                <w:szCs w:val="20"/>
              </w:rPr>
              <w:t>Brass</w:t>
            </w:r>
          </w:p>
        </w:tc>
        <w:tc>
          <w:tcPr>
            <w:tcW w:w="0" w:type="auto"/>
            <w:hideMark/>
          </w:tcPr>
          <w:p w14:paraId="523F3C56"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6</w:t>
            </w:r>
          </w:p>
        </w:tc>
        <w:tc>
          <w:tcPr>
            <w:tcW w:w="0" w:type="auto"/>
            <w:hideMark/>
          </w:tcPr>
          <w:p w14:paraId="5EFAA0C2"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1</w:t>
            </w:r>
          </w:p>
        </w:tc>
        <w:tc>
          <w:tcPr>
            <w:tcW w:w="0" w:type="auto"/>
            <w:hideMark/>
          </w:tcPr>
          <w:p w14:paraId="4FF6136F"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6</w:t>
            </w:r>
          </w:p>
        </w:tc>
        <w:tc>
          <w:tcPr>
            <w:tcW w:w="0" w:type="auto"/>
            <w:hideMark/>
          </w:tcPr>
          <w:p w14:paraId="2E5464D0"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12</w:t>
            </w:r>
          </w:p>
        </w:tc>
        <w:tc>
          <w:tcPr>
            <w:tcW w:w="0" w:type="auto"/>
            <w:hideMark/>
          </w:tcPr>
          <w:p w14:paraId="76AC5115"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7</w:t>
            </w:r>
          </w:p>
        </w:tc>
        <w:tc>
          <w:tcPr>
            <w:tcW w:w="0" w:type="auto"/>
            <w:hideMark/>
          </w:tcPr>
          <w:p w14:paraId="4BAF8472"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18</w:t>
            </w:r>
          </w:p>
        </w:tc>
        <w:tc>
          <w:tcPr>
            <w:tcW w:w="0" w:type="auto"/>
            <w:hideMark/>
          </w:tcPr>
          <w:p w14:paraId="2778DFF5"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25</w:t>
            </w:r>
          </w:p>
        </w:tc>
      </w:tr>
      <w:tr w:rsidR="00675B35" w:rsidRPr="0025108B" w14:paraId="75B3E739" w14:textId="77777777" w:rsidTr="00F33A8E">
        <w:trPr>
          <w:trHeight w:val="349"/>
        </w:trPr>
        <w:tc>
          <w:tcPr>
            <w:tcW w:w="0" w:type="auto"/>
            <w:hideMark/>
          </w:tcPr>
          <w:p w14:paraId="71EAC4B8" w14:textId="77777777" w:rsidR="00675B35" w:rsidRPr="0025108B" w:rsidRDefault="00675B35" w:rsidP="00B36CA2">
            <w:pPr>
              <w:spacing w:line="240" w:lineRule="auto"/>
              <w:jc w:val="both"/>
              <w:rPr>
                <w:rFonts w:ascii="Times New Roman" w:hAnsi="Times New Roman"/>
                <w:sz w:val="20"/>
                <w:szCs w:val="20"/>
              </w:rPr>
            </w:pPr>
            <w:proofErr w:type="spellStart"/>
            <w:r w:rsidRPr="0025108B">
              <w:rPr>
                <w:rFonts w:ascii="Times New Roman" w:hAnsi="Times New Roman"/>
                <w:sz w:val="20"/>
                <w:szCs w:val="20"/>
              </w:rPr>
              <w:t>Ekeremor</w:t>
            </w:r>
            <w:proofErr w:type="spellEnd"/>
          </w:p>
        </w:tc>
        <w:tc>
          <w:tcPr>
            <w:tcW w:w="0" w:type="auto"/>
            <w:hideMark/>
          </w:tcPr>
          <w:p w14:paraId="5689AAF2"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6</w:t>
            </w:r>
          </w:p>
        </w:tc>
        <w:tc>
          <w:tcPr>
            <w:tcW w:w="0" w:type="auto"/>
            <w:hideMark/>
          </w:tcPr>
          <w:p w14:paraId="7A6FF986"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7</w:t>
            </w:r>
          </w:p>
        </w:tc>
        <w:tc>
          <w:tcPr>
            <w:tcW w:w="0" w:type="auto"/>
            <w:hideMark/>
          </w:tcPr>
          <w:p w14:paraId="34C4944C"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4</w:t>
            </w:r>
          </w:p>
        </w:tc>
        <w:tc>
          <w:tcPr>
            <w:tcW w:w="0" w:type="auto"/>
            <w:hideMark/>
          </w:tcPr>
          <w:p w14:paraId="747A02CB"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2</w:t>
            </w:r>
          </w:p>
        </w:tc>
        <w:tc>
          <w:tcPr>
            <w:tcW w:w="0" w:type="auto"/>
            <w:hideMark/>
          </w:tcPr>
          <w:p w14:paraId="07CA2820"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13</w:t>
            </w:r>
          </w:p>
        </w:tc>
        <w:tc>
          <w:tcPr>
            <w:tcW w:w="0" w:type="auto"/>
            <w:hideMark/>
          </w:tcPr>
          <w:p w14:paraId="71720932"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6</w:t>
            </w:r>
          </w:p>
        </w:tc>
        <w:tc>
          <w:tcPr>
            <w:tcW w:w="0" w:type="auto"/>
            <w:hideMark/>
          </w:tcPr>
          <w:p w14:paraId="3ED7BE7F"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19</w:t>
            </w:r>
          </w:p>
        </w:tc>
      </w:tr>
      <w:tr w:rsidR="00675B35" w:rsidRPr="0025108B" w14:paraId="35FBE45D" w14:textId="77777777" w:rsidTr="00F33A8E">
        <w:trPr>
          <w:trHeight w:val="358"/>
        </w:trPr>
        <w:tc>
          <w:tcPr>
            <w:tcW w:w="0" w:type="auto"/>
            <w:hideMark/>
          </w:tcPr>
          <w:p w14:paraId="11BA74CA" w14:textId="77777777" w:rsidR="00675B35" w:rsidRPr="0025108B" w:rsidRDefault="00675B35" w:rsidP="00B36CA2">
            <w:pPr>
              <w:spacing w:line="240" w:lineRule="auto"/>
              <w:jc w:val="both"/>
              <w:rPr>
                <w:rFonts w:ascii="Times New Roman" w:hAnsi="Times New Roman"/>
                <w:sz w:val="20"/>
                <w:szCs w:val="20"/>
              </w:rPr>
            </w:pPr>
            <w:r w:rsidRPr="0025108B">
              <w:rPr>
                <w:rFonts w:ascii="Times New Roman" w:hAnsi="Times New Roman"/>
                <w:sz w:val="20"/>
                <w:szCs w:val="20"/>
              </w:rPr>
              <w:t>Kaiama</w:t>
            </w:r>
          </w:p>
        </w:tc>
        <w:tc>
          <w:tcPr>
            <w:tcW w:w="0" w:type="auto"/>
            <w:hideMark/>
          </w:tcPr>
          <w:p w14:paraId="391F1F42"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7</w:t>
            </w:r>
          </w:p>
        </w:tc>
        <w:tc>
          <w:tcPr>
            <w:tcW w:w="0" w:type="auto"/>
            <w:hideMark/>
          </w:tcPr>
          <w:p w14:paraId="79FEF174"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6</w:t>
            </w:r>
          </w:p>
        </w:tc>
        <w:tc>
          <w:tcPr>
            <w:tcW w:w="0" w:type="auto"/>
            <w:hideMark/>
          </w:tcPr>
          <w:p w14:paraId="4481DE1C"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2</w:t>
            </w:r>
          </w:p>
        </w:tc>
        <w:tc>
          <w:tcPr>
            <w:tcW w:w="0" w:type="auto"/>
            <w:hideMark/>
          </w:tcPr>
          <w:p w14:paraId="4532B276"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4</w:t>
            </w:r>
          </w:p>
        </w:tc>
        <w:tc>
          <w:tcPr>
            <w:tcW w:w="0" w:type="auto"/>
            <w:hideMark/>
          </w:tcPr>
          <w:p w14:paraId="44F52DFC"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13</w:t>
            </w:r>
          </w:p>
        </w:tc>
        <w:tc>
          <w:tcPr>
            <w:tcW w:w="0" w:type="auto"/>
            <w:hideMark/>
          </w:tcPr>
          <w:p w14:paraId="0CF20394"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6</w:t>
            </w:r>
          </w:p>
        </w:tc>
        <w:tc>
          <w:tcPr>
            <w:tcW w:w="0" w:type="auto"/>
            <w:hideMark/>
          </w:tcPr>
          <w:p w14:paraId="3B7FEEE0"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19</w:t>
            </w:r>
          </w:p>
        </w:tc>
      </w:tr>
      <w:tr w:rsidR="00675B35" w:rsidRPr="0025108B" w14:paraId="562157DE" w14:textId="77777777" w:rsidTr="00F33A8E">
        <w:trPr>
          <w:trHeight w:val="349"/>
        </w:trPr>
        <w:tc>
          <w:tcPr>
            <w:tcW w:w="0" w:type="auto"/>
            <w:hideMark/>
          </w:tcPr>
          <w:p w14:paraId="1B748739" w14:textId="77777777" w:rsidR="00675B35" w:rsidRPr="0025108B" w:rsidRDefault="00675B35" w:rsidP="00B36CA2">
            <w:pPr>
              <w:spacing w:line="240" w:lineRule="auto"/>
              <w:jc w:val="both"/>
              <w:rPr>
                <w:rFonts w:ascii="Times New Roman" w:hAnsi="Times New Roman"/>
                <w:sz w:val="20"/>
                <w:szCs w:val="20"/>
              </w:rPr>
            </w:pPr>
            <w:proofErr w:type="spellStart"/>
            <w:r w:rsidRPr="0025108B">
              <w:rPr>
                <w:rFonts w:ascii="Times New Roman" w:hAnsi="Times New Roman"/>
                <w:sz w:val="20"/>
                <w:szCs w:val="20"/>
              </w:rPr>
              <w:t>Nembe</w:t>
            </w:r>
            <w:proofErr w:type="spellEnd"/>
          </w:p>
        </w:tc>
        <w:tc>
          <w:tcPr>
            <w:tcW w:w="0" w:type="auto"/>
            <w:hideMark/>
          </w:tcPr>
          <w:p w14:paraId="60745B77"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7</w:t>
            </w:r>
          </w:p>
        </w:tc>
        <w:tc>
          <w:tcPr>
            <w:tcW w:w="0" w:type="auto"/>
            <w:hideMark/>
          </w:tcPr>
          <w:p w14:paraId="6AE5C230"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3</w:t>
            </w:r>
          </w:p>
        </w:tc>
        <w:tc>
          <w:tcPr>
            <w:tcW w:w="0" w:type="auto"/>
            <w:hideMark/>
          </w:tcPr>
          <w:p w14:paraId="0B57A31A"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6</w:t>
            </w:r>
          </w:p>
        </w:tc>
        <w:tc>
          <w:tcPr>
            <w:tcW w:w="0" w:type="auto"/>
            <w:hideMark/>
          </w:tcPr>
          <w:p w14:paraId="3C18D312"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5</w:t>
            </w:r>
          </w:p>
        </w:tc>
        <w:tc>
          <w:tcPr>
            <w:tcW w:w="0" w:type="auto"/>
            <w:hideMark/>
          </w:tcPr>
          <w:p w14:paraId="1F661CFA"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10</w:t>
            </w:r>
          </w:p>
        </w:tc>
        <w:tc>
          <w:tcPr>
            <w:tcW w:w="0" w:type="auto"/>
            <w:hideMark/>
          </w:tcPr>
          <w:p w14:paraId="2B726895"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11</w:t>
            </w:r>
          </w:p>
        </w:tc>
        <w:tc>
          <w:tcPr>
            <w:tcW w:w="0" w:type="auto"/>
            <w:hideMark/>
          </w:tcPr>
          <w:p w14:paraId="5F22D3B9"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21</w:t>
            </w:r>
          </w:p>
        </w:tc>
      </w:tr>
      <w:tr w:rsidR="00675B35" w:rsidRPr="0025108B" w14:paraId="7D3F399B" w14:textId="77777777" w:rsidTr="00F33A8E">
        <w:trPr>
          <w:trHeight w:val="358"/>
        </w:trPr>
        <w:tc>
          <w:tcPr>
            <w:tcW w:w="0" w:type="auto"/>
            <w:hideMark/>
          </w:tcPr>
          <w:p w14:paraId="5834BC8F" w14:textId="77777777" w:rsidR="00675B35" w:rsidRPr="0025108B" w:rsidRDefault="00675B35" w:rsidP="00B36CA2">
            <w:pPr>
              <w:spacing w:line="240" w:lineRule="auto"/>
              <w:jc w:val="both"/>
              <w:rPr>
                <w:rFonts w:ascii="Times New Roman" w:hAnsi="Times New Roman"/>
                <w:sz w:val="20"/>
                <w:szCs w:val="20"/>
              </w:rPr>
            </w:pPr>
            <w:proofErr w:type="spellStart"/>
            <w:r w:rsidRPr="0025108B">
              <w:rPr>
                <w:rFonts w:ascii="Times New Roman" w:hAnsi="Times New Roman"/>
                <w:sz w:val="20"/>
                <w:szCs w:val="20"/>
              </w:rPr>
              <w:t>Ogbia</w:t>
            </w:r>
            <w:proofErr w:type="spellEnd"/>
          </w:p>
        </w:tc>
        <w:tc>
          <w:tcPr>
            <w:tcW w:w="0" w:type="auto"/>
            <w:hideMark/>
          </w:tcPr>
          <w:p w14:paraId="7A329CC7"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5</w:t>
            </w:r>
          </w:p>
        </w:tc>
        <w:tc>
          <w:tcPr>
            <w:tcW w:w="0" w:type="auto"/>
            <w:hideMark/>
          </w:tcPr>
          <w:p w14:paraId="02B56E8A"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3</w:t>
            </w:r>
          </w:p>
        </w:tc>
        <w:tc>
          <w:tcPr>
            <w:tcW w:w="0" w:type="auto"/>
            <w:hideMark/>
          </w:tcPr>
          <w:p w14:paraId="055E5B5C"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4</w:t>
            </w:r>
          </w:p>
        </w:tc>
        <w:tc>
          <w:tcPr>
            <w:tcW w:w="0" w:type="auto"/>
            <w:hideMark/>
          </w:tcPr>
          <w:p w14:paraId="0FE386E2"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6</w:t>
            </w:r>
          </w:p>
        </w:tc>
        <w:tc>
          <w:tcPr>
            <w:tcW w:w="0" w:type="auto"/>
            <w:hideMark/>
          </w:tcPr>
          <w:p w14:paraId="26BA47E4"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8</w:t>
            </w:r>
          </w:p>
        </w:tc>
        <w:tc>
          <w:tcPr>
            <w:tcW w:w="0" w:type="auto"/>
            <w:hideMark/>
          </w:tcPr>
          <w:p w14:paraId="5364C618"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10</w:t>
            </w:r>
          </w:p>
        </w:tc>
        <w:tc>
          <w:tcPr>
            <w:tcW w:w="0" w:type="auto"/>
            <w:hideMark/>
          </w:tcPr>
          <w:p w14:paraId="5C106D55"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18</w:t>
            </w:r>
          </w:p>
        </w:tc>
      </w:tr>
      <w:tr w:rsidR="00675B35" w:rsidRPr="0025108B" w14:paraId="21A0106E" w14:textId="77777777" w:rsidTr="00F33A8E">
        <w:trPr>
          <w:trHeight w:val="349"/>
        </w:trPr>
        <w:tc>
          <w:tcPr>
            <w:tcW w:w="0" w:type="auto"/>
            <w:hideMark/>
          </w:tcPr>
          <w:p w14:paraId="7D91E671" w14:textId="77777777" w:rsidR="00675B35" w:rsidRPr="0025108B" w:rsidRDefault="00675B35" w:rsidP="00B36CA2">
            <w:pPr>
              <w:spacing w:line="240" w:lineRule="auto"/>
              <w:jc w:val="both"/>
              <w:rPr>
                <w:rFonts w:ascii="Times New Roman" w:hAnsi="Times New Roman"/>
                <w:sz w:val="20"/>
                <w:szCs w:val="20"/>
              </w:rPr>
            </w:pPr>
            <w:proofErr w:type="spellStart"/>
            <w:r w:rsidRPr="0025108B">
              <w:rPr>
                <w:rFonts w:ascii="Times New Roman" w:hAnsi="Times New Roman"/>
                <w:sz w:val="20"/>
                <w:szCs w:val="20"/>
              </w:rPr>
              <w:t>Oporoma</w:t>
            </w:r>
            <w:proofErr w:type="spellEnd"/>
          </w:p>
        </w:tc>
        <w:tc>
          <w:tcPr>
            <w:tcW w:w="0" w:type="auto"/>
            <w:hideMark/>
          </w:tcPr>
          <w:p w14:paraId="614275E9"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10</w:t>
            </w:r>
          </w:p>
        </w:tc>
        <w:tc>
          <w:tcPr>
            <w:tcW w:w="0" w:type="auto"/>
            <w:hideMark/>
          </w:tcPr>
          <w:p w14:paraId="4DB24509"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5</w:t>
            </w:r>
          </w:p>
        </w:tc>
        <w:tc>
          <w:tcPr>
            <w:tcW w:w="0" w:type="auto"/>
            <w:hideMark/>
          </w:tcPr>
          <w:p w14:paraId="4B0F387F"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4</w:t>
            </w:r>
          </w:p>
        </w:tc>
        <w:tc>
          <w:tcPr>
            <w:tcW w:w="0" w:type="auto"/>
            <w:hideMark/>
          </w:tcPr>
          <w:p w14:paraId="21F72BE4"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2</w:t>
            </w:r>
          </w:p>
        </w:tc>
        <w:tc>
          <w:tcPr>
            <w:tcW w:w="0" w:type="auto"/>
            <w:hideMark/>
          </w:tcPr>
          <w:p w14:paraId="225B95CF"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15</w:t>
            </w:r>
          </w:p>
        </w:tc>
        <w:tc>
          <w:tcPr>
            <w:tcW w:w="0" w:type="auto"/>
            <w:hideMark/>
          </w:tcPr>
          <w:p w14:paraId="2E8EE0B8"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6</w:t>
            </w:r>
          </w:p>
        </w:tc>
        <w:tc>
          <w:tcPr>
            <w:tcW w:w="0" w:type="auto"/>
            <w:hideMark/>
          </w:tcPr>
          <w:p w14:paraId="3A4FC75D"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21</w:t>
            </w:r>
          </w:p>
        </w:tc>
      </w:tr>
      <w:tr w:rsidR="00675B35" w:rsidRPr="0025108B" w14:paraId="4852AC2D" w14:textId="77777777" w:rsidTr="00F33A8E">
        <w:trPr>
          <w:trHeight w:val="358"/>
        </w:trPr>
        <w:tc>
          <w:tcPr>
            <w:tcW w:w="0" w:type="auto"/>
            <w:hideMark/>
          </w:tcPr>
          <w:p w14:paraId="14A3170B" w14:textId="77777777" w:rsidR="00675B35" w:rsidRPr="0025108B" w:rsidRDefault="00675B35" w:rsidP="00B36CA2">
            <w:pPr>
              <w:spacing w:line="240" w:lineRule="auto"/>
              <w:jc w:val="both"/>
              <w:rPr>
                <w:rFonts w:ascii="Times New Roman" w:hAnsi="Times New Roman"/>
                <w:sz w:val="20"/>
                <w:szCs w:val="20"/>
              </w:rPr>
            </w:pPr>
            <w:proofErr w:type="spellStart"/>
            <w:r w:rsidRPr="0025108B">
              <w:rPr>
                <w:rFonts w:ascii="Times New Roman" w:hAnsi="Times New Roman"/>
                <w:sz w:val="20"/>
                <w:szCs w:val="20"/>
              </w:rPr>
              <w:t>Sagbama</w:t>
            </w:r>
            <w:proofErr w:type="spellEnd"/>
          </w:p>
        </w:tc>
        <w:tc>
          <w:tcPr>
            <w:tcW w:w="0" w:type="auto"/>
            <w:hideMark/>
          </w:tcPr>
          <w:p w14:paraId="4FB7B49F"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4</w:t>
            </w:r>
          </w:p>
        </w:tc>
        <w:tc>
          <w:tcPr>
            <w:tcW w:w="0" w:type="auto"/>
            <w:hideMark/>
          </w:tcPr>
          <w:p w14:paraId="5599175F"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4</w:t>
            </w:r>
          </w:p>
        </w:tc>
        <w:tc>
          <w:tcPr>
            <w:tcW w:w="0" w:type="auto"/>
            <w:hideMark/>
          </w:tcPr>
          <w:p w14:paraId="6D2268A8"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3</w:t>
            </w:r>
          </w:p>
        </w:tc>
        <w:tc>
          <w:tcPr>
            <w:tcW w:w="0" w:type="auto"/>
            <w:hideMark/>
          </w:tcPr>
          <w:p w14:paraId="5C15EA5E"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4</w:t>
            </w:r>
          </w:p>
        </w:tc>
        <w:tc>
          <w:tcPr>
            <w:tcW w:w="0" w:type="auto"/>
            <w:hideMark/>
          </w:tcPr>
          <w:p w14:paraId="4FCD0338"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8</w:t>
            </w:r>
          </w:p>
        </w:tc>
        <w:tc>
          <w:tcPr>
            <w:tcW w:w="0" w:type="auto"/>
            <w:hideMark/>
          </w:tcPr>
          <w:p w14:paraId="07016AD7"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7</w:t>
            </w:r>
          </w:p>
        </w:tc>
        <w:tc>
          <w:tcPr>
            <w:tcW w:w="0" w:type="auto"/>
            <w:hideMark/>
          </w:tcPr>
          <w:p w14:paraId="5C6C785F"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15</w:t>
            </w:r>
          </w:p>
        </w:tc>
      </w:tr>
      <w:tr w:rsidR="00675B35" w:rsidRPr="0025108B" w14:paraId="445D031E" w14:textId="77777777" w:rsidTr="00F33A8E">
        <w:trPr>
          <w:trHeight w:val="349"/>
        </w:trPr>
        <w:tc>
          <w:tcPr>
            <w:tcW w:w="0" w:type="auto"/>
            <w:hideMark/>
          </w:tcPr>
          <w:p w14:paraId="26A4281F" w14:textId="77777777" w:rsidR="00675B35" w:rsidRPr="0025108B" w:rsidRDefault="00675B35" w:rsidP="00B36CA2">
            <w:pPr>
              <w:spacing w:line="240" w:lineRule="auto"/>
              <w:jc w:val="both"/>
              <w:rPr>
                <w:rFonts w:ascii="Times New Roman" w:hAnsi="Times New Roman"/>
                <w:sz w:val="20"/>
                <w:szCs w:val="20"/>
              </w:rPr>
            </w:pPr>
            <w:r w:rsidRPr="0025108B">
              <w:rPr>
                <w:rFonts w:ascii="Times New Roman" w:hAnsi="Times New Roman"/>
                <w:sz w:val="20"/>
                <w:szCs w:val="20"/>
              </w:rPr>
              <w:t>Yenagoa</w:t>
            </w:r>
          </w:p>
        </w:tc>
        <w:tc>
          <w:tcPr>
            <w:tcW w:w="0" w:type="auto"/>
            <w:hideMark/>
          </w:tcPr>
          <w:p w14:paraId="02A3E4B6"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9</w:t>
            </w:r>
          </w:p>
        </w:tc>
        <w:tc>
          <w:tcPr>
            <w:tcW w:w="0" w:type="auto"/>
            <w:hideMark/>
          </w:tcPr>
          <w:p w14:paraId="6489DD7A"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4</w:t>
            </w:r>
          </w:p>
        </w:tc>
        <w:tc>
          <w:tcPr>
            <w:tcW w:w="0" w:type="auto"/>
            <w:hideMark/>
          </w:tcPr>
          <w:p w14:paraId="1802767B"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4</w:t>
            </w:r>
          </w:p>
        </w:tc>
        <w:tc>
          <w:tcPr>
            <w:tcW w:w="0" w:type="auto"/>
            <w:hideMark/>
          </w:tcPr>
          <w:p w14:paraId="3187F90B"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2</w:t>
            </w:r>
          </w:p>
        </w:tc>
        <w:tc>
          <w:tcPr>
            <w:tcW w:w="0" w:type="auto"/>
            <w:hideMark/>
          </w:tcPr>
          <w:p w14:paraId="4869E2DA"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13</w:t>
            </w:r>
          </w:p>
        </w:tc>
        <w:tc>
          <w:tcPr>
            <w:tcW w:w="0" w:type="auto"/>
            <w:hideMark/>
          </w:tcPr>
          <w:p w14:paraId="2130A674"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6</w:t>
            </w:r>
          </w:p>
        </w:tc>
        <w:tc>
          <w:tcPr>
            <w:tcW w:w="0" w:type="auto"/>
            <w:hideMark/>
          </w:tcPr>
          <w:p w14:paraId="626E8123" w14:textId="77777777" w:rsidR="00675B35" w:rsidRPr="0025108B" w:rsidRDefault="00675B35" w:rsidP="00B36CA2">
            <w:pPr>
              <w:spacing w:line="240" w:lineRule="auto"/>
              <w:jc w:val="center"/>
              <w:rPr>
                <w:rFonts w:ascii="Times New Roman" w:hAnsi="Times New Roman"/>
                <w:sz w:val="20"/>
                <w:szCs w:val="20"/>
              </w:rPr>
            </w:pPr>
            <w:r w:rsidRPr="0025108B">
              <w:rPr>
                <w:rFonts w:ascii="Times New Roman" w:hAnsi="Times New Roman"/>
                <w:sz w:val="20"/>
                <w:szCs w:val="20"/>
              </w:rPr>
              <w:t>19</w:t>
            </w:r>
          </w:p>
        </w:tc>
      </w:tr>
      <w:tr w:rsidR="00675B35" w:rsidRPr="0025108B" w14:paraId="71501D0F" w14:textId="77777777" w:rsidTr="00F33A8E">
        <w:trPr>
          <w:trHeight w:val="358"/>
        </w:trPr>
        <w:tc>
          <w:tcPr>
            <w:tcW w:w="0" w:type="auto"/>
            <w:tcBorders>
              <w:top w:val="single" w:sz="4" w:space="0" w:color="7F7F7F"/>
            </w:tcBorders>
            <w:hideMark/>
          </w:tcPr>
          <w:p w14:paraId="3F4D62DA" w14:textId="77777777" w:rsidR="00675B35" w:rsidRPr="0025108B" w:rsidRDefault="00675B35" w:rsidP="00B36CA2">
            <w:pPr>
              <w:spacing w:line="240" w:lineRule="auto"/>
              <w:jc w:val="both"/>
              <w:rPr>
                <w:rFonts w:ascii="Times New Roman" w:hAnsi="Times New Roman"/>
                <w:b/>
                <w:bCs/>
                <w:sz w:val="20"/>
                <w:szCs w:val="20"/>
              </w:rPr>
            </w:pPr>
            <w:r w:rsidRPr="0025108B">
              <w:rPr>
                <w:rFonts w:ascii="Times New Roman" w:hAnsi="Times New Roman"/>
                <w:b/>
                <w:bCs/>
                <w:sz w:val="20"/>
                <w:szCs w:val="20"/>
              </w:rPr>
              <w:t>Total</w:t>
            </w:r>
          </w:p>
        </w:tc>
        <w:tc>
          <w:tcPr>
            <w:tcW w:w="0" w:type="auto"/>
            <w:tcBorders>
              <w:top w:val="single" w:sz="4" w:space="0" w:color="7F7F7F"/>
            </w:tcBorders>
            <w:hideMark/>
          </w:tcPr>
          <w:p w14:paraId="16D60D94" w14:textId="77777777" w:rsidR="00675B35" w:rsidRPr="0025108B" w:rsidRDefault="00675B35" w:rsidP="00B36CA2">
            <w:pPr>
              <w:spacing w:line="240" w:lineRule="auto"/>
              <w:jc w:val="center"/>
              <w:rPr>
                <w:rFonts w:ascii="Times New Roman" w:hAnsi="Times New Roman"/>
                <w:b/>
                <w:bCs/>
                <w:sz w:val="20"/>
                <w:szCs w:val="20"/>
              </w:rPr>
            </w:pPr>
            <w:r w:rsidRPr="0025108B">
              <w:rPr>
                <w:rFonts w:ascii="Times New Roman" w:hAnsi="Times New Roman"/>
                <w:b/>
                <w:bCs/>
                <w:sz w:val="20"/>
                <w:szCs w:val="20"/>
              </w:rPr>
              <w:t>54</w:t>
            </w:r>
          </w:p>
        </w:tc>
        <w:tc>
          <w:tcPr>
            <w:tcW w:w="0" w:type="auto"/>
            <w:tcBorders>
              <w:top w:val="single" w:sz="4" w:space="0" w:color="7F7F7F"/>
            </w:tcBorders>
            <w:hideMark/>
          </w:tcPr>
          <w:p w14:paraId="2CD3AC13" w14:textId="77777777" w:rsidR="00675B35" w:rsidRPr="0025108B" w:rsidRDefault="00675B35" w:rsidP="00B36CA2">
            <w:pPr>
              <w:spacing w:line="240" w:lineRule="auto"/>
              <w:jc w:val="center"/>
              <w:rPr>
                <w:rFonts w:ascii="Times New Roman" w:hAnsi="Times New Roman"/>
                <w:b/>
                <w:bCs/>
                <w:sz w:val="20"/>
                <w:szCs w:val="20"/>
              </w:rPr>
            </w:pPr>
            <w:r w:rsidRPr="0025108B">
              <w:rPr>
                <w:rFonts w:ascii="Times New Roman" w:hAnsi="Times New Roman"/>
                <w:b/>
                <w:bCs/>
                <w:sz w:val="20"/>
                <w:szCs w:val="20"/>
              </w:rPr>
              <w:t>33</w:t>
            </w:r>
          </w:p>
        </w:tc>
        <w:tc>
          <w:tcPr>
            <w:tcW w:w="0" w:type="auto"/>
            <w:tcBorders>
              <w:top w:val="single" w:sz="4" w:space="0" w:color="7F7F7F"/>
            </w:tcBorders>
            <w:hideMark/>
          </w:tcPr>
          <w:p w14:paraId="4F7D2F6A" w14:textId="77777777" w:rsidR="00675B35" w:rsidRPr="0025108B" w:rsidRDefault="00675B35" w:rsidP="00B36CA2">
            <w:pPr>
              <w:spacing w:line="240" w:lineRule="auto"/>
              <w:jc w:val="center"/>
              <w:rPr>
                <w:rFonts w:ascii="Times New Roman" w:hAnsi="Times New Roman"/>
                <w:b/>
                <w:bCs/>
                <w:sz w:val="20"/>
                <w:szCs w:val="20"/>
              </w:rPr>
            </w:pPr>
            <w:r w:rsidRPr="0025108B">
              <w:rPr>
                <w:rFonts w:ascii="Times New Roman" w:hAnsi="Times New Roman"/>
                <w:b/>
                <w:bCs/>
                <w:sz w:val="20"/>
                <w:szCs w:val="20"/>
              </w:rPr>
              <w:t>33</w:t>
            </w:r>
          </w:p>
        </w:tc>
        <w:tc>
          <w:tcPr>
            <w:tcW w:w="0" w:type="auto"/>
            <w:tcBorders>
              <w:top w:val="single" w:sz="4" w:space="0" w:color="7F7F7F"/>
            </w:tcBorders>
            <w:hideMark/>
          </w:tcPr>
          <w:p w14:paraId="1090DF89" w14:textId="77777777" w:rsidR="00675B35" w:rsidRPr="0025108B" w:rsidRDefault="00675B35" w:rsidP="00B36CA2">
            <w:pPr>
              <w:spacing w:line="240" w:lineRule="auto"/>
              <w:jc w:val="center"/>
              <w:rPr>
                <w:rFonts w:ascii="Times New Roman" w:hAnsi="Times New Roman"/>
                <w:b/>
                <w:bCs/>
                <w:sz w:val="20"/>
                <w:szCs w:val="20"/>
              </w:rPr>
            </w:pPr>
            <w:r w:rsidRPr="0025108B">
              <w:rPr>
                <w:rFonts w:ascii="Times New Roman" w:hAnsi="Times New Roman"/>
                <w:b/>
                <w:bCs/>
                <w:sz w:val="20"/>
                <w:szCs w:val="20"/>
              </w:rPr>
              <w:t>37</w:t>
            </w:r>
          </w:p>
        </w:tc>
        <w:tc>
          <w:tcPr>
            <w:tcW w:w="0" w:type="auto"/>
            <w:tcBorders>
              <w:top w:val="single" w:sz="4" w:space="0" w:color="7F7F7F"/>
            </w:tcBorders>
            <w:hideMark/>
          </w:tcPr>
          <w:p w14:paraId="20DC3F12" w14:textId="77777777" w:rsidR="00675B35" w:rsidRPr="0025108B" w:rsidRDefault="00675B35" w:rsidP="00B36CA2">
            <w:pPr>
              <w:spacing w:line="240" w:lineRule="auto"/>
              <w:jc w:val="center"/>
              <w:rPr>
                <w:rFonts w:ascii="Times New Roman" w:hAnsi="Times New Roman"/>
                <w:b/>
                <w:bCs/>
                <w:sz w:val="20"/>
                <w:szCs w:val="20"/>
              </w:rPr>
            </w:pPr>
            <w:r w:rsidRPr="0025108B">
              <w:rPr>
                <w:rFonts w:ascii="Times New Roman" w:hAnsi="Times New Roman"/>
                <w:b/>
                <w:bCs/>
                <w:sz w:val="20"/>
                <w:szCs w:val="20"/>
              </w:rPr>
              <w:t>87</w:t>
            </w:r>
          </w:p>
        </w:tc>
        <w:tc>
          <w:tcPr>
            <w:tcW w:w="0" w:type="auto"/>
            <w:tcBorders>
              <w:top w:val="single" w:sz="4" w:space="0" w:color="7F7F7F"/>
            </w:tcBorders>
            <w:hideMark/>
          </w:tcPr>
          <w:p w14:paraId="3C6C6723" w14:textId="77777777" w:rsidR="00675B35" w:rsidRPr="0025108B" w:rsidRDefault="00675B35" w:rsidP="00B36CA2">
            <w:pPr>
              <w:spacing w:line="240" w:lineRule="auto"/>
              <w:jc w:val="center"/>
              <w:rPr>
                <w:rFonts w:ascii="Times New Roman" w:hAnsi="Times New Roman"/>
                <w:b/>
                <w:bCs/>
                <w:sz w:val="20"/>
                <w:szCs w:val="20"/>
              </w:rPr>
            </w:pPr>
            <w:r w:rsidRPr="0025108B">
              <w:rPr>
                <w:rFonts w:ascii="Times New Roman" w:hAnsi="Times New Roman"/>
                <w:b/>
                <w:bCs/>
                <w:sz w:val="20"/>
                <w:szCs w:val="20"/>
              </w:rPr>
              <w:t>70</w:t>
            </w:r>
          </w:p>
        </w:tc>
        <w:tc>
          <w:tcPr>
            <w:tcW w:w="0" w:type="auto"/>
            <w:tcBorders>
              <w:top w:val="single" w:sz="4" w:space="0" w:color="7F7F7F"/>
            </w:tcBorders>
            <w:hideMark/>
          </w:tcPr>
          <w:p w14:paraId="25BD7C23" w14:textId="77777777" w:rsidR="00675B35" w:rsidRPr="0025108B" w:rsidRDefault="00675B35" w:rsidP="00B36CA2">
            <w:pPr>
              <w:spacing w:line="240" w:lineRule="auto"/>
              <w:jc w:val="center"/>
              <w:rPr>
                <w:rFonts w:ascii="Times New Roman" w:hAnsi="Times New Roman"/>
                <w:b/>
                <w:bCs/>
                <w:sz w:val="20"/>
                <w:szCs w:val="20"/>
              </w:rPr>
            </w:pPr>
            <w:r w:rsidRPr="0025108B">
              <w:rPr>
                <w:rFonts w:ascii="Times New Roman" w:hAnsi="Times New Roman"/>
                <w:b/>
                <w:bCs/>
                <w:sz w:val="20"/>
                <w:szCs w:val="20"/>
              </w:rPr>
              <w:t>157</w:t>
            </w:r>
          </w:p>
        </w:tc>
      </w:tr>
    </w:tbl>
    <w:p w14:paraId="2977BA31" w14:textId="77777777" w:rsidR="00675B35" w:rsidRPr="0025108B" w:rsidRDefault="00675B35" w:rsidP="00675B35">
      <w:pPr>
        <w:jc w:val="both"/>
        <w:rPr>
          <w:rFonts w:ascii="Times New Roman" w:hAnsi="Times New Roman"/>
        </w:rPr>
      </w:pPr>
      <w:r w:rsidRPr="0025108B">
        <w:rPr>
          <w:rFonts w:ascii="Times New Roman" w:hAnsi="Times New Roman"/>
        </w:rPr>
        <w:t>Source: Author’s Fieldwork, 2024.</w:t>
      </w:r>
    </w:p>
    <w:p w14:paraId="712EB94C" w14:textId="77777777" w:rsidR="00675B35" w:rsidRPr="0025108B" w:rsidRDefault="00616902" w:rsidP="00675B35">
      <w:pPr>
        <w:spacing w:after="0" w:line="240" w:lineRule="auto"/>
        <w:jc w:val="both"/>
        <w:rPr>
          <w:rFonts w:ascii="Times New Roman" w:hAnsi="Times New Roman"/>
          <w:b/>
          <w:bCs/>
        </w:rPr>
      </w:pPr>
      <w:r w:rsidRPr="0025108B">
        <w:rPr>
          <w:rFonts w:ascii="Times New Roman" w:hAnsi="Times New Roman"/>
          <w:noProof/>
        </w:rPr>
        <w:drawing>
          <wp:inline distT="0" distB="0" distL="0" distR="0" wp14:anchorId="2F2E892B" wp14:editId="2750FDE1">
            <wp:extent cx="4584065" cy="2755265"/>
            <wp:effectExtent l="0" t="0" r="0" b="0"/>
            <wp:docPr id="11"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065" cy="2755265"/>
                    </a:xfrm>
                    <a:prstGeom prst="rect">
                      <a:avLst/>
                    </a:prstGeom>
                    <a:noFill/>
                    <a:ln>
                      <a:noFill/>
                    </a:ln>
                  </pic:spPr>
                </pic:pic>
              </a:graphicData>
            </a:graphic>
          </wp:inline>
        </w:drawing>
      </w:r>
    </w:p>
    <w:p w14:paraId="28878E19" w14:textId="77777777" w:rsidR="00675B35" w:rsidRPr="0025108B" w:rsidRDefault="00675B35" w:rsidP="00675B35">
      <w:pPr>
        <w:spacing w:after="0" w:line="240" w:lineRule="auto"/>
        <w:jc w:val="both"/>
        <w:rPr>
          <w:rFonts w:ascii="Times New Roman" w:hAnsi="Times New Roman"/>
        </w:rPr>
      </w:pPr>
      <w:r w:rsidRPr="0025108B">
        <w:rPr>
          <w:rFonts w:ascii="Times New Roman" w:hAnsi="Times New Roman"/>
        </w:rPr>
        <w:t>Figure 2: Individuals Responsible for Fetching Water across Study Area</w:t>
      </w:r>
    </w:p>
    <w:p w14:paraId="736327BA" w14:textId="77777777" w:rsidR="00675B35" w:rsidRPr="0025108B" w:rsidRDefault="00675B35" w:rsidP="00675B35">
      <w:pPr>
        <w:jc w:val="both"/>
        <w:rPr>
          <w:rFonts w:ascii="Times New Roman" w:hAnsi="Times New Roman"/>
        </w:rPr>
      </w:pPr>
      <w:r w:rsidRPr="0025108B">
        <w:rPr>
          <w:rFonts w:ascii="Times New Roman" w:hAnsi="Times New Roman"/>
        </w:rPr>
        <w:t>Source: Author’s Fieldwork, 2024.</w:t>
      </w:r>
    </w:p>
    <w:p w14:paraId="3DF7F1D2" w14:textId="77777777" w:rsidR="00537995" w:rsidRPr="0025108B" w:rsidRDefault="00537995" w:rsidP="00537995">
      <w:pPr>
        <w:jc w:val="both"/>
        <w:rPr>
          <w:rFonts w:ascii="Times New Roman" w:hAnsi="Times New Roman"/>
          <w:b/>
          <w:bCs/>
        </w:rPr>
      </w:pPr>
      <w:r w:rsidRPr="0025108B">
        <w:rPr>
          <w:rFonts w:ascii="Times New Roman" w:hAnsi="Times New Roman"/>
          <w:b/>
          <w:bCs/>
        </w:rPr>
        <w:t>3.2 Presence of Gender Roles</w:t>
      </w:r>
    </w:p>
    <w:p w14:paraId="6C04EAAA" w14:textId="77777777" w:rsidR="00883382" w:rsidRPr="0025108B" w:rsidRDefault="00537995" w:rsidP="00537995">
      <w:pPr>
        <w:jc w:val="both"/>
        <w:rPr>
          <w:rFonts w:ascii="Times New Roman" w:hAnsi="Times New Roman"/>
        </w:rPr>
      </w:pPr>
      <w:r w:rsidRPr="0025108B">
        <w:rPr>
          <w:rFonts w:ascii="Times New Roman" w:hAnsi="Times New Roman"/>
        </w:rPr>
        <w:t>Table 2 shows that across the eight LGA headquarters, 41% of respondents reported that gender roles are present in household water collection, while 59% stated that they are not. This pattern is consistent across locations. The proportion acknowledging gender roles ranges narrowly between 38% (Yenagoa) and 44% (</w:t>
      </w:r>
      <w:proofErr w:type="spellStart"/>
      <w:r w:rsidRPr="0025108B">
        <w:rPr>
          <w:rFonts w:ascii="Times New Roman" w:hAnsi="Times New Roman"/>
        </w:rPr>
        <w:t>Sagbama</w:t>
      </w:r>
      <w:proofErr w:type="spellEnd"/>
      <w:r w:rsidRPr="0025108B">
        <w:rPr>
          <w:rFonts w:ascii="Times New Roman" w:hAnsi="Times New Roman"/>
        </w:rPr>
        <w:t xml:space="preserve">). Even in more urban Yenagoa, where access to piped water is relatively better, 38% still recognised gender-based division. The majority response (“No”) does not align neatly with earlier findings showing that adult females and children dominate water </w:t>
      </w:r>
      <w:r w:rsidRPr="0025108B">
        <w:rPr>
          <w:rFonts w:ascii="Times New Roman" w:hAnsi="Times New Roman"/>
        </w:rPr>
        <w:lastRenderedPageBreak/>
        <w:t>collection</w:t>
      </w:r>
      <w:r w:rsidR="00737E20" w:rsidRPr="0025108B">
        <w:rPr>
          <w:rFonts w:ascii="Times New Roman" w:hAnsi="Times New Roman"/>
        </w:rPr>
        <w:t xml:space="preserve"> (Table 1)</w:t>
      </w:r>
      <w:r w:rsidRPr="0025108B">
        <w:rPr>
          <w:rFonts w:ascii="Times New Roman" w:hAnsi="Times New Roman"/>
        </w:rPr>
        <w:t>.</w:t>
      </w:r>
      <w:r w:rsidR="00883382" w:rsidRPr="0025108B">
        <w:rPr>
          <w:rFonts w:ascii="Times New Roman" w:hAnsi="Times New Roman"/>
        </w:rPr>
        <w:t xml:space="preserve"> This suggests that routine domestic labour is socially normalised; households may practice gender-based division of labour without consciously identifying it as a gender role.</w:t>
      </w:r>
    </w:p>
    <w:p w14:paraId="13AB72BF" w14:textId="77777777" w:rsidR="00537995" w:rsidRPr="0025108B" w:rsidRDefault="005823E6" w:rsidP="005823E6">
      <w:pPr>
        <w:spacing w:after="0"/>
        <w:jc w:val="both"/>
        <w:rPr>
          <w:rFonts w:ascii="Times New Roman" w:hAnsi="Times New Roman"/>
        </w:rPr>
      </w:pPr>
      <w:r w:rsidRPr="0025108B">
        <w:rPr>
          <w:rFonts w:ascii="Times New Roman" w:hAnsi="Times New Roman"/>
        </w:rPr>
        <w:t xml:space="preserve">Table </w:t>
      </w:r>
      <w:r w:rsidR="00737E20" w:rsidRPr="0025108B">
        <w:rPr>
          <w:rFonts w:ascii="Times New Roman" w:hAnsi="Times New Roman"/>
        </w:rPr>
        <w:t>2</w:t>
      </w:r>
      <w:r w:rsidRPr="0025108B">
        <w:rPr>
          <w:rFonts w:ascii="Times New Roman" w:hAnsi="Times New Roman"/>
        </w:rPr>
        <w:t xml:space="preserve">: </w:t>
      </w:r>
      <w:r w:rsidR="002B59F3" w:rsidRPr="0025108B">
        <w:rPr>
          <w:rFonts w:ascii="Times New Roman" w:hAnsi="Times New Roman"/>
        </w:rPr>
        <w:t xml:space="preserve">Presence of </w:t>
      </w:r>
      <w:r w:rsidRPr="0025108B">
        <w:rPr>
          <w:rFonts w:ascii="Times New Roman" w:hAnsi="Times New Roman"/>
        </w:rPr>
        <w:t>Gender Roles in Household Water Collection</w:t>
      </w:r>
    </w:p>
    <w:tbl>
      <w:tblPr>
        <w:tblW w:w="0" w:type="auto"/>
        <w:tblBorders>
          <w:top w:val="single" w:sz="4" w:space="0" w:color="7F7F7F"/>
          <w:bottom w:val="single" w:sz="4" w:space="0" w:color="7F7F7F"/>
        </w:tblBorders>
        <w:tblLook w:val="0660" w:firstRow="1" w:lastRow="1" w:firstColumn="0" w:lastColumn="0" w:noHBand="1" w:noVBand="1"/>
      </w:tblPr>
      <w:tblGrid>
        <w:gridCol w:w="1017"/>
        <w:gridCol w:w="694"/>
        <w:gridCol w:w="1079"/>
        <w:gridCol w:w="894"/>
        <w:gridCol w:w="816"/>
        <w:gridCol w:w="739"/>
        <w:gridCol w:w="1035"/>
        <w:gridCol w:w="1006"/>
        <w:gridCol w:w="939"/>
        <w:gridCol w:w="912"/>
      </w:tblGrid>
      <w:tr w:rsidR="005823E6" w:rsidRPr="0025108B" w14:paraId="704ECDE1" w14:textId="77777777" w:rsidTr="00F33A8E">
        <w:tc>
          <w:tcPr>
            <w:tcW w:w="0" w:type="auto"/>
            <w:tcBorders>
              <w:bottom w:val="single" w:sz="4" w:space="0" w:color="7F7F7F"/>
            </w:tcBorders>
            <w:hideMark/>
          </w:tcPr>
          <w:p w14:paraId="335DCDF2" w14:textId="77777777" w:rsidR="00537995" w:rsidRPr="0025108B" w:rsidRDefault="00537995" w:rsidP="00F33A8E">
            <w:pPr>
              <w:jc w:val="both"/>
              <w:rPr>
                <w:rFonts w:ascii="Times New Roman" w:hAnsi="Times New Roman"/>
                <w:b/>
                <w:bCs/>
                <w:sz w:val="20"/>
                <w:szCs w:val="20"/>
              </w:rPr>
            </w:pPr>
            <w:r w:rsidRPr="0025108B">
              <w:rPr>
                <w:rFonts w:ascii="Times New Roman" w:hAnsi="Times New Roman"/>
                <w:b/>
                <w:bCs/>
                <w:sz w:val="20"/>
                <w:szCs w:val="20"/>
              </w:rPr>
              <w:t>Response</w:t>
            </w:r>
          </w:p>
        </w:tc>
        <w:tc>
          <w:tcPr>
            <w:tcW w:w="0" w:type="auto"/>
            <w:tcBorders>
              <w:bottom w:val="single" w:sz="4" w:space="0" w:color="7F7F7F"/>
            </w:tcBorders>
            <w:hideMark/>
          </w:tcPr>
          <w:p w14:paraId="30B29E79" w14:textId="77777777" w:rsidR="00537995" w:rsidRPr="0025108B" w:rsidRDefault="00537995" w:rsidP="00F33A8E">
            <w:pPr>
              <w:jc w:val="both"/>
              <w:rPr>
                <w:rFonts w:ascii="Times New Roman" w:hAnsi="Times New Roman"/>
                <w:b/>
                <w:bCs/>
                <w:sz w:val="20"/>
                <w:szCs w:val="20"/>
              </w:rPr>
            </w:pPr>
            <w:r w:rsidRPr="0025108B">
              <w:rPr>
                <w:rFonts w:ascii="Times New Roman" w:hAnsi="Times New Roman"/>
                <w:b/>
                <w:bCs/>
                <w:sz w:val="20"/>
                <w:szCs w:val="20"/>
              </w:rPr>
              <w:t>Brass</w:t>
            </w:r>
          </w:p>
        </w:tc>
        <w:tc>
          <w:tcPr>
            <w:tcW w:w="0" w:type="auto"/>
            <w:tcBorders>
              <w:bottom w:val="single" w:sz="4" w:space="0" w:color="7F7F7F"/>
            </w:tcBorders>
            <w:hideMark/>
          </w:tcPr>
          <w:p w14:paraId="4F764E77" w14:textId="77777777" w:rsidR="00537995" w:rsidRPr="0025108B" w:rsidRDefault="00537995" w:rsidP="00F33A8E">
            <w:pPr>
              <w:jc w:val="both"/>
              <w:rPr>
                <w:rFonts w:ascii="Times New Roman" w:hAnsi="Times New Roman"/>
                <w:b/>
                <w:bCs/>
                <w:sz w:val="20"/>
                <w:szCs w:val="20"/>
              </w:rPr>
            </w:pPr>
            <w:proofErr w:type="spellStart"/>
            <w:r w:rsidRPr="0025108B">
              <w:rPr>
                <w:rFonts w:ascii="Times New Roman" w:hAnsi="Times New Roman"/>
                <w:b/>
                <w:bCs/>
                <w:sz w:val="20"/>
                <w:szCs w:val="20"/>
              </w:rPr>
              <w:t>Ekeremor</w:t>
            </w:r>
            <w:proofErr w:type="spellEnd"/>
          </w:p>
        </w:tc>
        <w:tc>
          <w:tcPr>
            <w:tcW w:w="0" w:type="auto"/>
            <w:tcBorders>
              <w:bottom w:val="single" w:sz="4" w:space="0" w:color="7F7F7F"/>
            </w:tcBorders>
            <w:hideMark/>
          </w:tcPr>
          <w:p w14:paraId="08AD0227" w14:textId="77777777" w:rsidR="00537995" w:rsidRPr="0025108B" w:rsidRDefault="00537995" w:rsidP="00F33A8E">
            <w:pPr>
              <w:jc w:val="both"/>
              <w:rPr>
                <w:rFonts w:ascii="Times New Roman" w:hAnsi="Times New Roman"/>
                <w:b/>
                <w:bCs/>
                <w:sz w:val="20"/>
                <w:szCs w:val="20"/>
              </w:rPr>
            </w:pPr>
            <w:r w:rsidRPr="0025108B">
              <w:rPr>
                <w:rFonts w:ascii="Times New Roman" w:hAnsi="Times New Roman"/>
                <w:b/>
                <w:bCs/>
                <w:sz w:val="20"/>
                <w:szCs w:val="20"/>
              </w:rPr>
              <w:t>Kaiama</w:t>
            </w:r>
          </w:p>
        </w:tc>
        <w:tc>
          <w:tcPr>
            <w:tcW w:w="0" w:type="auto"/>
            <w:tcBorders>
              <w:bottom w:val="single" w:sz="4" w:space="0" w:color="7F7F7F"/>
            </w:tcBorders>
            <w:hideMark/>
          </w:tcPr>
          <w:p w14:paraId="70383A41" w14:textId="77777777" w:rsidR="00537995" w:rsidRPr="0025108B" w:rsidRDefault="00537995" w:rsidP="00F33A8E">
            <w:pPr>
              <w:jc w:val="both"/>
              <w:rPr>
                <w:rFonts w:ascii="Times New Roman" w:hAnsi="Times New Roman"/>
                <w:b/>
                <w:bCs/>
                <w:sz w:val="20"/>
                <w:szCs w:val="20"/>
              </w:rPr>
            </w:pPr>
            <w:proofErr w:type="spellStart"/>
            <w:r w:rsidRPr="0025108B">
              <w:rPr>
                <w:rFonts w:ascii="Times New Roman" w:hAnsi="Times New Roman"/>
                <w:b/>
                <w:bCs/>
                <w:sz w:val="20"/>
                <w:szCs w:val="20"/>
              </w:rPr>
              <w:t>Nembe</w:t>
            </w:r>
            <w:proofErr w:type="spellEnd"/>
          </w:p>
        </w:tc>
        <w:tc>
          <w:tcPr>
            <w:tcW w:w="0" w:type="auto"/>
            <w:tcBorders>
              <w:bottom w:val="single" w:sz="4" w:space="0" w:color="7F7F7F"/>
            </w:tcBorders>
            <w:hideMark/>
          </w:tcPr>
          <w:p w14:paraId="381FB046" w14:textId="77777777" w:rsidR="00537995" w:rsidRPr="0025108B" w:rsidRDefault="00537995" w:rsidP="00F33A8E">
            <w:pPr>
              <w:jc w:val="both"/>
              <w:rPr>
                <w:rFonts w:ascii="Times New Roman" w:hAnsi="Times New Roman"/>
                <w:b/>
                <w:bCs/>
                <w:sz w:val="20"/>
                <w:szCs w:val="20"/>
              </w:rPr>
            </w:pPr>
            <w:proofErr w:type="spellStart"/>
            <w:r w:rsidRPr="0025108B">
              <w:rPr>
                <w:rFonts w:ascii="Times New Roman" w:hAnsi="Times New Roman"/>
                <w:b/>
                <w:bCs/>
                <w:sz w:val="20"/>
                <w:szCs w:val="20"/>
              </w:rPr>
              <w:t>Ogbia</w:t>
            </w:r>
            <w:proofErr w:type="spellEnd"/>
          </w:p>
        </w:tc>
        <w:tc>
          <w:tcPr>
            <w:tcW w:w="0" w:type="auto"/>
            <w:tcBorders>
              <w:bottom w:val="single" w:sz="4" w:space="0" w:color="7F7F7F"/>
            </w:tcBorders>
            <w:hideMark/>
          </w:tcPr>
          <w:p w14:paraId="32BA2D0C" w14:textId="77777777" w:rsidR="00537995" w:rsidRPr="0025108B" w:rsidRDefault="00537995" w:rsidP="00F33A8E">
            <w:pPr>
              <w:jc w:val="both"/>
              <w:rPr>
                <w:rFonts w:ascii="Times New Roman" w:hAnsi="Times New Roman"/>
                <w:b/>
                <w:bCs/>
                <w:sz w:val="20"/>
                <w:szCs w:val="20"/>
              </w:rPr>
            </w:pPr>
            <w:proofErr w:type="spellStart"/>
            <w:r w:rsidRPr="0025108B">
              <w:rPr>
                <w:rFonts w:ascii="Times New Roman" w:hAnsi="Times New Roman"/>
                <w:b/>
                <w:bCs/>
                <w:sz w:val="20"/>
                <w:szCs w:val="20"/>
              </w:rPr>
              <w:t>Oporoma</w:t>
            </w:r>
            <w:proofErr w:type="spellEnd"/>
          </w:p>
        </w:tc>
        <w:tc>
          <w:tcPr>
            <w:tcW w:w="0" w:type="auto"/>
            <w:tcBorders>
              <w:bottom w:val="single" w:sz="4" w:space="0" w:color="7F7F7F"/>
            </w:tcBorders>
            <w:hideMark/>
          </w:tcPr>
          <w:p w14:paraId="2B5EE101" w14:textId="77777777" w:rsidR="00537995" w:rsidRPr="0025108B" w:rsidRDefault="00537995" w:rsidP="00F33A8E">
            <w:pPr>
              <w:jc w:val="both"/>
              <w:rPr>
                <w:rFonts w:ascii="Times New Roman" w:hAnsi="Times New Roman"/>
                <w:b/>
                <w:bCs/>
                <w:sz w:val="20"/>
                <w:szCs w:val="20"/>
              </w:rPr>
            </w:pPr>
            <w:proofErr w:type="spellStart"/>
            <w:r w:rsidRPr="0025108B">
              <w:rPr>
                <w:rFonts w:ascii="Times New Roman" w:hAnsi="Times New Roman"/>
                <w:b/>
                <w:bCs/>
                <w:sz w:val="20"/>
                <w:szCs w:val="20"/>
              </w:rPr>
              <w:t>Sagbama</w:t>
            </w:r>
            <w:proofErr w:type="spellEnd"/>
          </w:p>
        </w:tc>
        <w:tc>
          <w:tcPr>
            <w:tcW w:w="0" w:type="auto"/>
            <w:tcBorders>
              <w:bottom w:val="single" w:sz="4" w:space="0" w:color="7F7F7F"/>
            </w:tcBorders>
            <w:hideMark/>
          </w:tcPr>
          <w:p w14:paraId="71EAAD51" w14:textId="77777777" w:rsidR="00537995" w:rsidRPr="0025108B" w:rsidRDefault="00537995" w:rsidP="00F33A8E">
            <w:pPr>
              <w:jc w:val="both"/>
              <w:rPr>
                <w:rFonts w:ascii="Times New Roman" w:hAnsi="Times New Roman"/>
                <w:b/>
                <w:bCs/>
                <w:sz w:val="20"/>
                <w:szCs w:val="20"/>
              </w:rPr>
            </w:pPr>
            <w:r w:rsidRPr="0025108B">
              <w:rPr>
                <w:rFonts w:ascii="Times New Roman" w:hAnsi="Times New Roman"/>
                <w:b/>
                <w:bCs/>
                <w:sz w:val="20"/>
                <w:szCs w:val="20"/>
              </w:rPr>
              <w:t>Yenagoa</w:t>
            </w:r>
          </w:p>
        </w:tc>
        <w:tc>
          <w:tcPr>
            <w:tcW w:w="0" w:type="auto"/>
            <w:tcBorders>
              <w:bottom w:val="single" w:sz="4" w:space="0" w:color="7F7F7F"/>
            </w:tcBorders>
            <w:hideMark/>
          </w:tcPr>
          <w:p w14:paraId="5307E0FB" w14:textId="77777777" w:rsidR="00537995" w:rsidRPr="0025108B" w:rsidRDefault="00537995" w:rsidP="00F33A8E">
            <w:pPr>
              <w:jc w:val="both"/>
              <w:rPr>
                <w:rFonts w:ascii="Times New Roman" w:hAnsi="Times New Roman"/>
                <w:b/>
                <w:bCs/>
                <w:sz w:val="20"/>
                <w:szCs w:val="20"/>
              </w:rPr>
            </w:pPr>
            <w:r w:rsidRPr="0025108B">
              <w:rPr>
                <w:rFonts w:ascii="Times New Roman" w:hAnsi="Times New Roman"/>
                <w:b/>
                <w:bCs/>
                <w:sz w:val="20"/>
                <w:szCs w:val="20"/>
              </w:rPr>
              <w:t>Average</w:t>
            </w:r>
          </w:p>
        </w:tc>
      </w:tr>
      <w:tr w:rsidR="005823E6" w:rsidRPr="0025108B" w14:paraId="4BF9B883" w14:textId="77777777" w:rsidTr="00F33A8E">
        <w:tc>
          <w:tcPr>
            <w:tcW w:w="0" w:type="auto"/>
            <w:hideMark/>
          </w:tcPr>
          <w:p w14:paraId="1A3D22A2" w14:textId="77777777" w:rsidR="00537995" w:rsidRPr="0025108B" w:rsidRDefault="00537995" w:rsidP="00F33A8E">
            <w:pPr>
              <w:jc w:val="both"/>
              <w:rPr>
                <w:rFonts w:ascii="Times New Roman" w:hAnsi="Times New Roman"/>
                <w:sz w:val="20"/>
                <w:szCs w:val="20"/>
              </w:rPr>
            </w:pPr>
            <w:r w:rsidRPr="0025108B">
              <w:rPr>
                <w:rFonts w:ascii="Times New Roman" w:hAnsi="Times New Roman"/>
                <w:sz w:val="20"/>
                <w:szCs w:val="20"/>
              </w:rPr>
              <w:t>Yes</w:t>
            </w:r>
          </w:p>
        </w:tc>
        <w:tc>
          <w:tcPr>
            <w:tcW w:w="0" w:type="auto"/>
            <w:hideMark/>
          </w:tcPr>
          <w:p w14:paraId="366657ED" w14:textId="77777777" w:rsidR="00537995" w:rsidRPr="0025108B" w:rsidRDefault="00537995" w:rsidP="00F33A8E">
            <w:pPr>
              <w:jc w:val="both"/>
              <w:rPr>
                <w:rFonts w:ascii="Times New Roman" w:hAnsi="Times New Roman"/>
                <w:sz w:val="20"/>
                <w:szCs w:val="20"/>
              </w:rPr>
            </w:pPr>
            <w:r w:rsidRPr="0025108B">
              <w:rPr>
                <w:rFonts w:ascii="Times New Roman" w:hAnsi="Times New Roman"/>
                <w:sz w:val="20"/>
                <w:szCs w:val="20"/>
              </w:rPr>
              <w:t>42.0</w:t>
            </w:r>
          </w:p>
        </w:tc>
        <w:tc>
          <w:tcPr>
            <w:tcW w:w="0" w:type="auto"/>
            <w:hideMark/>
          </w:tcPr>
          <w:p w14:paraId="0F47E5FC" w14:textId="77777777" w:rsidR="00537995" w:rsidRPr="0025108B" w:rsidRDefault="00537995" w:rsidP="00F33A8E">
            <w:pPr>
              <w:jc w:val="both"/>
              <w:rPr>
                <w:rFonts w:ascii="Times New Roman" w:hAnsi="Times New Roman"/>
                <w:sz w:val="20"/>
                <w:szCs w:val="20"/>
              </w:rPr>
            </w:pPr>
            <w:r w:rsidRPr="0025108B">
              <w:rPr>
                <w:rFonts w:ascii="Times New Roman" w:hAnsi="Times New Roman"/>
                <w:sz w:val="20"/>
                <w:szCs w:val="20"/>
              </w:rPr>
              <w:t>40.0</w:t>
            </w:r>
          </w:p>
        </w:tc>
        <w:tc>
          <w:tcPr>
            <w:tcW w:w="0" w:type="auto"/>
            <w:hideMark/>
          </w:tcPr>
          <w:p w14:paraId="544EA194" w14:textId="77777777" w:rsidR="00537995" w:rsidRPr="0025108B" w:rsidRDefault="00537995" w:rsidP="00F33A8E">
            <w:pPr>
              <w:jc w:val="both"/>
              <w:rPr>
                <w:rFonts w:ascii="Times New Roman" w:hAnsi="Times New Roman"/>
                <w:sz w:val="20"/>
                <w:szCs w:val="20"/>
              </w:rPr>
            </w:pPr>
            <w:r w:rsidRPr="0025108B">
              <w:rPr>
                <w:rFonts w:ascii="Times New Roman" w:hAnsi="Times New Roman"/>
                <w:sz w:val="20"/>
                <w:szCs w:val="20"/>
              </w:rPr>
              <w:t>42.0</w:t>
            </w:r>
          </w:p>
        </w:tc>
        <w:tc>
          <w:tcPr>
            <w:tcW w:w="0" w:type="auto"/>
            <w:hideMark/>
          </w:tcPr>
          <w:p w14:paraId="67998AF9" w14:textId="77777777" w:rsidR="00537995" w:rsidRPr="0025108B" w:rsidRDefault="00537995" w:rsidP="00F33A8E">
            <w:pPr>
              <w:jc w:val="both"/>
              <w:rPr>
                <w:rFonts w:ascii="Times New Roman" w:hAnsi="Times New Roman"/>
                <w:sz w:val="20"/>
                <w:szCs w:val="20"/>
              </w:rPr>
            </w:pPr>
            <w:r w:rsidRPr="0025108B">
              <w:rPr>
                <w:rFonts w:ascii="Times New Roman" w:hAnsi="Times New Roman"/>
                <w:sz w:val="20"/>
                <w:szCs w:val="20"/>
              </w:rPr>
              <w:t>40.0</w:t>
            </w:r>
          </w:p>
        </w:tc>
        <w:tc>
          <w:tcPr>
            <w:tcW w:w="0" w:type="auto"/>
            <w:hideMark/>
          </w:tcPr>
          <w:p w14:paraId="087554FE" w14:textId="77777777" w:rsidR="00537995" w:rsidRPr="0025108B" w:rsidRDefault="00537995" w:rsidP="00F33A8E">
            <w:pPr>
              <w:jc w:val="both"/>
              <w:rPr>
                <w:rFonts w:ascii="Times New Roman" w:hAnsi="Times New Roman"/>
                <w:sz w:val="20"/>
                <w:szCs w:val="20"/>
              </w:rPr>
            </w:pPr>
            <w:r w:rsidRPr="0025108B">
              <w:rPr>
                <w:rFonts w:ascii="Times New Roman" w:hAnsi="Times New Roman"/>
                <w:sz w:val="20"/>
                <w:szCs w:val="20"/>
              </w:rPr>
              <w:t>40.0</w:t>
            </w:r>
          </w:p>
        </w:tc>
        <w:tc>
          <w:tcPr>
            <w:tcW w:w="0" w:type="auto"/>
            <w:hideMark/>
          </w:tcPr>
          <w:p w14:paraId="184A4248" w14:textId="77777777" w:rsidR="00537995" w:rsidRPr="0025108B" w:rsidRDefault="00537995" w:rsidP="00F33A8E">
            <w:pPr>
              <w:jc w:val="both"/>
              <w:rPr>
                <w:rFonts w:ascii="Times New Roman" w:hAnsi="Times New Roman"/>
                <w:sz w:val="20"/>
                <w:szCs w:val="20"/>
              </w:rPr>
            </w:pPr>
            <w:r w:rsidRPr="0025108B">
              <w:rPr>
                <w:rFonts w:ascii="Times New Roman" w:hAnsi="Times New Roman"/>
                <w:sz w:val="20"/>
                <w:szCs w:val="20"/>
              </w:rPr>
              <w:t>42.0</w:t>
            </w:r>
          </w:p>
        </w:tc>
        <w:tc>
          <w:tcPr>
            <w:tcW w:w="0" w:type="auto"/>
            <w:hideMark/>
          </w:tcPr>
          <w:p w14:paraId="73DD8BDC" w14:textId="77777777" w:rsidR="00537995" w:rsidRPr="0025108B" w:rsidRDefault="00537995" w:rsidP="00F33A8E">
            <w:pPr>
              <w:jc w:val="both"/>
              <w:rPr>
                <w:rFonts w:ascii="Times New Roman" w:hAnsi="Times New Roman"/>
                <w:sz w:val="20"/>
                <w:szCs w:val="20"/>
              </w:rPr>
            </w:pPr>
            <w:r w:rsidRPr="0025108B">
              <w:rPr>
                <w:rFonts w:ascii="Times New Roman" w:hAnsi="Times New Roman"/>
                <w:sz w:val="20"/>
                <w:szCs w:val="20"/>
              </w:rPr>
              <w:t>44.0</w:t>
            </w:r>
          </w:p>
        </w:tc>
        <w:tc>
          <w:tcPr>
            <w:tcW w:w="0" w:type="auto"/>
            <w:hideMark/>
          </w:tcPr>
          <w:p w14:paraId="154B709C" w14:textId="77777777" w:rsidR="00537995" w:rsidRPr="0025108B" w:rsidRDefault="00537995" w:rsidP="00F33A8E">
            <w:pPr>
              <w:jc w:val="both"/>
              <w:rPr>
                <w:rFonts w:ascii="Times New Roman" w:hAnsi="Times New Roman"/>
                <w:sz w:val="20"/>
                <w:szCs w:val="20"/>
              </w:rPr>
            </w:pPr>
            <w:r w:rsidRPr="0025108B">
              <w:rPr>
                <w:rFonts w:ascii="Times New Roman" w:hAnsi="Times New Roman"/>
                <w:sz w:val="20"/>
                <w:szCs w:val="20"/>
              </w:rPr>
              <w:t>38.0</w:t>
            </w:r>
          </w:p>
        </w:tc>
        <w:tc>
          <w:tcPr>
            <w:tcW w:w="0" w:type="auto"/>
            <w:hideMark/>
          </w:tcPr>
          <w:p w14:paraId="0A2BC38D" w14:textId="77777777" w:rsidR="00537995" w:rsidRPr="0025108B" w:rsidRDefault="00537995" w:rsidP="00F33A8E">
            <w:pPr>
              <w:jc w:val="both"/>
              <w:rPr>
                <w:rFonts w:ascii="Times New Roman" w:hAnsi="Times New Roman"/>
                <w:sz w:val="20"/>
                <w:szCs w:val="20"/>
              </w:rPr>
            </w:pPr>
            <w:r w:rsidRPr="0025108B">
              <w:rPr>
                <w:rFonts w:ascii="Times New Roman" w:hAnsi="Times New Roman"/>
                <w:sz w:val="20"/>
                <w:szCs w:val="20"/>
              </w:rPr>
              <w:t>41.0</w:t>
            </w:r>
          </w:p>
        </w:tc>
      </w:tr>
      <w:tr w:rsidR="005823E6" w:rsidRPr="0025108B" w14:paraId="0C1F2EC1" w14:textId="77777777" w:rsidTr="00F33A8E">
        <w:tc>
          <w:tcPr>
            <w:tcW w:w="0" w:type="auto"/>
            <w:hideMark/>
          </w:tcPr>
          <w:p w14:paraId="46284D96" w14:textId="77777777" w:rsidR="00537995" w:rsidRPr="0025108B" w:rsidRDefault="00537995" w:rsidP="00F33A8E">
            <w:pPr>
              <w:jc w:val="both"/>
              <w:rPr>
                <w:rFonts w:ascii="Times New Roman" w:hAnsi="Times New Roman"/>
                <w:sz w:val="20"/>
                <w:szCs w:val="20"/>
              </w:rPr>
            </w:pPr>
            <w:r w:rsidRPr="0025108B">
              <w:rPr>
                <w:rFonts w:ascii="Times New Roman" w:hAnsi="Times New Roman"/>
                <w:sz w:val="20"/>
                <w:szCs w:val="20"/>
              </w:rPr>
              <w:t>No</w:t>
            </w:r>
          </w:p>
        </w:tc>
        <w:tc>
          <w:tcPr>
            <w:tcW w:w="0" w:type="auto"/>
            <w:hideMark/>
          </w:tcPr>
          <w:p w14:paraId="13353EB9" w14:textId="77777777" w:rsidR="00537995" w:rsidRPr="0025108B" w:rsidRDefault="00537995" w:rsidP="00F33A8E">
            <w:pPr>
              <w:jc w:val="both"/>
              <w:rPr>
                <w:rFonts w:ascii="Times New Roman" w:hAnsi="Times New Roman"/>
                <w:sz w:val="20"/>
                <w:szCs w:val="20"/>
              </w:rPr>
            </w:pPr>
            <w:r w:rsidRPr="0025108B">
              <w:rPr>
                <w:rFonts w:ascii="Times New Roman" w:hAnsi="Times New Roman"/>
                <w:sz w:val="20"/>
                <w:szCs w:val="20"/>
              </w:rPr>
              <w:t>58.0</w:t>
            </w:r>
          </w:p>
        </w:tc>
        <w:tc>
          <w:tcPr>
            <w:tcW w:w="0" w:type="auto"/>
            <w:hideMark/>
          </w:tcPr>
          <w:p w14:paraId="7CB400C4" w14:textId="77777777" w:rsidR="00537995" w:rsidRPr="0025108B" w:rsidRDefault="00537995" w:rsidP="00F33A8E">
            <w:pPr>
              <w:jc w:val="both"/>
              <w:rPr>
                <w:rFonts w:ascii="Times New Roman" w:hAnsi="Times New Roman"/>
                <w:sz w:val="20"/>
                <w:szCs w:val="20"/>
              </w:rPr>
            </w:pPr>
            <w:r w:rsidRPr="0025108B">
              <w:rPr>
                <w:rFonts w:ascii="Times New Roman" w:hAnsi="Times New Roman"/>
                <w:sz w:val="20"/>
                <w:szCs w:val="20"/>
              </w:rPr>
              <w:t>60.0</w:t>
            </w:r>
          </w:p>
        </w:tc>
        <w:tc>
          <w:tcPr>
            <w:tcW w:w="0" w:type="auto"/>
            <w:hideMark/>
          </w:tcPr>
          <w:p w14:paraId="208E5CEF" w14:textId="77777777" w:rsidR="00537995" w:rsidRPr="0025108B" w:rsidRDefault="00537995" w:rsidP="00F33A8E">
            <w:pPr>
              <w:jc w:val="both"/>
              <w:rPr>
                <w:rFonts w:ascii="Times New Roman" w:hAnsi="Times New Roman"/>
                <w:sz w:val="20"/>
                <w:szCs w:val="20"/>
              </w:rPr>
            </w:pPr>
            <w:r w:rsidRPr="0025108B">
              <w:rPr>
                <w:rFonts w:ascii="Times New Roman" w:hAnsi="Times New Roman"/>
                <w:sz w:val="20"/>
                <w:szCs w:val="20"/>
              </w:rPr>
              <w:t>58.0</w:t>
            </w:r>
          </w:p>
        </w:tc>
        <w:tc>
          <w:tcPr>
            <w:tcW w:w="0" w:type="auto"/>
            <w:hideMark/>
          </w:tcPr>
          <w:p w14:paraId="10900EB9" w14:textId="77777777" w:rsidR="00537995" w:rsidRPr="0025108B" w:rsidRDefault="00537995" w:rsidP="00F33A8E">
            <w:pPr>
              <w:jc w:val="both"/>
              <w:rPr>
                <w:rFonts w:ascii="Times New Roman" w:hAnsi="Times New Roman"/>
                <w:sz w:val="20"/>
                <w:szCs w:val="20"/>
              </w:rPr>
            </w:pPr>
            <w:r w:rsidRPr="0025108B">
              <w:rPr>
                <w:rFonts w:ascii="Times New Roman" w:hAnsi="Times New Roman"/>
                <w:sz w:val="20"/>
                <w:szCs w:val="20"/>
              </w:rPr>
              <w:t>60.0</w:t>
            </w:r>
          </w:p>
        </w:tc>
        <w:tc>
          <w:tcPr>
            <w:tcW w:w="0" w:type="auto"/>
            <w:hideMark/>
          </w:tcPr>
          <w:p w14:paraId="01919724" w14:textId="77777777" w:rsidR="00537995" w:rsidRPr="0025108B" w:rsidRDefault="00537995" w:rsidP="00F33A8E">
            <w:pPr>
              <w:jc w:val="both"/>
              <w:rPr>
                <w:rFonts w:ascii="Times New Roman" w:hAnsi="Times New Roman"/>
                <w:sz w:val="20"/>
                <w:szCs w:val="20"/>
              </w:rPr>
            </w:pPr>
            <w:r w:rsidRPr="0025108B">
              <w:rPr>
                <w:rFonts w:ascii="Times New Roman" w:hAnsi="Times New Roman"/>
                <w:sz w:val="20"/>
                <w:szCs w:val="20"/>
              </w:rPr>
              <w:t>60.0</w:t>
            </w:r>
          </w:p>
        </w:tc>
        <w:tc>
          <w:tcPr>
            <w:tcW w:w="0" w:type="auto"/>
            <w:hideMark/>
          </w:tcPr>
          <w:p w14:paraId="496001F1" w14:textId="77777777" w:rsidR="00537995" w:rsidRPr="0025108B" w:rsidRDefault="00537995" w:rsidP="00F33A8E">
            <w:pPr>
              <w:jc w:val="both"/>
              <w:rPr>
                <w:rFonts w:ascii="Times New Roman" w:hAnsi="Times New Roman"/>
                <w:sz w:val="20"/>
                <w:szCs w:val="20"/>
              </w:rPr>
            </w:pPr>
            <w:r w:rsidRPr="0025108B">
              <w:rPr>
                <w:rFonts w:ascii="Times New Roman" w:hAnsi="Times New Roman"/>
                <w:sz w:val="20"/>
                <w:szCs w:val="20"/>
              </w:rPr>
              <w:t>58.0</w:t>
            </w:r>
          </w:p>
        </w:tc>
        <w:tc>
          <w:tcPr>
            <w:tcW w:w="0" w:type="auto"/>
            <w:hideMark/>
          </w:tcPr>
          <w:p w14:paraId="0337476F" w14:textId="77777777" w:rsidR="00537995" w:rsidRPr="0025108B" w:rsidRDefault="00537995" w:rsidP="00F33A8E">
            <w:pPr>
              <w:jc w:val="both"/>
              <w:rPr>
                <w:rFonts w:ascii="Times New Roman" w:hAnsi="Times New Roman"/>
                <w:sz w:val="20"/>
                <w:szCs w:val="20"/>
              </w:rPr>
            </w:pPr>
            <w:r w:rsidRPr="0025108B">
              <w:rPr>
                <w:rFonts w:ascii="Times New Roman" w:hAnsi="Times New Roman"/>
                <w:sz w:val="20"/>
                <w:szCs w:val="20"/>
              </w:rPr>
              <w:t>56.0</w:t>
            </w:r>
          </w:p>
        </w:tc>
        <w:tc>
          <w:tcPr>
            <w:tcW w:w="0" w:type="auto"/>
            <w:hideMark/>
          </w:tcPr>
          <w:p w14:paraId="7ABC13D6" w14:textId="77777777" w:rsidR="00537995" w:rsidRPr="0025108B" w:rsidRDefault="00537995" w:rsidP="00F33A8E">
            <w:pPr>
              <w:jc w:val="both"/>
              <w:rPr>
                <w:rFonts w:ascii="Times New Roman" w:hAnsi="Times New Roman"/>
                <w:sz w:val="20"/>
                <w:szCs w:val="20"/>
              </w:rPr>
            </w:pPr>
            <w:r w:rsidRPr="0025108B">
              <w:rPr>
                <w:rFonts w:ascii="Times New Roman" w:hAnsi="Times New Roman"/>
                <w:sz w:val="20"/>
                <w:szCs w:val="20"/>
              </w:rPr>
              <w:t>62.0</w:t>
            </w:r>
          </w:p>
        </w:tc>
        <w:tc>
          <w:tcPr>
            <w:tcW w:w="0" w:type="auto"/>
            <w:hideMark/>
          </w:tcPr>
          <w:p w14:paraId="1C51E086" w14:textId="77777777" w:rsidR="00537995" w:rsidRPr="0025108B" w:rsidRDefault="00537995" w:rsidP="00F33A8E">
            <w:pPr>
              <w:jc w:val="both"/>
              <w:rPr>
                <w:rFonts w:ascii="Times New Roman" w:hAnsi="Times New Roman"/>
                <w:sz w:val="20"/>
                <w:szCs w:val="20"/>
              </w:rPr>
            </w:pPr>
            <w:r w:rsidRPr="0025108B">
              <w:rPr>
                <w:rFonts w:ascii="Times New Roman" w:hAnsi="Times New Roman"/>
                <w:sz w:val="20"/>
                <w:szCs w:val="20"/>
              </w:rPr>
              <w:t>59.0</w:t>
            </w:r>
          </w:p>
        </w:tc>
      </w:tr>
      <w:tr w:rsidR="005823E6" w:rsidRPr="0025108B" w14:paraId="35AFB072" w14:textId="77777777" w:rsidTr="00F33A8E">
        <w:tc>
          <w:tcPr>
            <w:tcW w:w="0" w:type="auto"/>
            <w:tcBorders>
              <w:top w:val="single" w:sz="4" w:space="0" w:color="7F7F7F"/>
            </w:tcBorders>
            <w:hideMark/>
          </w:tcPr>
          <w:p w14:paraId="23514CD3" w14:textId="77777777" w:rsidR="00537995" w:rsidRPr="0025108B" w:rsidRDefault="00537995" w:rsidP="00F33A8E">
            <w:pPr>
              <w:jc w:val="both"/>
              <w:rPr>
                <w:rFonts w:ascii="Times New Roman" w:hAnsi="Times New Roman"/>
                <w:b/>
                <w:bCs/>
                <w:sz w:val="20"/>
                <w:szCs w:val="20"/>
              </w:rPr>
            </w:pPr>
            <w:r w:rsidRPr="0025108B">
              <w:rPr>
                <w:rFonts w:ascii="Times New Roman" w:hAnsi="Times New Roman"/>
                <w:b/>
                <w:bCs/>
                <w:sz w:val="20"/>
                <w:szCs w:val="20"/>
              </w:rPr>
              <w:t>Total</w:t>
            </w:r>
          </w:p>
        </w:tc>
        <w:tc>
          <w:tcPr>
            <w:tcW w:w="0" w:type="auto"/>
            <w:tcBorders>
              <w:top w:val="single" w:sz="4" w:space="0" w:color="7F7F7F"/>
            </w:tcBorders>
            <w:hideMark/>
          </w:tcPr>
          <w:p w14:paraId="00FD02AA" w14:textId="77777777" w:rsidR="00537995" w:rsidRPr="0025108B" w:rsidRDefault="00537995" w:rsidP="00F33A8E">
            <w:pPr>
              <w:jc w:val="both"/>
              <w:rPr>
                <w:rFonts w:ascii="Times New Roman" w:hAnsi="Times New Roman"/>
                <w:b/>
                <w:bCs/>
                <w:sz w:val="20"/>
                <w:szCs w:val="20"/>
              </w:rPr>
            </w:pPr>
            <w:r w:rsidRPr="0025108B">
              <w:rPr>
                <w:rFonts w:ascii="Times New Roman" w:hAnsi="Times New Roman"/>
                <w:b/>
                <w:bCs/>
                <w:sz w:val="20"/>
                <w:szCs w:val="20"/>
              </w:rPr>
              <w:t>100.0</w:t>
            </w:r>
          </w:p>
        </w:tc>
        <w:tc>
          <w:tcPr>
            <w:tcW w:w="0" w:type="auto"/>
            <w:tcBorders>
              <w:top w:val="single" w:sz="4" w:space="0" w:color="7F7F7F"/>
            </w:tcBorders>
            <w:hideMark/>
          </w:tcPr>
          <w:p w14:paraId="055BD63B" w14:textId="77777777" w:rsidR="00537995" w:rsidRPr="0025108B" w:rsidRDefault="00537995" w:rsidP="00F33A8E">
            <w:pPr>
              <w:jc w:val="both"/>
              <w:rPr>
                <w:rFonts w:ascii="Times New Roman" w:hAnsi="Times New Roman"/>
                <w:b/>
                <w:bCs/>
                <w:sz w:val="20"/>
                <w:szCs w:val="20"/>
              </w:rPr>
            </w:pPr>
            <w:r w:rsidRPr="0025108B">
              <w:rPr>
                <w:rFonts w:ascii="Times New Roman" w:hAnsi="Times New Roman"/>
                <w:b/>
                <w:bCs/>
                <w:sz w:val="20"/>
                <w:szCs w:val="20"/>
              </w:rPr>
              <w:t>100.0</w:t>
            </w:r>
          </w:p>
        </w:tc>
        <w:tc>
          <w:tcPr>
            <w:tcW w:w="0" w:type="auto"/>
            <w:tcBorders>
              <w:top w:val="single" w:sz="4" w:space="0" w:color="7F7F7F"/>
            </w:tcBorders>
            <w:hideMark/>
          </w:tcPr>
          <w:p w14:paraId="2F3637D4" w14:textId="77777777" w:rsidR="00537995" w:rsidRPr="0025108B" w:rsidRDefault="00537995" w:rsidP="00F33A8E">
            <w:pPr>
              <w:jc w:val="both"/>
              <w:rPr>
                <w:rFonts w:ascii="Times New Roman" w:hAnsi="Times New Roman"/>
                <w:b/>
                <w:bCs/>
                <w:sz w:val="20"/>
                <w:szCs w:val="20"/>
              </w:rPr>
            </w:pPr>
            <w:r w:rsidRPr="0025108B">
              <w:rPr>
                <w:rFonts w:ascii="Times New Roman" w:hAnsi="Times New Roman"/>
                <w:b/>
                <w:bCs/>
                <w:sz w:val="20"/>
                <w:szCs w:val="20"/>
              </w:rPr>
              <w:t>100.0</w:t>
            </w:r>
          </w:p>
        </w:tc>
        <w:tc>
          <w:tcPr>
            <w:tcW w:w="0" w:type="auto"/>
            <w:tcBorders>
              <w:top w:val="single" w:sz="4" w:space="0" w:color="7F7F7F"/>
            </w:tcBorders>
            <w:hideMark/>
          </w:tcPr>
          <w:p w14:paraId="4E088D4E" w14:textId="77777777" w:rsidR="00537995" w:rsidRPr="0025108B" w:rsidRDefault="00537995" w:rsidP="00F33A8E">
            <w:pPr>
              <w:jc w:val="both"/>
              <w:rPr>
                <w:rFonts w:ascii="Times New Roman" w:hAnsi="Times New Roman"/>
                <w:b/>
                <w:bCs/>
                <w:sz w:val="20"/>
                <w:szCs w:val="20"/>
              </w:rPr>
            </w:pPr>
            <w:r w:rsidRPr="0025108B">
              <w:rPr>
                <w:rFonts w:ascii="Times New Roman" w:hAnsi="Times New Roman"/>
                <w:b/>
                <w:bCs/>
                <w:sz w:val="20"/>
                <w:szCs w:val="20"/>
              </w:rPr>
              <w:t>100.0</w:t>
            </w:r>
          </w:p>
        </w:tc>
        <w:tc>
          <w:tcPr>
            <w:tcW w:w="0" w:type="auto"/>
            <w:tcBorders>
              <w:top w:val="single" w:sz="4" w:space="0" w:color="7F7F7F"/>
            </w:tcBorders>
            <w:hideMark/>
          </w:tcPr>
          <w:p w14:paraId="3921BDE5" w14:textId="77777777" w:rsidR="00537995" w:rsidRPr="0025108B" w:rsidRDefault="00537995" w:rsidP="00F33A8E">
            <w:pPr>
              <w:jc w:val="both"/>
              <w:rPr>
                <w:rFonts w:ascii="Times New Roman" w:hAnsi="Times New Roman"/>
                <w:b/>
                <w:bCs/>
                <w:sz w:val="20"/>
                <w:szCs w:val="20"/>
              </w:rPr>
            </w:pPr>
            <w:r w:rsidRPr="0025108B">
              <w:rPr>
                <w:rFonts w:ascii="Times New Roman" w:hAnsi="Times New Roman"/>
                <w:b/>
                <w:bCs/>
                <w:sz w:val="20"/>
                <w:szCs w:val="20"/>
              </w:rPr>
              <w:t>100.0</w:t>
            </w:r>
          </w:p>
        </w:tc>
        <w:tc>
          <w:tcPr>
            <w:tcW w:w="0" w:type="auto"/>
            <w:tcBorders>
              <w:top w:val="single" w:sz="4" w:space="0" w:color="7F7F7F"/>
            </w:tcBorders>
            <w:hideMark/>
          </w:tcPr>
          <w:p w14:paraId="5E7EC02C" w14:textId="77777777" w:rsidR="00537995" w:rsidRPr="0025108B" w:rsidRDefault="00537995" w:rsidP="00F33A8E">
            <w:pPr>
              <w:jc w:val="both"/>
              <w:rPr>
                <w:rFonts w:ascii="Times New Roman" w:hAnsi="Times New Roman"/>
                <w:b/>
                <w:bCs/>
                <w:sz w:val="20"/>
                <w:szCs w:val="20"/>
              </w:rPr>
            </w:pPr>
            <w:r w:rsidRPr="0025108B">
              <w:rPr>
                <w:rFonts w:ascii="Times New Roman" w:hAnsi="Times New Roman"/>
                <w:b/>
                <w:bCs/>
                <w:sz w:val="20"/>
                <w:szCs w:val="20"/>
              </w:rPr>
              <w:t>100.0</w:t>
            </w:r>
          </w:p>
        </w:tc>
        <w:tc>
          <w:tcPr>
            <w:tcW w:w="0" w:type="auto"/>
            <w:tcBorders>
              <w:top w:val="single" w:sz="4" w:space="0" w:color="7F7F7F"/>
            </w:tcBorders>
            <w:hideMark/>
          </w:tcPr>
          <w:p w14:paraId="3F9F4ADA" w14:textId="77777777" w:rsidR="00537995" w:rsidRPr="0025108B" w:rsidRDefault="00537995" w:rsidP="00F33A8E">
            <w:pPr>
              <w:jc w:val="both"/>
              <w:rPr>
                <w:rFonts w:ascii="Times New Roman" w:hAnsi="Times New Roman"/>
                <w:b/>
                <w:bCs/>
                <w:sz w:val="20"/>
                <w:szCs w:val="20"/>
              </w:rPr>
            </w:pPr>
            <w:r w:rsidRPr="0025108B">
              <w:rPr>
                <w:rFonts w:ascii="Times New Roman" w:hAnsi="Times New Roman"/>
                <w:b/>
                <w:bCs/>
                <w:sz w:val="20"/>
                <w:szCs w:val="20"/>
              </w:rPr>
              <w:t>100.0</w:t>
            </w:r>
          </w:p>
        </w:tc>
        <w:tc>
          <w:tcPr>
            <w:tcW w:w="0" w:type="auto"/>
            <w:tcBorders>
              <w:top w:val="single" w:sz="4" w:space="0" w:color="7F7F7F"/>
            </w:tcBorders>
            <w:hideMark/>
          </w:tcPr>
          <w:p w14:paraId="5D075221" w14:textId="77777777" w:rsidR="00537995" w:rsidRPr="0025108B" w:rsidRDefault="00537995" w:rsidP="00F33A8E">
            <w:pPr>
              <w:jc w:val="both"/>
              <w:rPr>
                <w:rFonts w:ascii="Times New Roman" w:hAnsi="Times New Roman"/>
                <w:b/>
                <w:bCs/>
                <w:sz w:val="20"/>
                <w:szCs w:val="20"/>
              </w:rPr>
            </w:pPr>
            <w:r w:rsidRPr="0025108B">
              <w:rPr>
                <w:rFonts w:ascii="Times New Roman" w:hAnsi="Times New Roman"/>
                <w:b/>
                <w:bCs/>
                <w:sz w:val="20"/>
                <w:szCs w:val="20"/>
              </w:rPr>
              <w:t>100.0</w:t>
            </w:r>
          </w:p>
        </w:tc>
        <w:tc>
          <w:tcPr>
            <w:tcW w:w="0" w:type="auto"/>
            <w:tcBorders>
              <w:top w:val="single" w:sz="4" w:space="0" w:color="7F7F7F"/>
            </w:tcBorders>
            <w:hideMark/>
          </w:tcPr>
          <w:p w14:paraId="7CE69A05" w14:textId="77777777" w:rsidR="00537995" w:rsidRPr="0025108B" w:rsidRDefault="00537995" w:rsidP="00F33A8E">
            <w:pPr>
              <w:jc w:val="both"/>
              <w:rPr>
                <w:rFonts w:ascii="Times New Roman" w:hAnsi="Times New Roman"/>
                <w:b/>
                <w:bCs/>
                <w:sz w:val="20"/>
                <w:szCs w:val="20"/>
              </w:rPr>
            </w:pPr>
            <w:r w:rsidRPr="0025108B">
              <w:rPr>
                <w:rFonts w:ascii="Times New Roman" w:hAnsi="Times New Roman"/>
                <w:b/>
                <w:bCs/>
                <w:sz w:val="20"/>
                <w:szCs w:val="20"/>
              </w:rPr>
              <w:t>100.0</w:t>
            </w:r>
          </w:p>
        </w:tc>
      </w:tr>
    </w:tbl>
    <w:p w14:paraId="3010DE35" w14:textId="77777777" w:rsidR="006461F0" w:rsidRPr="0076417B" w:rsidRDefault="005823E6" w:rsidP="00675B35">
      <w:pPr>
        <w:jc w:val="both"/>
        <w:rPr>
          <w:rFonts w:ascii="Times New Roman" w:hAnsi="Times New Roman"/>
        </w:rPr>
      </w:pPr>
      <w:r w:rsidRPr="0025108B">
        <w:rPr>
          <w:rFonts w:ascii="Times New Roman" w:hAnsi="Times New Roman"/>
        </w:rPr>
        <w:t>Source: Author’s Fieldwork, 202</w:t>
      </w:r>
      <w:r w:rsidR="00B36CA2">
        <w:rPr>
          <w:rFonts w:ascii="Times New Roman" w:hAnsi="Times New Roman"/>
        </w:rPr>
        <w:t>4</w:t>
      </w:r>
    </w:p>
    <w:p w14:paraId="12295419" w14:textId="77777777" w:rsidR="00537995" w:rsidRPr="0025108B" w:rsidRDefault="005823E6" w:rsidP="00675B35">
      <w:pPr>
        <w:jc w:val="both"/>
        <w:rPr>
          <w:rFonts w:ascii="Times New Roman" w:hAnsi="Times New Roman"/>
          <w:b/>
          <w:bCs/>
        </w:rPr>
      </w:pPr>
      <w:r w:rsidRPr="0025108B">
        <w:rPr>
          <w:rFonts w:ascii="Times New Roman" w:hAnsi="Times New Roman"/>
          <w:b/>
          <w:bCs/>
        </w:rPr>
        <w:t xml:space="preserve">3.3 </w:t>
      </w:r>
      <w:r w:rsidR="00737E20" w:rsidRPr="0025108B">
        <w:rPr>
          <w:rFonts w:ascii="Times New Roman" w:hAnsi="Times New Roman"/>
          <w:b/>
          <w:bCs/>
        </w:rPr>
        <w:t>Reasons</w:t>
      </w:r>
      <w:r w:rsidR="002B59F3" w:rsidRPr="0025108B">
        <w:rPr>
          <w:rFonts w:ascii="Times New Roman" w:hAnsi="Times New Roman"/>
          <w:b/>
          <w:bCs/>
        </w:rPr>
        <w:t xml:space="preserve"> for Gender Division in Water Collection</w:t>
      </w:r>
    </w:p>
    <w:p w14:paraId="568C0970" w14:textId="77777777" w:rsidR="005823E6" w:rsidRPr="0025108B" w:rsidRDefault="005823E6" w:rsidP="005823E6">
      <w:pPr>
        <w:jc w:val="both"/>
        <w:rPr>
          <w:rFonts w:ascii="Times New Roman" w:hAnsi="Times New Roman"/>
        </w:rPr>
      </w:pPr>
      <w:r w:rsidRPr="0025108B">
        <w:rPr>
          <w:rFonts w:ascii="Times New Roman" w:hAnsi="Times New Roman"/>
        </w:rPr>
        <w:t>Among respondents who acknowledged gender roles, explanations fall into two broad categories: cultural assignment and physical or practical justification.</w:t>
      </w:r>
    </w:p>
    <w:p w14:paraId="5552FD08" w14:textId="77777777" w:rsidR="005823E6" w:rsidRPr="0025108B" w:rsidRDefault="005823E6" w:rsidP="005823E6">
      <w:pPr>
        <w:jc w:val="both"/>
        <w:rPr>
          <w:rFonts w:ascii="Times New Roman" w:hAnsi="Times New Roman"/>
        </w:rPr>
      </w:pPr>
      <w:r w:rsidRPr="0025108B">
        <w:rPr>
          <w:rFonts w:ascii="Times New Roman" w:hAnsi="Times New Roman"/>
        </w:rPr>
        <w:t xml:space="preserve">The most frequently cited reason overall is that water fetching is women’s household responsibility (20.2% average). This response is especially visible in </w:t>
      </w:r>
      <w:proofErr w:type="spellStart"/>
      <w:r w:rsidRPr="0025108B">
        <w:rPr>
          <w:rFonts w:ascii="Times New Roman" w:hAnsi="Times New Roman"/>
        </w:rPr>
        <w:t>Ogbia</w:t>
      </w:r>
      <w:proofErr w:type="spellEnd"/>
      <w:r w:rsidRPr="0025108B">
        <w:rPr>
          <w:rFonts w:ascii="Times New Roman" w:hAnsi="Times New Roman"/>
        </w:rPr>
        <w:t xml:space="preserve">, </w:t>
      </w:r>
      <w:proofErr w:type="spellStart"/>
      <w:r w:rsidRPr="0025108B">
        <w:rPr>
          <w:rFonts w:ascii="Times New Roman" w:hAnsi="Times New Roman"/>
        </w:rPr>
        <w:t>Oporoma</w:t>
      </w:r>
      <w:proofErr w:type="spellEnd"/>
      <w:r w:rsidRPr="0025108B">
        <w:rPr>
          <w:rFonts w:ascii="Times New Roman" w:hAnsi="Times New Roman"/>
        </w:rPr>
        <w:t xml:space="preserve">, and </w:t>
      </w:r>
      <w:proofErr w:type="spellStart"/>
      <w:r w:rsidRPr="0025108B">
        <w:rPr>
          <w:rFonts w:ascii="Times New Roman" w:hAnsi="Times New Roman"/>
        </w:rPr>
        <w:t>Sagbama</w:t>
      </w:r>
      <w:proofErr w:type="spellEnd"/>
      <w:r w:rsidRPr="0025108B">
        <w:rPr>
          <w:rFonts w:ascii="Times New Roman" w:hAnsi="Times New Roman"/>
        </w:rPr>
        <w:t xml:space="preserve"> (33.3% each). This reflects a normative understanding of domestic labour where water collection is embedded within women’s traditional duties. Physical explanations follow closely.</w:t>
      </w:r>
      <w:r w:rsidR="00737E20" w:rsidRPr="0025108B">
        <w:rPr>
          <w:rFonts w:ascii="Times New Roman" w:hAnsi="Times New Roman"/>
        </w:rPr>
        <w:t xml:space="preserve"> For example, 19.0% of respondents mentioned</w:t>
      </w:r>
      <w:r w:rsidRPr="0025108B">
        <w:rPr>
          <w:rFonts w:ascii="Times New Roman" w:hAnsi="Times New Roman"/>
        </w:rPr>
        <w:t xml:space="preserve"> </w:t>
      </w:r>
      <w:r w:rsidR="00737E20" w:rsidRPr="0025108B">
        <w:rPr>
          <w:rFonts w:ascii="Times New Roman" w:hAnsi="Times New Roman"/>
        </w:rPr>
        <w:t>the p</w:t>
      </w:r>
      <w:r w:rsidRPr="0025108B">
        <w:rPr>
          <w:rFonts w:ascii="Times New Roman" w:hAnsi="Times New Roman"/>
        </w:rPr>
        <w:t xml:space="preserve">hysical stress or difficulty for females </w:t>
      </w:r>
      <w:r w:rsidR="00737E20" w:rsidRPr="0025108B">
        <w:rPr>
          <w:rFonts w:ascii="Times New Roman" w:hAnsi="Times New Roman"/>
        </w:rPr>
        <w:t>and</w:t>
      </w:r>
      <w:r w:rsidR="00883382" w:rsidRPr="0025108B">
        <w:rPr>
          <w:rFonts w:ascii="Times New Roman" w:hAnsi="Times New Roman"/>
        </w:rPr>
        <w:t xml:space="preserve"> by implication men or the male child should be saddled with such responsibility</w:t>
      </w:r>
      <w:r w:rsidRPr="0025108B">
        <w:rPr>
          <w:rFonts w:ascii="Times New Roman" w:hAnsi="Times New Roman"/>
        </w:rPr>
        <w:t xml:space="preserve">, while </w:t>
      </w:r>
      <w:r w:rsidR="00737E20" w:rsidRPr="0025108B">
        <w:rPr>
          <w:rFonts w:ascii="Times New Roman" w:hAnsi="Times New Roman"/>
        </w:rPr>
        <w:t xml:space="preserve">in contrast, </w:t>
      </w:r>
      <w:r w:rsidRPr="0025108B">
        <w:rPr>
          <w:rFonts w:ascii="Times New Roman" w:hAnsi="Times New Roman"/>
        </w:rPr>
        <w:t>10.3% attribute</w:t>
      </w:r>
      <w:r w:rsidR="00737E20" w:rsidRPr="0025108B">
        <w:rPr>
          <w:rFonts w:ascii="Times New Roman" w:hAnsi="Times New Roman"/>
        </w:rPr>
        <w:t>d</w:t>
      </w:r>
      <w:r w:rsidRPr="0025108B">
        <w:rPr>
          <w:rFonts w:ascii="Times New Roman" w:hAnsi="Times New Roman"/>
        </w:rPr>
        <w:t xml:space="preserve"> roles to women’s physical build. In </w:t>
      </w:r>
      <w:proofErr w:type="spellStart"/>
      <w:r w:rsidRPr="0025108B">
        <w:rPr>
          <w:rFonts w:ascii="Times New Roman" w:hAnsi="Times New Roman"/>
        </w:rPr>
        <w:t>Oporoma</w:t>
      </w:r>
      <w:proofErr w:type="spellEnd"/>
      <w:r w:rsidRPr="0025108B">
        <w:rPr>
          <w:rFonts w:ascii="Times New Roman" w:hAnsi="Times New Roman"/>
        </w:rPr>
        <w:t xml:space="preserve">, 33.4% cited physical build, and in </w:t>
      </w:r>
      <w:proofErr w:type="spellStart"/>
      <w:r w:rsidRPr="0025108B">
        <w:rPr>
          <w:rFonts w:ascii="Times New Roman" w:hAnsi="Times New Roman"/>
        </w:rPr>
        <w:t>Nembe</w:t>
      </w:r>
      <w:proofErr w:type="spellEnd"/>
      <w:r w:rsidRPr="0025108B">
        <w:rPr>
          <w:rFonts w:ascii="Times New Roman" w:hAnsi="Times New Roman"/>
        </w:rPr>
        <w:t xml:space="preserve">, 33.3% referenced physical difficulty. These responses show that some households frame gender division through </w:t>
      </w:r>
      <w:r w:rsidR="00883382" w:rsidRPr="0025108B">
        <w:rPr>
          <w:rFonts w:ascii="Times New Roman" w:hAnsi="Times New Roman"/>
        </w:rPr>
        <w:t xml:space="preserve">physical justification </w:t>
      </w:r>
      <w:r w:rsidRPr="0025108B">
        <w:rPr>
          <w:rFonts w:ascii="Times New Roman" w:hAnsi="Times New Roman"/>
        </w:rPr>
        <w:t>rather than social norms.</w:t>
      </w:r>
    </w:p>
    <w:p w14:paraId="6BC1F299" w14:textId="77777777" w:rsidR="005823E6" w:rsidRPr="0025108B" w:rsidRDefault="005823E6" w:rsidP="005823E6">
      <w:pPr>
        <w:jc w:val="both"/>
        <w:rPr>
          <w:rFonts w:ascii="Times New Roman" w:hAnsi="Times New Roman"/>
        </w:rPr>
      </w:pPr>
      <w:r w:rsidRPr="0025108B">
        <w:rPr>
          <w:rFonts w:ascii="Times New Roman" w:hAnsi="Times New Roman"/>
        </w:rPr>
        <w:t xml:space="preserve">Another notable pattern relates to opportunity cost. Limits on girls’ education, work, and free time average 15.7%, with particularly high responses in Brass (60%) and </w:t>
      </w:r>
      <w:proofErr w:type="spellStart"/>
      <w:r w:rsidRPr="0025108B">
        <w:rPr>
          <w:rFonts w:ascii="Times New Roman" w:hAnsi="Times New Roman"/>
        </w:rPr>
        <w:t>Nembe</w:t>
      </w:r>
      <w:proofErr w:type="spellEnd"/>
      <w:r w:rsidRPr="0025108B">
        <w:rPr>
          <w:rFonts w:ascii="Times New Roman" w:hAnsi="Times New Roman"/>
        </w:rPr>
        <w:t xml:space="preserve"> (33.3%). Time-consuming nature of water collection averages 15.5%, with stronger expression in Yenagoa (27.2%). These responses shift the discussion from justification to consequence, indicating awareness that gendered labour can restrict educational and economic participation. In </w:t>
      </w:r>
      <w:proofErr w:type="spellStart"/>
      <w:r w:rsidRPr="0025108B">
        <w:rPr>
          <w:rFonts w:ascii="Times New Roman" w:hAnsi="Times New Roman"/>
        </w:rPr>
        <w:t>Ogbia</w:t>
      </w:r>
      <w:proofErr w:type="spellEnd"/>
      <w:r w:rsidRPr="0025108B">
        <w:rPr>
          <w:rFonts w:ascii="Times New Roman" w:hAnsi="Times New Roman"/>
        </w:rPr>
        <w:t>, 66.7% selected “men are stronger or better suited,” which stands out sharply compared to other LGAs. This suggests a localised belief structure where physical strength is used to rationalise division of labour.</w:t>
      </w:r>
    </w:p>
    <w:p w14:paraId="0A84B77E" w14:textId="77777777" w:rsidR="00675B35" w:rsidRPr="0076417B" w:rsidRDefault="00675B35" w:rsidP="00675B35">
      <w:pPr>
        <w:jc w:val="both"/>
        <w:rPr>
          <w:rFonts w:ascii="Times New Roman" w:hAnsi="Times New Roman"/>
        </w:rPr>
      </w:pPr>
      <w:r w:rsidRPr="0076417B">
        <w:rPr>
          <w:rFonts w:ascii="Times New Roman" w:hAnsi="Times New Roman"/>
        </w:rPr>
        <w:t xml:space="preserve">Table </w:t>
      </w:r>
      <w:r w:rsidR="005823E6" w:rsidRPr="0076417B">
        <w:rPr>
          <w:rFonts w:ascii="Times New Roman" w:hAnsi="Times New Roman"/>
        </w:rPr>
        <w:t>3</w:t>
      </w:r>
      <w:r w:rsidRPr="0076417B">
        <w:rPr>
          <w:rFonts w:ascii="Times New Roman" w:hAnsi="Times New Roman"/>
        </w:rPr>
        <w:t xml:space="preserve">: </w:t>
      </w:r>
      <w:r w:rsidR="002B59F3" w:rsidRPr="0076417B">
        <w:rPr>
          <w:rFonts w:ascii="Times New Roman" w:hAnsi="Times New Roman"/>
        </w:rPr>
        <w:t xml:space="preserve">Household </w:t>
      </w:r>
      <w:r w:rsidR="00737E20" w:rsidRPr="0076417B">
        <w:rPr>
          <w:rFonts w:ascii="Times New Roman" w:hAnsi="Times New Roman"/>
        </w:rPr>
        <w:t xml:space="preserve">Reasons </w:t>
      </w:r>
      <w:r w:rsidR="002B59F3" w:rsidRPr="0076417B">
        <w:rPr>
          <w:rFonts w:ascii="Times New Roman" w:hAnsi="Times New Roman"/>
        </w:rPr>
        <w:t>for Gender Division in Water Collection</w:t>
      </w:r>
    </w:p>
    <w:tbl>
      <w:tblPr>
        <w:tblW w:w="9942" w:type="dxa"/>
        <w:tblBorders>
          <w:top w:val="single" w:sz="4" w:space="0" w:color="7F7F7F"/>
          <w:bottom w:val="single" w:sz="4" w:space="0" w:color="7F7F7F"/>
        </w:tblBorders>
        <w:tblLook w:val="0660" w:firstRow="1" w:lastRow="1" w:firstColumn="0" w:lastColumn="0" w:noHBand="1" w:noVBand="1"/>
      </w:tblPr>
      <w:tblGrid>
        <w:gridCol w:w="1828"/>
        <w:gridCol w:w="694"/>
        <w:gridCol w:w="1079"/>
        <w:gridCol w:w="894"/>
        <w:gridCol w:w="816"/>
        <w:gridCol w:w="739"/>
        <w:gridCol w:w="1035"/>
        <w:gridCol w:w="1006"/>
        <w:gridCol w:w="939"/>
        <w:gridCol w:w="912"/>
      </w:tblGrid>
      <w:tr w:rsidR="005823E6" w:rsidRPr="0025108B" w14:paraId="2BA31AD3" w14:textId="77777777" w:rsidTr="00F33A8E">
        <w:trPr>
          <w:trHeight w:val="458"/>
        </w:trPr>
        <w:tc>
          <w:tcPr>
            <w:tcW w:w="0" w:type="auto"/>
            <w:tcBorders>
              <w:bottom w:val="single" w:sz="4" w:space="0" w:color="7F7F7F"/>
            </w:tcBorders>
            <w:hideMark/>
          </w:tcPr>
          <w:p w14:paraId="2080236F" w14:textId="77777777" w:rsidR="005823E6" w:rsidRPr="0025108B" w:rsidRDefault="005823E6" w:rsidP="00F33A8E">
            <w:pPr>
              <w:spacing w:after="0" w:line="240" w:lineRule="auto"/>
              <w:jc w:val="both"/>
              <w:rPr>
                <w:rFonts w:ascii="Times New Roman" w:hAnsi="Times New Roman"/>
                <w:b/>
                <w:bCs/>
                <w:sz w:val="20"/>
                <w:szCs w:val="20"/>
              </w:rPr>
            </w:pPr>
            <w:r w:rsidRPr="0025108B">
              <w:rPr>
                <w:rFonts w:ascii="Times New Roman" w:hAnsi="Times New Roman"/>
                <w:b/>
                <w:bCs/>
                <w:sz w:val="20"/>
                <w:szCs w:val="20"/>
              </w:rPr>
              <w:t>Reason</w:t>
            </w:r>
          </w:p>
        </w:tc>
        <w:tc>
          <w:tcPr>
            <w:tcW w:w="0" w:type="auto"/>
            <w:tcBorders>
              <w:bottom w:val="single" w:sz="4" w:space="0" w:color="7F7F7F"/>
            </w:tcBorders>
            <w:hideMark/>
          </w:tcPr>
          <w:p w14:paraId="6EDC17D0" w14:textId="77777777" w:rsidR="005823E6" w:rsidRPr="0025108B" w:rsidRDefault="005823E6" w:rsidP="00F33A8E">
            <w:pPr>
              <w:spacing w:after="0" w:line="240" w:lineRule="auto"/>
              <w:jc w:val="center"/>
              <w:rPr>
                <w:rFonts w:ascii="Times New Roman" w:hAnsi="Times New Roman"/>
                <w:b/>
                <w:bCs/>
                <w:sz w:val="20"/>
                <w:szCs w:val="20"/>
              </w:rPr>
            </w:pPr>
            <w:r w:rsidRPr="0025108B">
              <w:rPr>
                <w:rFonts w:ascii="Times New Roman" w:hAnsi="Times New Roman"/>
                <w:b/>
                <w:bCs/>
                <w:sz w:val="20"/>
                <w:szCs w:val="20"/>
              </w:rPr>
              <w:t>Brass</w:t>
            </w:r>
          </w:p>
        </w:tc>
        <w:tc>
          <w:tcPr>
            <w:tcW w:w="0" w:type="auto"/>
            <w:tcBorders>
              <w:bottom w:val="single" w:sz="4" w:space="0" w:color="7F7F7F"/>
            </w:tcBorders>
            <w:hideMark/>
          </w:tcPr>
          <w:p w14:paraId="0C8A7323" w14:textId="77777777" w:rsidR="005823E6" w:rsidRPr="0025108B" w:rsidRDefault="005823E6" w:rsidP="00F33A8E">
            <w:pPr>
              <w:spacing w:after="0" w:line="240" w:lineRule="auto"/>
              <w:jc w:val="center"/>
              <w:rPr>
                <w:rFonts w:ascii="Times New Roman" w:hAnsi="Times New Roman"/>
                <w:b/>
                <w:bCs/>
                <w:sz w:val="20"/>
                <w:szCs w:val="20"/>
              </w:rPr>
            </w:pPr>
            <w:proofErr w:type="spellStart"/>
            <w:r w:rsidRPr="0025108B">
              <w:rPr>
                <w:rFonts w:ascii="Times New Roman" w:hAnsi="Times New Roman"/>
                <w:b/>
                <w:bCs/>
                <w:sz w:val="20"/>
                <w:szCs w:val="20"/>
              </w:rPr>
              <w:t>Ekeremor</w:t>
            </w:r>
            <w:proofErr w:type="spellEnd"/>
          </w:p>
        </w:tc>
        <w:tc>
          <w:tcPr>
            <w:tcW w:w="0" w:type="auto"/>
            <w:tcBorders>
              <w:bottom w:val="single" w:sz="4" w:space="0" w:color="7F7F7F"/>
            </w:tcBorders>
            <w:hideMark/>
          </w:tcPr>
          <w:p w14:paraId="366FC0D6" w14:textId="77777777" w:rsidR="005823E6" w:rsidRPr="0025108B" w:rsidRDefault="005823E6" w:rsidP="00F33A8E">
            <w:pPr>
              <w:spacing w:after="0" w:line="240" w:lineRule="auto"/>
              <w:jc w:val="center"/>
              <w:rPr>
                <w:rFonts w:ascii="Times New Roman" w:hAnsi="Times New Roman"/>
                <w:b/>
                <w:bCs/>
                <w:sz w:val="20"/>
                <w:szCs w:val="20"/>
              </w:rPr>
            </w:pPr>
            <w:r w:rsidRPr="0025108B">
              <w:rPr>
                <w:rFonts w:ascii="Times New Roman" w:hAnsi="Times New Roman"/>
                <w:b/>
                <w:bCs/>
                <w:sz w:val="20"/>
                <w:szCs w:val="20"/>
              </w:rPr>
              <w:t>Kaiama</w:t>
            </w:r>
          </w:p>
        </w:tc>
        <w:tc>
          <w:tcPr>
            <w:tcW w:w="0" w:type="auto"/>
            <w:tcBorders>
              <w:bottom w:val="single" w:sz="4" w:space="0" w:color="7F7F7F"/>
            </w:tcBorders>
            <w:hideMark/>
          </w:tcPr>
          <w:p w14:paraId="78459147" w14:textId="77777777" w:rsidR="005823E6" w:rsidRPr="0025108B" w:rsidRDefault="005823E6" w:rsidP="00F33A8E">
            <w:pPr>
              <w:spacing w:after="0" w:line="240" w:lineRule="auto"/>
              <w:jc w:val="center"/>
              <w:rPr>
                <w:rFonts w:ascii="Times New Roman" w:hAnsi="Times New Roman"/>
                <w:b/>
                <w:bCs/>
                <w:sz w:val="20"/>
                <w:szCs w:val="20"/>
              </w:rPr>
            </w:pPr>
            <w:proofErr w:type="spellStart"/>
            <w:r w:rsidRPr="0025108B">
              <w:rPr>
                <w:rFonts w:ascii="Times New Roman" w:hAnsi="Times New Roman"/>
                <w:b/>
                <w:bCs/>
                <w:sz w:val="20"/>
                <w:szCs w:val="20"/>
              </w:rPr>
              <w:t>Nembe</w:t>
            </w:r>
            <w:proofErr w:type="spellEnd"/>
          </w:p>
        </w:tc>
        <w:tc>
          <w:tcPr>
            <w:tcW w:w="0" w:type="auto"/>
            <w:tcBorders>
              <w:bottom w:val="single" w:sz="4" w:space="0" w:color="7F7F7F"/>
            </w:tcBorders>
            <w:hideMark/>
          </w:tcPr>
          <w:p w14:paraId="1FE35232" w14:textId="77777777" w:rsidR="005823E6" w:rsidRPr="0025108B" w:rsidRDefault="005823E6" w:rsidP="00F33A8E">
            <w:pPr>
              <w:spacing w:after="0" w:line="240" w:lineRule="auto"/>
              <w:jc w:val="center"/>
              <w:rPr>
                <w:rFonts w:ascii="Times New Roman" w:hAnsi="Times New Roman"/>
                <w:b/>
                <w:bCs/>
                <w:sz w:val="20"/>
                <w:szCs w:val="20"/>
              </w:rPr>
            </w:pPr>
            <w:proofErr w:type="spellStart"/>
            <w:r w:rsidRPr="0025108B">
              <w:rPr>
                <w:rFonts w:ascii="Times New Roman" w:hAnsi="Times New Roman"/>
                <w:b/>
                <w:bCs/>
                <w:sz w:val="20"/>
                <w:szCs w:val="20"/>
              </w:rPr>
              <w:t>Ogbia</w:t>
            </w:r>
            <w:proofErr w:type="spellEnd"/>
          </w:p>
        </w:tc>
        <w:tc>
          <w:tcPr>
            <w:tcW w:w="0" w:type="auto"/>
            <w:tcBorders>
              <w:bottom w:val="single" w:sz="4" w:space="0" w:color="7F7F7F"/>
            </w:tcBorders>
            <w:hideMark/>
          </w:tcPr>
          <w:p w14:paraId="6ED51650" w14:textId="77777777" w:rsidR="005823E6" w:rsidRPr="0025108B" w:rsidRDefault="005823E6" w:rsidP="00F33A8E">
            <w:pPr>
              <w:spacing w:after="0" w:line="240" w:lineRule="auto"/>
              <w:jc w:val="center"/>
              <w:rPr>
                <w:rFonts w:ascii="Times New Roman" w:hAnsi="Times New Roman"/>
                <w:b/>
                <w:bCs/>
                <w:sz w:val="20"/>
                <w:szCs w:val="20"/>
              </w:rPr>
            </w:pPr>
            <w:proofErr w:type="spellStart"/>
            <w:r w:rsidRPr="0025108B">
              <w:rPr>
                <w:rFonts w:ascii="Times New Roman" w:hAnsi="Times New Roman"/>
                <w:b/>
                <w:bCs/>
                <w:sz w:val="20"/>
                <w:szCs w:val="20"/>
              </w:rPr>
              <w:t>Oporoma</w:t>
            </w:r>
            <w:proofErr w:type="spellEnd"/>
          </w:p>
        </w:tc>
        <w:tc>
          <w:tcPr>
            <w:tcW w:w="0" w:type="auto"/>
            <w:tcBorders>
              <w:bottom w:val="single" w:sz="4" w:space="0" w:color="7F7F7F"/>
            </w:tcBorders>
            <w:hideMark/>
          </w:tcPr>
          <w:p w14:paraId="7FC5E635" w14:textId="77777777" w:rsidR="005823E6" w:rsidRPr="0025108B" w:rsidRDefault="005823E6" w:rsidP="00F33A8E">
            <w:pPr>
              <w:spacing w:after="0" w:line="240" w:lineRule="auto"/>
              <w:jc w:val="center"/>
              <w:rPr>
                <w:rFonts w:ascii="Times New Roman" w:hAnsi="Times New Roman"/>
                <w:b/>
                <w:bCs/>
                <w:sz w:val="20"/>
                <w:szCs w:val="20"/>
              </w:rPr>
            </w:pPr>
            <w:proofErr w:type="spellStart"/>
            <w:r w:rsidRPr="0025108B">
              <w:rPr>
                <w:rFonts w:ascii="Times New Roman" w:hAnsi="Times New Roman"/>
                <w:b/>
                <w:bCs/>
                <w:sz w:val="20"/>
                <w:szCs w:val="20"/>
              </w:rPr>
              <w:t>Sagbama</w:t>
            </w:r>
            <w:proofErr w:type="spellEnd"/>
          </w:p>
        </w:tc>
        <w:tc>
          <w:tcPr>
            <w:tcW w:w="0" w:type="auto"/>
            <w:tcBorders>
              <w:bottom w:val="single" w:sz="4" w:space="0" w:color="7F7F7F"/>
            </w:tcBorders>
            <w:hideMark/>
          </w:tcPr>
          <w:p w14:paraId="661D75B7" w14:textId="77777777" w:rsidR="005823E6" w:rsidRPr="0025108B" w:rsidRDefault="005823E6" w:rsidP="00F33A8E">
            <w:pPr>
              <w:spacing w:after="0" w:line="240" w:lineRule="auto"/>
              <w:jc w:val="center"/>
              <w:rPr>
                <w:rFonts w:ascii="Times New Roman" w:hAnsi="Times New Roman"/>
                <w:b/>
                <w:bCs/>
                <w:sz w:val="20"/>
                <w:szCs w:val="20"/>
              </w:rPr>
            </w:pPr>
            <w:r w:rsidRPr="0025108B">
              <w:rPr>
                <w:rFonts w:ascii="Times New Roman" w:hAnsi="Times New Roman"/>
                <w:b/>
                <w:bCs/>
                <w:sz w:val="20"/>
                <w:szCs w:val="20"/>
              </w:rPr>
              <w:t>Yenagoa</w:t>
            </w:r>
          </w:p>
        </w:tc>
        <w:tc>
          <w:tcPr>
            <w:tcW w:w="0" w:type="auto"/>
            <w:tcBorders>
              <w:bottom w:val="single" w:sz="4" w:space="0" w:color="7F7F7F"/>
            </w:tcBorders>
            <w:hideMark/>
          </w:tcPr>
          <w:p w14:paraId="1339CE11" w14:textId="77777777" w:rsidR="005823E6" w:rsidRPr="0025108B" w:rsidRDefault="005823E6" w:rsidP="00F33A8E">
            <w:pPr>
              <w:spacing w:after="0" w:line="240" w:lineRule="auto"/>
              <w:jc w:val="center"/>
              <w:rPr>
                <w:rFonts w:ascii="Times New Roman" w:hAnsi="Times New Roman"/>
                <w:b/>
                <w:bCs/>
                <w:sz w:val="20"/>
                <w:szCs w:val="20"/>
              </w:rPr>
            </w:pPr>
            <w:r w:rsidRPr="0025108B">
              <w:rPr>
                <w:rFonts w:ascii="Times New Roman" w:hAnsi="Times New Roman"/>
                <w:b/>
                <w:bCs/>
                <w:sz w:val="20"/>
                <w:szCs w:val="20"/>
              </w:rPr>
              <w:t>Average</w:t>
            </w:r>
          </w:p>
        </w:tc>
      </w:tr>
      <w:tr w:rsidR="005823E6" w:rsidRPr="0025108B" w14:paraId="5A706495" w14:textId="77777777" w:rsidTr="00F33A8E">
        <w:trPr>
          <w:trHeight w:val="704"/>
        </w:trPr>
        <w:tc>
          <w:tcPr>
            <w:tcW w:w="0" w:type="auto"/>
            <w:hideMark/>
          </w:tcPr>
          <w:p w14:paraId="2B48D06B" w14:textId="77777777" w:rsidR="005823E6" w:rsidRPr="0025108B" w:rsidRDefault="005823E6" w:rsidP="00F33A8E">
            <w:pPr>
              <w:spacing w:after="0" w:line="240" w:lineRule="auto"/>
              <w:rPr>
                <w:rFonts w:ascii="Times New Roman" w:hAnsi="Times New Roman"/>
                <w:sz w:val="20"/>
                <w:szCs w:val="20"/>
              </w:rPr>
            </w:pPr>
            <w:r w:rsidRPr="0025108B">
              <w:rPr>
                <w:rFonts w:ascii="Times New Roman" w:hAnsi="Times New Roman"/>
                <w:sz w:val="20"/>
                <w:szCs w:val="20"/>
              </w:rPr>
              <w:t>Limits girls’ education, work and free time</w:t>
            </w:r>
          </w:p>
        </w:tc>
        <w:tc>
          <w:tcPr>
            <w:tcW w:w="0" w:type="auto"/>
            <w:hideMark/>
          </w:tcPr>
          <w:p w14:paraId="23706274"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60.0</w:t>
            </w:r>
          </w:p>
        </w:tc>
        <w:tc>
          <w:tcPr>
            <w:tcW w:w="0" w:type="auto"/>
            <w:hideMark/>
          </w:tcPr>
          <w:p w14:paraId="297DBDDB" w14:textId="77777777" w:rsidR="005823E6" w:rsidRPr="0025108B" w:rsidRDefault="00F42594" w:rsidP="00F33A8E">
            <w:pPr>
              <w:spacing w:after="0" w:line="240" w:lineRule="auto"/>
              <w:jc w:val="center"/>
              <w:rPr>
                <w:rFonts w:ascii="Times New Roman" w:hAnsi="Times New Roman"/>
                <w:sz w:val="20"/>
                <w:szCs w:val="20"/>
              </w:rPr>
            </w:pPr>
            <w:r w:rsidRPr="0025108B">
              <w:rPr>
                <w:rFonts w:ascii="Times New Roman" w:hAnsi="Times New Roman"/>
                <w:sz w:val="20"/>
                <w:szCs w:val="20"/>
              </w:rPr>
              <w:t>-</w:t>
            </w:r>
          </w:p>
        </w:tc>
        <w:tc>
          <w:tcPr>
            <w:tcW w:w="0" w:type="auto"/>
            <w:hideMark/>
          </w:tcPr>
          <w:p w14:paraId="57E9397F"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14.3</w:t>
            </w:r>
          </w:p>
        </w:tc>
        <w:tc>
          <w:tcPr>
            <w:tcW w:w="0" w:type="auto"/>
            <w:hideMark/>
          </w:tcPr>
          <w:p w14:paraId="294FAD28"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33.3</w:t>
            </w:r>
          </w:p>
        </w:tc>
        <w:tc>
          <w:tcPr>
            <w:tcW w:w="0" w:type="auto"/>
            <w:hideMark/>
          </w:tcPr>
          <w:p w14:paraId="70B2A036" w14:textId="77777777" w:rsidR="005823E6" w:rsidRPr="0025108B" w:rsidRDefault="00F42594" w:rsidP="00F33A8E">
            <w:pPr>
              <w:spacing w:after="0" w:line="240" w:lineRule="auto"/>
              <w:jc w:val="center"/>
              <w:rPr>
                <w:rFonts w:ascii="Times New Roman" w:hAnsi="Times New Roman"/>
                <w:sz w:val="20"/>
                <w:szCs w:val="20"/>
              </w:rPr>
            </w:pPr>
            <w:r w:rsidRPr="0025108B">
              <w:rPr>
                <w:rFonts w:ascii="Times New Roman" w:hAnsi="Times New Roman"/>
                <w:sz w:val="20"/>
                <w:szCs w:val="20"/>
              </w:rPr>
              <w:t>-</w:t>
            </w:r>
          </w:p>
        </w:tc>
        <w:tc>
          <w:tcPr>
            <w:tcW w:w="0" w:type="auto"/>
            <w:hideMark/>
          </w:tcPr>
          <w:p w14:paraId="0FB918CD" w14:textId="77777777" w:rsidR="005823E6" w:rsidRPr="0025108B" w:rsidRDefault="00F42594" w:rsidP="00F33A8E">
            <w:pPr>
              <w:spacing w:after="0" w:line="240" w:lineRule="auto"/>
              <w:jc w:val="center"/>
              <w:rPr>
                <w:rFonts w:ascii="Times New Roman" w:hAnsi="Times New Roman"/>
                <w:sz w:val="20"/>
                <w:szCs w:val="20"/>
              </w:rPr>
            </w:pPr>
            <w:r w:rsidRPr="0025108B">
              <w:rPr>
                <w:rFonts w:ascii="Times New Roman" w:hAnsi="Times New Roman"/>
                <w:sz w:val="20"/>
                <w:szCs w:val="20"/>
              </w:rPr>
              <w:t>-</w:t>
            </w:r>
          </w:p>
        </w:tc>
        <w:tc>
          <w:tcPr>
            <w:tcW w:w="0" w:type="auto"/>
            <w:hideMark/>
          </w:tcPr>
          <w:p w14:paraId="4AF93A94" w14:textId="77777777" w:rsidR="005823E6" w:rsidRPr="0025108B" w:rsidRDefault="00F42594" w:rsidP="00F33A8E">
            <w:pPr>
              <w:spacing w:after="0" w:line="240" w:lineRule="auto"/>
              <w:jc w:val="center"/>
              <w:rPr>
                <w:rFonts w:ascii="Times New Roman" w:hAnsi="Times New Roman"/>
                <w:sz w:val="20"/>
                <w:szCs w:val="20"/>
              </w:rPr>
            </w:pPr>
            <w:r w:rsidRPr="0025108B">
              <w:rPr>
                <w:rFonts w:ascii="Times New Roman" w:hAnsi="Times New Roman"/>
                <w:sz w:val="20"/>
                <w:szCs w:val="20"/>
              </w:rPr>
              <w:t>-</w:t>
            </w:r>
          </w:p>
        </w:tc>
        <w:tc>
          <w:tcPr>
            <w:tcW w:w="0" w:type="auto"/>
            <w:hideMark/>
          </w:tcPr>
          <w:p w14:paraId="56490BE4"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18.2</w:t>
            </w:r>
          </w:p>
        </w:tc>
        <w:tc>
          <w:tcPr>
            <w:tcW w:w="0" w:type="auto"/>
            <w:hideMark/>
          </w:tcPr>
          <w:p w14:paraId="4B5A18A6"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15.7</w:t>
            </w:r>
          </w:p>
        </w:tc>
      </w:tr>
      <w:tr w:rsidR="005823E6" w:rsidRPr="0025108B" w14:paraId="56240346" w14:textId="77777777" w:rsidTr="00F33A8E">
        <w:trPr>
          <w:trHeight w:val="693"/>
        </w:trPr>
        <w:tc>
          <w:tcPr>
            <w:tcW w:w="0" w:type="auto"/>
            <w:hideMark/>
          </w:tcPr>
          <w:p w14:paraId="24CF7E86" w14:textId="77777777" w:rsidR="005823E6" w:rsidRPr="0025108B" w:rsidRDefault="005823E6" w:rsidP="00F33A8E">
            <w:pPr>
              <w:spacing w:after="0" w:line="240" w:lineRule="auto"/>
              <w:rPr>
                <w:rFonts w:ascii="Times New Roman" w:hAnsi="Times New Roman"/>
                <w:sz w:val="20"/>
                <w:szCs w:val="20"/>
              </w:rPr>
            </w:pPr>
            <w:r w:rsidRPr="0025108B">
              <w:rPr>
                <w:rFonts w:ascii="Times New Roman" w:hAnsi="Times New Roman"/>
                <w:sz w:val="20"/>
                <w:szCs w:val="20"/>
              </w:rPr>
              <w:lastRenderedPageBreak/>
              <w:t>Time-consuming for females</w:t>
            </w:r>
          </w:p>
        </w:tc>
        <w:tc>
          <w:tcPr>
            <w:tcW w:w="0" w:type="auto"/>
            <w:hideMark/>
          </w:tcPr>
          <w:p w14:paraId="47359EB7"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40.0</w:t>
            </w:r>
          </w:p>
        </w:tc>
        <w:tc>
          <w:tcPr>
            <w:tcW w:w="0" w:type="auto"/>
            <w:hideMark/>
          </w:tcPr>
          <w:p w14:paraId="6F16A99F"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14.3</w:t>
            </w:r>
          </w:p>
        </w:tc>
        <w:tc>
          <w:tcPr>
            <w:tcW w:w="0" w:type="auto"/>
            <w:hideMark/>
          </w:tcPr>
          <w:p w14:paraId="53761C1E"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14.3</w:t>
            </w:r>
          </w:p>
        </w:tc>
        <w:tc>
          <w:tcPr>
            <w:tcW w:w="0" w:type="auto"/>
            <w:hideMark/>
          </w:tcPr>
          <w:p w14:paraId="75217F31"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16.7</w:t>
            </w:r>
          </w:p>
        </w:tc>
        <w:tc>
          <w:tcPr>
            <w:tcW w:w="0" w:type="auto"/>
            <w:hideMark/>
          </w:tcPr>
          <w:p w14:paraId="211961E8" w14:textId="77777777" w:rsidR="005823E6" w:rsidRPr="0025108B" w:rsidRDefault="00F42594" w:rsidP="00F33A8E">
            <w:pPr>
              <w:spacing w:after="0" w:line="240" w:lineRule="auto"/>
              <w:jc w:val="center"/>
              <w:rPr>
                <w:rFonts w:ascii="Times New Roman" w:hAnsi="Times New Roman"/>
                <w:sz w:val="20"/>
                <w:szCs w:val="20"/>
              </w:rPr>
            </w:pPr>
            <w:r w:rsidRPr="0025108B">
              <w:rPr>
                <w:rFonts w:ascii="Times New Roman" w:hAnsi="Times New Roman"/>
                <w:sz w:val="20"/>
                <w:szCs w:val="20"/>
              </w:rPr>
              <w:t>-</w:t>
            </w:r>
          </w:p>
        </w:tc>
        <w:tc>
          <w:tcPr>
            <w:tcW w:w="0" w:type="auto"/>
            <w:hideMark/>
          </w:tcPr>
          <w:p w14:paraId="65CDB25B" w14:textId="77777777" w:rsidR="005823E6" w:rsidRPr="0025108B" w:rsidRDefault="00F42594" w:rsidP="00F33A8E">
            <w:pPr>
              <w:spacing w:after="0" w:line="240" w:lineRule="auto"/>
              <w:jc w:val="center"/>
              <w:rPr>
                <w:rFonts w:ascii="Times New Roman" w:hAnsi="Times New Roman"/>
                <w:sz w:val="20"/>
                <w:szCs w:val="20"/>
              </w:rPr>
            </w:pPr>
            <w:r w:rsidRPr="0025108B">
              <w:rPr>
                <w:rFonts w:ascii="Times New Roman" w:hAnsi="Times New Roman"/>
                <w:sz w:val="20"/>
                <w:szCs w:val="20"/>
              </w:rPr>
              <w:t>-</w:t>
            </w:r>
          </w:p>
        </w:tc>
        <w:tc>
          <w:tcPr>
            <w:tcW w:w="0" w:type="auto"/>
            <w:hideMark/>
          </w:tcPr>
          <w:p w14:paraId="1F404C4A"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11.1</w:t>
            </w:r>
          </w:p>
        </w:tc>
        <w:tc>
          <w:tcPr>
            <w:tcW w:w="0" w:type="auto"/>
            <w:hideMark/>
          </w:tcPr>
          <w:p w14:paraId="00BB76B2"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27.2</w:t>
            </w:r>
          </w:p>
        </w:tc>
        <w:tc>
          <w:tcPr>
            <w:tcW w:w="0" w:type="auto"/>
            <w:hideMark/>
          </w:tcPr>
          <w:p w14:paraId="32C54CE7"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15.5</w:t>
            </w:r>
          </w:p>
        </w:tc>
      </w:tr>
      <w:tr w:rsidR="005823E6" w:rsidRPr="0025108B" w14:paraId="5AE92108" w14:textId="77777777" w:rsidTr="00F33A8E">
        <w:trPr>
          <w:trHeight w:val="927"/>
        </w:trPr>
        <w:tc>
          <w:tcPr>
            <w:tcW w:w="0" w:type="auto"/>
            <w:hideMark/>
          </w:tcPr>
          <w:p w14:paraId="3E9E731A" w14:textId="77777777" w:rsidR="005823E6" w:rsidRPr="0025108B" w:rsidRDefault="005823E6" w:rsidP="00F33A8E">
            <w:pPr>
              <w:spacing w:after="0" w:line="240" w:lineRule="auto"/>
              <w:rPr>
                <w:rFonts w:ascii="Times New Roman" w:hAnsi="Times New Roman"/>
                <w:sz w:val="20"/>
                <w:szCs w:val="20"/>
              </w:rPr>
            </w:pPr>
            <w:r w:rsidRPr="0025108B">
              <w:rPr>
                <w:rFonts w:ascii="Times New Roman" w:hAnsi="Times New Roman"/>
                <w:sz w:val="20"/>
                <w:szCs w:val="20"/>
              </w:rPr>
              <w:t>Water fetching is women’s household responsibility</w:t>
            </w:r>
          </w:p>
        </w:tc>
        <w:tc>
          <w:tcPr>
            <w:tcW w:w="0" w:type="auto"/>
            <w:hideMark/>
          </w:tcPr>
          <w:p w14:paraId="5FB2866F"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10.0</w:t>
            </w:r>
          </w:p>
        </w:tc>
        <w:tc>
          <w:tcPr>
            <w:tcW w:w="0" w:type="auto"/>
            <w:hideMark/>
          </w:tcPr>
          <w:p w14:paraId="5EDC2FEE"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28.5</w:t>
            </w:r>
          </w:p>
        </w:tc>
        <w:tc>
          <w:tcPr>
            <w:tcW w:w="0" w:type="auto"/>
            <w:hideMark/>
          </w:tcPr>
          <w:p w14:paraId="4027B4F9"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14.3</w:t>
            </w:r>
          </w:p>
        </w:tc>
        <w:tc>
          <w:tcPr>
            <w:tcW w:w="0" w:type="auto"/>
            <w:hideMark/>
          </w:tcPr>
          <w:p w14:paraId="4E56836E" w14:textId="77777777" w:rsidR="005823E6" w:rsidRPr="0025108B" w:rsidRDefault="00F42594" w:rsidP="00F33A8E">
            <w:pPr>
              <w:spacing w:after="0" w:line="240" w:lineRule="auto"/>
              <w:jc w:val="center"/>
              <w:rPr>
                <w:rFonts w:ascii="Times New Roman" w:hAnsi="Times New Roman"/>
                <w:sz w:val="20"/>
                <w:szCs w:val="20"/>
              </w:rPr>
            </w:pPr>
            <w:r w:rsidRPr="0025108B">
              <w:rPr>
                <w:rFonts w:ascii="Times New Roman" w:hAnsi="Times New Roman"/>
                <w:sz w:val="20"/>
                <w:szCs w:val="20"/>
              </w:rPr>
              <w:t>-</w:t>
            </w:r>
          </w:p>
        </w:tc>
        <w:tc>
          <w:tcPr>
            <w:tcW w:w="0" w:type="auto"/>
            <w:hideMark/>
          </w:tcPr>
          <w:p w14:paraId="67FCFE08"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33.3</w:t>
            </w:r>
          </w:p>
        </w:tc>
        <w:tc>
          <w:tcPr>
            <w:tcW w:w="0" w:type="auto"/>
            <w:hideMark/>
          </w:tcPr>
          <w:p w14:paraId="6FAA6866"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33.3</w:t>
            </w:r>
          </w:p>
        </w:tc>
        <w:tc>
          <w:tcPr>
            <w:tcW w:w="0" w:type="auto"/>
            <w:hideMark/>
          </w:tcPr>
          <w:p w14:paraId="7773F5AE"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33.3</w:t>
            </w:r>
          </w:p>
        </w:tc>
        <w:tc>
          <w:tcPr>
            <w:tcW w:w="0" w:type="auto"/>
            <w:hideMark/>
          </w:tcPr>
          <w:p w14:paraId="36A51251"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9.1</w:t>
            </w:r>
          </w:p>
        </w:tc>
        <w:tc>
          <w:tcPr>
            <w:tcW w:w="0" w:type="auto"/>
            <w:hideMark/>
          </w:tcPr>
          <w:p w14:paraId="75BC7BDF"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20.2</w:t>
            </w:r>
          </w:p>
        </w:tc>
      </w:tr>
      <w:tr w:rsidR="005823E6" w:rsidRPr="0025108B" w14:paraId="057AEA2D" w14:textId="77777777" w:rsidTr="00F33A8E">
        <w:trPr>
          <w:trHeight w:val="693"/>
        </w:trPr>
        <w:tc>
          <w:tcPr>
            <w:tcW w:w="0" w:type="auto"/>
            <w:hideMark/>
          </w:tcPr>
          <w:p w14:paraId="3CA515E2" w14:textId="77777777" w:rsidR="005823E6" w:rsidRPr="0025108B" w:rsidRDefault="005823E6" w:rsidP="00F33A8E">
            <w:pPr>
              <w:spacing w:after="0" w:line="240" w:lineRule="auto"/>
              <w:rPr>
                <w:rFonts w:ascii="Times New Roman" w:hAnsi="Times New Roman"/>
                <w:sz w:val="20"/>
                <w:szCs w:val="20"/>
              </w:rPr>
            </w:pPr>
            <w:r w:rsidRPr="0025108B">
              <w:rPr>
                <w:rFonts w:ascii="Times New Roman" w:hAnsi="Times New Roman"/>
                <w:sz w:val="20"/>
                <w:szCs w:val="20"/>
              </w:rPr>
              <w:t>Physically stressful/difficult for females</w:t>
            </w:r>
          </w:p>
        </w:tc>
        <w:tc>
          <w:tcPr>
            <w:tcW w:w="0" w:type="auto"/>
            <w:hideMark/>
          </w:tcPr>
          <w:p w14:paraId="2445611C" w14:textId="77777777" w:rsidR="005823E6" w:rsidRPr="0025108B" w:rsidRDefault="00F42594" w:rsidP="00F33A8E">
            <w:pPr>
              <w:spacing w:after="0" w:line="240" w:lineRule="auto"/>
              <w:jc w:val="center"/>
              <w:rPr>
                <w:rFonts w:ascii="Times New Roman" w:hAnsi="Times New Roman"/>
                <w:sz w:val="20"/>
                <w:szCs w:val="20"/>
              </w:rPr>
            </w:pPr>
            <w:r w:rsidRPr="0025108B">
              <w:rPr>
                <w:rFonts w:ascii="Times New Roman" w:hAnsi="Times New Roman"/>
                <w:sz w:val="20"/>
                <w:szCs w:val="20"/>
              </w:rPr>
              <w:t>-</w:t>
            </w:r>
          </w:p>
        </w:tc>
        <w:tc>
          <w:tcPr>
            <w:tcW w:w="0" w:type="auto"/>
            <w:hideMark/>
          </w:tcPr>
          <w:p w14:paraId="14AB3921"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14.3</w:t>
            </w:r>
          </w:p>
        </w:tc>
        <w:tc>
          <w:tcPr>
            <w:tcW w:w="0" w:type="auto"/>
            <w:hideMark/>
          </w:tcPr>
          <w:p w14:paraId="07BB652F"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21.4</w:t>
            </w:r>
          </w:p>
        </w:tc>
        <w:tc>
          <w:tcPr>
            <w:tcW w:w="0" w:type="auto"/>
            <w:hideMark/>
          </w:tcPr>
          <w:p w14:paraId="3B256669"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33.3</w:t>
            </w:r>
          </w:p>
        </w:tc>
        <w:tc>
          <w:tcPr>
            <w:tcW w:w="0" w:type="auto"/>
            <w:hideMark/>
          </w:tcPr>
          <w:p w14:paraId="24D695AD" w14:textId="77777777" w:rsidR="005823E6" w:rsidRPr="0025108B" w:rsidRDefault="00F42594" w:rsidP="00F33A8E">
            <w:pPr>
              <w:spacing w:after="0" w:line="240" w:lineRule="auto"/>
              <w:jc w:val="center"/>
              <w:rPr>
                <w:rFonts w:ascii="Times New Roman" w:hAnsi="Times New Roman"/>
                <w:sz w:val="20"/>
                <w:szCs w:val="20"/>
              </w:rPr>
            </w:pPr>
            <w:r w:rsidRPr="0025108B">
              <w:rPr>
                <w:rFonts w:ascii="Times New Roman" w:hAnsi="Times New Roman"/>
                <w:sz w:val="20"/>
                <w:szCs w:val="20"/>
              </w:rPr>
              <w:t>-</w:t>
            </w:r>
          </w:p>
        </w:tc>
        <w:tc>
          <w:tcPr>
            <w:tcW w:w="0" w:type="auto"/>
            <w:hideMark/>
          </w:tcPr>
          <w:p w14:paraId="5738C4EB"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33.3</w:t>
            </w:r>
          </w:p>
        </w:tc>
        <w:tc>
          <w:tcPr>
            <w:tcW w:w="0" w:type="auto"/>
            <w:hideMark/>
          </w:tcPr>
          <w:p w14:paraId="37E7589E"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22.3</w:t>
            </w:r>
          </w:p>
        </w:tc>
        <w:tc>
          <w:tcPr>
            <w:tcW w:w="0" w:type="auto"/>
            <w:hideMark/>
          </w:tcPr>
          <w:p w14:paraId="413F78CB"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27.3</w:t>
            </w:r>
          </w:p>
        </w:tc>
        <w:tc>
          <w:tcPr>
            <w:tcW w:w="0" w:type="auto"/>
            <w:hideMark/>
          </w:tcPr>
          <w:p w14:paraId="3B09E3F4"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19.0</w:t>
            </w:r>
          </w:p>
        </w:tc>
      </w:tr>
      <w:tr w:rsidR="005823E6" w:rsidRPr="0025108B" w14:paraId="0E1AB39E" w14:textId="77777777" w:rsidTr="00F33A8E">
        <w:trPr>
          <w:trHeight w:val="927"/>
        </w:trPr>
        <w:tc>
          <w:tcPr>
            <w:tcW w:w="0" w:type="auto"/>
            <w:hideMark/>
          </w:tcPr>
          <w:p w14:paraId="57766E5A" w14:textId="77777777" w:rsidR="005823E6" w:rsidRPr="0025108B" w:rsidRDefault="005823E6" w:rsidP="00F33A8E">
            <w:pPr>
              <w:spacing w:after="0" w:line="240" w:lineRule="auto"/>
              <w:rPr>
                <w:rFonts w:ascii="Times New Roman" w:hAnsi="Times New Roman"/>
                <w:sz w:val="20"/>
                <w:szCs w:val="20"/>
              </w:rPr>
            </w:pPr>
            <w:r w:rsidRPr="0025108B">
              <w:rPr>
                <w:rFonts w:ascii="Times New Roman" w:hAnsi="Times New Roman"/>
                <w:sz w:val="20"/>
                <w:szCs w:val="20"/>
              </w:rPr>
              <w:t>Women’s physical build makes fetching harder</w:t>
            </w:r>
          </w:p>
        </w:tc>
        <w:tc>
          <w:tcPr>
            <w:tcW w:w="0" w:type="auto"/>
            <w:hideMark/>
          </w:tcPr>
          <w:p w14:paraId="757460C3" w14:textId="77777777" w:rsidR="005823E6" w:rsidRPr="0025108B" w:rsidRDefault="00F42594" w:rsidP="00F33A8E">
            <w:pPr>
              <w:spacing w:after="0" w:line="240" w:lineRule="auto"/>
              <w:jc w:val="center"/>
              <w:rPr>
                <w:rFonts w:ascii="Times New Roman" w:hAnsi="Times New Roman"/>
                <w:sz w:val="20"/>
                <w:szCs w:val="20"/>
              </w:rPr>
            </w:pPr>
            <w:r w:rsidRPr="0025108B">
              <w:rPr>
                <w:rFonts w:ascii="Times New Roman" w:hAnsi="Times New Roman"/>
                <w:sz w:val="20"/>
                <w:szCs w:val="20"/>
              </w:rPr>
              <w:t>-</w:t>
            </w:r>
          </w:p>
        </w:tc>
        <w:tc>
          <w:tcPr>
            <w:tcW w:w="0" w:type="auto"/>
            <w:hideMark/>
          </w:tcPr>
          <w:p w14:paraId="0CB11287"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14.3</w:t>
            </w:r>
          </w:p>
        </w:tc>
        <w:tc>
          <w:tcPr>
            <w:tcW w:w="0" w:type="auto"/>
            <w:hideMark/>
          </w:tcPr>
          <w:p w14:paraId="002077EC"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14.3</w:t>
            </w:r>
          </w:p>
        </w:tc>
        <w:tc>
          <w:tcPr>
            <w:tcW w:w="0" w:type="auto"/>
            <w:hideMark/>
          </w:tcPr>
          <w:p w14:paraId="78A55905" w14:textId="77777777" w:rsidR="005823E6" w:rsidRPr="0025108B" w:rsidRDefault="00F42594" w:rsidP="00F33A8E">
            <w:pPr>
              <w:spacing w:after="0" w:line="240" w:lineRule="auto"/>
              <w:jc w:val="center"/>
              <w:rPr>
                <w:rFonts w:ascii="Times New Roman" w:hAnsi="Times New Roman"/>
                <w:sz w:val="20"/>
                <w:szCs w:val="20"/>
              </w:rPr>
            </w:pPr>
            <w:r w:rsidRPr="0025108B">
              <w:rPr>
                <w:rFonts w:ascii="Times New Roman" w:hAnsi="Times New Roman"/>
                <w:sz w:val="20"/>
                <w:szCs w:val="20"/>
              </w:rPr>
              <w:t>-</w:t>
            </w:r>
          </w:p>
        </w:tc>
        <w:tc>
          <w:tcPr>
            <w:tcW w:w="0" w:type="auto"/>
            <w:hideMark/>
          </w:tcPr>
          <w:p w14:paraId="7A550F2C" w14:textId="77777777" w:rsidR="005823E6" w:rsidRPr="0025108B" w:rsidRDefault="00F42594" w:rsidP="00F33A8E">
            <w:pPr>
              <w:spacing w:after="0" w:line="240" w:lineRule="auto"/>
              <w:jc w:val="center"/>
              <w:rPr>
                <w:rFonts w:ascii="Times New Roman" w:hAnsi="Times New Roman"/>
                <w:sz w:val="20"/>
                <w:szCs w:val="20"/>
              </w:rPr>
            </w:pPr>
            <w:r w:rsidRPr="0025108B">
              <w:rPr>
                <w:rFonts w:ascii="Times New Roman" w:hAnsi="Times New Roman"/>
                <w:sz w:val="20"/>
                <w:szCs w:val="20"/>
              </w:rPr>
              <w:t>-</w:t>
            </w:r>
          </w:p>
        </w:tc>
        <w:tc>
          <w:tcPr>
            <w:tcW w:w="0" w:type="auto"/>
            <w:hideMark/>
          </w:tcPr>
          <w:p w14:paraId="2C340AE3"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33.4</w:t>
            </w:r>
          </w:p>
        </w:tc>
        <w:tc>
          <w:tcPr>
            <w:tcW w:w="0" w:type="auto"/>
            <w:hideMark/>
          </w:tcPr>
          <w:p w14:paraId="639282B3"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11.1</w:t>
            </w:r>
          </w:p>
        </w:tc>
        <w:tc>
          <w:tcPr>
            <w:tcW w:w="0" w:type="auto"/>
            <w:hideMark/>
          </w:tcPr>
          <w:p w14:paraId="06ACFDE0"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9.1</w:t>
            </w:r>
          </w:p>
        </w:tc>
        <w:tc>
          <w:tcPr>
            <w:tcW w:w="0" w:type="auto"/>
            <w:hideMark/>
          </w:tcPr>
          <w:p w14:paraId="35941C9E"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10.3</w:t>
            </w:r>
          </w:p>
        </w:tc>
      </w:tr>
      <w:tr w:rsidR="005823E6" w:rsidRPr="0025108B" w14:paraId="182E5438" w14:textId="77777777" w:rsidTr="00F33A8E">
        <w:trPr>
          <w:trHeight w:val="704"/>
        </w:trPr>
        <w:tc>
          <w:tcPr>
            <w:tcW w:w="0" w:type="auto"/>
            <w:hideMark/>
          </w:tcPr>
          <w:p w14:paraId="31695C30" w14:textId="77777777" w:rsidR="005823E6" w:rsidRPr="0025108B" w:rsidRDefault="005823E6" w:rsidP="00F33A8E">
            <w:pPr>
              <w:spacing w:after="0" w:line="240" w:lineRule="auto"/>
              <w:rPr>
                <w:rFonts w:ascii="Times New Roman" w:hAnsi="Times New Roman"/>
                <w:sz w:val="20"/>
                <w:szCs w:val="20"/>
              </w:rPr>
            </w:pPr>
            <w:r w:rsidRPr="0025108B">
              <w:rPr>
                <w:rFonts w:ascii="Times New Roman" w:hAnsi="Times New Roman"/>
                <w:sz w:val="20"/>
                <w:szCs w:val="20"/>
              </w:rPr>
              <w:t>Men are stronger or better suited</w:t>
            </w:r>
          </w:p>
        </w:tc>
        <w:tc>
          <w:tcPr>
            <w:tcW w:w="0" w:type="auto"/>
            <w:hideMark/>
          </w:tcPr>
          <w:p w14:paraId="32026239" w14:textId="77777777" w:rsidR="005823E6" w:rsidRPr="0025108B" w:rsidRDefault="00F42594" w:rsidP="00F33A8E">
            <w:pPr>
              <w:spacing w:after="0" w:line="240" w:lineRule="auto"/>
              <w:jc w:val="center"/>
              <w:rPr>
                <w:rFonts w:ascii="Times New Roman" w:hAnsi="Times New Roman"/>
                <w:sz w:val="20"/>
                <w:szCs w:val="20"/>
              </w:rPr>
            </w:pPr>
            <w:r w:rsidRPr="0025108B">
              <w:rPr>
                <w:rFonts w:ascii="Times New Roman" w:hAnsi="Times New Roman"/>
                <w:sz w:val="20"/>
                <w:szCs w:val="20"/>
              </w:rPr>
              <w:t>-</w:t>
            </w:r>
          </w:p>
        </w:tc>
        <w:tc>
          <w:tcPr>
            <w:tcW w:w="0" w:type="auto"/>
            <w:hideMark/>
          </w:tcPr>
          <w:p w14:paraId="207EF4CF"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14.3</w:t>
            </w:r>
          </w:p>
        </w:tc>
        <w:tc>
          <w:tcPr>
            <w:tcW w:w="0" w:type="auto"/>
            <w:hideMark/>
          </w:tcPr>
          <w:p w14:paraId="41826358"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7.1</w:t>
            </w:r>
          </w:p>
        </w:tc>
        <w:tc>
          <w:tcPr>
            <w:tcW w:w="0" w:type="auto"/>
            <w:hideMark/>
          </w:tcPr>
          <w:p w14:paraId="4229FF02"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16.7</w:t>
            </w:r>
          </w:p>
        </w:tc>
        <w:tc>
          <w:tcPr>
            <w:tcW w:w="0" w:type="auto"/>
            <w:hideMark/>
          </w:tcPr>
          <w:p w14:paraId="6028D9F9"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66.7</w:t>
            </w:r>
          </w:p>
        </w:tc>
        <w:tc>
          <w:tcPr>
            <w:tcW w:w="0" w:type="auto"/>
            <w:hideMark/>
          </w:tcPr>
          <w:p w14:paraId="1A3F1507" w14:textId="77777777" w:rsidR="005823E6" w:rsidRPr="0025108B" w:rsidRDefault="00F42594" w:rsidP="00F33A8E">
            <w:pPr>
              <w:spacing w:after="0" w:line="240" w:lineRule="auto"/>
              <w:jc w:val="center"/>
              <w:rPr>
                <w:rFonts w:ascii="Times New Roman" w:hAnsi="Times New Roman"/>
                <w:sz w:val="20"/>
                <w:szCs w:val="20"/>
              </w:rPr>
            </w:pPr>
            <w:r w:rsidRPr="0025108B">
              <w:rPr>
                <w:rFonts w:ascii="Times New Roman" w:hAnsi="Times New Roman"/>
                <w:sz w:val="20"/>
                <w:szCs w:val="20"/>
              </w:rPr>
              <w:t>-</w:t>
            </w:r>
          </w:p>
        </w:tc>
        <w:tc>
          <w:tcPr>
            <w:tcW w:w="0" w:type="auto"/>
            <w:hideMark/>
          </w:tcPr>
          <w:p w14:paraId="011672C8" w14:textId="77777777" w:rsidR="005823E6" w:rsidRPr="0025108B" w:rsidRDefault="00F42594" w:rsidP="00F33A8E">
            <w:pPr>
              <w:spacing w:after="0" w:line="240" w:lineRule="auto"/>
              <w:jc w:val="center"/>
              <w:rPr>
                <w:rFonts w:ascii="Times New Roman" w:hAnsi="Times New Roman"/>
                <w:sz w:val="20"/>
                <w:szCs w:val="20"/>
              </w:rPr>
            </w:pPr>
            <w:r w:rsidRPr="0025108B">
              <w:rPr>
                <w:rFonts w:ascii="Times New Roman" w:hAnsi="Times New Roman"/>
                <w:sz w:val="20"/>
                <w:szCs w:val="20"/>
              </w:rPr>
              <w:t>-</w:t>
            </w:r>
          </w:p>
        </w:tc>
        <w:tc>
          <w:tcPr>
            <w:tcW w:w="0" w:type="auto"/>
            <w:hideMark/>
          </w:tcPr>
          <w:p w14:paraId="553E0FD6" w14:textId="77777777" w:rsidR="005823E6" w:rsidRPr="0025108B" w:rsidRDefault="00F42594" w:rsidP="00F33A8E">
            <w:pPr>
              <w:spacing w:after="0" w:line="240" w:lineRule="auto"/>
              <w:jc w:val="center"/>
              <w:rPr>
                <w:rFonts w:ascii="Times New Roman" w:hAnsi="Times New Roman"/>
                <w:sz w:val="20"/>
                <w:szCs w:val="20"/>
              </w:rPr>
            </w:pPr>
            <w:r w:rsidRPr="0025108B">
              <w:rPr>
                <w:rFonts w:ascii="Times New Roman" w:hAnsi="Times New Roman"/>
                <w:sz w:val="20"/>
                <w:szCs w:val="20"/>
              </w:rPr>
              <w:t>-</w:t>
            </w:r>
          </w:p>
        </w:tc>
        <w:tc>
          <w:tcPr>
            <w:tcW w:w="0" w:type="auto"/>
            <w:hideMark/>
          </w:tcPr>
          <w:p w14:paraId="48F272E3"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13.1</w:t>
            </w:r>
          </w:p>
        </w:tc>
      </w:tr>
      <w:tr w:rsidR="005823E6" w:rsidRPr="0025108B" w14:paraId="5BED1EFE" w14:textId="77777777" w:rsidTr="00F33A8E">
        <w:trPr>
          <w:trHeight w:val="693"/>
        </w:trPr>
        <w:tc>
          <w:tcPr>
            <w:tcW w:w="0" w:type="auto"/>
            <w:hideMark/>
          </w:tcPr>
          <w:p w14:paraId="4461B572" w14:textId="77777777" w:rsidR="005823E6" w:rsidRPr="0025108B" w:rsidRDefault="005823E6" w:rsidP="00F33A8E">
            <w:pPr>
              <w:spacing w:after="0" w:line="240" w:lineRule="auto"/>
              <w:rPr>
                <w:rFonts w:ascii="Times New Roman" w:hAnsi="Times New Roman"/>
                <w:sz w:val="20"/>
                <w:szCs w:val="20"/>
              </w:rPr>
            </w:pPr>
            <w:r w:rsidRPr="0025108B">
              <w:rPr>
                <w:rFonts w:ascii="Times New Roman" w:hAnsi="Times New Roman"/>
                <w:sz w:val="20"/>
                <w:szCs w:val="20"/>
              </w:rPr>
              <w:t>Water collection is inconvenient for females</w:t>
            </w:r>
          </w:p>
        </w:tc>
        <w:tc>
          <w:tcPr>
            <w:tcW w:w="0" w:type="auto"/>
            <w:hideMark/>
          </w:tcPr>
          <w:p w14:paraId="737AACBB" w14:textId="77777777" w:rsidR="005823E6" w:rsidRPr="0025108B" w:rsidRDefault="00F42594" w:rsidP="00F33A8E">
            <w:pPr>
              <w:spacing w:after="0" w:line="240" w:lineRule="auto"/>
              <w:jc w:val="center"/>
              <w:rPr>
                <w:rFonts w:ascii="Times New Roman" w:hAnsi="Times New Roman"/>
                <w:sz w:val="20"/>
                <w:szCs w:val="20"/>
              </w:rPr>
            </w:pPr>
            <w:r w:rsidRPr="0025108B">
              <w:rPr>
                <w:rFonts w:ascii="Times New Roman" w:hAnsi="Times New Roman"/>
                <w:sz w:val="20"/>
                <w:szCs w:val="20"/>
              </w:rPr>
              <w:t>-</w:t>
            </w:r>
          </w:p>
        </w:tc>
        <w:tc>
          <w:tcPr>
            <w:tcW w:w="0" w:type="auto"/>
            <w:hideMark/>
          </w:tcPr>
          <w:p w14:paraId="4441655D"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14.3</w:t>
            </w:r>
          </w:p>
        </w:tc>
        <w:tc>
          <w:tcPr>
            <w:tcW w:w="0" w:type="auto"/>
            <w:hideMark/>
          </w:tcPr>
          <w:p w14:paraId="1BDA7C20"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14.3</w:t>
            </w:r>
          </w:p>
        </w:tc>
        <w:tc>
          <w:tcPr>
            <w:tcW w:w="0" w:type="auto"/>
            <w:hideMark/>
          </w:tcPr>
          <w:p w14:paraId="27D89B36" w14:textId="77777777" w:rsidR="005823E6" w:rsidRPr="0025108B" w:rsidRDefault="00F42594" w:rsidP="00F33A8E">
            <w:pPr>
              <w:spacing w:after="0" w:line="240" w:lineRule="auto"/>
              <w:jc w:val="center"/>
              <w:rPr>
                <w:rFonts w:ascii="Times New Roman" w:hAnsi="Times New Roman"/>
                <w:sz w:val="20"/>
                <w:szCs w:val="20"/>
              </w:rPr>
            </w:pPr>
            <w:r w:rsidRPr="0025108B">
              <w:rPr>
                <w:rFonts w:ascii="Times New Roman" w:hAnsi="Times New Roman"/>
                <w:sz w:val="20"/>
                <w:szCs w:val="20"/>
              </w:rPr>
              <w:t>-</w:t>
            </w:r>
          </w:p>
        </w:tc>
        <w:tc>
          <w:tcPr>
            <w:tcW w:w="0" w:type="auto"/>
            <w:hideMark/>
          </w:tcPr>
          <w:p w14:paraId="3BC73A50" w14:textId="77777777" w:rsidR="005823E6" w:rsidRPr="0025108B" w:rsidRDefault="00F42594" w:rsidP="00F33A8E">
            <w:pPr>
              <w:spacing w:after="0" w:line="240" w:lineRule="auto"/>
              <w:jc w:val="center"/>
              <w:rPr>
                <w:rFonts w:ascii="Times New Roman" w:hAnsi="Times New Roman"/>
                <w:sz w:val="20"/>
                <w:szCs w:val="20"/>
              </w:rPr>
            </w:pPr>
            <w:r w:rsidRPr="0025108B">
              <w:rPr>
                <w:rFonts w:ascii="Times New Roman" w:hAnsi="Times New Roman"/>
                <w:sz w:val="20"/>
                <w:szCs w:val="20"/>
              </w:rPr>
              <w:t>-</w:t>
            </w:r>
          </w:p>
        </w:tc>
        <w:tc>
          <w:tcPr>
            <w:tcW w:w="0" w:type="auto"/>
            <w:hideMark/>
          </w:tcPr>
          <w:p w14:paraId="6514E4C7" w14:textId="77777777" w:rsidR="005823E6" w:rsidRPr="0025108B" w:rsidRDefault="00F42594" w:rsidP="00F33A8E">
            <w:pPr>
              <w:spacing w:after="0" w:line="240" w:lineRule="auto"/>
              <w:jc w:val="center"/>
              <w:rPr>
                <w:rFonts w:ascii="Times New Roman" w:hAnsi="Times New Roman"/>
                <w:sz w:val="20"/>
                <w:szCs w:val="20"/>
              </w:rPr>
            </w:pPr>
            <w:r w:rsidRPr="0025108B">
              <w:rPr>
                <w:rFonts w:ascii="Times New Roman" w:hAnsi="Times New Roman"/>
                <w:sz w:val="20"/>
                <w:szCs w:val="20"/>
              </w:rPr>
              <w:t>-</w:t>
            </w:r>
          </w:p>
        </w:tc>
        <w:tc>
          <w:tcPr>
            <w:tcW w:w="0" w:type="auto"/>
            <w:hideMark/>
          </w:tcPr>
          <w:p w14:paraId="6D999EB3"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22.2</w:t>
            </w:r>
          </w:p>
        </w:tc>
        <w:tc>
          <w:tcPr>
            <w:tcW w:w="0" w:type="auto"/>
            <w:hideMark/>
          </w:tcPr>
          <w:p w14:paraId="396A3542"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9.1</w:t>
            </w:r>
          </w:p>
        </w:tc>
        <w:tc>
          <w:tcPr>
            <w:tcW w:w="0" w:type="auto"/>
            <w:hideMark/>
          </w:tcPr>
          <w:p w14:paraId="3A8A04F6" w14:textId="77777777" w:rsidR="005823E6" w:rsidRPr="0025108B" w:rsidRDefault="005823E6" w:rsidP="00F33A8E">
            <w:pPr>
              <w:spacing w:after="0" w:line="240" w:lineRule="auto"/>
              <w:jc w:val="center"/>
              <w:rPr>
                <w:rFonts w:ascii="Times New Roman" w:hAnsi="Times New Roman"/>
                <w:sz w:val="20"/>
                <w:szCs w:val="20"/>
              </w:rPr>
            </w:pPr>
            <w:r w:rsidRPr="0025108B">
              <w:rPr>
                <w:rFonts w:ascii="Times New Roman" w:hAnsi="Times New Roman"/>
                <w:sz w:val="20"/>
                <w:szCs w:val="20"/>
              </w:rPr>
              <w:t>7.5</w:t>
            </w:r>
          </w:p>
        </w:tc>
      </w:tr>
      <w:tr w:rsidR="005823E6" w:rsidRPr="0025108B" w14:paraId="180A2A4D" w14:textId="77777777" w:rsidTr="00F33A8E">
        <w:trPr>
          <w:trHeight w:val="224"/>
        </w:trPr>
        <w:tc>
          <w:tcPr>
            <w:tcW w:w="0" w:type="auto"/>
            <w:tcBorders>
              <w:top w:val="single" w:sz="4" w:space="0" w:color="7F7F7F"/>
            </w:tcBorders>
            <w:hideMark/>
          </w:tcPr>
          <w:p w14:paraId="32CAD702" w14:textId="77777777" w:rsidR="005823E6" w:rsidRPr="0025108B" w:rsidRDefault="005823E6" w:rsidP="00F33A8E">
            <w:pPr>
              <w:spacing w:after="0" w:line="240" w:lineRule="auto"/>
              <w:jc w:val="both"/>
              <w:rPr>
                <w:rFonts w:ascii="Times New Roman" w:hAnsi="Times New Roman"/>
                <w:b/>
                <w:bCs/>
                <w:sz w:val="20"/>
                <w:szCs w:val="20"/>
              </w:rPr>
            </w:pPr>
            <w:r w:rsidRPr="0025108B">
              <w:rPr>
                <w:rFonts w:ascii="Times New Roman" w:hAnsi="Times New Roman"/>
                <w:b/>
                <w:bCs/>
                <w:sz w:val="20"/>
                <w:szCs w:val="20"/>
              </w:rPr>
              <w:t>Total</w:t>
            </w:r>
          </w:p>
        </w:tc>
        <w:tc>
          <w:tcPr>
            <w:tcW w:w="0" w:type="auto"/>
            <w:tcBorders>
              <w:top w:val="single" w:sz="4" w:space="0" w:color="7F7F7F"/>
            </w:tcBorders>
            <w:hideMark/>
          </w:tcPr>
          <w:p w14:paraId="2AA72E50" w14:textId="77777777" w:rsidR="005823E6" w:rsidRPr="0025108B" w:rsidRDefault="005823E6" w:rsidP="00F33A8E">
            <w:pPr>
              <w:spacing w:after="0" w:line="240" w:lineRule="auto"/>
              <w:jc w:val="center"/>
              <w:rPr>
                <w:rFonts w:ascii="Times New Roman" w:hAnsi="Times New Roman"/>
                <w:b/>
                <w:bCs/>
                <w:sz w:val="20"/>
                <w:szCs w:val="20"/>
              </w:rPr>
            </w:pPr>
            <w:r w:rsidRPr="0025108B">
              <w:rPr>
                <w:rFonts w:ascii="Times New Roman" w:hAnsi="Times New Roman"/>
                <w:b/>
                <w:bCs/>
                <w:sz w:val="20"/>
                <w:szCs w:val="20"/>
              </w:rPr>
              <w:t>100.0</w:t>
            </w:r>
          </w:p>
        </w:tc>
        <w:tc>
          <w:tcPr>
            <w:tcW w:w="0" w:type="auto"/>
            <w:tcBorders>
              <w:top w:val="single" w:sz="4" w:space="0" w:color="7F7F7F"/>
            </w:tcBorders>
            <w:hideMark/>
          </w:tcPr>
          <w:p w14:paraId="6AA86A95" w14:textId="77777777" w:rsidR="005823E6" w:rsidRPr="0025108B" w:rsidRDefault="005823E6" w:rsidP="00F33A8E">
            <w:pPr>
              <w:spacing w:after="0" w:line="240" w:lineRule="auto"/>
              <w:jc w:val="center"/>
              <w:rPr>
                <w:rFonts w:ascii="Times New Roman" w:hAnsi="Times New Roman"/>
                <w:b/>
                <w:bCs/>
                <w:sz w:val="20"/>
                <w:szCs w:val="20"/>
              </w:rPr>
            </w:pPr>
            <w:r w:rsidRPr="0025108B">
              <w:rPr>
                <w:rFonts w:ascii="Times New Roman" w:hAnsi="Times New Roman"/>
                <w:b/>
                <w:bCs/>
                <w:sz w:val="20"/>
                <w:szCs w:val="20"/>
              </w:rPr>
              <w:t>100.0</w:t>
            </w:r>
          </w:p>
        </w:tc>
        <w:tc>
          <w:tcPr>
            <w:tcW w:w="0" w:type="auto"/>
            <w:tcBorders>
              <w:top w:val="single" w:sz="4" w:space="0" w:color="7F7F7F"/>
            </w:tcBorders>
            <w:hideMark/>
          </w:tcPr>
          <w:p w14:paraId="5A0DC6D2" w14:textId="77777777" w:rsidR="005823E6" w:rsidRPr="0025108B" w:rsidRDefault="005823E6" w:rsidP="00F33A8E">
            <w:pPr>
              <w:spacing w:after="0" w:line="240" w:lineRule="auto"/>
              <w:jc w:val="center"/>
              <w:rPr>
                <w:rFonts w:ascii="Times New Roman" w:hAnsi="Times New Roman"/>
                <w:b/>
                <w:bCs/>
                <w:sz w:val="20"/>
                <w:szCs w:val="20"/>
              </w:rPr>
            </w:pPr>
            <w:r w:rsidRPr="0025108B">
              <w:rPr>
                <w:rFonts w:ascii="Times New Roman" w:hAnsi="Times New Roman"/>
                <w:b/>
                <w:bCs/>
                <w:sz w:val="20"/>
                <w:szCs w:val="20"/>
              </w:rPr>
              <w:t>100.0</w:t>
            </w:r>
          </w:p>
        </w:tc>
        <w:tc>
          <w:tcPr>
            <w:tcW w:w="0" w:type="auto"/>
            <w:tcBorders>
              <w:top w:val="single" w:sz="4" w:space="0" w:color="7F7F7F"/>
            </w:tcBorders>
            <w:hideMark/>
          </w:tcPr>
          <w:p w14:paraId="5D914752" w14:textId="77777777" w:rsidR="005823E6" w:rsidRPr="0025108B" w:rsidRDefault="005823E6" w:rsidP="00F33A8E">
            <w:pPr>
              <w:spacing w:after="0" w:line="240" w:lineRule="auto"/>
              <w:jc w:val="center"/>
              <w:rPr>
                <w:rFonts w:ascii="Times New Roman" w:hAnsi="Times New Roman"/>
                <w:b/>
                <w:bCs/>
                <w:sz w:val="20"/>
                <w:szCs w:val="20"/>
              </w:rPr>
            </w:pPr>
            <w:r w:rsidRPr="0025108B">
              <w:rPr>
                <w:rFonts w:ascii="Times New Roman" w:hAnsi="Times New Roman"/>
                <w:b/>
                <w:bCs/>
                <w:sz w:val="20"/>
                <w:szCs w:val="20"/>
              </w:rPr>
              <w:t>100.0</w:t>
            </w:r>
          </w:p>
        </w:tc>
        <w:tc>
          <w:tcPr>
            <w:tcW w:w="0" w:type="auto"/>
            <w:tcBorders>
              <w:top w:val="single" w:sz="4" w:space="0" w:color="7F7F7F"/>
            </w:tcBorders>
            <w:hideMark/>
          </w:tcPr>
          <w:p w14:paraId="2969F73F" w14:textId="77777777" w:rsidR="005823E6" w:rsidRPr="0025108B" w:rsidRDefault="005823E6" w:rsidP="00F33A8E">
            <w:pPr>
              <w:spacing w:after="0" w:line="240" w:lineRule="auto"/>
              <w:jc w:val="center"/>
              <w:rPr>
                <w:rFonts w:ascii="Times New Roman" w:hAnsi="Times New Roman"/>
                <w:b/>
                <w:bCs/>
                <w:sz w:val="20"/>
                <w:szCs w:val="20"/>
              </w:rPr>
            </w:pPr>
            <w:r w:rsidRPr="0025108B">
              <w:rPr>
                <w:rFonts w:ascii="Times New Roman" w:hAnsi="Times New Roman"/>
                <w:b/>
                <w:bCs/>
                <w:sz w:val="20"/>
                <w:szCs w:val="20"/>
              </w:rPr>
              <w:t>100.0</w:t>
            </w:r>
          </w:p>
        </w:tc>
        <w:tc>
          <w:tcPr>
            <w:tcW w:w="0" w:type="auto"/>
            <w:tcBorders>
              <w:top w:val="single" w:sz="4" w:space="0" w:color="7F7F7F"/>
            </w:tcBorders>
            <w:hideMark/>
          </w:tcPr>
          <w:p w14:paraId="613EF949" w14:textId="77777777" w:rsidR="005823E6" w:rsidRPr="0025108B" w:rsidRDefault="005823E6" w:rsidP="00F33A8E">
            <w:pPr>
              <w:spacing w:after="0" w:line="240" w:lineRule="auto"/>
              <w:jc w:val="center"/>
              <w:rPr>
                <w:rFonts w:ascii="Times New Roman" w:hAnsi="Times New Roman"/>
                <w:b/>
                <w:bCs/>
                <w:sz w:val="20"/>
                <w:szCs w:val="20"/>
              </w:rPr>
            </w:pPr>
            <w:r w:rsidRPr="0025108B">
              <w:rPr>
                <w:rFonts w:ascii="Times New Roman" w:hAnsi="Times New Roman"/>
                <w:b/>
                <w:bCs/>
                <w:sz w:val="20"/>
                <w:szCs w:val="20"/>
              </w:rPr>
              <w:t>100.0</w:t>
            </w:r>
          </w:p>
        </w:tc>
        <w:tc>
          <w:tcPr>
            <w:tcW w:w="0" w:type="auto"/>
            <w:tcBorders>
              <w:top w:val="single" w:sz="4" w:space="0" w:color="7F7F7F"/>
            </w:tcBorders>
            <w:hideMark/>
          </w:tcPr>
          <w:p w14:paraId="47EE57B6" w14:textId="77777777" w:rsidR="005823E6" w:rsidRPr="0025108B" w:rsidRDefault="005823E6" w:rsidP="00F33A8E">
            <w:pPr>
              <w:spacing w:after="0" w:line="240" w:lineRule="auto"/>
              <w:jc w:val="center"/>
              <w:rPr>
                <w:rFonts w:ascii="Times New Roman" w:hAnsi="Times New Roman"/>
                <w:b/>
                <w:bCs/>
                <w:sz w:val="20"/>
                <w:szCs w:val="20"/>
              </w:rPr>
            </w:pPr>
            <w:r w:rsidRPr="0025108B">
              <w:rPr>
                <w:rFonts w:ascii="Times New Roman" w:hAnsi="Times New Roman"/>
                <w:b/>
                <w:bCs/>
                <w:sz w:val="20"/>
                <w:szCs w:val="20"/>
              </w:rPr>
              <w:t>100.0</w:t>
            </w:r>
          </w:p>
        </w:tc>
        <w:tc>
          <w:tcPr>
            <w:tcW w:w="0" w:type="auto"/>
            <w:tcBorders>
              <w:top w:val="single" w:sz="4" w:space="0" w:color="7F7F7F"/>
            </w:tcBorders>
            <w:hideMark/>
          </w:tcPr>
          <w:p w14:paraId="1DA7B411" w14:textId="77777777" w:rsidR="005823E6" w:rsidRPr="0025108B" w:rsidRDefault="005823E6" w:rsidP="00F33A8E">
            <w:pPr>
              <w:spacing w:after="0" w:line="240" w:lineRule="auto"/>
              <w:jc w:val="center"/>
              <w:rPr>
                <w:rFonts w:ascii="Times New Roman" w:hAnsi="Times New Roman"/>
                <w:b/>
                <w:bCs/>
                <w:sz w:val="20"/>
                <w:szCs w:val="20"/>
              </w:rPr>
            </w:pPr>
            <w:r w:rsidRPr="0025108B">
              <w:rPr>
                <w:rFonts w:ascii="Times New Roman" w:hAnsi="Times New Roman"/>
                <w:b/>
                <w:bCs/>
                <w:sz w:val="20"/>
                <w:szCs w:val="20"/>
              </w:rPr>
              <w:t>100.0</w:t>
            </w:r>
          </w:p>
        </w:tc>
        <w:tc>
          <w:tcPr>
            <w:tcW w:w="0" w:type="auto"/>
            <w:tcBorders>
              <w:top w:val="single" w:sz="4" w:space="0" w:color="7F7F7F"/>
            </w:tcBorders>
            <w:hideMark/>
          </w:tcPr>
          <w:p w14:paraId="45B3A693" w14:textId="77777777" w:rsidR="005823E6" w:rsidRPr="0025108B" w:rsidRDefault="005823E6" w:rsidP="00F33A8E">
            <w:pPr>
              <w:spacing w:after="0" w:line="240" w:lineRule="auto"/>
              <w:jc w:val="center"/>
              <w:rPr>
                <w:rFonts w:ascii="Times New Roman" w:hAnsi="Times New Roman"/>
                <w:b/>
                <w:bCs/>
                <w:sz w:val="20"/>
                <w:szCs w:val="20"/>
              </w:rPr>
            </w:pPr>
            <w:r w:rsidRPr="0025108B">
              <w:rPr>
                <w:rFonts w:ascii="Times New Roman" w:hAnsi="Times New Roman"/>
                <w:b/>
                <w:bCs/>
                <w:sz w:val="20"/>
                <w:szCs w:val="20"/>
              </w:rPr>
              <w:t>100.0</w:t>
            </w:r>
          </w:p>
        </w:tc>
      </w:tr>
    </w:tbl>
    <w:p w14:paraId="590577BB" w14:textId="77777777" w:rsidR="007D429A" w:rsidRPr="0025108B" w:rsidRDefault="00675B35" w:rsidP="00675B35">
      <w:pPr>
        <w:jc w:val="both"/>
        <w:rPr>
          <w:rFonts w:ascii="Times New Roman" w:hAnsi="Times New Roman"/>
        </w:rPr>
      </w:pPr>
      <w:r w:rsidRPr="0025108B">
        <w:rPr>
          <w:rFonts w:ascii="Times New Roman" w:hAnsi="Times New Roman"/>
        </w:rPr>
        <w:t>Source: Author’s Fieldwork, 2024</w:t>
      </w:r>
    </w:p>
    <w:p w14:paraId="41CF1DC5" w14:textId="77777777" w:rsidR="00675B35" w:rsidRPr="0025108B" w:rsidRDefault="00F42594" w:rsidP="00675B35">
      <w:pPr>
        <w:jc w:val="both"/>
        <w:rPr>
          <w:rFonts w:ascii="Times New Roman" w:hAnsi="Times New Roman"/>
          <w:b/>
          <w:bCs/>
        </w:rPr>
      </w:pPr>
      <w:r w:rsidRPr="0025108B">
        <w:rPr>
          <w:rFonts w:ascii="Times New Roman" w:hAnsi="Times New Roman"/>
          <w:b/>
          <w:bCs/>
        </w:rPr>
        <w:t>3.4</w:t>
      </w:r>
      <w:r w:rsidR="00675B35" w:rsidRPr="0025108B">
        <w:rPr>
          <w:rFonts w:ascii="Times New Roman" w:hAnsi="Times New Roman"/>
          <w:b/>
          <w:bCs/>
        </w:rPr>
        <w:t xml:space="preserve"> Gender-Specific Challenges to Water Collection</w:t>
      </w:r>
    </w:p>
    <w:p w14:paraId="41B5EA6E" w14:textId="77777777" w:rsidR="00CE2FEB" w:rsidRPr="0025108B" w:rsidRDefault="002B59F3" w:rsidP="002B59F3">
      <w:pPr>
        <w:jc w:val="both"/>
        <w:rPr>
          <w:rFonts w:ascii="Times New Roman" w:hAnsi="Times New Roman"/>
        </w:rPr>
      </w:pPr>
      <w:r w:rsidRPr="0025108B">
        <w:rPr>
          <w:rFonts w:ascii="Times New Roman" w:hAnsi="Times New Roman"/>
        </w:rPr>
        <w:t xml:space="preserve">After identifying who performs water collection and </w:t>
      </w:r>
      <w:r w:rsidR="004E6465" w:rsidRPr="0025108B">
        <w:rPr>
          <w:rFonts w:ascii="Times New Roman" w:hAnsi="Times New Roman"/>
        </w:rPr>
        <w:t>the reasons for</w:t>
      </w:r>
      <w:r w:rsidRPr="0025108B">
        <w:rPr>
          <w:rFonts w:ascii="Times New Roman" w:hAnsi="Times New Roman"/>
        </w:rPr>
        <w:t xml:space="preserve"> the division, respondents were asked whether the activity creates specific difficulties for those involved</w:t>
      </w:r>
      <w:r w:rsidR="00CE2FEB" w:rsidRPr="0025108B">
        <w:rPr>
          <w:rFonts w:ascii="Times New Roman" w:hAnsi="Times New Roman"/>
        </w:rPr>
        <w:t>, given room for them to describe the actual conditions experienced by household members engaged in water collection</w:t>
      </w:r>
      <w:r w:rsidR="0073016F" w:rsidRPr="0025108B">
        <w:rPr>
          <w:rFonts w:ascii="Times New Roman" w:hAnsi="Times New Roman"/>
        </w:rPr>
        <w:t xml:space="preserve"> </w:t>
      </w:r>
      <w:r w:rsidRPr="0025108B">
        <w:rPr>
          <w:rFonts w:ascii="Times New Roman" w:hAnsi="Times New Roman"/>
        </w:rPr>
        <w:t>(Table 4).</w:t>
      </w:r>
      <w:r w:rsidR="00B90478" w:rsidRPr="0025108B">
        <w:rPr>
          <w:rFonts w:ascii="Times New Roman" w:hAnsi="Times New Roman"/>
        </w:rPr>
        <w:t xml:space="preserve"> </w:t>
      </w:r>
    </w:p>
    <w:p w14:paraId="7AEF4BF5" w14:textId="77777777" w:rsidR="0073016F" w:rsidRPr="0025108B" w:rsidRDefault="0073016F" w:rsidP="0073016F">
      <w:pPr>
        <w:jc w:val="both"/>
        <w:rPr>
          <w:rFonts w:ascii="Times New Roman" w:hAnsi="Times New Roman"/>
        </w:rPr>
      </w:pPr>
      <w:r w:rsidRPr="0025108B">
        <w:rPr>
          <w:rFonts w:ascii="Times New Roman" w:hAnsi="Times New Roman"/>
        </w:rPr>
        <w:t xml:space="preserve">Physical labour burden is the most prominent challenge in every </w:t>
      </w:r>
      <w:r w:rsidR="00883382" w:rsidRPr="0025108B">
        <w:rPr>
          <w:rFonts w:ascii="Times New Roman" w:hAnsi="Times New Roman"/>
        </w:rPr>
        <w:t>LGA headquarters</w:t>
      </w:r>
      <w:r w:rsidRPr="0025108B">
        <w:rPr>
          <w:rFonts w:ascii="Times New Roman" w:hAnsi="Times New Roman"/>
        </w:rPr>
        <w:t xml:space="preserve">, averaging 68% across the study area. In Yenagoa, this issue reaches 100%, indicating that women there carry the full brunt of physically demanding water collection, likely reflecting infrastructural limitations despite its urban status. </w:t>
      </w:r>
      <w:proofErr w:type="spellStart"/>
      <w:r w:rsidRPr="0025108B">
        <w:rPr>
          <w:rFonts w:ascii="Times New Roman" w:hAnsi="Times New Roman"/>
        </w:rPr>
        <w:t>Ekeremor</w:t>
      </w:r>
      <w:proofErr w:type="spellEnd"/>
      <w:r w:rsidRPr="0025108B">
        <w:rPr>
          <w:rFonts w:ascii="Times New Roman" w:hAnsi="Times New Roman"/>
        </w:rPr>
        <w:t xml:space="preserve"> (78.6%), </w:t>
      </w:r>
      <w:proofErr w:type="spellStart"/>
      <w:r w:rsidRPr="0025108B">
        <w:rPr>
          <w:rFonts w:ascii="Times New Roman" w:hAnsi="Times New Roman"/>
        </w:rPr>
        <w:t>Nembe</w:t>
      </w:r>
      <w:proofErr w:type="spellEnd"/>
      <w:r w:rsidRPr="0025108B">
        <w:rPr>
          <w:rFonts w:ascii="Times New Roman" w:hAnsi="Times New Roman"/>
        </w:rPr>
        <w:t xml:space="preserve"> (68.7%), and Kaiama (68.2%) also reported high physical burdens, highlighting the persistence of gendered labour in water-fetching tasks. Time burden emerges as the second major challenge, with notable contributions in </w:t>
      </w:r>
      <w:proofErr w:type="spellStart"/>
      <w:r w:rsidRPr="0025108B">
        <w:rPr>
          <w:rFonts w:ascii="Times New Roman" w:hAnsi="Times New Roman"/>
        </w:rPr>
        <w:t>Nembe</w:t>
      </w:r>
      <w:proofErr w:type="spellEnd"/>
      <w:r w:rsidRPr="0025108B">
        <w:rPr>
          <w:rFonts w:ascii="Times New Roman" w:hAnsi="Times New Roman"/>
        </w:rPr>
        <w:t xml:space="preserve"> (31.3%) and </w:t>
      </w:r>
      <w:proofErr w:type="spellStart"/>
      <w:r w:rsidRPr="0025108B">
        <w:rPr>
          <w:rFonts w:ascii="Times New Roman" w:hAnsi="Times New Roman"/>
        </w:rPr>
        <w:t>Sagbama</w:t>
      </w:r>
      <w:proofErr w:type="spellEnd"/>
      <w:r w:rsidRPr="0025108B">
        <w:rPr>
          <w:rFonts w:ascii="Times New Roman" w:hAnsi="Times New Roman"/>
        </w:rPr>
        <w:t xml:space="preserve"> (25%). These results point to the opportunity costs of water collection, which can interfere with girls’ schooling or women’s economic activities. In LGAs such as Brass (20%) and </w:t>
      </w:r>
      <w:proofErr w:type="spellStart"/>
      <w:r w:rsidRPr="0025108B">
        <w:rPr>
          <w:rFonts w:ascii="Times New Roman" w:hAnsi="Times New Roman"/>
        </w:rPr>
        <w:t>Oporoma</w:t>
      </w:r>
      <w:proofErr w:type="spellEnd"/>
      <w:r w:rsidRPr="0025108B">
        <w:rPr>
          <w:rFonts w:ascii="Times New Roman" w:hAnsi="Times New Roman"/>
        </w:rPr>
        <w:t xml:space="preserve"> (19%), time-consuming responsibilities remain significant, though less pronounced than the physical strain.</w:t>
      </w:r>
    </w:p>
    <w:p w14:paraId="4941F994" w14:textId="77777777" w:rsidR="0073016F" w:rsidRPr="0025108B" w:rsidRDefault="0073016F" w:rsidP="0073016F">
      <w:pPr>
        <w:jc w:val="both"/>
        <w:rPr>
          <w:rFonts w:ascii="Times New Roman" w:hAnsi="Times New Roman"/>
        </w:rPr>
      </w:pPr>
      <w:r w:rsidRPr="0025108B">
        <w:rPr>
          <w:rFonts w:ascii="Times New Roman" w:hAnsi="Times New Roman"/>
        </w:rPr>
        <w:t xml:space="preserve">Harassment of girls and women is another concern, though less widespread than physical or time burdens. Brass (33.3%) and </w:t>
      </w:r>
      <w:proofErr w:type="spellStart"/>
      <w:r w:rsidRPr="0025108B">
        <w:rPr>
          <w:rFonts w:ascii="Times New Roman" w:hAnsi="Times New Roman"/>
        </w:rPr>
        <w:t>Ogbia</w:t>
      </w:r>
      <w:proofErr w:type="spellEnd"/>
      <w:r w:rsidRPr="0025108B">
        <w:rPr>
          <w:rFonts w:ascii="Times New Roman" w:hAnsi="Times New Roman"/>
        </w:rPr>
        <w:t xml:space="preserve"> (30%) reported the highest levels, showing that social and safety risks intersect with the labour of water collection. Lower rates in </w:t>
      </w:r>
      <w:proofErr w:type="spellStart"/>
      <w:r w:rsidRPr="0025108B">
        <w:rPr>
          <w:rFonts w:ascii="Times New Roman" w:hAnsi="Times New Roman"/>
        </w:rPr>
        <w:t>Ekeremor</w:t>
      </w:r>
      <w:proofErr w:type="spellEnd"/>
      <w:r w:rsidRPr="0025108B">
        <w:rPr>
          <w:rFonts w:ascii="Times New Roman" w:hAnsi="Times New Roman"/>
        </w:rPr>
        <w:t xml:space="preserve"> (21.4%) and </w:t>
      </w:r>
      <w:proofErr w:type="spellStart"/>
      <w:r w:rsidRPr="0025108B">
        <w:rPr>
          <w:rFonts w:ascii="Times New Roman" w:hAnsi="Times New Roman"/>
        </w:rPr>
        <w:t>Sagbama</w:t>
      </w:r>
      <w:proofErr w:type="spellEnd"/>
      <w:r w:rsidRPr="0025108B">
        <w:rPr>
          <w:rFonts w:ascii="Times New Roman" w:hAnsi="Times New Roman"/>
        </w:rPr>
        <w:t xml:space="preserve"> (20%) suggest that cultural or environmental factors influence exposure to harassment. Accident risk, such as the fear of girls drowning, is minimal, with an average of 1.36% and only observed </w:t>
      </w:r>
      <w:r w:rsidRPr="0025108B">
        <w:rPr>
          <w:rFonts w:ascii="Times New Roman" w:hAnsi="Times New Roman"/>
        </w:rPr>
        <w:lastRenderedPageBreak/>
        <w:t>in Kaiama (10.9%). While infrequent, this highlights a critical but overlooked risk associated with fetching water from unsafe sources.</w:t>
      </w:r>
    </w:p>
    <w:p w14:paraId="03107B1C" w14:textId="77777777" w:rsidR="00F42594" w:rsidRPr="0025108B" w:rsidRDefault="0073016F" w:rsidP="0073016F">
      <w:pPr>
        <w:jc w:val="both"/>
        <w:rPr>
          <w:rFonts w:ascii="Times New Roman" w:hAnsi="Times New Roman"/>
        </w:rPr>
      </w:pPr>
      <w:r w:rsidRPr="0025108B">
        <w:rPr>
          <w:rFonts w:ascii="Times New Roman" w:hAnsi="Times New Roman"/>
        </w:rPr>
        <w:t xml:space="preserve">Overall, the results show that water collection remains a physically demanding, time-intensive, and occasionally unsafe task for women and girls, with local context shaping the relative weight of each challenge. Physical burden dominates in all </w:t>
      </w:r>
      <w:r w:rsidR="00883382" w:rsidRPr="0025108B">
        <w:rPr>
          <w:rFonts w:ascii="Times New Roman" w:hAnsi="Times New Roman"/>
        </w:rPr>
        <w:t>LGA headquarters</w:t>
      </w:r>
      <w:r w:rsidRPr="0025108B">
        <w:rPr>
          <w:rFonts w:ascii="Times New Roman" w:hAnsi="Times New Roman"/>
        </w:rPr>
        <w:t>, but harassment and time constraints vary, reflecting how community infrastructure, household norms, and gendered expectations interact to shape water collection experiences.</w:t>
      </w:r>
    </w:p>
    <w:p w14:paraId="2A4F9A92" w14:textId="77777777" w:rsidR="00B36CA2" w:rsidRDefault="00B36CA2" w:rsidP="00675B35">
      <w:pPr>
        <w:jc w:val="both"/>
        <w:rPr>
          <w:rFonts w:ascii="Times New Roman" w:hAnsi="Times New Roman"/>
          <w:b/>
          <w:bCs/>
        </w:rPr>
        <w:sectPr w:rsidR="00B36CA2">
          <w:footerReference w:type="default" r:id="rId14"/>
          <w:pgSz w:w="12240" w:h="15840"/>
          <w:pgMar w:top="1440" w:right="1440" w:bottom="1440" w:left="1440" w:header="720" w:footer="720" w:gutter="0"/>
          <w:cols w:space="720"/>
          <w:docGrid w:linePitch="360"/>
        </w:sectPr>
      </w:pPr>
    </w:p>
    <w:p w14:paraId="4AE98BC3" w14:textId="77777777" w:rsidR="00F42594" w:rsidRPr="0076417B" w:rsidRDefault="00F42594" w:rsidP="00675B35">
      <w:pPr>
        <w:jc w:val="both"/>
        <w:rPr>
          <w:rFonts w:ascii="Times New Roman" w:hAnsi="Times New Roman"/>
        </w:rPr>
      </w:pPr>
      <w:r w:rsidRPr="0076417B">
        <w:rPr>
          <w:rFonts w:ascii="Times New Roman" w:hAnsi="Times New Roman"/>
        </w:rPr>
        <w:lastRenderedPageBreak/>
        <w:t>Table 4: Gender-Specific Challenges to Water Collection</w:t>
      </w:r>
    </w:p>
    <w:tbl>
      <w:tblPr>
        <w:tblW w:w="9409" w:type="dxa"/>
        <w:tblBorders>
          <w:top w:val="single" w:sz="4" w:space="0" w:color="7F7F7F"/>
          <w:bottom w:val="single" w:sz="4" w:space="0" w:color="7F7F7F"/>
        </w:tblBorders>
        <w:tblLook w:val="0660" w:firstRow="1" w:lastRow="1" w:firstColumn="0" w:lastColumn="0" w:noHBand="1" w:noVBand="1"/>
      </w:tblPr>
      <w:tblGrid>
        <w:gridCol w:w="1392"/>
        <w:gridCol w:w="791"/>
        <w:gridCol w:w="1083"/>
        <w:gridCol w:w="894"/>
        <w:gridCol w:w="816"/>
        <w:gridCol w:w="796"/>
        <w:gridCol w:w="1039"/>
        <w:gridCol w:w="1006"/>
        <w:gridCol w:w="961"/>
        <w:gridCol w:w="927"/>
      </w:tblGrid>
      <w:tr w:rsidR="00F42594" w:rsidRPr="0025108B" w14:paraId="5F268C6E" w14:textId="77777777" w:rsidTr="00F33A8E">
        <w:trPr>
          <w:trHeight w:val="626"/>
        </w:trPr>
        <w:tc>
          <w:tcPr>
            <w:tcW w:w="1392" w:type="dxa"/>
            <w:tcBorders>
              <w:bottom w:val="single" w:sz="4" w:space="0" w:color="7F7F7F"/>
            </w:tcBorders>
            <w:hideMark/>
          </w:tcPr>
          <w:p w14:paraId="7CA39592" w14:textId="77777777" w:rsidR="00F42594" w:rsidRPr="0025108B" w:rsidRDefault="00F42594" w:rsidP="00F33A8E">
            <w:pPr>
              <w:spacing w:after="0" w:line="240" w:lineRule="auto"/>
              <w:jc w:val="center"/>
              <w:rPr>
                <w:rFonts w:ascii="Times New Roman" w:eastAsia="Times New Roman" w:hAnsi="Times New Roman"/>
                <w:b/>
                <w:bCs/>
                <w:color w:val="000000"/>
                <w:kern w:val="0"/>
                <w:sz w:val="20"/>
                <w:szCs w:val="20"/>
              </w:rPr>
            </w:pPr>
            <w:r w:rsidRPr="0025108B">
              <w:rPr>
                <w:rFonts w:ascii="Times New Roman" w:eastAsia="Times New Roman" w:hAnsi="Times New Roman"/>
                <w:b/>
                <w:bCs/>
                <w:color w:val="000000"/>
                <w:kern w:val="0"/>
                <w:sz w:val="20"/>
                <w:szCs w:val="20"/>
              </w:rPr>
              <w:t>Challenge Type</w:t>
            </w:r>
          </w:p>
        </w:tc>
        <w:tc>
          <w:tcPr>
            <w:tcW w:w="791" w:type="dxa"/>
            <w:tcBorders>
              <w:bottom w:val="single" w:sz="4" w:space="0" w:color="7F7F7F"/>
            </w:tcBorders>
            <w:hideMark/>
          </w:tcPr>
          <w:p w14:paraId="2AAE0B29" w14:textId="77777777" w:rsidR="00F42594" w:rsidRPr="0025108B" w:rsidRDefault="00F42594" w:rsidP="00F33A8E">
            <w:pPr>
              <w:spacing w:after="0" w:line="240" w:lineRule="auto"/>
              <w:jc w:val="center"/>
              <w:rPr>
                <w:rFonts w:ascii="Times New Roman" w:eastAsia="Times New Roman" w:hAnsi="Times New Roman"/>
                <w:b/>
                <w:bCs/>
                <w:color w:val="000000"/>
                <w:kern w:val="0"/>
                <w:sz w:val="20"/>
                <w:szCs w:val="20"/>
              </w:rPr>
            </w:pPr>
            <w:r w:rsidRPr="0025108B">
              <w:rPr>
                <w:rFonts w:ascii="Times New Roman" w:eastAsia="Times New Roman" w:hAnsi="Times New Roman"/>
                <w:b/>
                <w:bCs/>
                <w:color w:val="000000"/>
                <w:kern w:val="0"/>
                <w:sz w:val="20"/>
                <w:szCs w:val="20"/>
              </w:rPr>
              <w:t>Brass</w:t>
            </w:r>
          </w:p>
        </w:tc>
        <w:tc>
          <w:tcPr>
            <w:tcW w:w="1030" w:type="dxa"/>
            <w:tcBorders>
              <w:bottom w:val="single" w:sz="4" w:space="0" w:color="7F7F7F"/>
            </w:tcBorders>
            <w:hideMark/>
          </w:tcPr>
          <w:p w14:paraId="71EEE6CE" w14:textId="77777777" w:rsidR="00F42594" w:rsidRPr="0025108B" w:rsidRDefault="00F42594" w:rsidP="00F33A8E">
            <w:pPr>
              <w:spacing w:after="0" w:line="240" w:lineRule="auto"/>
              <w:jc w:val="center"/>
              <w:rPr>
                <w:rFonts w:ascii="Times New Roman" w:eastAsia="Times New Roman" w:hAnsi="Times New Roman"/>
                <w:b/>
                <w:bCs/>
                <w:color w:val="000000"/>
                <w:kern w:val="0"/>
                <w:sz w:val="20"/>
                <w:szCs w:val="20"/>
              </w:rPr>
            </w:pPr>
            <w:proofErr w:type="spellStart"/>
            <w:r w:rsidRPr="0025108B">
              <w:rPr>
                <w:rFonts w:ascii="Times New Roman" w:eastAsia="Times New Roman" w:hAnsi="Times New Roman"/>
                <w:b/>
                <w:bCs/>
                <w:color w:val="000000"/>
                <w:kern w:val="0"/>
                <w:sz w:val="20"/>
                <w:szCs w:val="20"/>
              </w:rPr>
              <w:t>Ekeremor</w:t>
            </w:r>
            <w:proofErr w:type="spellEnd"/>
          </w:p>
        </w:tc>
        <w:tc>
          <w:tcPr>
            <w:tcW w:w="850" w:type="dxa"/>
            <w:tcBorders>
              <w:bottom w:val="single" w:sz="4" w:space="0" w:color="7F7F7F"/>
            </w:tcBorders>
            <w:hideMark/>
          </w:tcPr>
          <w:p w14:paraId="75194E8A" w14:textId="77777777" w:rsidR="00F42594" w:rsidRPr="0025108B" w:rsidRDefault="00F42594" w:rsidP="00F33A8E">
            <w:pPr>
              <w:spacing w:after="0" w:line="240" w:lineRule="auto"/>
              <w:jc w:val="center"/>
              <w:rPr>
                <w:rFonts w:ascii="Times New Roman" w:eastAsia="Times New Roman" w:hAnsi="Times New Roman"/>
                <w:b/>
                <w:bCs/>
                <w:color w:val="000000"/>
                <w:kern w:val="0"/>
                <w:sz w:val="20"/>
                <w:szCs w:val="20"/>
              </w:rPr>
            </w:pPr>
            <w:r w:rsidRPr="0025108B">
              <w:rPr>
                <w:rFonts w:ascii="Times New Roman" w:eastAsia="Times New Roman" w:hAnsi="Times New Roman"/>
                <w:b/>
                <w:bCs/>
                <w:color w:val="000000"/>
                <w:kern w:val="0"/>
                <w:sz w:val="20"/>
                <w:szCs w:val="20"/>
              </w:rPr>
              <w:t>Kaiama</w:t>
            </w:r>
          </w:p>
        </w:tc>
        <w:tc>
          <w:tcPr>
            <w:tcW w:w="809" w:type="dxa"/>
            <w:tcBorders>
              <w:bottom w:val="single" w:sz="4" w:space="0" w:color="7F7F7F"/>
            </w:tcBorders>
            <w:hideMark/>
          </w:tcPr>
          <w:p w14:paraId="66E6FEF0" w14:textId="77777777" w:rsidR="00F42594" w:rsidRPr="0025108B" w:rsidRDefault="00F42594" w:rsidP="00F33A8E">
            <w:pPr>
              <w:spacing w:after="0" w:line="240" w:lineRule="auto"/>
              <w:jc w:val="center"/>
              <w:rPr>
                <w:rFonts w:ascii="Times New Roman" w:eastAsia="Times New Roman" w:hAnsi="Times New Roman"/>
                <w:b/>
                <w:bCs/>
                <w:color w:val="000000"/>
                <w:kern w:val="0"/>
                <w:sz w:val="20"/>
                <w:szCs w:val="20"/>
              </w:rPr>
            </w:pPr>
            <w:proofErr w:type="spellStart"/>
            <w:r w:rsidRPr="0025108B">
              <w:rPr>
                <w:rFonts w:ascii="Times New Roman" w:eastAsia="Times New Roman" w:hAnsi="Times New Roman"/>
                <w:b/>
                <w:bCs/>
                <w:color w:val="000000"/>
                <w:kern w:val="0"/>
                <w:sz w:val="20"/>
                <w:szCs w:val="20"/>
              </w:rPr>
              <w:t>Nembe</w:t>
            </w:r>
            <w:proofErr w:type="spellEnd"/>
          </w:p>
        </w:tc>
        <w:tc>
          <w:tcPr>
            <w:tcW w:w="796" w:type="dxa"/>
            <w:tcBorders>
              <w:bottom w:val="single" w:sz="4" w:space="0" w:color="7F7F7F"/>
            </w:tcBorders>
            <w:hideMark/>
          </w:tcPr>
          <w:p w14:paraId="46CF324D" w14:textId="77777777" w:rsidR="00F42594" w:rsidRPr="0025108B" w:rsidRDefault="00F42594" w:rsidP="00F33A8E">
            <w:pPr>
              <w:spacing w:after="0" w:line="240" w:lineRule="auto"/>
              <w:jc w:val="center"/>
              <w:rPr>
                <w:rFonts w:ascii="Times New Roman" w:eastAsia="Times New Roman" w:hAnsi="Times New Roman"/>
                <w:b/>
                <w:bCs/>
                <w:color w:val="000000"/>
                <w:kern w:val="0"/>
                <w:sz w:val="20"/>
                <w:szCs w:val="20"/>
              </w:rPr>
            </w:pPr>
            <w:proofErr w:type="spellStart"/>
            <w:r w:rsidRPr="0025108B">
              <w:rPr>
                <w:rFonts w:ascii="Times New Roman" w:eastAsia="Times New Roman" w:hAnsi="Times New Roman"/>
                <w:b/>
                <w:bCs/>
                <w:color w:val="000000"/>
                <w:kern w:val="0"/>
                <w:sz w:val="20"/>
                <w:szCs w:val="20"/>
              </w:rPr>
              <w:t>Ogbia</w:t>
            </w:r>
            <w:proofErr w:type="spellEnd"/>
          </w:p>
        </w:tc>
        <w:tc>
          <w:tcPr>
            <w:tcW w:w="988" w:type="dxa"/>
            <w:tcBorders>
              <w:bottom w:val="single" w:sz="4" w:space="0" w:color="7F7F7F"/>
            </w:tcBorders>
            <w:hideMark/>
          </w:tcPr>
          <w:p w14:paraId="15C98A25" w14:textId="77777777" w:rsidR="00F42594" w:rsidRPr="0025108B" w:rsidRDefault="00F42594" w:rsidP="00F33A8E">
            <w:pPr>
              <w:spacing w:after="0" w:line="240" w:lineRule="auto"/>
              <w:jc w:val="center"/>
              <w:rPr>
                <w:rFonts w:ascii="Times New Roman" w:eastAsia="Times New Roman" w:hAnsi="Times New Roman"/>
                <w:b/>
                <w:bCs/>
                <w:color w:val="000000"/>
                <w:kern w:val="0"/>
                <w:sz w:val="20"/>
                <w:szCs w:val="20"/>
              </w:rPr>
            </w:pPr>
            <w:proofErr w:type="spellStart"/>
            <w:r w:rsidRPr="0025108B">
              <w:rPr>
                <w:rFonts w:ascii="Times New Roman" w:eastAsia="Times New Roman" w:hAnsi="Times New Roman"/>
                <w:b/>
                <w:bCs/>
                <w:color w:val="000000"/>
                <w:kern w:val="0"/>
                <w:sz w:val="20"/>
                <w:szCs w:val="20"/>
              </w:rPr>
              <w:t>Oporoma</w:t>
            </w:r>
            <w:proofErr w:type="spellEnd"/>
          </w:p>
        </w:tc>
        <w:tc>
          <w:tcPr>
            <w:tcW w:w="957" w:type="dxa"/>
            <w:tcBorders>
              <w:bottom w:val="single" w:sz="4" w:space="0" w:color="7F7F7F"/>
            </w:tcBorders>
            <w:hideMark/>
          </w:tcPr>
          <w:p w14:paraId="6FC55C92" w14:textId="77777777" w:rsidR="00F42594" w:rsidRPr="0025108B" w:rsidRDefault="00F42594" w:rsidP="00F33A8E">
            <w:pPr>
              <w:spacing w:after="0" w:line="240" w:lineRule="auto"/>
              <w:jc w:val="center"/>
              <w:rPr>
                <w:rFonts w:ascii="Times New Roman" w:eastAsia="Times New Roman" w:hAnsi="Times New Roman"/>
                <w:b/>
                <w:bCs/>
                <w:color w:val="000000"/>
                <w:kern w:val="0"/>
                <w:sz w:val="20"/>
                <w:szCs w:val="20"/>
              </w:rPr>
            </w:pPr>
            <w:proofErr w:type="spellStart"/>
            <w:r w:rsidRPr="0025108B">
              <w:rPr>
                <w:rFonts w:ascii="Times New Roman" w:eastAsia="Times New Roman" w:hAnsi="Times New Roman"/>
                <w:b/>
                <w:bCs/>
                <w:color w:val="000000"/>
                <w:kern w:val="0"/>
                <w:sz w:val="20"/>
                <w:szCs w:val="20"/>
              </w:rPr>
              <w:t>Sagbama</w:t>
            </w:r>
            <w:proofErr w:type="spellEnd"/>
          </w:p>
        </w:tc>
        <w:tc>
          <w:tcPr>
            <w:tcW w:w="914" w:type="dxa"/>
            <w:tcBorders>
              <w:bottom w:val="single" w:sz="4" w:space="0" w:color="7F7F7F"/>
            </w:tcBorders>
            <w:hideMark/>
          </w:tcPr>
          <w:p w14:paraId="017D308C" w14:textId="77777777" w:rsidR="00F42594" w:rsidRPr="0025108B" w:rsidRDefault="00F42594" w:rsidP="00F33A8E">
            <w:pPr>
              <w:spacing w:after="0" w:line="240" w:lineRule="auto"/>
              <w:jc w:val="center"/>
              <w:rPr>
                <w:rFonts w:ascii="Times New Roman" w:eastAsia="Times New Roman" w:hAnsi="Times New Roman"/>
                <w:b/>
                <w:bCs/>
                <w:color w:val="000000"/>
                <w:kern w:val="0"/>
                <w:sz w:val="20"/>
                <w:szCs w:val="20"/>
              </w:rPr>
            </w:pPr>
            <w:r w:rsidRPr="0025108B">
              <w:rPr>
                <w:rFonts w:ascii="Times New Roman" w:eastAsia="Times New Roman" w:hAnsi="Times New Roman"/>
                <w:b/>
                <w:bCs/>
                <w:color w:val="000000"/>
                <w:kern w:val="0"/>
                <w:sz w:val="20"/>
                <w:szCs w:val="20"/>
              </w:rPr>
              <w:t>Yenagoa</w:t>
            </w:r>
          </w:p>
        </w:tc>
        <w:tc>
          <w:tcPr>
            <w:tcW w:w="882" w:type="dxa"/>
            <w:tcBorders>
              <w:bottom w:val="single" w:sz="4" w:space="0" w:color="7F7F7F"/>
            </w:tcBorders>
            <w:hideMark/>
          </w:tcPr>
          <w:p w14:paraId="3ABC26BA" w14:textId="77777777" w:rsidR="00F42594" w:rsidRPr="0025108B" w:rsidRDefault="00F42594" w:rsidP="00F33A8E">
            <w:pPr>
              <w:spacing w:after="0" w:line="240" w:lineRule="auto"/>
              <w:jc w:val="center"/>
              <w:rPr>
                <w:rFonts w:ascii="Times New Roman" w:eastAsia="Times New Roman" w:hAnsi="Times New Roman"/>
                <w:b/>
                <w:bCs/>
                <w:color w:val="000000"/>
                <w:kern w:val="0"/>
                <w:sz w:val="20"/>
                <w:szCs w:val="20"/>
              </w:rPr>
            </w:pPr>
            <w:r w:rsidRPr="0025108B">
              <w:rPr>
                <w:rFonts w:ascii="Times New Roman" w:eastAsia="Times New Roman" w:hAnsi="Times New Roman"/>
                <w:b/>
                <w:bCs/>
                <w:color w:val="000000"/>
                <w:kern w:val="0"/>
                <w:sz w:val="20"/>
                <w:szCs w:val="20"/>
              </w:rPr>
              <w:t>Average</w:t>
            </w:r>
          </w:p>
        </w:tc>
      </w:tr>
      <w:tr w:rsidR="00F42594" w:rsidRPr="0025108B" w14:paraId="6C51DAB9" w14:textId="77777777" w:rsidTr="00F33A8E">
        <w:trPr>
          <w:trHeight w:val="607"/>
        </w:trPr>
        <w:tc>
          <w:tcPr>
            <w:tcW w:w="1392" w:type="dxa"/>
            <w:hideMark/>
          </w:tcPr>
          <w:p w14:paraId="64E63B9D" w14:textId="77777777" w:rsidR="00F42594" w:rsidRPr="0025108B" w:rsidRDefault="00F42594" w:rsidP="00F33A8E">
            <w:pPr>
              <w:spacing w:after="0" w:line="240" w:lineRule="auto"/>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Physical labour burden</w:t>
            </w:r>
          </w:p>
        </w:tc>
        <w:tc>
          <w:tcPr>
            <w:tcW w:w="791" w:type="dxa"/>
            <w:hideMark/>
          </w:tcPr>
          <w:p w14:paraId="6F89E633"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46.7</w:t>
            </w:r>
          </w:p>
        </w:tc>
        <w:tc>
          <w:tcPr>
            <w:tcW w:w="1030" w:type="dxa"/>
            <w:hideMark/>
          </w:tcPr>
          <w:p w14:paraId="18512F83"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78.6</w:t>
            </w:r>
          </w:p>
        </w:tc>
        <w:tc>
          <w:tcPr>
            <w:tcW w:w="850" w:type="dxa"/>
            <w:hideMark/>
          </w:tcPr>
          <w:p w14:paraId="7D98672A"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68.2</w:t>
            </w:r>
          </w:p>
        </w:tc>
        <w:tc>
          <w:tcPr>
            <w:tcW w:w="809" w:type="dxa"/>
            <w:hideMark/>
          </w:tcPr>
          <w:p w14:paraId="5ABAA766"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68.7</w:t>
            </w:r>
          </w:p>
        </w:tc>
        <w:tc>
          <w:tcPr>
            <w:tcW w:w="796" w:type="dxa"/>
            <w:hideMark/>
          </w:tcPr>
          <w:p w14:paraId="45B4D889"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60.0</w:t>
            </w:r>
          </w:p>
        </w:tc>
        <w:tc>
          <w:tcPr>
            <w:tcW w:w="988" w:type="dxa"/>
            <w:hideMark/>
          </w:tcPr>
          <w:p w14:paraId="45E3C980"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66.7</w:t>
            </w:r>
          </w:p>
        </w:tc>
        <w:tc>
          <w:tcPr>
            <w:tcW w:w="957" w:type="dxa"/>
            <w:hideMark/>
          </w:tcPr>
          <w:p w14:paraId="4EB60326"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55.0</w:t>
            </w:r>
          </w:p>
        </w:tc>
        <w:tc>
          <w:tcPr>
            <w:tcW w:w="914" w:type="dxa"/>
            <w:hideMark/>
          </w:tcPr>
          <w:p w14:paraId="37A3A5DE"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100.0</w:t>
            </w:r>
          </w:p>
        </w:tc>
        <w:tc>
          <w:tcPr>
            <w:tcW w:w="882" w:type="dxa"/>
            <w:hideMark/>
          </w:tcPr>
          <w:p w14:paraId="1C1F000E"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67.99</w:t>
            </w:r>
          </w:p>
        </w:tc>
      </w:tr>
      <w:tr w:rsidR="00F42594" w:rsidRPr="0025108B" w14:paraId="6C43299A" w14:textId="77777777" w:rsidTr="00F33A8E">
        <w:trPr>
          <w:trHeight w:val="626"/>
        </w:trPr>
        <w:tc>
          <w:tcPr>
            <w:tcW w:w="1392" w:type="dxa"/>
            <w:hideMark/>
          </w:tcPr>
          <w:p w14:paraId="1B40C98B" w14:textId="77777777" w:rsidR="00F42594" w:rsidRPr="0025108B" w:rsidRDefault="00F42594" w:rsidP="00F33A8E">
            <w:pPr>
              <w:spacing w:after="0" w:line="240" w:lineRule="auto"/>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Time burden</w:t>
            </w:r>
          </w:p>
        </w:tc>
        <w:tc>
          <w:tcPr>
            <w:tcW w:w="791" w:type="dxa"/>
            <w:hideMark/>
          </w:tcPr>
          <w:p w14:paraId="1F80A759"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20.0</w:t>
            </w:r>
          </w:p>
        </w:tc>
        <w:tc>
          <w:tcPr>
            <w:tcW w:w="1030" w:type="dxa"/>
            <w:hideMark/>
          </w:tcPr>
          <w:p w14:paraId="25A0D09C"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w:t>
            </w:r>
          </w:p>
        </w:tc>
        <w:tc>
          <w:tcPr>
            <w:tcW w:w="850" w:type="dxa"/>
            <w:hideMark/>
          </w:tcPr>
          <w:p w14:paraId="256FAAE5"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11.8</w:t>
            </w:r>
          </w:p>
        </w:tc>
        <w:tc>
          <w:tcPr>
            <w:tcW w:w="809" w:type="dxa"/>
            <w:hideMark/>
          </w:tcPr>
          <w:p w14:paraId="47FBCBD6"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31.3</w:t>
            </w:r>
          </w:p>
        </w:tc>
        <w:tc>
          <w:tcPr>
            <w:tcW w:w="796" w:type="dxa"/>
            <w:hideMark/>
          </w:tcPr>
          <w:p w14:paraId="21C7B6DF"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10.0</w:t>
            </w:r>
          </w:p>
        </w:tc>
        <w:tc>
          <w:tcPr>
            <w:tcW w:w="988" w:type="dxa"/>
            <w:hideMark/>
          </w:tcPr>
          <w:p w14:paraId="05BF5298"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19.0</w:t>
            </w:r>
          </w:p>
        </w:tc>
        <w:tc>
          <w:tcPr>
            <w:tcW w:w="957" w:type="dxa"/>
            <w:hideMark/>
          </w:tcPr>
          <w:p w14:paraId="17D052EF"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25.0</w:t>
            </w:r>
          </w:p>
        </w:tc>
        <w:tc>
          <w:tcPr>
            <w:tcW w:w="914" w:type="dxa"/>
            <w:hideMark/>
          </w:tcPr>
          <w:p w14:paraId="2E0A59C4"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w:t>
            </w:r>
          </w:p>
        </w:tc>
        <w:tc>
          <w:tcPr>
            <w:tcW w:w="882" w:type="dxa"/>
            <w:hideMark/>
          </w:tcPr>
          <w:p w14:paraId="5E227DDB"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14.64</w:t>
            </w:r>
          </w:p>
        </w:tc>
      </w:tr>
      <w:tr w:rsidR="00F42594" w:rsidRPr="0025108B" w14:paraId="0E21695C" w14:textId="77777777" w:rsidTr="00F33A8E">
        <w:trPr>
          <w:trHeight w:val="734"/>
        </w:trPr>
        <w:tc>
          <w:tcPr>
            <w:tcW w:w="1392" w:type="dxa"/>
            <w:hideMark/>
          </w:tcPr>
          <w:p w14:paraId="679FDA20" w14:textId="77777777" w:rsidR="00F42594" w:rsidRPr="0025108B" w:rsidRDefault="00F42594" w:rsidP="00F33A8E">
            <w:pPr>
              <w:spacing w:after="0" w:line="240" w:lineRule="auto"/>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Harassment (girls/women)</w:t>
            </w:r>
          </w:p>
        </w:tc>
        <w:tc>
          <w:tcPr>
            <w:tcW w:w="791" w:type="dxa"/>
            <w:hideMark/>
          </w:tcPr>
          <w:p w14:paraId="7A7FEE17"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33.3</w:t>
            </w:r>
          </w:p>
        </w:tc>
        <w:tc>
          <w:tcPr>
            <w:tcW w:w="1030" w:type="dxa"/>
            <w:hideMark/>
          </w:tcPr>
          <w:p w14:paraId="18DDDAD9"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21.4</w:t>
            </w:r>
          </w:p>
        </w:tc>
        <w:tc>
          <w:tcPr>
            <w:tcW w:w="850" w:type="dxa"/>
            <w:hideMark/>
          </w:tcPr>
          <w:p w14:paraId="12217F4A"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9.1</w:t>
            </w:r>
          </w:p>
        </w:tc>
        <w:tc>
          <w:tcPr>
            <w:tcW w:w="809" w:type="dxa"/>
            <w:hideMark/>
          </w:tcPr>
          <w:p w14:paraId="2A1D0629"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w:t>
            </w:r>
          </w:p>
        </w:tc>
        <w:tc>
          <w:tcPr>
            <w:tcW w:w="796" w:type="dxa"/>
            <w:hideMark/>
          </w:tcPr>
          <w:p w14:paraId="3682294A"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30.0</w:t>
            </w:r>
          </w:p>
        </w:tc>
        <w:tc>
          <w:tcPr>
            <w:tcW w:w="988" w:type="dxa"/>
            <w:hideMark/>
          </w:tcPr>
          <w:p w14:paraId="3A76BFEB"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14.3</w:t>
            </w:r>
          </w:p>
        </w:tc>
        <w:tc>
          <w:tcPr>
            <w:tcW w:w="957" w:type="dxa"/>
            <w:hideMark/>
          </w:tcPr>
          <w:p w14:paraId="78AD7182"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20.0</w:t>
            </w:r>
          </w:p>
        </w:tc>
        <w:tc>
          <w:tcPr>
            <w:tcW w:w="914" w:type="dxa"/>
            <w:hideMark/>
          </w:tcPr>
          <w:p w14:paraId="30E891F2"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w:t>
            </w:r>
          </w:p>
        </w:tc>
        <w:tc>
          <w:tcPr>
            <w:tcW w:w="882" w:type="dxa"/>
            <w:hideMark/>
          </w:tcPr>
          <w:p w14:paraId="6533C535"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16.01</w:t>
            </w:r>
          </w:p>
        </w:tc>
      </w:tr>
      <w:tr w:rsidR="00F42594" w:rsidRPr="0025108B" w14:paraId="4ACD93F6" w14:textId="77777777" w:rsidTr="00F33A8E">
        <w:trPr>
          <w:trHeight w:val="591"/>
        </w:trPr>
        <w:tc>
          <w:tcPr>
            <w:tcW w:w="1392" w:type="dxa"/>
            <w:hideMark/>
          </w:tcPr>
          <w:p w14:paraId="32D39F80" w14:textId="77777777" w:rsidR="00F42594" w:rsidRPr="0025108B" w:rsidRDefault="00F42594" w:rsidP="00F33A8E">
            <w:pPr>
              <w:spacing w:after="0" w:line="240" w:lineRule="auto"/>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Accident risk (drowning)</w:t>
            </w:r>
          </w:p>
        </w:tc>
        <w:tc>
          <w:tcPr>
            <w:tcW w:w="791" w:type="dxa"/>
            <w:hideMark/>
          </w:tcPr>
          <w:p w14:paraId="7B9ACA5D"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w:t>
            </w:r>
          </w:p>
        </w:tc>
        <w:tc>
          <w:tcPr>
            <w:tcW w:w="1030" w:type="dxa"/>
            <w:hideMark/>
          </w:tcPr>
          <w:p w14:paraId="7C523BF5"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w:t>
            </w:r>
          </w:p>
        </w:tc>
        <w:tc>
          <w:tcPr>
            <w:tcW w:w="850" w:type="dxa"/>
            <w:hideMark/>
          </w:tcPr>
          <w:p w14:paraId="79D30EAD"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10.9</w:t>
            </w:r>
          </w:p>
        </w:tc>
        <w:tc>
          <w:tcPr>
            <w:tcW w:w="809" w:type="dxa"/>
            <w:hideMark/>
          </w:tcPr>
          <w:p w14:paraId="30E6F99C"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w:t>
            </w:r>
          </w:p>
        </w:tc>
        <w:tc>
          <w:tcPr>
            <w:tcW w:w="796" w:type="dxa"/>
            <w:hideMark/>
          </w:tcPr>
          <w:p w14:paraId="2802ABC4"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w:t>
            </w:r>
          </w:p>
        </w:tc>
        <w:tc>
          <w:tcPr>
            <w:tcW w:w="988" w:type="dxa"/>
            <w:hideMark/>
          </w:tcPr>
          <w:p w14:paraId="09844CBB"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w:t>
            </w:r>
          </w:p>
        </w:tc>
        <w:tc>
          <w:tcPr>
            <w:tcW w:w="957" w:type="dxa"/>
            <w:hideMark/>
          </w:tcPr>
          <w:p w14:paraId="33806332"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w:t>
            </w:r>
          </w:p>
        </w:tc>
        <w:tc>
          <w:tcPr>
            <w:tcW w:w="914" w:type="dxa"/>
            <w:hideMark/>
          </w:tcPr>
          <w:p w14:paraId="5F6A5705"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w:t>
            </w:r>
          </w:p>
        </w:tc>
        <w:tc>
          <w:tcPr>
            <w:tcW w:w="882" w:type="dxa"/>
            <w:hideMark/>
          </w:tcPr>
          <w:p w14:paraId="0D993D33" w14:textId="77777777" w:rsidR="00F42594" w:rsidRPr="0025108B" w:rsidRDefault="00F42594" w:rsidP="00F33A8E">
            <w:pPr>
              <w:spacing w:after="0" w:line="240" w:lineRule="auto"/>
              <w:jc w:val="center"/>
              <w:rPr>
                <w:rFonts w:ascii="Times New Roman" w:eastAsia="Times New Roman" w:hAnsi="Times New Roman"/>
                <w:color w:val="000000"/>
                <w:kern w:val="0"/>
                <w:sz w:val="20"/>
                <w:szCs w:val="20"/>
              </w:rPr>
            </w:pPr>
            <w:r w:rsidRPr="0025108B">
              <w:rPr>
                <w:rFonts w:ascii="Times New Roman" w:eastAsia="Times New Roman" w:hAnsi="Times New Roman"/>
                <w:color w:val="000000"/>
                <w:kern w:val="0"/>
                <w:sz w:val="20"/>
                <w:szCs w:val="20"/>
              </w:rPr>
              <w:t>1.36</w:t>
            </w:r>
          </w:p>
        </w:tc>
      </w:tr>
      <w:tr w:rsidR="00F42594" w:rsidRPr="0025108B" w14:paraId="175C18C4" w14:textId="77777777" w:rsidTr="00F33A8E">
        <w:trPr>
          <w:trHeight w:val="312"/>
        </w:trPr>
        <w:tc>
          <w:tcPr>
            <w:tcW w:w="1392" w:type="dxa"/>
            <w:tcBorders>
              <w:top w:val="single" w:sz="4" w:space="0" w:color="7F7F7F"/>
            </w:tcBorders>
            <w:noWrap/>
            <w:hideMark/>
          </w:tcPr>
          <w:p w14:paraId="4BB21451" w14:textId="77777777" w:rsidR="00F42594" w:rsidRPr="0025108B" w:rsidRDefault="00F42594" w:rsidP="00F33A8E">
            <w:pPr>
              <w:spacing w:after="0" w:line="240" w:lineRule="auto"/>
              <w:rPr>
                <w:rFonts w:ascii="Times New Roman" w:eastAsia="Times New Roman" w:hAnsi="Times New Roman"/>
                <w:b/>
                <w:bCs/>
                <w:color w:val="000000"/>
                <w:kern w:val="0"/>
                <w:sz w:val="20"/>
                <w:szCs w:val="20"/>
              </w:rPr>
            </w:pPr>
            <w:r w:rsidRPr="0025108B">
              <w:rPr>
                <w:rFonts w:ascii="Times New Roman" w:eastAsia="Times New Roman" w:hAnsi="Times New Roman"/>
                <w:b/>
                <w:bCs/>
                <w:color w:val="000000"/>
                <w:kern w:val="0"/>
                <w:sz w:val="20"/>
                <w:szCs w:val="20"/>
              </w:rPr>
              <w:t>Total</w:t>
            </w:r>
          </w:p>
        </w:tc>
        <w:tc>
          <w:tcPr>
            <w:tcW w:w="791" w:type="dxa"/>
            <w:tcBorders>
              <w:top w:val="single" w:sz="4" w:space="0" w:color="7F7F7F"/>
            </w:tcBorders>
            <w:noWrap/>
            <w:hideMark/>
          </w:tcPr>
          <w:p w14:paraId="09C23A00" w14:textId="77777777" w:rsidR="00F42594" w:rsidRPr="0025108B" w:rsidRDefault="00F42594" w:rsidP="00F33A8E">
            <w:pPr>
              <w:spacing w:after="0" w:line="240" w:lineRule="auto"/>
              <w:jc w:val="center"/>
              <w:rPr>
                <w:rFonts w:ascii="Times New Roman" w:eastAsia="Times New Roman" w:hAnsi="Times New Roman"/>
                <w:b/>
                <w:bCs/>
                <w:color w:val="000000"/>
                <w:kern w:val="0"/>
                <w:sz w:val="20"/>
                <w:szCs w:val="20"/>
              </w:rPr>
            </w:pPr>
            <w:r w:rsidRPr="0025108B">
              <w:rPr>
                <w:rFonts w:ascii="Times New Roman" w:eastAsia="Times New Roman" w:hAnsi="Times New Roman"/>
                <w:b/>
                <w:bCs/>
                <w:color w:val="000000"/>
                <w:kern w:val="0"/>
                <w:sz w:val="20"/>
                <w:szCs w:val="20"/>
              </w:rPr>
              <w:t>100</w:t>
            </w:r>
          </w:p>
        </w:tc>
        <w:tc>
          <w:tcPr>
            <w:tcW w:w="1030" w:type="dxa"/>
            <w:tcBorders>
              <w:top w:val="single" w:sz="4" w:space="0" w:color="7F7F7F"/>
            </w:tcBorders>
            <w:noWrap/>
            <w:hideMark/>
          </w:tcPr>
          <w:p w14:paraId="7B37CBEB" w14:textId="77777777" w:rsidR="00F42594" w:rsidRPr="0025108B" w:rsidRDefault="00F42594" w:rsidP="00F33A8E">
            <w:pPr>
              <w:spacing w:after="0" w:line="240" w:lineRule="auto"/>
              <w:jc w:val="center"/>
              <w:rPr>
                <w:rFonts w:ascii="Times New Roman" w:eastAsia="Times New Roman" w:hAnsi="Times New Roman"/>
                <w:b/>
                <w:bCs/>
                <w:color w:val="000000"/>
                <w:kern w:val="0"/>
                <w:sz w:val="20"/>
                <w:szCs w:val="20"/>
              </w:rPr>
            </w:pPr>
            <w:r w:rsidRPr="0025108B">
              <w:rPr>
                <w:rFonts w:ascii="Times New Roman" w:eastAsia="Times New Roman" w:hAnsi="Times New Roman"/>
                <w:b/>
                <w:bCs/>
                <w:color w:val="000000"/>
                <w:kern w:val="0"/>
                <w:sz w:val="20"/>
                <w:szCs w:val="20"/>
              </w:rPr>
              <w:t>100</w:t>
            </w:r>
          </w:p>
        </w:tc>
        <w:tc>
          <w:tcPr>
            <w:tcW w:w="850" w:type="dxa"/>
            <w:tcBorders>
              <w:top w:val="single" w:sz="4" w:space="0" w:color="7F7F7F"/>
            </w:tcBorders>
            <w:noWrap/>
            <w:hideMark/>
          </w:tcPr>
          <w:p w14:paraId="2696DFDF" w14:textId="77777777" w:rsidR="00F42594" w:rsidRPr="0025108B" w:rsidRDefault="00F42594" w:rsidP="00F33A8E">
            <w:pPr>
              <w:spacing w:after="0" w:line="240" w:lineRule="auto"/>
              <w:jc w:val="center"/>
              <w:rPr>
                <w:rFonts w:ascii="Times New Roman" w:eastAsia="Times New Roman" w:hAnsi="Times New Roman"/>
                <w:b/>
                <w:bCs/>
                <w:color w:val="000000"/>
                <w:kern w:val="0"/>
                <w:sz w:val="20"/>
                <w:szCs w:val="20"/>
              </w:rPr>
            </w:pPr>
            <w:r w:rsidRPr="0025108B">
              <w:rPr>
                <w:rFonts w:ascii="Times New Roman" w:eastAsia="Times New Roman" w:hAnsi="Times New Roman"/>
                <w:b/>
                <w:bCs/>
                <w:color w:val="000000"/>
                <w:kern w:val="0"/>
                <w:sz w:val="20"/>
                <w:szCs w:val="20"/>
              </w:rPr>
              <w:t>100</w:t>
            </w:r>
          </w:p>
        </w:tc>
        <w:tc>
          <w:tcPr>
            <w:tcW w:w="809" w:type="dxa"/>
            <w:tcBorders>
              <w:top w:val="single" w:sz="4" w:space="0" w:color="7F7F7F"/>
            </w:tcBorders>
            <w:noWrap/>
            <w:hideMark/>
          </w:tcPr>
          <w:p w14:paraId="05173E44" w14:textId="77777777" w:rsidR="00F42594" w:rsidRPr="0025108B" w:rsidRDefault="00F42594" w:rsidP="00F33A8E">
            <w:pPr>
              <w:spacing w:after="0" w:line="240" w:lineRule="auto"/>
              <w:jc w:val="center"/>
              <w:rPr>
                <w:rFonts w:ascii="Times New Roman" w:eastAsia="Times New Roman" w:hAnsi="Times New Roman"/>
                <w:b/>
                <w:bCs/>
                <w:color w:val="000000"/>
                <w:kern w:val="0"/>
                <w:sz w:val="20"/>
                <w:szCs w:val="20"/>
              </w:rPr>
            </w:pPr>
            <w:r w:rsidRPr="0025108B">
              <w:rPr>
                <w:rFonts w:ascii="Times New Roman" w:eastAsia="Times New Roman" w:hAnsi="Times New Roman"/>
                <w:b/>
                <w:bCs/>
                <w:color w:val="000000"/>
                <w:kern w:val="0"/>
                <w:sz w:val="20"/>
                <w:szCs w:val="20"/>
              </w:rPr>
              <w:t>100</w:t>
            </w:r>
          </w:p>
        </w:tc>
        <w:tc>
          <w:tcPr>
            <w:tcW w:w="796" w:type="dxa"/>
            <w:tcBorders>
              <w:top w:val="single" w:sz="4" w:space="0" w:color="7F7F7F"/>
            </w:tcBorders>
            <w:noWrap/>
            <w:hideMark/>
          </w:tcPr>
          <w:p w14:paraId="67BC586B" w14:textId="77777777" w:rsidR="00F42594" w:rsidRPr="0025108B" w:rsidRDefault="00F42594" w:rsidP="00F33A8E">
            <w:pPr>
              <w:spacing w:after="0" w:line="240" w:lineRule="auto"/>
              <w:jc w:val="center"/>
              <w:rPr>
                <w:rFonts w:ascii="Times New Roman" w:eastAsia="Times New Roman" w:hAnsi="Times New Roman"/>
                <w:b/>
                <w:bCs/>
                <w:color w:val="000000"/>
                <w:kern w:val="0"/>
                <w:sz w:val="20"/>
                <w:szCs w:val="20"/>
              </w:rPr>
            </w:pPr>
            <w:r w:rsidRPr="0025108B">
              <w:rPr>
                <w:rFonts w:ascii="Times New Roman" w:eastAsia="Times New Roman" w:hAnsi="Times New Roman"/>
                <w:b/>
                <w:bCs/>
                <w:color w:val="000000"/>
                <w:kern w:val="0"/>
                <w:sz w:val="20"/>
                <w:szCs w:val="20"/>
              </w:rPr>
              <w:t>100</w:t>
            </w:r>
          </w:p>
        </w:tc>
        <w:tc>
          <w:tcPr>
            <w:tcW w:w="988" w:type="dxa"/>
            <w:tcBorders>
              <w:top w:val="single" w:sz="4" w:space="0" w:color="7F7F7F"/>
            </w:tcBorders>
            <w:noWrap/>
            <w:hideMark/>
          </w:tcPr>
          <w:p w14:paraId="3F98F709" w14:textId="77777777" w:rsidR="00F42594" w:rsidRPr="0025108B" w:rsidRDefault="00F42594" w:rsidP="00F33A8E">
            <w:pPr>
              <w:spacing w:after="0" w:line="240" w:lineRule="auto"/>
              <w:jc w:val="center"/>
              <w:rPr>
                <w:rFonts w:ascii="Times New Roman" w:eastAsia="Times New Roman" w:hAnsi="Times New Roman"/>
                <w:b/>
                <w:bCs/>
                <w:color w:val="000000"/>
                <w:kern w:val="0"/>
                <w:sz w:val="20"/>
                <w:szCs w:val="20"/>
              </w:rPr>
            </w:pPr>
            <w:r w:rsidRPr="0025108B">
              <w:rPr>
                <w:rFonts w:ascii="Times New Roman" w:eastAsia="Times New Roman" w:hAnsi="Times New Roman"/>
                <w:b/>
                <w:bCs/>
                <w:color w:val="000000"/>
                <w:kern w:val="0"/>
                <w:sz w:val="20"/>
                <w:szCs w:val="20"/>
              </w:rPr>
              <w:t>100</w:t>
            </w:r>
          </w:p>
        </w:tc>
        <w:tc>
          <w:tcPr>
            <w:tcW w:w="957" w:type="dxa"/>
            <w:tcBorders>
              <w:top w:val="single" w:sz="4" w:space="0" w:color="7F7F7F"/>
            </w:tcBorders>
            <w:noWrap/>
            <w:hideMark/>
          </w:tcPr>
          <w:p w14:paraId="6A49D8E7" w14:textId="77777777" w:rsidR="00F42594" w:rsidRPr="0025108B" w:rsidRDefault="00F42594" w:rsidP="00F33A8E">
            <w:pPr>
              <w:spacing w:after="0" w:line="240" w:lineRule="auto"/>
              <w:jc w:val="center"/>
              <w:rPr>
                <w:rFonts w:ascii="Times New Roman" w:eastAsia="Times New Roman" w:hAnsi="Times New Roman"/>
                <w:b/>
                <w:bCs/>
                <w:color w:val="000000"/>
                <w:kern w:val="0"/>
                <w:sz w:val="20"/>
                <w:szCs w:val="20"/>
              </w:rPr>
            </w:pPr>
            <w:r w:rsidRPr="0025108B">
              <w:rPr>
                <w:rFonts w:ascii="Times New Roman" w:eastAsia="Times New Roman" w:hAnsi="Times New Roman"/>
                <w:b/>
                <w:bCs/>
                <w:color w:val="000000"/>
                <w:kern w:val="0"/>
                <w:sz w:val="20"/>
                <w:szCs w:val="20"/>
              </w:rPr>
              <w:t>100</w:t>
            </w:r>
          </w:p>
        </w:tc>
        <w:tc>
          <w:tcPr>
            <w:tcW w:w="914" w:type="dxa"/>
            <w:tcBorders>
              <w:top w:val="single" w:sz="4" w:space="0" w:color="7F7F7F"/>
            </w:tcBorders>
            <w:noWrap/>
            <w:hideMark/>
          </w:tcPr>
          <w:p w14:paraId="2E12FE72" w14:textId="77777777" w:rsidR="00F42594" w:rsidRPr="0025108B" w:rsidRDefault="00F42594" w:rsidP="00F33A8E">
            <w:pPr>
              <w:spacing w:after="0" w:line="240" w:lineRule="auto"/>
              <w:jc w:val="center"/>
              <w:rPr>
                <w:rFonts w:ascii="Times New Roman" w:eastAsia="Times New Roman" w:hAnsi="Times New Roman"/>
                <w:b/>
                <w:bCs/>
                <w:color w:val="000000"/>
                <w:kern w:val="0"/>
                <w:sz w:val="20"/>
                <w:szCs w:val="20"/>
              </w:rPr>
            </w:pPr>
            <w:r w:rsidRPr="0025108B">
              <w:rPr>
                <w:rFonts w:ascii="Times New Roman" w:eastAsia="Times New Roman" w:hAnsi="Times New Roman"/>
                <w:b/>
                <w:bCs/>
                <w:color w:val="000000"/>
                <w:kern w:val="0"/>
                <w:sz w:val="20"/>
                <w:szCs w:val="20"/>
              </w:rPr>
              <w:t>100</w:t>
            </w:r>
          </w:p>
        </w:tc>
        <w:tc>
          <w:tcPr>
            <w:tcW w:w="882" w:type="dxa"/>
            <w:tcBorders>
              <w:top w:val="single" w:sz="4" w:space="0" w:color="7F7F7F"/>
            </w:tcBorders>
            <w:noWrap/>
            <w:hideMark/>
          </w:tcPr>
          <w:p w14:paraId="29B81DCD" w14:textId="77777777" w:rsidR="00F42594" w:rsidRPr="0025108B" w:rsidRDefault="00F42594" w:rsidP="00F33A8E">
            <w:pPr>
              <w:spacing w:after="0" w:line="240" w:lineRule="auto"/>
              <w:jc w:val="center"/>
              <w:rPr>
                <w:rFonts w:ascii="Times New Roman" w:eastAsia="Times New Roman" w:hAnsi="Times New Roman"/>
                <w:b/>
                <w:bCs/>
                <w:color w:val="000000"/>
                <w:kern w:val="0"/>
                <w:sz w:val="20"/>
                <w:szCs w:val="20"/>
              </w:rPr>
            </w:pPr>
            <w:r w:rsidRPr="0025108B">
              <w:rPr>
                <w:rFonts w:ascii="Times New Roman" w:eastAsia="Times New Roman" w:hAnsi="Times New Roman"/>
                <w:b/>
                <w:bCs/>
                <w:color w:val="000000"/>
                <w:kern w:val="0"/>
                <w:sz w:val="20"/>
                <w:szCs w:val="20"/>
              </w:rPr>
              <w:t>100</w:t>
            </w:r>
          </w:p>
        </w:tc>
      </w:tr>
    </w:tbl>
    <w:p w14:paraId="432EE222" w14:textId="77777777" w:rsidR="00961CE8" w:rsidRPr="0025108B" w:rsidRDefault="00675B35" w:rsidP="00675B35">
      <w:pPr>
        <w:jc w:val="both"/>
        <w:rPr>
          <w:rFonts w:ascii="Times New Roman" w:hAnsi="Times New Roman"/>
        </w:rPr>
      </w:pPr>
      <w:r w:rsidRPr="0025108B">
        <w:rPr>
          <w:rFonts w:ascii="Times New Roman" w:hAnsi="Times New Roman"/>
        </w:rPr>
        <w:t>Source: Author’s Fieldwork, 2024</w:t>
      </w:r>
      <w:r w:rsidR="00CC7CAC" w:rsidRPr="0025108B">
        <w:rPr>
          <w:rFonts w:ascii="Times New Roman" w:hAnsi="Times New Roman"/>
        </w:rPr>
        <w:t>.</w:t>
      </w:r>
    </w:p>
    <w:p w14:paraId="78A5FE67" w14:textId="77777777" w:rsidR="00CC7CAC" w:rsidRPr="0025108B" w:rsidRDefault="00CC7CAC" w:rsidP="00CC7CAC">
      <w:pPr>
        <w:jc w:val="both"/>
        <w:rPr>
          <w:rFonts w:ascii="Times New Roman" w:hAnsi="Times New Roman"/>
          <w:b/>
          <w:bCs/>
        </w:rPr>
      </w:pPr>
      <w:r w:rsidRPr="0025108B">
        <w:rPr>
          <w:rFonts w:ascii="Times New Roman" w:hAnsi="Times New Roman"/>
          <w:b/>
          <w:bCs/>
        </w:rPr>
        <w:t>3.5 Extent of Gender Influence on Water Collection in Bayelsa State</w:t>
      </w:r>
    </w:p>
    <w:p w14:paraId="131D9D46" w14:textId="77777777" w:rsidR="00CC7CAC" w:rsidRPr="0025108B" w:rsidRDefault="00CC7CAC" w:rsidP="00CC7CAC">
      <w:pPr>
        <w:jc w:val="both"/>
        <w:rPr>
          <w:rFonts w:ascii="Times New Roman" w:hAnsi="Times New Roman"/>
        </w:rPr>
      </w:pPr>
      <w:r w:rsidRPr="0025108B">
        <w:rPr>
          <w:rFonts w:ascii="Times New Roman" w:hAnsi="Times New Roman"/>
        </w:rPr>
        <w:t>To assess whether gender significantly shapes responsibility for water collection across households, a Chi-Square Test of Independence was employed. This statistical test is appropriate for examining the relationship between the two variables in question: in this case, gender (male or female) and the assigned household water collector (adult male, adult female, male child, female child). The test helped determines whether observed differences in water collection by gender deviate significantly from what would be expected under the assumption of no association.</w:t>
      </w:r>
    </w:p>
    <w:p w14:paraId="72273076" w14:textId="77777777" w:rsidR="00CC7CAC" w:rsidRPr="0025108B" w:rsidRDefault="00CC7CAC" w:rsidP="00CC7CAC">
      <w:pPr>
        <w:jc w:val="both"/>
        <w:rPr>
          <w:rFonts w:ascii="Times New Roman" w:hAnsi="Times New Roman"/>
        </w:rPr>
      </w:pPr>
      <w:r w:rsidRPr="0025108B">
        <w:rPr>
          <w:rFonts w:ascii="Times New Roman" w:hAnsi="Times New Roman"/>
        </w:rPr>
        <w:t xml:space="preserve">The crosstabulation of gender water collection responsibility as shown in Table 5, revealed that across all </w:t>
      </w:r>
      <w:r w:rsidR="00275DAF" w:rsidRPr="0025108B">
        <w:rPr>
          <w:rFonts w:ascii="Times New Roman" w:hAnsi="Times New Roman"/>
        </w:rPr>
        <w:t>LGA headquarters</w:t>
      </w:r>
      <w:r w:rsidRPr="0025108B">
        <w:rPr>
          <w:rFonts w:ascii="Times New Roman" w:hAnsi="Times New Roman"/>
        </w:rPr>
        <w:t>, females slightly outnumber males (55% compared 45%) among the primary water collectors. Adult females represent the largest single group (54 individuals), followed by male children (37) (Table 5). This pattern highlights the concentration of water collection responsibilities on women, with children particularly boys in some contexts also contributing significantly.</w:t>
      </w:r>
    </w:p>
    <w:p w14:paraId="647B1B3F" w14:textId="77777777" w:rsidR="00CC7CAC" w:rsidRPr="0025108B" w:rsidRDefault="00CC7CAC" w:rsidP="00CC7CAC">
      <w:pPr>
        <w:jc w:val="both"/>
        <w:rPr>
          <w:rFonts w:ascii="Times New Roman" w:hAnsi="Times New Roman"/>
        </w:rPr>
      </w:pPr>
      <w:r w:rsidRPr="0025108B">
        <w:rPr>
          <w:rFonts w:ascii="Times New Roman" w:hAnsi="Times New Roman"/>
        </w:rPr>
        <w:t>Table 5: Gender Crosstabulation of Water Collection Responsibility</w:t>
      </w:r>
    </w:p>
    <w:tbl>
      <w:tblPr>
        <w:tblW w:w="7460" w:type="dxa"/>
        <w:tblBorders>
          <w:top w:val="single" w:sz="4" w:space="0" w:color="7F7F7F"/>
          <w:bottom w:val="single" w:sz="4" w:space="0" w:color="7F7F7F"/>
        </w:tblBorders>
        <w:tblLook w:val="0660" w:firstRow="1" w:lastRow="1" w:firstColumn="0" w:lastColumn="0" w:noHBand="1" w:noVBand="1"/>
      </w:tblPr>
      <w:tblGrid>
        <w:gridCol w:w="1781"/>
        <w:gridCol w:w="2222"/>
        <w:gridCol w:w="1723"/>
        <w:gridCol w:w="1734"/>
      </w:tblGrid>
      <w:tr w:rsidR="00CC7CAC" w:rsidRPr="0025108B" w14:paraId="12059C71" w14:textId="77777777" w:rsidTr="00F33A8E">
        <w:trPr>
          <w:trHeight w:val="521"/>
        </w:trPr>
        <w:tc>
          <w:tcPr>
            <w:tcW w:w="0" w:type="auto"/>
            <w:tcBorders>
              <w:bottom w:val="single" w:sz="4" w:space="0" w:color="7F7F7F"/>
            </w:tcBorders>
            <w:hideMark/>
          </w:tcPr>
          <w:p w14:paraId="61D12DCE" w14:textId="77777777" w:rsidR="00CC7CAC" w:rsidRPr="0025108B" w:rsidRDefault="00CC7CAC" w:rsidP="00F33A8E">
            <w:pPr>
              <w:jc w:val="both"/>
              <w:rPr>
                <w:rFonts w:ascii="Times New Roman" w:hAnsi="Times New Roman"/>
                <w:b/>
                <w:bCs/>
                <w:sz w:val="20"/>
                <w:szCs w:val="20"/>
              </w:rPr>
            </w:pPr>
          </w:p>
        </w:tc>
        <w:tc>
          <w:tcPr>
            <w:tcW w:w="0" w:type="auto"/>
            <w:tcBorders>
              <w:bottom w:val="single" w:sz="4" w:space="0" w:color="7F7F7F"/>
            </w:tcBorders>
            <w:hideMark/>
          </w:tcPr>
          <w:p w14:paraId="30D72396" w14:textId="77777777" w:rsidR="00CC7CAC" w:rsidRPr="0025108B" w:rsidRDefault="00CC7CAC" w:rsidP="00F33A8E">
            <w:pPr>
              <w:jc w:val="both"/>
              <w:rPr>
                <w:rFonts w:ascii="Times New Roman" w:hAnsi="Times New Roman"/>
                <w:b/>
                <w:bCs/>
                <w:sz w:val="20"/>
                <w:szCs w:val="20"/>
              </w:rPr>
            </w:pPr>
            <w:r w:rsidRPr="0025108B">
              <w:rPr>
                <w:rFonts w:ascii="Times New Roman" w:hAnsi="Times New Roman"/>
                <w:b/>
                <w:bCs/>
                <w:sz w:val="20"/>
                <w:szCs w:val="20"/>
              </w:rPr>
              <w:t>Female</w:t>
            </w:r>
          </w:p>
        </w:tc>
        <w:tc>
          <w:tcPr>
            <w:tcW w:w="0" w:type="auto"/>
            <w:tcBorders>
              <w:bottom w:val="single" w:sz="4" w:space="0" w:color="7F7F7F"/>
            </w:tcBorders>
            <w:hideMark/>
          </w:tcPr>
          <w:p w14:paraId="487CEC9C" w14:textId="77777777" w:rsidR="00CC7CAC" w:rsidRPr="0025108B" w:rsidRDefault="00CC7CAC" w:rsidP="00F33A8E">
            <w:pPr>
              <w:jc w:val="both"/>
              <w:rPr>
                <w:rFonts w:ascii="Times New Roman" w:hAnsi="Times New Roman"/>
                <w:b/>
                <w:bCs/>
                <w:sz w:val="20"/>
                <w:szCs w:val="20"/>
              </w:rPr>
            </w:pPr>
            <w:r w:rsidRPr="0025108B">
              <w:rPr>
                <w:rFonts w:ascii="Times New Roman" w:hAnsi="Times New Roman"/>
                <w:b/>
                <w:bCs/>
                <w:sz w:val="20"/>
                <w:szCs w:val="20"/>
              </w:rPr>
              <w:t>Male</w:t>
            </w:r>
          </w:p>
        </w:tc>
        <w:tc>
          <w:tcPr>
            <w:tcW w:w="0" w:type="auto"/>
            <w:tcBorders>
              <w:bottom w:val="single" w:sz="4" w:space="0" w:color="7F7F7F"/>
            </w:tcBorders>
            <w:hideMark/>
          </w:tcPr>
          <w:p w14:paraId="7B8E0292" w14:textId="77777777" w:rsidR="00CC7CAC" w:rsidRPr="0025108B" w:rsidRDefault="00CC7CAC" w:rsidP="00F33A8E">
            <w:pPr>
              <w:jc w:val="both"/>
              <w:rPr>
                <w:rFonts w:ascii="Times New Roman" w:hAnsi="Times New Roman"/>
                <w:b/>
                <w:bCs/>
                <w:sz w:val="20"/>
                <w:szCs w:val="20"/>
              </w:rPr>
            </w:pPr>
            <w:r w:rsidRPr="0025108B">
              <w:rPr>
                <w:rFonts w:ascii="Times New Roman" w:hAnsi="Times New Roman"/>
                <w:b/>
                <w:bCs/>
                <w:sz w:val="20"/>
                <w:szCs w:val="20"/>
              </w:rPr>
              <w:t>Total</w:t>
            </w:r>
          </w:p>
        </w:tc>
      </w:tr>
      <w:tr w:rsidR="00CC7CAC" w:rsidRPr="0025108B" w14:paraId="79B73B46" w14:textId="77777777" w:rsidTr="00F33A8E">
        <w:trPr>
          <w:trHeight w:val="521"/>
        </w:trPr>
        <w:tc>
          <w:tcPr>
            <w:tcW w:w="0" w:type="auto"/>
            <w:hideMark/>
          </w:tcPr>
          <w:p w14:paraId="7C4F6933" w14:textId="77777777" w:rsidR="00CC7CAC" w:rsidRPr="0025108B" w:rsidRDefault="00CC7CAC" w:rsidP="00F33A8E">
            <w:pPr>
              <w:jc w:val="both"/>
              <w:rPr>
                <w:rFonts w:ascii="Times New Roman" w:hAnsi="Times New Roman"/>
                <w:sz w:val="20"/>
                <w:szCs w:val="20"/>
              </w:rPr>
            </w:pPr>
            <w:r w:rsidRPr="0025108B">
              <w:rPr>
                <w:rFonts w:ascii="Times New Roman" w:hAnsi="Times New Roman"/>
                <w:sz w:val="20"/>
                <w:szCs w:val="20"/>
              </w:rPr>
              <w:t>Adult</w:t>
            </w:r>
          </w:p>
        </w:tc>
        <w:tc>
          <w:tcPr>
            <w:tcW w:w="0" w:type="auto"/>
            <w:hideMark/>
          </w:tcPr>
          <w:p w14:paraId="0D83B4AE" w14:textId="77777777" w:rsidR="00CC7CAC" w:rsidRPr="0025108B" w:rsidRDefault="00CC7CAC" w:rsidP="00F33A8E">
            <w:pPr>
              <w:jc w:val="both"/>
              <w:rPr>
                <w:rFonts w:ascii="Times New Roman" w:hAnsi="Times New Roman"/>
                <w:sz w:val="20"/>
                <w:szCs w:val="20"/>
              </w:rPr>
            </w:pPr>
            <w:r w:rsidRPr="0025108B">
              <w:rPr>
                <w:rFonts w:ascii="Times New Roman" w:hAnsi="Times New Roman"/>
                <w:sz w:val="20"/>
                <w:szCs w:val="20"/>
              </w:rPr>
              <w:t>54</w:t>
            </w:r>
          </w:p>
        </w:tc>
        <w:tc>
          <w:tcPr>
            <w:tcW w:w="0" w:type="auto"/>
            <w:hideMark/>
          </w:tcPr>
          <w:p w14:paraId="10B720F3" w14:textId="77777777" w:rsidR="00CC7CAC" w:rsidRPr="0025108B" w:rsidRDefault="00CC7CAC" w:rsidP="00F33A8E">
            <w:pPr>
              <w:jc w:val="both"/>
              <w:rPr>
                <w:rFonts w:ascii="Times New Roman" w:hAnsi="Times New Roman"/>
                <w:sz w:val="20"/>
                <w:szCs w:val="20"/>
              </w:rPr>
            </w:pPr>
            <w:r w:rsidRPr="0025108B">
              <w:rPr>
                <w:rFonts w:ascii="Times New Roman" w:hAnsi="Times New Roman"/>
                <w:sz w:val="20"/>
                <w:szCs w:val="20"/>
              </w:rPr>
              <w:t>33</w:t>
            </w:r>
          </w:p>
        </w:tc>
        <w:tc>
          <w:tcPr>
            <w:tcW w:w="0" w:type="auto"/>
            <w:hideMark/>
          </w:tcPr>
          <w:p w14:paraId="5C77C46C" w14:textId="77777777" w:rsidR="00CC7CAC" w:rsidRPr="0025108B" w:rsidRDefault="00CC7CAC" w:rsidP="00F33A8E">
            <w:pPr>
              <w:jc w:val="both"/>
              <w:rPr>
                <w:rFonts w:ascii="Times New Roman" w:hAnsi="Times New Roman"/>
                <w:sz w:val="20"/>
                <w:szCs w:val="20"/>
              </w:rPr>
            </w:pPr>
            <w:r w:rsidRPr="0025108B">
              <w:rPr>
                <w:rFonts w:ascii="Times New Roman" w:hAnsi="Times New Roman"/>
                <w:sz w:val="20"/>
                <w:szCs w:val="20"/>
              </w:rPr>
              <w:t>87</w:t>
            </w:r>
          </w:p>
        </w:tc>
      </w:tr>
      <w:tr w:rsidR="00CC7CAC" w:rsidRPr="0025108B" w14:paraId="292D2DD7" w14:textId="77777777" w:rsidTr="00F33A8E">
        <w:trPr>
          <w:trHeight w:val="533"/>
        </w:trPr>
        <w:tc>
          <w:tcPr>
            <w:tcW w:w="0" w:type="auto"/>
            <w:hideMark/>
          </w:tcPr>
          <w:p w14:paraId="0569D6AF" w14:textId="77777777" w:rsidR="00CC7CAC" w:rsidRPr="0025108B" w:rsidRDefault="00CC7CAC" w:rsidP="00F33A8E">
            <w:pPr>
              <w:jc w:val="both"/>
              <w:rPr>
                <w:rFonts w:ascii="Times New Roman" w:hAnsi="Times New Roman"/>
                <w:sz w:val="20"/>
                <w:szCs w:val="20"/>
              </w:rPr>
            </w:pPr>
            <w:r w:rsidRPr="0025108B">
              <w:rPr>
                <w:rFonts w:ascii="Times New Roman" w:hAnsi="Times New Roman"/>
                <w:sz w:val="20"/>
                <w:szCs w:val="20"/>
              </w:rPr>
              <w:t>Child</w:t>
            </w:r>
          </w:p>
        </w:tc>
        <w:tc>
          <w:tcPr>
            <w:tcW w:w="0" w:type="auto"/>
            <w:hideMark/>
          </w:tcPr>
          <w:p w14:paraId="485D9A6A" w14:textId="77777777" w:rsidR="00CC7CAC" w:rsidRPr="0025108B" w:rsidRDefault="00CC7CAC" w:rsidP="00F33A8E">
            <w:pPr>
              <w:jc w:val="both"/>
              <w:rPr>
                <w:rFonts w:ascii="Times New Roman" w:hAnsi="Times New Roman"/>
                <w:sz w:val="20"/>
                <w:szCs w:val="20"/>
              </w:rPr>
            </w:pPr>
            <w:r w:rsidRPr="0025108B">
              <w:rPr>
                <w:rFonts w:ascii="Times New Roman" w:hAnsi="Times New Roman"/>
                <w:sz w:val="20"/>
                <w:szCs w:val="20"/>
              </w:rPr>
              <w:t>33</w:t>
            </w:r>
          </w:p>
        </w:tc>
        <w:tc>
          <w:tcPr>
            <w:tcW w:w="0" w:type="auto"/>
            <w:hideMark/>
          </w:tcPr>
          <w:p w14:paraId="49F9C01B" w14:textId="77777777" w:rsidR="00CC7CAC" w:rsidRPr="0025108B" w:rsidRDefault="00CC7CAC" w:rsidP="00F33A8E">
            <w:pPr>
              <w:jc w:val="both"/>
              <w:rPr>
                <w:rFonts w:ascii="Times New Roman" w:hAnsi="Times New Roman"/>
                <w:sz w:val="20"/>
                <w:szCs w:val="20"/>
              </w:rPr>
            </w:pPr>
            <w:r w:rsidRPr="0025108B">
              <w:rPr>
                <w:rFonts w:ascii="Times New Roman" w:hAnsi="Times New Roman"/>
                <w:sz w:val="20"/>
                <w:szCs w:val="20"/>
              </w:rPr>
              <w:t>37</w:t>
            </w:r>
          </w:p>
        </w:tc>
        <w:tc>
          <w:tcPr>
            <w:tcW w:w="0" w:type="auto"/>
            <w:hideMark/>
          </w:tcPr>
          <w:p w14:paraId="0D4B9F5B" w14:textId="77777777" w:rsidR="00CC7CAC" w:rsidRPr="0025108B" w:rsidRDefault="00CC7CAC" w:rsidP="00F33A8E">
            <w:pPr>
              <w:jc w:val="both"/>
              <w:rPr>
                <w:rFonts w:ascii="Times New Roman" w:hAnsi="Times New Roman"/>
                <w:sz w:val="20"/>
                <w:szCs w:val="20"/>
              </w:rPr>
            </w:pPr>
            <w:r w:rsidRPr="0025108B">
              <w:rPr>
                <w:rFonts w:ascii="Times New Roman" w:hAnsi="Times New Roman"/>
                <w:sz w:val="20"/>
                <w:szCs w:val="20"/>
              </w:rPr>
              <w:t>70</w:t>
            </w:r>
          </w:p>
        </w:tc>
      </w:tr>
      <w:tr w:rsidR="00CC7CAC" w:rsidRPr="0025108B" w14:paraId="633EE85A" w14:textId="77777777" w:rsidTr="00F33A8E">
        <w:trPr>
          <w:trHeight w:val="521"/>
        </w:trPr>
        <w:tc>
          <w:tcPr>
            <w:tcW w:w="0" w:type="auto"/>
            <w:tcBorders>
              <w:top w:val="single" w:sz="4" w:space="0" w:color="7F7F7F"/>
            </w:tcBorders>
            <w:hideMark/>
          </w:tcPr>
          <w:p w14:paraId="45446B65" w14:textId="77777777" w:rsidR="00CC7CAC" w:rsidRPr="0025108B" w:rsidRDefault="00CC7CAC" w:rsidP="00F33A8E">
            <w:pPr>
              <w:jc w:val="both"/>
              <w:rPr>
                <w:rFonts w:ascii="Times New Roman" w:hAnsi="Times New Roman"/>
                <w:b/>
                <w:bCs/>
                <w:sz w:val="20"/>
                <w:szCs w:val="20"/>
              </w:rPr>
            </w:pPr>
            <w:r w:rsidRPr="0025108B">
              <w:rPr>
                <w:rFonts w:ascii="Times New Roman" w:hAnsi="Times New Roman"/>
                <w:b/>
                <w:bCs/>
                <w:sz w:val="20"/>
                <w:szCs w:val="20"/>
              </w:rPr>
              <w:t>Total</w:t>
            </w:r>
          </w:p>
        </w:tc>
        <w:tc>
          <w:tcPr>
            <w:tcW w:w="0" w:type="auto"/>
            <w:tcBorders>
              <w:top w:val="single" w:sz="4" w:space="0" w:color="7F7F7F"/>
            </w:tcBorders>
            <w:hideMark/>
          </w:tcPr>
          <w:p w14:paraId="6CD8D6CF" w14:textId="77777777" w:rsidR="00CC7CAC" w:rsidRPr="0025108B" w:rsidRDefault="00CC7CAC" w:rsidP="00F33A8E">
            <w:pPr>
              <w:jc w:val="both"/>
              <w:rPr>
                <w:rFonts w:ascii="Times New Roman" w:hAnsi="Times New Roman"/>
                <w:b/>
                <w:bCs/>
                <w:sz w:val="20"/>
                <w:szCs w:val="20"/>
              </w:rPr>
            </w:pPr>
            <w:r w:rsidRPr="0025108B">
              <w:rPr>
                <w:rFonts w:ascii="Times New Roman" w:hAnsi="Times New Roman"/>
                <w:b/>
                <w:bCs/>
                <w:sz w:val="20"/>
                <w:szCs w:val="20"/>
              </w:rPr>
              <w:t>87</w:t>
            </w:r>
          </w:p>
        </w:tc>
        <w:tc>
          <w:tcPr>
            <w:tcW w:w="0" w:type="auto"/>
            <w:tcBorders>
              <w:top w:val="single" w:sz="4" w:space="0" w:color="7F7F7F"/>
            </w:tcBorders>
            <w:hideMark/>
          </w:tcPr>
          <w:p w14:paraId="55B5AA3A" w14:textId="77777777" w:rsidR="00CC7CAC" w:rsidRPr="0025108B" w:rsidRDefault="00CC7CAC" w:rsidP="00F33A8E">
            <w:pPr>
              <w:jc w:val="both"/>
              <w:rPr>
                <w:rFonts w:ascii="Times New Roman" w:hAnsi="Times New Roman"/>
                <w:b/>
                <w:bCs/>
                <w:sz w:val="20"/>
                <w:szCs w:val="20"/>
              </w:rPr>
            </w:pPr>
            <w:r w:rsidRPr="0025108B">
              <w:rPr>
                <w:rFonts w:ascii="Times New Roman" w:hAnsi="Times New Roman"/>
                <w:b/>
                <w:bCs/>
                <w:sz w:val="20"/>
                <w:szCs w:val="20"/>
              </w:rPr>
              <w:t>70</w:t>
            </w:r>
          </w:p>
        </w:tc>
        <w:tc>
          <w:tcPr>
            <w:tcW w:w="0" w:type="auto"/>
            <w:tcBorders>
              <w:top w:val="single" w:sz="4" w:space="0" w:color="7F7F7F"/>
            </w:tcBorders>
            <w:hideMark/>
          </w:tcPr>
          <w:p w14:paraId="3550439F" w14:textId="77777777" w:rsidR="00CC7CAC" w:rsidRPr="0025108B" w:rsidRDefault="00CC7CAC" w:rsidP="00F33A8E">
            <w:pPr>
              <w:jc w:val="both"/>
              <w:rPr>
                <w:rFonts w:ascii="Times New Roman" w:hAnsi="Times New Roman"/>
                <w:b/>
                <w:bCs/>
                <w:sz w:val="20"/>
                <w:szCs w:val="20"/>
              </w:rPr>
            </w:pPr>
            <w:r w:rsidRPr="0025108B">
              <w:rPr>
                <w:rFonts w:ascii="Times New Roman" w:hAnsi="Times New Roman"/>
                <w:b/>
                <w:bCs/>
                <w:sz w:val="20"/>
                <w:szCs w:val="20"/>
              </w:rPr>
              <w:t>157</w:t>
            </w:r>
          </w:p>
        </w:tc>
      </w:tr>
    </w:tbl>
    <w:p w14:paraId="7F64AA5F" w14:textId="77777777" w:rsidR="00CC7CAC" w:rsidRPr="0025108B" w:rsidRDefault="00CC7CAC" w:rsidP="00CC7CAC">
      <w:pPr>
        <w:jc w:val="both"/>
        <w:rPr>
          <w:rFonts w:ascii="Times New Roman" w:hAnsi="Times New Roman"/>
        </w:rPr>
      </w:pPr>
      <w:r w:rsidRPr="0025108B">
        <w:rPr>
          <w:rFonts w:ascii="Times New Roman" w:hAnsi="Times New Roman"/>
        </w:rPr>
        <w:t>Source: Author’s Fieldwork, 2024</w:t>
      </w:r>
    </w:p>
    <w:p w14:paraId="53E8EB02" w14:textId="77777777" w:rsidR="00BC3F56" w:rsidRPr="0025108B" w:rsidRDefault="00CC7CAC" w:rsidP="00CC7CAC">
      <w:pPr>
        <w:jc w:val="both"/>
        <w:rPr>
          <w:rFonts w:ascii="Times New Roman" w:hAnsi="Times New Roman"/>
        </w:rPr>
      </w:pPr>
      <w:r w:rsidRPr="0025108B">
        <w:rPr>
          <w:rFonts w:ascii="Times New Roman" w:hAnsi="Times New Roman"/>
        </w:rPr>
        <w:lastRenderedPageBreak/>
        <w:t xml:space="preserve">The overall Chi-Square test (Table </w:t>
      </w:r>
      <w:r w:rsidR="00275DAF" w:rsidRPr="0025108B">
        <w:rPr>
          <w:rFonts w:ascii="Times New Roman" w:hAnsi="Times New Roman"/>
        </w:rPr>
        <w:t>6</w:t>
      </w:r>
      <w:r w:rsidRPr="0025108B">
        <w:rPr>
          <w:rFonts w:ascii="Times New Roman" w:hAnsi="Times New Roman"/>
        </w:rPr>
        <w:t>) shows χ² = 3.497, p = 0.061, indicating</w:t>
      </w:r>
      <w:r w:rsidR="00275DAF" w:rsidRPr="0025108B">
        <w:rPr>
          <w:rFonts w:ascii="Times New Roman" w:hAnsi="Times New Roman"/>
        </w:rPr>
        <w:t xml:space="preserve"> there is</w:t>
      </w:r>
      <w:r w:rsidRPr="0025108B">
        <w:rPr>
          <w:rFonts w:ascii="Times New Roman" w:hAnsi="Times New Roman"/>
        </w:rPr>
        <w:t xml:space="preserve"> no statistically significant association between gender and household water collection across all </w:t>
      </w:r>
      <w:r w:rsidR="00275DAF" w:rsidRPr="0025108B">
        <w:rPr>
          <w:rFonts w:ascii="Times New Roman" w:hAnsi="Times New Roman"/>
        </w:rPr>
        <w:t xml:space="preserve">LGA headquarters </w:t>
      </w:r>
      <w:r w:rsidRPr="0025108B">
        <w:rPr>
          <w:rFonts w:ascii="Times New Roman" w:hAnsi="Times New Roman"/>
        </w:rPr>
        <w:t xml:space="preserve">combined at the 5% significance level. While adult females carry </w:t>
      </w:r>
      <w:r w:rsidR="00B36CA2" w:rsidRPr="0025108B">
        <w:rPr>
          <w:rFonts w:ascii="Times New Roman" w:hAnsi="Times New Roman"/>
        </w:rPr>
        <w:t>most</w:t>
      </w:r>
      <w:r w:rsidRPr="0025108B">
        <w:rPr>
          <w:rFonts w:ascii="Times New Roman" w:hAnsi="Times New Roman"/>
        </w:rPr>
        <w:t xml:space="preserve"> responsibilities in practice, the variation across households is not strong enough to meet the conventional threshold for statistical significance. </w:t>
      </w:r>
    </w:p>
    <w:p w14:paraId="298C862B" w14:textId="77777777" w:rsidR="00CC7CAC" w:rsidRPr="0076417B" w:rsidRDefault="00CC7CAC" w:rsidP="00CC7CAC">
      <w:pPr>
        <w:jc w:val="both"/>
        <w:rPr>
          <w:rFonts w:ascii="Times New Roman" w:hAnsi="Times New Roman"/>
        </w:rPr>
      </w:pPr>
      <w:r w:rsidRPr="0076417B">
        <w:rPr>
          <w:rFonts w:ascii="Times New Roman" w:hAnsi="Times New Roman"/>
        </w:rPr>
        <w:t xml:space="preserve">Table </w:t>
      </w:r>
      <w:r w:rsidR="00275DAF" w:rsidRPr="0076417B">
        <w:rPr>
          <w:rFonts w:ascii="Times New Roman" w:hAnsi="Times New Roman"/>
        </w:rPr>
        <w:t>6</w:t>
      </w:r>
      <w:r w:rsidRPr="0076417B">
        <w:rPr>
          <w:rFonts w:ascii="Times New Roman" w:hAnsi="Times New Roman"/>
        </w:rPr>
        <w:t>: Chi-Square Test of Independence</w:t>
      </w:r>
    </w:p>
    <w:tbl>
      <w:tblPr>
        <w:tblW w:w="7672" w:type="dxa"/>
        <w:tblBorders>
          <w:top w:val="single" w:sz="4" w:space="0" w:color="7F7F7F"/>
          <w:bottom w:val="single" w:sz="4" w:space="0" w:color="7F7F7F"/>
        </w:tblBorders>
        <w:tblLook w:val="0660" w:firstRow="1" w:lastRow="1" w:firstColumn="0" w:lastColumn="0" w:noHBand="1" w:noVBand="1"/>
      </w:tblPr>
      <w:tblGrid>
        <w:gridCol w:w="2818"/>
        <w:gridCol w:w="1086"/>
        <w:gridCol w:w="613"/>
        <w:gridCol w:w="3155"/>
      </w:tblGrid>
      <w:tr w:rsidR="00CC7CAC" w:rsidRPr="0025108B" w14:paraId="634A2F91" w14:textId="77777777" w:rsidTr="00F33A8E">
        <w:trPr>
          <w:trHeight w:val="465"/>
        </w:trPr>
        <w:tc>
          <w:tcPr>
            <w:tcW w:w="0" w:type="auto"/>
            <w:tcBorders>
              <w:bottom w:val="single" w:sz="4" w:space="0" w:color="7F7F7F"/>
            </w:tcBorders>
            <w:hideMark/>
          </w:tcPr>
          <w:p w14:paraId="0F03DC51" w14:textId="77777777" w:rsidR="00CC7CAC" w:rsidRPr="0025108B" w:rsidRDefault="00CC7CAC" w:rsidP="00F33A8E">
            <w:pPr>
              <w:jc w:val="both"/>
              <w:rPr>
                <w:rFonts w:ascii="Times New Roman" w:hAnsi="Times New Roman"/>
                <w:b/>
                <w:bCs/>
                <w:sz w:val="20"/>
                <w:szCs w:val="20"/>
              </w:rPr>
            </w:pPr>
            <w:r w:rsidRPr="0025108B">
              <w:rPr>
                <w:rFonts w:ascii="Times New Roman" w:hAnsi="Times New Roman"/>
                <w:b/>
                <w:bCs/>
                <w:sz w:val="20"/>
                <w:szCs w:val="20"/>
              </w:rPr>
              <w:t>Test</w:t>
            </w:r>
          </w:p>
        </w:tc>
        <w:tc>
          <w:tcPr>
            <w:tcW w:w="0" w:type="auto"/>
            <w:tcBorders>
              <w:bottom w:val="single" w:sz="4" w:space="0" w:color="7F7F7F"/>
            </w:tcBorders>
            <w:hideMark/>
          </w:tcPr>
          <w:p w14:paraId="2227C7D9" w14:textId="77777777" w:rsidR="00CC7CAC" w:rsidRPr="0025108B" w:rsidRDefault="00CC7CAC" w:rsidP="00F33A8E">
            <w:pPr>
              <w:jc w:val="both"/>
              <w:rPr>
                <w:rFonts w:ascii="Times New Roman" w:hAnsi="Times New Roman"/>
                <w:b/>
                <w:bCs/>
                <w:sz w:val="20"/>
                <w:szCs w:val="20"/>
              </w:rPr>
            </w:pPr>
            <w:r w:rsidRPr="0025108B">
              <w:rPr>
                <w:rFonts w:ascii="Times New Roman" w:hAnsi="Times New Roman"/>
                <w:b/>
                <w:bCs/>
                <w:sz w:val="20"/>
                <w:szCs w:val="20"/>
              </w:rPr>
              <w:t>Value</w:t>
            </w:r>
          </w:p>
        </w:tc>
        <w:tc>
          <w:tcPr>
            <w:tcW w:w="0" w:type="auto"/>
            <w:tcBorders>
              <w:bottom w:val="single" w:sz="4" w:space="0" w:color="7F7F7F"/>
            </w:tcBorders>
            <w:hideMark/>
          </w:tcPr>
          <w:p w14:paraId="6B2AA10D" w14:textId="77777777" w:rsidR="00CC7CAC" w:rsidRPr="0025108B" w:rsidRDefault="00CC7CAC" w:rsidP="00F33A8E">
            <w:pPr>
              <w:jc w:val="both"/>
              <w:rPr>
                <w:rFonts w:ascii="Times New Roman" w:hAnsi="Times New Roman"/>
                <w:b/>
                <w:bCs/>
                <w:sz w:val="20"/>
                <w:szCs w:val="20"/>
              </w:rPr>
            </w:pPr>
            <w:r w:rsidRPr="0025108B">
              <w:rPr>
                <w:rFonts w:ascii="Times New Roman" w:hAnsi="Times New Roman"/>
                <w:b/>
                <w:bCs/>
                <w:sz w:val="20"/>
                <w:szCs w:val="20"/>
              </w:rPr>
              <w:t>df</w:t>
            </w:r>
          </w:p>
        </w:tc>
        <w:tc>
          <w:tcPr>
            <w:tcW w:w="0" w:type="auto"/>
            <w:tcBorders>
              <w:bottom w:val="single" w:sz="4" w:space="0" w:color="7F7F7F"/>
            </w:tcBorders>
            <w:hideMark/>
          </w:tcPr>
          <w:p w14:paraId="5D716C07" w14:textId="77777777" w:rsidR="00CC7CAC" w:rsidRPr="0025108B" w:rsidRDefault="00CC7CAC" w:rsidP="00F33A8E">
            <w:pPr>
              <w:jc w:val="both"/>
              <w:rPr>
                <w:rFonts w:ascii="Times New Roman" w:hAnsi="Times New Roman"/>
                <w:b/>
                <w:bCs/>
                <w:sz w:val="20"/>
                <w:szCs w:val="20"/>
              </w:rPr>
            </w:pPr>
            <w:proofErr w:type="spellStart"/>
            <w:r w:rsidRPr="0025108B">
              <w:rPr>
                <w:rFonts w:ascii="Times New Roman" w:hAnsi="Times New Roman"/>
                <w:b/>
                <w:bCs/>
                <w:sz w:val="20"/>
                <w:szCs w:val="20"/>
              </w:rPr>
              <w:t>Asymp</w:t>
            </w:r>
            <w:proofErr w:type="spellEnd"/>
            <w:r w:rsidRPr="0025108B">
              <w:rPr>
                <w:rFonts w:ascii="Times New Roman" w:hAnsi="Times New Roman"/>
                <w:b/>
                <w:bCs/>
                <w:sz w:val="20"/>
                <w:szCs w:val="20"/>
              </w:rPr>
              <w:t>. Sig. (2-sided)</w:t>
            </w:r>
          </w:p>
        </w:tc>
      </w:tr>
      <w:tr w:rsidR="00CC7CAC" w:rsidRPr="0025108B" w14:paraId="4127C144" w14:textId="77777777" w:rsidTr="00F33A8E">
        <w:trPr>
          <w:trHeight w:val="465"/>
        </w:trPr>
        <w:tc>
          <w:tcPr>
            <w:tcW w:w="0" w:type="auto"/>
            <w:hideMark/>
          </w:tcPr>
          <w:p w14:paraId="300FC483" w14:textId="77777777" w:rsidR="00CC7CAC" w:rsidRPr="0025108B" w:rsidRDefault="00CC7CAC" w:rsidP="00F33A8E">
            <w:pPr>
              <w:jc w:val="both"/>
              <w:rPr>
                <w:rFonts w:ascii="Times New Roman" w:hAnsi="Times New Roman"/>
                <w:sz w:val="20"/>
                <w:szCs w:val="20"/>
              </w:rPr>
            </w:pPr>
            <w:r w:rsidRPr="0025108B">
              <w:rPr>
                <w:rFonts w:ascii="Times New Roman" w:hAnsi="Times New Roman"/>
                <w:sz w:val="20"/>
                <w:szCs w:val="20"/>
              </w:rPr>
              <w:t>Pearson Chi-Square</w:t>
            </w:r>
          </w:p>
        </w:tc>
        <w:tc>
          <w:tcPr>
            <w:tcW w:w="0" w:type="auto"/>
            <w:hideMark/>
          </w:tcPr>
          <w:p w14:paraId="67F2B293" w14:textId="77777777" w:rsidR="00CC7CAC" w:rsidRPr="0025108B" w:rsidRDefault="00CC7CAC" w:rsidP="00F33A8E">
            <w:pPr>
              <w:jc w:val="both"/>
              <w:rPr>
                <w:rFonts w:ascii="Times New Roman" w:hAnsi="Times New Roman"/>
                <w:sz w:val="20"/>
                <w:szCs w:val="20"/>
              </w:rPr>
            </w:pPr>
            <w:r w:rsidRPr="0025108B">
              <w:rPr>
                <w:rFonts w:ascii="Times New Roman" w:hAnsi="Times New Roman"/>
                <w:sz w:val="20"/>
                <w:szCs w:val="20"/>
              </w:rPr>
              <w:t>3.497</w:t>
            </w:r>
          </w:p>
        </w:tc>
        <w:tc>
          <w:tcPr>
            <w:tcW w:w="0" w:type="auto"/>
            <w:hideMark/>
          </w:tcPr>
          <w:p w14:paraId="64B99B33" w14:textId="77777777" w:rsidR="00CC7CAC" w:rsidRPr="0025108B" w:rsidRDefault="00CC7CAC" w:rsidP="00F33A8E">
            <w:pPr>
              <w:jc w:val="both"/>
              <w:rPr>
                <w:rFonts w:ascii="Times New Roman" w:hAnsi="Times New Roman"/>
                <w:sz w:val="20"/>
                <w:szCs w:val="20"/>
              </w:rPr>
            </w:pPr>
            <w:r w:rsidRPr="0025108B">
              <w:rPr>
                <w:rFonts w:ascii="Times New Roman" w:hAnsi="Times New Roman"/>
                <w:sz w:val="20"/>
                <w:szCs w:val="20"/>
              </w:rPr>
              <w:t>1</w:t>
            </w:r>
          </w:p>
        </w:tc>
        <w:tc>
          <w:tcPr>
            <w:tcW w:w="0" w:type="auto"/>
            <w:hideMark/>
          </w:tcPr>
          <w:p w14:paraId="3F83DFA6" w14:textId="77777777" w:rsidR="00CC7CAC" w:rsidRPr="0025108B" w:rsidRDefault="00CC7CAC" w:rsidP="00F33A8E">
            <w:pPr>
              <w:jc w:val="both"/>
              <w:rPr>
                <w:rFonts w:ascii="Times New Roman" w:hAnsi="Times New Roman"/>
                <w:sz w:val="20"/>
                <w:szCs w:val="20"/>
              </w:rPr>
            </w:pPr>
            <w:r w:rsidRPr="0025108B">
              <w:rPr>
                <w:rFonts w:ascii="Times New Roman" w:hAnsi="Times New Roman"/>
                <w:sz w:val="20"/>
                <w:szCs w:val="20"/>
              </w:rPr>
              <w:t>0.061</w:t>
            </w:r>
          </w:p>
        </w:tc>
      </w:tr>
      <w:tr w:rsidR="00CC7CAC" w:rsidRPr="0025108B" w14:paraId="602B9C1C" w14:textId="77777777" w:rsidTr="00F33A8E">
        <w:trPr>
          <w:trHeight w:val="476"/>
        </w:trPr>
        <w:tc>
          <w:tcPr>
            <w:tcW w:w="0" w:type="auto"/>
            <w:hideMark/>
          </w:tcPr>
          <w:p w14:paraId="2D2E1F00" w14:textId="77777777" w:rsidR="00CC7CAC" w:rsidRPr="0025108B" w:rsidRDefault="00CC7CAC" w:rsidP="00F33A8E">
            <w:pPr>
              <w:jc w:val="both"/>
              <w:rPr>
                <w:rFonts w:ascii="Times New Roman" w:hAnsi="Times New Roman"/>
                <w:sz w:val="20"/>
                <w:szCs w:val="20"/>
              </w:rPr>
            </w:pPr>
            <w:r w:rsidRPr="0025108B">
              <w:rPr>
                <w:rFonts w:ascii="Times New Roman" w:hAnsi="Times New Roman"/>
                <w:sz w:val="20"/>
                <w:szCs w:val="20"/>
              </w:rPr>
              <w:t>Likelihood Ratio</w:t>
            </w:r>
          </w:p>
        </w:tc>
        <w:tc>
          <w:tcPr>
            <w:tcW w:w="0" w:type="auto"/>
            <w:hideMark/>
          </w:tcPr>
          <w:p w14:paraId="5D681FE9" w14:textId="77777777" w:rsidR="00CC7CAC" w:rsidRPr="0025108B" w:rsidRDefault="00CC7CAC" w:rsidP="00F33A8E">
            <w:pPr>
              <w:jc w:val="both"/>
              <w:rPr>
                <w:rFonts w:ascii="Times New Roman" w:hAnsi="Times New Roman"/>
                <w:sz w:val="20"/>
                <w:szCs w:val="20"/>
              </w:rPr>
            </w:pPr>
            <w:r w:rsidRPr="0025108B">
              <w:rPr>
                <w:rFonts w:ascii="Times New Roman" w:hAnsi="Times New Roman"/>
                <w:sz w:val="20"/>
                <w:szCs w:val="20"/>
              </w:rPr>
              <w:t>3.509</w:t>
            </w:r>
          </w:p>
        </w:tc>
        <w:tc>
          <w:tcPr>
            <w:tcW w:w="0" w:type="auto"/>
            <w:hideMark/>
          </w:tcPr>
          <w:p w14:paraId="7E9D1079" w14:textId="77777777" w:rsidR="00CC7CAC" w:rsidRPr="0025108B" w:rsidRDefault="00CC7CAC" w:rsidP="00F33A8E">
            <w:pPr>
              <w:jc w:val="both"/>
              <w:rPr>
                <w:rFonts w:ascii="Times New Roman" w:hAnsi="Times New Roman"/>
                <w:sz w:val="20"/>
                <w:szCs w:val="20"/>
              </w:rPr>
            </w:pPr>
            <w:r w:rsidRPr="0025108B">
              <w:rPr>
                <w:rFonts w:ascii="Times New Roman" w:hAnsi="Times New Roman"/>
                <w:sz w:val="20"/>
                <w:szCs w:val="20"/>
              </w:rPr>
              <w:t>1</w:t>
            </w:r>
          </w:p>
        </w:tc>
        <w:tc>
          <w:tcPr>
            <w:tcW w:w="0" w:type="auto"/>
            <w:hideMark/>
          </w:tcPr>
          <w:p w14:paraId="6A8DE233" w14:textId="77777777" w:rsidR="00CC7CAC" w:rsidRPr="0025108B" w:rsidRDefault="00CC7CAC" w:rsidP="00F33A8E">
            <w:pPr>
              <w:jc w:val="both"/>
              <w:rPr>
                <w:rFonts w:ascii="Times New Roman" w:hAnsi="Times New Roman"/>
                <w:sz w:val="20"/>
                <w:szCs w:val="20"/>
              </w:rPr>
            </w:pPr>
            <w:r w:rsidRPr="0025108B">
              <w:rPr>
                <w:rFonts w:ascii="Times New Roman" w:hAnsi="Times New Roman"/>
                <w:sz w:val="20"/>
                <w:szCs w:val="20"/>
              </w:rPr>
              <w:t>0.061</w:t>
            </w:r>
          </w:p>
        </w:tc>
      </w:tr>
      <w:tr w:rsidR="00CC7CAC" w:rsidRPr="0025108B" w14:paraId="7B7A1D59" w14:textId="77777777" w:rsidTr="00F33A8E">
        <w:trPr>
          <w:trHeight w:val="465"/>
        </w:trPr>
        <w:tc>
          <w:tcPr>
            <w:tcW w:w="0" w:type="auto"/>
            <w:tcBorders>
              <w:top w:val="single" w:sz="4" w:space="0" w:color="7F7F7F"/>
            </w:tcBorders>
            <w:hideMark/>
          </w:tcPr>
          <w:p w14:paraId="0410D95C" w14:textId="77777777" w:rsidR="00CC7CAC" w:rsidRPr="0025108B" w:rsidRDefault="00CC7CAC" w:rsidP="00F33A8E">
            <w:pPr>
              <w:jc w:val="both"/>
              <w:rPr>
                <w:rFonts w:ascii="Times New Roman" w:hAnsi="Times New Roman"/>
                <w:b/>
                <w:bCs/>
                <w:sz w:val="20"/>
                <w:szCs w:val="20"/>
              </w:rPr>
            </w:pPr>
            <w:r w:rsidRPr="0025108B">
              <w:rPr>
                <w:rFonts w:ascii="Times New Roman" w:hAnsi="Times New Roman"/>
                <w:b/>
                <w:bCs/>
                <w:sz w:val="20"/>
                <w:szCs w:val="20"/>
              </w:rPr>
              <w:t>N of Valid Cases</w:t>
            </w:r>
          </w:p>
        </w:tc>
        <w:tc>
          <w:tcPr>
            <w:tcW w:w="0" w:type="auto"/>
            <w:tcBorders>
              <w:top w:val="single" w:sz="4" w:space="0" w:color="7F7F7F"/>
            </w:tcBorders>
            <w:hideMark/>
          </w:tcPr>
          <w:p w14:paraId="156F4337" w14:textId="77777777" w:rsidR="00CC7CAC" w:rsidRPr="0025108B" w:rsidRDefault="00CC7CAC" w:rsidP="00F33A8E">
            <w:pPr>
              <w:jc w:val="both"/>
              <w:rPr>
                <w:rFonts w:ascii="Times New Roman" w:hAnsi="Times New Roman"/>
                <w:b/>
                <w:bCs/>
                <w:sz w:val="20"/>
                <w:szCs w:val="20"/>
              </w:rPr>
            </w:pPr>
            <w:r w:rsidRPr="0025108B">
              <w:rPr>
                <w:rFonts w:ascii="Times New Roman" w:hAnsi="Times New Roman"/>
                <w:b/>
                <w:bCs/>
                <w:sz w:val="20"/>
                <w:szCs w:val="20"/>
              </w:rPr>
              <w:t>157</w:t>
            </w:r>
          </w:p>
        </w:tc>
        <w:tc>
          <w:tcPr>
            <w:tcW w:w="0" w:type="auto"/>
            <w:tcBorders>
              <w:top w:val="single" w:sz="4" w:space="0" w:color="7F7F7F"/>
            </w:tcBorders>
            <w:hideMark/>
          </w:tcPr>
          <w:p w14:paraId="68724F92" w14:textId="77777777" w:rsidR="00CC7CAC" w:rsidRPr="0025108B" w:rsidRDefault="00CC7CAC" w:rsidP="00F33A8E">
            <w:pPr>
              <w:jc w:val="both"/>
              <w:rPr>
                <w:rFonts w:ascii="Times New Roman" w:hAnsi="Times New Roman"/>
                <w:b/>
                <w:bCs/>
                <w:sz w:val="20"/>
                <w:szCs w:val="20"/>
              </w:rPr>
            </w:pPr>
          </w:p>
        </w:tc>
        <w:tc>
          <w:tcPr>
            <w:tcW w:w="0" w:type="auto"/>
            <w:tcBorders>
              <w:top w:val="single" w:sz="4" w:space="0" w:color="7F7F7F"/>
            </w:tcBorders>
            <w:hideMark/>
          </w:tcPr>
          <w:p w14:paraId="046395E5" w14:textId="77777777" w:rsidR="00CC7CAC" w:rsidRPr="0025108B" w:rsidRDefault="00CC7CAC" w:rsidP="00F33A8E">
            <w:pPr>
              <w:jc w:val="both"/>
              <w:rPr>
                <w:rFonts w:ascii="Times New Roman" w:hAnsi="Times New Roman"/>
                <w:b/>
                <w:bCs/>
                <w:sz w:val="20"/>
                <w:szCs w:val="20"/>
              </w:rPr>
            </w:pPr>
          </w:p>
        </w:tc>
      </w:tr>
    </w:tbl>
    <w:p w14:paraId="16C4D127" w14:textId="77777777" w:rsidR="00CC7CAC" w:rsidRPr="0025108B" w:rsidRDefault="00CC7CAC" w:rsidP="00CC7CAC">
      <w:pPr>
        <w:jc w:val="both"/>
        <w:rPr>
          <w:rFonts w:ascii="Times New Roman" w:hAnsi="Times New Roman"/>
        </w:rPr>
      </w:pPr>
      <w:r w:rsidRPr="0025108B">
        <w:rPr>
          <w:rFonts w:ascii="Times New Roman" w:hAnsi="Times New Roman"/>
        </w:rPr>
        <w:t>Source: Author’s Fieldwork, 2024</w:t>
      </w:r>
    </w:p>
    <w:p w14:paraId="1798755A" w14:textId="77777777" w:rsidR="00CC7CAC" w:rsidRPr="0025108B" w:rsidRDefault="00CC7CAC" w:rsidP="00CC7CAC">
      <w:pPr>
        <w:jc w:val="both"/>
        <w:rPr>
          <w:rFonts w:ascii="Times New Roman" w:hAnsi="Times New Roman"/>
        </w:rPr>
      </w:pPr>
      <w:r w:rsidRPr="0025108B">
        <w:rPr>
          <w:rFonts w:ascii="Times New Roman" w:hAnsi="Times New Roman"/>
        </w:rPr>
        <w:t xml:space="preserve">At the individual </w:t>
      </w:r>
      <w:r w:rsidR="00275DAF" w:rsidRPr="0025108B">
        <w:rPr>
          <w:rFonts w:ascii="Times New Roman" w:hAnsi="Times New Roman"/>
        </w:rPr>
        <w:t>LGA headquarters</w:t>
      </w:r>
      <w:r w:rsidRPr="0025108B">
        <w:rPr>
          <w:rFonts w:ascii="Times New Roman" w:hAnsi="Times New Roman"/>
        </w:rPr>
        <w:t xml:space="preserve">, results show notable variability (Table </w:t>
      </w:r>
      <w:r w:rsidR="00275DAF" w:rsidRPr="0025108B">
        <w:rPr>
          <w:rFonts w:ascii="Times New Roman" w:hAnsi="Times New Roman"/>
        </w:rPr>
        <w:t>7</w:t>
      </w:r>
      <w:r w:rsidRPr="0025108B">
        <w:rPr>
          <w:rFonts w:ascii="Times New Roman" w:hAnsi="Times New Roman"/>
        </w:rPr>
        <w:t xml:space="preserve">). Brass is the only LGA </w:t>
      </w:r>
      <w:r w:rsidR="00275DAF" w:rsidRPr="0025108B">
        <w:rPr>
          <w:rFonts w:ascii="Times New Roman" w:hAnsi="Times New Roman"/>
        </w:rPr>
        <w:t xml:space="preserve">headquarter </w:t>
      </w:r>
      <w:r w:rsidRPr="0025108B">
        <w:rPr>
          <w:rFonts w:ascii="Times New Roman" w:hAnsi="Times New Roman"/>
        </w:rPr>
        <w:t xml:space="preserve">where gender significantly influenced water collection (χ² = 5.53, p = 0.019). Here, male children dominate child water collection, contrasting with other LGAs where adult females are primarily responsible. Other LGAs, including </w:t>
      </w:r>
      <w:proofErr w:type="spellStart"/>
      <w:r w:rsidRPr="0025108B">
        <w:rPr>
          <w:rFonts w:ascii="Times New Roman" w:hAnsi="Times New Roman"/>
        </w:rPr>
        <w:t>Ekeremor</w:t>
      </w:r>
      <w:proofErr w:type="spellEnd"/>
      <w:r w:rsidRPr="0025108B">
        <w:rPr>
          <w:rFonts w:ascii="Times New Roman" w:hAnsi="Times New Roman"/>
        </w:rPr>
        <w:t xml:space="preserve">, Kaiama, </w:t>
      </w:r>
      <w:proofErr w:type="spellStart"/>
      <w:r w:rsidRPr="0025108B">
        <w:rPr>
          <w:rFonts w:ascii="Times New Roman" w:hAnsi="Times New Roman"/>
        </w:rPr>
        <w:t>Nembe</w:t>
      </w:r>
      <w:proofErr w:type="spellEnd"/>
      <w:r w:rsidRPr="0025108B">
        <w:rPr>
          <w:rFonts w:ascii="Times New Roman" w:hAnsi="Times New Roman"/>
        </w:rPr>
        <w:t xml:space="preserve">, </w:t>
      </w:r>
      <w:proofErr w:type="spellStart"/>
      <w:r w:rsidRPr="0025108B">
        <w:rPr>
          <w:rFonts w:ascii="Times New Roman" w:hAnsi="Times New Roman"/>
        </w:rPr>
        <w:t>Ogbia</w:t>
      </w:r>
      <w:proofErr w:type="spellEnd"/>
      <w:r w:rsidRPr="0025108B">
        <w:rPr>
          <w:rFonts w:ascii="Times New Roman" w:hAnsi="Times New Roman"/>
        </w:rPr>
        <w:t xml:space="preserve">, </w:t>
      </w:r>
      <w:proofErr w:type="spellStart"/>
      <w:r w:rsidRPr="0025108B">
        <w:rPr>
          <w:rFonts w:ascii="Times New Roman" w:hAnsi="Times New Roman"/>
        </w:rPr>
        <w:t>Oporoma</w:t>
      </w:r>
      <w:proofErr w:type="spellEnd"/>
      <w:r w:rsidRPr="0025108B">
        <w:rPr>
          <w:rFonts w:ascii="Times New Roman" w:hAnsi="Times New Roman"/>
        </w:rPr>
        <w:t xml:space="preserve">, </w:t>
      </w:r>
      <w:proofErr w:type="spellStart"/>
      <w:r w:rsidRPr="0025108B">
        <w:rPr>
          <w:rFonts w:ascii="Times New Roman" w:hAnsi="Times New Roman"/>
        </w:rPr>
        <w:t>Sagbama</w:t>
      </w:r>
      <w:proofErr w:type="spellEnd"/>
      <w:r w:rsidRPr="0025108B">
        <w:rPr>
          <w:rFonts w:ascii="Times New Roman" w:hAnsi="Times New Roman"/>
        </w:rPr>
        <w:t>, and Yenagoa, show no statistically significant gender influence, despite observable differences in practice.</w:t>
      </w:r>
    </w:p>
    <w:p w14:paraId="4EDAA94E" w14:textId="77777777" w:rsidR="00CC7CAC" w:rsidRPr="0025108B" w:rsidRDefault="00CC7CAC" w:rsidP="00CC7CAC">
      <w:pPr>
        <w:jc w:val="both"/>
        <w:rPr>
          <w:rFonts w:ascii="Times New Roman" w:hAnsi="Times New Roman"/>
        </w:rPr>
      </w:pPr>
      <w:r w:rsidRPr="0025108B">
        <w:rPr>
          <w:rFonts w:ascii="Times New Roman" w:hAnsi="Times New Roman"/>
          <w:b/>
          <w:bCs/>
        </w:rPr>
        <w:t xml:space="preserve">Table </w:t>
      </w:r>
      <w:r w:rsidR="00275DAF" w:rsidRPr="0025108B">
        <w:rPr>
          <w:rFonts w:ascii="Times New Roman" w:hAnsi="Times New Roman"/>
          <w:b/>
          <w:bCs/>
        </w:rPr>
        <w:t>7</w:t>
      </w:r>
      <w:r w:rsidRPr="0025108B">
        <w:rPr>
          <w:rFonts w:ascii="Times New Roman" w:hAnsi="Times New Roman"/>
          <w:b/>
          <w:bCs/>
        </w:rPr>
        <w:t>: Chi-Square Test by LGA</w:t>
      </w:r>
    </w:p>
    <w:tbl>
      <w:tblPr>
        <w:tblW w:w="8648" w:type="dxa"/>
        <w:tblBorders>
          <w:top w:val="single" w:sz="4" w:space="0" w:color="7F7F7F"/>
          <w:bottom w:val="single" w:sz="4" w:space="0" w:color="7F7F7F"/>
        </w:tblBorders>
        <w:tblLook w:val="0620" w:firstRow="1" w:lastRow="0" w:firstColumn="0" w:lastColumn="0" w:noHBand="1" w:noVBand="1"/>
      </w:tblPr>
      <w:tblGrid>
        <w:gridCol w:w="1212"/>
        <w:gridCol w:w="1591"/>
        <w:gridCol w:w="997"/>
        <w:gridCol w:w="1512"/>
        <w:gridCol w:w="3336"/>
      </w:tblGrid>
      <w:tr w:rsidR="00CC7CAC" w:rsidRPr="0025108B" w14:paraId="2F7B4553" w14:textId="77777777" w:rsidTr="00F33A8E">
        <w:trPr>
          <w:trHeight w:val="343"/>
        </w:trPr>
        <w:tc>
          <w:tcPr>
            <w:tcW w:w="0" w:type="auto"/>
            <w:tcBorders>
              <w:bottom w:val="single" w:sz="4" w:space="0" w:color="7F7F7F"/>
            </w:tcBorders>
            <w:hideMark/>
          </w:tcPr>
          <w:p w14:paraId="359DE43D" w14:textId="77777777" w:rsidR="00CC7CAC" w:rsidRPr="0025108B" w:rsidRDefault="00CC7CAC" w:rsidP="001F30F5">
            <w:pPr>
              <w:spacing w:after="0"/>
              <w:jc w:val="both"/>
              <w:rPr>
                <w:rFonts w:ascii="Times New Roman" w:hAnsi="Times New Roman"/>
                <w:sz w:val="20"/>
                <w:szCs w:val="20"/>
              </w:rPr>
            </w:pPr>
            <w:r w:rsidRPr="0025108B">
              <w:rPr>
                <w:rFonts w:ascii="Times New Roman" w:hAnsi="Times New Roman"/>
                <w:sz w:val="20"/>
                <w:szCs w:val="20"/>
              </w:rPr>
              <w:t>Town</w:t>
            </w:r>
          </w:p>
        </w:tc>
        <w:tc>
          <w:tcPr>
            <w:tcW w:w="1591" w:type="dxa"/>
            <w:tcBorders>
              <w:bottom w:val="single" w:sz="4" w:space="0" w:color="7F7F7F"/>
            </w:tcBorders>
            <w:hideMark/>
          </w:tcPr>
          <w:p w14:paraId="0549B5E8" w14:textId="77777777" w:rsidR="00CC7CAC" w:rsidRPr="0025108B" w:rsidRDefault="00CC7CAC" w:rsidP="001F30F5">
            <w:pPr>
              <w:spacing w:after="0"/>
              <w:jc w:val="center"/>
              <w:rPr>
                <w:rFonts w:ascii="Times New Roman" w:hAnsi="Times New Roman"/>
                <w:b/>
                <w:bCs/>
                <w:sz w:val="20"/>
                <w:szCs w:val="20"/>
              </w:rPr>
            </w:pPr>
            <w:r w:rsidRPr="0025108B">
              <w:rPr>
                <w:rFonts w:ascii="Times New Roman" w:hAnsi="Times New Roman"/>
                <w:b/>
                <w:bCs/>
                <w:sz w:val="20"/>
                <w:szCs w:val="20"/>
              </w:rPr>
              <w:t>Pearson χ²</w:t>
            </w:r>
          </w:p>
        </w:tc>
        <w:tc>
          <w:tcPr>
            <w:tcW w:w="997" w:type="dxa"/>
            <w:tcBorders>
              <w:bottom w:val="single" w:sz="4" w:space="0" w:color="7F7F7F"/>
            </w:tcBorders>
            <w:hideMark/>
          </w:tcPr>
          <w:p w14:paraId="77D42C2A" w14:textId="77777777" w:rsidR="00CC7CAC" w:rsidRPr="0025108B" w:rsidRDefault="00CC7CAC" w:rsidP="001F30F5">
            <w:pPr>
              <w:spacing w:after="0"/>
              <w:jc w:val="center"/>
              <w:rPr>
                <w:rFonts w:ascii="Times New Roman" w:hAnsi="Times New Roman"/>
                <w:b/>
                <w:bCs/>
                <w:sz w:val="20"/>
                <w:szCs w:val="20"/>
              </w:rPr>
            </w:pPr>
            <w:r w:rsidRPr="0025108B">
              <w:rPr>
                <w:rFonts w:ascii="Times New Roman" w:hAnsi="Times New Roman"/>
                <w:b/>
                <w:bCs/>
                <w:sz w:val="20"/>
                <w:szCs w:val="20"/>
              </w:rPr>
              <w:t>df</w:t>
            </w:r>
          </w:p>
        </w:tc>
        <w:tc>
          <w:tcPr>
            <w:tcW w:w="1512" w:type="dxa"/>
            <w:tcBorders>
              <w:bottom w:val="single" w:sz="4" w:space="0" w:color="7F7F7F"/>
            </w:tcBorders>
            <w:hideMark/>
          </w:tcPr>
          <w:p w14:paraId="21AF51E1" w14:textId="77777777" w:rsidR="00CC7CAC" w:rsidRPr="0025108B" w:rsidRDefault="00CC7CAC" w:rsidP="001F30F5">
            <w:pPr>
              <w:spacing w:after="0"/>
              <w:jc w:val="center"/>
              <w:rPr>
                <w:rFonts w:ascii="Times New Roman" w:hAnsi="Times New Roman"/>
                <w:b/>
                <w:bCs/>
                <w:sz w:val="20"/>
                <w:szCs w:val="20"/>
              </w:rPr>
            </w:pPr>
            <w:r w:rsidRPr="0025108B">
              <w:rPr>
                <w:rFonts w:ascii="Times New Roman" w:hAnsi="Times New Roman"/>
                <w:b/>
                <w:bCs/>
                <w:sz w:val="20"/>
                <w:szCs w:val="20"/>
              </w:rPr>
              <w:t>p-value</w:t>
            </w:r>
          </w:p>
        </w:tc>
        <w:tc>
          <w:tcPr>
            <w:tcW w:w="3336" w:type="dxa"/>
            <w:tcBorders>
              <w:bottom w:val="single" w:sz="4" w:space="0" w:color="7F7F7F"/>
            </w:tcBorders>
            <w:hideMark/>
          </w:tcPr>
          <w:p w14:paraId="5DE4D990" w14:textId="77777777" w:rsidR="00CC7CAC" w:rsidRPr="0025108B" w:rsidRDefault="00CC7CAC" w:rsidP="001F30F5">
            <w:pPr>
              <w:spacing w:after="0"/>
              <w:jc w:val="both"/>
              <w:rPr>
                <w:rFonts w:ascii="Times New Roman" w:hAnsi="Times New Roman"/>
                <w:b/>
                <w:bCs/>
                <w:sz w:val="20"/>
                <w:szCs w:val="20"/>
              </w:rPr>
            </w:pPr>
            <w:r w:rsidRPr="0025108B">
              <w:rPr>
                <w:rFonts w:ascii="Times New Roman" w:hAnsi="Times New Roman"/>
                <w:b/>
                <w:bCs/>
                <w:sz w:val="20"/>
                <w:szCs w:val="20"/>
              </w:rPr>
              <w:t>Notes</w:t>
            </w:r>
          </w:p>
        </w:tc>
      </w:tr>
      <w:tr w:rsidR="00CC7CAC" w:rsidRPr="0025108B" w14:paraId="4C4F756C" w14:textId="77777777" w:rsidTr="00F33A8E">
        <w:trPr>
          <w:trHeight w:val="343"/>
        </w:trPr>
        <w:tc>
          <w:tcPr>
            <w:tcW w:w="0" w:type="auto"/>
            <w:hideMark/>
          </w:tcPr>
          <w:p w14:paraId="271F5D17" w14:textId="77777777" w:rsidR="00CC7CAC" w:rsidRPr="0025108B" w:rsidRDefault="00CC7CAC" w:rsidP="001F30F5">
            <w:pPr>
              <w:spacing w:after="0"/>
              <w:jc w:val="both"/>
              <w:rPr>
                <w:rFonts w:ascii="Times New Roman" w:hAnsi="Times New Roman"/>
                <w:sz w:val="20"/>
                <w:szCs w:val="20"/>
              </w:rPr>
            </w:pPr>
            <w:r w:rsidRPr="0025108B">
              <w:rPr>
                <w:rFonts w:ascii="Times New Roman" w:hAnsi="Times New Roman"/>
                <w:sz w:val="20"/>
                <w:szCs w:val="20"/>
              </w:rPr>
              <w:t>Brass</w:t>
            </w:r>
          </w:p>
        </w:tc>
        <w:tc>
          <w:tcPr>
            <w:tcW w:w="1591" w:type="dxa"/>
            <w:hideMark/>
          </w:tcPr>
          <w:p w14:paraId="79431052" w14:textId="77777777" w:rsidR="00CC7CAC" w:rsidRPr="0025108B" w:rsidRDefault="00CC7CAC" w:rsidP="001F30F5">
            <w:pPr>
              <w:spacing w:after="0"/>
              <w:jc w:val="center"/>
              <w:rPr>
                <w:rFonts w:ascii="Times New Roman" w:hAnsi="Times New Roman"/>
                <w:sz w:val="20"/>
                <w:szCs w:val="20"/>
              </w:rPr>
            </w:pPr>
            <w:r w:rsidRPr="0025108B">
              <w:rPr>
                <w:rFonts w:ascii="Times New Roman" w:hAnsi="Times New Roman"/>
                <w:sz w:val="20"/>
                <w:szCs w:val="20"/>
              </w:rPr>
              <w:t>5.530</w:t>
            </w:r>
          </w:p>
        </w:tc>
        <w:tc>
          <w:tcPr>
            <w:tcW w:w="997" w:type="dxa"/>
            <w:hideMark/>
          </w:tcPr>
          <w:p w14:paraId="1CD6193F" w14:textId="77777777" w:rsidR="00CC7CAC" w:rsidRPr="0025108B" w:rsidRDefault="00CC7CAC" w:rsidP="001F30F5">
            <w:pPr>
              <w:spacing w:after="0"/>
              <w:jc w:val="center"/>
              <w:rPr>
                <w:rFonts w:ascii="Times New Roman" w:hAnsi="Times New Roman"/>
                <w:sz w:val="20"/>
                <w:szCs w:val="20"/>
              </w:rPr>
            </w:pPr>
            <w:r w:rsidRPr="0025108B">
              <w:rPr>
                <w:rFonts w:ascii="Times New Roman" w:hAnsi="Times New Roman"/>
                <w:sz w:val="20"/>
                <w:szCs w:val="20"/>
              </w:rPr>
              <w:t>1</w:t>
            </w:r>
          </w:p>
        </w:tc>
        <w:tc>
          <w:tcPr>
            <w:tcW w:w="1512" w:type="dxa"/>
            <w:hideMark/>
          </w:tcPr>
          <w:p w14:paraId="5C933850" w14:textId="77777777" w:rsidR="00CC7CAC" w:rsidRPr="0025108B" w:rsidRDefault="00CC7CAC" w:rsidP="001F30F5">
            <w:pPr>
              <w:spacing w:after="0"/>
              <w:jc w:val="center"/>
              <w:rPr>
                <w:rFonts w:ascii="Times New Roman" w:hAnsi="Times New Roman"/>
                <w:sz w:val="20"/>
                <w:szCs w:val="20"/>
              </w:rPr>
            </w:pPr>
            <w:r w:rsidRPr="0025108B">
              <w:rPr>
                <w:rFonts w:ascii="Times New Roman" w:hAnsi="Times New Roman"/>
                <w:sz w:val="20"/>
                <w:szCs w:val="20"/>
              </w:rPr>
              <w:t>0.019</w:t>
            </w:r>
          </w:p>
        </w:tc>
        <w:tc>
          <w:tcPr>
            <w:tcW w:w="3336" w:type="dxa"/>
            <w:hideMark/>
          </w:tcPr>
          <w:p w14:paraId="16E43845" w14:textId="77777777" w:rsidR="00CC7CAC" w:rsidRPr="0025108B" w:rsidRDefault="00CC7CAC" w:rsidP="001F30F5">
            <w:pPr>
              <w:spacing w:after="0"/>
              <w:rPr>
                <w:rFonts w:ascii="Times New Roman" w:hAnsi="Times New Roman"/>
                <w:sz w:val="20"/>
                <w:szCs w:val="20"/>
              </w:rPr>
            </w:pPr>
            <w:r w:rsidRPr="0025108B">
              <w:rPr>
                <w:rFonts w:ascii="Times New Roman" w:hAnsi="Times New Roman"/>
                <w:sz w:val="20"/>
                <w:szCs w:val="20"/>
              </w:rPr>
              <w:t>Male children dominate child water collection</w:t>
            </w:r>
          </w:p>
        </w:tc>
      </w:tr>
      <w:tr w:rsidR="00CC7CAC" w:rsidRPr="0025108B" w14:paraId="3E48BEBF" w14:textId="77777777" w:rsidTr="00F33A8E">
        <w:trPr>
          <w:trHeight w:val="351"/>
        </w:trPr>
        <w:tc>
          <w:tcPr>
            <w:tcW w:w="0" w:type="auto"/>
            <w:hideMark/>
          </w:tcPr>
          <w:p w14:paraId="1F589F95" w14:textId="77777777" w:rsidR="00CC7CAC" w:rsidRPr="0025108B" w:rsidRDefault="00CC7CAC" w:rsidP="001F30F5">
            <w:pPr>
              <w:spacing w:after="0"/>
              <w:jc w:val="both"/>
              <w:rPr>
                <w:rFonts w:ascii="Times New Roman" w:hAnsi="Times New Roman"/>
                <w:sz w:val="20"/>
                <w:szCs w:val="20"/>
              </w:rPr>
            </w:pPr>
            <w:proofErr w:type="spellStart"/>
            <w:r w:rsidRPr="0025108B">
              <w:rPr>
                <w:rFonts w:ascii="Times New Roman" w:hAnsi="Times New Roman"/>
                <w:sz w:val="20"/>
                <w:szCs w:val="20"/>
              </w:rPr>
              <w:t>Ekeremor</w:t>
            </w:r>
            <w:proofErr w:type="spellEnd"/>
          </w:p>
        </w:tc>
        <w:tc>
          <w:tcPr>
            <w:tcW w:w="1591" w:type="dxa"/>
            <w:hideMark/>
          </w:tcPr>
          <w:p w14:paraId="25EEC776" w14:textId="77777777" w:rsidR="00CC7CAC" w:rsidRPr="0025108B" w:rsidRDefault="00CC7CAC" w:rsidP="001F30F5">
            <w:pPr>
              <w:spacing w:after="0"/>
              <w:jc w:val="center"/>
              <w:rPr>
                <w:rFonts w:ascii="Times New Roman" w:hAnsi="Times New Roman"/>
                <w:sz w:val="20"/>
                <w:szCs w:val="20"/>
              </w:rPr>
            </w:pPr>
            <w:r w:rsidRPr="0025108B">
              <w:rPr>
                <w:rFonts w:ascii="Times New Roman" w:hAnsi="Times New Roman"/>
                <w:sz w:val="20"/>
                <w:szCs w:val="20"/>
              </w:rPr>
              <w:t>0.679</w:t>
            </w:r>
          </w:p>
        </w:tc>
        <w:tc>
          <w:tcPr>
            <w:tcW w:w="997" w:type="dxa"/>
            <w:hideMark/>
          </w:tcPr>
          <w:p w14:paraId="5466B369" w14:textId="77777777" w:rsidR="00CC7CAC" w:rsidRPr="0025108B" w:rsidRDefault="00CC7CAC" w:rsidP="001F30F5">
            <w:pPr>
              <w:spacing w:after="0"/>
              <w:jc w:val="center"/>
              <w:rPr>
                <w:rFonts w:ascii="Times New Roman" w:hAnsi="Times New Roman"/>
                <w:sz w:val="20"/>
                <w:szCs w:val="20"/>
              </w:rPr>
            </w:pPr>
            <w:r w:rsidRPr="0025108B">
              <w:rPr>
                <w:rFonts w:ascii="Times New Roman" w:hAnsi="Times New Roman"/>
                <w:sz w:val="20"/>
                <w:szCs w:val="20"/>
              </w:rPr>
              <w:t>1</w:t>
            </w:r>
          </w:p>
        </w:tc>
        <w:tc>
          <w:tcPr>
            <w:tcW w:w="1512" w:type="dxa"/>
            <w:hideMark/>
          </w:tcPr>
          <w:p w14:paraId="02FDB02B" w14:textId="77777777" w:rsidR="00CC7CAC" w:rsidRPr="0025108B" w:rsidRDefault="00CC7CAC" w:rsidP="001F30F5">
            <w:pPr>
              <w:spacing w:after="0"/>
              <w:jc w:val="center"/>
              <w:rPr>
                <w:rFonts w:ascii="Times New Roman" w:hAnsi="Times New Roman"/>
                <w:sz w:val="20"/>
                <w:szCs w:val="20"/>
              </w:rPr>
            </w:pPr>
            <w:r w:rsidRPr="0025108B">
              <w:rPr>
                <w:rFonts w:ascii="Times New Roman" w:hAnsi="Times New Roman"/>
                <w:sz w:val="20"/>
                <w:szCs w:val="20"/>
              </w:rPr>
              <w:t>0.410</w:t>
            </w:r>
          </w:p>
        </w:tc>
        <w:tc>
          <w:tcPr>
            <w:tcW w:w="3336" w:type="dxa"/>
            <w:hideMark/>
          </w:tcPr>
          <w:p w14:paraId="595C201C" w14:textId="77777777" w:rsidR="00CC7CAC" w:rsidRPr="0025108B" w:rsidRDefault="00CC7CAC" w:rsidP="001F30F5">
            <w:pPr>
              <w:spacing w:after="0"/>
              <w:rPr>
                <w:rFonts w:ascii="Times New Roman" w:hAnsi="Times New Roman"/>
                <w:sz w:val="20"/>
                <w:szCs w:val="20"/>
              </w:rPr>
            </w:pPr>
            <w:r w:rsidRPr="0025108B">
              <w:rPr>
                <w:rFonts w:ascii="Times New Roman" w:hAnsi="Times New Roman"/>
                <w:sz w:val="20"/>
                <w:szCs w:val="20"/>
              </w:rPr>
              <w:t>Not significant</w:t>
            </w:r>
          </w:p>
        </w:tc>
      </w:tr>
      <w:tr w:rsidR="00CC7CAC" w:rsidRPr="0025108B" w14:paraId="01699153" w14:textId="77777777" w:rsidTr="00F33A8E">
        <w:trPr>
          <w:trHeight w:val="343"/>
        </w:trPr>
        <w:tc>
          <w:tcPr>
            <w:tcW w:w="0" w:type="auto"/>
            <w:hideMark/>
          </w:tcPr>
          <w:p w14:paraId="07CA7770" w14:textId="77777777" w:rsidR="00CC7CAC" w:rsidRPr="0025108B" w:rsidRDefault="00CC7CAC" w:rsidP="001F30F5">
            <w:pPr>
              <w:spacing w:after="0"/>
              <w:jc w:val="both"/>
              <w:rPr>
                <w:rFonts w:ascii="Times New Roman" w:hAnsi="Times New Roman"/>
                <w:sz w:val="20"/>
                <w:szCs w:val="20"/>
              </w:rPr>
            </w:pPr>
            <w:r w:rsidRPr="0025108B">
              <w:rPr>
                <w:rFonts w:ascii="Times New Roman" w:hAnsi="Times New Roman"/>
                <w:sz w:val="20"/>
                <w:szCs w:val="20"/>
              </w:rPr>
              <w:t>Kaiama</w:t>
            </w:r>
          </w:p>
        </w:tc>
        <w:tc>
          <w:tcPr>
            <w:tcW w:w="1591" w:type="dxa"/>
            <w:hideMark/>
          </w:tcPr>
          <w:p w14:paraId="7D54B330" w14:textId="77777777" w:rsidR="00CC7CAC" w:rsidRPr="0025108B" w:rsidRDefault="00CC7CAC" w:rsidP="001F30F5">
            <w:pPr>
              <w:spacing w:after="0"/>
              <w:jc w:val="center"/>
              <w:rPr>
                <w:rFonts w:ascii="Times New Roman" w:hAnsi="Times New Roman"/>
                <w:sz w:val="20"/>
                <w:szCs w:val="20"/>
              </w:rPr>
            </w:pPr>
            <w:r w:rsidRPr="0025108B">
              <w:rPr>
                <w:rFonts w:ascii="Times New Roman" w:hAnsi="Times New Roman"/>
                <w:sz w:val="20"/>
                <w:szCs w:val="20"/>
              </w:rPr>
              <w:t>0.679</w:t>
            </w:r>
          </w:p>
        </w:tc>
        <w:tc>
          <w:tcPr>
            <w:tcW w:w="997" w:type="dxa"/>
            <w:hideMark/>
          </w:tcPr>
          <w:p w14:paraId="356B3EC9" w14:textId="77777777" w:rsidR="00CC7CAC" w:rsidRPr="0025108B" w:rsidRDefault="00CC7CAC" w:rsidP="001F30F5">
            <w:pPr>
              <w:spacing w:after="0"/>
              <w:jc w:val="center"/>
              <w:rPr>
                <w:rFonts w:ascii="Times New Roman" w:hAnsi="Times New Roman"/>
                <w:sz w:val="20"/>
                <w:szCs w:val="20"/>
              </w:rPr>
            </w:pPr>
            <w:r w:rsidRPr="0025108B">
              <w:rPr>
                <w:rFonts w:ascii="Times New Roman" w:hAnsi="Times New Roman"/>
                <w:sz w:val="20"/>
                <w:szCs w:val="20"/>
              </w:rPr>
              <w:t>1</w:t>
            </w:r>
          </w:p>
        </w:tc>
        <w:tc>
          <w:tcPr>
            <w:tcW w:w="1512" w:type="dxa"/>
            <w:hideMark/>
          </w:tcPr>
          <w:p w14:paraId="6E5472B8" w14:textId="77777777" w:rsidR="00CC7CAC" w:rsidRPr="0025108B" w:rsidRDefault="00CC7CAC" w:rsidP="001F30F5">
            <w:pPr>
              <w:spacing w:after="0"/>
              <w:jc w:val="center"/>
              <w:rPr>
                <w:rFonts w:ascii="Times New Roman" w:hAnsi="Times New Roman"/>
                <w:sz w:val="20"/>
                <w:szCs w:val="20"/>
              </w:rPr>
            </w:pPr>
            <w:r w:rsidRPr="0025108B">
              <w:rPr>
                <w:rFonts w:ascii="Times New Roman" w:hAnsi="Times New Roman"/>
                <w:sz w:val="20"/>
                <w:szCs w:val="20"/>
              </w:rPr>
              <w:t>0.410</w:t>
            </w:r>
          </w:p>
        </w:tc>
        <w:tc>
          <w:tcPr>
            <w:tcW w:w="3336" w:type="dxa"/>
            <w:hideMark/>
          </w:tcPr>
          <w:p w14:paraId="38C1E48C" w14:textId="77777777" w:rsidR="00CC7CAC" w:rsidRPr="0025108B" w:rsidRDefault="00CC7CAC" w:rsidP="001F30F5">
            <w:pPr>
              <w:spacing w:after="0"/>
              <w:rPr>
                <w:rFonts w:ascii="Times New Roman" w:hAnsi="Times New Roman"/>
                <w:sz w:val="20"/>
                <w:szCs w:val="20"/>
              </w:rPr>
            </w:pPr>
            <w:r w:rsidRPr="0025108B">
              <w:rPr>
                <w:rFonts w:ascii="Times New Roman" w:hAnsi="Times New Roman"/>
                <w:sz w:val="20"/>
                <w:szCs w:val="20"/>
              </w:rPr>
              <w:t>Not significant</w:t>
            </w:r>
          </w:p>
        </w:tc>
      </w:tr>
      <w:tr w:rsidR="00CC7CAC" w:rsidRPr="0025108B" w14:paraId="6886B0A2" w14:textId="77777777" w:rsidTr="00F33A8E">
        <w:trPr>
          <w:trHeight w:val="343"/>
        </w:trPr>
        <w:tc>
          <w:tcPr>
            <w:tcW w:w="0" w:type="auto"/>
            <w:hideMark/>
          </w:tcPr>
          <w:p w14:paraId="49F8D50C" w14:textId="77777777" w:rsidR="00CC7CAC" w:rsidRPr="0025108B" w:rsidRDefault="00CC7CAC" w:rsidP="001F30F5">
            <w:pPr>
              <w:spacing w:after="0"/>
              <w:jc w:val="both"/>
              <w:rPr>
                <w:rFonts w:ascii="Times New Roman" w:hAnsi="Times New Roman"/>
                <w:sz w:val="20"/>
                <w:szCs w:val="20"/>
              </w:rPr>
            </w:pPr>
            <w:proofErr w:type="spellStart"/>
            <w:r w:rsidRPr="0025108B">
              <w:rPr>
                <w:rFonts w:ascii="Times New Roman" w:hAnsi="Times New Roman"/>
                <w:sz w:val="20"/>
                <w:szCs w:val="20"/>
              </w:rPr>
              <w:t>Nembe</w:t>
            </w:r>
            <w:proofErr w:type="spellEnd"/>
          </w:p>
        </w:tc>
        <w:tc>
          <w:tcPr>
            <w:tcW w:w="1591" w:type="dxa"/>
            <w:hideMark/>
          </w:tcPr>
          <w:p w14:paraId="6A121A87" w14:textId="77777777" w:rsidR="00CC7CAC" w:rsidRPr="0025108B" w:rsidRDefault="00CC7CAC" w:rsidP="001F30F5">
            <w:pPr>
              <w:spacing w:after="0"/>
              <w:jc w:val="center"/>
              <w:rPr>
                <w:rFonts w:ascii="Times New Roman" w:hAnsi="Times New Roman"/>
                <w:sz w:val="20"/>
                <w:szCs w:val="20"/>
              </w:rPr>
            </w:pPr>
            <w:r w:rsidRPr="0025108B">
              <w:rPr>
                <w:rFonts w:ascii="Times New Roman" w:hAnsi="Times New Roman"/>
                <w:sz w:val="20"/>
                <w:szCs w:val="20"/>
              </w:rPr>
              <w:t>0.540</w:t>
            </w:r>
          </w:p>
        </w:tc>
        <w:tc>
          <w:tcPr>
            <w:tcW w:w="997" w:type="dxa"/>
            <w:hideMark/>
          </w:tcPr>
          <w:p w14:paraId="5390AB4C" w14:textId="77777777" w:rsidR="00CC7CAC" w:rsidRPr="0025108B" w:rsidRDefault="00CC7CAC" w:rsidP="001F30F5">
            <w:pPr>
              <w:spacing w:after="0"/>
              <w:jc w:val="center"/>
              <w:rPr>
                <w:rFonts w:ascii="Times New Roman" w:hAnsi="Times New Roman"/>
                <w:sz w:val="20"/>
                <w:szCs w:val="20"/>
              </w:rPr>
            </w:pPr>
            <w:r w:rsidRPr="0025108B">
              <w:rPr>
                <w:rFonts w:ascii="Times New Roman" w:hAnsi="Times New Roman"/>
                <w:sz w:val="20"/>
                <w:szCs w:val="20"/>
              </w:rPr>
              <w:t>1</w:t>
            </w:r>
          </w:p>
        </w:tc>
        <w:tc>
          <w:tcPr>
            <w:tcW w:w="1512" w:type="dxa"/>
            <w:hideMark/>
          </w:tcPr>
          <w:p w14:paraId="70085EEB" w14:textId="77777777" w:rsidR="00CC7CAC" w:rsidRPr="0025108B" w:rsidRDefault="00CC7CAC" w:rsidP="001F30F5">
            <w:pPr>
              <w:spacing w:after="0"/>
              <w:jc w:val="center"/>
              <w:rPr>
                <w:rFonts w:ascii="Times New Roman" w:hAnsi="Times New Roman"/>
                <w:sz w:val="20"/>
                <w:szCs w:val="20"/>
              </w:rPr>
            </w:pPr>
            <w:r w:rsidRPr="0025108B">
              <w:rPr>
                <w:rFonts w:ascii="Times New Roman" w:hAnsi="Times New Roman"/>
                <w:sz w:val="20"/>
                <w:szCs w:val="20"/>
              </w:rPr>
              <w:t>0.462</w:t>
            </w:r>
          </w:p>
        </w:tc>
        <w:tc>
          <w:tcPr>
            <w:tcW w:w="3336" w:type="dxa"/>
            <w:hideMark/>
          </w:tcPr>
          <w:p w14:paraId="0C2E552F" w14:textId="77777777" w:rsidR="00CC7CAC" w:rsidRPr="0025108B" w:rsidRDefault="00CC7CAC" w:rsidP="001F30F5">
            <w:pPr>
              <w:spacing w:after="0"/>
              <w:rPr>
                <w:rFonts w:ascii="Times New Roman" w:hAnsi="Times New Roman"/>
                <w:sz w:val="20"/>
                <w:szCs w:val="20"/>
              </w:rPr>
            </w:pPr>
            <w:r w:rsidRPr="0025108B">
              <w:rPr>
                <w:rFonts w:ascii="Times New Roman" w:hAnsi="Times New Roman"/>
                <w:sz w:val="20"/>
                <w:szCs w:val="20"/>
              </w:rPr>
              <w:t>Not significant</w:t>
            </w:r>
          </w:p>
        </w:tc>
      </w:tr>
      <w:tr w:rsidR="00CC7CAC" w:rsidRPr="0025108B" w14:paraId="2157503C" w14:textId="77777777" w:rsidTr="00F33A8E">
        <w:trPr>
          <w:trHeight w:val="351"/>
        </w:trPr>
        <w:tc>
          <w:tcPr>
            <w:tcW w:w="0" w:type="auto"/>
            <w:hideMark/>
          </w:tcPr>
          <w:p w14:paraId="12331869" w14:textId="77777777" w:rsidR="00CC7CAC" w:rsidRPr="0025108B" w:rsidRDefault="00CC7CAC" w:rsidP="001F30F5">
            <w:pPr>
              <w:spacing w:after="0"/>
              <w:jc w:val="both"/>
              <w:rPr>
                <w:rFonts w:ascii="Times New Roman" w:hAnsi="Times New Roman"/>
                <w:sz w:val="20"/>
                <w:szCs w:val="20"/>
              </w:rPr>
            </w:pPr>
            <w:proofErr w:type="spellStart"/>
            <w:r w:rsidRPr="0025108B">
              <w:rPr>
                <w:rFonts w:ascii="Times New Roman" w:hAnsi="Times New Roman"/>
                <w:sz w:val="20"/>
                <w:szCs w:val="20"/>
              </w:rPr>
              <w:t>Ogbia</w:t>
            </w:r>
            <w:proofErr w:type="spellEnd"/>
          </w:p>
        </w:tc>
        <w:tc>
          <w:tcPr>
            <w:tcW w:w="1591" w:type="dxa"/>
            <w:hideMark/>
          </w:tcPr>
          <w:p w14:paraId="4D3C3AA7" w14:textId="77777777" w:rsidR="00CC7CAC" w:rsidRPr="0025108B" w:rsidRDefault="00CC7CAC" w:rsidP="001F30F5">
            <w:pPr>
              <w:spacing w:after="0"/>
              <w:jc w:val="center"/>
              <w:rPr>
                <w:rFonts w:ascii="Times New Roman" w:hAnsi="Times New Roman"/>
                <w:sz w:val="20"/>
                <w:szCs w:val="20"/>
              </w:rPr>
            </w:pPr>
            <w:r w:rsidRPr="0025108B">
              <w:rPr>
                <w:rFonts w:ascii="Times New Roman" w:hAnsi="Times New Roman"/>
                <w:sz w:val="20"/>
                <w:szCs w:val="20"/>
              </w:rPr>
              <w:t>0.900</w:t>
            </w:r>
          </w:p>
        </w:tc>
        <w:tc>
          <w:tcPr>
            <w:tcW w:w="997" w:type="dxa"/>
            <w:hideMark/>
          </w:tcPr>
          <w:p w14:paraId="1AA2EF96" w14:textId="77777777" w:rsidR="00CC7CAC" w:rsidRPr="0025108B" w:rsidRDefault="00CC7CAC" w:rsidP="001F30F5">
            <w:pPr>
              <w:spacing w:after="0"/>
              <w:jc w:val="center"/>
              <w:rPr>
                <w:rFonts w:ascii="Times New Roman" w:hAnsi="Times New Roman"/>
                <w:sz w:val="20"/>
                <w:szCs w:val="20"/>
              </w:rPr>
            </w:pPr>
            <w:r w:rsidRPr="0025108B">
              <w:rPr>
                <w:rFonts w:ascii="Times New Roman" w:hAnsi="Times New Roman"/>
                <w:sz w:val="20"/>
                <w:szCs w:val="20"/>
              </w:rPr>
              <w:t>1</w:t>
            </w:r>
          </w:p>
        </w:tc>
        <w:tc>
          <w:tcPr>
            <w:tcW w:w="1512" w:type="dxa"/>
            <w:hideMark/>
          </w:tcPr>
          <w:p w14:paraId="77CE1BF0" w14:textId="77777777" w:rsidR="00CC7CAC" w:rsidRPr="0025108B" w:rsidRDefault="00CC7CAC" w:rsidP="001F30F5">
            <w:pPr>
              <w:spacing w:after="0"/>
              <w:jc w:val="center"/>
              <w:rPr>
                <w:rFonts w:ascii="Times New Roman" w:hAnsi="Times New Roman"/>
                <w:sz w:val="20"/>
                <w:szCs w:val="20"/>
              </w:rPr>
            </w:pPr>
            <w:r w:rsidRPr="0025108B">
              <w:rPr>
                <w:rFonts w:ascii="Times New Roman" w:hAnsi="Times New Roman"/>
                <w:sz w:val="20"/>
                <w:szCs w:val="20"/>
              </w:rPr>
              <w:t>0.343</w:t>
            </w:r>
          </w:p>
        </w:tc>
        <w:tc>
          <w:tcPr>
            <w:tcW w:w="3336" w:type="dxa"/>
            <w:hideMark/>
          </w:tcPr>
          <w:p w14:paraId="3912CD36" w14:textId="77777777" w:rsidR="00CC7CAC" w:rsidRPr="0025108B" w:rsidRDefault="00CC7CAC" w:rsidP="001F30F5">
            <w:pPr>
              <w:spacing w:after="0"/>
              <w:rPr>
                <w:rFonts w:ascii="Times New Roman" w:hAnsi="Times New Roman"/>
                <w:sz w:val="20"/>
                <w:szCs w:val="20"/>
              </w:rPr>
            </w:pPr>
            <w:r w:rsidRPr="0025108B">
              <w:rPr>
                <w:rFonts w:ascii="Times New Roman" w:hAnsi="Times New Roman"/>
                <w:sz w:val="20"/>
                <w:szCs w:val="20"/>
              </w:rPr>
              <w:t>Not significant</w:t>
            </w:r>
          </w:p>
        </w:tc>
      </w:tr>
      <w:tr w:rsidR="00CC7CAC" w:rsidRPr="0025108B" w14:paraId="3845D600" w14:textId="77777777" w:rsidTr="00F33A8E">
        <w:trPr>
          <w:trHeight w:val="343"/>
        </w:trPr>
        <w:tc>
          <w:tcPr>
            <w:tcW w:w="0" w:type="auto"/>
            <w:hideMark/>
          </w:tcPr>
          <w:p w14:paraId="2DADC971" w14:textId="77777777" w:rsidR="00CC7CAC" w:rsidRPr="0025108B" w:rsidRDefault="00CC7CAC" w:rsidP="001F30F5">
            <w:pPr>
              <w:spacing w:after="0"/>
              <w:jc w:val="both"/>
              <w:rPr>
                <w:rFonts w:ascii="Times New Roman" w:hAnsi="Times New Roman"/>
                <w:sz w:val="20"/>
                <w:szCs w:val="20"/>
              </w:rPr>
            </w:pPr>
            <w:proofErr w:type="spellStart"/>
            <w:r w:rsidRPr="0025108B">
              <w:rPr>
                <w:rFonts w:ascii="Times New Roman" w:hAnsi="Times New Roman"/>
                <w:sz w:val="20"/>
                <w:szCs w:val="20"/>
              </w:rPr>
              <w:t>Oporoma</w:t>
            </w:r>
            <w:proofErr w:type="spellEnd"/>
          </w:p>
        </w:tc>
        <w:tc>
          <w:tcPr>
            <w:tcW w:w="1591" w:type="dxa"/>
            <w:hideMark/>
          </w:tcPr>
          <w:p w14:paraId="7F15BE00" w14:textId="77777777" w:rsidR="00CC7CAC" w:rsidRPr="0025108B" w:rsidRDefault="00CC7CAC" w:rsidP="001F30F5">
            <w:pPr>
              <w:spacing w:after="0"/>
              <w:jc w:val="center"/>
              <w:rPr>
                <w:rFonts w:ascii="Times New Roman" w:hAnsi="Times New Roman"/>
                <w:sz w:val="20"/>
                <w:szCs w:val="20"/>
              </w:rPr>
            </w:pPr>
            <w:r w:rsidRPr="0025108B">
              <w:rPr>
                <w:rFonts w:ascii="Times New Roman" w:hAnsi="Times New Roman"/>
                <w:sz w:val="20"/>
                <w:szCs w:val="20"/>
              </w:rPr>
              <w:t>0.000</w:t>
            </w:r>
          </w:p>
        </w:tc>
        <w:tc>
          <w:tcPr>
            <w:tcW w:w="997" w:type="dxa"/>
            <w:hideMark/>
          </w:tcPr>
          <w:p w14:paraId="002710EC" w14:textId="77777777" w:rsidR="00CC7CAC" w:rsidRPr="0025108B" w:rsidRDefault="00CC7CAC" w:rsidP="001F30F5">
            <w:pPr>
              <w:spacing w:after="0"/>
              <w:jc w:val="center"/>
              <w:rPr>
                <w:rFonts w:ascii="Times New Roman" w:hAnsi="Times New Roman"/>
                <w:sz w:val="20"/>
                <w:szCs w:val="20"/>
              </w:rPr>
            </w:pPr>
            <w:r w:rsidRPr="0025108B">
              <w:rPr>
                <w:rFonts w:ascii="Times New Roman" w:hAnsi="Times New Roman"/>
                <w:sz w:val="20"/>
                <w:szCs w:val="20"/>
              </w:rPr>
              <w:t>1</w:t>
            </w:r>
          </w:p>
        </w:tc>
        <w:tc>
          <w:tcPr>
            <w:tcW w:w="1512" w:type="dxa"/>
            <w:hideMark/>
          </w:tcPr>
          <w:p w14:paraId="75C0D811" w14:textId="77777777" w:rsidR="00CC7CAC" w:rsidRPr="0025108B" w:rsidRDefault="00CC7CAC" w:rsidP="001F30F5">
            <w:pPr>
              <w:spacing w:after="0"/>
              <w:jc w:val="center"/>
              <w:rPr>
                <w:rFonts w:ascii="Times New Roman" w:hAnsi="Times New Roman"/>
                <w:sz w:val="20"/>
                <w:szCs w:val="20"/>
              </w:rPr>
            </w:pPr>
            <w:r w:rsidRPr="0025108B">
              <w:rPr>
                <w:rFonts w:ascii="Times New Roman" w:hAnsi="Times New Roman"/>
                <w:sz w:val="20"/>
                <w:szCs w:val="20"/>
              </w:rPr>
              <w:t>1.000</w:t>
            </w:r>
          </w:p>
        </w:tc>
        <w:tc>
          <w:tcPr>
            <w:tcW w:w="3336" w:type="dxa"/>
            <w:hideMark/>
          </w:tcPr>
          <w:p w14:paraId="022DF613" w14:textId="77777777" w:rsidR="00CC7CAC" w:rsidRPr="0025108B" w:rsidRDefault="00CC7CAC" w:rsidP="001F30F5">
            <w:pPr>
              <w:spacing w:after="0"/>
              <w:rPr>
                <w:rFonts w:ascii="Times New Roman" w:hAnsi="Times New Roman"/>
                <w:sz w:val="20"/>
                <w:szCs w:val="20"/>
              </w:rPr>
            </w:pPr>
            <w:r w:rsidRPr="0025108B">
              <w:rPr>
                <w:rFonts w:ascii="Times New Roman" w:hAnsi="Times New Roman"/>
                <w:sz w:val="20"/>
                <w:szCs w:val="20"/>
              </w:rPr>
              <w:t>Perfect alignment, atypical household structure</w:t>
            </w:r>
          </w:p>
        </w:tc>
      </w:tr>
      <w:tr w:rsidR="00CC7CAC" w:rsidRPr="0025108B" w14:paraId="3650D810" w14:textId="77777777" w:rsidTr="00F33A8E">
        <w:trPr>
          <w:trHeight w:val="343"/>
        </w:trPr>
        <w:tc>
          <w:tcPr>
            <w:tcW w:w="0" w:type="auto"/>
            <w:hideMark/>
          </w:tcPr>
          <w:p w14:paraId="6A2F8016" w14:textId="77777777" w:rsidR="00CC7CAC" w:rsidRPr="0025108B" w:rsidRDefault="00CC7CAC" w:rsidP="001F30F5">
            <w:pPr>
              <w:spacing w:after="0"/>
              <w:jc w:val="both"/>
              <w:rPr>
                <w:rFonts w:ascii="Times New Roman" w:hAnsi="Times New Roman"/>
                <w:sz w:val="20"/>
                <w:szCs w:val="20"/>
              </w:rPr>
            </w:pPr>
            <w:proofErr w:type="spellStart"/>
            <w:r w:rsidRPr="0025108B">
              <w:rPr>
                <w:rFonts w:ascii="Times New Roman" w:hAnsi="Times New Roman"/>
                <w:sz w:val="20"/>
                <w:szCs w:val="20"/>
              </w:rPr>
              <w:t>Sagbama</w:t>
            </w:r>
            <w:proofErr w:type="spellEnd"/>
          </w:p>
        </w:tc>
        <w:tc>
          <w:tcPr>
            <w:tcW w:w="1591" w:type="dxa"/>
            <w:hideMark/>
          </w:tcPr>
          <w:p w14:paraId="3B51C4C7" w14:textId="77777777" w:rsidR="00CC7CAC" w:rsidRPr="0025108B" w:rsidRDefault="00CC7CAC" w:rsidP="001F30F5">
            <w:pPr>
              <w:spacing w:after="0"/>
              <w:jc w:val="center"/>
              <w:rPr>
                <w:rFonts w:ascii="Times New Roman" w:hAnsi="Times New Roman"/>
                <w:sz w:val="20"/>
                <w:szCs w:val="20"/>
              </w:rPr>
            </w:pPr>
            <w:r w:rsidRPr="0025108B">
              <w:rPr>
                <w:rFonts w:ascii="Times New Roman" w:hAnsi="Times New Roman"/>
                <w:sz w:val="20"/>
                <w:szCs w:val="20"/>
              </w:rPr>
              <w:t>0.080</w:t>
            </w:r>
          </w:p>
        </w:tc>
        <w:tc>
          <w:tcPr>
            <w:tcW w:w="997" w:type="dxa"/>
            <w:hideMark/>
          </w:tcPr>
          <w:p w14:paraId="4AF6D8A4" w14:textId="77777777" w:rsidR="00CC7CAC" w:rsidRPr="0025108B" w:rsidRDefault="00CC7CAC" w:rsidP="001F30F5">
            <w:pPr>
              <w:spacing w:after="0"/>
              <w:jc w:val="center"/>
              <w:rPr>
                <w:rFonts w:ascii="Times New Roman" w:hAnsi="Times New Roman"/>
                <w:sz w:val="20"/>
                <w:szCs w:val="20"/>
              </w:rPr>
            </w:pPr>
            <w:r w:rsidRPr="0025108B">
              <w:rPr>
                <w:rFonts w:ascii="Times New Roman" w:hAnsi="Times New Roman"/>
                <w:sz w:val="20"/>
                <w:szCs w:val="20"/>
              </w:rPr>
              <w:t>1</w:t>
            </w:r>
          </w:p>
        </w:tc>
        <w:tc>
          <w:tcPr>
            <w:tcW w:w="1512" w:type="dxa"/>
            <w:hideMark/>
          </w:tcPr>
          <w:p w14:paraId="7AE1D6F4" w14:textId="77777777" w:rsidR="00CC7CAC" w:rsidRPr="0025108B" w:rsidRDefault="00CC7CAC" w:rsidP="001F30F5">
            <w:pPr>
              <w:spacing w:after="0"/>
              <w:jc w:val="center"/>
              <w:rPr>
                <w:rFonts w:ascii="Times New Roman" w:hAnsi="Times New Roman"/>
                <w:sz w:val="20"/>
                <w:szCs w:val="20"/>
              </w:rPr>
            </w:pPr>
            <w:r w:rsidRPr="0025108B">
              <w:rPr>
                <w:rFonts w:ascii="Times New Roman" w:hAnsi="Times New Roman"/>
                <w:sz w:val="20"/>
                <w:szCs w:val="20"/>
              </w:rPr>
              <w:t>0.777</w:t>
            </w:r>
          </w:p>
        </w:tc>
        <w:tc>
          <w:tcPr>
            <w:tcW w:w="3336" w:type="dxa"/>
            <w:hideMark/>
          </w:tcPr>
          <w:p w14:paraId="45004481" w14:textId="77777777" w:rsidR="00CC7CAC" w:rsidRPr="0025108B" w:rsidRDefault="00CC7CAC" w:rsidP="001F30F5">
            <w:pPr>
              <w:spacing w:after="0"/>
              <w:rPr>
                <w:rFonts w:ascii="Times New Roman" w:hAnsi="Times New Roman"/>
                <w:sz w:val="20"/>
                <w:szCs w:val="20"/>
              </w:rPr>
            </w:pPr>
            <w:r w:rsidRPr="0025108B">
              <w:rPr>
                <w:rFonts w:ascii="Times New Roman" w:hAnsi="Times New Roman"/>
                <w:sz w:val="20"/>
                <w:szCs w:val="20"/>
              </w:rPr>
              <w:t>Not significant</w:t>
            </w:r>
          </w:p>
        </w:tc>
      </w:tr>
      <w:tr w:rsidR="00CC7CAC" w:rsidRPr="0025108B" w14:paraId="23ECD5E5" w14:textId="77777777" w:rsidTr="00F33A8E">
        <w:trPr>
          <w:trHeight w:val="343"/>
        </w:trPr>
        <w:tc>
          <w:tcPr>
            <w:tcW w:w="0" w:type="auto"/>
            <w:hideMark/>
          </w:tcPr>
          <w:p w14:paraId="567DB76D" w14:textId="77777777" w:rsidR="00CC7CAC" w:rsidRPr="0025108B" w:rsidRDefault="00CC7CAC" w:rsidP="001F30F5">
            <w:pPr>
              <w:spacing w:after="0"/>
              <w:jc w:val="both"/>
              <w:rPr>
                <w:rFonts w:ascii="Times New Roman" w:hAnsi="Times New Roman"/>
                <w:sz w:val="20"/>
                <w:szCs w:val="20"/>
              </w:rPr>
            </w:pPr>
            <w:r w:rsidRPr="0025108B">
              <w:rPr>
                <w:rFonts w:ascii="Times New Roman" w:hAnsi="Times New Roman"/>
                <w:sz w:val="20"/>
                <w:szCs w:val="20"/>
              </w:rPr>
              <w:t>Yenagoa</w:t>
            </w:r>
          </w:p>
        </w:tc>
        <w:tc>
          <w:tcPr>
            <w:tcW w:w="1591" w:type="dxa"/>
            <w:hideMark/>
          </w:tcPr>
          <w:p w14:paraId="2FF2B3BB" w14:textId="77777777" w:rsidR="00CC7CAC" w:rsidRPr="0025108B" w:rsidRDefault="00CC7CAC" w:rsidP="001F30F5">
            <w:pPr>
              <w:spacing w:after="0"/>
              <w:jc w:val="center"/>
              <w:rPr>
                <w:rFonts w:ascii="Times New Roman" w:hAnsi="Times New Roman"/>
                <w:sz w:val="20"/>
                <w:szCs w:val="20"/>
              </w:rPr>
            </w:pPr>
            <w:r w:rsidRPr="0025108B">
              <w:rPr>
                <w:rFonts w:ascii="Times New Roman" w:hAnsi="Times New Roman"/>
                <w:sz w:val="20"/>
                <w:szCs w:val="20"/>
              </w:rPr>
              <w:t>0.010</w:t>
            </w:r>
          </w:p>
        </w:tc>
        <w:tc>
          <w:tcPr>
            <w:tcW w:w="997" w:type="dxa"/>
            <w:hideMark/>
          </w:tcPr>
          <w:p w14:paraId="0CE5CC54" w14:textId="77777777" w:rsidR="00CC7CAC" w:rsidRPr="0025108B" w:rsidRDefault="00CC7CAC" w:rsidP="001F30F5">
            <w:pPr>
              <w:spacing w:after="0"/>
              <w:jc w:val="center"/>
              <w:rPr>
                <w:rFonts w:ascii="Times New Roman" w:hAnsi="Times New Roman"/>
                <w:sz w:val="20"/>
                <w:szCs w:val="20"/>
              </w:rPr>
            </w:pPr>
            <w:r w:rsidRPr="0025108B">
              <w:rPr>
                <w:rFonts w:ascii="Times New Roman" w:hAnsi="Times New Roman"/>
                <w:sz w:val="20"/>
                <w:szCs w:val="20"/>
              </w:rPr>
              <w:t>1</w:t>
            </w:r>
          </w:p>
        </w:tc>
        <w:tc>
          <w:tcPr>
            <w:tcW w:w="1512" w:type="dxa"/>
            <w:hideMark/>
          </w:tcPr>
          <w:p w14:paraId="66DC5940" w14:textId="77777777" w:rsidR="00CC7CAC" w:rsidRPr="0025108B" w:rsidRDefault="00CC7CAC" w:rsidP="001F30F5">
            <w:pPr>
              <w:spacing w:after="0"/>
              <w:jc w:val="center"/>
              <w:rPr>
                <w:rFonts w:ascii="Times New Roman" w:hAnsi="Times New Roman"/>
                <w:sz w:val="20"/>
                <w:szCs w:val="20"/>
              </w:rPr>
            </w:pPr>
            <w:r w:rsidRPr="0025108B">
              <w:rPr>
                <w:rFonts w:ascii="Times New Roman" w:hAnsi="Times New Roman"/>
                <w:sz w:val="20"/>
                <w:szCs w:val="20"/>
              </w:rPr>
              <w:t>0.920</w:t>
            </w:r>
          </w:p>
        </w:tc>
        <w:tc>
          <w:tcPr>
            <w:tcW w:w="3336" w:type="dxa"/>
            <w:hideMark/>
          </w:tcPr>
          <w:p w14:paraId="2E58E8EF" w14:textId="77777777" w:rsidR="00CC7CAC" w:rsidRPr="0025108B" w:rsidRDefault="00CC7CAC" w:rsidP="001F30F5">
            <w:pPr>
              <w:spacing w:after="0"/>
              <w:rPr>
                <w:rFonts w:ascii="Times New Roman" w:hAnsi="Times New Roman"/>
                <w:sz w:val="20"/>
                <w:szCs w:val="20"/>
              </w:rPr>
            </w:pPr>
            <w:r w:rsidRPr="0025108B">
              <w:rPr>
                <w:rFonts w:ascii="Times New Roman" w:hAnsi="Times New Roman"/>
                <w:sz w:val="20"/>
                <w:szCs w:val="20"/>
              </w:rPr>
              <w:t>Not significant</w:t>
            </w:r>
          </w:p>
        </w:tc>
      </w:tr>
    </w:tbl>
    <w:p w14:paraId="4FD66717" w14:textId="77777777" w:rsidR="00CC7CAC" w:rsidRPr="0025108B" w:rsidRDefault="00CC7CAC" w:rsidP="00CC7CAC">
      <w:pPr>
        <w:jc w:val="both"/>
        <w:rPr>
          <w:rFonts w:ascii="Times New Roman" w:hAnsi="Times New Roman"/>
        </w:rPr>
      </w:pPr>
      <w:r w:rsidRPr="0025108B">
        <w:rPr>
          <w:rFonts w:ascii="Times New Roman" w:hAnsi="Times New Roman"/>
        </w:rPr>
        <w:t>Source: Author’s Fieldwork, 2024</w:t>
      </w:r>
      <w:r w:rsidR="00275DAF" w:rsidRPr="0025108B">
        <w:rPr>
          <w:rFonts w:ascii="Times New Roman" w:hAnsi="Times New Roman"/>
        </w:rPr>
        <w:t>.</w:t>
      </w:r>
    </w:p>
    <w:p w14:paraId="6F3DC055" w14:textId="77777777" w:rsidR="00B36CA2" w:rsidRPr="001F30F5" w:rsidRDefault="00275DAF" w:rsidP="003576AA">
      <w:pPr>
        <w:jc w:val="both"/>
        <w:rPr>
          <w:rFonts w:ascii="Times New Roman" w:hAnsi="Times New Roman"/>
        </w:rPr>
      </w:pPr>
      <w:r w:rsidRPr="0025108B">
        <w:rPr>
          <w:rFonts w:ascii="Times New Roman" w:hAnsi="Times New Roman"/>
        </w:rPr>
        <w:t xml:space="preserve">Against the above backdrop, it is clear that </w:t>
      </w:r>
      <w:r w:rsidR="00CC7CAC" w:rsidRPr="0025108B">
        <w:rPr>
          <w:rFonts w:ascii="Times New Roman" w:hAnsi="Times New Roman"/>
        </w:rPr>
        <w:t xml:space="preserve">gender influence on water collection in Bayelsa State is context-specific. While women, especially adult females, bear most of the practical burden, only certain </w:t>
      </w:r>
      <w:r w:rsidRPr="0025108B">
        <w:rPr>
          <w:rFonts w:ascii="Times New Roman" w:hAnsi="Times New Roman"/>
        </w:rPr>
        <w:t>LGA headquarters</w:t>
      </w:r>
      <w:r w:rsidR="00CC7CAC" w:rsidRPr="0025108B">
        <w:rPr>
          <w:rFonts w:ascii="Times New Roman" w:hAnsi="Times New Roman"/>
        </w:rPr>
        <w:t xml:space="preserve">, like Brass, show statistically significant patterns, often shaped by child participation, cultural norms, and household dynamics. This reinforces </w:t>
      </w:r>
      <w:r w:rsidRPr="0025108B">
        <w:rPr>
          <w:rFonts w:ascii="Times New Roman" w:hAnsi="Times New Roman"/>
        </w:rPr>
        <w:t xml:space="preserve">the view </w:t>
      </w:r>
      <w:r w:rsidR="00CC7CAC" w:rsidRPr="0025108B">
        <w:rPr>
          <w:rFonts w:ascii="Times New Roman" w:hAnsi="Times New Roman"/>
        </w:rPr>
        <w:t xml:space="preserve">that gendered </w:t>
      </w:r>
      <w:r w:rsidR="00CC7CAC" w:rsidRPr="0025108B">
        <w:rPr>
          <w:rFonts w:ascii="Times New Roman" w:hAnsi="Times New Roman"/>
        </w:rPr>
        <w:lastRenderedPageBreak/>
        <w:t>water collection is not uniform across the state, with local variations strongly affecting the distribution of labour.</w:t>
      </w:r>
    </w:p>
    <w:p w14:paraId="2F087B0F" w14:textId="77777777" w:rsidR="003576AA" w:rsidRPr="0025108B" w:rsidRDefault="00F84FD2" w:rsidP="003576AA">
      <w:pPr>
        <w:jc w:val="both"/>
        <w:rPr>
          <w:rFonts w:ascii="Times New Roman" w:hAnsi="Times New Roman"/>
          <w:b/>
          <w:bCs/>
        </w:rPr>
      </w:pPr>
      <w:r w:rsidRPr="0025108B">
        <w:rPr>
          <w:rFonts w:ascii="Times New Roman" w:hAnsi="Times New Roman"/>
          <w:b/>
          <w:bCs/>
        </w:rPr>
        <w:t>4.0 Discussion of Findings</w:t>
      </w:r>
    </w:p>
    <w:p w14:paraId="7365C3CA" w14:textId="77777777" w:rsidR="00B572C0" w:rsidRDefault="00125392" w:rsidP="00125392">
      <w:pPr>
        <w:jc w:val="both"/>
        <w:rPr>
          <w:rFonts w:ascii="Times New Roman" w:hAnsi="Times New Roman"/>
        </w:rPr>
      </w:pPr>
      <w:r w:rsidRPr="00661BC3">
        <w:rPr>
          <w:rFonts w:ascii="Times New Roman" w:hAnsi="Times New Roman"/>
        </w:rPr>
        <w:t xml:space="preserve">The findings of this study reveal a notable gap between observed household </w:t>
      </w:r>
      <w:r w:rsidR="00EE73A2" w:rsidRPr="00661BC3">
        <w:rPr>
          <w:rFonts w:ascii="Times New Roman" w:hAnsi="Times New Roman"/>
        </w:rPr>
        <w:t>behaviour</w:t>
      </w:r>
      <w:r w:rsidRPr="00661BC3">
        <w:rPr>
          <w:rFonts w:ascii="Times New Roman" w:hAnsi="Times New Roman"/>
        </w:rPr>
        <w:t xml:space="preserve"> and explicit social </w:t>
      </w:r>
      <w:r w:rsidR="00EE73A2" w:rsidRPr="00661BC3">
        <w:rPr>
          <w:rFonts w:ascii="Times New Roman" w:hAnsi="Times New Roman"/>
        </w:rPr>
        <w:t>labelling</w:t>
      </w:r>
      <w:r w:rsidRPr="00661BC3">
        <w:rPr>
          <w:rFonts w:ascii="Times New Roman" w:hAnsi="Times New Roman"/>
        </w:rPr>
        <w:t>. Across the eight LGA headquarters, while adult females and children formed the primary labo</w:t>
      </w:r>
      <w:r>
        <w:rPr>
          <w:rFonts w:ascii="Times New Roman" w:hAnsi="Times New Roman"/>
        </w:rPr>
        <w:t>u</w:t>
      </w:r>
      <w:r w:rsidRPr="00661BC3">
        <w:rPr>
          <w:rFonts w:ascii="Times New Roman" w:hAnsi="Times New Roman"/>
        </w:rPr>
        <w:t xml:space="preserve">r force for water collection, the statistical association between gender and responsibility (p=0.061) did not reach the threshold of significance at the aggregate level. This result contrasts with the global </w:t>
      </w:r>
      <w:r w:rsidRPr="00661BC3">
        <w:rPr>
          <w:rFonts w:ascii="Times New Roman" w:hAnsi="Times New Roman"/>
          <w:i/>
          <w:iCs/>
        </w:rPr>
        <w:t xml:space="preserve">"feminization of water" </w:t>
      </w:r>
      <w:r w:rsidRPr="00661BC3">
        <w:rPr>
          <w:rFonts w:ascii="Times New Roman" w:hAnsi="Times New Roman"/>
        </w:rPr>
        <w:t>narrative typically reported by UNICEF and the WHO (2019)</w:t>
      </w:r>
      <w:r>
        <w:rPr>
          <w:rFonts w:ascii="Times New Roman" w:hAnsi="Times New Roman"/>
        </w:rPr>
        <w:t xml:space="preserve">; </w:t>
      </w:r>
      <w:r w:rsidRPr="00F70882">
        <w:rPr>
          <w:rFonts w:ascii="Times New Roman" w:hAnsi="Times New Roman"/>
          <w:lang w:val="en-US"/>
        </w:rPr>
        <w:t xml:space="preserve">Dickin &amp; Caretta, </w:t>
      </w:r>
      <w:r w:rsidR="00CA6168">
        <w:rPr>
          <w:rFonts w:ascii="Times New Roman" w:hAnsi="Times New Roman"/>
          <w:lang w:val="en-US"/>
        </w:rPr>
        <w:t>(</w:t>
      </w:r>
      <w:r w:rsidRPr="00F70882">
        <w:rPr>
          <w:rFonts w:ascii="Times New Roman" w:hAnsi="Times New Roman"/>
          <w:lang w:val="en-US"/>
        </w:rPr>
        <w:t>2022</w:t>
      </w:r>
      <w:r w:rsidR="00CA6168">
        <w:rPr>
          <w:rFonts w:ascii="Times New Roman" w:hAnsi="Times New Roman"/>
          <w:lang w:val="en-US"/>
        </w:rPr>
        <w:t>)</w:t>
      </w:r>
      <w:r w:rsidRPr="00F70882">
        <w:rPr>
          <w:rFonts w:ascii="Times New Roman" w:hAnsi="Times New Roman"/>
          <w:lang w:val="en-US"/>
        </w:rPr>
        <w:t xml:space="preserve">; Nkolola &amp; Phiri, </w:t>
      </w:r>
      <w:r w:rsidR="00CA6168">
        <w:rPr>
          <w:rFonts w:ascii="Times New Roman" w:hAnsi="Times New Roman"/>
          <w:lang w:val="en-US"/>
        </w:rPr>
        <w:t>(</w:t>
      </w:r>
      <w:r w:rsidRPr="00F70882">
        <w:rPr>
          <w:rFonts w:ascii="Times New Roman" w:hAnsi="Times New Roman"/>
          <w:lang w:val="en-US"/>
        </w:rPr>
        <w:t>2024</w:t>
      </w:r>
      <w:r w:rsidR="00CA6168">
        <w:rPr>
          <w:rFonts w:ascii="Times New Roman" w:hAnsi="Times New Roman"/>
          <w:lang w:val="en-US"/>
        </w:rPr>
        <w:t>)</w:t>
      </w:r>
      <w:r w:rsidRPr="00F70882">
        <w:rPr>
          <w:rFonts w:ascii="Times New Roman" w:hAnsi="Times New Roman"/>
          <w:lang w:val="en-US"/>
        </w:rPr>
        <w:t xml:space="preserve">; World Bank, </w:t>
      </w:r>
      <w:r w:rsidR="00CA6168">
        <w:rPr>
          <w:rFonts w:ascii="Times New Roman" w:hAnsi="Times New Roman"/>
          <w:lang w:val="en-US"/>
        </w:rPr>
        <w:t>(</w:t>
      </w:r>
      <w:r w:rsidRPr="00F70882">
        <w:rPr>
          <w:rFonts w:ascii="Times New Roman" w:hAnsi="Times New Roman"/>
          <w:lang w:val="en-US"/>
        </w:rPr>
        <w:t>2024</w:t>
      </w:r>
      <w:r w:rsidR="00CA6168">
        <w:rPr>
          <w:rFonts w:ascii="Times New Roman" w:hAnsi="Times New Roman"/>
          <w:lang w:val="en-US"/>
        </w:rPr>
        <w:t>)</w:t>
      </w:r>
      <w:r w:rsidRPr="00661BC3">
        <w:rPr>
          <w:rFonts w:ascii="Times New Roman" w:hAnsi="Times New Roman"/>
        </w:rPr>
        <w:t>. It suggests that in the high-stress hydrological environment of Bayelsa, water procurement has transcended a purely gendered role and evolved into a generalized household survival strategy, where the sheer difficulty of access forces a collective rather than a strictly divided response</w:t>
      </w:r>
      <w:r>
        <w:rPr>
          <w:rFonts w:ascii="Times New Roman" w:hAnsi="Times New Roman"/>
        </w:rPr>
        <w:t xml:space="preserve"> </w:t>
      </w:r>
      <w:r w:rsidRPr="00661BC3">
        <w:rPr>
          <w:rFonts w:ascii="Times New Roman" w:hAnsi="Times New Roman"/>
        </w:rPr>
        <w:t>(Wright, 2026)</w:t>
      </w:r>
      <w:r>
        <w:rPr>
          <w:rFonts w:ascii="Times New Roman" w:hAnsi="Times New Roman"/>
        </w:rPr>
        <w:t xml:space="preserve">, </w:t>
      </w:r>
      <w:r w:rsidR="00B572C0">
        <w:rPr>
          <w:rFonts w:ascii="Times New Roman" w:hAnsi="Times New Roman"/>
        </w:rPr>
        <w:t xml:space="preserve">by implication </w:t>
      </w:r>
      <w:r w:rsidR="00B572C0" w:rsidRPr="00B572C0">
        <w:rPr>
          <w:rFonts w:ascii="Times New Roman" w:hAnsi="Times New Roman"/>
        </w:rPr>
        <w:t xml:space="preserve">water fetching is observed as a functional response to an extreme lack of infrastructure rather than a static cultural tradition. In this context, the </w:t>
      </w:r>
      <w:r w:rsidR="00B572C0">
        <w:rPr>
          <w:rFonts w:ascii="Times New Roman" w:hAnsi="Times New Roman"/>
        </w:rPr>
        <w:t>“</w:t>
      </w:r>
      <w:r w:rsidR="00B572C0" w:rsidRPr="00B572C0">
        <w:rPr>
          <w:rFonts w:ascii="Times New Roman" w:hAnsi="Times New Roman"/>
        </w:rPr>
        <w:t>scarcity amidst plenty</w:t>
      </w:r>
      <w:r w:rsidR="00B572C0">
        <w:rPr>
          <w:rFonts w:ascii="Times New Roman" w:hAnsi="Times New Roman"/>
        </w:rPr>
        <w:t>”</w:t>
      </w:r>
      <w:r w:rsidR="00B572C0" w:rsidRPr="00B572C0">
        <w:rPr>
          <w:rFonts w:ascii="Times New Roman" w:hAnsi="Times New Roman"/>
        </w:rPr>
        <w:t xml:space="preserve"> paradox creates a labour demand so high that traditional gender silos collapse under the pressure of daily survival. When the distance to a safe water point is great or the physical terrain is challenging, households appear to mobilize any available member</w:t>
      </w:r>
      <w:r w:rsidR="009E6279">
        <w:rPr>
          <w:rFonts w:ascii="Times New Roman" w:hAnsi="Times New Roman"/>
        </w:rPr>
        <w:t xml:space="preserve"> </w:t>
      </w:r>
      <w:r w:rsidR="00B572C0" w:rsidRPr="00B572C0">
        <w:rPr>
          <w:rFonts w:ascii="Times New Roman" w:hAnsi="Times New Roman"/>
        </w:rPr>
        <w:t>regardless of gender</w:t>
      </w:r>
      <w:r w:rsidR="009E6279">
        <w:rPr>
          <w:rFonts w:ascii="Times New Roman" w:hAnsi="Times New Roman"/>
        </w:rPr>
        <w:t xml:space="preserve">, in order </w:t>
      </w:r>
      <w:r w:rsidR="00B572C0" w:rsidRPr="00B572C0">
        <w:rPr>
          <w:rFonts w:ascii="Times New Roman" w:hAnsi="Times New Roman"/>
        </w:rPr>
        <w:t>to bridge the gap left by failed</w:t>
      </w:r>
      <w:r w:rsidR="009E6279">
        <w:rPr>
          <w:rFonts w:ascii="Times New Roman" w:hAnsi="Times New Roman"/>
        </w:rPr>
        <w:t xml:space="preserve">/absent </w:t>
      </w:r>
      <w:r w:rsidR="00B572C0" w:rsidRPr="00B572C0">
        <w:rPr>
          <w:rFonts w:ascii="Times New Roman" w:hAnsi="Times New Roman"/>
        </w:rPr>
        <w:t>public utilities</w:t>
      </w:r>
      <w:r w:rsidR="00B572C0">
        <w:rPr>
          <w:rFonts w:ascii="Times New Roman" w:hAnsi="Times New Roman"/>
        </w:rPr>
        <w:t xml:space="preserve"> </w:t>
      </w:r>
      <w:r w:rsidR="00B572C0" w:rsidRPr="00B572C0">
        <w:rPr>
          <w:rFonts w:ascii="Times New Roman" w:hAnsi="Times New Roman"/>
        </w:rPr>
        <w:t>(Assefa et al., 2021)</w:t>
      </w:r>
      <w:r w:rsidR="00B572C0">
        <w:rPr>
          <w:rFonts w:ascii="Times New Roman" w:hAnsi="Times New Roman"/>
        </w:rPr>
        <w:t>.</w:t>
      </w:r>
    </w:p>
    <w:p w14:paraId="22151851" w14:textId="77777777" w:rsidR="00125392" w:rsidRPr="00661BC3" w:rsidRDefault="00125392" w:rsidP="00125392">
      <w:pPr>
        <w:jc w:val="both"/>
        <w:rPr>
          <w:rFonts w:ascii="Times New Roman" w:hAnsi="Times New Roman"/>
        </w:rPr>
      </w:pPr>
      <w:r>
        <w:rPr>
          <w:rFonts w:ascii="Times New Roman" w:hAnsi="Times New Roman"/>
        </w:rPr>
        <w:t>Interestingly, a</w:t>
      </w:r>
      <w:r w:rsidRPr="00661BC3">
        <w:rPr>
          <w:rFonts w:ascii="Times New Roman" w:hAnsi="Times New Roman"/>
        </w:rPr>
        <w:t xml:space="preserve"> significant paradox emerged where 59% of respondents claimed that gender does not dictate water roles, despite clear observational evidence that women and children dominated the activity</w:t>
      </w:r>
      <w:r w:rsidR="000C75DC">
        <w:rPr>
          <w:rFonts w:ascii="Times New Roman" w:hAnsi="Times New Roman"/>
        </w:rPr>
        <w:t xml:space="preserve"> (Table 1)</w:t>
      </w:r>
      <w:r w:rsidRPr="00661BC3">
        <w:rPr>
          <w:rFonts w:ascii="Times New Roman" w:hAnsi="Times New Roman"/>
        </w:rPr>
        <w:t>. This indicates a profound social normalization of water labo</w:t>
      </w:r>
      <w:r>
        <w:rPr>
          <w:rFonts w:ascii="Times New Roman" w:hAnsi="Times New Roman"/>
        </w:rPr>
        <w:t>u</w:t>
      </w:r>
      <w:r w:rsidRPr="00661BC3">
        <w:rPr>
          <w:rFonts w:ascii="Times New Roman" w:hAnsi="Times New Roman"/>
        </w:rPr>
        <w:t xml:space="preserve">r, where a </w:t>
      </w:r>
      <w:proofErr w:type="spellStart"/>
      <w:r w:rsidRPr="00661BC3">
        <w:rPr>
          <w:rFonts w:ascii="Times New Roman" w:hAnsi="Times New Roman"/>
        </w:rPr>
        <w:t>grueling</w:t>
      </w:r>
      <w:proofErr w:type="spellEnd"/>
      <w:r w:rsidRPr="00661BC3">
        <w:rPr>
          <w:rFonts w:ascii="Times New Roman" w:hAnsi="Times New Roman"/>
        </w:rPr>
        <w:t xml:space="preserve"> task becomes so routine that it is reclassified as "ordinary household cooperation" rather than a structured gender rule. As noted by Akpabio et al. (2024) in similar Nigerian contexts, this </w:t>
      </w:r>
      <w:r w:rsidRPr="001E2806">
        <w:rPr>
          <w:rFonts w:ascii="Times New Roman" w:hAnsi="Times New Roman"/>
          <w:i/>
          <w:iCs/>
        </w:rPr>
        <w:t>"invisibility"</w:t>
      </w:r>
      <w:r w:rsidRPr="00661BC3">
        <w:rPr>
          <w:rFonts w:ascii="Times New Roman" w:hAnsi="Times New Roman"/>
        </w:rPr>
        <w:t xml:space="preserve"> of labo</w:t>
      </w:r>
      <w:r>
        <w:rPr>
          <w:rFonts w:ascii="Times New Roman" w:hAnsi="Times New Roman"/>
        </w:rPr>
        <w:t>u</w:t>
      </w:r>
      <w:r w:rsidRPr="00661BC3">
        <w:rPr>
          <w:rFonts w:ascii="Times New Roman" w:hAnsi="Times New Roman"/>
        </w:rPr>
        <w:t>r explains why many policy interventions fail; they target formal gender norms while the community views the activity as a functional, almost automatic, response to infrastructural collapse</w:t>
      </w:r>
      <w:r>
        <w:rPr>
          <w:rFonts w:ascii="Times New Roman" w:hAnsi="Times New Roman"/>
        </w:rPr>
        <w:t xml:space="preserve"> or the lack of it</w:t>
      </w:r>
      <w:r w:rsidRPr="00661BC3">
        <w:rPr>
          <w:rFonts w:ascii="Times New Roman" w:hAnsi="Times New Roman"/>
        </w:rPr>
        <w:t>. The data suggests that in Bayelsa, labo</w:t>
      </w:r>
      <w:r>
        <w:rPr>
          <w:rFonts w:ascii="Times New Roman" w:hAnsi="Times New Roman"/>
        </w:rPr>
        <w:t>u</w:t>
      </w:r>
      <w:r w:rsidRPr="00661BC3">
        <w:rPr>
          <w:rFonts w:ascii="Times New Roman" w:hAnsi="Times New Roman"/>
        </w:rPr>
        <w:t>r is distributed through implicit practice</w:t>
      </w:r>
      <w:r>
        <w:rPr>
          <w:rFonts w:ascii="Times New Roman" w:hAnsi="Times New Roman"/>
        </w:rPr>
        <w:t xml:space="preserve">; </w:t>
      </w:r>
      <w:proofErr w:type="spellStart"/>
      <w:r>
        <w:rPr>
          <w:rFonts w:ascii="Times New Roman" w:hAnsi="Times New Roman"/>
        </w:rPr>
        <w:t>i.e</w:t>
      </w:r>
      <w:proofErr w:type="spellEnd"/>
      <w:r>
        <w:rPr>
          <w:rFonts w:ascii="Times New Roman" w:hAnsi="Times New Roman"/>
        </w:rPr>
        <w:t xml:space="preserve"> </w:t>
      </w:r>
      <w:r w:rsidRPr="00661BC3">
        <w:rPr>
          <w:rFonts w:ascii="Times New Roman" w:hAnsi="Times New Roman"/>
        </w:rPr>
        <w:t>who is available and physically capable in the moment</w:t>
      </w:r>
      <w:r>
        <w:rPr>
          <w:rFonts w:ascii="Times New Roman" w:hAnsi="Times New Roman"/>
        </w:rPr>
        <w:t xml:space="preserve">, </w:t>
      </w:r>
      <w:r w:rsidRPr="00661BC3">
        <w:rPr>
          <w:rFonts w:ascii="Times New Roman" w:hAnsi="Times New Roman"/>
        </w:rPr>
        <w:t>rather than through explicit household prescription.</w:t>
      </w:r>
      <w:r w:rsidR="00CD5FF6">
        <w:rPr>
          <w:rFonts w:ascii="Times New Roman" w:hAnsi="Times New Roman"/>
        </w:rPr>
        <w:t xml:space="preserve"> </w:t>
      </w:r>
      <w:r w:rsidR="00CD5FF6" w:rsidRPr="00991DF4">
        <w:rPr>
          <w:rFonts w:ascii="Times New Roman" w:hAnsi="Times New Roman"/>
        </w:rPr>
        <w:t xml:space="preserve">The explanations provided by households further support this; responses often combined cultural reasoning </w:t>
      </w:r>
      <w:r w:rsidR="000C75DC" w:rsidRPr="000C75DC">
        <w:rPr>
          <w:rFonts w:ascii="Times New Roman" w:hAnsi="Times New Roman"/>
        </w:rPr>
        <w:t xml:space="preserve">(“women’s household responsibility”) </w:t>
      </w:r>
      <w:r w:rsidR="00CD5FF6" w:rsidRPr="00991DF4">
        <w:rPr>
          <w:rFonts w:ascii="Times New Roman" w:hAnsi="Times New Roman"/>
        </w:rPr>
        <w:t>with practical justifications like "physical difficulty" and "time demand." This mixture indicates that respondents interpret water collection less as a socially imposed obligation and more as a functional household arrangement shaped by the immediate proximity and availability of labo</w:t>
      </w:r>
      <w:r w:rsidR="00CD5FF6">
        <w:rPr>
          <w:rFonts w:ascii="Times New Roman" w:hAnsi="Times New Roman"/>
        </w:rPr>
        <w:t>u</w:t>
      </w:r>
      <w:r w:rsidR="00CD5FF6" w:rsidRPr="00991DF4">
        <w:rPr>
          <w:rFonts w:ascii="Times New Roman" w:hAnsi="Times New Roman"/>
        </w:rPr>
        <w:t>r (Akpabio et al., 2024; Ohwo, 2019). Consequently, while households show an awareness of the "opportunity costs"</w:t>
      </w:r>
      <w:r w:rsidR="00CD5FF6">
        <w:rPr>
          <w:rFonts w:ascii="Times New Roman" w:hAnsi="Times New Roman"/>
        </w:rPr>
        <w:t xml:space="preserve"> </w:t>
      </w:r>
      <w:r w:rsidR="00CD5FF6" w:rsidRPr="00991DF4">
        <w:rPr>
          <w:rFonts w:ascii="Times New Roman" w:hAnsi="Times New Roman"/>
        </w:rPr>
        <w:t>such as the impact on girls' education and time loss</w:t>
      </w:r>
      <w:r w:rsidR="00CD5FF6">
        <w:rPr>
          <w:rFonts w:ascii="Times New Roman" w:hAnsi="Times New Roman"/>
        </w:rPr>
        <w:t xml:space="preserve">; </w:t>
      </w:r>
      <w:r w:rsidR="00CD5FF6" w:rsidRPr="00991DF4">
        <w:rPr>
          <w:rFonts w:ascii="Times New Roman" w:hAnsi="Times New Roman"/>
        </w:rPr>
        <w:t>this is viewed as a consequence of the task rather than a result of structural inequality. The activity is therefore normalized at the level of assignment but remains sharply differentiated at the level of outcome.</w:t>
      </w:r>
    </w:p>
    <w:p w14:paraId="1E529F8A" w14:textId="77777777" w:rsidR="00125392" w:rsidRPr="00661BC3" w:rsidRDefault="00125392" w:rsidP="00125392">
      <w:pPr>
        <w:jc w:val="both"/>
        <w:rPr>
          <w:rFonts w:ascii="Times New Roman" w:hAnsi="Times New Roman"/>
        </w:rPr>
      </w:pPr>
      <w:r w:rsidRPr="00661BC3">
        <w:rPr>
          <w:rFonts w:ascii="Times New Roman" w:hAnsi="Times New Roman"/>
        </w:rPr>
        <w:lastRenderedPageBreak/>
        <w:t>The concentration of physical strain (68%) and time-poverty among women and children highlights that while the rule may not be gendered, the outcome certainly is</w:t>
      </w:r>
      <w:r w:rsidR="00CD5FF6">
        <w:rPr>
          <w:rFonts w:ascii="Times New Roman" w:hAnsi="Times New Roman"/>
        </w:rPr>
        <w:t xml:space="preserve"> </w:t>
      </w:r>
      <w:r>
        <w:rPr>
          <w:rFonts w:ascii="Times New Roman" w:hAnsi="Times New Roman"/>
        </w:rPr>
        <w:t>(Table 4).</w:t>
      </w:r>
      <w:r w:rsidRPr="00661BC3">
        <w:rPr>
          <w:rFonts w:ascii="Times New Roman" w:hAnsi="Times New Roman"/>
        </w:rPr>
        <w:t xml:space="preserve"> This research aligns with the findings of Tallman et al. (2022) and Mukiese et al. (2024), who argue that the physical toll of water carriage in marginalized communities creates a secondary health crisis of chronic musculoskeletal disorders. The high rate of child participation (45%) is particularly concerning, as this </w:t>
      </w:r>
      <w:r w:rsidRPr="001E2806">
        <w:rPr>
          <w:rFonts w:ascii="Times New Roman" w:hAnsi="Times New Roman"/>
          <w:i/>
          <w:iCs/>
        </w:rPr>
        <w:t>"silent"</w:t>
      </w:r>
      <w:r w:rsidRPr="00661BC3">
        <w:rPr>
          <w:rFonts w:ascii="Times New Roman" w:hAnsi="Times New Roman"/>
        </w:rPr>
        <w:t xml:space="preserve"> labo</w:t>
      </w:r>
      <w:r>
        <w:rPr>
          <w:rFonts w:ascii="Times New Roman" w:hAnsi="Times New Roman"/>
        </w:rPr>
        <w:t>u</w:t>
      </w:r>
      <w:r w:rsidRPr="00661BC3">
        <w:rPr>
          <w:rFonts w:ascii="Times New Roman" w:hAnsi="Times New Roman"/>
        </w:rPr>
        <w:t>r requirement acts as a direct competitor to educational attainment. As observed by Rhue et al. (2023)</w:t>
      </w:r>
      <w:r>
        <w:rPr>
          <w:rFonts w:ascii="Times New Roman" w:hAnsi="Times New Roman"/>
        </w:rPr>
        <w:t xml:space="preserve"> and </w:t>
      </w:r>
      <w:r w:rsidRPr="001E2806">
        <w:rPr>
          <w:rFonts w:ascii="Times New Roman" w:hAnsi="Times New Roman"/>
        </w:rPr>
        <w:t>Cooper-Vince et al., (2017)</w:t>
      </w:r>
      <w:r w:rsidRPr="00661BC3">
        <w:rPr>
          <w:rFonts w:ascii="Times New Roman" w:hAnsi="Times New Roman"/>
        </w:rPr>
        <w:t>, the domestic requirement to fetch water before or after school hours leads to exhaustion and reduced cognitive engagement in learners. Furthermore, the safety risks and harassment reported</w:t>
      </w:r>
      <w:r>
        <w:rPr>
          <w:rFonts w:ascii="Times New Roman" w:hAnsi="Times New Roman"/>
        </w:rPr>
        <w:t xml:space="preserve">, </w:t>
      </w:r>
      <w:r w:rsidRPr="00661BC3">
        <w:rPr>
          <w:rFonts w:ascii="Times New Roman" w:hAnsi="Times New Roman"/>
        </w:rPr>
        <w:t xml:space="preserve">particularly in the coastal LGAs of Brass and </w:t>
      </w:r>
      <w:proofErr w:type="spellStart"/>
      <w:r w:rsidRPr="00661BC3">
        <w:rPr>
          <w:rFonts w:ascii="Times New Roman" w:hAnsi="Times New Roman"/>
        </w:rPr>
        <w:t>Ekeremor</w:t>
      </w:r>
      <w:proofErr w:type="spellEnd"/>
      <w:r>
        <w:rPr>
          <w:rFonts w:ascii="Times New Roman" w:hAnsi="Times New Roman"/>
        </w:rPr>
        <w:t xml:space="preserve">, </w:t>
      </w:r>
      <w:r w:rsidRPr="00661BC3">
        <w:rPr>
          <w:rFonts w:ascii="Times New Roman" w:hAnsi="Times New Roman"/>
        </w:rPr>
        <w:t>mirror the vulnerabilities identified by Cole et al. (2024) regarding the intersection of water insecurity and personal safety in remote terrains.</w:t>
      </w:r>
    </w:p>
    <w:p w14:paraId="62BF28E1" w14:textId="77777777" w:rsidR="00125392" w:rsidRPr="00661BC3" w:rsidRDefault="00125392" w:rsidP="00125392">
      <w:pPr>
        <w:jc w:val="both"/>
        <w:rPr>
          <w:rFonts w:ascii="Times New Roman" w:hAnsi="Times New Roman"/>
        </w:rPr>
      </w:pPr>
      <w:r w:rsidRPr="00661BC3">
        <w:rPr>
          <w:rFonts w:ascii="Times New Roman" w:hAnsi="Times New Roman"/>
        </w:rPr>
        <w:t xml:space="preserve">The lack of aggregate statistical significance (p=0.061) suggests that Bayelsa does not follow a </w:t>
      </w:r>
      <w:r w:rsidRPr="007740C1">
        <w:rPr>
          <w:rFonts w:ascii="Times New Roman" w:hAnsi="Times New Roman"/>
          <w:i/>
          <w:iCs/>
        </w:rPr>
        <w:t>"one-size-fits-all"</w:t>
      </w:r>
      <w:r w:rsidRPr="00661BC3">
        <w:rPr>
          <w:rFonts w:ascii="Times New Roman" w:hAnsi="Times New Roman"/>
        </w:rPr>
        <w:t xml:space="preserve"> gender rule</w:t>
      </w:r>
      <w:r>
        <w:rPr>
          <w:rFonts w:ascii="Times New Roman" w:hAnsi="Times New Roman"/>
        </w:rPr>
        <w:t xml:space="preserve"> as observed in most gender literatures (</w:t>
      </w:r>
      <w:r w:rsidRPr="00661BC3">
        <w:rPr>
          <w:rFonts w:ascii="Times New Roman" w:hAnsi="Times New Roman"/>
        </w:rPr>
        <w:t>UNICEF and the WHO 2019</w:t>
      </w:r>
      <w:r>
        <w:rPr>
          <w:rFonts w:ascii="Times New Roman" w:hAnsi="Times New Roman"/>
        </w:rPr>
        <w:t xml:space="preserve">; </w:t>
      </w:r>
      <w:r w:rsidRPr="00F70882">
        <w:rPr>
          <w:rFonts w:ascii="Times New Roman" w:hAnsi="Times New Roman"/>
          <w:lang w:val="en-US"/>
        </w:rPr>
        <w:t>Dickin &amp; Caretta, 2022; Nkolola &amp; Phiri, 2024; World Bank, 2024</w:t>
      </w:r>
      <w:r>
        <w:rPr>
          <w:rFonts w:ascii="Times New Roman" w:hAnsi="Times New Roman"/>
          <w:lang w:val="en-US"/>
        </w:rPr>
        <w:t>)</w:t>
      </w:r>
      <w:r w:rsidRPr="00661BC3">
        <w:rPr>
          <w:rFonts w:ascii="Times New Roman" w:hAnsi="Times New Roman"/>
        </w:rPr>
        <w:t>. The emergence of a significant association in Brass (p=0.019), where male children were heavily involved, provides a crucial local contrast. This indicates that labo</w:t>
      </w:r>
      <w:r>
        <w:rPr>
          <w:rFonts w:ascii="Times New Roman" w:hAnsi="Times New Roman"/>
        </w:rPr>
        <w:t>u</w:t>
      </w:r>
      <w:r w:rsidRPr="00661BC3">
        <w:rPr>
          <w:rFonts w:ascii="Times New Roman" w:hAnsi="Times New Roman"/>
        </w:rPr>
        <w:t>r allocation is highly sensitive to local settlement patterns</w:t>
      </w:r>
      <w:r>
        <w:rPr>
          <w:rFonts w:ascii="Times New Roman" w:hAnsi="Times New Roman"/>
        </w:rPr>
        <w:t xml:space="preserve">, </w:t>
      </w:r>
      <w:r w:rsidRPr="00661BC3">
        <w:rPr>
          <w:rFonts w:ascii="Times New Roman" w:hAnsi="Times New Roman"/>
        </w:rPr>
        <w:t>specific ecological constraints</w:t>
      </w:r>
      <w:r>
        <w:rPr>
          <w:rFonts w:ascii="Times New Roman" w:hAnsi="Times New Roman"/>
        </w:rPr>
        <w:t xml:space="preserve"> and infrastructural deficits</w:t>
      </w:r>
      <w:r w:rsidRPr="00661BC3">
        <w:rPr>
          <w:rFonts w:ascii="Times New Roman" w:hAnsi="Times New Roman"/>
        </w:rPr>
        <w:t>. In Brass, the unique combination of island geography</w:t>
      </w:r>
      <w:r>
        <w:rPr>
          <w:rFonts w:ascii="Times New Roman" w:hAnsi="Times New Roman"/>
        </w:rPr>
        <w:t xml:space="preserve">, water infrastructural deficits, </w:t>
      </w:r>
      <w:r w:rsidRPr="00661BC3">
        <w:rPr>
          <w:rFonts w:ascii="Times New Roman" w:hAnsi="Times New Roman"/>
        </w:rPr>
        <w:t xml:space="preserve">and the necessity of boat-based water procurement likely shifts the burden to male children who can navigate the waterways or engage with informal water markets. This supports the </w:t>
      </w:r>
      <w:r w:rsidRPr="007740C1">
        <w:rPr>
          <w:rFonts w:ascii="Times New Roman" w:hAnsi="Times New Roman"/>
          <w:i/>
          <w:iCs/>
        </w:rPr>
        <w:t>"livelihood-shaping</w:t>
      </w:r>
      <w:r w:rsidRPr="00661BC3">
        <w:rPr>
          <w:rFonts w:ascii="Times New Roman" w:hAnsi="Times New Roman"/>
        </w:rPr>
        <w:t xml:space="preserve">" </w:t>
      </w:r>
      <w:r>
        <w:rPr>
          <w:rFonts w:ascii="Times New Roman" w:hAnsi="Times New Roman"/>
        </w:rPr>
        <w:t>pattern observed by</w:t>
      </w:r>
      <w:r w:rsidRPr="00661BC3">
        <w:rPr>
          <w:rFonts w:ascii="Times New Roman" w:hAnsi="Times New Roman"/>
        </w:rPr>
        <w:t xml:space="preserve"> Ilboudo </w:t>
      </w:r>
      <w:proofErr w:type="spellStart"/>
      <w:r w:rsidRPr="00661BC3">
        <w:rPr>
          <w:rFonts w:ascii="Times New Roman" w:hAnsi="Times New Roman"/>
        </w:rPr>
        <w:t>Nébié</w:t>
      </w:r>
      <w:proofErr w:type="spellEnd"/>
      <w:r w:rsidRPr="00661BC3">
        <w:rPr>
          <w:rFonts w:ascii="Times New Roman" w:hAnsi="Times New Roman"/>
        </w:rPr>
        <w:t xml:space="preserve"> et al. (2024), that environmental conditions</w:t>
      </w:r>
      <w:r>
        <w:rPr>
          <w:rFonts w:ascii="Times New Roman" w:hAnsi="Times New Roman"/>
        </w:rPr>
        <w:t xml:space="preserve"> </w:t>
      </w:r>
      <w:r w:rsidRPr="00661BC3">
        <w:rPr>
          <w:rFonts w:ascii="Times New Roman" w:hAnsi="Times New Roman"/>
        </w:rPr>
        <w:t xml:space="preserve">such as saltwater intrusion and the distance to </w:t>
      </w:r>
      <w:r w:rsidRPr="007740C1">
        <w:rPr>
          <w:rFonts w:ascii="Times New Roman" w:hAnsi="Times New Roman"/>
          <w:i/>
          <w:iCs/>
        </w:rPr>
        <w:t>"sweet water"</w:t>
      </w:r>
      <w:r w:rsidRPr="00661BC3">
        <w:rPr>
          <w:rFonts w:ascii="Times New Roman" w:hAnsi="Times New Roman"/>
        </w:rPr>
        <w:t xml:space="preserve"> sources</w:t>
      </w:r>
      <w:r>
        <w:rPr>
          <w:rFonts w:ascii="Times New Roman" w:hAnsi="Times New Roman"/>
        </w:rPr>
        <w:t xml:space="preserve">, </w:t>
      </w:r>
      <w:r w:rsidRPr="00661BC3">
        <w:rPr>
          <w:rFonts w:ascii="Times New Roman" w:hAnsi="Times New Roman"/>
        </w:rPr>
        <w:t>dictate social roles more than traditional culture does in times of acute scarcity.</w:t>
      </w:r>
    </w:p>
    <w:p w14:paraId="5A901EF9" w14:textId="77777777" w:rsidR="00125392" w:rsidRPr="00661BC3" w:rsidRDefault="00125392" w:rsidP="00125392">
      <w:pPr>
        <w:jc w:val="both"/>
        <w:rPr>
          <w:rFonts w:ascii="Times New Roman" w:hAnsi="Times New Roman"/>
        </w:rPr>
      </w:pPr>
      <w:r w:rsidRPr="00661BC3">
        <w:rPr>
          <w:rFonts w:ascii="Times New Roman" w:hAnsi="Times New Roman"/>
        </w:rPr>
        <w:t>In essence, household water collection in Bayelsa appears gender-skewed in practice but flexible in theory. Households allocate the task based on immediate availability</w:t>
      </w:r>
      <w:r>
        <w:rPr>
          <w:rFonts w:ascii="Times New Roman" w:hAnsi="Times New Roman"/>
        </w:rPr>
        <w:t xml:space="preserve">, and more of </w:t>
      </w:r>
      <w:r w:rsidRPr="00661BC3">
        <w:rPr>
          <w:rFonts w:ascii="Times New Roman" w:hAnsi="Times New Roman"/>
        </w:rPr>
        <w:t>a "coping flexibility" that accidentally settles on women and children over repeated cycles. Therefore, the socio-economic implications are not the result of explicit discrimination, but of infrastructural neglect that forces the most available household members into a cycle of time-loss and physical exhaustion. This leads to a critical policy deduction: water infrastructure projects in the Niger Delta will not only provide a resource but will function as a labo</w:t>
      </w:r>
      <w:r>
        <w:rPr>
          <w:rFonts w:ascii="Times New Roman" w:hAnsi="Times New Roman"/>
        </w:rPr>
        <w:t>u</w:t>
      </w:r>
      <w:r w:rsidRPr="00661BC3">
        <w:rPr>
          <w:rFonts w:ascii="Times New Roman" w:hAnsi="Times New Roman"/>
        </w:rPr>
        <w:t>r-redistribution tool, effectively returning time to women and children for education and economic participation.</w:t>
      </w:r>
    </w:p>
    <w:p w14:paraId="66010B20" w14:textId="77777777" w:rsidR="003576AA" w:rsidRPr="0025108B" w:rsidRDefault="003576AA" w:rsidP="003576AA">
      <w:pPr>
        <w:jc w:val="both"/>
        <w:rPr>
          <w:rFonts w:ascii="Times New Roman" w:hAnsi="Times New Roman"/>
          <w:b/>
          <w:bCs/>
        </w:rPr>
      </w:pPr>
      <w:r w:rsidRPr="0025108B">
        <w:rPr>
          <w:rFonts w:ascii="Times New Roman" w:hAnsi="Times New Roman"/>
          <w:b/>
          <w:bCs/>
        </w:rPr>
        <w:t>5.0 Conclusion</w:t>
      </w:r>
    </w:p>
    <w:p w14:paraId="5114AE34" w14:textId="77777777" w:rsidR="000F3696" w:rsidRPr="000F3696" w:rsidRDefault="000F3696" w:rsidP="000F3696">
      <w:pPr>
        <w:jc w:val="both"/>
        <w:rPr>
          <w:rFonts w:ascii="Times New Roman" w:hAnsi="Times New Roman"/>
          <w:lang w:val="en-US"/>
        </w:rPr>
      </w:pPr>
      <w:r w:rsidRPr="000F3696">
        <w:rPr>
          <w:rFonts w:ascii="Times New Roman" w:hAnsi="Times New Roman"/>
          <w:lang w:val="en-US"/>
        </w:rPr>
        <w:t xml:space="preserve">This study investigated the organization of household water collection across eight Local Government Area headquarters in Bayelsa State to determine if gender is the primary driver of </w:t>
      </w:r>
      <w:r w:rsidR="00CD5FF6">
        <w:rPr>
          <w:rFonts w:ascii="Times New Roman" w:hAnsi="Times New Roman"/>
          <w:lang w:val="en-US"/>
        </w:rPr>
        <w:t xml:space="preserve">water </w:t>
      </w:r>
      <w:proofErr w:type="spellStart"/>
      <w:r w:rsidR="00CD5FF6">
        <w:rPr>
          <w:rFonts w:ascii="Times New Roman" w:hAnsi="Times New Roman"/>
          <w:lang w:val="en-US"/>
        </w:rPr>
        <w:t>labour</w:t>
      </w:r>
      <w:proofErr w:type="spellEnd"/>
      <w:r w:rsidRPr="000F3696">
        <w:rPr>
          <w:rFonts w:ascii="Times New Roman" w:hAnsi="Times New Roman"/>
          <w:lang w:val="en-US"/>
        </w:rPr>
        <w:t xml:space="preserve"> allocation. The evidence reveals a consistent participation pattern where adult females and children constitute the largest groups of primary collectors, while adult males participate the least. However, a critical finding of this research is that this </w:t>
      </w:r>
      <w:proofErr w:type="spellStart"/>
      <w:r w:rsidR="00CD5FF6">
        <w:rPr>
          <w:rFonts w:ascii="Times New Roman" w:hAnsi="Times New Roman"/>
          <w:lang w:val="en-US"/>
        </w:rPr>
        <w:t>labour</w:t>
      </w:r>
      <w:proofErr w:type="spellEnd"/>
      <w:r w:rsidRPr="000F3696">
        <w:rPr>
          <w:rFonts w:ascii="Times New Roman" w:hAnsi="Times New Roman"/>
          <w:lang w:val="en-US"/>
        </w:rPr>
        <w:t xml:space="preserve"> concentration is rarely described by households as a formal gender rule. Instead, water collection functions as a routine domestic </w:t>
      </w:r>
      <w:r w:rsidRPr="000F3696">
        <w:rPr>
          <w:rFonts w:ascii="Times New Roman" w:hAnsi="Times New Roman"/>
          <w:lang w:val="en-US"/>
        </w:rPr>
        <w:lastRenderedPageBreak/>
        <w:t>survival task, where responsibility is dictated by daily practicality and the immediate availability of household members. Over time, this repeated, informal allocation produces a stable but "invisible" participation pattern that settles disproportionately on women and younger residents.</w:t>
      </w:r>
    </w:p>
    <w:p w14:paraId="216BEA18" w14:textId="77777777" w:rsidR="000F3696" w:rsidRPr="000F3696" w:rsidRDefault="000F3696" w:rsidP="000F3696">
      <w:pPr>
        <w:jc w:val="both"/>
        <w:rPr>
          <w:rFonts w:ascii="Times New Roman" w:hAnsi="Times New Roman"/>
          <w:lang w:val="en-US"/>
        </w:rPr>
      </w:pPr>
      <w:r w:rsidRPr="000F3696">
        <w:rPr>
          <w:rFonts w:ascii="Times New Roman" w:hAnsi="Times New Roman"/>
          <w:lang w:val="en-US"/>
        </w:rPr>
        <w:t>The reported challenges</w:t>
      </w:r>
      <w:r>
        <w:rPr>
          <w:rFonts w:ascii="Times New Roman" w:hAnsi="Times New Roman"/>
          <w:lang w:val="en-US"/>
        </w:rPr>
        <w:t xml:space="preserve"> such as</w:t>
      </w:r>
      <w:r w:rsidRPr="000F3696">
        <w:rPr>
          <w:rFonts w:ascii="Times New Roman" w:hAnsi="Times New Roman"/>
          <w:lang w:val="en-US"/>
        </w:rPr>
        <w:t xml:space="preserve"> physical strain, time-poverty, and the risk of harassment</w:t>
      </w:r>
      <w:r>
        <w:rPr>
          <w:rFonts w:ascii="Times New Roman" w:hAnsi="Times New Roman"/>
          <w:lang w:val="en-US"/>
        </w:rPr>
        <w:t xml:space="preserve">, </w:t>
      </w:r>
      <w:r w:rsidRPr="000F3696">
        <w:rPr>
          <w:rFonts w:ascii="Times New Roman" w:hAnsi="Times New Roman"/>
          <w:lang w:val="en-US"/>
        </w:rPr>
        <w:t xml:space="preserve">further reinforce this pattern. These socio-economic burdens are not the result of explicit household discrimination, but are inherent to the performance of the task itself. Because certain members perform the activity more frequently, they experience an unequal exposure to these risks. The statistical analysis supports this "flexibility" in </w:t>
      </w:r>
      <w:proofErr w:type="spellStart"/>
      <w:r w:rsidRPr="000F3696">
        <w:rPr>
          <w:rFonts w:ascii="Times New Roman" w:hAnsi="Times New Roman"/>
          <w:lang w:val="en-US"/>
        </w:rPr>
        <w:t>labo</w:t>
      </w:r>
      <w:r>
        <w:rPr>
          <w:rFonts w:ascii="Times New Roman" w:hAnsi="Times New Roman"/>
          <w:lang w:val="en-US"/>
        </w:rPr>
        <w:t>u</w:t>
      </w:r>
      <w:r w:rsidRPr="000F3696">
        <w:rPr>
          <w:rFonts w:ascii="Times New Roman" w:hAnsi="Times New Roman"/>
          <w:lang w:val="en-US"/>
        </w:rPr>
        <w:t>r</w:t>
      </w:r>
      <w:proofErr w:type="spellEnd"/>
      <w:r w:rsidRPr="000F3696">
        <w:rPr>
          <w:rFonts w:ascii="Times New Roman" w:hAnsi="Times New Roman"/>
          <w:lang w:val="en-US"/>
        </w:rPr>
        <w:t>; the Chi-Square test (p = 0.061) showed no significant association between gender and water collection at the aggregate level, suggesting that gender alone cannot reliably predict who fetches water across the state. The exception found in Brass (p = 0.019) highlights that local ecological</w:t>
      </w:r>
      <w:r>
        <w:rPr>
          <w:rFonts w:ascii="Times New Roman" w:hAnsi="Times New Roman"/>
          <w:lang w:val="en-US"/>
        </w:rPr>
        <w:t>,</w:t>
      </w:r>
      <w:r w:rsidRPr="000F3696">
        <w:rPr>
          <w:rFonts w:ascii="Times New Roman" w:hAnsi="Times New Roman"/>
          <w:lang w:val="en-US"/>
        </w:rPr>
        <w:t xml:space="preserve"> settlement patterns</w:t>
      </w:r>
      <w:r>
        <w:rPr>
          <w:rFonts w:ascii="Times New Roman" w:hAnsi="Times New Roman"/>
          <w:lang w:val="en-US"/>
        </w:rPr>
        <w:t xml:space="preserve"> and water infrastructure deficits</w:t>
      </w:r>
      <w:r w:rsidRPr="000F3696">
        <w:rPr>
          <w:rFonts w:ascii="Times New Roman" w:hAnsi="Times New Roman"/>
          <w:lang w:val="en-US"/>
        </w:rPr>
        <w:t xml:space="preserve"> can stabilize these roles into measurable associations, but the overarching reality is one of contextual variability rather than uniform cultural prescription.</w:t>
      </w:r>
    </w:p>
    <w:p w14:paraId="44004F18" w14:textId="77777777" w:rsidR="000F3696" w:rsidRPr="000F3696" w:rsidRDefault="000F3696" w:rsidP="003576AA">
      <w:pPr>
        <w:jc w:val="both"/>
        <w:rPr>
          <w:rFonts w:ascii="Times New Roman" w:hAnsi="Times New Roman"/>
          <w:lang w:val="en-US"/>
        </w:rPr>
      </w:pPr>
      <w:r w:rsidRPr="000F3696">
        <w:rPr>
          <w:rFonts w:ascii="Times New Roman" w:hAnsi="Times New Roman"/>
          <w:lang w:val="en-US"/>
        </w:rPr>
        <w:t xml:space="preserve">Ultimately, water collection in Bayelsa State is best understood as a coping mechanism shaped by severe infrastructural deficits. While the </w:t>
      </w:r>
      <w:proofErr w:type="spellStart"/>
      <w:r w:rsidR="00CD5FF6">
        <w:rPr>
          <w:rFonts w:ascii="Times New Roman" w:hAnsi="Times New Roman"/>
          <w:lang w:val="en-US"/>
        </w:rPr>
        <w:t>labour</w:t>
      </w:r>
      <w:proofErr w:type="spellEnd"/>
      <w:r w:rsidRPr="000F3696">
        <w:rPr>
          <w:rFonts w:ascii="Times New Roman" w:hAnsi="Times New Roman"/>
          <w:lang w:val="en-US"/>
        </w:rPr>
        <w:t xml:space="preserve"> is not strictly gender-assigned, the outcomes are profoundly gender-skewed. The findings link the state of water infrastructure directly to household welfare and social inequality. </w:t>
      </w:r>
    </w:p>
    <w:p w14:paraId="5AE72448" w14:textId="77777777" w:rsidR="00A67180" w:rsidRPr="0025108B" w:rsidRDefault="00A67180" w:rsidP="00A67180">
      <w:pPr>
        <w:jc w:val="both"/>
        <w:rPr>
          <w:rFonts w:ascii="Times New Roman" w:hAnsi="Times New Roman"/>
          <w:b/>
          <w:bCs/>
        </w:rPr>
      </w:pPr>
      <w:r w:rsidRPr="0025108B">
        <w:rPr>
          <w:rFonts w:ascii="Times New Roman" w:hAnsi="Times New Roman"/>
          <w:b/>
          <w:bCs/>
        </w:rPr>
        <w:t>6.0 Recommendations</w:t>
      </w:r>
    </w:p>
    <w:p w14:paraId="7067D2D1" w14:textId="77777777" w:rsidR="00A67180" w:rsidRPr="0025108B" w:rsidRDefault="00A67180" w:rsidP="00A67180">
      <w:pPr>
        <w:jc w:val="both"/>
        <w:rPr>
          <w:rFonts w:ascii="Times New Roman" w:hAnsi="Times New Roman"/>
        </w:rPr>
      </w:pPr>
      <w:r w:rsidRPr="0025108B">
        <w:rPr>
          <w:rFonts w:ascii="Times New Roman" w:hAnsi="Times New Roman"/>
        </w:rPr>
        <w:t xml:space="preserve">Based on the findings of the study the following recommendations and policy actions are </w:t>
      </w:r>
      <w:r w:rsidR="00B36CA2" w:rsidRPr="0025108B">
        <w:rPr>
          <w:rFonts w:ascii="Times New Roman" w:hAnsi="Times New Roman"/>
        </w:rPr>
        <w:t>proffered.</w:t>
      </w:r>
    </w:p>
    <w:p w14:paraId="5A0F9502" w14:textId="77777777" w:rsidR="00A67180" w:rsidRPr="0025108B" w:rsidRDefault="00A67180" w:rsidP="00A67180">
      <w:pPr>
        <w:numPr>
          <w:ilvl w:val="0"/>
          <w:numId w:val="7"/>
        </w:numPr>
        <w:jc w:val="both"/>
        <w:rPr>
          <w:rFonts w:ascii="Times New Roman" w:hAnsi="Times New Roman"/>
        </w:rPr>
      </w:pPr>
      <w:r w:rsidRPr="0025108B">
        <w:rPr>
          <w:rFonts w:ascii="Times New Roman" w:hAnsi="Times New Roman"/>
          <w:b/>
          <w:bCs/>
        </w:rPr>
        <w:t>Improve reliable water access within residential areas</w:t>
      </w:r>
      <w:r w:rsidRPr="0025108B">
        <w:rPr>
          <w:rFonts w:ascii="Times New Roman" w:hAnsi="Times New Roman"/>
        </w:rPr>
        <w:t>: State and local authorities should prioritise functional boreholes, protected hand-pump wells, and small community water schemes within walking distance of households. The results show that the burden increases where households depend on rivers and distant sources. Locating water points close to homes will directly reduce daily carrying time and physical effort.</w:t>
      </w:r>
    </w:p>
    <w:p w14:paraId="22D45BF3" w14:textId="77777777" w:rsidR="00A67180" w:rsidRPr="0025108B" w:rsidRDefault="00A67180" w:rsidP="00A67180">
      <w:pPr>
        <w:numPr>
          <w:ilvl w:val="0"/>
          <w:numId w:val="7"/>
        </w:numPr>
        <w:jc w:val="both"/>
        <w:rPr>
          <w:rFonts w:ascii="Times New Roman" w:hAnsi="Times New Roman"/>
        </w:rPr>
      </w:pPr>
      <w:r w:rsidRPr="0025108B">
        <w:rPr>
          <w:rFonts w:ascii="Times New Roman" w:hAnsi="Times New Roman"/>
          <w:b/>
          <w:bCs/>
        </w:rPr>
        <w:t>Rehabilitate existing but non-functional facilities</w:t>
      </w:r>
      <w:r w:rsidRPr="0025108B">
        <w:rPr>
          <w:rFonts w:ascii="Times New Roman" w:hAnsi="Times New Roman"/>
        </w:rPr>
        <w:t>: Field responses indicate that many communities rely on unsafe sources even where water infrastructure already exists. Routine inspection, repairs, and community-level maintenance committees should be established so facilities remain operational instead of being abandoned after installation.</w:t>
      </w:r>
    </w:p>
    <w:p w14:paraId="47D8342C" w14:textId="77777777" w:rsidR="00A67180" w:rsidRPr="0025108B" w:rsidRDefault="00A67180" w:rsidP="00A67180">
      <w:pPr>
        <w:numPr>
          <w:ilvl w:val="0"/>
          <w:numId w:val="7"/>
        </w:numPr>
        <w:jc w:val="both"/>
        <w:rPr>
          <w:rFonts w:ascii="Times New Roman" w:hAnsi="Times New Roman"/>
        </w:rPr>
      </w:pPr>
      <w:r w:rsidRPr="0025108B">
        <w:rPr>
          <w:rFonts w:ascii="Times New Roman" w:hAnsi="Times New Roman"/>
          <w:b/>
          <w:bCs/>
        </w:rPr>
        <w:t>Adopt gender-responsive WASH planning</w:t>
      </w:r>
      <w:r w:rsidRPr="0025108B">
        <w:rPr>
          <w:rFonts w:ascii="Times New Roman" w:hAnsi="Times New Roman"/>
        </w:rPr>
        <w:t xml:space="preserve">: Water projects should consider who </w:t>
      </w:r>
      <w:r w:rsidR="00B36CA2" w:rsidRPr="0025108B">
        <w:rPr>
          <w:rFonts w:ascii="Times New Roman" w:hAnsi="Times New Roman"/>
        </w:rPr>
        <w:t>fetches</w:t>
      </w:r>
      <w:r w:rsidRPr="0025108B">
        <w:rPr>
          <w:rFonts w:ascii="Times New Roman" w:hAnsi="Times New Roman"/>
        </w:rPr>
        <w:t xml:space="preserve"> water. Women and girls should be involved during site selection, scheduling of water supply, and management decisions. Their participation will help position water points in locations that reduce exposure to long travel routes and unsafe collection environments.</w:t>
      </w:r>
    </w:p>
    <w:p w14:paraId="4C564CFB" w14:textId="77777777" w:rsidR="00A67180" w:rsidRPr="0025108B" w:rsidRDefault="00A67180" w:rsidP="00A67180">
      <w:pPr>
        <w:numPr>
          <w:ilvl w:val="0"/>
          <w:numId w:val="7"/>
        </w:numPr>
        <w:jc w:val="both"/>
        <w:rPr>
          <w:rFonts w:ascii="Times New Roman" w:hAnsi="Times New Roman"/>
        </w:rPr>
      </w:pPr>
      <w:r w:rsidRPr="0025108B">
        <w:rPr>
          <w:rFonts w:ascii="Times New Roman" w:hAnsi="Times New Roman"/>
          <w:b/>
          <w:bCs/>
        </w:rPr>
        <w:t>Provide safe access routes to water points</w:t>
      </w:r>
      <w:r w:rsidRPr="0025108B">
        <w:rPr>
          <w:rFonts w:ascii="Times New Roman" w:hAnsi="Times New Roman"/>
        </w:rPr>
        <w:t xml:space="preserve">: In communities where rivers remain the main source, basic access measures are needed. Simple landing platforms, cleared footpaths, and </w:t>
      </w:r>
      <w:r w:rsidRPr="0025108B">
        <w:rPr>
          <w:rFonts w:ascii="Times New Roman" w:hAnsi="Times New Roman"/>
        </w:rPr>
        <w:lastRenderedPageBreak/>
        <w:t>safe collection points along riverbanks will reduce slips, falls, and exposure to harassment during early morning or evening collection.</w:t>
      </w:r>
    </w:p>
    <w:p w14:paraId="25D42096" w14:textId="77777777" w:rsidR="00A67180" w:rsidRPr="0025108B" w:rsidRDefault="00A67180" w:rsidP="00A67180">
      <w:pPr>
        <w:numPr>
          <w:ilvl w:val="0"/>
          <w:numId w:val="7"/>
        </w:numPr>
        <w:jc w:val="both"/>
        <w:rPr>
          <w:rFonts w:ascii="Times New Roman" w:hAnsi="Times New Roman"/>
        </w:rPr>
      </w:pPr>
      <w:r w:rsidRPr="0025108B">
        <w:rPr>
          <w:rFonts w:ascii="Times New Roman" w:hAnsi="Times New Roman"/>
          <w:b/>
          <w:bCs/>
        </w:rPr>
        <w:t>Integrate schools into local water provision</w:t>
      </w:r>
      <w:r w:rsidRPr="0025108B">
        <w:rPr>
          <w:rFonts w:ascii="Times New Roman" w:hAnsi="Times New Roman"/>
        </w:rPr>
        <w:t>: Schools in the LGA headquarters should have functional water sources. When water is available in schools, children, especially girls, are less likely to spend school hours fetching water for households.</w:t>
      </w:r>
    </w:p>
    <w:p w14:paraId="55F2E771" w14:textId="77777777" w:rsidR="00A67180" w:rsidRPr="0025108B" w:rsidRDefault="00A67180" w:rsidP="00A67180">
      <w:pPr>
        <w:numPr>
          <w:ilvl w:val="0"/>
          <w:numId w:val="7"/>
        </w:numPr>
        <w:jc w:val="both"/>
        <w:rPr>
          <w:rFonts w:ascii="Times New Roman" w:hAnsi="Times New Roman"/>
        </w:rPr>
      </w:pPr>
      <w:r w:rsidRPr="0025108B">
        <w:rPr>
          <w:rFonts w:ascii="Times New Roman" w:hAnsi="Times New Roman"/>
          <w:b/>
          <w:bCs/>
        </w:rPr>
        <w:t>Community awareness and household labour sharing</w:t>
      </w:r>
      <w:r w:rsidRPr="0025108B">
        <w:rPr>
          <w:rFonts w:ascii="Times New Roman" w:hAnsi="Times New Roman"/>
        </w:rPr>
        <w:t>: Local outreach programmes led by community leaders and women’s groups should encourage shared household participation in water collection. The findings show that the task concentrates on particular members mainly through routine practice. Encouraging broader participation can distribute effort more evenly within households.</w:t>
      </w:r>
    </w:p>
    <w:p w14:paraId="62A5C8CB" w14:textId="77777777" w:rsidR="00A67180" w:rsidRPr="0025108B" w:rsidRDefault="00A67180" w:rsidP="00A67180">
      <w:pPr>
        <w:numPr>
          <w:ilvl w:val="0"/>
          <w:numId w:val="7"/>
        </w:numPr>
        <w:jc w:val="both"/>
        <w:rPr>
          <w:rFonts w:ascii="Times New Roman" w:hAnsi="Times New Roman"/>
        </w:rPr>
      </w:pPr>
      <w:r w:rsidRPr="0025108B">
        <w:rPr>
          <w:rFonts w:ascii="Times New Roman" w:hAnsi="Times New Roman"/>
          <w:b/>
          <w:bCs/>
        </w:rPr>
        <w:t>Establish monitoring within local government WASH units</w:t>
      </w:r>
      <w:r w:rsidRPr="0025108B">
        <w:rPr>
          <w:rFonts w:ascii="Times New Roman" w:hAnsi="Times New Roman"/>
        </w:rPr>
        <w:t>: Local government environmental or WASH desks should keep simple records of facility functionality, distance to water sources, and seasonal shortages. Continuous monitoring will allow early intervention before households revert fully to unsafe or distant water sources.</w:t>
      </w:r>
    </w:p>
    <w:p w14:paraId="0D14FF6C" w14:textId="77777777" w:rsidR="00675E3F" w:rsidRDefault="00A67180" w:rsidP="00675E3F">
      <w:pPr>
        <w:numPr>
          <w:ilvl w:val="0"/>
          <w:numId w:val="7"/>
        </w:numPr>
        <w:jc w:val="both"/>
        <w:rPr>
          <w:rFonts w:ascii="Times New Roman" w:hAnsi="Times New Roman"/>
        </w:rPr>
      </w:pPr>
      <w:r w:rsidRPr="0025108B">
        <w:rPr>
          <w:rFonts w:ascii="Times New Roman" w:hAnsi="Times New Roman"/>
          <w:b/>
          <w:bCs/>
        </w:rPr>
        <w:t>Support small-scale household storage solutions</w:t>
      </w:r>
      <w:r w:rsidRPr="0025108B">
        <w:rPr>
          <w:rFonts w:ascii="Times New Roman" w:hAnsi="Times New Roman"/>
        </w:rPr>
        <w:t>: Promoting safe water storage containers and rainwater harvesting during wet seasons can reduce the number of daily collection trips. Fewer trips directly lower time pressure and physical strain reported across the study locations.</w:t>
      </w:r>
    </w:p>
    <w:p w14:paraId="297C22F0" w14:textId="77777777" w:rsidR="00EC5993" w:rsidRDefault="00EC5993" w:rsidP="00EC5993">
      <w:pPr>
        <w:ind w:left="720"/>
        <w:jc w:val="both"/>
        <w:rPr>
          <w:rFonts w:ascii="Times New Roman" w:hAnsi="Times New Roman"/>
        </w:rPr>
      </w:pPr>
    </w:p>
    <w:p w14:paraId="33941EF1" w14:textId="7BF2B7A5" w:rsidR="00EC5993" w:rsidRPr="00EC5993" w:rsidRDefault="00EC5993" w:rsidP="00EC5993">
      <w:pPr>
        <w:ind w:left="720"/>
        <w:jc w:val="both"/>
        <w:rPr>
          <w:rFonts w:ascii="Times New Roman" w:hAnsi="Times New Roman"/>
          <w:b/>
          <w:bCs/>
        </w:rPr>
      </w:pPr>
      <w:r w:rsidRPr="00EC5993">
        <w:rPr>
          <w:rFonts w:ascii="Times New Roman" w:hAnsi="Times New Roman"/>
          <w:b/>
          <w:bCs/>
        </w:rPr>
        <w:t>Disclaimer (Artificial intelligence)</w:t>
      </w:r>
    </w:p>
    <w:p w14:paraId="731C6695" w14:textId="5473DD04" w:rsidR="00EC5993" w:rsidRDefault="00EC5993" w:rsidP="00EC5993">
      <w:pPr>
        <w:ind w:left="720"/>
        <w:jc w:val="both"/>
        <w:rPr>
          <w:rFonts w:ascii="Times New Roman" w:hAnsi="Times New Roman"/>
        </w:rPr>
      </w:pPr>
      <w:r w:rsidRPr="00EC5993">
        <w:rPr>
          <w:rFonts w:ascii="Times New Roman" w:hAnsi="Times New Roman"/>
        </w:rPr>
        <w:t xml:space="preserve">Author(s) hereby </w:t>
      </w:r>
      <w:proofErr w:type="gramStart"/>
      <w:r w:rsidRPr="00EC5993">
        <w:rPr>
          <w:rFonts w:ascii="Times New Roman" w:hAnsi="Times New Roman"/>
        </w:rPr>
        <w:t>declare</w:t>
      </w:r>
      <w:proofErr w:type="gramEnd"/>
      <w:r w:rsidRPr="00EC5993">
        <w:rPr>
          <w:rFonts w:ascii="Times New Roman" w:hAnsi="Times New Roman"/>
        </w:rPr>
        <w:t xml:space="preserve"> that NO generative AI technologies such as Large Language Models (ChatGPT, COPILOT, etc.) and text-to-image generators have been used during the writing or editing of this manuscript. </w:t>
      </w:r>
    </w:p>
    <w:p w14:paraId="4630FD44" w14:textId="77777777" w:rsidR="00AA6C1B" w:rsidRDefault="00AA6C1B" w:rsidP="00EC5993">
      <w:pPr>
        <w:ind w:left="720"/>
        <w:jc w:val="both"/>
        <w:rPr>
          <w:rFonts w:ascii="Times New Roman" w:hAnsi="Times New Roman"/>
        </w:rPr>
      </w:pPr>
    </w:p>
    <w:p w14:paraId="672F37D2" w14:textId="3DA8B599" w:rsidR="00AA6C1B" w:rsidRPr="00AA6C1B" w:rsidRDefault="00AA6C1B" w:rsidP="00AA6C1B">
      <w:pPr>
        <w:ind w:left="720"/>
        <w:jc w:val="both"/>
        <w:rPr>
          <w:rFonts w:ascii="Times New Roman" w:hAnsi="Times New Roman"/>
          <w:b/>
          <w:bCs/>
        </w:rPr>
      </w:pPr>
      <w:r w:rsidRPr="00AA6C1B">
        <w:rPr>
          <w:rFonts w:ascii="Times New Roman" w:hAnsi="Times New Roman"/>
          <w:b/>
          <w:bCs/>
        </w:rPr>
        <w:t xml:space="preserve"> Ethical Approval and Consent</w:t>
      </w:r>
    </w:p>
    <w:p w14:paraId="197D6F73" w14:textId="77777777" w:rsidR="00AA6C1B" w:rsidRPr="00AA6C1B" w:rsidRDefault="00AA6C1B" w:rsidP="00AA6C1B">
      <w:pPr>
        <w:ind w:left="720"/>
        <w:jc w:val="both"/>
        <w:rPr>
          <w:rFonts w:ascii="Times New Roman" w:hAnsi="Times New Roman"/>
        </w:rPr>
      </w:pPr>
      <w:r w:rsidRPr="00AA6C1B">
        <w:rPr>
          <w:rFonts w:ascii="Times New Roman" w:hAnsi="Times New Roman"/>
        </w:rPr>
        <w:t>Ethical approval for the study was obtained from both the Department of Water, Sanitation, and Hygiene (WASH), and Environmental Management, Niger Delta University. For respondents, participation was entirely voluntary, and respondents were fully informed about the purpose of the study, the nature of the questions, and how their data would be used.</w:t>
      </w:r>
    </w:p>
    <w:p w14:paraId="149C0E17" w14:textId="7C29416D" w:rsidR="00AA6C1B" w:rsidRPr="00AC0E67" w:rsidRDefault="00AA6C1B" w:rsidP="00AA6C1B">
      <w:pPr>
        <w:ind w:left="720"/>
        <w:jc w:val="both"/>
        <w:rPr>
          <w:rFonts w:ascii="Times New Roman" w:hAnsi="Times New Roman"/>
        </w:rPr>
      </w:pPr>
      <w:r w:rsidRPr="00AA6C1B">
        <w:rPr>
          <w:rFonts w:ascii="Times New Roman" w:hAnsi="Times New Roman"/>
        </w:rPr>
        <w:t xml:space="preserve">Before completing the questionnaires, respondents provided written consent, and they were assured of their right to withdraw at any time without any consequences. Confidentiality and anonymity were strictly maintained by assigning codes to questionnaires rather than recording personal identifiers such as individual or compound names. All data were stored </w:t>
      </w:r>
      <w:r w:rsidRPr="00AA6C1B">
        <w:rPr>
          <w:rFonts w:ascii="Times New Roman" w:hAnsi="Times New Roman"/>
        </w:rPr>
        <w:lastRenderedPageBreak/>
        <w:t>securely and used solely for the purposes of this research. Ensuring that the study complied with standard ethical practices while protecting the rights and well-being of the participants.</w:t>
      </w:r>
    </w:p>
    <w:p w14:paraId="79978662" w14:textId="77777777" w:rsidR="00C27245" w:rsidRPr="0025108B" w:rsidRDefault="00C27245" w:rsidP="006354E5">
      <w:pPr>
        <w:jc w:val="both"/>
        <w:rPr>
          <w:rFonts w:ascii="Times New Roman" w:hAnsi="Times New Roman"/>
          <w:b/>
          <w:bCs/>
        </w:rPr>
      </w:pPr>
      <w:r w:rsidRPr="0025108B">
        <w:rPr>
          <w:rFonts w:ascii="Times New Roman" w:hAnsi="Times New Roman"/>
          <w:b/>
          <w:bCs/>
        </w:rPr>
        <w:t>Reference</w:t>
      </w:r>
    </w:p>
    <w:p w14:paraId="450B47A0"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 xml:space="preserve">Achore M., </w:t>
      </w:r>
      <w:proofErr w:type="spellStart"/>
      <w:r w:rsidRPr="00AC0E67">
        <w:rPr>
          <w:rFonts w:ascii="Times New Roman" w:hAnsi="Times New Roman"/>
        </w:rPr>
        <w:t>Bisung</w:t>
      </w:r>
      <w:proofErr w:type="spellEnd"/>
      <w:r w:rsidRPr="00AC0E67">
        <w:rPr>
          <w:rFonts w:ascii="Times New Roman" w:hAnsi="Times New Roman"/>
        </w:rPr>
        <w:t xml:space="preserve"> E. &amp; </w:t>
      </w:r>
      <w:proofErr w:type="spellStart"/>
      <w:r w:rsidRPr="00AC0E67">
        <w:rPr>
          <w:rFonts w:ascii="Times New Roman" w:hAnsi="Times New Roman"/>
        </w:rPr>
        <w:t>Kuusaana</w:t>
      </w:r>
      <w:proofErr w:type="spellEnd"/>
      <w:r w:rsidRPr="00AC0E67">
        <w:rPr>
          <w:rFonts w:ascii="Times New Roman" w:hAnsi="Times New Roman"/>
        </w:rPr>
        <w:t xml:space="preserve"> E. D. (2020) Coping with water insecurity at the household level: A synthesis of qualitative evidence, International Journal of Hygiene and Environmental Health, 230, 113598. https://doi.org/10.1016/j.ijheh.2020.113598.</w:t>
      </w:r>
    </w:p>
    <w:p w14:paraId="5CC79FDD" w14:textId="77777777" w:rsidR="00AC0E67" w:rsidRPr="00AC0E67" w:rsidRDefault="00AC0E67" w:rsidP="00AC0E67">
      <w:pPr>
        <w:ind w:left="720" w:hanging="720"/>
        <w:jc w:val="both"/>
        <w:rPr>
          <w:rFonts w:ascii="Times New Roman" w:hAnsi="Times New Roman"/>
        </w:rPr>
      </w:pPr>
      <w:proofErr w:type="spellStart"/>
      <w:r w:rsidRPr="00AC0E67">
        <w:rPr>
          <w:rFonts w:ascii="Times New Roman" w:hAnsi="Times New Roman"/>
        </w:rPr>
        <w:t>Ademas</w:t>
      </w:r>
      <w:proofErr w:type="spellEnd"/>
      <w:r w:rsidRPr="00AC0E67">
        <w:rPr>
          <w:rFonts w:ascii="Times New Roman" w:hAnsi="Times New Roman"/>
        </w:rPr>
        <w:t xml:space="preserve">, A., Adane, M., Sisay, T., Kloos, H., </w:t>
      </w:r>
      <w:proofErr w:type="spellStart"/>
      <w:r w:rsidRPr="00AC0E67">
        <w:rPr>
          <w:rFonts w:ascii="Times New Roman" w:hAnsi="Times New Roman"/>
        </w:rPr>
        <w:t>Eneyew</w:t>
      </w:r>
      <w:proofErr w:type="spellEnd"/>
      <w:r w:rsidRPr="00AC0E67">
        <w:rPr>
          <w:rFonts w:ascii="Times New Roman" w:hAnsi="Times New Roman"/>
        </w:rPr>
        <w:t>, B., et al., (2020). Does menstrual hygiene management and water, sanitation, and hygiene predict reproductive tract infections among reproductive women in urban areas in Ethiopia? Public Library of Science One, 15(9), e0237696. https://doi.org/10.1371/journal.pone.0237696</w:t>
      </w:r>
    </w:p>
    <w:p w14:paraId="714CB9D9"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Adeniyi, O., &amp; Adeniyi, A. (2020). Women’s access to water for sustainable development in Nigeria: Drawing lessons from South Africa’s water renewable techniques. Journal for Juridical Science, 7(1), 45–61.</w:t>
      </w:r>
    </w:p>
    <w:p w14:paraId="2782AE7F"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 xml:space="preserve">Adom R. K. &amp; </w:t>
      </w:r>
      <w:proofErr w:type="spellStart"/>
      <w:r w:rsidRPr="00AC0E67">
        <w:rPr>
          <w:rFonts w:ascii="Times New Roman" w:hAnsi="Times New Roman"/>
        </w:rPr>
        <w:t>Simatele</w:t>
      </w:r>
      <w:proofErr w:type="spellEnd"/>
      <w:r w:rsidRPr="00AC0E67">
        <w:rPr>
          <w:rFonts w:ascii="Times New Roman" w:hAnsi="Times New Roman"/>
        </w:rPr>
        <w:t xml:space="preserve"> M. D. (2022) The role of stakeholder engagement in sustainable water resource management in South Africa, Natural Resources Forum, 46 (4), 410–427. https://doi.org/10.1111/1477-8947.12264.</w:t>
      </w:r>
    </w:p>
    <w:p w14:paraId="5B6D10EE" w14:textId="77777777" w:rsidR="00AC0E67" w:rsidRPr="00AC0E67" w:rsidRDefault="00AC0E67" w:rsidP="00AC0E67">
      <w:pPr>
        <w:spacing w:after="240" w:line="240" w:lineRule="auto"/>
        <w:ind w:left="720" w:hanging="720"/>
        <w:jc w:val="both"/>
        <w:rPr>
          <w:rFonts w:ascii="Times New Roman" w:eastAsia="Times New Roman" w:hAnsi="Times New Roman"/>
        </w:rPr>
      </w:pPr>
      <w:proofErr w:type="spellStart"/>
      <w:r w:rsidRPr="00AC0E67">
        <w:rPr>
          <w:rFonts w:ascii="Times New Roman" w:eastAsia="Times New Roman" w:hAnsi="Times New Roman"/>
        </w:rPr>
        <w:t>Afenfia</w:t>
      </w:r>
      <w:proofErr w:type="spellEnd"/>
      <w:r w:rsidRPr="00AC0E67">
        <w:rPr>
          <w:rFonts w:ascii="Times New Roman" w:eastAsia="Times New Roman" w:hAnsi="Times New Roman"/>
        </w:rPr>
        <w:t>, Z. F., &amp; Ojile, M. O. (2025). Socio-economic factors and water supply in Bayelsa State. Research Journal of Food Science and Quality Control (RJFSQC), 11(2), 80–87. https://doi.org/10.56201/rjfsqc.vol.11.no2.2025.pg80.96</w:t>
      </w:r>
    </w:p>
    <w:p w14:paraId="022F6FA7"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Akpabio, E. M., Wilson, N. U., Umoh, E. C., Udofia, E. S., Udo, I. I., et al., (2024). Women, water and access: Inscribing gender power in and through a place. Journal of Water and Health, 22(3), 627–638. https://doi.org/10.2166/wh.2024.362</w:t>
      </w:r>
    </w:p>
    <w:p w14:paraId="70DB1070" w14:textId="77777777" w:rsidR="00AC0E67" w:rsidRDefault="00AC0E67" w:rsidP="00AC0E67">
      <w:pPr>
        <w:ind w:left="720" w:hanging="720"/>
        <w:jc w:val="both"/>
        <w:rPr>
          <w:rFonts w:ascii="Times New Roman" w:hAnsi="Times New Roman"/>
        </w:rPr>
      </w:pPr>
      <w:r w:rsidRPr="00AC0E67">
        <w:rPr>
          <w:rFonts w:ascii="Times New Roman" w:hAnsi="Times New Roman"/>
        </w:rPr>
        <w:t>Akpan, A. E., Ebong, E. D., &amp; Ekwok, S. E. (2020). Soil characterization and land suitability evaluation in Bayelsa State, Nigeria. Environmental Earth Sciences, 79(6), 1–15.</w:t>
      </w:r>
    </w:p>
    <w:p w14:paraId="1F12906D" w14:textId="77777777" w:rsidR="00FC0E7C" w:rsidRPr="00AC0E67" w:rsidRDefault="00FC0E7C" w:rsidP="00AC0E67">
      <w:pPr>
        <w:ind w:left="720" w:hanging="720"/>
        <w:jc w:val="both"/>
        <w:rPr>
          <w:rFonts w:ascii="Times New Roman" w:hAnsi="Times New Roman"/>
        </w:rPr>
      </w:pPr>
      <w:r w:rsidRPr="00FC0E7C">
        <w:rPr>
          <w:rFonts w:ascii="Times New Roman" w:hAnsi="Times New Roman"/>
        </w:rPr>
        <w:t>Assefa, G. M., Sherif, S., Sluijs, J., Kuijpers, M., Chaka, T., Solomon, A., Hailu, Y., &amp; Muluneh, M. D. (2021). Gender equality and social inclusion in relation to water, sanitation and hygiene in the Oromia Region of Ethiopia. International Journal of Environmental Research and Public Health, 18(8), 4281. https://doi.org/10.3390/ijerph18084281</w:t>
      </w:r>
    </w:p>
    <w:p w14:paraId="263B7A0B" w14:textId="77777777" w:rsidR="00AC0E67" w:rsidRPr="00BD04C6" w:rsidRDefault="00AC0E67" w:rsidP="00AC0E67">
      <w:pPr>
        <w:ind w:left="720" w:hanging="720"/>
        <w:jc w:val="both"/>
        <w:rPr>
          <w:rFonts w:ascii="Times New Roman" w:hAnsi="Times New Roman"/>
        </w:rPr>
      </w:pPr>
      <w:r w:rsidRPr="00BD04C6">
        <w:rPr>
          <w:rFonts w:ascii="Times New Roman" w:hAnsi="Times New Roman"/>
        </w:rPr>
        <w:t>Bryman, A. (2016) Social Research Methods. 5th Edition, Oxford University Press.</w:t>
      </w:r>
    </w:p>
    <w:p w14:paraId="52C5C6AC"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 xml:space="preserve">Cooper-Vince, C. E., </w:t>
      </w:r>
      <w:proofErr w:type="spellStart"/>
      <w:r w:rsidRPr="00AC0E67">
        <w:rPr>
          <w:rFonts w:ascii="Times New Roman" w:hAnsi="Times New Roman"/>
        </w:rPr>
        <w:t>Kakuhikire</w:t>
      </w:r>
      <w:proofErr w:type="spellEnd"/>
      <w:r w:rsidRPr="00AC0E67">
        <w:rPr>
          <w:rFonts w:ascii="Times New Roman" w:hAnsi="Times New Roman"/>
        </w:rPr>
        <w:t xml:space="preserve">, B., </w:t>
      </w:r>
      <w:proofErr w:type="spellStart"/>
      <w:r w:rsidRPr="00AC0E67">
        <w:rPr>
          <w:rFonts w:ascii="Times New Roman" w:hAnsi="Times New Roman"/>
        </w:rPr>
        <w:t>Vorechovska</w:t>
      </w:r>
      <w:proofErr w:type="spellEnd"/>
      <w:r w:rsidRPr="00AC0E67">
        <w:rPr>
          <w:rFonts w:ascii="Times New Roman" w:hAnsi="Times New Roman"/>
        </w:rPr>
        <w:t>, D., McDonough, A. Q., Perkins, J., et al., (2017). Household water insecurity, missed schooling, and the mediating role of caregiver depression in rural Uganda. Global Mental Health, 4, e15. https://doi.org/10.1017/gmh.2017.14</w:t>
      </w:r>
    </w:p>
    <w:p w14:paraId="086383B0"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lastRenderedPageBreak/>
        <w:t>Creswell, J. W., &amp; Creswell, J. D. (2018). Research design: Qualitative, quantitative, and mixed methods approaches (5th ed.). Sage.</w:t>
      </w:r>
    </w:p>
    <w:p w14:paraId="6CBFAA30"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 xml:space="preserve">De Guzman, K., Stone, G., Yang, A. R., Schaffer, K. E., Lo, S., </w:t>
      </w:r>
      <w:proofErr w:type="spellStart"/>
      <w:r w:rsidRPr="00AC0E67">
        <w:rPr>
          <w:rFonts w:ascii="Times New Roman" w:hAnsi="Times New Roman"/>
        </w:rPr>
        <w:t>Kojok</w:t>
      </w:r>
      <w:proofErr w:type="spellEnd"/>
      <w:r w:rsidRPr="00AC0E67">
        <w:rPr>
          <w:rFonts w:ascii="Times New Roman" w:hAnsi="Times New Roman"/>
        </w:rPr>
        <w:t>, R., et al., (2023). Drinking water and the implications for gender equity and empowerment: A systematic review of qualitative and quantitative evidence. International Journal of Hygiene and Environmental Health, 247, 114044. https://doi.org/10.1016/j.ijheh.2022.114044</w:t>
      </w:r>
    </w:p>
    <w:p w14:paraId="0FF0D692"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Dickin, S., &amp; Caretta, M. A. (2022). Examining water and gender narratives and realities. Wiley Interdisciplinary Reviews: Water, 9(4), e1602. https://doi.org/10.1002/wat2.1602</w:t>
      </w:r>
    </w:p>
    <w:p w14:paraId="25645E81"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Federal Ministry of Water Resources. (2021). Water, sanitation and hygiene national outcome routine mapping (WASH NORM) report. Federal Government of Nigeria.</w:t>
      </w:r>
    </w:p>
    <w:p w14:paraId="168A4EF0"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Fisher, J., Cavill, S., &amp; Reed, B. (2017). Mainstreaming gender in the water, sanitation and hygiene sector: Dilution or distillation? Gender and Development, 25(2), 185–204. https://doi.org/10.1080/13552074.2017.1331531</w:t>
      </w:r>
    </w:p>
    <w:p w14:paraId="5302F905"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Geere, J. A.-A., Bartram, J., Bates, L., Danquah, L., Evans, B., et al., (2018b). Carrying water may be a major contributor to disability from musculoskeletal disorders in low-income countries: A cross-sectional survey in South Africa, Ghana and Vietnam. Journal of Global Health, 8(1), 010406. https://doi.org/10.7189/jogh.08.010406</w:t>
      </w:r>
    </w:p>
    <w:p w14:paraId="3418189F"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Geere, J. A.-A., Cortobius, M., Geere, J. H., Hammer, C. C., &amp; Hunter, P. R. (2018a). Is water carriage associated with the water carrier’s health? A systematic review of quantitative and qualitative evidence. BMJ Global Health, 3, e000764. https://doi.org/10.1136/bmjgh-2018-000764</w:t>
      </w:r>
    </w:p>
    <w:p w14:paraId="1B756381"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Graham, J. P., Hirai, M., &amp; Kim, S. (2016). An analysis of water collection labour among women and children in 24 sub-Saharan African countries. Public Library of Science One, 11(6), e0155981. https://doi.org/10.1371/journal.pone.0155981</w:t>
      </w:r>
    </w:p>
    <w:p w14:paraId="01771A3E" w14:textId="77777777" w:rsidR="00AC0E67" w:rsidRPr="00AC0E67" w:rsidRDefault="00AC0E67" w:rsidP="00AC0E67">
      <w:pPr>
        <w:ind w:left="720" w:hanging="720"/>
        <w:jc w:val="both"/>
        <w:rPr>
          <w:rFonts w:ascii="Times New Roman" w:hAnsi="Times New Roman"/>
        </w:rPr>
      </w:pPr>
      <w:proofErr w:type="spellStart"/>
      <w:r w:rsidRPr="00AC0E67">
        <w:rPr>
          <w:rFonts w:ascii="Times New Roman" w:hAnsi="Times New Roman"/>
        </w:rPr>
        <w:t>Ighalo</w:t>
      </w:r>
      <w:proofErr w:type="spellEnd"/>
      <w:r w:rsidRPr="00AC0E67">
        <w:rPr>
          <w:rFonts w:ascii="Times New Roman" w:hAnsi="Times New Roman"/>
        </w:rPr>
        <w:t>, J. O., &amp; Adeniyi, A. G. (2020). A comprehensive review of water quality monitoring and assessment in Nigeria. Chemosphere, 260, 127569. https://doi.org/10.1016/j.chemosphere.2020.127569</w:t>
      </w:r>
    </w:p>
    <w:p w14:paraId="51366FD9"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 xml:space="preserve">Ilboudo </w:t>
      </w:r>
      <w:proofErr w:type="spellStart"/>
      <w:r w:rsidRPr="00AC0E67">
        <w:rPr>
          <w:rFonts w:ascii="Times New Roman" w:hAnsi="Times New Roman"/>
        </w:rPr>
        <w:t>Nébié</w:t>
      </w:r>
      <w:proofErr w:type="spellEnd"/>
      <w:r w:rsidRPr="00AC0E67">
        <w:rPr>
          <w:rFonts w:ascii="Times New Roman" w:hAnsi="Times New Roman"/>
        </w:rPr>
        <w:t xml:space="preserve">, E. K., Brewis, A., </w:t>
      </w:r>
      <w:proofErr w:type="spellStart"/>
      <w:r w:rsidRPr="00AC0E67">
        <w:rPr>
          <w:rFonts w:ascii="Times New Roman" w:hAnsi="Times New Roman"/>
        </w:rPr>
        <w:t>Wutich</w:t>
      </w:r>
      <w:proofErr w:type="spellEnd"/>
      <w:r w:rsidRPr="00AC0E67">
        <w:rPr>
          <w:rFonts w:ascii="Times New Roman" w:hAnsi="Times New Roman"/>
        </w:rPr>
        <w:t xml:space="preserve">, A., </w:t>
      </w:r>
      <w:proofErr w:type="spellStart"/>
      <w:r w:rsidRPr="00AC0E67">
        <w:rPr>
          <w:rFonts w:ascii="Times New Roman" w:hAnsi="Times New Roman"/>
        </w:rPr>
        <w:t>Pérenne</w:t>
      </w:r>
      <w:proofErr w:type="spellEnd"/>
      <w:r w:rsidRPr="00AC0E67">
        <w:rPr>
          <w:rFonts w:ascii="Times New Roman" w:hAnsi="Times New Roman"/>
        </w:rPr>
        <w:t xml:space="preserve">, Y., &amp; </w:t>
      </w:r>
      <w:proofErr w:type="spellStart"/>
      <w:r w:rsidRPr="00AC0E67">
        <w:rPr>
          <w:rFonts w:ascii="Times New Roman" w:hAnsi="Times New Roman"/>
        </w:rPr>
        <w:t>Magassad</w:t>
      </w:r>
      <w:proofErr w:type="spellEnd"/>
      <w:r w:rsidRPr="00AC0E67">
        <w:rPr>
          <w:rFonts w:ascii="Times New Roman" w:hAnsi="Times New Roman"/>
        </w:rPr>
        <w:t>, K. (2024). Why livelihoods matter in the gendering of household water insecurity. Global Environmental Change, 84, 102827. https://doi.org/10.1016/j.gloenvcha.2023.102827</w:t>
      </w:r>
    </w:p>
    <w:p w14:paraId="306DC1EF"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 xml:space="preserve">Ite, A. E., Harry, T. A., </w:t>
      </w:r>
      <w:proofErr w:type="spellStart"/>
      <w:r w:rsidRPr="00AC0E67">
        <w:rPr>
          <w:rFonts w:ascii="Times New Roman" w:hAnsi="Times New Roman"/>
        </w:rPr>
        <w:t>Obadimu</w:t>
      </w:r>
      <w:proofErr w:type="spellEnd"/>
      <w:r w:rsidRPr="00AC0E67">
        <w:rPr>
          <w:rFonts w:ascii="Times New Roman" w:hAnsi="Times New Roman"/>
        </w:rPr>
        <w:t xml:space="preserve">, C. O., Asuaiko, E. R., &amp; </w:t>
      </w:r>
      <w:proofErr w:type="spellStart"/>
      <w:r w:rsidRPr="00AC0E67">
        <w:rPr>
          <w:rFonts w:ascii="Times New Roman" w:hAnsi="Times New Roman"/>
        </w:rPr>
        <w:t>Inim</w:t>
      </w:r>
      <w:proofErr w:type="spellEnd"/>
      <w:r w:rsidRPr="00AC0E67">
        <w:rPr>
          <w:rFonts w:ascii="Times New Roman" w:hAnsi="Times New Roman"/>
        </w:rPr>
        <w:t>, I. J. (2018). Petroleum hydrocarbons contamination of surface water and groundwater in the Niger Delta region of Nigeria. Journal of Environment Pollution and Human Health, 6(2), 51–61. https://doi.org/10.12691/jephh-6-2-1</w:t>
      </w:r>
    </w:p>
    <w:p w14:paraId="7DB5B48E"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lastRenderedPageBreak/>
        <w:t xml:space="preserve">Izah, S. C., &amp; </w:t>
      </w:r>
      <w:proofErr w:type="spellStart"/>
      <w:r w:rsidRPr="00AC0E67">
        <w:rPr>
          <w:rFonts w:ascii="Times New Roman" w:hAnsi="Times New Roman"/>
        </w:rPr>
        <w:t>Seiyaboh</w:t>
      </w:r>
      <w:proofErr w:type="spellEnd"/>
      <w:r w:rsidRPr="00AC0E67">
        <w:rPr>
          <w:rFonts w:ascii="Times New Roman" w:hAnsi="Times New Roman"/>
        </w:rPr>
        <w:t>, E. I. (2018). Biodiversity and conservation of mangrove ecosystems in the Niger Delta region of Nigeria. Biodiversity International Journal, 2(6), 529–534.</w:t>
      </w:r>
    </w:p>
    <w:p w14:paraId="3EDC9768"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 xml:space="preserve">Kayser, G. L., </w:t>
      </w:r>
      <w:proofErr w:type="spellStart"/>
      <w:r w:rsidRPr="00AC0E67">
        <w:rPr>
          <w:rFonts w:ascii="Times New Roman" w:hAnsi="Times New Roman"/>
        </w:rPr>
        <w:t>Chokhandre</w:t>
      </w:r>
      <w:proofErr w:type="spellEnd"/>
      <w:r w:rsidRPr="00AC0E67">
        <w:rPr>
          <w:rFonts w:ascii="Times New Roman" w:hAnsi="Times New Roman"/>
        </w:rPr>
        <w:t>, P., Rao, N., Singh, A., McDougal, L., &amp; Raj, A. (2021). Household sanitation access and risk for non-marital sexual violence among a nationally representative sample of women in India, 2015–2016. SSM – Population Health, 13, 100738. https://doi.org/10.1016/j.ssmph.2021.100738</w:t>
      </w:r>
    </w:p>
    <w:p w14:paraId="2FA9594F"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Kayser, G. L., Rao, N., Jose, R., &amp; Raj, A. (2019). Water, sanitation and hygiene: Measuring gender equality and empowerment. Bulletin of the World Health Organization, 97(6), 438–440. https://doi.org/10.2471/BLT.18.223305</w:t>
      </w:r>
    </w:p>
    <w:p w14:paraId="0ED3EE17"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 xml:space="preserve">Mukiese, D., </w:t>
      </w:r>
      <w:proofErr w:type="spellStart"/>
      <w:r w:rsidRPr="00AC0E67">
        <w:rPr>
          <w:rFonts w:ascii="Times New Roman" w:hAnsi="Times New Roman"/>
        </w:rPr>
        <w:t>Kalambay</w:t>
      </w:r>
      <w:proofErr w:type="spellEnd"/>
      <w:r w:rsidRPr="00AC0E67">
        <w:rPr>
          <w:rFonts w:ascii="Times New Roman" w:hAnsi="Times New Roman"/>
        </w:rPr>
        <w:t>, T., &amp; Kayembe, P. (2024). Musculoskeletal health risks of adolescent girls engaged in water carrying in Kinshasa, Democratic Republic of Congo. Journal of Public Health in Africa, 15(1), 312–320.</w:t>
      </w:r>
    </w:p>
    <w:p w14:paraId="73619948"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National Population Commission. (2006). Population and housing census of the Federal Republic of Nigeria. National Bureau of Statistics.</w:t>
      </w:r>
    </w:p>
    <w:p w14:paraId="02425074" w14:textId="77777777" w:rsidR="00AC0E67" w:rsidRPr="00AC0E67" w:rsidRDefault="00AC0E67" w:rsidP="00AC0E67">
      <w:pPr>
        <w:ind w:left="720" w:hanging="720"/>
        <w:jc w:val="both"/>
        <w:rPr>
          <w:rFonts w:ascii="Times New Roman" w:hAnsi="Times New Roman"/>
        </w:rPr>
      </w:pPr>
      <w:r w:rsidRPr="00AC0E67">
        <w:rPr>
          <w:rFonts w:ascii="Times New Roman" w:hAnsi="Times New Roman"/>
          <w:lang w:val="fi-FI"/>
        </w:rPr>
        <w:t xml:space="preserve">Nkolola, B. N., &amp; Phiri, A. (2024). </w:t>
      </w:r>
      <w:r w:rsidRPr="00AC0E67">
        <w:rPr>
          <w:rFonts w:ascii="Times New Roman" w:hAnsi="Times New Roman"/>
        </w:rPr>
        <w:t>From fetchers to decision-makers: Exploring the gender dynamics of water access and governance in resource-poor communities of Mbala, Zambia. Journal of Water, Sanitation and Hygiene for Development, 14(12), 1291–1304. https://doi.org/10.2166/washdev.2024.214</w:t>
      </w:r>
    </w:p>
    <w:p w14:paraId="451517D4"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Ohwo, O. (2019). Dimensions of inequality in urban and rural water, sanitation and hygiene services in sub-Saharan Africa. European Scientific Journal, 15(8). https://doi.org/10.19044/esj.2019.v15n8p1</w:t>
      </w:r>
    </w:p>
    <w:p w14:paraId="554007DE"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 xml:space="preserve">Okonkwo, C. N., &amp; </w:t>
      </w:r>
      <w:proofErr w:type="spellStart"/>
      <w:r w:rsidRPr="00AC0E67">
        <w:rPr>
          <w:rFonts w:ascii="Times New Roman" w:hAnsi="Times New Roman"/>
        </w:rPr>
        <w:t>Ehirim</w:t>
      </w:r>
      <w:proofErr w:type="spellEnd"/>
      <w:r w:rsidRPr="00AC0E67">
        <w:rPr>
          <w:rFonts w:ascii="Times New Roman" w:hAnsi="Times New Roman"/>
        </w:rPr>
        <w:t>, C. N. (2017). Geomorphological and hydrological characteristics of the Niger Delta: Implications for environmental management. Journal of Geography, Environment and Earth Science International, 11(3), 1–12. https://doi.org/10.9734/JGEESI/2017/33079</w:t>
      </w:r>
    </w:p>
    <w:p w14:paraId="147AB70D"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Onwuegbuzie, A. J., &amp; Leech, N. L. (2007). Sampling Designs in Qualitative Research: Making the Sampling Process More Public. The Qualitative Report, 12(2), 238-254. https://doi.org/10.46743/2160-3715/2007.1636</w:t>
      </w:r>
    </w:p>
    <w:p w14:paraId="42CD3AAD" w14:textId="77777777" w:rsidR="00AC0E67" w:rsidRPr="00AC0E67" w:rsidRDefault="00AC0E67" w:rsidP="00AC0E67">
      <w:pPr>
        <w:ind w:left="720" w:hanging="720"/>
        <w:jc w:val="both"/>
        <w:rPr>
          <w:rFonts w:ascii="Times New Roman" w:hAnsi="Times New Roman"/>
        </w:rPr>
      </w:pPr>
      <w:proofErr w:type="spellStart"/>
      <w:r w:rsidRPr="00AC0E67">
        <w:rPr>
          <w:rFonts w:ascii="Times New Roman" w:hAnsi="Times New Roman"/>
        </w:rPr>
        <w:t>Oranga</w:t>
      </w:r>
      <w:proofErr w:type="spellEnd"/>
      <w:r w:rsidRPr="00AC0E67">
        <w:rPr>
          <w:rFonts w:ascii="Times New Roman" w:hAnsi="Times New Roman"/>
        </w:rPr>
        <w:t>, J. (2025). Mixed methods research: Merits, applications and challenges. International Journal of Social Science, 5(2), 233–238. https://doi.org/10.53625/ijss.v5i2.11034</w:t>
      </w:r>
    </w:p>
    <w:p w14:paraId="5650C73A"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 xml:space="preserve">Pal, M., Ayele, Y., </w:t>
      </w:r>
      <w:proofErr w:type="spellStart"/>
      <w:r w:rsidRPr="00AC0E67">
        <w:rPr>
          <w:rFonts w:ascii="Times New Roman" w:hAnsi="Times New Roman"/>
        </w:rPr>
        <w:t>Hadush</w:t>
      </w:r>
      <w:proofErr w:type="spellEnd"/>
      <w:r w:rsidRPr="00AC0E67">
        <w:rPr>
          <w:rFonts w:ascii="Times New Roman" w:hAnsi="Times New Roman"/>
        </w:rPr>
        <w:t>, A., Panigrahi, S., &amp; Jadhav, V. (2018). Public health hazards due to unsafe drinking water. International Journal of Health Sciences and Research, 7, 1–8.</w:t>
      </w:r>
    </w:p>
    <w:p w14:paraId="73F7E7BD" w14:textId="77777777" w:rsidR="00AC0E67" w:rsidRPr="00AC0E67" w:rsidRDefault="00AC0E67" w:rsidP="00AC0E67">
      <w:pPr>
        <w:ind w:left="720" w:hanging="720"/>
        <w:jc w:val="both"/>
        <w:rPr>
          <w:rFonts w:ascii="Times New Roman" w:hAnsi="Times New Roman"/>
        </w:rPr>
      </w:pPr>
      <w:proofErr w:type="spellStart"/>
      <w:r w:rsidRPr="00AC0E67">
        <w:rPr>
          <w:rFonts w:ascii="Times New Roman" w:hAnsi="Times New Roman"/>
        </w:rPr>
        <w:lastRenderedPageBreak/>
        <w:t>Pouramin</w:t>
      </w:r>
      <w:proofErr w:type="spellEnd"/>
      <w:r w:rsidRPr="00AC0E67">
        <w:rPr>
          <w:rFonts w:ascii="Times New Roman" w:hAnsi="Times New Roman"/>
        </w:rPr>
        <w:t xml:space="preserve">, P., </w:t>
      </w:r>
      <w:proofErr w:type="spellStart"/>
      <w:r w:rsidRPr="00AC0E67">
        <w:rPr>
          <w:rFonts w:ascii="Times New Roman" w:hAnsi="Times New Roman"/>
        </w:rPr>
        <w:t>Nagabhatla</w:t>
      </w:r>
      <w:proofErr w:type="spellEnd"/>
      <w:r w:rsidRPr="00AC0E67">
        <w:rPr>
          <w:rFonts w:ascii="Times New Roman" w:hAnsi="Times New Roman"/>
        </w:rPr>
        <w:t xml:space="preserve">, N., &amp; </w:t>
      </w:r>
      <w:proofErr w:type="spellStart"/>
      <w:r w:rsidRPr="00AC0E67">
        <w:rPr>
          <w:rFonts w:ascii="Times New Roman" w:hAnsi="Times New Roman"/>
        </w:rPr>
        <w:t>Miletto</w:t>
      </w:r>
      <w:proofErr w:type="spellEnd"/>
      <w:r w:rsidRPr="00AC0E67">
        <w:rPr>
          <w:rFonts w:ascii="Times New Roman" w:hAnsi="Times New Roman"/>
        </w:rPr>
        <w:t>, M. (2020). A systematic review of water and gender interlinkages: Assessing the intersection with health. Frontiers in Water, 2, 6. https://doi.org/10.3389/frwa.2020.00006</w:t>
      </w:r>
    </w:p>
    <w:p w14:paraId="08823E8A" w14:textId="77777777" w:rsidR="00AC0E67" w:rsidRPr="00AC0E67" w:rsidRDefault="00AC0E67" w:rsidP="00AC0E67">
      <w:pPr>
        <w:ind w:left="720" w:hanging="720"/>
        <w:jc w:val="both"/>
        <w:rPr>
          <w:rFonts w:ascii="Times New Roman" w:hAnsi="Times New Roman"/>
        </w:rPr>
      </w:pPr>
      <w:proofErr w:type="spellStart"/>
      <w:r w:rsidRPr="00AC0E67">
        <w:rPr>
          <w:rFonts w:ascii="Times New Roman" w:hAnsi="Times New Roman"/>
        </w:rPr>
        <w:t>Prüss-Ustün</w:t>
      </w:r>
      <w:proofErr w:type="spellEnd"/>
      <w:r w:rsidRPr="00AC0E67">
        <w:rPr>
          <w:rFonts w:ascii="Times New Roman" w:hAnsi="Times New Roman"/>
        </w:rPr>
        <w:t>, A., Wolf, J., Bartram, J., Clasen, T., Cumming, O., et al., (2019). Burden of disease from inadequate water, sanitation and hygiene for selected adverse health outcomes: An updated analysis with a focus on low- and middle-income countries. International Journal of Hygiene and Environmental Health, 222(5), 765–777. https://doi.org/10.1016/j.ijheh.2019.05.004</w:t>
      </w:r>
    </w:p>
    <w:p w14:paraId="07A5F7CC"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 xml:space="preserve">Rhue, S., Torrico, G., </w:t>
      </w:r>
      <w:proofErr w:type="spellStart"/>
      <w:r w:rsidRPr="00AC0E67">
        <w:rPr>
          <w:rFonts w:ascii="Times New Roman" w:hAnsi="Times New Roman"/>
        </w:rPr>
        <w:t>Amuzie</w:t>
      </w:r>
      <w:proofErr w:type="spellEnd"/>
      <w:r w:rsidRPr="00AC0E67">
        <w:rPr>
          <w:rFonts w:ascii="Times New Roman" w:hAnsi="Times New Roman"/>
        </w:rPr>
        <w:t>, C., Collins, S., Lemaitre, A., et al., (2023). The effects of household water insecurity on child health and well-being. Wiley Interdisciplinary Reviews: Water, 10(4), e1666. https://doi.org/10.1002/wat2.1666</w:t>
      </w:r>
    </w:p>
    <w:p w14:paraId="0520016A"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Sahoo, A., &amp; Rath, N. (2025). Feminization of water collection and marginalization of women: The realities and reasons. Academia Environmental Sciences and Sustainability. https://doi.org/10.20935/AcadEnvSci7504</w:t>
      </w:r>
    </w:p>
    <w:p w14:paraId="37E2EABE"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Tallman, P. S., Collins, S., Salmon-</w:t>
      </w:r>
      <w:proofErr w:type="spellStart"/>
      <w:r w:rsidRPr="00AC0E67">
        <w:rPr>
          <w:rFonts w:ascii="Times New Roman" w:hAnsi="Times New Roman"/>
        </w:rPr>
        <w:t>Mulanovich</w:t>
      </w:r>
      <w:proofErr w:type="spellEnd"/>
      <w:r w:rsidRPr="00AC0E67">
        <w:rPr>
          <w:rFonts w:ascii="Times New Roman" w:hAnsi="Times New Roman"/>
        </w:rPr>
        <w:t xml:space="preserve">, G., </w:t>
      </w:r>
      <w:proofErr w:type="spellStart"/>
      <w:r w:rsidRPr="00AC0E67">
        <w:rPr>
          <w:rFonts w:ascii="Times New Roman" w:hAnsi="Times New Roman"/>
        </w:rPr>
        <w:t>Rusyidi</w:t>
      </w:r>
      <w:proofErr w:type="spellEnd"/>
      <w:r w:rsidRPr="00AC0E67">
        <w:rPr>
          <w:rFonts w:ascii="Times New Roman" w:hAnsi="Times New Roman"/>
        </w:rPr>
        <w:t xml:space="preserve">, B., </w:t>
      </w:r>
      <w:proofErr w:type="spellStart"/>
      <w:r w:rsidRPr="00AC0E67">
        <w:rPr>
          <w:rFonts w:ascii="Times New Roman" w:hAnsi="Times New Roman"/>
        </w:rPr>
        <w:t>Kothadia</w:t>
      </w:r>
      <w:proofErr w:type="spellEnd"/>
      <w:r w:rsidRPr="00AC0E67">
        <w:rPr>
          <w:rFonts w:ascii="Times New Roman" w:hAnsi="Times New Roman"/>
        </w:rPr>
        <w:t>, A., &amp; Cole, S. (2022). Water insecurity and gender-based violence: A global review of the evidence. Global Public Health, 17(10), 2256–2270. https://doi.org/10.1080/17441692.2021.2005967</w:t>
      </w:r>
    </w:p>
    <w:p w14:paraId="17544D73" w14:textId="77777777" w:rsidR="00AC0E67" w:rsidRPr="00AC0E67" w:rsidRDefault="00AC0E67" w:rsidP="00AC0E67">
      <w:pPr>
        <w:ind w:left="720" w:hanging="720"/>
        <w:jc w:val="both"/>
        <w:rPr>
          <w:rFonts w:ascii="Times New Roman" w:hAnsi="Times New Roman"/>
        </w:rPr>
      </w:pPr>
      <w:proofErr w:type="spellStart"/>
      <w:r w:rsidRPr="00AC0E67">
        <w:rPr>
          <w:rFonts w:ascii="Times New Roman" w:hAnsi="Times New Roman"/>
        </w:rPr>
        <w:t>Tomberge</w:t>
      </w:r>
      <w:proofErr w:type="spellEnd"/>
      <w:r w:rsidRPr="00AC0E67">
        <w:rPr>
          <w:rFonts w:ascii="Times New Roman" w:hAnsi="Times New Roman"/>
        </w:rPr>
        <w:t>, V. M. J., Bischof, J. S., Meierhofer, R., Shrestha, A., &amp; Inauen, J. (2021). The physical burden of water carrying and women’s psychosocial well-being: Evidence from rural Nepal. International Journal of Environmental Research and Public Health, 18(15), 7908. https://doi.org/10.3390/ijerph18157908</w:t>
      </w:r>
    </w:p>
    <w:p w14:paraId="182BE0C3"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United Nations Children’s Fund, &amp; World Health Organization. (2019). Progress on household drinking water, sanitation and hygiene 2000–2017: Special focus on inequalities. UNICEF &amp; WHO.</w:t>
      </w:r>
    </w:p>
    <w:p w14:paraId="665A6437"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United Nations Children’s Fund. (2016). UNICEF strategy for water, sanitation and hygiene 2016–2030. UNICEF. Retrieved from https://www.unicef.org/media/59826/file/UNICEF-WASH-strategy-2016-2030.pdf</w:t>
      </w:r>
    </w:p>
    <w:p w14:paraId="34C387D8"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United Nations Children’s Fund. (2018). Progress on drinking water, sanitation and hygiene: 2017 update and SDG baselines. UNICEF &amp; World Health Organization. Retrieved from https://www.unicef.org/reports/progress-drinking-water-sanitation-and-hygiene-2017</w:t>
      </w:r>
    </w:p>
    <w:p w14:paraId="4C3F3898" w14:textId="77777777" w:rsidR="00AC0E67" w:rsidRPr="00AC0E67" w:rsidRDefault="00AC0E67" w:rsidP="00AC0E67">
      <w:pPr>
        <w:ind w:left="720" w:hanging="720"/>
        <w:jc w:val="both"/>
        <w:rPr>
          <w:rFonts w:ascii="Times New Roman" w:hAnsi="Times New Roman"/>
        </w:rPr>
      </w:pPr>
      <w:proofErr w:type="spellStart"/>
      <w:r w:rsidRPr="00AC0E67">
        <w:rPr>
          <w:rFonts w:ascii="Times New Roman" w:hAnsi="Times New Roman"/>
        </w:rPr>
        <w:t>Wolo</w:t>
      </w:r>
      <w:proofErr w:type="spellEnd"/>
      <w:r w:rsidRPr="00AC0E67">
        <w:rPr>
          <w:rFonts w:ascii="Times New Roman" w:hAnsi="Times New Roman"/>
        </w:rPr>
        <w:t xml:space="preserve"> D., Rahmawati A., Priska M. &amp; </w:t>
      </w:r>
      <w:proofErr w:type="spellStart"/>
      <w:r w:rsidRPr="00AC0E67">
        <w:rPr>
          <w:rFonts w:ascii="Times New Roman" w:hAnsi="Times New Roman"/>
        </w:rPr>
        <w:t>Damopolii</w:t>
      </w:r>
      <w:proofErr w:type="spellEnd"/>
      <w:r w:rsidRPr="00AC0E67">
        <w:rPr>
          <w:rFonts w:ascii="Times New Roman" w:hAnsi="Times New Roman"/>
        </w:rPr>
        <w:t xml:space="preserve"> I. (2020) Study of dug well water quality in Labuan Bajo, Indonesia, </w:t>
      </w:r>
      <w:proofErr w:type="spellStart"/>
      <w:r w:rsidRPr="00AC0E67">
        <w:rPr>
          <w:rFonts w:ascii="Times New Roman" w:hAnsi="Times New Roman"/>
        </w:rPr>
        <w:t>Jurnal</w:t>
      </w:r>
      <w:proofErr w:type="spellEnd"/>
      <w:r w:rsidRPr="00AC0E67">
        <w:rPr>
          <w:rFonts w:ascii="Times New Roman" w:hAnsi="Times New Roman"/>
        </w:rPr>
        <w:t xml:space="preserve"> </w:t>
      </w:r>
      <w:proofErr w:type="spellStart"/>
      <w:r w:rsidRPr="00AC0E67">
        <w:rPr>
          <w:rFonts w:ascii="Times New Roman" w:hAnsi="Times New Roman"/>
        </w:rPr>
        <w:t>Biologi</w:t>
      </w:r>
      <w:proofErr w:type="spellEnd"/>
      <w:r w:rsidRPr="00AC0E67">
        <w:rPr>
          <w:rFonts w:ascii="Times New Roman" w:hAnsi="Times New Roman"/>
        </w:rPr>
        <w:t xml:space="preserve"> </w:t>
      </w:r>
      <w:proofErr w:type="spellStart"/>
      <w:r w:rsidRPr="00AC0E67">
        <w:rPr>
          <w:rFonts w:ascii="Times New Roman" w:hAnsi="Times New Roman"/>
        </w:rPr>
        <w:t>Tropis</w:t>
      </w:r>
      <w:proofErr w:type="spellEnd"/>
      <w:r w:rsidRPr="00AC0E67">
        <w:rPr>
          <w:rFonts w:ascii="Times New Roman" w:hAnsi="Times New Roman"/>
        </w:rPr>
        <w:t>/</w:t>
      </w:r>
      <w:proofErr w:type="spellStart"/>
      <w:r w:rsidRPr="00AC0E67">
        <w:rPr>
          <w:rFonts w:ascii="Times New Roman" w:hAnsi="Times New Roman"/>
        </w:rPr>
        <w:t>Jurnal</w:t>
      </w:r>
      <w:proofErr w:type="spellEnd"/>
      <w:r w:rsidRPr="00AC0E67">
        <w:rPr>
          <w:rFonts w:ascii="Times New Roman" w:hAnsi="Times New Roman"/>
        </w:rPr>
        <w:t xml:space="preserve"> </w:t>
      </w:r>
      <w:proofErr w:type="spellStart"/>
      <w:r w:rsidRPr="00AC0E67">
        <w:rPr>
          <w:rFonts w:ascii="Times New Roman" w:hAnsi="Times New Roman"/>
        </w:rPr>
        <w:t>Biologi</w:t>
      </w:r>
      <w:proofErr w:type="spellEnd"/>
      <w:r w:rsidRPr="00AC0E67">
        <w:rPr>
          <w:rFonts w:ascii="Times New Roman" w:hAnsi="Times New Roman"/>
        </w:rPr>
        <w:t xml:space="preserve"> </w:t>
      </w:r>
      <w:proofErr w:type="spellStart"/>
      <w:r w:rsidRPr="00AC0E67">
        <w:rPr>
          <w:rFonts w:ascii="Times New Roman" w:hAnsi="Times New Roman"/>
        </w:rPr>
        <w:t>Tropis</w:t>
      </w:r>
      <w:proofErr w:type="spellEnd"/>
      <w:r w:rsidRPr="00AC0E67">
        <w:rPr>
          <w:rFonts w:ascii="Times New Roman" w:hAnsi="Times New Roman"/>
        </w:rPr>
        <w:t>, 20 (3), 432–437. https://doi.org/10.29303/jbt.v20i3.2135.</w:t>
      </w:r>
    </w:p>
    <w:p w14:paraId="306AF1DE"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lastRenderedPageBreak/>
        <w:t>World Bank. (2024). The gendered burden of water collection in Sub-Saharan Africa. https://www.worldbank.org/en/data/interactive/2024/03/13/gendered-burden-of-water-collection-in-afe-afw-sub-saharan-africa</w:t>
      </w:r>
    </w:p>
    <w:p w14:paraId="11CD928A" w14:textId="77777777" w:rsidR="00AC0E67" w:rsidRPr="00AC0E67" w:rsidRDefault="00AC0E67" w:rsidP="00AC0E67">
      <w:pPr>
        <w:ind w:left="720" w:hanging="720"/>
        <w:jc w:val="both"/>
        <w:rPr>
          <w:rFonts w:ascii="Times New Roman" w:hAnsi="Times New Roman"/>
        </w:rPr>
      </w:pPr>
      <w:r w:rsidRPr="00AC0E67">
        <w:rPr>
          <w:rFonts w:ascii="Times New Roman" w:hAnsi="Times New Roman"/>
        </w:rPr>
        <w:t>World Health Organization, &amp; United Nations Children’s Fund. (2025). 1 in 4 people globally still lack access to safe drinking water. World Health Organization. Retrieved from https://www.who.int/news/item/26-08-2025-1-in-4-people-globally-still-lack-access-to-safe-drinking-water---who--unicef</w:t>
      </w:r>
    </w:p>
    <w:p w14:paraId="167B7726" w14:textId="77777777" w:rsidR="00AC0E67" w:rsidRPr="005C4E18" w:rsidRDefault="00AC0E67" w:rsidP="00AC0E67">
      <w:pPr>
        <w:ind w:left="720" w:hanging="720"/>
        <w:jc w:val="both"/>
        <w:rPr>
          <w:rFonts w:ascii="Times New Roman" w:hAnsi="Times New Roman"/>
        </w:rPr>
      </w:pPr>
      <w:r w:rsidRPr="005C4E18">
        <w:rPr>
          <w:rFonts w:ascii="Times New Roman" w:hAnsi="Times New Roman"/>
        </w:rPr>
        <w:t>Wright, G. (2026). Behind the paper: The burden and potential of women’s water access. PLOS Latitude Blog. https://latitude.plos.org/2026/03/behind-the-paper-the-burden-and-potential-of-womens-water-access/</w:t>
      </w:r>
    </w:p>
    <w:p w14:paraId="1996BD6E" w14:textId="77777777" w:rsidR="00C27245" w:rsidRPr="00F721F2" w:rsidRDefault="00C27245" w:rsidP="00AC0E67">
      <w:pPr>
        <w:jc w:val="both"/>
        <w:rPr>
          <w:rFonts w:ascii="Times New Roman" w:hAnsi="Times New Roman"/>
        </w:rPr>
      </w:pPr>
    </w:p>
    <w:sectPr w:rsidR="00C27245" w:rsidRPr="00F721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43852" w14:textId="77777777" w:rsidR="005A6BA5" w:rsidRPr="0025108B" w:rsidRDefault="005A6BA5" w:rsidP="00F1225A">
      <w:pPr>
        <w:spacing w:after="0" w:line="240" w:lineRule="auto"/>
      </w:pPr>
      <w:r w:rsidRPr="0025108B">
        <w:separator/>
      </w:r>
    </w:p>
  </w:endnote>
  <w:endnote w:type="continuationSeparator" w:id="0">
    <w:p w14:paraId="0E07C763" w14:textId="77777777" w:rsidR="005A6BA5" w:rsidRPr="0025108B" w:rsidRDefault="005A6BA5" w:rsidP="00F1225A">
      <w:pPr>
        <w:spacing w:after="0" w:line="240" w:lineRule="auto"/>
      </w:pPr>
      <w:r w:rsidRPr="002510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7BCF" w14:textId="77777777" w:rsidR="00F1225A" w:rsidRPr="0025108B" w:rsidRDefault="00F1225A">
    <w:pPr>
      <w:pStyle w:val="Footer"/>
      <w:jc w:val="right"/>
    </w:pPr>
    <w:r w:rsidRPr="0025108B">
      <w:fldChar w:fldCharType="begin"/>
    </w:r>
    <w:r w:rsidRPr="0025108B">
      <w:instrText xml:space="preserve"> PAGE   \* MERGEFORMAT </w:instrText>
    </w:r>
    <w:r w:rsidRPr="0025108B">
      <w:fldChar w:fldCharType="separate"/>
    </w:r>
    <w:r w:rsidRPr="0025108B">
      <w:t>2</w:t>
    </w:r>
    <w:r w:rsidRPr="0025108B">
      <w:fldChar w:fldCharType="end"/>
    </w:r>
  </w:p>
  <w:p w14:paraId="75EB7AB4" w14:textId="77777777" w:rsidR="00F1225A" w:rsidRPr="0025108B" w:rsidRDefault="00F12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0D5A" w14:textId="77777777" w:rsidR="005A6BA5" w:rsidRPr="0025108B" w:rsidRDefault="005A6BA5" w:rsidP="00F1225A">
      <w:pPr>
        <w:spacing w:after="0" w:line="240" w:lineRule="auto"/>
      </w:pPr>
      <w:r w:rsidRPr="0025108B">
        <w:separator/>
      </w:r>
    </w:p>
  </w:footnote>
  <w:footnote w:type="continuationSeparator" w:id="0">
    <w:p w14:paraId="5C35BADA" w14:textId="77777777" w:rsidR="005A6BA5" w:rsidRPr="0025108B" w:rsidRDefault="005A6BA5" w:rsidP="00F1225A">
      <w:pPr>
        <w:spacing w:after="0" w:line="240" w:lineRule="auto"/>
      </w:pPr>
      <w:r w:rsidRPr="0025108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F578D"/>
    <w:multiLevelType w:val="multilevel"/>
    <w:tmpl w:val="2B56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94B59"/>
    <w:multiLevelType w:val="multilevel"/>
    <w:tmpl w:val="C690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57B7A"/>
    <w:multiLevelType w:val="hybridMultilevel"/>
    <w:tmpl w:val="973C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12AEF"/>
    <w:multiLevelType w:val="multilevel"/>
    <w:tmpl w:val="9620DF9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A86A37"/>
    <w:multiLevelType w:val="multilevel"/>
    <w:tmpl w:val="D13811E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9D072B"/>
    <w:multiLevelType w:val="hybridMultilevel"/>
    <w:tmpl w:val="67A4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1C1747"/>
    <w:multiLevelType w:val="multilevel"/>
    <w:tmpl w:val="9620DF9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5B0212"/>
    <w:multiLevelType w:val="hybridMultilevel"/>
    <w:tmpl w:val="5C48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A17505"/>
    <w:multiLevelType w:val="hybridMultilevel"/>
    <w:tmpl w:val="FE106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720AB9"/>
    <w:multiLevelType w:val="hybridMultilevel"/>
    <w:tmpl w:val="1E0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620580">
    <w:abstractNumId w:val="1"/>
  </w:num>
  <w:num w:numId="2" w16cid:durableId="816141912">
    <w:abstractNumId w:val="9"/>
  </w:num>
  <w:num w:numId="3" w16cid:durableId="1750957735">
    <w:abstractNumId w:val="0"/>
  </w:num>
  <w:num w:numId="4" w16cid:durableId="2101756106">
    <w:abstractNumId w:val="7"/>
  </w:num>
  <w:num w:numId="5" w16cid:durableId="1853838032">
    <w:abstractNumId w:val="5"/>
  </w:num>
  <w:num w:numId="6" w16cid:durableId="2081517895">
    <w:abstractNumId w:val="2"/>
  </w:num>
  <w:num w:numId="7" w16cid:durableId="195773198">
    <w:abstractNumId w:val="4"/>
  </w:num>
  <w:num w:numId="8" w16cid:durableId="1787851176">
    <w:abstractNumId w:val="3"/>
  </w:num>
  <w:num w:numId="9" w16cid:durableId="1301617064">
    <w:abstractNumId w:val="8"/>
  </w:num>
  <w:num w:numId="10" w16cid:durableId="19474931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63"/>
    <w:rsid w:val="0000054E"/>
    <w:rsid w:val="00003C3B"/>
    <w:rsid w:val="000522C5"/>
    <w:rsid w:val="00063059"/>
    <w:rsid w:val="000C75DC"/>
    <w:rsid w:val="000F3696"/>
    <w:rsid w:val="000F7CDA"/>
    <w:rsid w:val="00104BD6"/>
    <w:rsid w:val="00125392"/>
    <w:rsid w:val="001277D6"/>
    <w:rsid w:val="00130760"/>
    <w:rsid w:val="00153782"/>
    <w:rsid w:val="001D0406"/>
    <w:rsid w:val="001F2FC3"/>
    <w:rsid w:val="001F30F5"/>
    <w:rsid w:val="00205E07"/>
    <w:rsid w:val="0021530B"/>
    <w:rsid w:val="0023599C"/>
    <w:rsid w:val="002469B1"/>
    <w:rsid w:val="0025108B"/>
    <w:rsid w:val="00263BE9"/>
    <w:rsid w:val="0027282F"/>
    <w:rsid w:val="00275DAF"/>
    <w:rsid w:val="002906C1"/>
    <w:rsid w:val="002928E8"/>
    <w:rsid w:val="0029320E"/>
    <w:rsid w:val="002B1354"/>
    <w:rsid w:val="002B59F3"/>
    <w:rsid w:val="002D4846"/>
    <w:rsid w:val="002E57AB"/>
    <w:rsid w:val="002E7325"/>
    <w:rsid w:val="00307B82"/>
    <w:rsid w:val="00344E0E"/>
    <w:rsid w:val="00351174"/>
    <w:rsid w:val="003576AA"/>
    <w:rsid w:val="00381D89"/>
    <w:rsid w:val="00396A94"/>
    <w:rsid w:val="003B636B"/>
    <w:rsid w:val="003D721E"/>
    <w:rsid w:val="004237F5"/>
    <w:rsid w:val="00427266"/>
    <w:rsid w:val="00427BB8"/>
    <w:rsid w:val="00465334"/>
    <w:rsid w:val="00470481"/>
    <w:rsid w:val="00477F23"/>
    <w:rsid w:val="004C0752"/>
    <w:rsid w:val="004D73ED"/>
    <w:rsid w:val="004E2C57"/>
    <w:rsid w:val="004E6465"/>
    <w:rsid w:val="004F69D1"/>
    <w:rsid w:val="005221DF"/>
    <w:rsid w:val="00530D93"/>
    <w:rsid w:val="00537995"/>
    <w:rsid w:val="005823E6"/>
    <w:rsid w:val="005A6BA5"/>
    <w:rsid w:val="005F70FE"/>
    <w:rsid w:val="00614362"/>
    <w:rsid w:val="00616902"/>
    <w:rsid w:val="00632678"/>
    <w:rsid w:val="006354E5"/>
    <w:rsid w:val="006461F0"/>
    <w:rsid w:val="00670812"/>
    <w:rsid w:val="00675B35"/>
    <w:rsid w:val="00675E3F"/>
    <w:rsid w:val="0068566C"/>
    <w:rsid w:val="00690902"/>
    <w:rsid w:val="00690A7F"/>
    <w:rsid w:val="006A63D4"/>
    <w:rsid w:val="006C759B"/>
    <w:rsid w:val="00716ABC"/>
    <w:rsid w:val="0073016F"/>
    <w:rsid w:val="00737E20"/>
    <w:rsid w:val="0076417B"/>
    <w:rsid w:val="00781889"/>
    <w:rsid w:val="00781D90"/>
    <w:rsid w:val="00786EB1"/>
    <w:rsid w:val="00787041"/>
    <w:rsid w:val="007A05B4"/>
    <w:rsid w:val="007A41C0"/>
    <w:rsid w:val="007D429A"/>
    <w:rsid w:val="007D7160"/>
    <w:rsid w:val="007E54CB"/>
    <w:rsid w:val="007F151F"/>
    <w:rsid w:val="008359B6"/>
    <w:rsid w:val="008365C9"/>
    <w:rsid w:val="0086065E"/>
    <w:rsid w:val="00883382"/>
    <w:rsid w:val="008A327E"/>
    <w:rsid w:val="008A676F"/>
    <w:rsid w:val="008E07FA"/>
    <w:rsid w:val="008E67E7"/>
    <w:rsid w:val="00904071"/>
    <w:rsid w:val="00912BBA"/>
    <w:rsid w:val="00942B53"/>
    <w:rsid w:val="00961CE8"/>
    <w:rsid w:val="00970FEA"/>
    <w:rsid w:val="009D4B35"/>
    <w:rsid w:val="009E6279"/>
    <w:rsid w:val="009E7368"/>
    <w:rsid w:val="009F5774"/>
    <w:rsid w:val="00A31463"/>
    <w:rsid w:val="00A3233D"/>
    <w:rsid w:val="00A426A1"/>
    <w:rsid w:val="00A47474"/>
    <w:rsid w:val="00A554B6"/>
    <w:rsid w:val="00A67180"/>
    <w:rsid w:val="00A7325A"/>
    <w:rsid w:val="00A7419A"/>
    <w:rsid w:val="00A95A6E"/>
    <w:rsid w:val="00AA2326"/>
    <w:rsid w:val="00AA6C1B"/>
    <w:rsid w:val="00AC0E67"/>
    <w:rsid w:val="00AC14C7"/>
    <w:rsid w:val="00AE39C8"/>
    <w:rsid w:val="00B06E9C"/>
    <w:rsid w:val="00B11516"/>
    <w:rsid w:val="00B36CA2"/>
    <w:rsid w:val="00B54A10"/>
    <w:rsid w:val="00B572C0"/>
    <w:rsid w:val="00B73EC3"/>
    <w:rsid w:val="00B745D7"/>
    <w:rsid w:val="00B90478"/>
    <w:rsid w:val="00BA4B66"/>
    <w:rsid w:val="00BA7669"/>
    <w:rsid w:val="00BB0F04"/>
    <w:rsid w:val="00BC38A6"/>
    <w:rsid w:val="00BC3F56"/>
    <w:rsid w:val="00BC7158"/>
    <w:rsid w:val="00BF1652"/>
    <w:rsid w:val="00BF7D72"/>
    <w:rsid w:val="00C03610"/>
    <w:rsid w:val="00C140EB"/>
    <w:rsid w:val="00C179D3"/>
    <w:rsid w:val="00C27245"/>
    <w:rsid w:val="00C61BA6"/>
    <w:rsid w:val="00C7408C"/>
    <w:rsid w:val="00C75E70"/>
    <w:rsid w:val="00C90517"/>
    <w:rsid w:val="00C97846"/>
    <w:rsid w:val="00CA6168"/>
    <w:rsid w:val="00CA7969"/>
    <w:rsid w:val="00CC1B44"/>
    <w:rsid w:val="00CC7CAC"/>
    <w:rsid w:val="00CD5FF6"/>
    <w:rsid w:val="00CE2FEB"/>
    <w:rsid w:val="00D005DB"/>
    <w:rsid w:val="00D10885"/>
    <w:rsid w:val="00D5417E"/>
    <w:rsid w:val="00D73E85"/>
    <w:rsid w:val="00DA6B39"/>
    <w:rsid w:val="00DF7C4F"/>
    <w:rsid w:val="00E449C7"/>
    <w:rsid w:val="00E57B69"/>
    <w:rsid w:val="00E71273"/>
    <w:rsid w:val="00E76801"/>
    <w:rsid w:val="00EC5993"/>
    <w:rsid w:val="00ED6C8B"/>
    <w:rsid w:val="00EE03BC"/>
    <w:rsid w:val="00EE73A2"/>
    <w:rsid w:val="00F10C98"/>
    <w:rsid w:val="00F1225A"/>
    <w:rsid w:val="00F238AD"/>
    <w:rsid w:val="00F33A8E"/>
    <w:rsid w:val="00F42594"/>
    <w:rsid w:val="00F6751F"/>
    <w:rsid w:val="00F70882"/>
    <w:rsid w:val="00F70DB6"/>
    <w:rsid w:val="00F721F2"/>
    <w:rsid w:val="00F84FD2"/>
    <w:rsid w:val="00F86088"/>
    <w:rsid w:val="00FC0E7C"/>
    <w:rsid w:val="00FE6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5F5F"/>
  <w15:chartTrackingRefBased/>
  <w15:docId w15:val="{C56053D9-AF2F-5747-A8DB-56191277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3D4"/>
    <w:pPr>
      <w:spacing w:after="160" w:line="278" w:lineRule="auto"/>
    </w:pPr>
    <w:rPr>
      <w:kern w:val="2"/>
      <w:sz w:val="24"/>
      <w:szCs w:val="24"/>
      <w:lang w:val="en-GB"/>
    </w:rPr>
  </w:style>
  <w:style w:type="paragraph" w:styleId="Heading1">
    <w:name w:val="heading 1"/>
    <w:basedOn w:val="Normal"/>
    <w:next w:val="Normal"/>
    <w:link w:val="Heading1Char"/>
    <w:uiPriority w:val="9"/>
    <w:qFormat/>
    <w:rsid w:val="00A31463"/>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unhideWhenUsed/>
    <w:qFormat/>
    <w:rsid w:val="00A31463"/>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unhideWhenUsed/>
    <w:qFormat/>
    <w:rsid w:val="00A31463"/>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A31463"/>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A31463"/>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A31463"/>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A31463"/>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A31463"/>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A31463"/>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1463"/>
    <w:rPr>
      <w:rFonts w:ascii="Calibri Light" w:eastAsia="Times New Roman" w:hAnsi="Calibri Light" w:cs="Times New Roman"/>
      <w:color w:val="2F5496"/>
      <w:sz w:val="40"/>
      <w:szCs w:val="40"/>
    </w:rPr>
  </w:style>
  <w:style w:type="character" w:customStyle="1" w:styleId="Heading2Char">
    <w:name w:val="Heading 2 Char"/>
    <w:link w:val="Heading2"/>
    <w:uiPriority w:val="9"/>
    <w:rsid w:val="00A31463"/>
    <w:rPr>
      <w:rFonts w:ascii="Calibri Light" w:eastAsia="Times New Roman" w:hAnsi="Calibri Light" w:cs="Times New Roman"/>
      <w:color w:val="2F5496"/>
      <w:sz w:val="32"/>
      <w:szCs w:val="32"/>
    </w:rPr>
  </w:style>
  <w:style w:type="character" w:customStyle="1" w:styleId="Heading3Char">
    <w:name w:val="Heading 3 Char"/>
    <w:link w:val="Heading3"/>
    <w:uiPriority w:val="9"/>
    <w:rsid w:val="00A31463"/>
    <w:rPr>
      <w:rFonts w:eastAsia="Times New Roman" w:cs="Times New Roman"/>
      <w:color w:val="2F5496"/>
      <w:sz w:val="28"/>
      <w:szCs w:val="28"/>
    </w:rPr>
  </w:style>
  <w:style w:type="character" w:customStyle="1" w:styleId="Heading4Char">
    <w:name w:val="Heading 4 Char"/>
    <w:link w:val="Heading4"/>
    <w:uiPriority w:val="9"/>
    <w:semiHidden/>
    <w:rsid w:val="00A31463"/>
    <w:rPr>
      <w:rFonts w:eastAsia="Times New Roman" w:cs="Times New Roman"/>
      <w:i/>
      <w:iCs/>
      <w:color w:val="2F5496"/>
    </w:rPr>
  </w:style>
  <w:style w:type="character" w:customStyle="1" w:styleId="Heading5Char">
    <w:name w:val="Heading 5 Char"/>
    <w:link w:val="Heading5"/>
    <w:uiPriority w:val="9"/>
    <w:semiHidden/>
    <w:rsid w:val="00A31463"/>
    <w:rPr>
      <w:rFonts w:eastAsia="Times New Roman" w:cs="Times New Roman"/>
      <w:color w:val="2F5496"/>
    </w:rPr>
  </w:style>
  <w:style w:type="character" w:customStyle="1" w:styleId="Heading6Char">
    <w:name w:val="Heading 6 Char"/>
    <w:link w:val="Heading6"/>
    <w:uiPriority w:val="9"/>
    <w:semiHidden/>
    <w:rsid w:val="00A31463"/>
    <w:rPr>
      <w:rFonts w:eastAsia="Times New Roman" w:cs="Times New Roman"/>
      <w:i/>
      <w:iCs/>
      <w:color w:val="595959"/>
    </w:rPr>
  </w:style>
  <w:style w:type="character" w:customStyle="1" w:styleId="Heading7Char">
    <w:name w:val="Heading 7 Char"/>
    <w:link w:val="Heading7"/>
    <w:uiPriority w:val="9"/>
    <w:semiHidden/>
    <w:rsid w:val="00A31463"/>
    <w:rPr>
      <w:rFonts w:eastAsia="Times New Roman" w:cs="Times New Roman"/>
      <w:color w:val="595959"/>
    </w:rPr>
  </w:style>
  <w:style w:type="character" w:customStyle="1" w:styleId="Heading8Char">
    <w:name w:val="Heading 8 Char"/>
    <w:link w:val="Heading8"/>
    <w:uiPriority w:val="9"/>
    <w:semiHidden/>
    <w:rsid w:val="00A31463"/>
    <w:rPr>
      <w:rFonts w:eastAsia="Times New Roman" w:cs="Times New Roman"/>
      <w:i/>
      <w:iCs/>
      <w:color w:val="272727"/>
    </w:rPr>
  </w:style>
  <w:style w:type="character" w:customStyle="1" w:styleId="Heading9Char">
    <w:name w:val="Heading 9 Char"/>
    <w:link w:val="Heading9"/>
    <w:uiPriority w:val="9"/>
    <w:semiHidden/>
    <w:rsid w:val="00A31463"/>
    <w:rPr>
      <w:rFonts w:eastAsia="Times New Roman" w:cs="Times New Roman"/>
      <w:color w:val="272727"/>
    </w:rPr>
  </w:style>
  <w:style w:type="paragraph" w:styleId="Title">
    <w:name w:val="Title"/>
    <w:basedOn w:val="Normal"/>
    <w:next w:val="Normal"/>
    <w:link w:val="TitleChar"/>
    <w:uiPriority w:val="10"/>
    <w:qFormat/>
    <w:rsid w:val="00A31463"/>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A31463"/>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A31463"/>
    <w:pPr>
      <w:numPr>
        <w:ilvl w:val="1"/>
      </w:numPr>
    </w:pPr>
    <w:rPr>
      <w:rFonts w:eastAsia="Times New Roman"/>
      <w:color w:val="595959"/>
      <w:spacing w:val="15"/>
      <w:sz w:val="28"/>
      <w:szCs w:val="28"/>
    </w:rPr>
  </w:style>
  <w:style w:type="character" w:customStyle="1" w:styleId="SubtitleChar">
    <w:name w:val="Subtitle Char"/>
    <w:link w:val="Subtitle"/>
    <w:uiPriority w:val="11"/>
    <w:rsid w:val="00A31463"/>
    <w:rPr>
      <w:rFonts w:eastAsia="Times New Roman" w:cs="Times New Roman"/>
      <w:color w:val="595959"/>
      <w:spacing w:val="15"/>
      <w:sz w:val="28"/>
      <w:szCs w:val="28"/>
    </w:rPr>
  </w:style>
  <w:style w:type="paragraph" w:styleId="Quote">
    <w:name w:val="Quote"/>
    <w:basedOn w:val="Normal"/>
    <w:next w:val="Normal"/>
    <w:link w:val="QuoteChar"/>
    <w:uiPriority w:val="29"/>
    <w:qFormat/>
    <w:rsid w:val="00A31463"/>
    <w:pPr>
      <w:spacing w:before="160"/>
      <w:jc w:val="center"/>
    </w:pPr>
    <w:rPr>
      <w:i/>
      <w:iCs/>
      <w:color w:val="404040"/>
    </w:rPr>
  </w:style>
  <w:style w:type="character" w:customStyle="1" w:styleId="QuoteChar">
    <w:name w:val="Quote Char"/>
    <w:link w:val="Quote"/>
    <w:uiPriority w:val="29"/>
    <w:rsid w:val="00A31463"/>
    <w:rPr>
      <w:i/>
      <w:iCs/>
      <w:color w:val="404040"/>
    </w:rPr>
  </w:style>
  <w:style w:type="paragraph" w:styleId="ListParagraph">
    <w:name w:val="List Paragraph"/>
    <w:basedOn w:val="Normal"/>
    <w:uiPriority w:val="34"/>
    <w:qFormat/>
    <w:rsid w:val="00A31463"/>
    <w:pPr>
      <w:ind w:left="720"/>
      <w:contextualSpacing/>
    </w:pPr>
  </w:style>
  <w:style w:type="character" w:styleId="IntenseEmphasis">
    <w:name w:val="Intense Emphasis"/>
    <w:uiPriority w:val="21"/>
    <w:qFormat/>
    <w:rsid w:val="00A31463"/>
    <w:rPr>
      <w:i/>
      <w:iCs/>
      <w:color w:val="2F5496"/>
    </w:rPr>
  </w:style>
  <w:style w:type="paragraph" w:styleId="IntenseQuote">
    <w:name w:val="Intense Quote"/>
    <w:basedOn w:val="Normal"/>
    <w:next w:val="Normal"/>
    <w:link w:val="IntenseQuoteChar"/>
    <w:uiPriority w:val="30"/>
    <w:qFormat/>
    <w:rsid w:val="00A31463"/>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A31463"/>
    <w:rPr>
      <w:i/>
      <w:iCs/>
      <w:color w:val="2F5496"/>
    </w:rPr>
  </w:style>
  <w:style w:type="character" w:styleId="IntenseReference">
    <w:name w:val="Intense Reference"/>
    <w:uiPriority w:val="32"/>
    <w:qFormat/>
    <w:rsid w:val="00A31463"/>
    <w:rPr>
      <w:b/>
      <w:bCs/>
      <w:smallCaps/>
      <w:color w:val="2F5496"/>
      <w:spacing w:val="5"/>
    </w:rPr>
  </w:style>
  <w:style w:type="paragraph" w:styleId="NormalWeb">
    <w:name w:val="Normal (Web)"/>
    <w:basedOn w:val="Normal"/>
    <w:uiPriority w:val="99"/>
    <w:semiHidden/>
    <w:unhideWhenUsed/>
    <w:rsid w:val="00D5417E"/>
    <w:rPr>
      <w:rFonts w:ascii="Times New Roman" w:hAnsi="Times New Roman"/>
    </w:rPr>
  </w:style>
  <w:style w:type="character" w:styleId="CommentReference">
    <w:name w:val="annotation reference"/>
    <w:uiPriority w:val="99"/>
    <w:semiHidden/>
    <w:unhideWhenUsed/>
    <w:rsid w:val="007D7160"/>
    <w:rPr>
      <w:sz w:val="16"/>
      <w:szCs w:val="16"/>
    </w:rPr>
  </w:style>
  <w:style w:type="paragraph" w:styleId="CommentText">
    <w:name w:val="annotation text"/>
    <w:basedOn w:val="Normal"/>
    <w:link w:val="CommentTextChar"/>
    <w:uiPriority w:val="99"/>
    <w:semiHidden/>
    <w:unhideWhenUsed/>
    <w:rsid w:val="007D7160"/>
    <w:pPr>
      <w:spacing w:line="240" w:lineRule="auto"/>
    </w:pPr>
    <w:rPr>
      <w:sz w:val="20"/>
      <w:szCs w:val="20"/>
    </w:rPr>
  </w:style>
  <w:style w:type="character" w:customStyle="1" w:styleId="CommentTextChar">
    <w:name w:val="Comment Text Char"/>
    <w:link w:val="CommentText"/>
    <w:uiPriority w:val="99"/>
    <w:semiHidden/>
    <w:rsid w:val="007D7160"/>
    <w:rPr>
      <w:sz w:val="20"/>
      <w:szCs w:val="20"/>
    </w:rPr>
  </w:style>
  <w:style w:type="paragraph" w:styleId="CommentSubject">
    <w:name w:val="annotation subject"/>
    <w:basedOn w:val="CommentText"/>
    <w:next w:val="CommentText"/>
    <w:link w:val="CommentSubjectChar"/>
    <w:uiPriority w:val="99"/>
    <w:semiHidden/>
    <w:unhideWhenUsed/>
    <w:rsid w:val="007D7160"/>
    <w:rPr>
      <w:b/>
      <w:bCs/>
    </w:rPr>
  </w:style>
  <w:style w:type="character" w:customStyle="1" w:styleId="CommentSubjectChar">
    <w:name w:val="Comment Subject Char"/>
    <w:link w:val="CommentSubject"/>
    <w:uiPriority w:val="99"/>
    <w:semiHidden/>
    <w:rsid w:val="007D7160"/>
    <w:rPr>
      <w:b/>
      <w:bCs/>
      <w:sz w:val="20"/>
      <w:szCs w:val="20"/>
    </w:rPr>
  </w:style>
  <w:style w:type="table" w:styleId="PlainTable2">
    <w:name w:val="Plain Table 2"/>
    <w:basedOn w:val="TableNormal"/>
    <w:uiPriority w:val="42"/>
    <w:rsid w:val="00675B3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Light">
    <w:name w:val="Grid Table Light"/>
    <w:basedOn w:val="TableNormal"/>
    <w:uiPriority w:val="40"/>
    <w:rsid w:val="00F4259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uiPriority w:val="99"/>
    <w:unhideWhenUsed/>
    <w:rsid w:val="002928E8"/>
    <w:rPr>
      <w:color w:val="0563C1"/>
      <w:u w:val="single"/>
    </w:rPr>
  </w:style>
  <w:style w:type="paragraph" w:styleId="Header">
    <w:name w:val="header"/>
    <w:basedOn w:val="Normal"/>
    <w:link w:val="HeaderChar"/>
    <w:uiPriority w:val="99"/>
    <w:unhideWhenUsed/>
    <w:rsid w:val="00F1225A"/>
    <w:pPr>
      <w:tabs>
        <w:tab w:val="center" w:pos="4513"/>
        <w:tab w:val="right" w:pos="9026"/>
      </w:tabs>
    </w:pPr>
  </w:style>
  <w:style w:type="character" w:customStyle="1" w:styleId="HeaderChar">
    <w:name w:val="Header Char"/>
    <w:link w:val="Header"/>
    <w:uiPriority w:val="99"/>
    <w:rsid w:val="00F1225A"/>
    <w:rPr>
      <w:kern w:val="2"/>
      <w:sz w:val="24"/>
      <w:szCs w:val="24"/>
      <w:lang w:val="en-US" w:eastAsia="en-US"/>
    </w:rPr>
  </w:style>
  <w:style w:type="paragraph" w:styleId="Footer">
    <w:name w:val="footer"/>
    <w:basedOn w:val="Normal"/>
    <w:link w:val="FooterChar"/>
    <w:uiPriority w:val="99"/>
    <w:unhideWhenUsed/>
    <w:rsid w:val="00F1225A"/>
    <w:pPr>
      <w:tabs>
        <w:tab w:val="center" w:pos="4513"/>
        <w:tab w:val="right" w:pos="9026"/>
      </w:tabs>
    </w:pPr>
  </w:style>
  <w:style w:type="character" w:customStyle="1" w:styleId="FooterChar">
    <w:name w:val="Footer Char"/>
    <w:link w:val="Footer"/>
    <w:uiPriority w:val="99"/>
    <w:rsid w:val="00F1225A"/>
    <w:rPr>
      <w:kern w:val="2"/>
      <w:sz w:val="24"/>
      <w:szCs w:val="24"/>
      <w:lang w:val="en-US" w:eastAsia="en-US"/>
    </w:rPr>
  </w:style>
  <w:style w:type="paragraph" w:styleId="NoSpacing">
    <w:name w:val="No Spacing"/>
    <w:uiPriority w:val="1"/>
    <w:qFormat/>
    <w:rsid w:val="00675E3F"/>
    <w:rPr>
      <w:kern w:val="2"/>
      <w:sz w:val="22"/>
      <w:szCs w:val="22"/>
    </w:rPr>
  </w:style>
  <w:style w:type="character" w:styleId="UnresolvedMention">
    <w:name w:val="Unresolved Mention"/>
    <w:uiPriority w:val="99"/>
    <w:semiHidden/>
    <w:unhideWhenUsed/>
    <w:rsid w:val="00B74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31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25</Pages>
  <Words>8808</Words>
  <Characters>50209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dc:creator>
  <cp:keywords/>
  <dc:description/>
  <cp:lastModifiedBy>Editor Acc 101</cp:lastModifiedBy>
  <cp:revision>6</cp:revision>
  <dcterms:created xsi:type="dcterms:W3CDTF">2026-03-23T13:17:00Z</dcterms:created>
  <dcterms:modified xsi:type="dcterms:W3CDTF">2026-03-31T05:20:00Z</dcterms:modified>
</cp:coreProperties>
</file>