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D9140" w14:textId="77777777" w:rsidR="00D550D9" w:rsidRDefault="00D550D9" w:rsidP="000E5F01">
      <w:pPr>
        <w:jc w:val="center"/>
        <w:rPr>
          <w:rFonts w:ascii="Times New Roman" w:hAnsi="Times New Roman" w:cs="Times New Roman"/>
          <w:b/>
          <w:bCs/>
          <w:sz w:val="28"/>
          <w:szCs w:val="28"/>
        </w:rPr>
      </w:pPr>
      <w:bookmarkStart w:id="0" w:name="_Hlk227659319"/>
    </w:p>
    <w:p w14:paraId="65B3D460" w14:textId="2A7CD48E" w:rsidR="00C546D4" w:rsidRDefault="000E5F01" w:rsidP="00016D9A">
      <w:pPr>
        <w:jc w:val="center"/>
        <w:rPr>
          <w:rFonts w:ascii="Times New Roman" w:hAnsi="Times New Roman" w:cs="Times New Roman"/>
          <w:b/>
          <w:bCs/>
          <w:sz w:val="28"/>
          <w:szCs w:val="28"/>
        </w:rPr>
      </w:pPr>
      <w:r w:rsidRPr="009F54D9">
        <w:rPr>
          <w:rFonts w:ascii="Times New Roman" w:hAnsi="Times New Roman" w:cs="Times New Roman"/>
          <w:b/>
          <w:bCs/>
          <w:sz w:val="28"/>
          <w:szCs w:val="28"/>
        </w:rPr>
        <w:t xml:space="preserve">Socioeconomic Status as a Predictor of </w:t>
      </w:r>
      <w:bookmarkStart w:id="1" w:name="_Hlk227659191"/>
      <w:r w:rsidRPr="009F54D9">
        <w:rPr>
          <w:rFonts w:ascii="Times New Roman" w:hAnsi="Times New Roman" w:cs="Times New Roman"/>
          <w:b/>
          <w:bCs/>
          <w:sz w:val="28"/>
          <w:szCs w:val="28"/>
        </w:rPr>
        <w:t>Career Risk-Taking Behaviour Among Secondary School Students in West Bengal</w:t>
      </w:r>
      <w:bookmarkStart w:id="2" w:name="_Hlk227659329"/>
      <w:bookmarkEnd w:id="0"/>
      <w:bookmarkEnd w:id="1"/>
      <w:r w:rsidR="002266A1">
        <w:rPr>
          <w:rFonts w:ascii="Times New Roman" w:hAnsi="Times New Roman" w:cs="Times New Roman"/>
          <w:b/>
          <w:bCs/>
          <w:sz w:val="28"/>
          <w:szCs w:val="28"/>
        </w:rPr>
        <w:t>, India</w:t>
      </w:r>
    </w:p>
    <w:p w14:paraId="04BAB3CE" w14:textId="77777777" w:rsidR="00016D9A" w:rsidRPr="00016D9A" w:rsidRDefault="00016D9A" w:rsidP="00016D9A">
      <w:pPr>
        <w:jc w:val="center"/>
        <w:rPr>
          <w:rFonts w:ascii="Times New Roman" w:hAnsi="Times New Roman" w:cs="Times New Roman"/>
          <w:b/>
          <w:bCs/>
          <w:sz w:val="28"/>
          <w:szCs w:val="28"/>
        </w:rPr>
      </w:pPr>
    </w:p>
    <w:tbl>
      <w:tblPr>
        <w:tblW w:w="9016" w:type="dxa"/>
        <w:tblLook w:val="04A0" w:firstRow="1" w:lastRow="0" w:firstColumn="1" w:lastColumn="0" w:noHBand="0" w:noVBand="1"/>
      </w:tblPr>
      <w:tblGrid>
        <w:gridCol w:w="9016"/>
      </w:tblGrid>
      <w:tr w:rsidR="00016D9A" w:rsidRPr="003F4FCB" w14:paraId="62F0DA82" w14:textId="77777777" w:rsidTr="00016D9A">
        <w:trPr>
          <w:trHeight w:val="183"/>
        </w:trPr>
        <w:tc>
          <w:tcPr>
            <w:tcW w:w="9016" w:type="dxa"/>
          </w:tcPr>
          <w:bookmarkEnd w:id="2"/>
          <w:p w14:paraId="356CF4CD" w14:textId="77777777" w:rsidR="00016D9A" w:rsidRDefault="00016D9A" w:rsidP="0006346A">
            <w:pPr>
              <w:spacing w:line="240" w:lineRule="auto"/>
              <w:rPr>
                <w:rFonts w:ascii="Times New Roman" w:hAnsi="Times New Roman" w:cs="Times New Roman"/>
                <w:b/>
                <w:bCs/>
                <w:sz w:val="24"/>
                <w:szCs w:val="24"/>
              </w:rPr>
            </w:pPr>
            <w:r w:rsidRPr="003F4FCB">
              <w:rPr>
                <w:rFonts w:ascii="Times New Roman" w:hAnsi="Times New Roman" w:cs="Times New Roman"/>
                <w:b/>
                <w:bCs/>
                <w:sz w:val="24"/>
                <w:szCs w:val="24"/>
              </w:rPr>
              <w:t xml:space="preserve">ABSTRACT </w:t>
            </w:r>
          </w:p>
          <w:p w14:paraId="78E421C7" w14:textId="23F74ED9" w:rsidR="00016D9A" w:rsidRPr="00737267" w:rsidRDefault="00016D9A" w:rsidP="0006346A">
            <w:pPr>
              <w:spacing w:line="240" w:lineRule="auto"/>
              <w:rPr>
                <w:rFonts w:ascii="Times New Roman" w:hAnsi="Times New Roman" w:cs="Times New Roman"/>
                <w:b/>
                <w:bCs/>
                <w:sz w:val="6"/>
                <w:szCs w:val="6"/>
              </w:rPr>
            </w:pPr>
          </w:p>
        </w:tc>
      </w:tr>
      <w:tr w:rsidR="00016D9A" w:rsidRPr="003F4FCB" w14:paraId="481147E1" w14:textId="77777777" w:rsidTr="00016D9A">
        <w:trPr>
          <w:trHeight w:val="1562"/>
        </w:trPr>
        <w:tc>
          <w:tcPr>
            <w:tcW w:w="9016" w:type="dxa"/>
          </w:tcPr>
          <w:p w14:paraId="59F28626" w14:textId="0970EF75" w:rsidR="00016D9A" w:rsidRPr="00D6161F" w:rsidRDefault="00016D9A" w:rsidP="0076318D">
            <w:pPr>
              <w:pStyle w:val="NoSpacing"/>
              <w:spacing w:line="360" w:lineRule="auto"/>
              <w:jc w:val="both"/>
              <w:rPr>
                <w:rFonts w:ascii="Times New Roman" w:hAnsi="Times New Roman" w:cs="Times New Roman"/>
                <w:i/>
                <w:iCs/>
                <w:sz w:val="24"/>
                <w:szCs w:val="24"/>
              </w:rPr>
            </w:pPr>
            <w:r w:rsidRPr="00D6161F">
              <w:rPr>
                <w:rFonts w:ascii="Times New Roman" w:hAnsi="Times New Roman" w:cs="Times New Roman"/>
                <w:i/>
                <w:iCs/>
                <w:sz w:val="24"/>
                <w:szCs w:val="24"/>
              </w:rPr>
              <w:t xml:space="preserve">Career choices are not merely decisions about the future, but reflections of how individuals perceive risk, opportunity, and possibility. </w:t>
            </w:r>
            <w:r w:rsidR="002359E4" w:rsidRPr="00D6161F">
              <w:rPr>
                <w:rFonts w:ascii="Times New Roman" w:hAnsi="Times New Roman" w:cs="Times New Roman"/>
                <w:i/>
                <w:iCs/>
                <w:sz w:val="24"/>
                <w:szCs w:val="24"/>
              </w:rPr>
              <w:t>This study examines the predictive role of socioeconomic status (SES) in shaping career risk-taking behaviour among secondary school students in West Bengal, India. Using a quantitative descriptive survey design, data were collected from 212 students through multistage sampling and analysed using descriptive and inferential statistics, including correlation, Chi-square, ANOVA, and multiple regression analyses. The findings indicate that a majority of students (74.5%) exhibit a moderate level of career risk-taking behaviour (M = 116.66, SD = 20.51). Inferential results reveal no statistically significant relationship between SES and career risk-taking behaviour (r = -0.035, p &gt; 0.05), and no significant association across income groups (χ</w:t>
            </w:r>
            <w:proofErr w:type="gramStart"/>
            <w:r w:rsidR="002359E4" w:rsidRPr="00D6161F">
              <w:rPr>
                <w:rFonts w:ascii="Times New Roman" w:hAnsi="Times New Roman" w:cs="Times New Roman"/>
                <w:i/>
                <w:iCs/>
                <w:sz w:val="24"/>
                <w:szCs w:val="24"/>
              </w:rPr>
              <w:t>²(</w:t>
            </w:r>
            <w:proofErr w:type="gramEnd"/>
            <w:r w:rsidR="002359E4" w:rsidRPr="00D6161F">
              <w:rPr>
                <w:rFonts w:ascii="Times New Roman" w:hAnsi="Times New Roman" w:cs="Times New Roman"/>
                <w:i/>
                <w:iCs/>
                <w:sz w:val="24"/>
                <w:szCs w:val="24"/>
              </w:rPr>
              <w:t>6) = 2.760, p = 0.838). Further, ANOVA results show no significant group differences (</w:t>
            </w:r>
            <w:proofErr w:type="gramStart"/>
            <w:r w:rsidR="002359E4" w:rsidRPr="00D6161F">
              <w:rPr>
                <w:rFonts w:ascii="Times New Roman" w:hAnsi="Times New Roman" w:cs="Times New Roman"/>
                <w:i/>
                <w:iCs/>
                <w:sz w:val="24"/>
                <w:szCs w:val="24"/>
              </w:rPr>
              <w:t>F(</w:t>
            </w:r>
            <w:proofErr w:type="gramEnd"/>
            <w:r w:rsidR="002359E4" w:rsidRPr="00D6161F">
              <w:rPr>
                <w:rFonts w:ascii="Times New Roman" w:hAnsi="Times New Roman" w:cs="Times New Roman"/>
                <w:i/>
                <w:iCs/>
                <w:sz w:val="24"/>
                <w:szCs w:val="24"/>
              </w:rPr>
              <w:t>3,208) = 0.871, p = 0.457), while regression analysis confirms that SES and demographic variables do not significantly predict career risk-taking behaviour (R² = 0.010, p = 0.568). These findings challenge the conventional assumption of socioeconomic determinism, indicating that career risk-taking behaviour is largely independent of SES and may be influenced more by psychological and contextual factors. The study contributes empirical evidence from the Indian context and highlights the need for multidimensional approaches in career development and policy frameworks.</w:t>
            </w:r>
          </w:p>
        </w:tc>
      </w:tr>
    </w:tbl>
    <w:p w14:paraId="2C1191FF" w14:textId="77777777" w:rsidR="00C01F35" w:rsidRDefault="00C01F35" w:rsidP="00C01F35">
      <w:pPr>
        <w:pStyle w:val="NoSpacing"/>
        <w:rPr>
          <w:rFonts w:ascii="Times New Roman" w:hAnsi="Times New Roman" w:cs="Times New Roman"/>
          <w:b/>
          <w:bCs/>
          <w:sz w:val="20"/>
          <w:szCs w:val="20"/>
          <w:lang w:val="en-US"/>
        </w:rPr>
      </w:pPr>
    </w:p>
    <w:p w14:paraId="3CDE552D" w14:textId="77777777" w:rsidR="000A379B" w:rsidRPr="00C01F35" w:rsidRDefault="000A379B" w:rsidP="00C01F35">
      <w:pPr>
        <w:pStyle w:val="NoSpacing"/>
        <w:rPr>
          <w:rFonts w:ascii="Times New Roman" w:hAnsi="Times New Roman" w:cs="Times New Roman"/>
          <w:b/>
          <w:bCs/>
          <w:sz w:val="20"/>
          <w:szCs w:val="20"/>
          <w:lang w:val="en-US"/>
        </w:rPr>
      </w:pPr>
    </w:p>
    <w:tbl>
      <w:tblPr>
        <w:tblW w:w="9220" w:type="dxa"/>
        <w:tblLook w:val="04A0" w:firstRow="1" w:lastRow="0" w:firstColumn="1" w:lastColumn="0" w:noHBand="0" w:noVBand="1"/>
      </w:tblPr>
      <w:tblGrid>
        <w:gridCol w:w="1696"/>
        <w:gridCol w:w="7524"/>
      </w:tblGrid>
      <w:tr w:rsidR="00016D9A" w:rsidRPr="003F4FCB" w14:paraId="62D1240C" w14:textId="73A15DF3" w:rsidTr="00016D9A">
        <w:trPr>
          <w:trHeight w:val="183"/>
        </w:trPr>
        <w:tc>
          <w:tcPr>
            <w:tcW w:w="1696" w:type="dxa"/>
          </w:tcPr>
          <w:p w14:paraId="0A225986" w14:textId="77777777" w:rsidR="00016D9A" w:rsidRPr="003F4FCB" w:rsidRDefault="00016D9A" w:rsidP="00DB2D7D">
            <w:pPr>
              <w:spacing w:line="240" w:lineRule="auto"/>
              <w:rPr>
                <w:rFonts w:ascii="Times New Roman" w:hAnsi="Times New Roman" w:cs="Times New Roman"/>
                <w:b/>
                <w:bCs/>
                <w:sz w:val="24"/>
                <w:szCs w:val="24"/>
              </w:rPr>
            </w:pPr>
            <w:r w:rsidRPr="003F4FCB">
              <w:rPr>
                <w:rFonts w:ascii="Times New Roman" w:hAnsi="Times New Roman" w:cs="Times New Roman"/>
                <w:b/>
                <w:bCs/>
                <w:sz w:val="24"/>
                <w:szCs w:val="24"/>
              </w:rPr>
              <w:t>KEYWORDS</w:t>
            </w:r>
          </w:p>
        </w:tc>
        <w:tc>
          <w:tcPr>
            <w:tcW w:w="7524" w:type="dxa"/>
          </w:tcPr>
          <w:p w14:paraId="109E1E6E" w14:textId="136EE812" w:rsidR="00016D9A" w:rsidRPr="000A379B" w:rsidRDefault="00016D9A" w:rsidP="00016D9A">
            <w:pPr>
              <w:spacing w:before="0" w:beforeAutospacing="0" w:after="160" w:afterAutospacing="0" w:line="360" w:lineRule="auto"/>
              <w:jc w:val="left"/>
              <w:rPr>
                <w:rFonts w:ascii="Times New Roman" w:hAnsi="Times New Roman" w:cs="Times New Roman"/>
                <w:i/>
                <w:iCs/>
                <w:sz w:val="24"/>
                <w:szCs w:val="24"/>
              </w:rPr>
            </w:pPr>
            <w:r w:rsidRPr="000A379B">
              <w:rPr>
                <w:rFonts w:ascii="Times New Roman" w:hAnsi="Times New Roman" w:cs="Times New Roman"/>
                <w:i/>
                <w:iCs/>
                <w:sz w:val="24"/>
                <w:szCs w:val="24"/>
              </w:rPr>
              <w:t>Socioeconomic Status (SES), Career Risk-Taking Behaviour, Secondary School Students, Career Decision-Making, West Bengal</w:t>
            </w:r>
          </w:p>
        </w:tc>
      </w:tr>
    </w:tbl>
    <w:p w14:paraId="1CA89329" w14:textId="77777777" w:rsidR="00016D9A" w:rsidRDefault="00016D9A" w:rsidP="00016D9A">
      <w:pPr>
        <w:pStyle w:val="NoSpacing"/>
        <w:rPr>
          <w:rFonts w:ascii="Times New Roman" w:hAnsi="Times New Roman" w:cs="Times New Roman"/>
          <w:b/>
          <w:bCs/>
          <w:sz w:val="28"/>
          <w:szCs w:val="28"/>
          <w:lang w:val="en-US"/>
        </w:rPr>
      </w:pPr>
    </w:p>
    <w:p w14:paraId="0F9547C3" w14:textId="77777777" w:rsidR="003F0E6E" w:rsidRDefault="003F0E6E" w:rsidP="00016D9A">
      <w:pPr>
        <w:pStyle w:val="NoSpacing"/>
        <w:rPr>
          <w:rFonts w:ascii="Times New Roman" w:hAnsi="Times New Roman" w:cs="Times New Roman"/>
          <w:b/>
          <w:bCs/>
          <w:sz w:val="28"/>
          <w:szCs w:val="28"/>
          <w:lang w:val="en-US"/>
        </w:rPr>
      </w:pPr>
    </w:p>
    <w:p w14:paraId="6F4F8491" w14:textId="77777777" w:rsidR="00D6161F" w:rsidRDefault="00D6161F" w:rsidP="00016D9A">
      <w:pPr>
        <w:pStyle w:val="NoSpacing"/>
        <w:rPr>
          <w:rFonts w:ascii="Times New Roman" w:hAnsi="Times New Roman" w:cs="Times New Roman"/>
          <w:b/>
          <w:bCs/>
          <w:sz w:val="28"/>
          <w:szCs w:val="28"/>
          <w:lang w:val="en-US"/>
        </w:rPr>
      </w:pPr>
    </w:p>
    <w:p w14:paraId="65A3E0D1" w14:textId="77777777" w:rsidR="000A379B" w:rsidRDefault="000A379B" w:rsidP="00016D9A">
      <w:pPr>
        <w:pStyle w:val="NoSpacing"/>
        <w:rPr>
          <w:rFonts w:ascii="Times New Roman" w:hAnsi="Times New Roman" w:cs="Times New Roman"/>
          <w:b/>
          <w:bCs/>
          <w:sz w:val="28"/>
          <w:szCs w:val="28"/>
          <w:lang w:val="en-US"/>
        </w:rPr>
      </w:pPr>
    </w:p>
    <w:p w14:paraId="4E50E93B" w14:textId="77777777" w:rsidR="000A379B" w:rsidRDefault="000A379B" w:rsidP="00016D9A">
      <w:pPr>
        <w:pStyle w:val="NoSpacing"/>
        <w:rPr>
          <w:rFonts w:ascii="Times New Roman" w:hAnsi="Times New Roman" w:cs="Times New Roman"/>
          <w:b/>
          <w:bCs/>
          <w:sz w:val="28"/>
          <w:szCs w:val="28"/>
          <w:lang w:val="en-US"/>
        </w:rPr>
      </w:pPr>
    </w:p>
    <w:p w14:paraId="1DB0A177" w14:textId="053D5312" w:rsidR="00BB18AD" w:rsidRPr="00BB18AD" w:rsidRDefault="00CF222A" w:rsidP="00BB18AD">
      <w:pPr>
        <w:pStyle w:val="NoSpacing"/>
        <w:numPr>
          <w:ilvl w:val="0"/>
          <w:numId w:val="31"/>
        </w:numPr>
        <w:rPr>
          <w:rFonts w:ascii="Times New Roman" w:hAnsi="Times New Roman" w:cs="Times New Roman"/>
          <w:b/>
          <w:bCs/>
          <w:sz w:val="28"/>
          <w:szCs w:val="28"/>
          <w:lang w:val="en-US"/>
        </w:rPr>
      </w:pPr>
      <w:r w:rsidRPr="0019353F">
        <w:rPr>
          <w:rFonts w:ascii="Times New Roman" w:hAnsi="Times New Roman" w:cs="Times New Roman"/>
          <w:b/>
          <w:bCs/>
          <w:sz w:val="28"/>
          <w:szCs w:val="28"/>
          <w:lang w:val="en-US"/>
        </w:rPr>
        <w:t xml:space="preserve">Introduction </w:t>
      </w:r>
    </w:p>
    <w:p w14:paraId="1C3ED95C" w14:textId="11749109" w:rsidR="008240C9" w:rsidRPr="008240C9" w:rsidRDefault="008240C9" w:rsidP="008240C9">
      <w:pPr>
        <w:pStyle w:val="NormalWeb"/>
        <w:ind w:firstLine="720"/>
        <w:jc w:val="both"/>
      </w:pPr>
      <w:r w:rsidRPr="008240C9">
        <w:lastRenderedPageBreak/>
        <w:t xml:space="preserve">Career development during adolescence represents a critical phase in which individuals begin to formulate aspirations, evaluate opportunities, and make decisions that shape their future trajectories. Within this context, </w:t>
      </w:r>
      <w:r w:rsidRPr="008240C9">
        <w:rPr>
          <w:rStyle w:val="Emphasis"/>
        </w:rPr>
        <w:t>career risk-taking behaviour</w:t>
      </w:r>
      <w:r w:rsidRPr="008240C9">
        <w:t>—defined as the propensity to pursue uncertain or non-conventional career pathways—has gained increasing attention in contemporary career research. The evolving global labour market, characterised by technological disruption and shifting occupational demands, requires greater adaptability and risk orientation among young individuals (</w:t>
      </w:r>
      <w:hyperlink r:id="rId8" w:tgtFrame="_new" w:history="1">
        <w:r w:rsidRPr="008240C9">
          <w:rPr>
            <w:rStyle w:val="Hyperlink"/>
          </w:rPr>
          <w:t>World Economic Forum, 2020</w:t>
        </w:r>
      </w:hyperlink>
      <w:r w:rsidRPr="008240C9">
        <w:t>). Socioeconomic status (SES), typically operationalised through indicators such as family income, parental education, and occupational background, has long been regarded as a key determinant of educational and career outcomes. Empirical evidence suggests that students from higher SES backgrounds benefit from greater access to resources, career information, and social capital, facilitating more exploratory and risk-oriented career behaviours (</w:t>
      </w:r>
      <w:hyperlink r:id="rId9" w:tgtFrame="_new" w:history="1">
        <w:r w:rsidRPr="008240C9">
          <w:rPr>
            <w:rStyle w:val="Hyperlink"/>
          </w:rPr>
          <w:t>OECD, 2018</w:t>
        </w:r>
      </w:hyperlink>
      <w:r w:rsidRPr="008240C9">
        <w:t xml:space="preserve">; </w:t>
      </w:r>
      <w:hyperlink r:id="rId10" w:tgtFrame="_new" w:history="1">
        <w:r w:rsidRPr="008240C9">
          <w:rPr>
            <w:rStyle w:val="Hyperlink"/>
          </w:rPr>
          <w:t>UNESCO, 2019</w:t>
        </w:r>
      </w:hyperlink>
      <w:r w:rsidRPr="008240C9">
        <w:t>). Conversely, students from lower SES contexts are often associated with constrained opportunities and a preference for stable career choices, reflecting structural limitations (Bourdieu, 1986).</w:t>
      </w:r>
    </w:p>
    <w:p w14:paraId="39A6604E" w14:textId="106747DE" w:rsidR="008240C9" w:rsidRPr="008240C9" w:rsidRDefault="008240C9" w:rsidP="008240C9">
      <w:pPr>
        <w:pStyle w:val="NormalWeb"/>
        <w:ind w:firstLine="720"/>
        <w:jc w:val="both"/>
      </w:pPr>
      <w:r w:rsidRPr="008240C9">
        <w:t>However, recent theoretical developments challenge this deterministic perspective. Social Cognitive Career Theory emphasises the role of self-efficacy, outcome expectations, and personal goals in shaping career-related decisions (Lent, Brown, &amp; Hackett, 1994). Similarly, Bandura’s concept of self-efficacy highlights the role of individual agency in navigating career pathways beyond structural constraints (Bandura, 1997). These perspectives suggest that career risk-taking behaviour may not be solely determined by socioeconomic conditions. In addition, social and institutional factors such as parental expectations, peer influence, and educational environments significantly shape students’ career orientations (Eccles, 2009). Variables such as gender and academic stream further influence aspirations and perceived opportunities (Eccles &amp; Wigfield, 2002). Moreover, the diversification of career pathways, including entrepreneurship and interdisciplinary professions, has transformed traditional notions of career stability and risk (</w:t>
      </w:r>
      <w:hyperlink r:id="rId11" w:tgtFrame="_new" w:history="1">
        <w:r w:rsidRPr="008240C9">
          <w:rPr>
            <w:rStyle w:val="Hyperlink"/>
          </w:rPr>
          <w:t>Government of India, 2020</w:t>
        </w:r>
      </w:hyperlink>
      <w:r w:rsidRPr="008240C9">
        <w:t xml:space="preserve">; </w:t>
      </w:r>
      <w:hyperlink r:id="rId12" w:tgtFrame="_new" w:history="1">
        <w:r w:rsidRPr="008240C9">
          <w:rPr>
            <w:rStyle w:val="Hyperlink"/>
          </w:rPr>
          <w:t>NITI Aayog, 2021</w:t>
        </w:r>
      </w:hyperlink>
      <w:r w:rsidRPr="008240C9">
        <w:t xml:space="preserve">). Despite these developments, empirical research examining the relationship between socioeconomic status and career </w:t>
      </w:r>
      <w:r w:rsidR="00EB5CF8">
        <w:t>risk-taking</w:t>
      </w:r>
      <w:r w:rsidRPr="008240C9">
        <w:t xml:space="preserve"> behaviour remains limited, particularly within the Indian secondary school context. Existing studies have primarily focused on academic achievement and access to education, with limited attention to behavioural dimensions of career decision</w:t>
      </w:r>
      <w:r w:rsidR="00D546BC">
        <w:t>-</w:t>
      </w:r>
      <w:r w:rsidRPr="008240C9">
        <w:t>making (Tilak, 2002; Kingdon, 2007). This gap is especially relevant in regions such as West Bengal, where socioeconomic diversity and educational variation provide a meaningful context for investigation.</w:t>
      </w:r>
    </w:p>
    <w:p w14:paraId="505FAD7E" w14:textId="3F23EB45" w:rsidR="008240C9" w:rsidRPr="008240C9" w:rsidRDefault="008240C9" w:rsidP="008240C9">
      <w:pPr>
        <w:pStyle w:val="NormalWeb"/>
        <w:ind w:firstLine="720"/>
        <w:jc w:val="both"/>
      </w:pPr>
      <w:r w:rsidRPr="008240C9">
        <w:t>The present study addresses this gap by examining whether socioeconomic status functions as a predictor of career risk</w:t>
      </w:r>
      <w:r w:rsidR="00D546BC">
        <w:t>-</w:t>
      </w:r>
      <w:r w:rsidRPr="008240C9">
        <w:t>taking behaviour among secondary school students in West Bengal. Using a quantitative design and multiple statistical techniques—including correlation, chi</w:t>
      </w:r>
      <w:r w:rsidR="00D546BC">
        <w:t>-</w:t>
      </w:r>
      <w:r w:rsidRPr="008240C9">
        <w:t>square, ANOVA, and regression—the study provides a comprehensive analysis of both relational and predictive dimensions. The findings indicate that socioeconomic status does not have a statistically significant relationship with career risk</w:t>
      </w:r>
      <w:r w:rsidR="00D546BC">
        <w:t>-</w:t>
      </w:r>
      <w:r w:rsidRPr="008240C9">
        <w:t>taking behaviour, thereby challenging conventional assumptions of economic determinism. These findings contribute to the broader discourse by suggesting that career risk</w:t>
      </w:r>
      <w:r w:rsidR="00D546BC">
        <w:t>-</w:t>
      </w:r>
      <w:r w:rsidRPr="008240C9">
        <w:t>taking behaviour is more strongly influenced by psychological and contextual factors than by socioeconomic status alone. The study therefore underscores the need for a multidimensional approach to career guidance and educational policy, emphasising motivation, exposure, and institutional support.</w:t>
      </w:r>
    </w:p>
    <w:p w14:paraId="64519580" w14:textId="09A4CB9F" w:rsidR="000A379B" w:rsidRDefault="000A379B" w:rsidP="006040CF">
      <w:pPr>
        <w:pStyle w:val="NoSpacing"/>
        <w:numPr>
          <w:ilvl w:val="0"/>
          <w:numId w:val="31"/>
        </w:numPr>
        <w:rPr>
          <w:rFonts w:ascii="Times New Roman" w:hAnsi="Times New Roman" w:cs="Times New Roman"/>
          <w:b/>
          <w:bCs/>
          <w:sz w:val="28"/>
          <w:szCs w:val="28"/>
        </w:rPr>
      </w:pPr>
      <w:r>
        <w:rPr>
          <w:rFonts w:ascii="Times New Roman" w:hAnsi="Times New Roman" w:cs="Times New Roman"/>
          <w:b/>
          <w:bCs/>
          <w:sz w:val="28"/>
          <w:szCs w:val="28"/>
        </w:rPr>
        <w:t xml:space="preserve">Review of related literature </w:t>
      </w:r>
    </w:p>
    <w:p w14:paraId="702AD77A" w14:textId="0B68AEDB" w:rsidR="009E6AC4" w:rsidRPr="009E6AC4" w:rsidRDefault="009E6AC4" w:rsidP="009E6AC4">
      <w:pPr>
        <w:pStyle w:val="NoSpacing"/>
        <w:ind w:firstLine="720"/>
        <w:jc w:val="both"/>
        <w:rPr>
          <w:rFonts w:ascii="Times New Roman" w:hAnsi="Times New Roman" w:cs="Times New Roman"/>
          <w:sz w:val="24"/>
          <w:szCs w:val="24"/>
        </w:rPr>
      </w:pPr>
      <w:r w:rsidRPr="009E6AC4">
        <w:rPr>
          <w:rFonts w:ascii="Times New Roman" w:hAnsi="Times New Roman" w:cs="Times New Roman"/>
          <w:sz w:val="24"/>
          <w:szCs w:val="24"/>
        </w:rPr>
        <w:t xml:space="preserve">Contemporary research in career development increasingly emphasises the interaction between structural, psychological, and contextual determinants of career behaviour. </w:t>
      </w:r>
      <w:r w:rsidRPr="009E6AC4">
        <w:rPr>
          <w:rFonts w:ascii="Times New Roman" w:hAnsi="Times New Roman" w:cs="Times New Roman"/>
          <w:sz w:val="24"/>
          <w:szCs w:val="24"/>
        </w:rPr>
        <w:lastRenderedPageBreak/>
        <w:t>Socioeconomic status (SES) has traditionally been viewed as a significant predictor of educational and occupational outcomes; however, recent studies present a more nuanced understanding of its role.</w:t>
      </w:r>
    </w:p>
    <w:p w14:paraId="35B13BAC" w14:textId="76F93140" w:rsidR="009E6AC4" w:rsidRPr="009E6AC4" w:rsidRDefault="009E6AC4" w:rsidP="003D640D">
      <w:pPr>
        <w:pStyle w:val="NoSpacing"/>
        <w:ind w:firstLine="720"/>
        <w:jc w:val="both"/>
        <w:rPr>
          <w:rFonts w:ascii="Times New Roman" w:hAnsi="Times New Roman" w:cs="Times New Roman"/>
          <w:sz w:val="24"/>
          <w:szCs w:val="24"/>
        </w:rPr>
      </w:pPr>
      <w:r w:rsidRPr="009E6AC4">
        <w:rPr>
          <w:rFonts w:ascii="Times New Roman" w:hAnsi="Times New Roman" w:cs="Times New Roman"/>
          <w:sz w:val="24"/>
          <w:szCs w:val="24"/>
        </w:rPr>
        <w:t>Empirical evidence suggests that SES influences access to educational resources, career information, and social capital, thereby shaping students’ aspirations and opportunities. For instance, research highlights that students from higher socioeconomic backgrounds tend to demonstrate greater academic confidence and broader career exploration (</w:t>
      </w:r>
      <w:hyperlink r:id="rId13" w:history="1">
        <w:r w:rsidRPr="009E6AC4">
          <w:rPr>
            <w:rStyle w:val="Hyperlink"/>
            <w:rFonts w:ascii="Times New Roman" w:hAnsi="Times New Roman" w:cs="Times New Roman"/>
            <w:sz w:val="24"/>
            <w:szCs w:val="24"/>
          </w:rPr>
          <w:t>OECD, 2018</w:t>
        </w:r>
      </w:hyperlink>
      <w:r w:rsidRPr="009E6AC4">
        <w:rPr>
          <w:rFonts w:ascii="Times New Roman" w:hAnsi="Times New Roman" w:cs="Times New Roman"/>
          <w:sz w:val="24"/>
          <w:szCs w:val="24"/>
        </w:rPr>
        <w:t xml:space="preserve">; </w:t>
      </w:r>
      <w:hyperlink r:id="rId14" w:history="1">
        <w:r w:rsidRPr="009E6AC4">
          <w:rPr>
            <w:rStyle w:val="Hyperlink"/>
            <w:rFonts w:ascii="Times New Roman" w:hAnsi="Times New Roman" w:cs="Times New Roman"/>
            <w:sz w:val="24"/>
            <w:szCs w:val="24"/>
          </w:rPr>
          <w:t>OECD, 2022</w:t>
        </w:r>
      </w:hyperlink>
      <w:r w:rsidRPr="009E6AC4">
        <w:rPr>
          <w:rFonts w:ascii="Times New Roman" w:hAnsi="Times New Roman" w:cs="Times New Roman"/>
          <w:sz w:val="24"/>
          <w:szCs w:val="24"/>
        </w:rPr>
        <w:t>). Similarly, global reports indicate that socioeconomic disparities continue to affect educational participation and career readiness (</w:t>
      </w:r>
      <w:hyperlink r:id="rId15" w:history="1">
        <w:r w:rsidRPr="009E6AC4">
          <w:rPr>
            <w:rStyle w:val="Hyperlink"/>
            <w:rFonts w:ascii="Times New Roman" w:hAnsi="Times New Roman" w:cs="Times New Roman"/>
            <w:sz w:val="24"/>
            <w:szCs w:val="24"/>
          </w:rPr>
          <w:t>UNESCO, 2019</w:t>
        </w:r>
      </w:hyperlink>
      <w:r w:rsidRPr="009E6AC4">
        <w:rPr>
          <w:rFonts w:ascii="Times New Roman" w:hAnsi="Times New Roman" w:cs="Times New Roman"/>
          <w:sz w:val="24"/>
          <w:szCs w:val="24"/>
        </w:rPr>
        <w:t xml:space="preserve">; </w:t>
      </w:r>
      <w:hyperlink r:id="rId16" w:history="1">
        <w:r w:rsidRPr="009E6AC4">
          <w:rPr>
            <w:rStyle w:val="Hyperlink"/>
            <w:rFonts w:ascii="Times New Roman" w:hAnsi="Times New Roman" w:cs="Times New Roman"/>
            <w:sz w:val="24"/>
            <w:szCs w:val="24"/>
          </w:rPr>
          <w:t>UNESCO, 2023</w:t>
        </w:r>
      </w:hyperlink>
      <w:r w:rsidRPr="009E6AC4">
        <w:rPr>
          <w:rFonts w:ascii="Times New Roman" w:hAnsi="Times New Roman" w:cs="Times New Roman"/>
          <w:sz w:val="24"/>
          <w:szCs w:val="24"/>
        </w:rPr>
        <w:t>).</w:t>
      </w:r>
      <w:r w:rsidR="003D640D">
        <w:rPr>
          <w:rFonts w:ascii="Times New Roman" w:hAnsi="Times New Roman" w:cs="Times New Roman"/>
          <w:sz w:val="24"/>
          <w:szCs w:val="24"/>
        </w:rPr>
        <w:t xml:space="preserve"> </w:t>
      </w:r>
      <w:r w:rsidRPr="009E6AC4">
        <w:rPr>
          <w:rFonts w:ascii="Times New Roman" w:hAnsi="Times New Roman" w:cs="Times New Roman"/>
          <w:sz w:val="24"/>
          <w:szCs w:val="24"/>
        </w:rPr>
        <w:t>Despite this, recent theoretical and empirical advancements challenge the deterministic role of SES. Social Cognitive Career Theory posits that career behaviour is significantly shaped by self</w:t>
      </w:r>
      <w:r w:rsidR="00D546BC">
        <w:rPr>
          <w:rFonts w:ascii="Times New Roman" w:hAnsi="Times New Roman" w:cs="Times New Roman"/>
          <w:sz w:val="24"/>
          <w:szCs w:val="24"/>
        </w:rPr>
        <w:t>-</w:t>
      </w:r>
      <w:r w:rsidRPr="009E6AC4">
        <w:rPr>
          <w:rFonts w:ascii="Times New Roman" w:hAnsi="Times New Roman" w:cs="Times New Roman"/>
          <w:sz w:val="24"/>
          <w:szCs w:val="24"/>
        </w:rPr>
        <w:t>efficacy, outcome expectations, and personal goals rather than solely by structural factors (</w:t>
      </w:r>
      <w:hyperlink r:id="rId17" w:history="1">
        <w:r w:rsidRPr="009E6AC4">
          <w:rPr>
            <w:rStyle w:val="Hyperlink"/>
            <w:rFonts w:ascii="Times New Roman" w:hAnsi="Times New Roman" w:cs="Times New Roman"/>
            <w:sz w:val="24"/>
            <w:szCs w:val="24"/>
          </w:rPr>
          <w:t>Lent et al., 2017</w:t>
        </w:r>
      </w:hyperlink>
      <w:r w:rsidRPr="009E6AC4">
        <w:rPr>
          <w:rFonts w:ascii="Times New Roman" w:hAnsi="Times New Roman" w:cs="Times New Roman"/>
          <w:sz w:val="24"/>
          <w:szCs w:val="24"/>
        </w:rPr>
        <w:t xml:space="preserve">; </w:t>
      </w:r>
      <w:hyperlink r:id="rId18" w:history="1">
        <w:r w:rsidRPr="009E6AC4">
          <w:rPr>
            <w:rStyle w:val="Hyperlink"/>
            <w:rFonts w:ascii="Times New Roman" w:hAnsi="Times New Roman" w:cs="Times New Roman"/>
            <w:sz w:val="24"/>
            <w:szCs w:val="24"/>
          </w:rPr>
          <w:t>Lent &amp; Brown, 2021</w:t>
        </w:r>
      </w:hyperlink>
      <w:r w:rsidRPr="009E6AC4">
        <w:rPr>
          <w:rFonts w:ascii="Times New Roman" w:hAnsi="Times New Roman" w:cs="Times New Roman"/>
          <w:sz w:val="24"/>
          <w:szCs w:val="24"/>
        </w:rPr>
        <w:t>). These findings suggest that individuals can exercise agency in career decision</w:t>
      </w:r>
      <w:r w:rsidR="00D546BC">
        <w:rPr>
          <w:rFonts w:ascii="Times New Roman" w:hAnsi="Times New Roman" w:cs="Times New Roman"/>
          <w:sz w:val="24"/>
          <w:szCs w:val="24"/>
        </w:rPr>
        <w:t>-</w:t>
      </w:r>
      <w:r w:rsidRPr="009E6AC4">
        <w:rPr>
          <w:rFonts w:ascii="Times New Roman" w:hAnsi="Times New Roman" w:cs="Times New Roman"/>
          <w:sz w:val="24"/>
          <w:szCs w:val="24"/>
        </w:rPr>
        <w:t>making, thereby reducing the direct influence of socioeconomic constraints.</w:t>
      </w:r>
    </w:p>
    <w:p w14:paraId="2F2626AE" w14:textId="3AF9B146" w:rsidR="003D640D" w:rsidRDefault="009E6AC4" w:rsidP="003D640D">
      <w:pPr>
        <w:pStyle w:val="NoSpacing"/>
        <w:ind w:firstLine="720"/>
        <w:jc w:val="both"/>
        <w:rPr>
          <w:rFonts w:ascii="Times New Roman" w:hAnsi="Times New Roman" w:cs="Times New Roman"/>
          <w:sz w:val="24"/>
          <w:szCs w:val="24"/>
        </w:rPr>
      </w:pPr>
      <w:r w:rsidRPr="009E6AC4">
        <w:rPr>
          <w:rFonts w:ascii="Times New Roman" w:hAnsi="Times New Roman" w:cs="Times New Roman"/>
          <w:sz w:val="24"/>
          <w:szCs w:val="24"/>
        </w:rPr>
        <w:t xml:space="preserve">In the Indian context, recent policy and research developments indicate a shift toward diversified career pathways. The implementation of the </w:t>
      </w:r>
      <w:hyperlink r:id="rId19" w:history="1">
        <w:r w:rsidRPr="009E6AC4">
          <w:rPr>
            <w:rStyle w:val="Hyperlink"/>
            <w:rFonts w:ascii="Times New Roman" w:hAnsi="Times New Roman" w:cs="Times New Roman"/>
            <w:sz w:val="24"/>
            <w:szCs w:val="24"/>
          </w:rPr>
          <w:t>National Education Policy 2020</w:t>
        </w:r>
      </w:hyperlink>
      <w:r w:rsidRPr="009E6AC4">
        <w:rPr>
          <w:rFonts w:ascii="Times New Roman" w:hAnsi="Times New Roman" w:cs="Times New Roman"/>
          <w:sz w:val="24"/>
          <w:szCs w:val="24"/>
        </w:rPr>
        <w:t xml:space="preserve"> emphasises flexibility, skill development, and interdisciplinary learning, thereby redefining traditional career trajectories. Similarly, national</w:t>
      </w:r>
      <w:r w:rsidR="00D546BC">
        <w:rPr>
          <w:rFonts w:ascii="Times New Roman" w:hAnsi="Times New Roman" w:cs="Times New Roman"/>
          <w:sz w:val="24"/>
          <w:szCs w:val="24"/>
        </w:rPr>
        <w:t>-</w:t>
      </w:r>
      <w:r w:rsidRPr="009E6AC4">
        <w:rPr>
          <w:rFonts w:ascii="Times New Roman" w:hAnsi="Times New Roman" w:cs="Times New Roman"/>
          <w:sz w:val="24"/>
          <w:szCs w:val="24"/>
        </w:rPr>
        <w:t>level reports highlight the growing importance of innovation, entrepreneurship, and emerging occupations in shaping youth career behaviour (</w:t>
      </w:r>
      <w:hyperlink r:id="rId20" w:history="1">
        <w:r w:rsidRPr="009E6AC4">
          <w:rPr>
            <w:rStyle w:val="Hyperlink"/>
            <w:rFonts w:ascii="Times New Roman" w:hAnsi="Times New Roman" w:cs="Times New Roman"/>
            <w:sz w:val="24"/>
            <w:szCs w:val="24"/>
          </w:rPr>
          <w:t>NITI Aayog, 2021</w:t>
        </w:r>
      </w:hyperlink>
      <w:r w:rsidRPr="009E6AC4">
        <w:rPr>
          <w:rFonts w:ascii="Times New Roman" w:hAnsi="Times New Roman" w:cs="Times New Roman"/>
          <w:sz w:val="24"/>
          <w:szCs w:val="24"/>
        </w:rPr>
        <w:t>).</w:t>
      </w:r>
      <w:r w:rsidR="003D640D">
        <w:rPr>
          <w:rFonts w:ascii="Times New Roman" w:hAnsi="Times New Roman" w:cs="Times New Roman"/>
          <w:sz w:val="24"/>
          <w:szCs w:val="24"/>
        </w:rPr>
        <w:t xml:space="preserve"> </w:t>
      </w:r>
    </w:p>
    <w:p w14:paraId="373EEFDB" w14:textId="1521076A" w:rsidR="009E6AC4" w:rsidRPr="009E6AC4" w:rsidRDefault="009E6AC4" w:rsidP="003D640D">
      <w:pPr>
        <w:pStyle w:val="NoSpacing"/>
        <w:ind w:firstLine="720"/>
        <w:jc w:val="both"/>
        <w:rPr>
          <w:rFonts w:ascii="Times New Roman" w:hAnsi="Times New Roman" w:cs="Times New Roman"/>
          <w:sz w:val="24"/>
          <w:szCs w:val="24"/>
        </w:rPr>
      </w:pPr>
      <w:r w:rsidRPr="009E6AC4">
        <w:rPr>
          <w:rFonts w:ascii="Times New Roman" w:hAnsi="Times New Roman" w:cs="Times New Roman"/>
          <w:sz w:val="24"/>
          <w:szCs w:val="24"/>
        </w:rPr>
        <w:t>Further research underscores the importance of psychological and contextual variables in influencing career risk-taking behaviour. Studies building on Bandura’s framework demonstrate that self-efficacy plays a crucial role in determining individuals’ willingness to engage in uncertain career pathways (</w:t>
      </w:r>
      <w:hyperlink r:id="rId21" w:history="1">
        <w:r w:rsidRPr="009E6AC4">
          <w:rPr>
            <w:rStyle w:val="Hyperlink"/>
            <w:rFonts w:ascii="Times New Roman" w:hAnsi="Times New Roman" w:cs="Times New Roman"/>
            <w:sz w:val="24"/>
            <w:szCs w:val="24"/>
          </w:rPr>
          <w:t>Bandura, 2012</w:t>
        </w:r>
      </w:hyperlink>
      <w:r w:rsidRPr="009E6AC4">
        <w:rPr>
          <w:rFonts w:ascii="Times New Roman" w:hAnsi="Times New Roman" w:cs="Times New Roman"/>
          <w:sz w:val="24"/>
          <w:szCs w:val="24"/>
        </w:rPr>
        <w:t>). Additionally, expectancy-value models suggest that students’ aspirations are shaped by motivational beliefs, parental expectations, and social environments (</w:t>
      </w:r>
      <w:hyperlink r:id="rId22" w:history="1">
        <w:r w:rsidRPr="009E6AC4">
          <w:rPr>
            <w:rStyle w:val="Hyperlink"/>
            <w:rFonts w:ascii="Times New Roman" w:hAnsi="Times New Roman" w:cs="Times New Roman"/>
            <w:sz w:val="24"/>
            <w:szCs w:val="24"/>
          </w:rPr>
          <w:t>Eccles &amp; Wigfield, 2020</w:t>
        </w:r>
      </w:hyperlink>
      <w:r w:rsidRPr="009E6AC4">
        <w:rPr>
          <w:rFonts w:ascii="Times New Roman" w:hAnsi="Times New Roman" w:cs="Times New Roman"/>
          <w:sz w:val="24"/>
          <w:szCs w:val="24"/>
        </w:rPr>
        <w:t>).</w:t>
      </w:r>
    </w:p>
    <w:p w14:paraId="048468F9" w14:textId="77777777" w:rsidR="009E6AC4" w:rsidRPr="009E6AC4" w:rsidRDefault="009E6AC4" w:rsidP="003D640D">
      <w:pPr>
        <w:pStyle w:val="NoSpacing"/>
        <w:ind w:firstLine="720"/>
        <w:jc w:val="both"/>
        <w:rPr>
          <w:rFonts w:ascii="Times New Roman" w:hAnsi="Times New Roman" w:cs="Times New Roman"/>
          <w:sz w:val="24"/>
          <w:szCs w:val="24"/>
        </w:rPr>
      </w:pPr>
      <w:r w:rsidRPr="009E6AC4">
        <w:rPr>
          <w:rFonts w:ascii="Times New Roman" w:hAnsi="Times New Roman" w:cs="Times New Roman"/>
          <w:sz w:val="24"/>
          <w:szCs w:val="24"/>
        </w:rPr>
        <w:t>Recent empirical studies (2018–2024) indicate that adolescents tend to exhibit moderate levels of career risk-taking behaviour, reflecting a balance between aspiration and security. These behaviours are often influenced by exposure to career information, institutional support, and peer interactions rather than purely by socioeconomic background.</w:t>
      </w:r>
    </w:p>
    <w:p w14:paraId="66BBC5B6" w14:textId="77777777" w:rsidR="009E6AC4" w:rsidRPr="009E6AC4" w:rsidRDefault="009E6AC4" w:rsidP="009E6AC4">
      <w:pPr>
        <w:pStyle w:val="NoSpacing"/>
        <w:jc w:val="both"/>
        <w:rPr>
          <w:rFonts w:ascii="Times New Roman" w:hAnsi="Times New Roman" w:cs="Times New Roman"/>
          <w:sz w:val="24"/>
          <w:szCs w:val="24"/>
        </w:rPr>
      </w:pPr>
      <w:r w:rsidRPr="009E6AC4">
        <w:rPr>
          <w:rFonts w:ascii="Times New Roman" w:hAnsi="Times New Roman" w:cs="Times New Roman"/>
          <w:sz w:val="24"/>
          <w:szCs w:val="24"/>
        </w:rPr>
        <w:t>Moreover, global labour market transformations have reinforced the importance of adaptability and risk orientation. Reports highlight that future employment landscapes will require individuals to navigate uncertainty, innovation, and continuous skill development (</w:t>
      </w:r>
      <w:hyperlink r:id="rId23" w:history="1">
        <w:r w:rsidRPr="009E6AC4">
          <w:rPr>
            <w:rStyle w:val="Hyperlink"/>
            <w:rFonts w:ascii="Times New Roman" w:hAnsi="Times New Roman" w:cs="Times New Roman"/>
            <w:sz w:val="24"/>
            <w:szCs w:val="24"/>
          </w:rPr>
          <w:t>World Economic Forum, 2020</w:t>
        </w:r>
      </w:hyperlink>
      <w:r w:rsidRPr="009E6AC4">
        <w:rPr>
          <w:rFonts w:ascii="Times New Roman" w:hAnsi="Times New Roman" w:cs="Times New Roman"/>
          <w:sz w:val="24"/>
          <w:szCs w:val="24"/>
        </w:rPr>
        <w:t xml:space="preserve">; </w:t>
      </w:r>
      <w:hyperlink r:id="rId24" w:history="1">
        <w:r w:rsidRPr="009E6AC4">
          <w:rPr>
            <w:rStyle w:val="Hyperlink"/>
            <w:rFonts w:ascii="Times New Roman" w:hAnsi="Times New Roman" w:cs="Times New Roman"/>
            <w:sz w:val="24"/>
            <w:szCs w:val="24"/>
          </w:rPr>
          <w:t>World Economic Forum, 2023</w:t>
        </w:r>
      </w:hyperlink>
      <w:r w:rsidRPr="009E6AC4">
        <w:rPr>
          <w:rFonts w:ascii="Times New Roman" w:hAnsi="Times New Roman" w:cs="Times New Roman"/>
          <w:sz w:val="24"/>
          <w:szCs w:val="24"/>
        </w:rPr>
        <w:t>).</w:t>
      </w:r>
    </w:p>
    <w:p w14:paraId="13D2AD68" w14:textId="2AFA907A" w:rsidR="000A379B" w:rsidRPr="009E6AC4" w:rsidRDefault="009E6AC4" w:rsidP="003D640D">
      <w:pPr>
        <w:pStyle w:val="NoSpacing"/>
        <w:ind w:firstLine="720"/>
        <w:jc w:val="both"/>
        <w:rPr>
          <w:rFonts w:ascii="Times New Roman" w:hAnsi="Times New Roman" w:cs="Times New Roman"/>
          <w:sz w:val="24"/>
          <w:szCs w:val="24"/>
        </w:rPr>
      </w:pPr>
      <w:r w:rsidRPr="009E6AC4">
        <w:rPr>
          <w:rFonts w:ascii="Times New Roman" w:hAnsi="Times New Roman" w:cs="Times New Roman"/>
          <w:sz w:val="24"/>
          <w:szCs w:val="24"/>
        </w:rPr>
        <w:t>However, despite these developments, there remains a significant gap in the literature concerning the direct relationship between socioeconomic status and career risk-taking behaviour, particularly within the Indian secondary school context. Existing research has largely focused on academic achievement and access to education, with limited attention to behavioural dimensions of career decision-making.</w:t>
      </w:r>
      <w:r w:rsidR="003D640D">
        <w:rPr>
          <w:rFonts w:ascii="Times New Roman" w:hAnsi="Times New Roman" w:cs="Times New Roman"/>
          <w:sz w:val="24"/>
          <w:szCs w:val="24"/>
        </w:rPr>
        <w:t xml:space="preserve"> </w:t>
      </w:r>
      <w:r w:rsidRPr="009E6AC4">
        <w:rPr>
          <w:rFonts w:ascii="Times New Roman" w:hAnsi="Times New Roman" w:cs="Times New Roman"/>
          <w:sz w:val="24"/>
          <w:szCs w:val="24"/>
        </w:rPr>
        <w:t>Therefore, the present study addresses this gap by examining whether socioeconomic status functions as a predictor of career risk-taking behaviour among secondary school students in West Bengal. By integrating multiple statistical techniques and focusing on behavioural outcomes, the study contributes to the existing literature and provides context-specific insights relevant to both theory and practice.</w:t>
      </w:r>
    </w:p>
    <w:p w14:paraId="53FA13C9" w14:textId="77777777" w:rsidR="000A379B" w:rsidRDefault="000A379B" w:rsidP="000A379B">
      <w:pPr>
        <w:pStyle w:val="NoSpacing"/>
        <w:ind w:left="360"/>
        <w:rPr>
          <w:rFonts w:ascii="Times New Roman" w:hAnsi="Times New Roman" w:cs="Times New Roman"/>
          <w:b/>
          <w:bCs/>
          <w:sz w:val="28"/>
          <w:szCs w:val="28"/>
        </w:rPr>
      </w:pPr>
    </w:p>
    <w:p w14:paraId="5672F1C9" w14:textId="675C8B1C" w:rsidR="00CC4282" w:rsidRDefault="00D724DB" w:rsidP="006040CF">
      <w:pPr>
        <w:pStyle w:val="NoSpacing"/>
        <w:numPr>
          <w:ilvl w:val="0"/>
          <w:numId w:val="31"/>
        </w:numPr>
        <w:rPr>
          <w:rFonts w:ascii="Times New Roman" w:hAnsi="Times New Roman" w:cs="Times New Roman"/>
          <w:b/>
          <w:bCs/>
          <w:sz w:val="28"/>
          <w:szCs w:val="28"/>
        </w:rPr>
      </w:pPr>
      <w:r w:rsidRPr="0019353F">
        <w:rPr>
          <w:rFonts w:ascii="Times New Roman" w:hAnsi="Times New Roman" w:cs="Times New Roman"/>
          <w:b/>
          <w:bCs/>
          <w:sz w:val="28"/>
          <w:szCs w:val="28"/>
        </w:rPr>
        <w:t>Rationale of the study</w:t>
      </w:r>
    </w:p>
    <w:p w14:paraId="11DD70D4" w14:textId="03FD92EF" w:rsidR="00EB5CF8" w:rsidRDefault="00EB5CF8" w:rsidP="00EB5CF8">
      <w:pPr>
        <w:pStyle w:val="NormalWeb"/>
        <w:ind w:firstLine="720"/>
        <w:jc w:val="both"/>
      </w:pPr>
      <w:r>
        <w:t xml:space="preserve">Career risk-taking behaviour represents a critical yet underexplored dimension of adolescent career development, particularly within rapidly transforming socio-economic and labour market contexts. While socioeconomic status (SES) has traditionally been conceptualised as a key structural determinant influencing educational and career outcomes, </w:t>
      </w:r>
      <w:r>
        <w:lastRenderedPageBreak/>
        <w:t>its role in shaping behavioural orientations—such as the willingness to engage in uncertain or non-conventional career pathways—remains theoretically ambiguous and empirically under-investigated. Existing literature tends to emphasise the influence of SES on access, opportunity, and academic achievement, with comparatively limited attention to behavioural constructs such as career risk-taking. This gap is particularly evident within the Indian secondary education context, where socio-economic diversity coexists with evolving career landscapes. Moreover, concerns raised regarding conceptual clarity necessitate a more precise operationalisation of career risk-taking behaviour as a measurable construct within career development research.</w:t>
      </w:r>
    </w:p>
    <w:p w14:paraId="16E59C98" w14:textId="05C4DB94" w:rsidR="00EB5CF8" w:rsidRDefault="00EB5CF8" w:rsidP="00EB5CF8">
      <w:pPr>
        <w:pStyle w:val="NormalWeb"/>
        <w:ind w:firstLine="720"/>
        <w:jc w:val="both"/>
      </w:pPr>
      <w:r>
        <w:t xml:space="preserve">In response to these limitations, the present study is designed to systematically examine the predictive role of SES in relation to career risk-taking behaviour among secondary school students in West Bengal. The study explicitly integrates demographic variables and employs multiple statistical techniques—including correlation, chi-square, ANOVA, and regression—to ensure methodological robustness and analytical depth. This multi-analytical approach enables a comprehensive evaluation of both relational and predictive dimensions, addressing prior concerns regarding insufficient analytical </w:t>
      </w:r>
      <w:proofErr w:type="spellStart"/>
      <w:proofErr w:type="gramStart"/>
      <w:r>
        <w:t>justification.Furthermore</w:t>
      </w:r>
      <w:proofErr w:type="spellEnd"/>
      <w:proofErr w:type="gramEnd"/>
      <w:r>
        <w:t>, the study contributes to the theoretical discourse by critically examining the assumption of socioeconomic determinism in career development. By empirically investigating whether SES significantly influences career risk-taking behaviour, the research provides evidence that may either reinforce or challenge prevailing theoretical frameworks. Overall, the study offers a conceptually grounded and methodologically rigorous contribution to the field by clarifying the relationship between socioeconomic status and career risk-taking behaviour. The findings have significant implications for career guidance practices, educational planning, and policy formulation, particularly in contexts characterised by socio-economic heterogeneity and increasing diversification of career pathways.</w:t>
      </w:r>
    </w:p>
    <w:p w14:paraId="68F955BC" w14:textId="5C069022" w:rsidR="00CC4282" w:rsidRDefault="00396DF8" w:rsidP="006040CF">
      <w:pPr>
        <w:pStyle w:val="NoSpacing"/>
        <w:numPr>
          <w:ilvl w:val="0"/>
          <w:numId w:val="31"/>
        </w:numPr>
        <w:rPr>
          <w:rFonts w:ascii="Times New Roman" w:hAnsi="Times New Roman" w:cs="Times New Roman"/>
          <w:b/>
          <w:bCs/>
          <w:sz w:val="28"/>
          <w:szCs w:val="28"/>
          <w:lang w:val="en-US"/>
        </w:rPr>
      </w:pPr>
      <w:r w:rsidRPr="0019353F">
        <w:rPr>
          <w:rFonts w:ascii="Times New Roman" w:hAnsi="Times New Roman" w:cs="Times New Roman"/>
          <w:b/>
          <w:bCs/>
          <w:sz w:val="28"/>
          <w:szCs w:val="28"/>
          <w:lang w:val="en-US"/>
        </w:rPr>
        <w:t>Research Objectives</w:t>
      </w:r>
    </w:p>
    <w:p w14:paraId="7C7E794E" w14:textId="77777777" w:rsidR="00AB2590" w:rsidRPr="0019353F" w:rsidRDefault="00AB2590" w:rsidP="00AB2590">
      <w:pPr>
        <w:pStyle w:val="NoSpacing"/>
        <w:ind w:left="360"/>
        <w:rPr>
          <w:rFonts w:ascii="Times New Roman" w:hAnsi="Times New Roman" w:cs="Times New Roman"/>
          <w:b/>
          <w:bCs/>
          <w:sz w:val="28"/>
          <w:szCs w:val="28"/>
          <w:lang w:val="en-US"/>
        </w:rPr>
      </w:pPr>
    </w:p>
    <w:p w14:paraId="0CFA22E1" w14:textId="565397A3"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assess the levels of career risk-taking behaviour among secondary school students. </w:t>
      </w:r>
    </w:p>
    <w:p w14:paraId="7318C42A" w14:textId="7FB4A4F7"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w:t>
      </w:r>
      <w:r>
        <w:rPr>
          <w:rFonts w:ascii="Times New Roman" w:hAnsi="Times New Roman" w:cs="Times New Roman"/>
          <w:sz w:val="24"/>
          <w:szCs w:val="24"/>
          <w:lang w:eastAsia="en-IN" w:bidi="bn-IN"/>
        </w:rPr>
        <w:t>analyse</w:t>
      </w:r>
      <w:r w:rsidRPr="00AB2590">
        <w:rPr>
          <w:rFonts w:ascii="Times New Roman" w:hAnsi="Times New Roman" w:cs="Times New Roman"/>
          <w:sz w:val="24"/>
          <w:szCs w:val="24"/>
          <w:lang w:eastAsia="en-IN" w:bidi="bn-IN"/>
        </w:rPr>
        <w:t xml:space="preserve"> the distribution of students based on demographic variables such as gender, academic stream, type of school, and monthly family income. </w:t>
      </w:r>
    </w:p>
    <w:p w14:paraId="2D103597" w14:textId="10C27848"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determine the association between socioeconomic status and levels of career risk-taking behaviour. </w:t>
      </w:r>
    </w:p>
    <w:p w14:paraId="61E4AAD5" w14:textId="0F8D0B5F"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compare career risk-taking behaviour across different socioeconomic (income) groups. </w:t>
      </w:r>
    </w:p>
    <w:p w14:paraId="1C7AAA70" w14:textId="30F9EB3E"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examine the influence of demographic variables (gender, type of school, and academic stream) on career risk-taking behaviour. </w:t>
      </w:r>
    </w:p>
    <w:p w14:paraId="28E9443C" w14:textId="24FFE596"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w:t>
      </w:r>
      <w:r w:rsidR="00C2570C">
        <w:rPr>
          <w:rFonts w:ascii="Times New Roman" w:hAnsi="Times New Roman" w:cs="Times New Roman"/>
          <w:sz w:val="24"/>
          <w:szCs w:val="24"/>
          <w:lang w:eastAsia="en-IN" w:bidi="bn-IN"/>
        </w:rPr>
        <w:t>analyse</w:t>
      </w:r>
      <w:r w:rsidRPr="00AB2590">
        <w:rPr>
          <w:rFonts w:ascii="Times New Roman" w:hAnsi="Times New Roman" w:cs="Times New Roman"/>
          <w:sz w:val="24"/>
          <w:szCs w:val="24"/>
          <w:lang w:eastAsia="en-IN" w:bidi="bn-IN"/>
        </w:rPr>
        <w:t xml:space="preserve"> the predictive role of socioeconomic status and demographic variables on career risk-taking behaviour. </w:t>
      </w:r>
    </w:p>
    <w:p w14:paraId="02E52E2D" w14:textId="05844BFD" w:rsidR="00B125DB" w:rsidRPr="00AB2590" w:rsidRDefault="00AB2590" w:rsidP="00AB2590">
      <w:pPr>
        <w:pStyle w:val="NoSpacing"/>
        <w:numPr>
          <w:ilvl w:val="0"/>
          <w:numId w:val="39"/>
        </w:numPr>
        <w:jc w:val="both"/>
        <w:rPr>
          <w:rFonts w:ascii="Times New Roman" w:hAnsi="Times New Roman" w:cs="Times New Roman"/>
          <w:b/>
          <w:bCs/>
          <w:sz w:val="24"/>
          <w:szCs w:val="24"/>
          <w:lang w:val="en-US"/>
        </w:rPr>
      </w:pPr>
      <w:r w:rsidRPr="00AB2590">
        <w:rPr>
          <w:rFonts w:ascii="Times New Roman" w:hAnsi="Times New Roman" w:cs="Times New Roman"/>
          <w:sz w:val="24"/>
          <w:szCs w:val="24"/>
          <w:lang w:eastAsia="en-IN" w:bidi="bn-IN"/>
        </w:rPr>
        <w:t>To assess the accuracy and explanatory power of the regression model in predicting career risk-taking behaviour.</w:t>
      </w:r>
    </w:p>
    <w:p w14:paraId="684654C9" w14:textId="77777777" w:rsidR="00AB2590" w:rsidRPr="006951D7" w:rsidRDefault="00AB2590" w:rsidP="00AB2590">
      <w:pPr>
        <w:pStyle w:val="NoSpacing"/>
        <w:ind w:left="720"/>
        <w:rPr>
          <w:rFonts w:ascii="Times New Roman" w:hAnsi="Times New Roman" w:cs="Times New Roman"/>
          <w:b/>
          <w:bCs/>
          <w:sz w:val="24"/>
          <w:szCs w:val="24"/>
          <w:lang w:val="en-US"/>
        </w:rPr>
      </w:pPr>
    </w:p>
    <w:p w14:paraId="7C8702AF" w14:textId="68EF269D" w:rsidR="00CC4282" w:rsidRPr="0019353F" w:rsidRDefault="00396DF8" w:rsidP="006040CF">
      <w:pPr>
        <w:pStyle w:val="NoSpacing"/>
        <w:numPr>
          <w:ilvl w:val="0"/>
          <w:numId w:val="31"/>
        </w:numPr>
        <w:rPr>
          <w:rFonts w:ascii="Times New Roman" w:hAnsi="Times New Roman" w:cs="Times New Roman"/>
          <w:b/>
          <w:bCs/>
          <w:sz w:val="28"/>
          <w:szCs w:val="28"/>
          <w:lang w:val="en-US"/>
        </w:rPr>
      </w:pPr>
      <w:r w:rsidRPr="0019353F">
        <w:rPr>
          <w:rFonts w:ascii="Times New Roman" w:hAnsi="Times New Roman" w:cs="Times New Roman"/>
          <w:b/>
          <w:bCs/>
          <w:sz w:val="28"/>
          <w:szCs w:val="28"/>
          <w:lang w:val="en-US"/>
        </w:rPr>
        <w:t>Methodology</w:t>
      </w:r>
      <w:r w:rsidR="0009499B" w:rsidRPr="0019353F">
        <w:rPr>
          <w:rFonts w:ascii="Times New Roman" w:hAnsi="Times New Roman" w:cs="Times New Roman"/>
          <w:b/>
          <w:bCs/>
          <w:sz w:val="28"/>
          <w:szCs w:val="28"/>
          <w:lang w:val="en-US"/>
        </w:rPr>
        <w:t xml:space="preserve"> of the Study</w:t>
      </w:r>
    </w:p>
    <w:p w14:paraId="1F2038DF" w14:textId="77777777" w:rsidR="00B125DB" w:rsidRDefault="00B125DB" w:rsidP="00B125DB">
      <w:pPr>
        <w:pStyle w:val="NoSpacing"/>
        <w:ind w:left="360"/>
        <w:rPr>
          <w:rFonts w:ascii="Times New Roman" w:hAnsi="Times New Roman" w:cs="Times New Roman"/>
          <w:b/>
          <w:bCs/>
          <w:sz w:val="24"/>
          <w:szCs w:val="24"/>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956"/>
      </w:tblGrid>
      <w:tr w:rsidR="005B6323" w14:paraId="2A25A4BE" w14:textId="77777777" w:rsidTr="001B19BD">
        <w:tc>
          <w:tcPr>
            <w:tcW w:w="1483" w:type="dxa"/>
            <w:tcBorders>
              <w:bottom w:val="single" w:sz="4" w:space="0" w:color="auto"/>
            </w:tcBorders>
          </w:tcPr>
          <w:p w14:paraId="0D6FA0F5" w14:textId="78CC527A" w:rsidR="005B6323" w:rsidRPr="001B19BD" w:rsidRDefault="00E7291A"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t>Method</w:t>
            </w:r>
          </w:p>
        </w:tc>
        <w:tc>
          <w:tcPr>
            <w:tcW w:w="7173" w:type="dxa"/>
            <w:tcBorders>
              <w:bottom w:val="single" w:sz="4" w:space="0" w:color="auto"/>
            </w:tcBorders>
          </w:tcPr>
          <w:p w14:paraId="0E7E9BA4" w14:textId="1889AC81" w:rsidR="005B6323" w:rsidRPr="00F1393F" w:rsidRDefault="00BD3642" w:rsidP="0086235D">
            <w:pPr>
              <w:pStyle w:val="NoSpacing"/>
              <w:jc w:val="both"/>
              <w:rPr>
                <w:rFonts w:ascii="Times New Roman" w:hAnsi="Times New Roman" w:cs="Times New Roman"/>
                <w:sz w:val="24"/>
                <w:szCs w:val="24"/>
                <w:lang w:val="en-US"/>
              </w:rPr>
            </w:pPr>
            <w:r w:rsidRPr="00F1393F">
              <w:rPr>
                <w:rFonts w:ascii="Times New Roman" w:hAnsi="Times New Roman" w:cs="Times New Roman"/>
                <w:sz w:val="24"/>
                <w:szCs w:val="24"/>
                <w:lang w:val="en-US"/>
              </w:rPr>
              <w:t xml:space="preserve">The method used in the present study is </w:t>
            </w:r>
            <w:r w:rsidR="00F1393F" w:rsidRPr="00F1393F">
              <w:rPr>
                <w:rFonts w:ascii="Times New Roman" w:hAnsi="Times New Roman" w:cs="Times New Roman"/>
                <w:sz w:val="24"/>
                <w:szCs w:val="24"/>
                <w:lang w:val="en-US"/>
              </w:rPr>
              <w:t xml:space="preserve">a </w:t>
            </w:r>
            <w:r w:rsidRPr="00F1393F">
              <w:rPr>
                <w:rFonts w:ascii="Times New Roman" w:hAnsi="Times New Roman" w:cs="Times New Roman"/>
                <w:sz w:val="24"/>
                <w:szCs w:val="24"/>
                <w:lang w:val="en-US"/>
              </w:rPr>
              <w:t xml:space="preserve">descriptive survey method </w:t>
            </w:r>
            <w:r w:rsidR="00F1393F" w:rsidRPr="00F1393F">
              <w:rPr>
                <w:rFonts w:ascii="Times New Roman" w:hAnsi="Times New Roman" w:cs="Times New Roman"/>
                <w:sz w:val="24"/>
                <w:szCs w:val="24"/>
                <w:lang w:val="en-US"/>
              </w:rPr>
              <w:t>and quantitative in nature</w:t>
            </w:r>
          </w:p>
        </w:tc>
      </w:tr>
      <w:tr w:rsidR="005B6323" w14:paraId="621B819D" w14:textId="77777777" w:rsidTr="001B19BD">
        <w:tc>
          <w:tcPr>
            <w:tcW w:w="1483" w:type="dxa"/>
            <w:tcBorders>
              <w:top w:val="single" w:sz="4" w:space="0" w:color="auto"/>
              <w:bottom w:val="single" w:sz="4" w:space="0" w:color="auto"/>
            </w:tcBorders>
          </w:tcPr>
          <w:p w14:paraId="012DCF6A" w14:textId="76FEFDF4" w:rsidR="005B6323" w:rsidRPr="001B19BD" w:rsidRDefault="00E7291A"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t>Sample</w:t>
            </w:r>
          </w:p>
        </w:tc>
        <w:tc>
          <w:tcPr>
            <w:tcW w:w="7173" w:type="dxa"/>
            <w:tcBorders>
              <w:top w:val="single" w:sz="4" w:space="0" w:color="auto"/>
              <w:bottom w:val="single" w:sz="4" w:space="0" w:color="auto"/>
            </w:tcBorders>
          </w:tcPr>
          <w:p w14:paraId="557AC66F" w14:textId="4625E0F9" w:rsidR="00751C39" w:rsidRPr="00751C39" w:rsidRDefault="00751C39" w:rsidP="0086235D">
            <w:pPr>
              <w:pStyle w:val="NoSpacing"/>
              <w:jc w:val="both"/>
              <w:rPr>
                <w:rFonts w:ascii="Times New Roman" w:hAnsi="Times New Roman" w:cs="Times New Roman"/>
                <w:b/>
                <w:bCs/>
                <w:sz w:val="24"/>
                <w:szCs w:val="24"/>
                <w:lang w:val="en-US"/>
              </w:rPr>
            </w:pPr>
            <w:r w:rsidRPr="00751C39">
              <w:rPr>
                <w:rFonts w:ascii="Times New Roman" w:hAnsi="Times New Roman" w:cs="Times New Roman"/>
                <w:sz w:val="24"/>
                <w:szCs w:val="24"/>
              </w:rPr>
              <w:t xml:space="preserve">The sample of the study comprised </w:t>
            </w:r>
            <w:r w:rsidR="007E78CF">
              <w:rPr>
                <w:rFonts w:ascii="Times New Roman" w:hAnsi="Times New Roman" w:cs="Times New Roman"/>
                <w:sz w:val="24"/>
                <w:szCs w:val="24"/>
              </w:rPr>
              <w:t>212</w:t>
            </w:r>
            <w:r w:rsidRPr="00751C39">
              <w:rPr>
                <w:rFonts w:ascii="Times New Roman" w:hAnsi="Times New Roman" w:cs="Times New Roman"/>
                <w:sz w:val="24"/>
                <w:szCs w:val="24"/>
              </w:rPr>
              <w:t xml:space="preserve"> secondary</w:t>
            </w:r>
            <w:r w:rsidR="007E78CF">
              <w:rPr>
                <w:rFonts w:ascii="Times New Roman" w:hAnsi="Times New Roman" w:cs="Times New Roman"/>
                <w:sz w:val="24"/>
                <w:szCs w:val="24"/>
              </w:rPr>
              <w:t xml:space="preserve"> School Students</w:t>
            </w:r>
            <w:r w:rsidRPr="00751C39">
              <w:rPr>
                <w:rFonts w:ascii="Times New Roman" w:hAnsi="Times New Roman" w:cs="Times New Roman"/>
                <w:sz w:val="24"/>
                <w:szCs w:val="24"/>
              </w:rPr>
              <w:t xml:space="preserve"> from different </w:t>
            </w:r>
            <w:r w:rsidR="007A6419">
              <w:rPr>
                <w:rFonts w:ascii="Times New Roman" w:hAnsi="Times New Roman" w:cs="Times New Roman"/>
                <w:sz w:val="24"/>
                <w:szCs w:val="24"/>
              </w:rPr>
              <w:t>districts</w:t>
            </w:r>
            <w:r w:rsidRPr="00751C39">
              <w:rPr>
                <w:rFonts w:ascii="Times New Roman" w:hAnsi="Times New Roman" w:cs="Times New Roman"/>
                <w:sz w:val="24"/>
                <w:szCs w:val="24"/>
              </w:rPr>
              <w:t xml:space="preserve"> of </w:t>
            </w:r>
            <w:r w:rsidR="007A6419">
              <w:rPr>
                <w:rFonts w:ascii="Times New Roman" w:hAnsi="Times New Roman" w:cs="Times New Roman"/>
                <w:sz w:val="24"/>
                <w:szCs w:val="24"/>
              </w:rPr>
              <w:t>West Bengal</w:t>
            </w:r>
            <w:r w:rsidRPr="00751C39">
              <w:rPr>
                <w:rFonts w:ascii="Times New Roman" w:hAnsi="Times New Roman" w:cs="Times New Roman"/>
                <w:sz w:val="24"/>
                <w:szCs w:val="24"/>
              </w:rPr>
              <w:t xml:space="preserve">. Among them, </w:t>
            </w:r>
            <w:r w:rsidR="007E78CF">
              <w:rPr>
                <w:rFonts w:ascii="Times New Roman" w:hAnsi="Times New Roman" w:cs="Times New Roman"/>
                <w:sz w:val="24"/>
                <w:szCs w:val="24"/>
              </w:rPr>
              <w:t>90</w:t>
            </w:r>
            <w:r w:rsidRPr="00751C39">
              <w:rPr>
                <w:rFonts w:ascii="Times New Roman" w:hAnsi="Times New Roman" w:cs="Times New Roman"/>
                <w:sz w:val="24"/>
                <w:szCs w:val="24"/>
              </w:rPr>
              <w:t xml:space="preserve"> were male</w:t>
            </w:r>
            <w:r w:rsidR="0086235D">
              <w:rPr>
                <w:rFonts w:ascii="Times New Roman" w:hAnsi="Times New Roman" w:cs="Times New Roman"/>
                <w:sz w:val="24"/>
                <w:szCs w:val="24"/>
              </w:rPr>
              <w:t>,</w:t>
            </w:r>
            <w:r w:rsidRPr="00751C39">
              <w:rPr>
                <w:rFonts w:ascii="Times New Roman" w:hAnsi="Times New Roman" w:cs="Times New Roman"/>
                <w:sz w:val="24"/>
                <w:szCs w:val="24"/>
              </w:rPr>
              <w:t xml:space="preserve"> and </w:t>
            </w:r>
            <w:r w:rsidR="007E78CF">
              <w:rPr>
                <w:rFonts w:ascii="Times New Roman" w:hAnsi="Times New Roman" w:cs="Times New Roman"/>
                <w:sz w:val="24"/>
                <w:szCs w:val="24"/>
              </w:rPr>
              <w:t>122</w:t>
            </w:r>
            <w:r w:rsidRPr="00751C39">
              <w:rPr>
                <w:rFonts w:ascii="Times New Roman" w:hAnsi="Times New Roman" w:cs="Times New Roman"/>
                <w:sz w:val="24"/>
                <w:szCs w:val="24"/>
              </w:rPr>
              <w:t xml:space="preserve"> were female, representing a balanced distribution of gender within the sample</w:t>
            </w:r>
            <w:r w:rsidRPr="00751C39">
              <w:rPr>
                <w:rFonts w:ascii="Times New Roman" w:hAnsi="Times New Roman" w:cs="Times New Roman"/>
                <w:b/>
                <w:bCs/>
                <w:sz w:val="24"/>
                <w:szCs w:val="24"/>
              </w:rPr>
              <w:t>.</w:t>
            </w:r>
          </w:p>
        </w:tc>
      </w:tr>
      <w:tr w:rsidR="00E7291A" w14:paraId="7195B5A7" w14:textId="77777777" w:rsidTr="001B19BD">
        <w:tc>
          <w:tcPr>
            <w:tcW w:w="1483" w:type="dxa"/>
            <w:tcBorders>
              <w:top w:val="single" w:sz="4" w:space="0" w:color="auto"/>
              <w:bottom w:val="single" w:sz="4" w:space="0" w:color="auto"/>
            </w:tcBorders>
          </w:tcPr>
          <w:p w14:paraId="57D14FD0" w14:textId="34BE3759" w:rsidR="00E7291A" w:rsidRPr="001B19BD" w:rsidRDefault="00E7291A"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lastRenderedPageBreak/>
              <w:t xml:space="preserve">Tool </w:t>
            </w:r>
            <w:r w:rsidR="006C2065" w:rsidRPr="001B19BD">
              <w:rPr>
                <w:rFonts w:ascii="Times New Roman" w:hAnsi="Times New Roman" w:cs="Times New Roman"/>
                <w:b/>
                <w:bCs/>
                <w:i/>
                <w:iCs/>
                <w:sz w:val="24"/>
                <w:szCs w:val="24"/>
                <w:lang w:val="en-US"/>
              </w:rPr>
              <w:t>Used</w:t>
            </w:r>
          </w:p>
        </w:tc>
        <w:tc>
          <w:tcPr>
            <w:tcW w:w="7173" w:type="dxa"/>
            <w:tcBorders>
              <w:top w:val="single" w:sz="4" w:space="0" w:color="auto"/>
              <w:bottom w:val="single" w:sz="4" w:space="0" w:color="auto"/>
            </w:tcBorders>
          </w:tcPr>
          <w:p w14:paraId="13EFCCEF" w14:textId="3D470CC4" w:rsidR="00E52950" w:rsidRPr="007A6419" w:rsidRDefault="00870BD5" w:rsidP="007A6419">
            <w:pPr>
              <w:rPr>
                <w:rFonts w:ascii="Times New Roman" w:hAnsi="Times New Roman" w:cs="Times New Roman"/>
                <w:b/>
                <w:bCs/>
                <w:sz w:val="24"/>
                <w:szCs w:val="24"/>
              </w:rPr>
            </w:pPr>
            <w:r w:rsidRPr="00870BD5">
              <w:rPr>
                <w:rFonts w:ascii="Times New Roman" w:hAnsi="Times New Roman" w:cs="Times New Roman"/>
              </w:rPr>
              <w:t>Data were collected using a</w:t>
            </w:r>
            <w:r w:rsidR="009F07CD">
              <w:rPr>
                <w:rFonts w:ascii="Times New Roman" w:hAnsi="Times New Roman" w:cs="Times New Roman"/>
              </w:rPr>
              <w:t xml:space="preserve"> </w:t>
            </w:r>
            <w:r w:rsidRPr="001D539A">
              <w:rPr>
                <w:rFonts w:ascii="Times New Roman" w:hAnsi="Times New Roman" w:cs="Times New Roman"/>
              </w:rPr>
              <w:t xml:space="preserve">questionnaire </w:t>
            </w:r>
            <w:r w:rsidR="001D539A" w:rsidRPr="001D539A">
              <w:rPr>
                <w:rFonts w:ascii="Times New Roman" w:hAnsi="Times New Roman" w:cs="Times New Roman"/>
              </w:rPr>
              <w:t xml:space="preserve">ware developed </w:t>
            </w:r>
            <w:r w:rsidRPr="001D539A">
              <w:rPr>
                <w:rFonts w:ascii="Times New Roman" w:hAnsi="Times New Roman" w:cs="Times New Roman"/>
              </w:rPr>
              <w:t>to measure Career Risk-Taking Behaviour (CRTB)</w:t>
            </w:r>
            <w:r w:rsidR="006E355C">
              <w:rPr>
                <w:rFonts w:ascii="Times New Roman" w:hAnsi="Times New Roman" w:cs="Times New Roman"/>
                <w:b/>
                <w:bCs/>
              </w:rPr>
              <w:t xml:space="preserve"> </w:t>
            </w:r>
            <w:r w:rsidR="00E52950" w:rsidRPr="007A6419">
              <w:rPr>
                <w:rFonts w:ascii="Times New Roman" w:hAnsi="Times New Roman" w:cs="Times New Roman"/>
              </w:rPr>
              <w:t xml:space="preserve">to measure the level of </w:t>
            </w:r>
            <w:r w:rsidR="007A6419" w:rsidRPr="007A6419">
              <w:rPr>
                <w:rFonts w:ascii="Times New Roman" w:hAnsi="Times New Roman" w:cs="Times New Roman"/>
              </w:rPr>
              <w:t>Career Risk-Taking Behaviour Among Secondary School Students in West Bengal</w:t>
            </w:r>
            <w:r w:rsidR="002B678A">
              <w:rPr>
                <w:rFonts w:ascii="Times New Roman" w:hAnsi="Times New Roman" w:cs="Times New Roman"/>
              </w:rPr>
              <w:t>.</w:t>
            </w:r>
          </w:p>
        </w:tc>
      </w:tr>
      <w:tr w:rsidR="006C2065" w14:paraId="0BFDF771" w14:textId="77777777" w:rsidTr="001B19BD">
        <w:tc>
          <w:tcPr>
            <w:tcW w:w="1483" w:type="dxa"/>
            <w:tcBorders>
              <w:top w:val="single" w:sz="4" w:space="0" w:color="auto"/>
              <w:bottom w:val="single" w:sz="4" w:space="0" w:color="auto"/>
            </w:tcBorders>
          </w:tcPr>
          <w:p w14:paraId="1A35E2D3" w14:textId="03F5F3AD" w:rsidR="006C2065" w:rsidRPr="001B19BD" w:rsidRDefault="00610431"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t>Sampling</w:t>
            </w:r>
            <w:r w:rsidR="006C2065" w:rsidRPr="001B19BD">
              <w:rPr>
                <w:rFonts w:ascii="Times New Roman" w:hAnsi="Times New Roman" w:cs="Times New Roman"/>
                <w:b/>
                <w:bCs/>
                <w:i/>
                <w:iCs/>
                <w:sz w:val="24"/>
                <w:szCs w:val="24"/>
                <w:lang w:val="en-US"/>
              </w:rPr>
              <w:t xml:space="preserve"> </w:t>
            </w:r>
            <w:r w:rsidRPr="001B19BD">
              <w:rPr>
                <w:rFonts w:ascii="Times New Roman" w:hAnsi="Times New Roman" w:cs="Times New Roman"/>
                <w:b/>
                <w:bCs/>
                <w:i/>
                <w:iCs/>
                <w:sz w:val="24"/>
                <w:szCs w:val="24"/>
                <w:lang w:val="en-US"/>
              </w:rPr>
              <w:t>Technique</w:t>
            </w:r>
          </w:p>
        </w:tc>
        <w:tc>
          <w:tcPr>
            <w:tcW w:w="7173" w:type="dxa"/>
            <w:tcBorders>
              <w:top w:val="single" w:sz="4" w:space="0" w:color="auto"/>
              <w:bottom w:val="single" w:sz="4" w:space="0" w:color="auto"/>
            </w:tcBorders>
          </w:tcPr>
          <w:p w14:paraId="204B836F" w14:textId="786106F6" w:rsidR="006C2065" w:rsidRPr="009E135A" w:rsidRDefault="002B678A" w:rsidP="0086235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Multistage</w:t>
            </w:r>
            <w:r w:rsidR="009E135A" w:rsidRPr="009E135A">
              <w:rPr>
                <w:rFonts w:ascii="Times New Roman" w:hAnsi="Times New Roman" w:cs="Times New Roman"/>
                <w:sz w:val="24"/>
                <w:szCs w:val="24"/>
                <w:lang w:val="en-US"/>
              </w:rPr>
              <w:t xml:space="preserve"> sampling is used for data collection </w:t>
            </w:r>
            <w:r w:rsidR="00F0036A">
              <w:rPr>
                <w:rFonts w:ascii="Times New Roman" w:hAnsi="Times New Roman" w:cs="Times New Roman"/>
                <w:sz w:val="24"/>
                <w:szCs w:val="24"/>
                <w:lang w:val="en-US"/>
              </w:rPr>
              <w:t xml:space="preserve">from </w:t>
            </w:r>
            <w:r w:rsidR="00BC47F2">
              <w:rPr>
                <w:rFonts w:ascii="Times New Roman" w:hAnsi="Times New Roman" w:cs="Times New Roman"/>
                <w:sz w:val="24"/>
                <w:szCs w:val="24"/>
                <w:lang w:val="en-US"/>
              </w:rPr>
              <w:t>various</w:t>
            </w:r>
            <w:r w:rsidR="00F0036A">
              <w:rPr>
                <w:rFonts w:ascii="Times New Roman" w:hAnsi="Times New Roman" w:cs="Times New Roman"/>
                <w:sz w:val="24"/>
                <w:szCs w:val="24"/>
                <w:lang w:val="en-US"/>
              </w:rPr>
              <w:t xml:space="preserve"> </w:t>
            </w:r>
            <w:r w:rsidR="00BC47F2">
              <w:rPr>
                <w:rFonts w:ascii="Times New Roman" w:hAnsi="Times New Roman" w:cs="Times New Roman"/>
                <w:sz w:val="24"/>
                <w:szCs w:val="24"/>
                <w:lang w:val="en-US"/>
              </w:rPr>
              <w:t>schools</w:t>
            </w:r>
            <w:r w:rsidR="00F0036A">
              <w:rPr>
                <w:rFonts w:ascii="Times New Roman" w:hAnsi="Times New Roman" w:cs="Times New Roman"/>
                <w:sz w:val="24"/>
                <w:szCs w:val="24"/>
                <w:lang w:val="en-US"/>
              </w:rPr>
              <w:t xml:space="preserve"> </w:t>
            </w:r>
            <w:r w:rsidR="0086235D">
              <w:rPr>
                <w:rFonts w:ascii="Times New Roman" w:hAnsi="Times New Roman" w:cs="Times New Roman"/>
                <w:sz w:val="24"/>
                <w:szCs w:val="24"/>
                <w:lang w:val="en-US"/>
              </w:rPr>
              <w:t>in</w:t>
            </w:r>
            <w:r w:rsidR="009E135A" w:rsidRPr="009E135A">
              <w:rPr>
                <w:rFonts w:ascii="Times New Roman" w:hAnsi="Times New Roman" w:cs="Times New Roman"/>
                <w:sz w:val="24"/>
                <w:szCs w:val="24"/>
                <w:lang w:val="en-US"/>
              </w:rPr>
              <w:t xml:space="preserve"> different </w:t>
            </w:r>
            <w:r w:rsidR="00675885">
              <w:rPr>
                <w:rFonts w:ascii="Times New Roman" w:hAnsi="Times New Roman" w:cs="Times New Roman"/>
                <w:sz w:val="24"/>
                <w:szCs w:val="24"/>
                <w:lang w:val="en-US"/>
              </w:rPr>
              <w:t>districts</w:t>
            </w:r>
            <w:r w:rsidR="009E135A" w:rsidRPr="009E135A">
              <w:rPr>
                <w:rFonts w:ascii="Times New Roman" w:hAnsi="Times New Roman" w:cs="Times New Roman"/>
                <w:sz w:val="24"/>
                <w:szCs w:val="24"/>
                <w:lang w:val="en-US"/>
              </w:rPr>
              <w:t xml:space="preserve"> of </w:t>
            </w:r>
            <w:r w:rsidRPr="007A6419">
              <w:rPr>
                <w:rFonts w:ascii="Times New Roman" w:hAnsi="Times New Roman" w:cs="Times New Roman"/>
              </w:rPr>
              <w:t>West Bengal</w:t>
            </w:r>
            <w:r w:rsidR="009E135A" w:rsidRPr="009E135A">
              <w:rPr>
                <w:rFonts w:ascii="Times New Roman" w:hAnsi="Times New Roman" w:cs="Times New Roman"/>
                <w:sz w:val="24"/>
                <w:szCs w:val="24"/>
                <w:lang w:val="en-US"/>
              </w:rPr>
              <w:t>.</w:t>
            </w:r>
          </w:p>
        </w:tc>
      </w:tr>
      <w:tr w:rsidR="00BC1F82" w14:paraId="0C353EDA" w14:textId="77777777" w:rsidTr="001B19BD">
        <w:tc>
          <w:tcPr>
            <w:tcW w:w="1483" w:type="dxa"/>
            <w:tcBorders>
              <w:top w:val="single" w:sz="4" w:space="0" w:color="auto"/>
              <w:bottom w:val="single" w:sz="4" w:space="0" w:color="auto"/>
            </w:tcBorders>
          </w:tcPr>
          <w:p w14:paraId="6555689B" w14:textId="75264622" w:rsidR="00BC1F82" w:rsidRPr="001B19BD" w:rsidRDefault="009F3E2B" w:rsidP="00B125DB">
            <w:pPr>
              <w:pStyle w:val="NoSpacing"/>
              <w:rPr>
                <w:rFonts w:ascii="Times New Roman" w:hAnsi="Times New Roman" w:cs="Times New Roman"/>
                <w:b/>
                <w:bCs/>
                <w:i/>
                <w:iCs/>
                <w:sz w:val="24"/>
                <w:szCs w:val="24"/>
                <w:lang w:val="en-US"/>
              </w:rPr>
            </w:pPr>
            <w:r w:rsidRPr="009F3E2B">
              <w:rPr>
                <w:rFonts w:ascii="Times New Roman" w:hAnsi="Times New Roman" w:cs="Times New Roman"/>
                <w:b/>
                <w:bCs/>
                <w:i/>
                <w:iCs/>
                <w:sz w:val="24"/>
                <w:szCs w:val="24"/>
              </w:rPr>
              <w:t>Statistical Techniques Used</w:t>
            </w:r>
          </w:p>
        </w:tc>
        <w:tc>
          <w:tcPr>
            <w:tcW w:w="7173" w:type="dxa"/>
            <w:tcBorders>
              <w:top w:val="single" w:sz="4" w:space="0" w:color="auto"/>
              <w:bottom w:val="single" w:sz="4" w:space="0" w:color="auto"/>
            </w:tcBorders>
          </w:tcPr>
          <w:p w14:paraId="189AF853" w14:textId="159D5AEF" w:rsidR="00BC1F82" w:rsidRPr="00590333" w:rsidRDefault="004A2498" w:rsidP="004A2498">
            <w:pPr>
              <w:pStyle w:val="NoSpacing"/>
              <w:jc w:val="both"/>
              <w:rPr>
                <w:rFonts w:ascii="Times New Roman" w:hAnsi="Times New Roman" w:cs="Times New Roman"/>
                <w:sz w:val="24"/>
                <w:szCs w:val="24"/>
              </w:rPr>
            </w:pPr>
            <w:r w:rsidRPr="00590333">
              <w:rPr>
                <w:rFonts w:ascii="Times New Roman" w:hAnsi="Times New Roman" w:cs="Times New Roman"/>
                <w:sz w:val="24"/>
                <w:szCs w:val="24"/>
              </w:rPr>
              <w:t xml:space="preserve">To ensure analytical </w:t>
            </w:r>
            <w:r w:rsidR="00590333">
              <w:rPr>
                <w:rFonts w:ascii="Times New Roman" w:hAnsi="Times New Roman" w:cs="Times New Roman"/>
                <w:sz w:val="24"/>
                <w:szCs w:val="24"/>
              </w:rPr>
              <w:t>rigour</w:t>
            </w:r>
            <w:r w:rsidRPr="00590333">
              <w:rPr>
                <w:rFonts w:ascii="Times New Roman" w:hAnsi="Times New Roman" w:cs="Times New Roman"/>
                <w:sz w:val="24"/>
                <w:szCs w:val="24"/>
              </w:rPr>
              <w:t xml:space="preserve"> and address the research objectives comprehensively, the Descriptive, Pearson Correlation, Chi-square Test, One-way ANOVA, </w:t>
            </w:r>
            <w:r w:rsidR="00590333">
              <w:rPr>
                <w:rFonts w:ascii="Times New Roman" w:hAnsi="Times New Roman" w:cs="Times New Roman"/>
                <w:sz w:val="24"/>
                <w:szCs w:val="24"/>
              </w:rPr>
              <w:t xml:space="preserve">and </w:t>
            </w:r>
            <w:r w:rsidRPr="00590333">
              <w:rPr>
                <w:rFonts w:ascii="Times New Roman" w:hAnsi="Times New Roman" w:cs="Times New Roman"/>
                <w:sz w:val="24"/>
                <w:szCs w:val="24"/>
              </w:rPr>
              <w:t xml:space="preserve">Multiple Regression Analysis </w:t>
            </w:r>
            <w:r w:rsidR="00590333" w:rsidRPr="00590333">
              <w:rPr>
                <w:rFonts w:ascii="Times New Roman" w:hAnsi="Times New Roman" w:cs="Times New Roman"/>
                <w:sz w:val="24"/>
                <w:szCs w:val="24"/>
              </w:rPr>
              <w:t>statistical techniques were employed</w:t>
            </w:r>
          </w:p>
        </w:tc>
      </w:tr>
      <w:tr w:rsidR="00BC1F82" w14:paraId="5409A208" w14:textId="77777777" w:rsidTr="001B19BD">
        <w:tc>
          <w:tcPr>
            <w:tcW w:w="1483" w:type="dxa"/>
            <w:tcBorders>
              <w:top w:val="single" w:sz="4" w:space="0" w:color="auto"/>
              <w:bottom w:val="single" w:sz="4" w:space="0" w:color="auto"/>
            </w:tcBorders>
          </w:tcPr>
          <w:p w14:paraId="6951A676" w14:textId="08FFE700" w:rsidR="00BC1F82" w:rsidRPr="001B19BD" w:rsidRDefault="009F3E2B" w:rsidP="00B125DB">
            <w:pPr>
              <w:pStyle w:val="NoSpacing"/>
              <w:rPr>
                <w:rFonts w:ascii="Times New Roman" w:hAnsi="Times New Roman" w:cs="Times New Roman"/>
                <w:b/>
                <w:bCs/>
                <w:i/>
                <w:iCs/>
                <w:sz w:val="24"/>
                <w:szCs w:val="24"/>
                <w:lang w:val="en-US"/>
              </w:rPr>
            </w:pPr>
            <w:r w:rsidRPr="009F3E2B">
              <w:rPr>
                <w:rFonts w:ascii="Times New Roman" w:hAnsi="Times New Roman" w:cs="Times New Roman"/>
                <w:b/>
                <w:bCs/>
                <w:i/>
                <w:iCs/>
                <w:sz w:val="24"/>
                <w:szCs w:val="24"/>
              </w:rPr>
              <w:t>Ethical Considerations</w:t>
            </w:r>
          </w:p>
        </w:tc>
        <w:tc>
          <w:tcPr>
            <w:tcW w:w="7173" w:type="dxa"/>
            <w:tcBorders>
              <w:top w:val="single" w:sz="4" w:space="0" w:color="auto"/>
              <w:bottom w:val="single" w:sz="4" w:space="0" w:color="auto"/>
            </w:tcBorders>
          </w:tcPr>
          <w:p w14:paraId="7C6BF101" w14:textId="126EE501" w:rsidR="00BC1F82" w:rsidRPr="00A56B47" w:rsidRDefault="00A56B47" w:rsidP="0086235D">
            <w:pPr>
              <w:pStyle w:val="NoSpacing"/>
              <w:jc w:val="both"/>
              <w:rPr>
                <w:rFonts w:ascii="Times New Roman" w:hAnsi="Times New Roman" w:cs="Times New Roman"/>
                <w:sz w:val="24"/>
                <w:szCs w:val="24"/>
                <w:lang w:val="en-US"/>
              </w:rPr>
            </w:pPr>
            <w:r w:rsidRPr="00A56B47">
              <w:rPr>
                <w:rFonts w:ascii="Times New Roman" w:hAnsi="Times New Roman" w:cs="Times New Roman"/>
                <w:sz w:val="24"/>
                <w:szCs w:val="24"/>
              </w:rPr>
              <w:t>Ethical standards were strictly maintained throughout the study. Informed consent was obtained from participants, and confidentiality of responses was ensured. Participation was voluntary, and data were used solely for academic purposes.</w:t>
            </w:r>
          </w:p>
        </w:tc>
      </w:tr>
    </w:tbl>
    <w:p w14:paraId="3150E8AE" w14:textId="77777777" w:rsidR="006E086B" w:rsidRPr="006951D7" w:rsidRDefault="006E086B" w:rsidP="005B6323">
      <w:pPr>
        <w:pStyle w:val="NoSpacing"/>
        <w:rPr>
          <w:rFonts w:ascii="Times New Roman" w:hAnsi="Times New Roman" w:cs="Times New Roman"/>
          <w:b/>
          <w:bCs/>
          <w:sz w:val="24"/>
          <w:szCs w:val="24"/>
          <w:lang w:val="en-US"/>
        </w:rPr>
      </w:pPr>
    </w:p>
    <w:p w14:paraId="59E88F1D" w14:textId="41E2ABDC" w:rsidR="00AB2590" w:rsidRPr="00F33BF5" w:rsidRDefault="00FF4152" w:rsidP="00F33BF5">
      <w:pPr>
        <w:pStyle w:val="NoSpacing"/>
        <w:numPr>
          <w:ilvl w:val="0"/>
          <w:numId w:val="31"/>
        </w:numPr>
        <w:rPr>
          <w:rFonts w:ascii="Times New Roman" w:hAnsi="Times New Roman" w:cs="Times New Roman"/>
          <w:b/>
          <w:bCs/>
          <w:sz w:val="28"/>
          <w:szCs w:val="28"/>
        </w:rPr>
      </w:pPr>
      <w:r w:rsidRPr="0019353F">
        <w:rPr>
          <w:rFonts w:ascii="Times New Roman" w:hAnsi="Times New Roman" w:cs="Times New Roman"/>
          <w:b/>
          <w:bCs/>
          <w:sz w:val="28"/>
          <w:szCs w:val="28"/>
        </w:rPr>
        <w:t>Results and Discussion</w:t>
      </w:r>
    </w:p>
    <w:p w14:paraId="61FEFA4D" w14:textId="77777777" w:rsidR="008D02DE" w:rsidRDefault="008D02DE" w:rsidP="008D02DE">
      <w:pPr>
        <w:pStyle w:val="NoSpacing"/>
        <w:ind w:firstLine="360"/>
        <w:rPr>
          <w:rFonts w:ascii="Times New Roman" w:hAnsi="Times New Roman" w:cs="Times New Roman"/>
          <w:sz w:val="24"/>
          <w:szCs w:val="24"/>
        </w:rPr>
      </w:pPr>
    </w:p>
    <w:p w14:paraId="00B5E7C3" w14:textId="4E8829B1" w:rsidR="006040CF" w:rsidRDefault="008D02DE" w:rsidP="008D02D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8D02DE">
        <w:rPr>
          <w:rFonts w:ascii="Times New Roman" w:hAnsi="Times New Roman" w:cs="Times New Roman"/>
          <w:sz w:val="24"/>
          <w:szCs w:val="24"/>
        </w:rPr>
        <w:t>ollowing analysis presents the distribution and relationship of career risk-taking behaviour across different socioeconomic groups based on monthly family income. The data are analysed using descriptive and inferential statistics to examine patterns and variations in students’ career risk orientation.</w:t>
      </w:r>
    </w:p>
    <w:p w14:paraId="48EE2DAE" w14:textId="77777777" w:rsidR="008D02DE" w:rsidRDefault="008D02DE" w:rsidP="008D02DE">
      <w:pPr>
        <w:pStyle w:val="NoSpacing"/>
        <w:ind w:firstLine="360"/>
        <w:jc w:val="both"/>
        <w:rPr>
          <w:rFonts w:ascii="Times New Roman" w:hAnsi="Times New Roman" w:cs="Times New Roman"/>
          <w:sz w:val="24"/>
          <w:szCs w:val="24"/>
        </w:rPr>
      </w:pPr>
    </w:p>
    <w:p w14:paraId="5F78A6DC" w14:textId="65E16CB2" w:rsidR="00E26FFE" w:rsidRPr="00BD2D64" w:rsidRDefault="00AB2590" w:rsidP="00E26FFE">
      <w:pPr>
        <w:pStyle w:val="NoSpacing"/>
        <w:numPr>
          <w:ilvl w:val="1"/>
          <w:numId w:val="31"/>
        </w:numPr>
        <w:ind w:left="567" w:hanging="567"/>
        <w:jc w:val="both"/>
        <w:rPr>
          <w:rFonts w:ascii="Times New Roman" w:hAnsi="Times New Roman" w:cs="Times New Roman"/>
          <w:b/>
          <w:bCs/>
          <w:sz w:val="28"/>
          <w:szCs w:val="28"/>
        </w:rPr>
      </w:pPr>
      <w:r w:rsidRPr="00AB2590">
        <w:rPr>
          <w:rFonts w:ascii="Times New Roman" w:hAnsi="Times New Roman" w:cs="Times New Roman"/>
          <w:b/>
          <w:bCs/>
          <w:sz w:val="24"/>
          <w:szCs w:val="24"/>
          <w:lang w:eastAsia="en-IN" w:bidi="bn-IN"/>
        </w:rPr>
        <w:t>To assess the levels of career risk-taking behaviour among secon</w:t>
      </w:r>
      <w:bookmarkStart w:id="3" w:name="_GoBack"/>
      <w:bookmarkEnd w:id="3"/>
      <w:r w:rsidRPr="00AB2590">
        <w:rPr>
          <w:rFonts w:ascii="Times New Roman" w:hAnsi="Times New Roman" w:cs="Times New Roman"/>
          <w:b/>
          <w:bCs/>
          <w:sz w:val="24"/>
          <w:szCs w:val="24"/>
          <w:lang w:eastAsia="en-IN" w:bidi="bn-IN"/>
        </w:rPr>
        <w:t xml:space="preserve">dary school students. </w:t>
      </w:r>
      <w:r w:rsidR="00823070" w:rsidRPr="00E26FFE">
        <w:rPr>
          <w:rFonts w:ascii="Times New Roman" w:hAnsi="Times New Roman" w:cs="Times New Roman"/>
          <w:b/>
          <w:bCs/>
          <w:color w:val="000000" w:themeColor="text1"/>
          <w:sz w:val="20"/>
          <w:szCs w:val="20"/>
        </w:rPr>
        <w:t>Distribution of Students Based on Levels of Career Risk-Taking Behaviour</w:t>
      </w:r>
      <w:r w:rsidR="00BD2D64">
        <w:rPr>
          <w:rFonts w:ascii="Times New Roman" w:hAnsi="Times New Roman" w:cs="Times New Roman"/>
          <w:b/>
          <w:bCs/>
          <w:color w:val="000000" w:themeColor="text1"/>
          <w:sz w:val="20"/>
          <w:szCs w:val="20"/>
        </w:rPr>
        <w:t>.</w:t>
      </w:r>
    </w:p>
    <w:p w14:paraId="73A998A4" w14:textId="370C678F" w:rsidR="00E26FFE" w:rsidRPr="00E26FFE" w:rsidRDefault="00E26FFE" w:rsidP="00E26FFE">
      <w:pPr>
        <w:pStyle w:val="Caption"/>
        <w:keepNext/>
        <w:rPr>
          <w:rFonts w:ascii="Times New Roman" w:hAnsi="Times New Roman" w:cs="Times New Roman"/>
          <w:b/>
          <w:bCs/>
          <w:color w:val="000000" w:themeColor="text1"/>
          <w:sz w:val="20"/>
          <w:szCs w:val="20"/>
        </w:rPr>
      </w:pPr>
      <w:r w:rsidRPr="00E26FFE">
        <w:rPr>
          <w:rFonts w:ascii="Times New Roman" w:hAnsi="Times New Roman" w:cs="Times New Roman"/>
          <w:b/>
          <w:bCs/>
          <w:color w:val="000000" w:themeColor="text1"/>
          <w:sz w:val="20"/>
          <w:szCs w:val="20"/>
        </w:rPr>
        <w:t xml:space="preserve">Table </w:t>
      </w:r>
      <w:r w:rsidRPr="00E26FFE">
        <w:rPr>
          <w:rFonts w:ascii="Times New Roman" w:hAnsi="Times New Roman" w:cs="Times New Roman"/>
          <w:b/>
          <w:bCs/>
          <w:color w:val="000000" w:themeColor="text1"/>
          <w:sz w:val="20"/>
          <w:szCs w:val="20"/>
        </w:rPr>
        <w:fldChar w:fldCharType="begin"/>
      </w:r>
      <w:r w:rsidRPr="00E26FFE">
        <w:rPr>
          <w:rFonts w:ascii="Times New Roman" w:hAnsi="Times New Roman" w:cs="Times New Roman"/>
          <w:b/>
          <w:bCs/>
          <w:color w:val="000000" w:themeColor="text1"/>
          <w:sz w:val="20"/>
          <w:szCs w:val="20"/>
        </w:rPr>
        <w:instrText xml:space="preserve"> SEQ Table \* ARABIC </w:instrText>
      </w:r>
      <w:r w:rsidRPr="00E26FFE">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w:t>
      </w:r>
      <w:r w:rsidRPr="00E26FFE">
        <w:rPr>
          <w:rFonts w:ascii="Times New Roman" w:hAnsi="Times New Roman" w:cs="Times New Roman"/>
          <w:b/>
          <w:bCs/>
          <w:color w:val="000000" w:themeColor="text1"/>
          <w:sz w:val="20"/>
          <w:szCs w:val="20"/>
        </w:rPr>
        <w:fldChar w:fldCharType="end"/>
      </w:r>
      <w:r w:rsidRPr="00E26FFE">
        <w:rPr>
          <w:rFonts w:ascii="Times New Roman" w:hAnsi="Times New Roman" w:cs="Times New Roman"/>
          <w:b/>
          <w:bCs/>
          <w:color w:val="000000" w:themeColor="text1"/>
          <w:sz w:val="20"/>
          <w:szCs w:val="20"/>
        </w:rPr>
        <w:t>: Distribution of Students Based on Levels of Career Risk-Taking Behaviour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06"/>
        <w:gridCol w:w="2684"/>
        <w:gridCol w:w="1276"/>
        <w:gridCol w:w="1123"/>
        <w:gridCol w:w="1527"/>
        <w:gridCol w:w="1610"/>
      </w:tblGrid>
      <w:tr w:rsidR="00823070" w:rsidRPr="000D2186" w14:paraId="26116B9A" w14:textId="77777777" w:rsidTr="00344D9F">
        <w:tc>
          <w:tcPr>
            <w:tcW w:w="5000" w:type="pct"/>
            <w:gridSpan w:val="6"/>
            <w:tcBorders>
              <w:bottom w:val="single" w:sz="4" w:space="0" w:color="auto"/>
            </w:tcBorders>
            <w:vAlign w:val="center"/>
          </w:tcPr>
          <w:p w14:paraId="2B2E30C3" w14:textId="77777777" w:rsidR="00823070" w:rsidRPr="000D2186" w:rsidRDefault="00823070" w:rsidP="00344D9F">
            <w:pPr>
              <w:pStyle w:val="NoSpacing"/>
              <w:rPr>
                <w:rFonts w:ascii="Times New Roman" w:hAnsi="Times New Roman" w:cs="Times New Roman"/>
                <w:color w:val="000000" w:themeColor="text1"/>
                <w:sz w:val="24"/>
                <w:szCs w:val="24"/>
                <w:lang w:bidi="bn-IN"/>
              </w:rPr>
            </w:pPr>
            <w:proofErr w:type="spellStart"/>
            <w:r w:rsidRPr="000D2186">
              <w:rPr>
                <w:rFonts w:ascii="Times New Roman" w:hAnsi="Times New Roman" w:cs="Times New Roman"/>
                <w:color w:val="000000" w:themeColor="text1"/>
                <w:sz w:val="24"/>
                <w:szCs w:val="24"/>
                <w:lang w:bidi="bn-IN"/>
              </w:rPr>
              <w:t>CRTB_Level</w:t>
            </w:r>
            <w:proofErr w:type="spellEnd"/>
          </w:p>
        </w:tc>
      </w:tr>
      <w:tr w:rsidR="00823070" w:rsidRPr="000D2186" w14:paraId="1524FBAB" w14:textId="77777777" w:rsidTr="00344D9F">
        <w:tc>
          <w:tcPr>
            <w:tcW w:w="1933" w:type="pct"/>
            <w:gridSpan w:val="2"/>
            <w:tcBorders>
              <w:top w:val="single" w:sz="4" w:space="0" w:color="auto"/>
              <w:bottom w:val="single" w:sz="4" w:space="0" w:color="auto"/>
            </w:tcBorders>
            <w:vAlign w:val="center"/>
          </w:tcPr>
          <w:p w14:paraId="0559C6B8"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707" w:type="pct"/>
            <w:tcBorders>
              <w:top w:val="single" w:sz="4" w:space="0" w:color="auto"/>
              <w:bottom w:val="single" w:sz="4" w:space="0" w:color="auto"/>
            </w:tcBorders>
            <w:vAlign w:val="center"/>
          </w:tcPr>
          <w:p w14:paraId="6029372A"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Frequency</w:t>
            </w:r>
          </w:p>
        </w:tc>
        <w:tc>
          <w:tcPr>
            <w:tcW w:w="622" w:type="pct"/>
            <w:tcBorders>
              <w:top w:val="single" w:sz="4" w:space="0" w:color="auto"/>
              <w:bottom w:val="single" w:sz="4" w:space="0" w:color="auto"/>
            </w:tcBorders>
            <w:vAlign w:val="center"/>
          </w:tcPr>
          <w:p w14:paraId="28363A8C"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Percent</w:t>
            </w:r>
          </w:p>
        </w:tc>
        <w:tc>
          <w:tcPr>
            <w:tcW w:w="846" w:type="pct"/>
            <w:tcBorders>
              <w:top w:val="single" w:sz="4" w:space="0" w:color="auto"/>
              <w:bottom w:val="single" w:sz="4" w:space="0" w:color="auto"/>
            </w:tcBorders>
            <w:vAlign w:val="center"/>
          </w:tcPr>
          <w:p w14:paraId="4370E31A"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Valid Percent</w:t>
            </w:r>
          </w:p>
        </w:tc>
        <w:tc>
          <w:tcPr>
            <w:tcW w:w="892" w:type="pct"/>
            <w:tcBorders>
              <w:top w:val="single" w:sz="4" w:space="0" w:color="auto"/>
              <w:bottom w:val="single" w:sz="4" w:space="0" w:color="auto"/>
            </w:tcBorders>
            <w:vAlign w:val="center"/>
          </w:tcPr>
          <w:p w14:paraId="5CC538E8"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Cumulative Percent</w:t>
            </w:r>
          </w:p>
        </w:tc>
      </w:tr>
      <w:tr w:rsidR="00823070" w:rsidRPr="000D2186" w14:paraId="36F3EB42" w14:textId="77777777" w:rsidTr="00344D9F">
        <w:tc>
          <w:tcPr>
            <w:tcW w:w="446" w:type="pct"/>
            <w:vMerge w:val="restart"/>
            <w:tcBorders>
              <w:top w:val="single" w:sz="4" w:space="0" w:color="auto"/>
            </w:tcBorders>
            <w:vAlign w:val="center"/>
          </w:tcPr>
          <w:p w14:paraId="46D78B5D"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Valid</w:t>
            </w:r>
          </w:p>
        </w:tc>
        <w:tc>
          <w:tcPr>
            <w:tcW w:w="1487" w:type="pct"/>
            <w:tcBorders>
              <w:top w:val="single" w:sz="4" w:space="0" w:color="auto"/>
              <w:bottom w:val="single" w:sz="4" w:space="0" w:color="auto"/>
            </w:tcBorders>
            <w:vAlign w:val="center"/>
          </w:tcPr>
          <w:p w14:paraId="560A4A1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Low Career Risk</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Taking Behaviour</w:t>
            </w:r>
          </w:p>
        </w:tc>
        <w:tc>
          <w:tcPr>
            <w:tcW w:w="707" w:type="pct"/>
            <w:tcBorders>
              <w:top w:val="single" w:sz="4" w:space="0" w:color="auto"/>
              <w:bottom w:val="single" w:sz="4" w:space="0" w:color="auto"/>
            </w:tcBorders>
            <w:vAlign w:val="center"/>
          </w:tcPr>
          <w:p w14:paraId="63CA7135"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28</w:t>
            </w:r>
          </w:p>
        </w:tc>
        <w:tc>
          <w:tcPr>
            <w:tcW w:w="622" w:type="pct"/>
            <w:tcBorders>
              <w:top w:val="single" w:sz="4" w:space="0" w:color="auto"/>
              <w:bottom w:val="single" w:sz="4" w:space="0" w:color="auto"/>
            </w:tcBorders>
            <w:vAlign w:val="center"/>
          </w:tcPr>
          <w:p w14:paraId="6865F84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13</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2</w:t>
            </w:r>
          </w:p>
        </w:tc>
        <w:tc>
          <w:tcPr>
            <w:tcW w:w="846" w:type="pct"/>
            <w:tcBorders>
              <w:top w:val="single" w:sz="4" w:space="0" w:color="auto"/>
              <w:bottom w:val="single" w:sz="4" w:space="0" w:color="auto"/>
            </w:tcBorders>
            <w:vAlign w:val="center"/>
          </w:tcPr>
          <w:p w14:paraId="2AF3EAC8"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13</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2</w:t>
            </w:r>
          </w:p>
        </w:tc>
        <w:tc>
          <w:tcPr>
            <w:tcW w:w="892" w:type="pct"/>
            <w:tcBorders>
              <w:top w:val="single" w:sz="4" w:space="0" w:color="auto"/>
              <w:bottom w:val="single" w:sz="4" w:space="0" w:color="auto"/>
            </w:tcBorders>
            <w:vAlign w:val="center"/>
          </w:tcPr>
          <w:p w14:paraId="6A82CCB3"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13</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2</w:t>
            </w:r>
          </w:p>
        </w:tc>
      </w:tr>
      <w:tr w:rsidR="00823070" w:rsidRPr="000D2186" w14:paraId="29073553" w14:textId="77777777" w:rsidTr="00344D9F">
        <w:tc>
          <w:tcPr>
            <w:tcW w:w="446" w:type="pct"/>
            <w:vMerge/>
            <w:tcBorders>
              <w:top w:val="single" w:sz="4" w:space="0" w:color="auto"/>
            </w:tcBorders>
            <w:vAlign w:val="center"/>
          </w:tcPr>
          <w:p w14:paraId="469522F6"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1487" w:type="pct"/>
            <w:tcBorders>
              <w:top w:val="single" w:sz="4" w:space="0" w:color="auto"/>
              <w:bottom w:val="single" w:sz="4" w:space="0" w:color="auto"/>
            </w:tcBorders>
            <w:vAlign w:val="center"/>
          </w:tcPr>
          <w:p w14:paraId="626B04FE"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Moderate Career Risk</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Taking Behaviour</w:t>
            </w:r>
          </w:p>
        </w:tc>
        <w:tc>
          <w:tcPr>
            <w:tcW w:w="707" w:type="pct"/>
            <w:tcBorders>
              <w:top w:val="single" w:sz="4" w:space="0" w:color="auto"/>
              <w:bottom w:val="single" w:sz="4" w:space="0" w:color="auto"/>
            </w:tcBorders>
            <w:vAlign w:val="center"/>
          </w:tcPr>
          <w:p w14:paraId="3EAB6502"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158</w:t>
            </w:r>
          </w:p>
        </w:tc>
        <w:tc>
          <w:tcPr>
            <w:tcW w:w="622" w:type="pct"/>
            <w:tcBorders>
              <w:top w:val="single" w:sz="4" w:space="0" w:color="auto"/>
              <w:bottom w:val="single" w:sz="4" w:space="0" w:color="auto"/>
            </w:tcBorders>
            <w:vAlign w:val="center"/>
          </w:tcPr>
          <w:p w14:paraId="504EC44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74</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5</w:t>
            </w:r>
          </w:p>
        </w:tc>
        <w:tc>
          <w:tcPr>
            <w:tcW w:w="846" w:type="pct"/>
            <w:tcBorders>
              <w:top w:val="single" w:sz="4" w:space="0" w:color="auto"/>
              <w:bottom w:val="single" w:sz="4" w:space="0" w:color="auto"/>
            </w:tcBorders>
            <w:vAlign w:val="center"/>
          </w:tcPr>
          <w:p w14:paraId="78CDE895"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74</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5</w:t>
            </w:r>
          </w:p>
        </w:tc>
        <w:tc>
          <w:tcPr>
            <w:tcW w:w="892" w:type="pct"/>
            <w:tcBorders>
              <w:top w:val="single" w:sz="4" w:space="0" w:color="auto"/>
              <w:bottom w:val="single" w:sz="4" w:space="0" w:color="auto"/>
            </w:tcBorders>
            <w:vAlign w:val="center"/>
          </w:tcPr>
          <w:p w14:paraId="0E608CD3"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87</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7</w:t>
            </w:r>
          </w:p>
        </w:tc>
      </w:tr>
      <w:tr w:rsidR="00823070" w:rsidRPr="000D2186" w14:paraId="6E29BD79" w14:textId="77777777" w:rsidTr="00344D9F">
        <w:tc>
          <w:tcPr>
            <w:tcW w:w="446" w:type="pct"/>
            <w:vMerge/>
            <w:vAlign w:val="center"/>
          </w:tcPr>
          <w:p w14:paraId="14956D3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1487" w:type="pct"/>
            <w:tcBorders>
              <w:top w:val="single" w:sz="4" w:space="0" w:color="auto"/>
              <w:bottom w:val="single" w:sz="4" w:space="0" w:color="auto"/>
            </w:tcBorders>
            <w:vAlign w:val="center"/>
          </w:tcPr>
          <w:p w14:paraId="438CD74A"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High Career Risk</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Taking Behaviour</w:t>
            </w:r>
          </w:p>
        </w:tc>
        <w:tc>
          <w:tcPr>
            <w:tcW w:w="707" w:type="pct"/>
            <w:tcBorders>
              <w:top w:val="single" w:sz="4" w:space="0" w:color="auto"/>
              <w:bottom w:val="single" w:sz="4" w:space="0" w:color="auto"/>
            </w:tcBorders>
            <w:vAlign w:val="center"/>
          </w:tcPr>
          <w:p w14:paraId="0D2BFDB7"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26</w:t>
            </w:r>
          </w:p>
        </w:tc>
        <w:tc>
          <w:tcPr>
            <w:tcW w:w="622" w:type="pct"/>
            <w:tcBorders>
              <w:top w:val="single" w:sz="4" w:space="0" w:color="auto"/>
              <w:bottom w:val="single" w:sz="4" w:space="0" w:color="auto"/>
            </w:tcBorders>
            <w:vAlign w:val="center"/>
          </w:tcPr>
          <w:p w14:paraId="6BB1020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12</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3</w:t>
            </w:r>
          </w:p>
        </w:tc>
        <w:tc>
          <w:tcPr>
            <w:tcW w:w="846" w:type="pct"/>
            <w:tcBorders>
              <w:top w:val="single" w:sz="4" w:space="0" w:color="auto"/>
              <w:bottom w:val="single" w:sz="4" w:space="0" w:color="auto"/>
            </w:tcBorders>
            <w:vAlign w:val="center"/>
          </w:tcPr>
          <w:p w14:paraId="00A8FC94"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12</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3</w:t>
            </w:r>
          </w:p>
        </w:tc>
        <w:tc>
          <w:tcPr>
            <w:tcW w:w="892" w:type="pct"/>
            <w:tcBorders>
              <w:top w:val="single" w:sz="4" w:space="0" w:color="auto"/>
              <w:bottom w:val="single" w:sz="4" w:space="0" w:color="auto"/>
            </w:tcBorders>
            <w:vAlign w:val="center"/>
          </w:tcPr>
          <w:p w14:paraId="6DEE6872"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100</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0</w:t>
            </w:r>
          </w:p>
        </w:tc>
      </w:tr>
      <w:tr w:rsidR="00823070" w:rsidRPr="000D2186" w14:paraId="7560300C" w14:textId="77777777" w:rsidTr="00344D9F">
        <w:tc>
          <w:tcPr>
            <w:tcW w:w="446" w:type="pct"/>
            <w:vMerge/>
            <w:vAlign w:val="center"/>
          </w:tcPr>
          <w:p w14:paraId="5256AB17"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1487" w:type="pct"/>
            <w:tcBorders>
              <w:top w:val="single" w:sz="4" w:space="0" w:color="auto"/>
            </w:tcBorders>
            <w:vAlign w:val="center"/>
          </w:tcPr>
          <w:p w14:paraId="61EE6CFE"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Total</w:t>
            </w:r>
          </w:p>
        </w:tc>
        <w:tc>
          <w:tcPr>
            <w:tcW w:w="707" w:type="pct"/>
            <w:tcBorders>
              <w:top w:val="single" w:sz="4" w:space="0" w:color="auto"/>
            </w:tcBorders>
            <w:vAlign w:val="center"/>
          </w:tcPr>
          <w:p w14:paraId="12D82BBC"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212</w:t>
            </w:r>
          </w:p>
        </w:tc>
        <w:tc>
          <w:tcPr>
            <w:tcW w:w="622" w:type="pct"/>
            <w:tcBorders>
              <w:top w:val="single" w:sz="4" w:space="0" w:color="auto"/>
            </w:tcBorders>
            <w:vAlign w:val="center"/>
          </w:tcPr>
          <w:p w14:paraId="0A128E83"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100</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0</w:t>
            </w:r>
          </w:p>
        </w:tc>
        <w:tc>
          <w:tcPr>
            <w:tcW w:w="846" w:type="pct"/>
            <w:tcBorders>
              <w:top w:val="single" w:sz="4" w:space="0" w:color="auto"/>
            </w:tcBorders>
            <w:vAlign w:val="center"/>
          </w:tcPr>
          <w:p w14:paraId="04F1E872"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100</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0</w:t>
            </w:r>
          </w:p>
        </w:tc>
        <w:tc>
          <w:tcPr>
            <w:tcW w:w="892" w:type="pct"/>
            <w:tcBorders>
              <w:top w:val="single" w:sz="4" w:space="0" w:color="auto"/>
            </w:tcBorders>
            <w:vAlign w:val="center"/>
          </w:tcPr>
          <w:p w14:paraId="4F6F2160"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r>
    </w:tbl>
    <w:p w14:paraId="2638D725" w14:textId="24B40F98" w:rsidR="00CC568D" w:rsidRPr="00CC568D" w:rsidRDefault="00CC568D" w:rsidP="00CC568D">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Pr>
          <w:rFonts w:ascii="Times New Roman" w:hAnsi="Times New Roman" w:cs="Times New Roman"/>
          <w:kern w:val="0"/>
          <w:sz w:val="24"/>
          <w:szCs w:val="24"/>
          <w:lang w:bidi="bn-IN"/>
        </w:rPr>
        <w:t>T</w:t>
      </w:r>
      <w:r w:rsidRPr="00CC568D">
        <w:rPr>
          <w:rFonts w:ascii="Times New Roman" w:hAnsi="Times New Roman" w:cs="Times New Roman"/>
          <w:kern w:val="0"/>
          <w:sz w:val="24"/>
          <w:szCs w:val="24"/>
          <w:lang w:bidi="bn-IN"/>
        </w:rPr>
        <w:t xml:space="preserve">able 1 presents the distribution of secondary school students according to their levels of career risk-taking behaviour. The findings indicate that a substantial majority of students (74.5%) fall within </w:t>
      </w:r>
      <w:r w:rsidRPr="00EC1DA1">
        <w:rPr>
          <w:rFonts w:ascii="Times New Roman" w:hAnsi="Times New Roman" w:cs="Times New Roman"/>
          <w:kern w:val="0"/>
          <w:sz w:val="24"/>
          <w:szCs w:val="24"/>
          <w:lang w:bidi="bn-IN"/>
        </w:rPr>
        <w:t>the moderate level category, suggesting a balanced orientation toward career decision-making, where students exhibit cautious yet exploratory tendencies. A smaller proportion of students (13.2%) demonstrates low career risk-taking behaviour, indicating a preference for safer and more secure career options. Similarly, only 12.3% of students fall under the high-risk-taking category,</w:t>
      </w:r>
      <w:r w:rsidRPr="00CC568D">
        <w:rPr>
          <w:rFonts w:ascii="Times New Roman" w:hAnsi="Times New Roman" w:cs="Times New Roman"/>
          <w:kern w:val="0"/>
          <w:sz w:val="24"/>
          <w:szCs w:val="24"/>
          <w:lang w:bidi="bn-IN"/>
        </w:rPr>
        <w:t xml:space="preserve"> reflecting a relatively limited inclination toward highly uncertain or unconventional career paths.</w:t>
      </w:r>
      <w:r>
        <w:rPr>
          <w:rFonts w:ascii="Times New Roman" w:hAnsi="Times New Roman" w:cs="Times New Roman"/>
          <w:kern w:val="0"/>
          <w:sz w:val="24"/>
          <w:szCs w:val="24"/>
          <w:lang w:bidi="bn-IN"/>
        </w:rPr>
        <w:t xml:space="preserve"> </w:t>
      </w:r>
      <w:r w:rsidRPr="00CC568D">
        <w:rPr>
          <w:rFonts w:ascii="Times New Roman" w:hAnsi="Times New Roman" w:cs="Times New Roman"/>
          <w:kern w:val="0"/>
          <w:sz w:val="24"/>
          <w:szCs w:val="24"/>
          <w:lang w:bidi="bn-IN"/>
        </w:rPr>
        <w:t xml:space="preserve">Overall, the distribution reveals that most students tend to adopt a moderate approach to career risk, highlighting a tendency toward equilibrium </w:t>
      </w:r>
      <w:r w:rsidRPr="00CC568D">
        <w:rPr>
          <w:rFonts w:ascii="Times New Roman" w:hAnsi="Times New Roman" w:cs="Times New Roman"/>
          <w:kern w:val="0"/>
          <w:sz w:val="24"/>
          <w:szCs w:val="24"/>
          <w:lang w:bidi="bn-IN"/>
        </w:rPr>
        <w:lastRenderedPageBreak/>
        <w:t>between risk and stability in career-related decisions. This pattern suggests that extreme risk orientations</w:t>
      </w:r>
      <w:r>
        <w:rPr>
          <w:rFonts w:ascii="Times New Roman" w:hAnsi="Times New Roman" w:cs="Times New Roman"/>
          <w:kern w:val="0"/>
          <w:sz w:val="24"/>
          <w:szCs w:val="24"/>
          <w:lang w:bidi="bn-IN"/>
        </w:rPr>
        <w:t>-</w:t>
      </w:r>
      <w:r w:rsidRPr="00CC568D">
        <w:rPr>
          <w:rFonts w:ascii="Times New Roman" w:hAnsi="Times New Roman" w:cs="Times New Roman"/>
          <w:kern w:val="0"/>
          <w:sz w:val="24"/>
          <w:szCs w:val="24"/>
          <w:lang w:bidi="bn-IN"/>
        </w:rPr>
        <w:t>either low or high—are less prevalent among the study population.</w:t>
      </w:r>
    </w:p>
    <w:p w14:paraId="062023D7" w14:textId="77777777" w:rsidR="00823070" w:rsidRDefault="00823070" w:rsidP="00823070">
      <w:pPr>
        <w:pStyle w:val="ListParagraph"/>
        <w:autoSpaceDE w:val="0"/>
        <w:autoSpaceDN w:val="0"/>
        <w:adjustRightInd w:val="0"/>
        <w:spacing w:before="0" w:beforeAutospacing="0" w:afterAutospacing="0" w:line="400" w:lineRule="atLeast"/>
        <w:ind w:left="360"/>
        <w:jc w:val="left"/>
        <w:rPr>
          <w:rFonts w:ascii="Times New Roman" w:hAnsi="Times New Roman" w:cs="Times New Roman"/>
          <w:kern w:val="0"/>
          <w:sz w:val="24"/>
          <w:szCs w:val="24"/>
          <w:lang w:bidi="bn-IN"/>
        </w:rPr>
      </w:pPr>
    </w:p>
    <w:p w14:paraId="076766F3" w14:textId="77777777" w:rsidR="00EA223A" w:rsidRDefault="00823070" w:rsidP="00EA223A">
      <w:pPr>
        <w:pStyle w:val="ListParagraph"/>
        <w:keepNext/>
        <w:autoSpaceDE w:val="0"/>
        <w:autoSpaceDN w:val="0"/>
        <w:adjustRightInd w:val="0"/>
        <w:spacing w:before="0" w:beforeAutospacing="0" w:afterAutospacing="0" w:line="400" w:lineRule="atLeast"/>
        <w:ind w:left="360"/>
        <w:jc w:val="left"/>
      </w:pPr>
      <w:r w:rsidRPr="007766DD">
        <w:rPr>
          <w:rFonts w:ascii="Times New Roman" w:hAnsi="Times New Roman" w:cs="Times New Roman"/>
          <w:noProof/>
          <w:kern w:val="0"/>
          <w:sz w:val="24"/>
          <w:szCs w:val="24"/>
          <w:lang w:bidi="bn-IN"/>
        </w:rPr>
        <w:drawing>
          <wp:inline distT="0" distB="0" distL="0" distR="0" wp14:anchorId="6AFA60B1" wp14:editId="35BBDE78">
            <wp:extent cx="5509452" cy="2826884"/>
            <wp:effectExtent l="0" t="0" r="0" b="0"/>
            <wp:docPr id="20166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374" name=""/>
                    <pic:cNvPicPr/>
                  </pic:nvPicPr>
                  <pic:blipFill>
                    <a:blip r:embed="rId25">
                      <a:extLst>
                        <a:ext uri="{BEBA8EAE-BF5A-486C-A8C5-ECC9F3942E4B}">
                          <a14:imgProps xmlns:a14="http://schemas.microsoft.com/office/drawing/2010/main">
                            <a14:imgLayer r:embed="rId26">
                              <a14:imgEffect>
                                <a14:sharpenSoften amount="50000"/>
                              </a14:imgEffect>
                              <a14:imgEffect>
                                <a14:saturation sat="400000"/>
                              </a14:imgEffect>
                            </a14:imgLayer>
                          </a14:imgProps>
                        </a:ext>
                      </a:extLst>
                    </a:blip>
                    <a:stretch>
                      <a:fillRect/>
                    </a:stretch>
                  </pic:blipFill>
                  <pic:spPr>
                    <a:xfrm>
                      <a:off x="0" y="0"/>
                      <a:ext cx="5547282" cy="2846294"/>
                    </a:xfrm>
                    <a:prstGeom prst="rect">
                      <a:avLst/>
                    </a:prstGeom>
                  </pic:spPr>
                </pic:pic>
              </a:graphicData>
            </a:graphic>
          </wp:inline>
        </w:drawing>
      </w:r>
    </w:p>
    <w:p w14:paraId="4A88C9E3" w14:textId="0A3028E5" w:rsidR="00823070" w:rsidRPr="00EA223A" w:rsidRDefault="00EA223A" w:rsidP="00EA223A">
      <w:pPr>
        <w:pStyle w:val="Caption"/>
        <w:jc w:val="left"/>
        <w:rPr>
          <w:rFonts w:ascii="Times New Roman" w:hAnsi="Times New Roman" w:cs="Times New Roman"/>
          <w:b/>
          <w:bCs/>
          <w:color w:val="000000" w:themeColor="text1"/>
          <w:kern w:val="0"/>
          <w:sz w:val="28"/>
          <w:szCs w:val="28"/>
          <w:lang w:bidi="bn-IN"/>
        </w:rPr>
      </w:pPr>
      <w:r w:rsidRPr="00EA223A">
        <w:rPr>
          <w:rFonts w:ascii="Times New Roman" w:hAnsi="Times New Roman" w:cs="Times New Roman"/>
          <w:b/>
          <w:bCs/>
          <w:color w:val="000000" w:themeColor="text1"/>
          <w:sz w:val="20"/>
          <w:szCs w:val="20"/>
        </w:rPr>
        <w:t xml:space="preserve">Figure </w:t>
      </w:r>
      <w:r w:rsidRPr="00EA223A">
        <w:rPr>
          <w:rFonts w:ascii="Times New Roman" w:hAnsi="Times New Roman" w:cs="Times New Roman"/>
          <w:b/>
          <w:bCs/>
          <w:color w:val="000000" w:themeColor="text1"/>
          <w:sz w:val="20"/>
          <w:szCs w:val="20"/>
        </w:rPr>
        <w:fldChar w:fldCharType="begin"/>
      </w:r>
      <w:r w:rsidRPr="00EA223A">
        <w:rPr>
          <w:rFonts w:ascii="Times New Roman" w:hAnsi="Times New Roman" w:cs="Times New Roman"/>
          <w:b/>
          <w:bCs/>
          <w:color w:val="000000" w:themeColor="text1"/>
          <w:sz w:val="20"/>
          <w:szCs w:val="20"/>
        </w:rPr>
        <w:instrText xml:space="preserve"> SEQ Figure \* ARABIC </w:instrText>
      </w:r>
      <w:r w:rsidRPr="00EA223A">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1</w:t>
      </w:r>
      <w:r w:rsidRPr="00EA223A">
        <w:rPr>
          <w:rFonts w:ascii="Times New Roman" w:hAnsi="Times New Roman" w:cs="Times New Roman"/>
          <w:b/>
          <w:bCs/>
          <w:color w:val="000000" w:themeColor="text1"/>
          <w:sz w:val="20"/>
          <w:szCs w:val="20"/>
        </w:rPr>
        <w:fldChar w:fldCharType="end"/>
      </w:r>
      <w:r w:rsidRPr="00EA223A">
        <w:rPr>
          <w:rFonts w:ascii="Times New Roman" w:hAnsi="Times New Roman" w:cs="Times New Roman"/>
          <w:b/>
          <w:bCs/>
          <w:color w:val="000000" w:themeColor="text1"/>
          <w:sz w:val="20"/>
          <w:szCs w:val="20"/>
        </w:rPr>
        <w:t>: Bar Chart Showing Levels of Career Risk-Taking Behaviour</w:t>
      </w:r>
    </w:p>
    <w:p w14:paraId="7CB5F163" w14:textId="77777777" w:rsidR="00823070" w:rsidRPr="00755A77" w:rsidRDefault="00823070" w:rsidP="00823070">
      <w:pPr>
        <w:pStyle w:val="NoSpacing"/>
        <w:ind w:firstLine="360"/>
        <w:jc w:val="both"/>
        <w:rPr>
          <w:rFonts w:ascii="Times New Roman" w:hAnsi="Times New Roman" w:cs="Times New Roman"/>
          <w:sz w:val="24"/>
          <w:szCs w:val="24"/>
        </w:rPr>
      </w:pPr>
      <w:r w:rsidRPr="00755A77">
        <w:rPr>
          <w:rFonts w:ascii="Times New Roman" w:hAnsi="Times New Roman" w:cs="Times New Roman"/>
          <w:sz w:val="24"/>
          <w:szCs w:val="24"/>
        </w:rPr>
        <w:t>Figure 1 illustrates the distribution of students across different levels of career risk-taking behaviour. It is evident from the bar chart that the majority of students (74.5%) fall under the moderate level of career risk-taking behaviour, as indicated by the tallest bar. In contrast, a smaller proportion of students exhibit low (13.2%) and high (12.3%) levels of career risk-taking behaviour, represented by comparatively shorter bars.</w:t>
      </w:r>
      <w:r w:rsidRPr="000F56B3">
        <w:rPr>
          <w:rFonts w:ascii="Times New Roman" w:hAnsi="Times New Roman" w:cs="Times New Roman"/>
          <w:sz w:val="24"/>
          <w:szCs w:val="24"/>
        </w:rPr>
        <w:t xml:space="preserve"> </w:t>
      </w:r>
      <w:r w:rsidRPr="00755A77">
        <w:rPr>
          <w:rFonts w:ascii="Times New Roman" w:hAnsi="Times New Roman" w:cs="Times New Roman"/>
          <w:sz w:val="24"/>
          <w:szCs w:val="24"/>
        </w:rPr>
        <w:t>This pattern suggests that most students adopt a balanced approach toward career decisions, showing a moderate willingness to take risks while still considering stability. Only a limited number of students are either highly risk-averse or highly risk-oriented in their career choices.</w:t>
      </w:r>
    </w:p>
    <w:p w14:paraId="55B6400A" w14:textId="77777777" w:rsidR="00823070" w:rsidRPr="00823070" w:rsidRDefault="00823070" w:rsidP="00823070">
      <w:pPr>
        <w:pStyle w:val="NoSpacing"/>
        <w:ind w:left="792"/>
        <w:jc w:val="both"/>
        <w:rPr>
          <w:rFonts w:ascii="Times New Roman" w:hAnsi="Times New Roman" w:cs="Times New Roman"/>
          <w:b/>
          <w:bCs/>
          <w:sz w:val="28"/>
          <w:szCs w:val="28"/>
        </w:rPr>
      </w:pPr>
    </w:p>
    <w:p w14:paraId="322611C9" w14:textId="6867C264" w:rsidR="00B32D30" w:rsidRPr="00B32D30" w:rsidRDefault="00B32D30" w:rsidP="00786516">
      <w:pPr>
        <w:pStyle w:val="NoSpacing"/>
        <w:numPr>
          <w:ilvl w:val="1"/>
          <w:numId w:val="31"/>
        </w:numPr>
        <w:ind w:left="567" w:hanging="567"/>
        <w:jc w:val="both"/>
        <w:rPr>
          <w:rFonts w:ascii="Times New Roman" w:hAnsi="Times New Roman" w:cs="Times New Roman"/>
          <w:b/>
          <w:bCs/>
          <w:sz w:val="28"/>
          <w:szCs w:val="28"/>
        </w:rPr>
      </w:pPr>
      <w:r w:rsidRPr="00B32D30">
        <w:rPr>
          <w:rFonts w:ascii="Times New Roman" w:hAnsi="Times New Roman" w:cs="Times New Roman"/>
          <w:b/>
          <w:bCs/>
          <w:sz w:val="24"/>
          <w:szCs w:val="24"/>
          <w:lang w:eastAsia="en-IN" w:bidi="bn-IN"/>
        </w:rPr>
        <w:t>To analyse the distribution of students based on demographic variables such as gender, academic stream, type of school, and monthly family income.</w:t>
      </w:r>
    </w:p>
    <w:p w14:paraId="247EBD42" w14:textId="3435D402" w:rsidR="00F12731" w:rsidRPr="005F762F" w:rsidRDefault="00F12731" w:rsidP="00F12731">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2</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w:t>
      </w:r>
      <w:r w:rsidR="005F762F">
        <w:rPr>
          <w:rFonts w:ascii="Times New Roman" w:hAnsi="Times New Roman" w:cs="Times New Roman"/>
          <w:b/>
          <w:bCs/>
          <w:color w:val="000000" w:themeColor="text1"/>
          <w:sz w:val="20"/>
          <w:szCs w:val="20"/>
        </w:rPr>
        <w:t xml:space="preserve"> </w:t>
      </w:r>
      <w:r w:rsidRPr="005F762F">
        <w:rPr>
          <w:rFonts w:ascii="Times New Roman" w:hAnsi="Times New Roman" w:cs="Times New Roman"/>
          <w:b/>
          <w:bCs/>
          <w:color w:val="000000" w:themeColor="text1"/>
          <w:sz w:val="20"/>
          <w:szCs w:val="20"/>
        </w:rPr>
        <w:t>Distribution of Students Based on Gender</w:t>
      </w:r>
    </w:p>
    <w:tbl>
      <w:tblPr>
        <w:tblStyle w:val="GridTable1Light-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
        <w:gridCol w:w="1253"/>
        <w:gridCol w:w="1562"/>
        <w:gridCol w:w="1376"/>
        <w:gridCol w:w="1870"/>
        <w:gridCol w:w="1973"/>
      </w:tblGrid>
      <w:tr w:rsidR="000F56B3" w:rsidRPr="000F56B3" w14:paraId="4F8CD25F" w14:textId="77777777" w:rsidTr="000A379B">
        <w:tc>
          <w:tcPr>
            <w:tcW w:w="5000" w:type="pct"/>
            <w:gridSpan w:val="6"/>
          </w:tcPr>
          <w:p w14:paraId="66C931EA" w14:textId="77777777" w:rsidR="005C3242" w:rsidRPr="000F56B3" w:rsidRDefault="005C3242" w:rsidP="006E086B">
            <w:pPr>
              <w:pStyle w:val="NoSpacing"/>
              <w:rPr>
                <w:rFonts w:ascii="Times New Roman" w:hAnsi="Times New Roman" w:cs="Times New Roman"/>
                <w:b/>
                <w:bCs/>
                <w:color w:val="000000" w:themeColor="text1"/>
                <w:sz w:val="24"/>
                <w:szCs w:val="24"/>
                <w:lang w:bidi="bn-IN"/>
              </w:rPr>
            </w:pPr>
            <w:r w:rsidRPr="000F56B3">
              <w:rPr>
                <w:rFonts w:ascii="Times New Roman" w:hAnsi="Times New Roman" w:cs="Times New Roman"/>
                <w:b/>
                <w:bCs/>
                <w:color w:val="000000" w:themeColor="text1"/>
                <w:sz w:val="24"/>
                <w:szCs w:val="24"/>
                <w:lang w:bidi="bn-IN"/>
              </w:rPr>
              <w:t>Gender of the Students</w:t>
            </w:r>
          </w:p>
        </w:tc>
      </w:tr>
      <w:tr w:rsidR="000F56B3" w:rsidRPr="000F56B3" w14:paraId="6860031D" w14:textId="77777777" w:rsidTr="000A379B">
        <w:tc>
          <w:tcPr>
            <w:tcW w:w="1239" w:type="pct"/>
            <w:gridSpan w:val="2"/>
          </w:tcPr>
          <w:p w14:paraId="686F63B8"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c>
          <w:tcPr>
            <w:tcW w:w="866" w:type="pct"/>
          </w:tcPr>
          <w:p w14:paraId="1451888D"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Frequency</w:t>
            </w:r>
          </w:p>
        </w:tc>
        <w:tc>
          <w:tcPr>
            <w:tcW w:w="763" w:type="pct"/>
          </w:tcPr>
          <w:p w14:paraId="16F0429F"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Percent</w:t>
            </w:r>
          </w:p>
        </w:tc>
        <w:tc>
          <w:tcPr>
            <w:tcW w:w="1037" w:type="pct"/>
          </w:tcPr>
          <w:p w14:paraId="1A38867C"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Valid Percent</w:t>
            </w:r>
          </w:p>
        </w:tc>
        <w:tc>
          <w:tcPr>
            <w:tcW w:w="1094" w:type="pct"/>
          </w:tcPr>
          <w:p w14:paraId="058C09C8"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Cumulative Percent</w:t>
            </w:r>
          </w:p>
        </w:tc>
      </w:tr>
      <w:tr w:rsidR="000F56B3" w:rsidRPr="000F56B3" w14:paraId="66EA90BD" w14:textId="77777777" w:rsidTr="000A379B">
        <w:tc>
          <w:tcPr>
            <w:tcW w:w="545" w:type="pct"/>
            <w:vMerge w:val="restart"/>
          </w:tcPr>
          <w:p w14:paraId="466457FC"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Valid</w:t>
            </w:r>
          </w:p>
        </w:tc>
        <w:tc>
          <w:tcPr>
            <w:tcW w:w="695" w:type="pct"/>
          </w:tcPr>
          <w:p w14:paraId="12904055"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Male</w:t>
            </w:r>
          </w:p>
        </w:tc>
        <w:tc>
          <w:tcPr>
            <w:tcW w:w="866" w:type="pct"/>
          </w:tcPr>
          <w:p w14:paraId="4300B1EE"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90</w:t>
            </w:r>
          </w:p>
        </w:tc>
        <w:tc>
          <w:tcPr>
            <w:tcW w:w="763" w:type="pct"/>
          </w:tcPr>
          <w:p w14:paraId="0CB6C205"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42</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37" w:type="pct"/>
          </w:tcPr>
          <w:p w14:paraId="5A3DE307"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42</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94" w:type="pct"/>
          </w:tcPr>
          <w:p w14:paraId="133B59A3"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42</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r>
      <w:tr w:rsidR="000F56B3" w:rsidRPr="000F56B3" w14:paraId="5CD2935C" w14:textId="77777777" w:rsidTr="000A379B">
        <w:tc>
          <w:tcPr>
            <w:tcW w:w="545" w:type="pct"/>
            <w:vMerge/>
          </w:tcPr>
          <w:p w14:paraId="4FBF8A49"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c>
          <w:tcPr>
            <w:tcW w:w="695" w:type="pct"/>
          </w:tcPr>
          <w:p w14:paraId="0228F46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Female</w:t>
            </w:r>
          </w:p>
        </w:tc>
        <w:tc>
          <w:tcPr>
            <w:tcW w:w="866" w:type="pct"/>
          </w:tcPr>
          <w:p w14:paraId="7833E94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122</w:t>
            </w:r>
          </w:p>
        </w:tc>
        <w:tc>
          <w:tcPr>
            <w:tcW w:w="763" w:type="pct"/>
          </w:tcPr>
          <w:p w14:paraId="7A884F69"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57</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37" w:type="pct"/>
          </w:tcPr>
          <w:p w14:paraId="5A5B562B"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57</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94" w:type="pct"/>
          </w:tcPr>
          <w:p w14:paraId="7D05A687"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100</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0</w:t>
            </w:r>
          </w:p>
        </w:tc>
      </w:tr>
      <w:tr w:rsidR="000F56B3" w:rsidRPr="000F56B3" w14:paraId="34C9E1C8" w14:textId="77777777" w:rsidTr="000A379B">
        <w:tc>
          <w:tcPr>
            <w:tcW w:w="545" w:type="pct"/>
            <w:vMerge/>
          </w:tcPr>
          <w:p w14:paraId="156C164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c>
          <w:tcPr>
            <w:tcW w:w="695" w:type="pct"/>
          </w:tcPr>
          <w:p w14:paraId="6E9E695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Total</w:t>
            </w:r>
          </w:p>
        </w:tc>
        <w:tc>
          <w:tcPr>
            <w:tcW w:w="866" w:type="pct"/>
          </w:tcPr>
          <w:p w14:paraId="4E3B40FC"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212</w:t>
            </w:r>
          </w:p>
        </w:tc>
        <w:tc>
          <w:tcPr>
            <w:tcW w:w="763" w:type="pct"/>
          </w:tcPr>
          <w:p w14:paraId="5238E76D"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100</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0</w:t>
            </w:r>
          </w:p>
        </w:tc>
        <w:tc>
          <w:tcPr>
            <w:tcW w:w="1037" w:type="pct"/>
          </w:tcPr>
          <w:p w14:paraId="6C131F4E"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100</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0</w:t>
            </w:r>
          </w:p>
        </w:tc>
        <w:tc>
          <w:tcPr>
            <w:tcW w:w="1094" w:type="pct"/>
          </w:tcPr>
          <w:p w14:paraId="34A4E3F4"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r>
    </w:tbl>
    <w:p w14:paraId="29826CA6" w14:textId="77777777" w:rsidR="00E03A5E" w:rsidRDefault="00E03A5E"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189365F3" w14:textId="4BCE9252" w:rsidR="00ED5CC1" w:rsidRPr="00ED5CC1" w:rsidRDefault="00937859" w:rsidP="00ED5CC1">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ED5CC1">
        <w:rPr>
          <w:rFonts w:ascii="Times New Roman" w:hAnsi="Times New Roman" w:cs="Times New Roman"/>
          <w:kern w:val="0"/>
          <w:sz w:val="24"/>
          <w:szCs w:val="24"/>
          <w:lang w:bidi="bn-IN"/>
        </w:rPr>
        <w:t>T</w:t>
      </w:r>
      <w:r w:rsidR="003548A2" w:rsidRPr="00ED5CC1">
        <w:rPr>
          <w:rFonts w:ascii="Times New Roman" w:hAnsi="Times New Roman" w:cs="Times New Roman"/>
          <w:kern w:val="0"/>
          <w:sz w:val="24"/>
          <w:szCs w:val="24"/>
          <w:lang w:bidi="bn-IN"/>
        </w:rPr>
        <w:t>able 2</w:t>
      </w:r>
      <w:r w:rsidRPr="00ED5CC1">
        <w:rPr>
          <w:rFonts w:ascii="Times New Roman" w:hAnsi="Times New Roman" w:cs="Times New Roman"/>
          <w:kern w:val="0"/>
          <w:sz w:val="24"/>
          <w:szCs w:val="24"/>
          <w:lang w:bidi="bn-IN"/>
        </w:rPr>
        <w:t xml:space="preserve"> </w:t>
      </w:r>
      <w:r w:rsidR="00ED5CC1" w:rsidRPr="00ED5CC1">
        <w:rPr>
          <w:rFonts w:ascii="Times New Roman" w:hAnsi="Times New Roman" w:cs="Times New Roman"/>
          <w:kern w:val="0"/>
          <w:sz w:val="24"/>
          <w:szCs w:val="24"/>
          <w:lang w:bidi="bn-IN"/>
        </w:rPr>
        <w:t>The gender distribution indicates a slight predominance of female students (57.5%) over male students (42.5%) within the sample. However, the difference is not substantial, suggesting a reasonably balanced representation of both genders, thereby ensuring that gender-based comparisons in subsequent analyses are not significantly biased.</w:t>
      </w:r>
    </w:p>
    <w:p w14:paraId="412FB60A" w14:textId="77777777" w:rsidR="00ED5CC1" w:rsidRPr="00B20E78" w:rsidRDefault="00ED5CC1" w:rsidP="00ED5CC1">
      <w:pPr>
        <w:autoSpaceDE w:val="0"/>
        <w:autoSpaceDN w:val="0"/>
        <w:adjustRightInd w:val="0"/>
        <w:spacing w:before="0" w:beforeAutospacing="0" w:afterAutospacing="0" w:line="240" w:lineRule="auto"/>
        <w:rPr>
          <w:rFonts w:ascii="Times New Roman" w:hAnsi="Times New Roman" w:cs="Times New Roman"/>
          <w:kern w:val="0"/>
          <w:sz w:val="24"/>
          <w:szCs w:val="24"/>
          <w:lang w:bidi="bn-IN"/>
        </w:rPr>
      </w:pPr>
    </w:p>
    <w:p w14:paraId="12F7E9F2" w14:textId="60816F11" w:rsidR="00C85E53" w:rsidRPr="005F762F" w:rsidRDefault="00C85E53" w:rsidP="00C85E53">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lastRenderedPageBreak/>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3</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 Distribution of Students Based on Academic Stream</w:t>
      </w:r>
    </w:p>
    <w:tbl>
      <w:tblPr>
        <w:tblStyle w:val="GridTable1Light-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1592"/>
        <w:gridCol w:w="1493"/>
        <w:gridCol w:w="1316"/>
        <w:gridCol w:w="1787"/>
        <w:gridCol w:w="1886"/>
      </w:tblGrid>
      <w:tr w:rsidR="00B20E78" w:rsidRPr="006E086B" w14:paraId="7F82C2AC" w14:textId="77777777" w:rsidTr="000A379B">
        <w:tc>
          <w:tcPr>
            <w:tcW w:w="5000" w:type="pct"/>
            <w:gridSpan w:val="6"/>
          </w:tcPr>
          <w:p w14:paraId="4D3EDBCA" w14:textId="77777777" w:rsidR="00B20E78" w:rsidRPr="00DA6839" w:rsidRDefault="00B20E78" w:rsidP="006E086B">
            <w:pPr>
              <w:pStyle w:val="NoSpacing"/>
              <w:rPr>
                <w:rFonts w:ascii="Times New Roman" w:hAnsi="Times New Roman" w:cs="Times New Roman"/>
                <w:b/>
                <w:bCs/>
                <w:lang w:bidi="bn-IN"/>
              </w:rPr>
            </w:pPr>
            <w:r w:rsidRPr="00DA6839">
              <w:rPr>
                <w:rFonts w:ascii="Times New Roman" w:hAnsi="Times New Roman" w:cs="Times New Roman"/>
                <w:b/>
                <w:bCs/>
                <w:lang w:bidi="bn-IN"/>
              </w:rPr>
              <w:t>Stream of the student</w:t>
            </w:r>
          </w:p>
        </w:tc>
      </w:tr>
      <w:tr w:rsidR="00B20E78" w:rsidRPr="006E086B" w14:paraId="04831D5A" w14:textId="77777777" w:rsidTr="000A379B">
        <w:tc>
          <w:tcPr>
            <w:tcW w:w="1405" w:type="pct"/>
            <w:gridSpan w:val="2"/>
          </w:tcPr>
          <w:p w14:paraId="56734F12"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28" w:type="pct"/>
          </w:tcPr>
          <w:p w14:paraId="20AD58DB"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Frequency</w:t>
            </w:r>
          </w:p>
        </w:tc>
        <w:tc>
          <w:tcPr>
            <w:tcW w:w="730" w:type="pct"/>
          </w:tcPr>
          <w:p w14:paraId="353691F1"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Percent</w:t>
            </w:r>
          </w:p>
        </w:tc>
        <w:tc>
          <w:tcPr>
            <w:tcW w:w="991" w:type="pct"/>
          </w:tcPr>
          <w:p w14:paraId="09898FDD"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Valid Percent</w:t>
            </w:r>
          </w:p>
        </w:tc>
        <w:tc>
          <w:tcPr>
            <w:tcW w:w="1046" w:type="pct"/>
          </w:tcPr>
          <w:p w14:paraId="7D60C56F"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Cumulative Percent</w:t>
            </w:r>
          </w:p>
        </w:tc>
      </w:tr>
      <w:tr w:rsidR="00B20E78" w:rsidRPr="006E086B" w14:paraId="490EDF66" w14:textId="77777777" w:rsidTr="000A379B">
        <w:tc>
          <w:tcPr>
            <w:tcW w:w="522" w:type="pct"/>
            <w:vMerge w:val="restart"/>
          </w:tcPr>
          <w:p w14:paraId="3509BA12"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Valid</w:t>
            </w:r>
          </w:p>
        </w:tc>
        <w:tc>
          <w:tcPr>
            <w:tcW w:w="883" w:type="pct"/>
          </w:tcPr>
          <w:p w14:paraId="51341D1B"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Science</w:t>
            </w:r>
          </w:p>
        </w:tc>
        <w:tc>
          <w:tcPr>
            <w:tcW w:w="828" w:type="pct"/>
          </w:tcPr>
          <w:p w14:paraId="574D631C"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67</w:t>
            </w:r>
          </w:p>
        </w:tc>
        <w:tc>
          <w:tcPr>
            <w:tcW w:w="730" w:type="pct"/>
          </w:tcPr>
          <w:p w14:paraId="4EDFFBE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31</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6</w:t>
            </w:r>
          </w:p>
        </w:tc>
        <w:tc>
          <w:tcPr>
            <w:tcW w:w="991" w:type="pct"/>
          </w:tcPr>
          <w:p w14:paraId="01CF480D"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31</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6</w:t>
            </w:r>
          </w:p>
        </w:tc>
        <w:tc>
          <w:tcPr>
            <w:tcW w:w="1046" w:type="pct"/>
          </w:tcPr>
          <w:p w14:paraId="080BD59F"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31</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6</w:t>
            </w:r>
          </w:p>
        </w:tc>
      </w:tr>
      <w:tr w:rsidR="00B20E78" w:rsidRPr="006E086B" w14:paraId="0B73D6CC" w14:textId="77777777" w:rsidTr="000A379B">
        <w:tc>
          <w:tcPr>
            <w:tcW w:w="522" w:type="pct"/>
            <w:vMerge/>
          </w:tcPr>
          <w:p w14:paraId="5A9D2416"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83" w:type="pct"/>
          </w:tcPr>
          <w:p w14:paraId="597E3AF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Arts</w:t>
            </w:r>
          </w:p>
        </w:tc>
        <w:tc>
          <w:tcPr>
            <w:tcW w:w="828" w:type="pct"/>
          </w:tcPr>
          <w:p w14:paraId="5AA8901C"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69</w:t>
            </w:r>
          </w:p>
        </w:tc>
        <w:tc>
          <w:tcPr>
            <w:tcW w:w="730" w:type="pct"/>
          </w:tcPr>
          <w:p w14:paraId="0FAD6A7A"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991" w:type="pct"/>
          </w:tcPr>
          <w:p w14:paraId="0ADA77CE"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1046" w:type="pct"/>
          </w:tcPr>
          <w:p w14:paraId="7A32D720"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64</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2</w:t>
            </w:r>
          </w:p>
        </w:tc>
      </w:tr>
      <w:tr w:rsidR="00B20E78" w:rsidRPr="006E086B" w14:paraId="05348F31" w14:textId="77777777" w:rsidTr="000A379B">
        <w:tc>
          <w:tcPr>
            <w:tcW w:w="522" w:type="pct"/>
            <w:vMerge/>
          </w:tcPr>
          <w:p w14:paraId="7604006F"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83" w:type="pct"/>
          </w:tcPr>
          <w:p w14:paraId="1291A899"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Commerce</w:t>
            </w:r>
          </w:p>
        </w:tc>
        <w:tc>
          <w:tcPr>
            <w:tcW w:w="828" w:type="pct"/>
          </w:tcPr>
          <w:p w14:paraId="78FDBC3C"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76</w:t>
            </w:r>
          </w:p>
        </w:tc>
        <w:tc>
          <w:tcPr>
            <w:tcW w:w="730" w:type="pct"/>
          </w:tcPr>
          <w:p w14:paraId="392B550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35</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8</w:t>
            </w:r>
          </w:p>
        </w:tc>
        <w:tc>
          <w:tcPr>
            <w:tcW w:w="991" w:type="pct"/>
          </w:tcPr>
          <w:p w14:paraId="4E6940CF"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35</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8</w:t>
            </w:r>
          </w:p>
        </w:tc>
        <w:tc>
          <w:tcPr>
            <w:tcW w:w="1046" w:type="pct"/>
          </w:tcPr>
          <w:p w14:paraId="36E8348B"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r>
      <w:tr w:rsidR="00B20E78" w:rsidRPr="006E086B" w14:paraId="401047D8" w14:textId="77777777" w:rsidTr="000A379B">
        <w:tc>
          <w:tcPr>
            <w:tcW w:w="522" w:type="pct"/>
            <w:vMerge/>
          </w:tcPr>
          <w:p w14:paraId="4C660458"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83" w:type="pct"/>
          </w:tcPr>
          <w:p w14:paraId="00C190FE"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Total</w:t>
            </w:r>
          </w:p>
        </w:tc>
        <w:tc>
          <w:tcPr>
            <w:tcW w:w="828" w:type="pct"/>
          </w:tcPr>
          <w:p w14:paraId="1CE41EC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212</w:t>
            </w:r>
          </w:p>
        </w:tc>
        <w:tc>
          <w:tcPr>
            <w:tcW w:w="730" w:type="pct"/>
          </w:tcPr>
          <w:p w14:paraId="767D0B69"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991" w:type="pct"/>
          </w:tcPr>
          <w:p w14:paraId="362BA80E"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1046" w:type="pct"/>
          </w:tcPr>
          <w:p w14:paraId="43DAE858" w14:textId="77777777" w:rsidR="00B20E78" w:rsidRPr="006E086B" w:rsidRDefault="00B20E78" w:rsidP="006E086B">
            <w:pPr>
              <w:pStyle w:val="NoSpacing"/>
              <w:jc w:val="center"/>
              <w:rPr>
                <w:rFonts w:ascii="Times New Roman" w:hAnsi="Times New Roman" w:cs="Times New Roman"/>
                <w:sz w:val="24"/>
                <w:szCs w:val="24"/>
                <w:lang w:bidi="bn-IN"/>
              </w:rPr>
            </w:pPr>
          </w:p>
        </w:tc>
      </w:tr>
    </w:tbl>
    <w:p w14:paraId="0587EAE2" w14:textId="77777777" w:rsidR="00E03A5E" w:rsidRDefault="00E03A5E"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33C3A569" w14:textId="4607E7A1" w:rsidR="00B20E78" w:rsidRPr="00B20E78" w:rsidRDefault="006D2ADB"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6D2ADB">
        <w:rPr>
          <w:rFonts w:ascii="Times New Roman" w:hAnsi="Times New Roman" w:cs="Times New Roman"/>
          <w:kern w:val="0"/>
          <w:sz w:val="24"/>
          <w:szCs w:val="24"/>
          <w:lang w:bidi="bn-IN"/>
        </w:rPr>
        <w:t>T</w:t>
      </w:r>
      <w:r w:rsidR="003548A2">
        <w:rPr>
          <w:rFonts w:ascii="Times New Roman" w:hAnsi="Times New Roman" w:cs="Times New Roman"/>
          <w:kern w:val="0"/>
          <w:sz w:val="24"/>
          <w:szCs w:val="24"/>
          <w:lang w:bidi="bn-IN"/>
        </w:rPr>
        <w:t xml:space="preserve">able 3 </w:t>
      </w:r>
      <w:r w:rsidRPr="006D2ADB">
        <w:rPr>
          <w:rFonts w:ascii="Times New Roman" w:hAnsi="Times New Roman" w:cs="Times New Roman"/>
          <w:kern w:val="0"/>
          <w:sz w:val="24"/>
          <w:szCs w:val="24"/>
          <w:lang w:bidi="bn-IN"/>
        </w:rPr>
        <w:t>distribution of students across different academic streams reveals that 67 students (31.6%) belonged to the Science stream, 69 students (32.5%) were from the Arts stream, and 76 students (35.8%) were from the Commerce stream. This indicates a relatively balanced representation of students across all three streams, with a slightly higher proportion from the Commerce stream.</w:t>
      </w:r>
    </w:p>
    <w:p w14:paraId="5A057B2A" w14:textId="46A79DFD" w:rsidR="00C85E53" w:rsidRPr="005F762F" w:rsidRDefault="00C85E53" w:rsidP="00C85E53">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4</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 Distribution of Students Based on Type of School</w:t>
      </w:r>
    </w:p>
    <w:tbl>
      <w:tblPr>
        <w:tblStyle w:val="GridTable1Light-Accent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2681"/>
        <w:gridCol w:w="1275"/>
        <w:gridCol w:w="1122"/>
        <w:gridCol w:w="1526"/>
        <w:gridCol w:w="1608"/>
      </w:tblGrid>
      <w:tr w:rsidR="00B20E78" w:rsidRPr="006E086B" w14:paraId="6214EF3F" w14:textId="77777777" w:rsidTr="000A379B">
        <w:tc>
          <w:tcPr>
            <w:tcW w:w="5000" w:type="pct"/>
            <w:gridSpan w:val="6"/>
          </w:tcPr>
          <w:p w14:paraId="73AD8003" w14:textId="5FE0EC11" w:rsidR="00B20E78" w:rsidRPr="00DA6839" w:rsidRDefault="00B20E78" w:rsidP="006E086B">
            <w:pPr>
              <w:pStyle w:val="NoSpacing"/>
              <w:rPr>
                <w:rFonts w:ascii="Times New Roman" w:hAnsi="Times New Roman" w:cs="Times New Roman"/>
                <w:b/>
                <w:bCs/>
                <w:lang w:bidi="bn-IN"/>
              </w:rPr>
            </w:pPr>
            <w:r w:rsidRPr="00DA6839">
              <w:rPr>
                <w:rFonts w:ascii="Times New Roman" w:hAnsi="Times New Roman" w:cs="Times New Roman"/>
                <w:b/>
                <w:bCs/>
                <w:lang w:bidi="bn-IN"/>
              </w:rPr>
              <w:t>Type of School</w:t>
            </w:r>
          </w:p>
        </w:tc>
      </w:tr>
      <w:tr w:rsidR="00B20E78" w:rsidRPr="006E086B" w14:paraId="41887523" w14:textId="77777777" w:rsidTr="000A379B">
        <w:tc>
          <w:tcPr>
            <w:tcW w:w="1933" w:type="pct"/>
            <w:gridSpan w:val="2"/>
          </w:tcPr>
          <w:p w14:paraId="582B1CFA" w14:textId="77777777" w:rsidR="00B20E78" w:rsidRPr="006E086B" w:rsidRDefault="00B20E78" w:rsidP="006E086B">
            <w:pPr>
              <w:pStyle w:val="NoSpacing"/>
              <w:rPr>
                <w:rFonts w:ascii="Times New Roman" w:hAnsi="Times New Roman" w:cs="Times New Roman"/>
                <w:sz w:val="24"/>
                <w:szCs w:val="24"/>
                <w:lang w:bidi="bn-IN"/>
              </w:rPr>
            </w:pPr>
          </w:p>
        </w:tc>
        <w:tc>
          <w:tcPr>
            <w:tcW w:w="707" w:type="pct"/>
          </w:tcPr>
          <w:p w14:paraId="09037B8A"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Frequency</w:t>
            </w:r>
          </w:p>
        </w:tc>
        <w:tc>
          <w:tcPr>
            <w:tcW w:w="622" w:type="pct"/>
          </w:tcPr>
          <w:p w14:paraId="65A71301"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Percent</w:t>
            </w:r>
          </w:p>
        </w:tc>
        <w:tc>
          <w:tcPr>
            <w:tcW w:w="846" w:type="pct"/>
          </w:tcPr>
          <w:p w14:paraId="5590FE34"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Valid Percent</w:t>
            </w:r>
          </w:p>
        </w:tc>
        <w:tc>
          <w:tcPr>
            <w:tcW w:w="892" w:type="pct"/>
          </w:tcPr>
          <w:p w14:paraId="3674FFDC"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Cumulative Percent</w:t>
            </w:r>
          </w:p>
        </w:tc>
      </w:tr>
      <w:tr w:rsidR="00B20E78" w:rsidRPr="006E086B" w14:paraId="69F84F04" w14:textId="77777777" w:rsidTr="000A379B">
        <w:tc>
          <w:tcPr>
            <w:tcW w:w="446" w:type="pct"/>
            <w:vMerge w:val="restart"/>
          </w:tcPr>
          <w:p w14:paraId="2B028DDE"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Valid</w:t>
            </w:r>
          </w:p>
        </w:tc>
        <w:tc>
          <w:tcPr>
            <w:tcW w:w="1487" w:type="pct"/>
          </w:tcPr>
          <w:p w14:paraId="1C09426F"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Government School</w:t>
            </w:r>
          </w:p>
        </w:tc>
        <w:tc>
          <w:tcPr>
            <w:tcW w:w="707" w:type="pct"/>
          </w:tcPr>
          <w:p w14:paraId="2A466C6D"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175</w:t>
            </w:r>
          </w:p>
        </w:tc>
        <w:tc>
          <w:tcPr>
            <w:tcW w:w="622" w:type="pct"/>
          </w:tcPr>
          <w:p w14:paraId="6ABA4BBD"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82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46" w:type="pct"/>
          </w:tcPr>
          <w:p w14:paraId="07F89011"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82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92" w:type="pct"/>
          </w:tcPr>
          <w:p w14:paraId="65BBA00F"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82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r>
      <w:tr w:rsidR="00B20E78" w:rsidRPr="006E086B" w14:paraId="325D718C" w14:textId="77777777" w:rsidTr="000A379B">
        <w:tc>
          <w:tcPr>
            <w:tcW w:w="446" w:type="pct"/>
            <w:vMerge/>
          </w:tcPr>
          <w:p w14:paraId="75FC380C" w14:textId="77777777" w:rsidR="00B20E78" w:rsidRPr="006E086B" w:rsidRDefault="00B20E78" w:rsidP="006E086B">
            <w:pPr>
              <w:pStyle w:val="NoSpacing"/>
              <w:rPr>
                <w:rFonts w:ascii="Times New Roman" w:hAnsi="Times New Roman" w:cs="Times New Roman"/>
                <w:sz w:val="24"/>
                <w:szCs w:val="24"/>
                <w:lang w:bidi="bn-IN"/>
              </w:rPr>
            </w:pPr>
          </w:p>
        </w:tc>
        <w:tc>
          <w:tcPr>
            <w:tcW w:w="1487" w:type="pct"/>
          </w:tcPr>
          <w:p w14:paraId="67FF1E44"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Government Aided School</w:t>
            </w:r>
          </w:p>
        </w:tc>
        <w:tc>
          <w:tcPr>
            <w:tcW w:w="707" w:type="pct"/>
          </w:tcPr>
          <w:p w14:paraId="413904EC"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37</w:t>
            </w:r>
          </w:p>
        </w:tc>
        <w:tc>
          <w:tcPr>
            <w:tcW w:w="622" w:type="pct"/>
          </w:tcPr>
          <w:p w14:paraId="437EB2FE"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17</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46" w:type="pct"/>
          </w:tcPr>
          <w:p w14:paraId="6EA58B45"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17</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92" w:type="pct"/>
          </w:tcPr>
          <w:p w14:paraId="5FDCBD77"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r>
      <w:tr w:rsidR="00B20E78" w:rsidRPr="006E086B" w14:paraId="65979EBC" w14:textId="77777777" w:rsidTr="000A379B">
        <w:tc>
          <w:tcPr>
            <w:tcW w:w="446" w:type="pct"/>
            <w:vMerge/>
          </w:tcPr>
          <w:p w14:paraId="45D9D03D" w14:textId="77777777" w:rsidR="00B20E78" w:rsidRPr="006E086B" w:rsidRDefault="00B20E78" w:rsidP="006E086B">
            <w:pPr>
              <w:pStyle w:val="NoSpacing"/>
              <w:rPr>
                <w:rFonts w:ascii="Times New Roman" w:hAnsi="Times New Roman" w:cs="Times New Roman"/>
                <w:sz w:val="24"/>
                <w:szCs w:val="24"/>
                <w:lang w:bidi="bn-IN"/>
              </w:rPr>
            </w:pPr>
          </w:p>
        </w:tc>
        <w:tc>
          <w:tcPr>
            <w:tcW w:w="1487" w:type="pct"/>
          </w:tcPr>
          <w:p w14:paraId="50169FD5"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Total</w:t>
            </w:r>
          </w:p>
        </w:tc>
        <w:tc>
          <w:tcPr>
            <w:tcW w:w="707" w:type="pct"/>
          </w:tcPr>
          <w:p w14:paraId="0EFE88E5"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212</w:t>
            </w:r>
          </w:p>
        </w:tc>
        <w:tc>
          <w:tcPr>
            <w:tcW w:w="622" w:type="pct"/>
          </w:tcPr>
          <w:p w14:paraId="55D67CDA"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846" w:type="pct"/>
          </w:tcPr>
          <w:p w14:paraId="208091DC"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892" w:type="pct"/>
          </w:tcPr>
          <w:p w14:paraId="7F687684" w14:textId="77777777" w:rsidR="00B20E78" w:rsidRPr="006E086B" w:rsidRDefault="00B20E78" w:rsidP="006E086B">
            <w:pPr>
              <w:pStyle w:val="NoSpacing"/>
              <w:rPr>
                <w:rFonts w:ascii="Times New Roman" w:hAnsi="Times New Roman" w:cs="Times New Roman"/>
                <w:sz w:val="24"/>
                <w:szCs w:val="24"/>
                <w:lang w:bidi="bn-IN"/>
              </w:rPr>
            </w:pPr>
          </w:p>
        </w:tc>
      </w:tr>
    </w:tbl>
    <w:p w14:paraId="019AB3C3" w14:textId="77777777" w:rsidR="00E03A5E" w:rsidRDefault="00E03A5E" w:rsidP="005F762F">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46D5E803" w14:textId="2CB28D6C" w:rsidR="006D2ADB" w:rsidRPr="0020636C" w:rsidRDefault="006D2ADB" w:rsidP="005F762F">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6D2ADB">
        <w:rPr>
          <w:rFonts w:ascii="Times New Roman" w:hAnsi="Times New Roman" w:cs="Times New Roman"/>
          <w:kern w:val="0"/>
          <w:sz w:val="24"/>
          <w:szCs w:val="24"/>
          <w:lang w:bidi="bn-IN"/>
        </w:rPr>
        <w:t>T</w:t>
      </w:r>
      <w:r w:rsidR="005B72B8">
        <w:rPr>
          <w:rFonts w:ascii="Times New Roman" w:hAnsi="Times New Roman" w:cs="Times New Roman"/>
          <w:kern w:val="0"/>
          <w:sz w:val="24"/>
          <w:szCs w:val="24"/>
          <w:lang w:bidi="bn-IN"/>
        </w:rPr>
        <w:t xml:space="preserve">able </w:t>
      </w:r>
      <w:r w:rsidR="003548A2">
        <w:rPr>
          <w:rFonts w:ascii="Times New Roman" w:hAnsi="Times New Roman" w:cs="Times New Roman"/>
          <w:kern w:val="0"/>
          <w:sz w:val="24"/>
          <w:szCs w:val="24"/>
          <w:lang w:bidi="bn-IN"/>
        </w:rPr>
        <w:t>4</w:t>
      </w:r>
      <w:r w:rsidRPr="006D2ADB">
        <w:rPr>
          <w:rFonts w:ascii="Times New Roman" w:hAnsi="Times New Roman" w:cs="Times New Roman"/>
          <w:kern w:val="0"/>
          <w:sz w:val="24"/>
          <w:szCs w:val="24"/>
          <w:lang w:bidi="bn-IN"/>
        </w:rPr>
        <w:t xml:space="preserve"> distribution based on type of school shows that the majority of students, 175 (82.5%), were from Government schools, while 37 students (17.5%) were from Government-aided schools. This indicates that most respondents in the study were enrolled in Government schools.</w:t>
      </w:r>
    </w:p>
    <w:p w14:paraId="019724CF" w14:textId="6A01E095" w:rsidR="005F762F" w:rsidRPr="005F762F" w:rsidRDefault="005F762F" w:rsidP="005F762F">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5</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 Distribution of Students Based on Monthly Family Income (Socioeconomic Status)</w:t>
      </w: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1782"/>
        <w:gridCol w:w="1455"/>
        <w:gridCol w:w="1282"/>
        <w:gridCol w:w="1742"/>
        <w:gridCol w:w="1839"/>
      </w:tblGrid>
      <w:tr w:rsidR="0020636C" w:rsidRPr="00243A4F" w14:paraId="485560A2" w14:textId="77777777" w:rsidTr="000A379B">
        <w:tc>
          <w:tcPr>
            <w:tcW w:w="5000" w:type="pct"/>
            <w:gridSpan w:val="6"/>
          </w:tcPr>
          <w:p w14:paraId="5AECC52E" w14:textId="77777777" w:rsidR="0020636C" w:rsidRPr="00243A4F" w:rsidRDefault="0020636C" w:rsidP="00243A4F">
            <w:pPr>
              <w:pStyle w:val="NoSpacing"/>
              <w:rPr>
                <w:rFonts w:ascii="Times New Roman" w:hAnsi="Times New Roman" w:cs="Times New Roman"/>
                <w:b/>
                <w:bCs/>
                <w:lang w:bidi="bn-IN"/>
              </w:rPr>
            </w:pPr>
            <w:r w:rsidRPr="00243A4F">
              <w:rPr>
                <w:rFonts w:ascii="Times New Roman" w:hAnsi="Times New Roman" w:cs="Times New Roman"/>
                <w:b/>
                <w:bCs/>
                <w:lang w:bidi="bn-IN"/>
              </w:rPr>
              <w:t>Monthly Family Income</w:t>
            </w:r>
          </w:p>
        </w:tc>
      </w:tr>
      <w:tr w:rsidR="0020636C" w:rsidRPr="00243A4F" w14:paraId="5B86973C" w14:textId="77777777" w:rsidTr="000A379B">
        <w:tc>
          <w:tcPr>
            <w:tcW w:w="1496" w:type="pct"/>
            <w:gridSpan w:val="2"/>
          </w:tcPr>
          <w:p w14:paraId="0E690869" w14:textId="77777777" w:rsidR="0020636C" w:rsidRPr="00243A4F" w:rsidRDefault="0020636C" w:rsidP="00243A4F">
            <w:pPr>
              <w:pStyle w:val="NoSpacing"/>
              <w:jc w:val="center"/>
              <w:rPr>
                <w:rFonts w:ascii="Times New Roman" w:hAnsi="Times New Roman" w:cs="Times New Roman"/>
                <w:lang w:bidi="bn-IN"/>
              </w:rPr>
            </w:pPr>
          </w:p>
        </w:tc>
        <w:tc>
          <w:tcPr>
            <w:tcW w:w="807" w:type="pct"/>
          </w:tcPr>
          <w:p w14:paraId="6E746AA6"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Frequency</w:t>
            </w:r>
          </w:p>
        </w:tc>
        <w:tc>
          <w:tcPr>
            <w:tcW w:w="711" w:type="pct"/>
          </w:tcPr>
          <w:p w14:paraId="032C5F97"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Percent</w:t>
            </w:r>
          </w:p>
        </w:tc>
        <w:tc>
          <w:tcPr>
            <w:tcW w:w="966" w:type="pct"/>
          </w:tcPr>
          <w:p w14:paraId="585BCBF1"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Valid Percent</w:t>
            </w:r>
          </w:p>
        </w:tc>
        <w:tc>
          <w:tcPr>
            <w:tcW w:w="1019" w:type="pct"/>
          </w:tcPr>
          <w:p w14:paraId="54ABBD36"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Cumulative Percent</w:t>
            </w:r>
          </w:p>
        </w:tc>
      </w:tr>
      <w:tr w:rsidR="0020636C" w:rsidRPr="00243A4F" w14:paraId="4182E876" w14:textId="77777777" w:rsidTr="000A379B">
        <w:tc>
          <w:tcPr>
            <w:tcW w:w="508" w:type="pct"/>
            <w:vMerge w:val="restart"/>
          </w:tcPr>
          <w:p w14:paraId="5564B1BC"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Valid</w:t>
            </w:r>
          </w:p>
        </w:tc>
        <w:tc>
          <w:tcPr>
            <w:tcW w:w="988" w:type="pct"/>
          </w:tcPr>
          <w:p w14:paraId="13036A71"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10000 Below</w:t>
            </w:r>
          </w:p>
        </w:tc>
        <w:tc>
          <w:tcPr>
            <w:tcW w:w="807" w:type="pct"/>
          </w:tcPr>
          <w:p w14:paraId="05172F2C"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69</w:t>
            </w:r>
          </w:p>
        </w:tc>
        <w:tc>
          <w:tcPr>
            <w:tcW w:w="711" w:type="pct"/>
          </w:tcPr>
          <w:p w14:paraId="65794E59"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32</w:t>
            </w: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966" w:type="pct"/>
          </w:tcPr>
          <w:p w14:paraId="79BFA257"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32</w:t>
            </w: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1019" w:type="pct"/>
          </w:tcPr>
          <w:p w14:paraId="47C3E70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32</w:t>
            </w:r>
            <w:r w:rsidRPr="00243A4F">
              <w:rPr>
                <w:rFonts w:ascii="Times New Roman" w:hAnsi="Times New Roman" w:cs="Times New Roman"/>
                <w:cs/>
                <w:lang w:bidi="bn-IN"/>
              </w:rPr>
              <w:t>.</w:t>
            </w:r>
            <w:r w:rsidRPr="00243A4F">
              <w:rPr>
                <w:rFonts w:ascii="Times New Roman" w:hAnsi="Times New Roman" w:cs="Times New Roman"/>
                <w:lang w:bidi="bn-IN"/>
              </w:rPr>
              <w:t>5</w:t>
            </w:r>
          </w:p>
        </w:tc>
      </w:tr>
      <w:tr w:rsidR="0020636C" w:rsidRPr="00243A4F" w14:paraId="386B0EA7" w14:textId="77777777" w:rsidTr="000A379B">
        <w:tc>
          <w:tcPr>
            <w:tcW w:w="508" w:type="pct"/>
            <w:vMerge/>
          </w:tcPr>
          <w:p w14:paraId="561CC671"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28F5B325"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10000</w:t>
            </w:r>
            <w:r w:rsidRPr="00243A4F">
              <w:rPr>
                <w:rFonts w:ascii="Times New Roman" w:hAnsi="Times New Roman" w:cs="Times New Roman"/>
                <w:cs/>
                <w:lang w:bidi="bn-IN"/>
              </w:rPr>
              <w:t>-</w:t>
            </w:r>
            <w:r w:rsidRPr="00243A4F">
              <w:rPr>
                <w:rFonts w:ascii="Times New Roman" w:hAnsi="Times New Roman" w:cs="Times New Roman"/>
                <w:lang w:bidi="bn-IN"/>
              </w:rPr>
              <w:t>20000</w:t>
            </w:r>
          </w:p>
        </w:tc>
        <w:tc>
          <w:tcPr>
            <w:tcW w:w="807" w:type="pct"/>
          </w:tcPr>
          <w:p w14:paraId="74E660F7"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134</w:t>
            </w:r>
          </w:p>
        </w:tc>
        <w:tc>
          <w:tcPr>
            <w:tcW w:w="711" w:type="pct"/>
          </w:tcPr>
          <w:p w14:paraId="4522CB5B"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63</w:t>
            </w:r>
            <w:r w:rsidRPr="00243A4F">
              <w:rPr>
                <w:rFonts w:ascii="Times New Roman" w:hAnsi="Times New Roman" w:cs="Times New Roman"/>
                <w:cs/>
                <w:lang w:bidi="bn-IN"/>
              </w:rPr>
              <w:t>.</w:t>
            </w:r>
            <w:r w:rsidRPr="00243A4F">
              <w:rPr>
                <w:rFonts w:ascii="Times New Roman" w:hAnsi="Times New Roman" w:cs="Times New Roman"/>
                <w:lang w:bidi="bn-IN"/>
              </w:rPr>
              <w:t>2</w:t>
            </w:r>
          </w:p>
        </w:tc>
        <w:tc>
          <w:tcPr>
            <w:tcW w:w="966" w:type="pct"/>
          </w:tcPr>
          <w:p w14:paraId="62E043FD"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63</w:t>
            </w:r>
            <w:r w:rsidRPr="00243A4F">
              <w:rPr>
                <w:rFonts w:ascii="Times New Roman" w:hAnsi="Times New Roman" w:cs="Times New Roman"/>
                <w:cs/>
                <w:lang w:bidi="bn-IN"/>
              </w:rPr>
              <w:t>.</w:t>
            </w:r>
            <w:r w:rsidRPr="00243A4F">
              <w:rPr>
                <w:rFonts w:ascii="Times New Roman" w:hAnsi="Times New Roman" w:cs="Times New Roman"/>
                <w:lang w:bidi="bn-IN"/>
              </w:rPr>
              <w:t>2</w:t>
            </w:r>
          </w:p>
        </w:tc>
        <w:tc>
          <w:tcPr>
            <w:tcW w:w="1019" w:type="pct"/>
          </w:tcPr>
          <w:p w14:paraId="509D2A42"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95</w:t>
            </w:r>
            <w:r w:rsidRPr="00243A4F">
              <w:rPr>
                <w:rFonts w:ascii="Times New Roman" w:hAnsi="Times New Roman" w:cs="Times New Roman"/>
                <w:cs/>
                <w:lang w:bidi="bn-IN"/>
              </w:rPr>
              <w:t>.</w:t>
            </w:r>
            <w:r w:rsidRPr="00243A4F">
              <w:rPr>
                <w:rFonts w:ascii="Times New Roman" w:hAnsi="Times New Roman" w:cs="Times New Roman"/>
                <w:lang w:bidi="bn-IN"/>
              </w:rPr>
              <w:t>8</w:t>
            </w:r>
          </w:p>
        </w:tc>
      </w:tr>
      <w:tr w:rsidR="0020636C" w:rsidRPr="00243A4F" w14:paraId="75E93EB1" w14:textId="77777777" w:rsidTr="000A379B">
        <w:tc>
          <w:tcPr>
            <w:tcW w:w="508" w:type="pct"/>
            <w:vMerge/>
          </w:tcPr>
          <w:p w14:paraId="7E1DECFD"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5D199B52"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20000</w:t>
            </w:r>
            <w:r w:rsidRPr="00243A4F">
              <w:rPr>
                <w:rFonts w:ascii="Times New Roman" w:hAnsi="Times New Roman" w:cs="Times New Roman"/>
                <w:cs/>
                <w:lang w:bidi="bn-IN"/>
              </w:rPr>
              <w:t>-</w:t>
            </w:r>
            <w:r w:rsidRPr="00243A4F">
              <w:rPr>
                <w:rFonts w:ascii="Times New Roman" w:hAnsi="Times New Roman" w:cs="Times New Roman"/>
                <w:lang w:bidi="bn-IN"/>
              </w:rPr>
              <w:t>30000</w:t>
            </w:r>
          </w:p>
        </w:tc>
        <w:tc>
          <w:tcPr>
            <w:tcW w:w="807" w:type="pct"/>
          </w:tcPr>
          <w:p w14:paraId="3A688AE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8</w:t>
            </w:r>
          </w:p>
        </w:tc>
        <w:tc>
          <w:tcPr>
            <w:tcW w:w="711" w:type="pct"/>
          </w:tcPr>
          <w:p w14:paraId="57A5B242"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w:t>
            </w:r>
            <w:r w:rsidRPr="00243A4F">
              <w:rPr>
                <w:rFonts w:ascii="Times New Roman" w:hAnsi="Times New Roman" w:cs="Times New Roman"/>
                <w:cs/>
                <w:lang w:bidi="bn-IN"/>
              </w:rPr>
              <w:t>.</w:t>
            </w:r>
            <w:r w:rsidRPr="00243A4F">
              <w:rPr>
                <w:rFonts w:ascii="Times New Roman" w:hAnsi="Times New Roman" w:cs="Times New Roman"/>
                <w:lang w:bidi="bn-IN"/>
              </w:rPr>
              <w:t>8</w:t>
            </w:r>
          </w:p>
        </w:tc>
        <w:tc>
          <w:tcPr>
            <w:tcW w:w="966" w:type="pct"/>
          </w:tcPr>
          <w:p w14:paraId="0AB46EDD"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w:t>
            </w:r>
            <w:r w:rsidRPr="00243A4F">
              <w:rPr>
                <w:rFonts w:ascii="Times New Roman" w:hAnsi="Times New Roman" w:cs="Times New Roman"/>
                <w:cs/>
                <w:lang w:bidi="bn-IN"/>
              </w:rPr>
              <w:t>.</w:t>
            </w:r>
            <w:r w:rsidRPr="00243A4F">
              <w:rPr>
                <w:rFonts w:ascii="Times New Roman" w:hAnsi="Times New Roman" w:cs="Times New Roman"/>
                <w:lang w:bidi="bn-IN"/>
              </w:rPr>
              <w:t>8</w:t>
            </w:r>
          </w:p>
        </w:tc>
        <w:tc>
          <w:tcPr>
            <w:tcW w:w="1019" w:type="pct"/>
          </w:tcPr>
          <w:p w14:paraId="470DC271"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99</w:t>
            </w:r>
            <w:r w:rsidRPr="00243A4F">
              <w:rPr>
                <w:rFonts w:ascii="Times New Roman" w:hAnsi="Times New Roman" w:cs="Times New Roman"/>
                <w:cs/>
                <w:lang w:bidi="bn-IN"/>
              </w:rPr>
              <w:t>.</w:t>
            </w:r>
            <w:r w:rsidRPr="00243A4F">
              <w:rPr>
                <w:rFonts w:ascii="Times New Roman" w:hAnsi="Times New Roman" w:cs="Times New Roman"/>
                <w:lang w:bidi="bn-IN"/>
              </w:rPr>
              <w:t>5</w:t>
            </w:r>
          </w:p>
        </w:tc>
      </w:tr>
      <w:tr w:rsidR="0020636C" w:rsidRPr="00243A4F" w14:paraId="0B5C221F" w14:textId="77777777" w:rsidTr="000A379B">
        <w:tc>
          <w:tcPr>
            <w:tcW w:w="508" w:type="pct"/>
            <w:vMerge/>
          </w:tcPr>
          <w:p w14:paraId="1016FDBF"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5D113C29"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30000 Above</w:t>
            </w:r>
          </w:p>
        </w:tc>
        <w:tc>
          <w:tcPr>
            <w:tcW w:w="807" w:type="pct"/>
          </w:tcPr>
          <w:p w14:paraId="793DDE70"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w:t>
            </w:r>
          </w:p>
        </w:tc>
        <w:tc>
          <w:tcPr>
            <w:tcW w:w="711" w:type="pct"/>
          </w:tcPr>
          <w:p w14:paraId="558B5DF4"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966" w:type="pct"/>
          </w:tcPr>
          <w:p w14:paraId="5EA04FCD"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1019" w:type="pct"/>
          </w:tcPr>
          <w:p w14:paraId="4722567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w:t>
            </w:r>
            <w:r w:rsidRPr="00243A4F">
              <w:rPr>
                <w:rFonts w:ascii="Times New Roman" w:hAnsi="Times New Roman" w:cs="Times New Roman"/>
                <w:cs/>
                <w:lang w:bidi="bn-IN"/>
              </w:rPr>
              <w:t>.</w:t>
            </w:r>
            <w:r w:rsidRPr="00243A4F">
              <w:rPr>
                <w:rFonts w:ascii="Times New Roman" w:hAnsi="Times New Roman" w:cs="Times New Roman"/>
                <w:lang w:bidi="bn-IN"/>
              </w:rPr>
              <w:t>0</w:t>
            </w:r>
          </w:p>
        </w:tc>
      </w:tr>
      <w:tr w:rsidR="0020636C" w:rsidRPr="00243A4F" w14:paraId="28FD6B71" w14:textId="77777777" w:rsidTr="000A379B">
        <w:tc>
          <w:tcPr>
            <w:tcW w:w="508" w:type="pct"/>
            <w:vMerge/>
          </w:tcPr>
          <w:p w14:paraId="6895C1A5"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5432D49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Total</w:t>
            </w:r>
          </w:p>
        </w:tc>
        <w:tc>
          <w:tcPr>
            <w:tcW w:w="807" w:type="pct"/>
          </w:tcPr>
          <w:p w14:paraId="3D12BC83"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212</w:t>
            </w:r>
          </w:p>
        </w:tc>
        <w:tc>
          <w:tcPr>
            <w:tcW w:w="711" w:type="pct"/>
          </w:tcPr>
          <w:p w14:paraId="12D6B9A5"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w:t>
            </w:r>
            <w:r w:rsidRPr="00243A4F">
              <w:rPr>
                <w:rFonts w:ascii="Times New Roman" w:hAnsi="Times New Roman" w:cs="Times New Roman"/>
                <w:cs/>
                <w:lang w:bidi="bn-IN"/>
              </w:rPr>
              <w:t>.</w:t>
            </w:r>
            <w:r w:rsidRPr="00243A4F">
              <w:rPr>
                <w:rFonts w:ascii="Times New Roman" w:hAnsi="Times New Roman" w:cs="Times New Roman"/>
                <w:lang w:bidi="bn-IN"/>
              </w:rPr>
              <w:t>0</w:t>
            </w:r>
          </w:p>
        </w:tc>
        <w:tc>
          <w:tcPr>
            <w:tcW w:w="966" w:type="pct"/>
          </w:tcPr>
          <w:p w14:paraId="529CB06E"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w:t>
            </w:r>
            <w:r w:rsidRPr="00243A4F">
              <w:rPr>
                <w:rFonts w:ascii="Times New Roman" w:hAnsi="Times New Roman" w:cs="Times New Roman"/>
                <w:cs/>
                <w:lang w:bidi="bn-IN"/>
              </w:rPr>
              <w:t>.</w:t>
            </w:r>
            <w:r w:rsidRPr="00243A4F">
              <w:rPr>
                <w:rFonts w:ascii="Times New Roman" w:hAnsi="Times New Roman" w:cs="Times New Roman"/>
                <w:lang w:bidi="bn-IN"/>
              </w:rPr>
              <w:t>0</w:t>
            </w:r>
          </w:p>
        </w:tc>
        <w:tc>
          <w:tcPr>
            <w:tcW w:w="1019" w:type="pct"/>
          </w:tcPr>
          <w:p w14:paraId="60293C5B" w14:textId="77777777" w:rsidR="0020636C" w:rsidRPr="00243A4F" w:rsidRDefault="0020636C" w:rsidP="00243A4F">
            <w:pPr>
              <w:pStyle w:val="NoSpacing"/>
              <w:jc w:val="center"/>
              <w:rPr>
                <w:rFonts w:ascii="Times New Roman" w:hAnsi="Times New Roman" w:cs="Times New Roman"/>
                <w:lang w:bidi="bn-IN"/>
              </w:rPr>
            </w:pPr>
          </w:p>
        </w:tc>
      </w:tr>
    </w:tbl>
    <w:p w14:paraId="27933AC8" w14:textId="77777777" w:rsidR="00E03A5E" w:rsidRDefault="00E03A5E" w:rsidP="00E03A5E">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6F72784B" w14:textId="2DBE2F33" w:rsidR="000C3A3C" w:rsidRPr="00E5560F" w:rsidRDefault="00220D06" w:rsidP="00E03A5E">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220D06">
        <w:rPr>
          <w:rFonts w:ascii="Times New Roman" w:hAnsi="Times New Roman" w:cs="Times New Roman"/>
          <w:kern w:val="0"/>
          <w:sz w:val="24"/>
          <w:szCs w:val="24"/>
          <w:lang w:bidi="bn-IN"/>
        </w:rPr>
        <w:t xml:space="preserve">Table </w:t>
      </w:r>
      <w:r w:rsidR="00961AF2">
        <w:rPr>
          <w:rFonts w:ascii="Times New Roman" w:hAnsi="Times New Roman" w:cs="Times New Roman"/>
          <w:kern w:val="0"/>
          <w:sz w:val="24"/>
          <w:szCs w:val="24"/>
          <w:lang w:bidi="bn-IN"/>
        </w:rPr>
        <w:t>5</w:t>
      </w:r>
      <w:r w:rsidRPr="00220D06">
        <w:rPr>
          <w:rFonts w:ascii="Times New Roman" w:hAnsi="Times New Roman" w:cs="Times New Roman"/>
          <w:kern w:val="0"/>
          <w:sz w:val="24"/>
          <w:szCs w:val="24"/>
          <w:lang w:bidi="bn-IN"/>
        </w:rPr>
        <w:t xml:space="preserve"> presents the descriptive statistics of career risk-taking behaviour among secondary school students. The total sample consisted of 211 students. The scores ranged from 35 to 175, with a mean score of 116.66 and a standard deviation of 20.51. This indicates a moderate level of career risk-taking behaviour among the students, with some variability in responses.</w:t>
      </w:r>
      <w:r w:rsidR="006B780E">
        <w:rPr>
          <w:rFonts w:ascii="Times New Roman" w:hAnsi="Times New Roman" w:cs="Times New Roman"/>
          <w:kern w:val="0"/>
          <w:sz w:val="24"/>
          <w:szCs w:val="24"/>
          <w:lang w:bidi="bn-IN"/>
        </w:rPr>
        <w:t xml:space="preserve"> </w:t>
      </w:r>
      <w:r w:rsidR="006B780E" w:rsidRPr="006B780E">
        <w:rPr>
          <w:rFonts w:ascii="Times New Roman" w:hAnsi="Times New Roman" w:cs="Times New Roman"/>
          <w:kern w:val="0"/>
          <w:sz w:val="24"/>
          <w:szCs w:val="24"/>
          <w:lang w:bidi="bn-IN"/>
        </w:rPr>
        <w:t xml:space="preserve">students based on monthly family income indicates that 69 students (32.5%) belonged to families earning below ₹10,000 per month. The majority of students, 134 (63.2%), fell within the ₹10,000–₹20,000 income group. A smaller proportion, 8 students (3.8%), belonged to the ₹20,000–₹30,000 category, while only 1 student (0.5%) reported a family income above ₹30,000. This suggests that most students in the sample belong to lower and </w:t>
      </w:r>
      <w:r w:rsidR="006B780E">
        <w:rPr>
          <w:rFonts w:ascii="Times New Roman" w:hAnsi="Times New Roman" w:cs="Times New Roman"/>
          <w:kern w:val="0"/>
          <w:sz w:val="24"/>
          <w:szCs w:val="24"/>
          <w:lang w:bidi="bn-IN"/>
        </w:rPr>
        <w:t>middle-socioeconomic</w:t>
      </w:r>
      <w:r w:rsidR="006B780E" w:rsidRPr="006B780E">
        <w:rPr>
          <w:rFonts w:ascii="Times New Roman" w:hAnsi="Times New Roman" w:cs="Times New Roman"/>
          <w:kern w:val="0"/>
          <w:sz w:val="24"/>
          <w:szCs w:val="24"/>
          <w:lang w:bidi="bn-IN"/>
        </w:rPr>
        <w:t xml:space="preserve"> backgrounds.</w:t>
      </w:r>
    </w:p>
    <w:p w14:paraId="6C20103C" w14:textId="1C4F0F62" w:rsidR="00D03CFA" w:rsidRPr="00EA10BB" w:rsidRDefault="00D03CFA" w:rsidP="00D03CFA">
      <w:pPr>
        <w:pStyle w:val="Caption"/>
        <w:keepNext/>
        <w:rPr>
          <w:rFonts w:ascii="Times New Roman" w:hAnsi="Times New Roman" w:cs="Times New Roman"/>
          <w:b/>
          <w:bCs/>
          <w:color w:val="000000" w:themeColor="text1"/>
          <w:sz w:val="20"/>
          <w:szCs w:val="20"/>
        </w:rPr>
      </w:pPr>
      <w:r w:rsidRPr="00EA10BB">
        <w:rPr>
          <w:rFonts w:ascii="Times New Roman" w:hAnsi="Times New Roman" w:cs="Times New Roman"/>
          <w:b/>
          <w:bCs/>
          <w:color w:val="000000" w:themeColor="text1"/>
          <w:sz w:val="20"/>
          <w:szCs w:val="20"/>
        </w:rPr>
        <w:lastRenderedPageBreak/>
        <w:t xml:space="preserve">Table </w:t>
      </w:r>
      <w:r w:rsidRPr="00EA10BB">
        <w:rPr>
          <w:rFonts w:ascii="Times New Roman" w:hAnsi="Times New Roman" w:cs="Times New Roman"/>
          <w:b/>
          <w:bCs/>
          <w:color w:val="000000" w:themeColor="text1"/>
          <w:sz w:val="20"/>
          <w:szCs w:val="20"/>
        </w:rPr>
        <w:fldChar w:fldCharType="begin"/>
      </w:r>
      <w:r w:rsidRPr="00EA10BB">
        <w:rPr>
          <w:rFonts w:ascii="Times New Roman" w:hAnsi="Times New Roman" w:cs="Times New Roman"/>
          <w:b/>
          <w:bCs/>
          <w:color w:val="000000" w:themeColor="text1"/>
          <w:sz w:val="20"/>
          <w:szCs w:val="20"/>
        </w:rPr>
        <w:instrText xml:space="preserve"> SEQ Table \* ARABIC </w:instrText>
      </w:r>
      <w:r w:rsidRPr="00EA10BB">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6</w:t>
      </w:r>
      <w:r w:rsidRPr="00EA10BB">
        <w:rPr>
          <w:rFonts w:ascii="Times New Roman" w:hAnsi="Times New Roman" w:cs="Times New Roman"/>
          <w:b/>
          <w:bCs/>
          <w:color w:val="000000" w:themeColor="text1"/>
          <w:sz w:val="20"/>
          <w:szCs w:val="20"/>
        </w:rPr>
        <w:fldChar w:fldCharType="end"/>
      </w:r>
      <w:r w:rsidRPr="00EA10BB">
        <w:rPr>
          <w:rFonts w:ascii="Times New Roman" w:hAnsi="Times New Roman" w:cs="Times New Roman"/>
          <w:b/>
          <w:bCs/>
          <w:color w:val="000000" w:themeColor="text1"/>
          <w:sz w:val="20"/>
          <w:szCs w:val="20"/>
          <w:lang w:val="en-US"/>
        </w:rPr>
        <w:t xml:space="preserve">: </w:t>
      </w:r>
      <w:r w:rsidR="00EA10BB" w:rsidRPr="00EA10BB">
        <w:rPr>
          <w:rFonts w:ascii="Times New Roman" w:hAnsi="Times New Roman" w:cs="Times New Roman"/>
          <w:b/>
          <w:bCs/>
          <w:color w:val="000000" w:themeColor="text1"/>
          <w:sz w:val="20"/>
          <w:szCs w:val="20"/>
          <w:lang w:bidi="bn-IN"/>
        </w:rPr>
        <w:t xml:space="preserve">Monthly Family Income </w:t>
      </w:r>
      <w:r w:rsidR="00EA10BB" w:rsidRPr="00EA10BB">
        <w:rPr>
          <w:rFonts w:ascii="Times New Roman" w:hAnsi="Times New Roman" w:cs="Times New Roman"/>
          <w:b/>
          <w:bCs/>
          <w:color w:val="000000" w:themeColor="text1"/>
          <w:sz w:val="20"/>
          <w:szCs w:val="20"/>
          <w:cs/>
          <w:lang w:bidi="bn-IN"/>
        </w:rPr>
        <w:t xml:space="preserve">* </w:t>
      </w:r>
      <w:r w:rsidR="00EA10BB" w:rsidRPr="00EA10BB">
        <w:rPr>
          <w:rFonts w:ascii="Times New Roman" w:hAnsi="Times New Roman" w:cs="Times New Roman"/>
          <w:b/>
          <w:bCs/>
          <w:color w:val="000000" w:themeColor="text1"/>
          <w:sz w:val="20"/>
          <w:szCs w:val="20"/>
          <w:lang w:bidi="bn-IN"/>
        </w:rPr>
        <w:t>Levels of Career Risk</w:t>
      </w:r>
      <w:r w:rsidR="00EA10BB" w:rsidRPr="00EA10BB">
        <w:rPr>
          <w:rFonts w:ascii="Times New Roman" w:hAnsi="Times New Roman" w:cs="Times New Roman"/>
          <w:b/>
          <w:bCs/>
          <w:color w:val="000000" w:themeColor="text1"/>
          <w:sz w:val="20"/>
          <w:szCs w:val="20"/>
          <w:cs/>
          <w:lang w:bidi="bn-IN"/>
        </w:rPr>
        <w:t>-</w:t>
      </w:r>
      <w:r w:rsidR="00EA10BB" w:rsidRPr="00EA10BB">
        <w:rPr>
          <w:rFonts w:ascii="Times New Roman" w:hAnsi="Times New Roman" w:cs="Times New Roman"/>
          <w:b/>
          <w:bCs/>
          <w:color w:val="000000" w:themeColor="text1"/>
          <w:sz w:val="20"/>
          <w:szCs w:val="20"/>
          <w:lang w:bidi="bn-IN"/>
        </w:rPr>
        <w:t>Taking Behaviour Crosstabulation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81"/>
        <w:gridCol w:w="1421"/>
        <w:gridCol w:w="1466"/>
        <w:gridCol w:w="1466"/>
        <w:gridCol w:w="1468"/>
        <w:gridCol w:w="1024"/>
      </w:tblGrid>
      <w:tr w:rsidR="004A4AAE" w:rsidRPr="004A4AAE" w14:paraId="147E7077" w14:textId="77777777" w:rsidTr="004A4AAE">
        <w:trPr>
          <w:cantSplit/>
        </w:trPr>
        <w:tc>
          <w:tcPr>
            <w:tcW w:w="5000" w:type="pct"/>
            <w:gridSpan w:val="6"/>
            <w:tcBorders>
              <w:top w:val="nil"/>
              <w:left w:val="nil"/>
              <w:bottom w:val="nil"/>
              <w:right w:val="nil"/>
            </w:tcBorders>
            <w:shd w:val="clear" w:color="auto" w:fill="FFFFFF" w:themeFill="background1"/>
            <w:vAlign w:val="center"/>
          </w:tcPr>
          <w:p w14:paraId="157DC1BF" w14:textId="77777777" w:rsidR="000C3A3C" w:rsidRPr="00E42D47" w:rsidRDefault="000C3A3C" w:rsidP="00E42D47">
            <w:pPr>
              <w:pStyle w:val="NoSpacing"/>
              <w:rPr>
                <w:rFonts w:ascii="Times New Roman" w:hAnsi="Times New Roman" w:cs="Times New Roman"/>
                <w:b/>
                <w:bCs/>
                <w:color w:val="000000" w:themeColor="text1"/>
                <w:lang w:bidi="bn-IN"/>
              </w:rPr>
            </w:pPr>
            <w:r w:rsidRPr="00E42D47">
              <w:rPr>
                <w:rFonts w:ascii="Times New Roman" w:hAnsi="Times New Roman" w:cs="Times New Roman"/>
                <w:b/>
                <w:bCs/>
                <w:color w:val="000000" w:themeColor="text1"/>
                <w:lang w:bidi="bn-IN"/>
              </w:rPr>
              <w:t xml:space="preserve">Monthly Family Income </w:t>
            </w:r>
            <w:r w:rsidRPr="00E42D47">
              <w:rPr>
                <w:rFonts w:ascii="Times New Roman" w:hAnsi="Times New Roman" w:cs="Times New Roman"/>
                <w:b/>
                <w:bCs/>
                <w:color w:val="000000" w:themeColor="text1"/>
                <w:cs/>
                <w:lang w:bidi="bn-IN"/>
              </w:rPr>
              <w:t xml:space="preserve">* </w:t>
            </w:r>
            <w:r w:rsidRPr="00E42D47">
              <w:rPr>
                <w:rFonts w:ascii="Times New Roman" w:hAnsi="Times New Roman" w:cs="Times New Roman"/>
                <w:b/>
                <w:bCs/>
                <w:color w:val="000000" w:themeColor="text1"/>
                <w:lang w:bidi="bn-IN"/>
              </w:rPr>
              <w:t>Levels of Career Risk</w:t>
            </w:r>
            <w:r w:rsidRPr="00E42D47">
              <w:rPr>
                <w:rFonts w:ascii="Times New Roman" w:hAnsi="Times New Roman" w:cs="Times New Roman"/>
                <w:b/>
                <w:bCs/>
                <w:color w:val="000000" w:themeColor="text1"/>
                <w:cs/>
                <w:lang w:bidi="bn-IN"/>
              </w:rPr>
              <w:t>-</w:t>
            </w:r>
            <w:r w:rsidRPr="00E42D47">
              <w:rPr>
                <w:rFonts w:ascii="Times New Roman" w:hAnsi="Times New Roman" w:cs="Times New Roman"/>
                <w:b/>
                <w:bCs/>
                <w:color w:val="000000" w:themeColor="text1"/>
                <w:lang w:bidi="bn-IN"/>
              </w:rPr>
              <w:t>Taking Behaviour Crosstabulation</w:t>
            </w:r>
          </w:p>
        </w:tc>
      </w:tr>
      <w:tr w:rsidR="004A4AAE" w:rsidRPr="004A4AAE" w14:paraId="7EC6D984" w14:textId="77777777" w:rsidTr="004A4AAE">
        <w:trPr>
          <w:cantSplit/>
        </w:trPr>
        <w:tc>
          <w:tcPr>
            <w:tcW w:w="5000" w:type="pct"/>
            <w:gridSpan w:val="6"/>
            <w:tcBorders>
              <w:top w:val="nil"/>
              <w:left w:val="nil"/>
              <w:bottom w:val="nil"/>
              <w:right w:val="nil"/>
            </w:tcBorders>
            <w:shd w:val="clear" w:color="auto" w:fill="FFFFFF" w:themeFill="background1"/>
            <w:vAlign w:val="bottom"/>
          </w:tcPr>
          <w:p w14:paraId="51AD41EC" w14:textId="77777777" w:rsidR="000C3A3C" w:rsidRPr="004A4AAE" w:rsidRDefault="000C3A3C" w:rsidP="004A4AAE">
            <w:pPr>
              <w:pStyle w:val="NoSpacing"/>
              <w:rPr>
                <w:rFonts w:ascii="Times New Roman" w:hAnsi="Times New Roman" w:cs="Times New Roman"/>
                <w:color w:val="000000" w:themeColor="text1"/>
                <w:lang w:bidi="bn-IN"/>
              </w:rPr>
            </w:pPr>
            <w:r w:rsidRPr="004A4AAE">
              <w:rPr>
                <w:rFonts w:ascii="Times New Roman" w:hAnsi="Times New Roman" w:cs="Times New Roman"/>
                <w:color w:val="000000" w:themeColor="text1"/>
                <w:shd w:val="clear" w:color="auto" w:fill="FFFFFF"/>
                <w:lang w:bidi="bn-IN"/>
              </w:rPr>
              <w:t xml:space="preserve">Count  </w:t>
            </w:r>
          </w:p>
        </w:tc>
      </w:tr>
      <w:tr w:rsidR="004A4AAE" w:rsidRPr="004A4AAE" w14:paraId="7986860F" w14:textId="77777777" w:rsidTr="00EA10BB">
        <w:trPr>
          <w:cantSplit/>
        </w:trPr>
        <w:tc>
          <w:tcPr>
            <w:tcW w:w="1996" w:type="pct"/>
            <w:gridSpan w:val="2"/>
            <w:vMerge w:val="restart"/>
            <w:tcBorders>
              <w:top w:val="nil"/>
              <w:left w:val="nil"/>
              <w:bottom w:val="nil"/>
              <w:right w:val="nil"/>
            </w:tcBorders>
            <w:shd w:val="clear" w:color="auto" w:fill="FFFFFF" w:themeFill="background1"/>
            <w:vAlign w:val="bottom"/>
          </w:tcPr>
          <w:p w14:paraId="2D93948A" w14:textId="77777777" w:rsidR="000C3A3C" w:rsidRPr="004A4AAE" w:rsidRDefault="000C3A3C" w:rsidP="004A4AAE">
            <w:pPr>
              <w:pStyle w:val="NoSpacing"/>
              <w:rPr>
                <w:rFonts w:ascii="Times New Roman" w:hAnsi="Times New Roman" w:cs="Times New Roman"/>
                <w:color w:val="000000" w:themeColor="text1"/>
                <w:lang w:bidi="bn-IN"/>
              </w:rPr>
            </w:pPr>
          </w:p>
        </w:tc>
        <w:tc>
          <w:tcPr>
            <w:tcW w:w="2437" w:type="pct"/>
            <w:gridSpan w:val="3"/>
            <w:tcBorders>
              <w:top w:val="nil"/>
              <w:left w:val="nil"/>
              <w:bottom w:val="nil"/>
              <w:right w:val="single" w:sz="8" w:space="0" w:color="E0E0E0"/>
            </w:tcBorders>
            <w:shd w:val="clear" w:color="auto" w:fill="FFFFFF" w:themeFill="background1"/>
            <w:vAlign w:val="bottom"/>
          </w:tcPr>
          <w:p w14:paraId="11B64814" w14:textId="77777777" w:rsidR="000C3A3C" w:rsidRPr="003A30E6" w:rsidRDefault="000C3A3C" w:rsidP="004A4AAE">
            <w:pPr>
              <w:pStyle w:val="NoSpacing"/>
              <w:rPr>
                <w:rFonts w:ascii="Times New Roman" w:hAnsi="Times New Roman" w:cs="Times New Roman"/>
                <w:b/>
                <w:bCs/>
                <w:color w:val="000000" w:themeColor="text1"/>
                <w:lang w:bidi="bn-IN"/>
              </w:rPr>
            </w:pPr>
            <w:r w:rsidRPr="003A30E6">
              <w:rPr>
                <w:rFonts w:ascii="Times New Roman" w:hAnsi="Times New Roman" w:cs="Times New Roman"/>
                <w:b/>
                <w:bCs/>
                <w:color w:val="000000" w:themeColor="text1"/>
                <w:lang w:bidi="bn-IN"/>
              </w:rPr>
              <w:t>Levels of Career Risk</w:t>
            </w:r>
            <w:r w:rsidRPr="003A30E6">
              <w:rPr>
                <w:rFonts w:ascii="Times New Roman" w:hAnsi="Times New Roman" w:cs="Times New Roman"/>
                <w:b/>
                <w:bCs/>
                <w:color w:val="000000" w:themeColor="text1"/>
                <w:cs/>
                <w:lang w:bidi="bn-IN"/>
              </w:rPr>
              <w:t>-</w:t>
            </w:r>
            <w:r w:rsidRPr="003A30E6">
              <w:rPr>
                <w:rFonts w:ascii="Times New Roman" w:hAnsi="Times New Roman" w:cs="Times New Roman"/>
                <w:b/>
                <w:bCs/>
                <w:color w:val="000000" w:themeColor="text1"/>
                <w:lang w:bidi="bn-IN"/>
              </w:rPr>
              <w:t>Taking Behaviour</w:t>
            </w:r>
          </w:p>
        </w:tc>
        <w:tc>
          <w:tcPr>
            <w:tcW w:w="566" w:type="pct"/>
            <w:vMerge w:val="restart"/>
            <w:tcBorders>
              <w:top w:val="nil"/>
              <w:left w:val="single" w:sz="8" w:space="0" w:color="E0E0E0"/>
              <w:bottom w:val="nil"/>
              <w:right w:val="nil"/>
            </w:tcBorders>
            <w:shd w:val="clear" w:color="auto" w:fill="FFFFFF" w:themeFill="background1"/>
            <w:vAlign w:val="center"/>
          </w:tcPr>
          <w:p w14:paraId="18F7E7DB"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Total</w:t>
            </w:r>
          </w:p>
        </w:tc>
      </w:tr>
      <w:tr w:rsidR="004A4AAE" w:rsidRPr="004A4AAE" w14:paraId="7F7CF688" w14:textId="77777777" w:rsidTr="00EA10BB">
        <w:trPr>
          <w:cantSplit/>
        </w:trPr>
        <w:tc>
          <w:tcPr>
            <w:tcW w:w="1996" w:type="pct"/>
            <w:gridSpan w:val="2"/>
            <w:vMerge/>
            <w:tcBorders>
              <w:top w:val="nil"/>
              <w:left w:val="nil"/>
              <w:bottom w:val="nil"/>
              <w:right w:val="nil"/>
            </w:tcBorders>
            <w:shd w:val="clear" w:color="auto" w:fill="FFFFFF" w:themeFill="background1"/>
            <w:vAlign w:val="bottom"/>
          </w:tcPr>
          <w:p w14:paraId="38D1F4EC" w14:textId="77777777" w:rsidR="000C3A3C" w:rsidRPr="004A4AAE" w:rsidRDefault="000C3A3C" w:rsidP="004A4AAE">
            <w:pPr>
              <w:pStyle w:val="NoSpacing"/>
              <w:rPr>
                <w:rFonts w:ascii="Times New Roman" w:hAnsi="Times New Roman" w:cs="Times New Roman"/>
                <w:color w:val="000000" w:themeColor="text1"/>
                <w:lang w:bidi="bn-IN"/>
              </w:rPr>
            </w:pPr>
          </w:p>
        </w:tc>
        <w:tc>
          <w:tcPr>
            <w:tcW w:w="812" w:type="pct"/>
            <w:tcBorders>
              <w:top w:val="nil"/>
              <w:left w:val="nil"/>
              <w:bottom w:val="single" w:sz="8" w:space="0" w:color="152935"/>
              <w:right w:val="single" w:sz="8" w:space="0" w:color="E0E0E0"/>
            </w:tcBorders>
            <w:shd w:val="clear" w:color="auto" w:fill="FFFFFF" w:themeFill="background1"/>
            <w:vAlign w:val="center"/>
          </w:tcPr>
          <w:p w14:paraId="69ADC4CB"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Low Career Risk</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Taking Behaviour</w:t>
            </w:r>
          </w:p>
        </w:tc>
        <w:tc>
          <w:tcPr>
            <w:tcW w:w="812" w:type="pct"/>
            <w:tcBorders>
              <w:top w:val="nil"/>
              <w:left w:val="single" w:sz="8" w:space="0" w:color="E0E0E0"/>
              <w:bottom w:val="single" w:sz="8" w:space="0" w:color="152935"/>
              <w:right w:val="single" w:sz="8" w:space="0" w:color="E0E0E0"/>
            </w:tcBorders>
            <w:shd w:val="clear" w:color="auto" w:fill="FFFFFF" w:themeFill="background1"/>
            <w:vAlign w:val="center"/>
          </w:tcPr>
          <w:p w14:paraId="4A638F64"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Moderate Career Risk</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Taking Behaviour</w:t>
            </w:r>
          </w:p>
        </w:tc>
        <w:tc>
          <w:tcPr>
            <w:tcW w:w="813" w:type="pct"/>
            <w:tcBorders>
              <w:top w:val="nil"/>
              <w:left w:val="single" w:sz="8" w:space="0" w:color="E0E0E0"/>
              <w:bottom w:val="single" w:sz="8" w:space="0" w:color="152935"/>
              <w:right w:val="single" w:sz="8" w:space="0" w:color="E0E0E0"/>
            </w:tcBorders>
            <w:shd w:val="clear" w:color="auto" w:fill="FFFFFF" w:themeFill="background1"/>
            <w:vAlign w:val="center"/>
          </w:tcPr>
          <w:p w14:paraId="6880BB87"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High Career Risk</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Taking Behaviour</w:t>
            </w:r>
          </w:p>
        </w:tc>
        <w:tc>
          <w:tcPr>
            <w:tcW w:w="566" w:type="pct"/>
            <w:vMerge/>
            <w:tcBorders>
              <w:top w:val="nil"/>
              <w:left w:val="single" w:sz="8" w:space="0" w:color="E0E0E0"/>
              <w:bottom w:val="nil"/>
              <w:right w:val="nil"/>
            </w:tcBorders>
            <w:shd w:val="clear" w:color="auto" w:fill="FFFFFF" w:themeFill="background1"/>
            <w:vAlign w:val="bottom"/>
          </w:tcPr>
          <w:p w14:paraId="2DA71FD5" w14:textId="77777777" w:rsidR="000C3A3C" w:rsidRPr="004A4AAE" w:rsidRDefault="000C3A3C" w:rsidP="004A4AAE">
            <w:pPr>
              <w:pStyle w:val="NoSpacing"/>
              <w:rPr>
                <w:rFonts w:ascii="Times New Roman" w:hAnsi="Times New Roman" w:cs="Times New Roman"/>
                <w:color w:val="000000" w:themeColor="text1"/>
                <w:lang w:bidi="bn-IN"/>
              </w:rPr>
            </w:pPr>
          </w:p>
        </w:tc>
      </w:tr>
      <w:tr w:rsidR="004A4AAE" w:rsidRPr="004A4AAE" w14:paraId="5DB51554" w14:textId="77777777" w:rsidTr="007E74A3">
        <w:trPr>
          <w:cantSplit/>
        </w:trPr>
        <w:tc>
          <w:tcPr>
            <w:tcW w:w="1209" w:type="pct"/>
            <w:vMerge w:val="restart"/>
            <w:tcBorders>
              <w:top w:val="single" w:sz="8" w:space="0" w:color="152935"/>
              <w:left w:val="nil"/>
              <w:bottom w:val="single" w:sz="8" w:space="0" w:color="AEAEAE"/>
              <w:right w:val="nil"/>
            </w:tcBorders>
            <w:shd w:val="clear" w:color="auto" w:fill="FFFFFF" w:themeFill="background1"/>
            <w:vAlign w:val="center"/>
          </w:tcPr>
          <w:p w14:paraId="69948AEF" w14:textId="02A2E8B1" w:rsidR="007E74A3" w:rsidRDefault="000C3A3C" w:rsidP="007E74A3">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Monthly Family</w:t>
            </w:r>
          </w:p>
          <w:p w14:paraId="780ABC89" w14:textId="6ECDD5EB" w:rsidR="000C3A3C" w:rsidRPr="004A4AAE" w:rsidRDefault="000C3A3C" w:rsidP="007E74A3">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Income</w:t>
            </w:r>
          </w:p>
        </w:tc>
        <w:tc>
          <w:tcPr>
            <w:tcW w:w="787" w:type="pct"/>
            <w:tcBorders>
              <w:top w:val="single" w:sz="8" w:space="0" w:color="152935"/>
              <w:left w:val="nil"/>
              <w:bottom w:val="single" w:sz="8" w:space="0" w:color="AEAEAE"/>
              <w:right w:val="nil"/>
            </w:tcBorders>
            <w:shd w:val="clear" w:color="auto" w:fill="FFFFFF" w:themeFill="background1"/>
            <w:vAlign w:val="center"/>
          </w:tcPr>
          <w:p w14:paraId="4EEFBACC"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10000 Below</w:t>
            </w:r>
          </w:p>
        </w:tc>
        <w:tc>
          <w:tcPr>
            <w:tcW w:w="812" w:type="pct"/>
            <w:tcBorders>
              <w:top w:val="single" w:sz="8" w:space="0" w:color="152935"/>
              <w:left w:val="nil"/>
              <w:bottom w:val="single" w:sz="8" w:space="0" w:color="AEAEAE"/>
              <w:right w:val="single" w:sz="8" w:space="0" w:color="E0E0E0"/>
            </w:tcBorders>
            <w:shd w:val="clear" w:color="auto" w:fill="FFFFFF" w:themeFill="background1"/>
            <w:vAlign w:val="center"/>
          </w:tcPr>
          <w:p w14:paraId="5DDDF4A8"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w:t>
            </w:r>
          </w:p>
        </w:tc>
        <w:tc>
          <w:tcPr>
            <w:tcW w:w="812" w:type="pct"/>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26FFB4FD"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50</w:t>
            </w:r>
          </w:p>
        </w:tc>
        <w:tc>
          <w:tcPr>
            <w:tcW w:w="813" w:type="pct"/>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3ACF0D3A"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9</w:t>
            </w:r>
          </w:p>
        </w:tc>
        <w:tc>
          <w:tcPr>
            <w:tcW w:w="566" w:type="pct"/>
            <w:tcBorders>
              <w:top w:val="single" w:sz="8" w:space="0" w:color="152935"/>
              <w:left w:val="single" w:sz="8" w:space="0" w:color="E0E0E0"/>
              <w:bottom w:val="single" w:sz="8" w:space="0" w:color="AEAEAE"/>
              <w:right w:val="nil"/>
            </w:tcBorders>
            <w:shd w:val="clear" w:color="auto" w:fill="FFFFFF" w:themeFill="background1"/>
            <w:vAlign w:val="center"/>
          </w:tcPr>
          <w:p w14:paraId="343B3034"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69</w:t>
            </w:r>
          </w:p>
        </w:tc>
      </w:tr>
      <w:tr w:rsidR="004A4AAE" w:rsidRPr="004A4AAE" w14:paraId="142DFD35" w14:textId="77777777" w:rsidTr="00EA10BB">
        <w:trPr>
          <w:cantSplit/>
        </w:trPr>
        <w:tc>
          <w:tcPr>
            <w:tcW w:w="1209" w:type="pct"/>
            <w:vMerge/>
            <w:tcBorders>
              <w:top w:val="single" w:sz="8" w:space="0" w:color="152935"/>
              <w:left w:val="nil"/>
              <w:bottom w:val="single" w:sz="8" w:space="0" w:color="AEAEAE"/>
              <w:right w:val="nil"/>
            </w:tcBorders>
            <w:shd w:val="clear" w:color="auto" w:fill="FFFFFF" w:themeFill="background1"/>
          </w:tcPr>
          <w:p w14:paraId="07001A93" w14:textId="77777777" w:rsidR="000C3A3C" w:rsidRPr="004A4AAE" w:rsidRDefault="000C3A3C" w:rsidP="004A4AAE">
            <w:pPr>
              <w:pStyle w:val="NoSpacing"/>
              <w:rPr>
                <w:rFonts w:ascii="Times New Roman" w:hAnsi="Times New Roman" w:cs="Times New Roman"/>
                <w:color w:val="000000" w:themeColor="text1"/>
                <w:lang w:bidi="bn-IN"/>
              </w:rPr>
            </w:pPr>
          </w:p>
        </w:tc>
        <w:tc>
          <w:tcPr>
            <w:tcW w:w="787" w:type="pct"/>
            <w:tcBorders>
              <w:top w:val="single" w:sz="8" w:space="0" w:color="AEAEAE"/>
              <w:left w:val="nil"/>
              <w:bottom w:val="single" w:sz="8" w:space="0" w:color="AEAEAE"/>
              <w:right w:val="nil"/>
            </w:tcBorders>
            <w:shd w:val="clear" w:color="auto" w:fill="FFFFFF" w:themeFill="background1"/>
            <w:vAlign w:val="center"/>
          </w:tcPr>
          <w:p w14:paraId="2A0831D3"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10000</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20000</w:t>
            </w:r>
          </w:p>
        </w:tc>
        <w:tc>
          <w:tcPr>
            <w:tcW w:w="812" w:type="pct"/>
            <w:tcBorders>
              <w:top w:val="single" w:sz="8" w:space="0" w:color="AEAEAE"/>
              <w:left w:val="nil"/>
              <w:bottom w:val="single" w:sz="8" w:space="0" w:color="AEAEAE"/>
              <w:right w:val="single" w:sz="8" w:space="0" w:color="E0E0E0"/>
            </w:tcBorders>
            <w:shd w:val="clear" w:color="auto" w:fill="FFFFFF" w:themeFill="background1"/>
            <w:vAlign w:val="center"/>
          </w:tcPr>
          <w:p w14:paraId="176C3CE1"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18</w:t>
            </w:r>
          </w:p>
        </w:tc>
        <w:tc>
          <w:tcPr>
            <w:tcW w:w="812"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2E683352"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101</w:t>
            </w:r>
          </w:p>
        </w:tc>
        <w:tc>
          <w:tcPr>
            <w:tcW w:w="813"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6E859160"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15</w:t>
            </w:r>
          </w:p>
        </w:tc>
        <w:tc>
          <w:tcPr>
            <w:tcW w:w="566" w:type="pct"/>
            <w:tcBorders>
              <w:top w:val="single" w:sz="8" w:space="0" w:color="AEAEAE"/>
              <w:left w:val="single" w:sz="8" w:space="0" w:color="E0E0E0"/>
              <w:bottom w:val="single" w:sz="8" w:space="0" w:color="AEAEAE"/>
              <w:right w:val="nil"/>
            </w:tcBorders>
            <w:shd w:val="clear" w:color="auto" w:fill="FFFFFF" w:themeFill="background1"/>
            <w:vAlign w:val="center"/>
          </w:tcPr>
          <w:p w14:paraId="1526FFB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134</w:t>
            </w:r>
          </w:p>
        </w:tc>
      </w:tr>
      <w:tr w:rsidR="004A4AAE" w:rsidRPr="004A4AAE" w14:paraId="4014BE00" w14:textId="77777777" w:rsidTr="00EA10BB">
        <w:trPr>
          <w:cantSplit/>
        </w:trPr>
        <w:tc>
          <w:tcPr>
            <w:tcW w:w="1209" w:type="pct"/>
            <w:vMerge/>
            <w:tcBorders>
              <w:top w:val="single" w:sz="8" w:space="0" w:color="152935"/>
              <w:left w:val="nil"/>
              <w:bottom w:val="single" w:sz="8" w:space="0" w:color="AEAEAE"/>
              <w:right w:val="nil"/>
            </w:tcBorders>
            <w:shd w:val="clear" w:color="auto" w:fill="FFFFFF" w:themeFill="background1"/>
          </w:tcPr>
          <w:p w14:paraId="4357A448" w14:textId="77777777" w:rsidR="000C3A3C" w:rsidRPr="004A4AAE" w:rsidRDefault="000C3A3C" w:rsidP="004A4AAE">
            <w:pPr>
              <w:pStyle w:val="NoSpacing"/>
              <w:rPr>
                <w:rFonts w:ascii="Times New Roman" w:hAnsi="Times New Roman" w:cs="Times New Roman"/>
                <w:color w:val="000000" w:themeColor="text1"/>
                <w:lang w:bidi="bn-IN"/>
              </w:rPr>
            </w:pPr>
          </w:p>
        </w:tc>
        <w:tc>
          <w:tcPr>
            <w:tcW w:w="787" w:type="pct"/>
            <w:tcBorders>
              <w:top w:val="single" w:sz="8" w:space="0" w:color="AEAEAE"/>
              <w:left w:val="nil"/>
              <w:bottom w:val="single" w:sz="8" w:space="0" w:color="AEAEAE"/>
              <w:right w:val="nil"/>
            </w:tcBorders>
            <w:shd w:val="clear" w:color="auto" w:fill="FFFFFF" w:themeFill="background1"/>
            <w:vAlign w:val="center"/>
          </w:tcPr>
          <w:p w14:paraId="144649AE"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20000</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30000</w:t>
            </w:r>
          </w:p>
        </w:tc>
        <w:tc>
          <w:tcPr>
            <w:tcW w:w="812" w:type="pct"/>
            <w:tcBorders>
              <w:top w:val="single" w:sz="8" w:space="0" w:color="AEAEAE"/>
              <w:left w:val="nil"/>
              <w:bottom w:val="single" w:sz="8" w:space="0" w:color="AEAEAE"/>
              <w:right w:val="single" w:sz="8" w:space="0" w:color="E0E0E0"/>
            </w:tcBorders>
            <w:shd w:val="clear" w:color="auto" w:fill="FFFFFF" w:themeFill="background1"/>
            <w:vAlign w:val="center"/>
          </w:tcPr>
          <w:p w14:paraId="678564C9"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0</w:t>
            </w:r>
          </w:p>
        </w:tc>
        <w:tc>
          <w:tcPr>
            <w:tcW w:w="812"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0378654A"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w:t>
            </w:r>
          </w:p>
        </w:tc>
        <w:tc>
          <w:tcPr>
            <w:tcW w:w="813"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3CD27B6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w:t>
            </w:r>
          </w:p>
        </w:tc>
        <w:tc>
          <w:tcPr>
            <w:tcW w:w="566" w:type="pct"/>
            <w:tcBorders>
              <w:top w:val="single" w:sz="8" w:space="0" w:color="AEAEAE"/>
              <w:left w:val="single" w:sz="8" w:space="0" w:color="E0E0E0"/>
              <w:bottom w:val="single" w:sz="8" w:space="0" w:color="AEAEAE"/>
              <w:right w:val="nil"/>
            </w:tcBorders>
            <w:shd w:val="clear" w:color="auto" w:fill="FFFFFF" w:themeFill="background1"/>
            <w:vAlign w:val="center"/>
          </w:tcPr>
          <w:p w14:paraId="71D629F6"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8</w:t>
            </w:r>
          </w:p>
        </w:tc>
      </w:tr>
      <w:tr w:rsidR="004A4AAE" w:rsidRPr="004A4AAE" w14:paraId="4F5E2C1F" w14:textId="77777777" w:rsidTr="00EA10BB">
        <w:trPr>
          <w:cantSplit/>
        </w:trPr>
        <w:tc>
          <w:tcPr>
            <w:tcW w:w="1209" w:type="pct"/>
            <w:vMerge/>
            <w:tcBorders>
              <w:top w:val="single" w:sz="8" w:space="0" w:color="152935"/>
              <w:left w:val="nil"/>
              <w:bottom w:val="single" w:sz="8" w:space="0" w:color="AEAEAE"/>
              <w:right w:val="nil"/>
            </w:tcBorders>
            <w:shd w:val="clear" w:color="auto" w:fill="FFFFFF" w:themeFill="background1"/>
          </w:tcPr>
          <w:p w14:paraId="76C9D4BF" w14:textId="77777777" w:rsidR="000C3A3C" w:rsidRPr="004A4AAE" w:rsidRDefault="000C3A3C" w:rsidP="004A4AAE">
            <w:pPr>
              <w:pStyle w:val="NoSpacing"/>
              <w:rPr>
                <w:rFonts w:ascii="Times New Roman" w:hAnsi="Times New Roman" w:cs="Times New Roman"/>
                <w:color w:val="000000" w:themeColor="text1"/>
                <w:lang w:bidi="bn-IN"/>
              </w:rPr>
            </w:pPr>
          </w:p>
        </w:tc>
        <w:tc>
          <w:tcPr>
            <w:tcW w:w="787" w:type="pct"/>
            <w:tcBorders>
              <w:top w:val="single" w:sz="8" w:space="0" w:color="AEAEAE"/>
              <w:left w:val="nil"/>
              <w:bottom w:val="single" w:sz="8" w:space="0" w:color="AEAEAE"/>
              <w:right w:val="nil"/>
            </w:tcBorders>
            <w:shd w:val="clear" w:color="auto" w:fill="FFFFFF" w:themeFill="background1"/>
            <w:vAlign w:val="center"/>
          </w:tcPr>
          <w:p w14:paraId="37F39FEB"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30000 Above</w:t>
            </w:r>
          </w:p>
        </w:tc>
        <w:tc>
          <w:tcPr>
            <w:tcW w:w="812" w:type="pct"/>
            <w:tcBorders>
              <w:top w:val="single" w:sz="8" w:space="0" w:color="AEAEAE"/>
              <w:left w:val="nil"/>
              <w:bottom w:val="single" w:sz="8" w:space="0" w:color="AEAEAE"/>
              <w:right w:val="single" w:sz="8" w:space="0" w:color="E0E0E0"/>
            </w:tcBorders>
            <w:shd w:val="clear" w:color="auto" w:fill="FFFFFF" w:themeFill="background1"/>
            <w:vAlign w:val="center"/>
          </w:tcPr>
          <w:p w14:paraId="184AD004"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0</w:t>
            </w:r>
          </w:p>
        </w:tc>
        <w:tc>
          <w:tcPr>
            <w:tcW w:w="812"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091AF489"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w:t>
            </w:r>
          </w:p>
        </w:tc>
        <w:tc>
          <w:tcPr>
            <w:tcW w:w="813"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6A23DF65"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0</w:t>
            </w:r>
          </w:p>
        </w:tc>
        <w:tc>
          <w:tcPr>
            <w:tcW w:w="566" w:type="pct"/>
            <w:tcBorders>
              <w:top w:val="single" w:sz="8" w:space="0" w:color="AEAEAE"/>
              <w:left w:val="single" w:sz="8" w:space="0" w:color="E0E0E0"/>
              <w:bottom w:val="single" w:sz="8" w:space="0" w:color="AEAEAE"/>
              <w:right w:val="nil"/>
            </w:tcBorders>
            <w:shd w:val="clear" w:color="auto" w:fill="FFFFFF" w:themeFill="background1"/>
            <w:vAlign w:val="center"/>
          </w:tcPr>
          <w:p w14:paraId="7D3E054C"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w:t>
            </w:r>
          </w:p>
        </w:tc>
      </w:tr>
      <w:tr w:rsidR="004A4AAE" w:rsidRPr="004A4AAE" w14:paraId="309701F4" w14:textId="77777777" w:rsidTr="00EA10BB">
        <w:trPr>
          <w:cantSplit/>
        </w:trPr>
        <w:tc>
          <w:tcPr>
            <w:tcW w:w="1996" w:type="pct"/>
            <w:gridSpan w:val="2"/>
            <w:tcBorders>
              <w:top w:val="single" w:sz="8" w:space="0" w:color="AEAEAE"/>
              <w:left w:val="nil"/>
              <w:bottom w:val="single" w:sz="8" w:space="0" w:color="152935"/>
              <w:right w:val="nil"/>
            </w:tcBorders>
            <w:shd w:val="clear" w:color="auto" w:fill="FFFFFF" w:themeFill="background1"/>
            <w:vAlign w:val="center"/>
          </w:tcPr>
          <w:p w14:paraId="6ACF704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Total</w:t>
            </w:r>
          </w:p>
        </w:tc>
        <w:tc>
          <w:tcPr>
            <w:tcW w:w="812" w:type="pct"/>
            <w:tcBorders>
              <w:top w:val="single" w:sz="8" w:space="0" w:color="AEAEAE"/>
              <w:left w:val="nil"/>
              <w:bottom w:val="single" w:sz="8" w:space="0" w:color="152935"/>
              <w:right w:val="single" w:sz="8" w:space="0" w:color="E0E0E0"/>
            </w:tcBorders>
            <w:shd w:val="clear" w:color="auto" w:fill="FFFFFF" w:themeFill="background1"/>
            <w:vAlign w:val="center"/>
          </w:tcPr>
          <w:p w14:paraId="331478BE"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28</w:t>
            </w:r>
          </w:p>
        </w:tc>
        <w:tc>
          <w:tcPr>
            <w:tcW w:w="812" w:type="pct"/>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3368D62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158</w:t>
            </w:r>
          </w:p>
        </w:tc>
        <w:tc>
          <w:tcPr>
            <w:tcW w:w="813" w:type="pct"/>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57ED95A6"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26</w:t>
            </w:r>
          </w:p>
        </w:tc>
        <w:tc>
          <w:tcPr>
            <w:tcW w:w="566" w:type="pct"/>
            <w:tcBorders>
              <w:top w:val="single" w:sz="8" w:space="0" w:color="AEAEAE"/>
              <w:left w:val="single" w:sz="8" w:space="0" w:color="E0E0E0"/>
              <w:bottom w:val="single" w:sz="8" w:space="0" w:color="152935"/>
              <w:right w:val="nil"/>
            </w:tcBorders>
            <w:shd w:val="clear" w:color="auto" w:fill="FFFFFF" w:themeFill="background1"/>
            <w:vAlign w:val="center"/>
          </w:tcPr>
          <w:p w14:paraId="5092F392"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212</w:t>
            </w:r>
          </w:p>
        </w:tc>
      </w:tr>
    </w:tbl>
    <w:p w14:paraId="12EDA9FE" w14:textId="2CA55BF1" w:rsidR="00995DC2" w:rsidRDefault="00EA10BB" w:rsidP="00995DC2">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EA10BB">
        <w:rPr>
          <w:rFonts w:ascii="Times New Roman" w:hAnsi="Times New Roman" w:cs="Times New Roman"/>
          <w:kern w:val="0"/>
          <w:sz w:val="24"/>
          <w:szCs w:val="24"/>
          <w:lang w:bidi="bn-IN"/>
        </w:rPr>
        <w:t xml:space="preserve">Table 6 </w:t>
      </w:r>
      <w:r w:rsidR="00193A7D" w:rsidRPr="00193A7D">
        <w:rPr>
          <w:rFonts w:ascii="Times New Roman" w:hAnsi="Times New Roman" w:cs="Times New Roman"/>
          <w:kern w:val="0"/>
          <w:sz w:val="24"/>
          <w:szCs w:val="24"/>
          <w:lang w:bidi="bn-IN"/>
        </w:rPr>
        <w:t>The cross-tabulation reveals a consistent pattern across all income groups, with the majority of students exhibiting a moderate level of career risk-taking behaviour. The absence of a clear increasing or decreasing trend across income categories indicates that career risk-taking behaviour does not vary systematically with socioeconomic status. This uniform distribution suggests that income level has minimal influence on students’ risk orientation in career decision-making.</w:t>
      </w:r>
    </w:p>
    <w:p w14:paraId="429B3A31" w14:textId="77777777" w:rsidR="00995DC2" w:rsidRDefault="00995DC2" w:rsidP="00995DC2">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p>
    <w:p w14:paraId="6A8BF88E" w14:textId="373C28AF" w:rsidR="00817C7E" w:rsidRPr="00817C7E" w:rsidRDefault="00817C7E" w:rsidP="00817C7E">
      <w:pPr>
        <w:pStyle w:val="NoSpacing"/>
        <w:numPr>
          <w:ilvl w:val="1"/>
          <w:numId w:val="31"/>
        </w:numPr>
        <w:ind w:left="567" w:hanging="567"/>
        <w:jc w:val="both"/>
        <w:rPr>
          <w:rFonts w:ascii="Times New Roman" w:hAnsi="Times New Roman" w:cs="Times New Roman"/>
          <w:b/>
          <w:bCs/>
          <w:sz w:val="28"/>
          <w:szCs w:val="28"/>
        </w:rPr>
      </w:pPr>
      <w:r w:rsidRPr="00817C7E">
        <w:rPr>
          <w:rFonts w:ascii="Times New Roman" w:hAnsi="Times New Roman" w:cs="Times New Roman"/>
          <w:b/>
          <w:bCs/>
          <w:sz w:val="24"/>
          <w:szCs w:val="24"/>
          <w:lang w:eastAsia="en-IN" w:bidi="bn-IN"/>
        </w:rPr>
        <w:t xml:space="preserve">To determine the association between socioeconomic status and levels of career risk-taking behaviour. </w:t>
      </w:r>
    </w:p>
    <w:p w14:paraId="5E644B64" w14:textId="61549497" w:rsidR="00D03CFA" w:rsidRPr="00F3009A" w:rsidRDefault="00D03CFA" w:rsidP="00D03CFA">
      <w:pPr>
        <w:pStyle w:val="Caption"/>
        <w:keepNext/>
        <w:rPr>
          <w:rFonts w:ascii="Times New Roman" w:hAnsi="Times New Roman" w:cs="Times New Roman"/>
          <w:b/>
          <w:bCs/>
          <w:color w:val="000000" w:themeColor="text1"/>
          <w:sz w:val="20"/>
          <w:szCs w:val="20"/>
        </w:rPr>
      </w:pPr>
      <w:r w:rsidRPr="00F3009A">
        <w:rPr>
          <w:rFonts w:ascii="Times New Roman" w:hAnsi="Times New Roman" w:cs="Times New Roman"/>
          <w:b/>
          <w:bCs/>
          <w:color w:val="000000" w:themeColor="text1"/>
          <w:sz w:val="20"/>
          <w:szCs w:val="20"/>
        </w:rPr>
        <w:t xml:space="preserve">Table </w:t>
      </w:r>
      <w:r w:rsidRPr="00F3009A">
        <w:rPr>
          <w:rFonts w:ascii="Times New Roman" w:hAnsi="Times New Roman" w:cs="Times New Roman"/>
          <w:b/>
          <w:bCs/>
          <w:color w:val="000000" w:themeColor="text1"/>
          <w:sz w:val="20"/>
          <w:szCs w:val="20"/>
        </w:rPr>
        <w:fldChar w:fldCharType="begin"/>
      </w:r>
      <w:r w:rsidRPr="00F3009A">
        <w:rPr>
          <w:rFonts w:ascii="Times New Roman" w:hAnsi="Times New Roman" w:cs="Times New Roman"/>
          <w:b/>
          <w:bCs/>
          <w:color w:val="000000" w:themeColor="text1"/>
          <w:sz w:val="20"/>
          <w:szCs w:val="20"/>
        </w:rPr>
        <w:instrText xml:space="preserve"> SEQ Table \* ARABIC </w:instrText>
      </w:r>
      <w:r w:rsidRPr="00F3009A">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7</w:t>
      </w:r>
      <w:r w:rsidRPr="00F3009A">
        <w:rPr>
          <w:rFonts w:ascii="Times New Roman" w:hAnsi="Times New Roman" w:cs="Times New Roman"/>
          <w:b/>
          <w:bCs/>
          <w:color w:val="000000" w:themeColor="text1"/>
          <w:sz w:val="20"/>
          <w:szCs w:val="20"/>
        </w:rPr>
        <w:fldChar w:fldCharType="end"/>
      </w:r>
      <w:r w:rsidRPr="00F3009A">
        <w:rPr>
          <w:rFonts w:ascii="Times New Roman" w:hAnsi="Times New Roman" w:cs="Times New Roman"/>
          <w:b/>
          <w:bCs/>
          <w:color w:val="000000" w:themeColor="text1"/>
          <w:sz w:val="20"/>
          <w:szCs w:val="20"/>
          <w:lang w:val="en-US"/>
        </w:rPr>
        <w:t xml:space="preserve">: </w:t>
      </w:r>
      <w:r w:rsidR="00F3009A" w:rsidRPr="00F3009A">
        <w:rPr>
          <w:rFonts w:ascii="Times New Roman" w:hAnsi="Times New Roman" w:cs="Times New Roman"/>
          <w:b/>
          <w:bCs/>
          <w:color w:val="000000" w:themeColor="text1"/>
          <w:sz w:val="20"/>
          <w:szCs w:val="20"/>
          <w:lang w:val="en-US"/>
        </w:rPr>
        <w:t>Chi-Square Tests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3702"/>
        <w:gridCol w:w="1551"/>
        <w:gridCol w:w="1551"/>
        <w:gridCol w:w="2222"/>
      </w:tblGrid>
      <w:tr w:rsidR="004A4AAE" w:rsidRPr="004A4AAE" w14:paraId="388BD436" w14:textId="77777777" w:rsidTr="00FA060E">
        <w:trPr>
          <w:cantSplit/>
          <w:trHeight w:val="454"/>
        </w:trPr>
        <w:tc>
          <w:tcPr>
            <w:tcW w:w="5000" w:type="pct"/>
            <w:gridSpan w:val="4"/>
            <w:tcBorders>
              <w:top w:val="nil"/>
              <w:left w:val="nil"/>
              <w:bottom w:val="nil"/>
              <w:right w:val="nil"/>
            </w:tcBorders>
            <w:shd w:val="clear" w:color="auto" w:fill="FFFFFF" w:themeFill="background1"/>
            <w:vAlign w:val="center"/>
          </w:tcPr>
          <w:p w14:paraId="780A271F"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Chi</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Square Tests</w:t>
            </w:r>
          </w:p>
        </w:tc>
      </w:tr>
      <w:tr w:rsidR="004A4AAE" w:rsidRPr="004A4AAE" w14:paraId="765F3FDC" w14:textId="77777777" w:rsidTr="00FA060E">
        <w:trPr>
          <w:cantSplit/>
          <w:trHeight w:val="454"/>
        </w:trPr>
        <w:tc>
          <w:tcPr>
            <w:tcW w:w="2051" w:type="pct"/>
            <w:tcBorders>
              <w:top w:val="nil"/>
              <w:left w:val="nil"/>
              <w:bottom w:val="single" w:sz="8" w:space="0" w:color="152935"/>
              <w:right w:val="nil"/>
            </w:tcBorders>
            <w:shd w:val="clear" w:color="auto" w:fill="FFFFFF" w:themeFill="background1"/>
            <w:vAlign w:val="center"/>
          </w:tcPr>
          <w:p w14:paraId="6758F082" w14:textId="77777777" w:rsidR="00F34B6F" w:rsidRPr="004A4AAE" w:rsidRDefault="00F34B6F" w:rsidP="00995DC2">
            <w:pPr>
              <w:pStyle w:val="NoSpacing"/>
              <w:jc w:val="center"/>
              <w:rPr>
                <w:rFonts w:ascii="Times New Roman" w:hAnsi="Times New Roman" w:cs="Times New Roman"/>
                <w:color w:val="000000" w:themeColor="text1"/>
                <w:lang w:bidi="bn-IN"/>
              </w:rPr>
            </w:pPr>
          </w:p>
        </w:tc>
        <w:tc>
          <w:tcPr>
            <w:tcW w:w="859" w:type="pct"/>
            <w:tcBorders>
              <w:top w:val="nil"/>
              <w:left w:val="nil"/>
              <w:bottom w:val="single" w:sz="8" w:space="0" w:color="152935"/>
              <w:right w:val="single" w:sz="8" w:space="0" w:color="E0E0E0"/>
            </w:tcBorders>
            <w:shd w:val="clear" w:color="auto" w:fill="FFFFFF" w:themeFill="background1"/>
            <w:vAlign w:val="center"/>
          </w:tcPr>
          <w:p w14:paraId="5A0FA3B6"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Value</w:t>
            </w:r>
          </w:p>
        </w:tc>
        <w:tc>
          <w:tcPr>
            <w:tcW w:w="859" w:type="pct"/>
            <w:tcBorders>
              <w:top w:val="nil"/>
              <w:left w:val="single" w:sz="8" w:space="0" w:color="E0E0E0"/>
              <w:bottom w:val="single" w:sz="8" w:space="0" w:color="152935"/>
              <w:right w:val="single" w:sz="8" w:space="0" w:color="E0E0E0"/>
            </w:tcBorders>
            <w:shd w:val="clear" w:color="auto" w:fill="FFFFFF" w:themeFill="background1"/>
            <w:vAlign w:val="center"/>
          </w:tcPr>
          <w:p w14:paraId="250859F5"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df</w:t>
            </w:r>
          </w:p>
        </w:tc>
        <w:tc>
          <w:tcPr>
            <w:tcW w:w="1231" w:type="pct"/>
            <w:tcBorders>
              <w:top w:val="nil"/>
              <w:left w:val="single" w:sz="8" w:space="0" w:color="E0E0E0"/>
              <w:bottom w:val="single" w:sz="8" w:space="0" w:color="152935"/>
              <w:right w:val="nil"/>
            </w:tcBorders>
            <w:shd w:val="clear" w:color="auto" w:fill="FFFFFF" w:themeFill="background1"/>
            <w:vAlign w:val="center"/>
          </w:tcPr>
          <w:p w14:paraId="4C6FC181"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 xml:space="preserve">Asymptotic Significance </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2</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sided</w:t>
            </w:r>
            <w:r w:rsidRPr="004A4AAE">
              <w:rPr>
                <w:rFonts w:ascii="Times New Roman" w:hAnsi="Times New Roman" w:cs="Times New Roman"/>
                <w:color w:val="000000" w:themeColor="text1"/>
                <w:cs/>
                <w:lang w:bidi="bn-IN"/>
              </w:rPr>
              <w:t>)</w:t>
            </w:r>
          </w:p>
        </w:tc>
      </w:tr>
      <w:tr w:rsidR="004A4AAE" w:rsidRPr="004A4AAE" w14:paraId="6867EF6D" w14:textId="77777777" w:rsidTr="00FA060E">
        <w:trPr>
          <w:cantSplit/>
          <w:trHeight w:val="454"/>
        </w:trPr>
        <w:tc>
          <w:tcPr>
            <w:tcW w:w="2051" w:type="pct"/>
            <w:tcBorders>
              <w:top w:val="single" w:sz="8" w:space="0" w:color="152935"/>
              <w:left w:val="nil"/>
              <w:bottom w:val="single" w:sz="8" w:space="0" w:color="AEAEAE"/>
              <w:right w:val="nil"/>
            </w:tcBorders>
            <w:shd w:val="clear" w:color="auto" w:fill="FFFFFF" w:themeFill="background1"/>
            <w:vAlign w:val="center"/>
          </w:tcPr>
          <w:p w14:paraId="3F21DE7F"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Pearson Chi</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Square</w:t>
            </w:r>
          </w:p>
        </w:tc>
        <w:tc>
          <w:tcPr>
            <w:tcW w:w="859" w:type="pct"/>
            <w:tcBorders>
              <w:top w:val="single" w:sz="8" w:space="0" w:color="152935"/>
              <w:left w:val="nil"/>
              <w:bottom w:val="single" w:sz="8" w:space="0" w:color="AEAEAE"/>
              <w:right w:val="single" w:sz="8" w:space="0" w:color="E0E0E0"/>
            </w:tcBorders>
            <w:shd w:val="clear" w:color="auto" w:fill="FFFFFF" w:themeFill="background1"/>
            <w:vAlign w:val="center"/>
          </w:tcPr>
          <w:p w14:paraId="1161867B"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760</w:t>
            </w:r>
            <w:r w:rsidRPr="004A4AAE">
              <w:rPr>
                <w:rFonts w:ascii="Times New Roman" w:hAnsi="Times New Roman" w:cs="Times New Roman"/>
                <w:color w:val="000000" w:themeColor="text1"/>
                <w:vertAlign w:val="superscript"/>
                <w:lang w:bidi="bn-IN"/>
              </w:rPr>
              <w:t>a</w:t>
            </w:r>
          </w:p>
        </w:tc>
        <w:tc>
          <w:tcPr>
            <w:tcW w:w="859" w:type="pct"/>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6570D614"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w:t>
            </w:r>
          </w:p>
        </w:tc>
        <w:tc>
          <w:tcPr>
            <w:tcW w:w="1231" w:type="pct"/>
            <w:tcBorders>
              <w:top w:val="single" w:sz="8" w:space="0" w:color="152935"/>
              <w:left w:val="single" w:sz="8" w:space="0" w:color="E0E0E0"/>
              <w:bottom w:val="single" w:sz="8" w:space="0" w:color="AEAEAE"/>
              <w:right w:val="nil"/>
            </w:tcBorders>
            <w:shd w:val="clear" w:color="auto" w:fill="FFFFFF" w:themeFill="background1"/>
            <w:vAlign w:val="center"/>
          </w:tcPr>
          <w:p w14:paraId="34D19C5A"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838</w:t>
            </w:r>
          </w:p>
        </w:tc>
      </w:tr>
      <w:tr w:rsidR="004A4AAE" w:rsidRPr="004A4AAE" w14:paraId="2851187A" w14:textId="77777777" w:rsidTr="00FA060E">
        <w:trPr>
          <w:cantSplit/>
          <w:trHeight w:val="454"/>
        </w:trPr>
        <w:tc>
          <w:tcPr>
            <w:tcW w:w="2051" w:type="pct"/>
            <w:tcBorders>
              <w:top w:val="single" w:sz="8" w:space="0" w:color="AEAEAE"/>
              <w:left w:val="nil"/>
              <w:bottom w:val="single" w:sz="8" w:space="0" w:color="AEAEAE"/>
              <w:right w:val="nil"/>
            </w:tcBorders>
            <w:shd w:val="clear" w:color="auto" w:fill="FFFFFF" w:themeFill="background1"/>
            <w:vAlign w:val="center"/>
          </w:tcPr>
          <w:p w14:paraId="7659146B"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Likelihood Ratio</w:t>
            </w:r>
          </w:p>
        </w:tc>
        <w:tc>
          <w:tcPr>
            <w:tcW w:w="859" w:type="pct"/>
            <w:tcBorders>
              <w:top w:val="single" w:sz="8" w:space="0" w:color="AEAEAE"/>
              <w:left w:val="nil"/>
              <w:bottom w:val="single" w:sz="8" w:space="0" w:color="AEAEAE"/>
              <w:right w:val="single" w:sz="8" w:space="0" w:color="E0E0E0"/>
            </w:tcBorders>
            <w:shd w:val="clear" w:color="auto" w:fill="FFFFFF" w:themeFill="background1"/>
            <w:vAlign w:val="center"/>
          </w:tcPr>
          <w:p w14:paraId="52713552"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3</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816</w:t>
            </w:r>
          </w:p>
        </w:tc>
        <w:tc>
          <w:tcPr>
            <w:tcW w:w="859"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5C176CB8"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w:t>
            </w:r>
          </w:p>
        </w:tc>
        <w:tc>
          <w:tcPr>
            <w:tcW w:w="1231" w:type="pct"/>
            <w:tcBorders>
              <w:top w:val="single" w:sz="8" w:space="0" w:color="AEAEAE"/>
              <w:left w:val="single" w:sz="8" w:space="0" w:color="E0E0E0"/>
              <w:bottom w:val="single" w:sz="8" w:space="0" w:color="AEAEAE"/>
              <w:right w:val="nil"/>
            </w:tcBorders>
            <w:shd w:val="clear" w:color="auto" w:fill="FFFFFF" w:themeFill="background1"/>
            <w:vAlign w:val="center"/>
          </w:tcPr>
          <w:p w14:paraId="09B2B832"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702</w:t>
            </w:r>
          </w:p>
        </w:tc>
      </w:tr>
      <w:tr w:rsidR="004A4AAE" w:rsidRPr="004A4AAE" w14:paraId="64061CCF" w14:textId="77777777" w:rsidTr="00FA060E">
        <w:trPr>
          <w:cantSplit/>
          <w:trHeight w:val="454"/>
        </w:trPr>
        <w:tc>
          <w:tcPr>
            <w:tcW w:w="2051" w:type="pct"/>
            <w:tcBorders>
              <w:top w:val="single" w:sz="8" w:space="0" w:color="AEAEAE"/>
              <w:left w:val="nil"/>
              <w:bottom w:val="single" w:sz="8" w:space="0" w:color="AEAEAE"/>
              <w:right w:val="nil"/>
            </w:tcBorders>
            <w:shd w:val="clear" w:color="auto" w:fill="FFFFFF" w:themeFill="background1"/>
            <w:vAlign w:val="center"/>
          </w:tcPr>
          <w:p w14:paraId="4A24D0A5"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Linear</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by</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Linear Association</w:t>
            </w:r>
          </w:p>
        </w:tc>
        <w:tc>
          <w:tcPr>
            <w:tcW w:w="859" w:type="pct"/>
            <w:tcBorders>
              <w:top w:val="single" w:sz="8" w:space="0" w:color="AEAEAE"/>
              <w:left w:val="nil"/>
              <w:bottom w:val="single" w:sz="8" w:space="0" w:color="AEAEAE"/>
              <w:right w:val="single" w:sz="8" w:space="0" w:color="E0E0E0"/>
            </w:tcBorders>
            <w:shd w:val="clear" w:color="auto" w:fill="FFFFFF" w:themeFill="background1"/>
            <w:vAlign w:val="center"/>
          </w:tcPr>
          <w:p w14:paraId="016518FF"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361</w:t>
            </w:r>
          </w:p>
        </w:tc>
        <w:tc>
          <w:tcPr>
            <w:tcW w:w="859"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1E7C93F4"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w:t>
            </w:r>
          </w:p>
        </w:tc>
        <w:tc>
          <w:tcPr>
            <w:tcW w:w="1231" w:type="pct"/>
            <w:tcBorders>
              <w:top w:val="single" w:sz="8" w:space="0" w:color="AEAEAE"/>
              <w:left w:val="single" w:sz="8" w:space="0" w:color="E0E0E0"/>
              <w:bottom w:val="single" w:sz="8" w:space="0" w:color="AEAEAE"/>
              <w:right w:val="nil"/>
            </w:tcBorders>
            <w:shd w:val="clear" w:color="auto" w:fill="FFFFFF" w:themeFill="background1"/>
            <w:vAlign w:val="center"/>
          </w:tcPr>
          <w:p w14:paraId="2C44BCA7"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548</w:t>
            </w:r>
          </w:p>
        </w:tc>
      </w:tr>
      <w:tr w:rsidR="004A4AAE" w:rsidRPr="004A4AAE" w14:paraId="4417E881" w14:textId="77777777" w:rsidTr="00FA060E">
        <w:trPr>
          <w:cantSplit/>
          <w:trHeight w:val="454"/>
        </w:trPr>
        <w:tc>
          <w:tcPr>
            <w:tcW w:w="2051" w:type="pct"/>
            <w:tcBorders>
              <w:top w:val="single" w:sz="8" w:space="0" w:color="AEAEAE"/>
              <w:left w:val="nil"/>
              <w:bottom w:val="single" w:sz="8" w:space="0" w:color="152935"/>
              <w:right w:val="nil"/>
            </w:tcBorders>
            <w:shd w:val="clear" w:color="auto" w:fill="FFFFFF" w:themeFill="background1"/>
            <w:vAlign w:val="center"/>
          </w:tcPr>
          <w:p w14:paraId="598C13FE"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N of Valid Cases</w:t>
            </w:r>
          </w:p>
        </w:tc>
        <w:tc>
          <w:tcPr>
            <w:tcW w:w="859" w:type="pct"/>
            <w:tcBorders>
              <w:top w:val="single" w:sz="8" w:space="0" w:color="AEAEAE"/>
              <w:left w:val="nil"/>
              <w:bottom w:val="single" w:sz="8" w:space="0" w:color="152935"/>
              <w:right w:val="single" w:sz="8" w:space="0" w:color="E0E0E0"/>
            </w:tcBorders>
            <w:shd w:val="clear" w:color="auto" w:fill="FFFFFF" w:themeFill="background1"/>
            <w:vAlign w:val="center"/>
          </w:tcPr>
          <w:p w14:paraId="6DE7D0E3"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212</w:t>
            </w:r>
          </w:p>
        </w:tc>
        <w:tc>
          <w:tcPr>
            <w:tcW w:w="859" w:type="pct"/>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71457798" w14:textId="77777777" w:rsidR="00F34B6F" w:rsidRPr="004A4AAE" w:rsidRDefault="00F34B6F" w:rsidP="00995DC2">
            <w:pPr>
              <w:pStyle w:val="NoSpacing"/>
              <w:jc w:val="center"/>
              <w:rPr>
                <w:rFonts w:ascii="Times New Roman" w:hAnsi="Times New Roman" w:cs="Times New Roman"/>
                <w:color w:val="000000" w:themeColor="text1"/>
                <w:lang w:bidi="bn-IN"/>
              </w:rPr>
            </w:pPr>
          </w:p>
        </w:tc>
        <w:tc>
          <w:tcPr>
            <w:tcW w:w="1231" w:type="pct"/>
            <w:tcBorders>
              <w:top w:val="single" w:sz="8" w:space="0" w:color="AEAEAE"/>
              <w:left w:val="single" w:sz="8" w:space="0" w:color="E0E0E0"/>
              <w:bottom w:val="single" w:sz="8" w:space="0" w:color="152935"/>
              <w:right w:val="nil"/>
            </w:tcBorders>
            <w:shd w:val="clear" w:color="auto" w:fill="FFFFFF" w:themeFill="background1"/>
            <w:vAlign w:val="center"/>
          </w:tcPr>
          <w:p w14:paraId="1109E80D" w14:textId="77777777" w:rsidR="00F34B6F" w:rsidRPr="004A4AAE" w:rsidRDefault="00F34B6F" w:rsidP="00995DC2">
            <w:pPr>
              <w:pStyle w:val="NoSpacing"/>
              <w:jc w:val="center"/>
              <w:rPr>
                <w:rFonts w:ascii="Times New Roman" w:hAnsi="Times New Roman" w:cs="Times New Roman"/>
                <w:color w:val="000000" w:themeColor="text1"/>
                <w:lang w:bidi="bn-IN"/>
              </w:rPr>
            </w:pPr>
          </w:p>
        </w:tc>
      </w:tr>
      <w:tr w:rsidR="004A4AAE" w:rsidRPr="004A4AAE" w14:paraId="719FCA39" w14:textId="77777777" w:rsidTr="00FA060E">
        <w:trPr>
          <w:cantSplit/>
          <w:trHeight w:val="454"/>
        </w:trPr>
        <w:tc>
          <w:tcPr>
            <w:tcW w:w="5000" w:type="pct"/>
            <w:gridSpan w:val="4"/>
            <w:tcBorders>
              <w:top w:val="nil"/>
              <w:left w:val="nil"/>
              <w:bottom w:val="nil"/>
              <w:right w:val="nil"/>
            </w:tcBorders>
            <w:shd w:val="clear" w:color="auto" w:fill="FFFFFF" w:themeFill="background1"/>
            <w:vAlign w:val="center"/>
          </w:tcPr>
          <w:p w14:paraId="643F7607" w14:textId="77777777" w:rsidR="00F34B6F" w:rsidRPr="004A4AAE" w:rsidRDefault="00F34B6F" w:rsidP="00995DC2">
            <w:pPr>
              <w:pStyle w:val="NoSpacing"/>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a</w:t>
            </w:r>
            <w:r w:rsidRPr="004A4AAE">
              <w:rPr>
                <w:rFonts w:ascii="Times New Roman" w:hAnsi="Times New Roman" w:cs="Times New Roman"/>
                <w:color w:val="000000" w:themeColor="text1"/>
                <w:cs/>
                <w:lang w:bidi="bn-IN"/>
              </w:rPr>
              <w:t xml:space="preserve">. </w:t>
            </w:r>
            <w:r w:rsidRPr="004A4AAE">
              <w:rPr>
                <w:rFonts w:ascii="Times New Roman" w:hAnsi="Times New Roman" w:cs="Times New Roman"/>
                <w:color w:val="000000" w:themeColor="text1"/>
                <w:lang w:bidi="bn-IN"/>
              </w:rPr>
              <w:t xml:space="preserve">5 cells </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41</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7</w:t>
            </w:r>
            <w:r w:rsidRPr="004A4AAE">
              <w:rPr>
                <w:rFonts w:ascii="Times New Roman" w:hAnsi="Times New Roman" w:cs="Times New Roman"/>
                <w:color w:val="000000" w:themeColor="text1"/>
                <w:cs/>
                <w:lang w:bidi="bn-IN"/>
              </w:rPr>
              <w:t xml:space="preserve">%) </w:t>
            </w:r>
            <w:r w:rsidRPr="004A4AAE">
              <w:rPr>
                <w:rFonts w:ascii="Times New Roman" w:hAnsi="Times New Roman" w:cs="Times New Roman"/>
                <w:color w:val="000000" w:themeColor="text1"/>
                <w:lang w:bidi="bn-IN"/>
              </w:rPr>
              <w:t>have expected count less than 5</w:t>
            </w:r>
            <w:r w:rsidRPr="004A4AAE">
              <w:rPr>
                <w:rFonts w:ascii="Times New Roman" w:hAnsi="Times New Roman" w:cs="Times New Roman"/>
                <w:color w:val="000000" w:themeColor="text1"/>
                <w:cs/>
                <w:lang w:bidi="bn-IN"/>
              </w:rPr>
              <w:t xml:space="preserve">. </w:t>
            </w:r>
            <w:r w:rsidRPr="004A4AAE">
              <w:rPr>
                <w:rFonts w:ascii="Times New Roman" w:hAnsi="Times New Roman" w:cs="Times New Roman"/>
                <w:color w:val="000000" w:themeColor="text1"/>
                <w:lang w:bidi="bn-IN"/>
              </w:rPr>
              <w:t xml:space="preserve">The minimum expected count is </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12</w:t>
            </w:r>
            <w:r w:rsidRPr="004A4AAE">
              <w:rPr>
                <w:rFonts w:ascii="Times New Roman" w:hAnsi="Times New Roman" w:cs="Times New Roman"/>
                <w:color w:val="000000" w:themeColor="text1"/>
                <w:cs/>
                <w:lang w:bidi="bn-IN"/>
              </w:rPr>
              <w:t>.</w:t>
            </w:r>
          </w:p>
        </w:tc>
      </w:tr>
    </w:tbl>
    <w:p w14:paraId="04EBD2CB" w14:textId="4BD73AF2" w:rsidR="00FA060E" w:rsidRPr="00FA060E" w:rsidRDefault="00BF0F65" w:rsidP="00FA060E">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FA060E">
        <w:rPr>
          <w:rFonts w:ascii="Times New Roman" w:hAnsi="Times New Roman" w:cs="Times New Roman"/>
          <w:kern w:val="0"/>
          <w:sz w:val="24"/>
          <w:szCs w:val="24"/>
          <w:lang w:bidi="bn-IN"/>
        </w:rPr>
        <w:t xml:space="preserve">Table 7 </w:t>
      </w:r>
      <w:r w:rsidR="00FA060E" w:rsidRPr="00FA060E">
        <w:rPr>
          <w:rFonts w:ascii="Times New Roman" w:hAnsi="Times New Roman" w:cs="Times New Roman"/>
          <w:kern w:val="0"/>
          <w:sz w:val="24"/>
          <w:szCs w:val="24"/>
          <w:lang w:bidi="bn-IN"/>
        </w:rPr>
        <w:t>The Chi-square analysis confirms that there is no statistically significant association between monthly family income and levels of career risk-taking behaviour (χ² = 2.760, p = 0.838). Since the p-value exceeds the threshold of 0.05, the null hypothesis is retained. This indicates that socioeconomic status is not significantly related to career risk-taking behaviour, reinforcing the findings from the cross-tabulation analysis</w:t>
      </w:r>
      <w:r w:rsidRPr="00FA060E">
        <w:rPr>
          <w:rFonts w:ascii="Times New Roman" w:hAnsi="Times New Roman" w:cs="Times New Roman"/>
          <w:kern w:val="0"/>
          <w:sz w:val="24"/>
          <w:szCs w:val="24"/>
          <w:lang w:bidi="bn-IN"/>
        </w:rPr>
        <w:t>.</w:t>
      </w:r>
    </w:p>
    <w:p w14:paraId="41DAEB68" w14:textId="77777777" w:rsidR="00115FE8" w:rsidRDefault="00115FE8" w:rsidP="00115FE8">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p>
    <w:p w14:paraId="71A970FD" w14:textId="5FE9CAE8" w:rsidR="00150203" w:rsidRPr="00A74CD3" w:rsidRDefault="00150203" w:rsidP="00150203">
      <w:pPr>
        <w:pStyle w:val="NoSpacing"/>
        <w:numPr>
          <w:ilvl w:val="1"/>
          <w:numId w:val="31"/>
        </w:numPr>
        <w:ind w:left="567" w:hanging="567"/>
        <w:jc w:val="both"/>
        <w:rPr>
          <w:rFonts w:ascii="Times New Roman" w:hAnsi="Times New Roman" w:cs="Times New Roman"/>
          <w:b/>
          <w:bCs/>
          <w:sz w:val="28"/>
          <w:szCs w:val="28"/>
        </w:rPr>
      </w:pPr>
      <w:r w:rsidRPr="00A74CD3">
        <w:rPr>
          <w:rFonts w:ascii="Times New Roman" w:hAnsi="Times New Roman" w:cs="Times New Roman"/>
          <w:b/>
          <w:bCs/>
          <w:sz w:val="24"/>
          <w:szCs w:val="24"/>
          <w:lang w:eastAsia="en-IN" w:bidi="bn-IN"/>
        </w:rPr>
        <w:t xml:space="preserve">To compare career risk-taking behaviour across different socioeconomic (income) groups. </w:t>
      </w:r>
    </w:p>
    <w:p w14:paraId="5A5306EF" w14:textId="77777777" w:rsidR="00150203" w:rsidRPr="00C973D2" w:rsidRDefault="00150203" w:rsidP="00150203">
      <w:pPr>
        <w:pStyle w:val="NoSpacing"/>
        <w:jc w:val="both"/>
        <w:rPr>
          <w:rFonts w:ascii="Times New Roman" w:hAnsi="Times New Roman" w:cs="Times New Roman"/>
          <w:b/>
          <w:bCs/>
          <w:sz w:val="28"/>
          <w:szCs w:val="28"/>
        </w:rPr>
      </w:pPr>
    </w:p>
    <w:p w14:paraId="7311686C" w14:textId="3AD51FD3" w:rsidR="000045D5" w:rsidRPr="00185222" w:rsidRDefault="000045D5" w:rsidP="000045D5">
      <w:pPr>
        <w:pStyle w:val="Caption"/>
        <w:keepNext/>
        <w:rPr>
          <w:rFonts w:ascii="Times New Roman" w:hAnsi="Times New Roman" w:cs="Times New Roman"/>
          <w:b/>
          <w:bCs/>
          <w:color w:val="000000" w:themeColor="text1"/>
          <w:sz w:val="20"/>
          <w:szCs w:val="20"/>
        </w:rPr>
      </w:pPr>
      <w:r w:rsidRPr="00185222">
        <w:rPr>
          <w:rFonts w:ascii="Times New Roman" w:hAnsi="Times New Roman" w:cs="Times New Roman"/>
          <w:b/>
          <w:bCs/>
          <w:color w:val="000000" w:themeColor="text1"/>
          <w:sz w:val="20"/>
          <w:szCs w:val="20"/>
        </w:rPr>
        <w:t xml:space="preserve">Table </w:t>
      </w:r>
      <w:r w:rsidRPr="00185222">
        <w:rPr>
          <w:rFonts w:ascii="Times New Roman" w:hAnsi="Times New Roman" w:cs="Times New Roman"/>
          <w:b/>
          <w:bCs/>
          <w:color w:val="000000" w:themeColor="text1"/>
          <w:sz w:val="20"/>
          <w:szCs w:val="20"/>
        </w:rPr>
        <w:fldChar w:fldCharType="begin"/>
      </w:r>
      <w:r w:rsidRPr="00185222">
        <w:rPr>
          <w:rFonts w:ascii="Times New Roman" w:hAnsi="Times New Roman" w:cs="Times New Roman"/>
          <w:b/>
          <w:bCs/>
          <w:color w:val="000000" w:themeColor="text1"/>
          <w:sz w:val="20"/>
          <w:szCs w:val="20"/>
        </w:rPr>
        <w:instrText xml:space="preserve"> SEQ Table \* ARABIC </w:instrText>
      </w:r>
      <w:r w:rsidRPr="00185222">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8</w:t>
      </w:r>
      <w:r w:rsidRPr="00185222">
        <w:rPr>
          <w:rFonts w:ascii="Times New Roman" w:hAnsi="Times New Roman" w:cs="Times New Roman"/>
          <w:b/>
          <w:bCs/>
          <w:color w:val="000000" w:themeColor="text1"/>
          <w:sz w:val="20"/>
          <w:szCs w:val="20"/>
        </w:rPr>
        <w:fldChar w:fldCharType="end"/>
      </w:r>
      <w:r w:rsidRPr="00185222">
        <w:rPr>
          <w:rFonts w:ascii="Times New Roman" w:hAnsi="Times New Roman" w:cs="Times New Roman"/>
          <w:b/>
          <w:bCs/>
          <w:color w:val="000000" w:themeColor="text1"/>
          <w:sz w:val="20"/>
          <w:szCs w:val="20"/>
        </w:rPr>
        <w:t xml:space="preserve">: </w:t>
      </w:r>
      <w:r w:rsidR="00185222" w:rsidRPr="00185222">
        <w:rPr>
          <w:rFonts w:ascii="Times New Roman" w:hAnsi="Times New Roman" w:cs="Times New Roman"/>
          <w:b/>
          <w:bCs/>
          <w:color w:val="000000" w:themeColor="text1"/>
          <w:sz w:val="20"/>
          <w:szCs w:val="20"/>
        </w:rPr>
        <w:t>O</w:t>
      </w:r>
      <w:r w:rsidRPr="00185222">
        <w:rPr>
          <w:rFonts w:ascii="Times New Roman" w:hAnsi="Times New Roman" w:cs="Times New Roman"/>
          <w:b/>
          <w:bCs/>
          <w:color w:val="000000" w:themeColor="text1"/>
          <w:sz w:val="20"/>
          <w:szCs w:val="20"/>
        </w:rPr>
        <w:t>ne-Way ANOVA of Career Risk-Taking Behaviour by Socioeconomic Status</w:t>
      </w:r>
    </w:p>
    <w:tbl>
      <w:tblPr>
        <w:tblStyle w:val="GridTable1Light-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2"/>
        <w:gridCol w:w="1731"/>
        <w:gridCol w:w="1208"/>
        <w:gridCol w:w="1661"/>
        <w:gridCol w:w="1208"/>
        <w:gridCol w:w="1206"/>
      </w:tblGrid>
      <w:tr w:rsidR="00150203" w:rsidRPr="00F85DB0" w14:paraId="759133A2" w14:textId="77777777" w:rsidTr="00DB4774">
        <w:tc>
          <w:tcPr>
            <w:tcW w:w="5000" w:type="pct"/>
            <w:gridSpan w:val="6"/>
          </w:tcPr>
          <w:p w14:paraId="79881B6E" w14:textId="77777777" w:rsidR="00150203" w:rsidRPr="00150203" w:rsidRDefault="00150203" w:rsidP="00344D9F">
            <w:pPr>
              <w:pStyle w:val="NoSpacing"/>
              <w:ind w:left="360"/>
              <w:jc w:val="center"/>
              <w:rPr>
                <w:rFonts w:ascii="Times New Roman" w:hAnsi="Times New Roman" w:cs="Times New Roman"/>
                <w:b/>
                <w:bCs/>
                <w:color w:val="000000" w:themeColor="text1"/>
                <w:sz w:val="24"/>
                <w:szCs w:val="24"/>
                <w:lang w:bidi="bn-IN"/>
              </w:rPr>
            </w:pPr>
            <w:r w:rsidRPr="00150203">
              <w:rPr>
                <w:rFonts w:ascii="Times New Roman" w:hAnsi="Times New Roman" w:cs="Times New Roman"/>
                <w:b/>
                <w:bCs/>
                <w:color w:val="000000" w:themeColor="text1"/>
                <w:sz w:val="24"/>
                <w:szCs w:val="24"/>
                <w:lang w:bidi="bn-IN"/>
              </w:rPr>
              <w:t>ANOVA</w:t>
            </w:r>
          </w:p>
        </w:tc>
      </w:tr>
      <w:tr w:rsidR="00150203" w:rsidRPr="00F85DB0" w14:paraId="0D619122" w14:textId="77777777" w:rsidTr="00DB4774">
        <w:tc>
          <w:tcPr>
            <w:tcW w:w="5000" w:type="pct"/>
            <w:gridSpan w:val="6"/>
          </w:tcPr>
          <w:p w14:paraId="5E76C49D" w14:textId="77777777" w:rsidR="00150203" w:rsidRPr="00F85DB0" w:rsidRDefault="00150203" w:rsidP="00344D9F">
            <w:pPr>
              <w:pStyle w:val="NoSpacing"/>
              <w:rPr>
                <w:rFonts w:ascii="Times New Roman" w:hAnsi="Times New Roman" w:cs="Times New Roman"/>
                <w:color w:val="000000" w:themeColor="text1"/>
                <w:sz w:val="24"/>
                <w:szCs w:val="24"/>
                <w:lang w:bidi="bn-IN"/>
              </w:rPr>
            </w:pPr>
            <w:proofErr w:type="spellStart"/>
            <w:r w:rsidRPr="00F85DB0">
              <w:rPr>
                <w:rFonts w:ascii="Times New Roman" w:hAnsi="Times New Roman" w:cs="Times New Roman"/>
                <w:color w:val="000000" w:themeColor="text1"/>
                <w:sz w:val="24"/>
                <w:szCs w:val="24"/>
                <w:shd w:val="clear" w:color="auto" w:fill="FFFFFF"/>
                <w:lang w:bidi="bn-IN"/>
              </w:rPr>
              <w:t>CRT_Behaviour</w:t>
            </w:r>
            <w:proofErr w:type="spellEnd"/>
            <w:r w:rsidRPr="00F85DB0">
              <w:rPr>
                <w:rFonts w:ascii="Times New Roman" w:hAnsi="Times New Roman" w:cs="Times New Roman"/>
                <w:color w:val="000000" w:themeColor="text1"/>
                <w:sz w:val="24"/>
                <w:szCs w:val="24"/>
                <w:shd w:val="clear" w:color="auto" w:fill="FFFFFF"/>
                <w:lang w:bidi="bn-IN"/>
              </w:rPr>
              <w:t xml:space="preserve"> Scale  </w:t>
            </w:r>
          </w:p>
        </w:tc>
      </w:tr>
      <w:tr w:rsidR="00150203" w:rsidRPr="00F85DB0" w14:paraId="3D7394FF" w14:textId="77777777" w:rsidTr="00DB4774">
        <w:tc>
          <w:tcPr>
            <w:tcW w:w="1110" w:type="pct"/>
            <w:vAlign w:val="center"/>
          </w:tcPr>
          <w:p w14:paraId="73096D8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960" w:type="pct"/>
            <w:vAlign w:val="center"/>
          </w:tcPr>
          <w:p w14:paraId="4BBB2237"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Sum of Squares</w:t>
            </w:r>
          </w:p>
        </w:tc>
        <w:tc>
          <w:tcPr>
            <w:tcW w:w="670" w:type="pct"/>
            <w:vAlign w:val="center"/>
          </w:tcPr>
          <w:p w14:paraId="651C79E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df</w:t>
            </w:r>
          </w:p>
        </w:tc>
        <w:tc>
          <w:tcPr>
            <w:tcW w:w="921" w:type="pct"/>
            <w:vAlign w:val="center"/>
          </w:tcPr>
          <w:p w14:paraId="107DC8FF"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Mean Square</w:t>
            </w:r>
          </w:p>
        </w:tc>
        <w:tc>
          <w:tcPr>
            <w:tcW w:w="670" w:type="pct"/>
            <w:vAlign w:val="center"/>
          </w:tcPr>
          <w:p w14:paraId="4494A0F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F</w:t>
            </w:r>
          </w:p>
        </w:tc>
        <w:tc>
          <w:tcPr>
            <w:tcW w:w="670" w:type="pct"/>
            <w:vAlign w:val="center"/>
          </w:tcPr>
          <w:p w14:paraId="14EF5A9A"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Sig</w:t>
            </w:r>
            <w:r w:rsidRPr="00F85DB0">
              <w:rPr>
                <w:rFonts w:ascii="Times New Roman" w:hAnsi="Times New Roman" w:cs="Times New Roman"/>
                <w:color w:val="000000" w:themeColor="text1"/>
                <w:sz w:val="24"/>
                <w:szCs w:val="24"/>
                <w:cs/>
                <w:lang w:bidi="bn-IN"/>
              </w:rPr>
              <w:t>.</w:t>
            </w:r>
          </w:p>
        </w:tc>
      </w:tr>
      <w:tr w:rsidR="00150203" w:rsidRPr="00F85DB0" w14:paraId="6F6A0AF7" w14:textId="77777777" w:rsidTr="00DB4774">
        <w:tc>
          <w:tcPr>
            <w:tcW w:w="1110" w:type="pct"/>
            <w:vAlign w:val="center"/>
          </w:tcPr>
          <w:p w14:paraId="1627C651"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Between Groups</w:t>
            </w:r>
          </w:p>
        </w:tc>
        <w:tc>
          <w:tcPr>
            <w:tcW w:w="960" w:type="pct"/>
            <w:vAlign w:val="center"/>
          </w:tcPr>
          <w:p w14:paraId="0EEFD670"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1097</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714</w:t>
            </w:r>
          </w:p>
        </w:tc>
        <w:tc>
          <w:tcPr>
            <w:tcW w:w="670" w:type="pct"/>
            <w:vAlign w:val="center"/>
          </w:tcPr>
          <w:p w14:paraId="22024554"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3</w:t>
            </w:r>
          </w:p>
        </w:tc>
        <w:tc>
          <w:tcPr>
            <w:tcW w:w="921" w:type="pct"/>
            <w:vAlign w:val="center"/>
          </w:tcPr>
          <w:p w14:paraId="4C2A7BA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365</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905</w:t>
            </w:r>
          </w:p>
        </w:tc>
        <w:tc>
          <w:tcPr>
            <w:tcW w:w="670" w:type="pct"/>
            <w:vAlign w:val="center"/>
          </w:tcPr>
          <w:p w14:paraId="14D6DB90"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871</w:t>
            </w:r>
          </w:p>
        </w:tc>
        <w:tc>
          <w:tcPr>
            <w:tcW w:w="670" w:type="pct"/>
            <w:vAlign w:val="center"/>
          </w:tcPr>
          <w:p w14:paraId="11B1DCA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457</w:t>
            </w:r>
          </w:p>
        </w:tc>
      </w:tr>
      <w:tr w:rsidR="00150203" w:rsidRPr="00F85DB0" w14:paraId="730B90AC" w14:textId="77777777" w:rsidTr="00DB4774">
        <w:tc>
          <w:tcPr>
            <w:tcW w:w="1110" w:type="pct"/>
            <w:vAlign w:val="center"/>
          </w:tcPr>
          <w:p w14:paraId="523396F2"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Within Groups</w:t>
            </w:r>
          </w:p>
        </w:tc>
        <w:tc>
          <w:tcPr>
            <w:tcW w:w="960" w:type="pct"/>
            <w:vAlign w:val="center"/>
          </w:tcPr>
          <w:p w14:paraId="2032AD70"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87358</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791</w:t>
            </w:r>
          </w:p>
        </w:tc>
        <w:tc>
          <w:tcPr>
            <w:tcW w:w="670" w:type="pct"/>
            <w:vAlign w:val="center"/>
          </w:tcPr>
          <w:p w14:paraId="53346E4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208</w:t>
            </w:r>
          </w:p>
        </w:tc>
        <w:tc>
          <w:tcPr>
            <w:tcW w:w="921" w:type="pct"/>
            <w:vAlign w:val="center"/>
          </w:tcPr>
          <w:p w14:paraId="1D76F29C"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419</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994</w:t>
            </w:r>
          </w:p>
        </w:tc>
        <w:tc>
          <w:tcPr>
            <w:tcW w:w="670" w:type="pct"/>
            <w:vAlign w:val="center"/>
          </w:tcPr>
          <w:p w14:paraId="7745FE38"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670" w:type="pct"/>
            <w:vAlign w:val="center"/>
          </w:tcPr>
          <w:p w14:paraId="5336A95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r>
      <w:tr w:rsidR="00150203" w:rsidRPr="00F85DB0" w14:paraId="780BFC84" w14:textId="77777777" w:rsidTr="00DB4774">
        <w:tc>
          <w:tcPr>
            <w:tcW w:w="1110" w:type="pct"/>
            <w:vAlign w:val="center"/>
          </w:tcPr>
          <w:p w14:paraId="1DBA126B"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Total</w:t>
            </w:r>
          </w:p>
        </w:tc>
        <w:tc>
          <w:tcPr>
            <w:tcW w:w="960" w:type="pct"/>
            <w:vAlign w:val="center"/>
          </w:tcPr>
          <w:p w14:paraId="06615722"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88456</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505</w:t>
            </w:r>
          </w:p>
        </w:tc>
        <w:tc>
          <w:tcPr>
            <w:tcW w:w="670" w:type="pct"/>
            <w:vAlign w:val="center"/>
          </w:tcPr>
          <w:p w14:paraId="5F58790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211</w:t>
            </w:r>
          </w:p>
        </w:tc>
        <w:tc>
          <w:tcPr>
            <w:tcW w:w="921" w:type="pct"/>
            <w:vAlign w:val="center"/>
          </w:tcPr>
          <w:p w14:paraId="60282542"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670" w:type="pct"/>
            <w:vAlign w:val="center"/>
          </w:tcPr>
          <w:p w14:paraId="7F2A50C1"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670" w:type="pct"/>
            <w:vAlign w:val="center"/>
          </w:tcPr>
          <w:p w14:paraId="1568FF04"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r>
    </w:tbl>
    <w:p w14:paraId="6A78FBB8" w14:textId="5C28B93B" w:rsidR="00150203" w:rsidRPr="00796073" w:rsidRDefault="005A6A1A" w:rsidP="00796073">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Pr>
          <w:rFonts w:ascii="Times New Roman" w:hAnsi="Times New Roman" w:cs="Times New Roman"/>
          <w:kern w:val="0"/>
          <w:sz w:val="24"/>
          <w:szCs w:val="24"/>
          <w:lang w:bidi="bn-IN"/>
        </w:rPr>
        <w:t>Table 8</w:t>
      </w:r>
      <w:r w:rsidR="00150203" w:rsidRPr="00013184">
        <w:rPr>
          <w:rFonts w:ascii="Times New Roman" w:hAnsi="Times New Roman" w:cs="Times New Roman"/>
          <w:kern w:val="0"/>
          <w:sz w:val="24"/>
          <w:szCs w:val="24"/>
          <w:lang w:bidi="bn-IN"/>
        </w:rPr>
        <w:t xml:space="preserve"> one-way ANOVA was conducted to examine whether there are significant differences in career risk-taking behaviour among students across different income groups. The results indicated that there is no statistically significant difference in career risk-taking behaviour based on monthly family income, </w:t>
      </w:r>
      <w:proofErr w:type="gramStart"/>
      <w:r w:rsidR="00150203" w:rsidRPr="00013184">
        <w:rPr>
          <w:rFonts w:ascii="Times New Roman" w:hAnsi="Times New Roman" w:cs="Times New Roman"/>
          <w:kern w:val="0"/>
          <w:sz w:val="24"/>
          <w:szCs w:val="24"/>
          <w:lang w:bidi="bn-IN"/>
        </w:rPr>
        <w:t>F(</w:t>
      </w:r>
      <w:proofErr w:type="gramEnd"/>
      <w:r w:rsidR="00150203" w:rsidRPr="00013184">
        <w:rPr>
          <w:rFonts w:ascii="Times New Roman" w:hAnsi="Times New Roman" w:cs="Times New Roman"/>
          <w:kern w:val="0"/>
          <w:sz w:val="24"/>
          <w:szCs w:val="24"/>
          <w:lang w:bidi="bn-IN"/>
        </w:rPr>
        <w:t>3, 208) = 0.871, p = 0.457 (p &gt; 0.05).</w:t>
      </w:r>
      <w:r w:rsidR="00150203">
        <w:rPr>
          <w:rFonts w:ascii="Times New Roman" w:hAnsi="Times New Roman" w:cs="Times New Roman"/>
          <w:kern w:val="0"/>
          <w:sz w:val="24"/>
          <w:szCs w:val="24"/>
          <w:lang w:bidi="bn-IN"/>
        </w:rPr>
        <w:t xml:space="preserve"> </w:t>
      </w:r>
      <w:r w:rsidR="00150203" w:rsidRPr="00013184">
        <w:rPr>
          <w:rFonts w:ascii="Times New Roman" w:hAnsi="Times New Roman" w:cs="Times New Roman"/>
          <w:kern w:val="0"/>
          <w:sz w:val="24"/>
          <w:szCs w:val="24"/>
          <w:lang w:bidi="bn-IN"/>
        </w:rPr>
        <w:t>This suggests that students from different socioeconomic backgrounds do not differ significantly in their levels of career risk-taking behaviour. Therefore, socioeconomic status, as measured by monthly family income, does not have a significant impact on students’ career risk-taking behaviour.</w:t>
      </w:r>
    </w:p>
    <w:p w14:paraId="117AB6E5" w14:textId="77777777" w:rsidR="00796073" w:rsidRDefault="00150203" w:rsidP="00796073">
      <w:pPr>
        <w:keepNext/>
        <w:autoSpaceDE w:val="0"/>
        <w:autoSpaceDN w:val="0"/>
        <w:adjustRightInd w:val="0"/>
        <w:spacing w:before="0" w:beforeAutospacing="0" w:afterAutospacing="0" w:line="400" w:lineRule="atLeast"/>
        <w:jc w:val="left"/>
      </w:pPr>
      <w:r w:rsidRPr="00F34B6F">
        <w:rPr>
          <w:rFonts w:ascii="Times New Roman" w:hAnsi="Times New Roman" w:cs="Times New Roman"/>
          <w:noProof/>
          <w:kern w:val="0"/>
          <w:sz w:val="24"/>
          <w:szCs w:val="24"/>
          <w:lang w:bidi="bn-IN"/>
        </w:rPr>
        <w:drawing>
          <wp:inline distT="0" distB="0" distL="0" distR="0" wp14:anchorId="53F87665" wp14:editId="69CCFD44">
            <wp:extent cx="5770032" cy="2620255"/>
            <wp:effectExtent l="0" t="0" r="2540" b="8890"/>
            <wp:docPr id="541473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4927" cy="2631560"/>
                    </a:xfrm>
                    <a:prstGeom prst="rect">
                      <a:avLst/>
                    </a:prstGeom>
                    <a:noFill/>
                    <a:ln>
                      <a:noFill/>
                    </a:ln>
                  </pic:spPr>
                </pic:pic>
              </a:graphicData>
            </a:graphic>
          </wp:inline>
        </w:drawing>
      </w:r>
    </w:p>
    <w:p w14:paraId="2B075945" w14:textId="75614FF3" w:rsidR="00150203" w:rsidRDefault="00796073" w:rsidP="00796073">
      <w:pPr>
        <w:pStyle w:val="Caption"/>
        <w:jc w:val="left"/>
        <w:rPr>
          <w:rFonts w:ascii="Times New Roman" w:hAnsi="Times New Roman" w:cs="Times New Roman"/>
          <w:b/>
          <w:bCs/>
          <w:color w:val="000000" w:themeColor="text1"/>
          <w:sz w:val="20"/>
          <w:szCs w:val="20"/>
        </w:rPr>
      </w:pPr>
      <w:r w:rsidRPr="00796073">
        <w:rPr>
          <w:rFonts w:ascii="Times New Roman" w:hAnsi="Times New Roman" w:cs="Times New Roman"/>
          <w:b/>
          <w:bCs/>
          <w:color w:val="000000" w:themeColor="text1"/>
          <w:sz w:val="20"/>
          <w:szCs w:val="20"/>
        </w:rPr>
        <w:t xml:space="preserve">Figure </w:t>
      </w:r>
      <w:r w:rsidRPr="00796073">
        <w:rPr>
          <w:rFonts w:ascii="Times New Roman" w:hAnsi="Times New Roman" w:cs="Times New Roman"/>
          <w:b/>
          <w:bCs/>
          <w:color w:val="000000" w:themeColor="text1"/>
          <w:sz w:val="20"/>
          <w:szCs w:val="20"/>
        </w:rPr>
        <w:fldChar w:fldCharType="begin"/>
      </w:r>
      <w:r w:rsidRPr="00796073">
        <w:rPr>
          <w:rFonts w:ascii="Times New Roman" w:hAnsi="Times New Roman" w:cs="Times New Roman"/>
          <w:b/>
          <w:bCs/>
          <w:color w:val="000000" w:themeColor="text1"/>
          <w:sz w:val="20"/>
          <w:szCs w:val="20"/>
        </w:rPr>
        <w:instrText xml:space="preserve"> SEQ Figure \* ARABIC </w:instrText>
      </w:r>
      <w:r w:rsidRPr="00796073">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2</w:t>
      </w:r>
      <w:r w:rsidRPr="00796073">
        <w:rPr>
          <w:rFonts w:ascii="Times New Roman" w:hAnsi="Times New Roman" w:cs="Times New Roman"/>
          <w:b/>
          <w:bCs/>
          <w:color w:val="000000" w:themeColor="text1"/>
          <w:sz w:val="20"/>
          <w:szCs w:val="20"/>
        </w:rPr>
        <w:fldChar w:fldCharType="end"/>
      </w:r>
      <w:r w:rsidRPr="00796073">
        <w:rPr>
          <w:rFonts w:ascii="Times New Roman" w:hAnsi="Times New Roman" w:cs="Times New Roman"/>
          <w:b/>
          <w:bCs/>
          <w:color w:val="000000" w:themeColor="text1"/>
          <w:sz w:val="20"/>
          <w:szCs w:val="20"/>
        </w:rPr>
        <w:t>: Bar Chart Showing Distribution of Career Risk-Taking Behaviour Across Monthly Family Income Groups</w:t>
      </w:r>
    </w:p>
    <w:p w14:paraId="7A5EAF6B" w14:textId="1E2DBE10" w:rsidR="00BB2619" w:rsidRPr="00EC1DA1" w:rsidRDefault="00EC1DA1" w:rsidP="00EC1DA1">
      <w:pPr>
        <w:ind w:firstLine="720"/>
        <w:rPr>
          <w:rFonts w:ascii="Times New Roman" w:hAnsi="Times New Roman" w:cs="Times New Roman"/>
          <w:lang w:bidi="bn-IN"/>
        </w:rPr>
      </w:pPr>
      <w:r w:rsidRPr="00EC1DA1">
        <w:rPr>
          <w:rFonts w:ascii="Times New Roman" w:hAnsi="Times New Roman" w:cs="Times New Roman"/>
          <w:lang w:bidi="bn-IN"/>
        </w:rPr>
        <w:t>Figure 2</w:t>
      </w:r>
      <w:r w:rsidR="00BB2619" w:rsidRPr="00EC1DA1">
        <w:rPr>
          <w:rFonts w:ascii="Times New Roman" w:hAnsi="Times New Roman" w:cs="Times New Roman"/>
          <w:lang w:bidi="bn-IN"/>
        </w:rPr>
        <w:t xml:space="preserve"> bar chart illustrates the distribution of career risk-taking behaviour across different monthly family income groups. It is evident that the majority of students belong to the ₹10,000–₹20,000 income group, where a large proportion exhibit a moderate level of career risk-taking behaviour. A similar moderate pattern is observed in the below ₹10,000 group, though with comparatively lower counts.</w:t>
      </w:r>
      <w:r w:rsidRPr="00EC1DA1">
        <w:rPr>
          <w:rFonts w:ascii="Times New Roman" w:hAnsi="Times New Roman" w:cs="Times New Roman"/>
          <w:lang w:bidi="bn-IN"/>
        </w:rPr>
        <w:t xml:space="preserve"> </w:t>
      </w:r>
      <w:r w:rsidR="00BB2619" w:rsidRPr="00EC1DA1">
        <w:rPr>
          <w:rFonts w:ascii="Times New Roman" w:hAnsi="Times New Roman" w:cs="Times New Roman"/>
          <w:lang w:bidi="bn-IN"/>
        </w:rPr>
        <w:t>In the higher income groups (₹20,000–₹30,000 and above ₹30,000), the number of students is considerably smaller, but the trend of moderate risk-taking behaviour remains consistent. The low and high risk-taking categories are minimal across all income groups.</w:t>
      </w:r>
    </w:p>
    <w:p w14:paraId="56326B0E" w14:textId="77777777" w:rsidR="00BB2619" w:rsidRPr="00BB2619" w:rsidRDefault="00BB2619" w:rsidP="00BB2619">
      <w:pPr>
        <w:rPr>
          <w:lang w:bidi="bn-IN"/>
        </w:rPr>
      </w:pPr>
    </w:p>
    <w:p w14:paraId="1EABD50A" w14:textId="6858374E" w:rsidR="00315B1B" w:rsidRPr="00B51AC1" w:rsidRDefault="0018233B" w:rsidP="00B51AC1">
      <w:pPr>
        <w:pStyle w:val="NoSpacing"/>
        <w:numPr>
          <w:ilvl w:val="1"/>
          <w:numId w:val="31"/>
        </w:numPr>
        <w:ind w:left="567" w:hanging="567"/>
        <w:jc w:val="both"/>
        <w:rPr>
          <w:rFonts w:ascii="Times New Roman" w:hAnsi="Times New Roman" w:cs="Times New Roman"/>
          <w:b/>
          <w:bCs/>
          <w:sz w:val="28"/>
          <w:szCs w:val="28"/>
        </w:rPr>
      </w:pPr>
      <w:r w:rsidRPr="0018233B">
        <w:rPr>
          <w:rFonts w:ascii="Times New Roman" w:hAnsi="Times New Roman" w:cs="Times New Roman"/>
          <w:b/>
          <w:bCs/>
          <w:sz w:val="24"/>
          <w:szCs w:val="24"/>
          <w:lang w:eastAsia="en-IN" w:bidi="bn-IN"/>
        </w:rPr>
        <w:lastRenderedPageBreak/>
        <w:t xml:space="preserve">To examine the influence of demographic variables (gender, type of school, and academic stream) on career risk-taking behaviour. </w:t>
      </w:r>
    </w:p>
    <w:p w14:paraId="6F2B6376" w14:textId="2B1D4921" w:rsidR="00B51AC1" w:rsidRPr="00B51AC1" w:rsidRDefault="00B51AC1" w:rsidP="00B51AC1">
      <w:pPr>
        <w:pStyle w:val="Caption"/>
        <w:keepNext/>
        <w:rPr>
          <w:rFonts w:ascii="Times New Roman" w:hAnsi="Times New Roman" w:cs="Times New Roman"/>
          <w:b/>
          <w:bCs/>
          <w:color w:val="000000" w:themeColor="text1"/>
          <w:sz w:val="20"/>
          <w:szCs w:val="20"/>
        </w:rPr>
      </w:pPr>
      <w:r w:rsidRPr="00B51AC1">
        <w:rPr>
          <w:rFonts w:ascii="Times New Roman" w:hAnsi="Times New Roman" w:cs="Times New Roman"/>
          <w:b/>
          <w:bCs/>
          <w:color w:val="000000" w:themeColor="text1"/>
          <w:sz w:val="20"/>
          <w:szCs w:val="20"/>
        </w:rPr>
        <w:t xml:space="preserve">Table </w:t>
      </w:r>
      <w:r w:rsidRPr="00B51AC1">
        <w:rPr>
          <w:rFonts w:ascii="Times New Roman" w:hAnsi="Times New Roman" w:cs="Times New Roman"/>
          <w:b/>
          <w:bCs/>
          <w:color w:val="000000" w:themeColor="text1"/>
          <w:sz w:val="20"/>
          <w:szCs w:val="20"/>
        </w:rPr>
        <w:fldChar w:fldCharType="begin"/>
      </w:r>
      <w:r w:rsidRPr="00B51AC1">
        <w:rPr>
          <w:rFonts w:ascii="Times New Roman" w:hAnsi="Times New Roman" w:cs="Times New Roman"/>
          <w:b/>
          <w:bCs/>
          <w:color w:val="000000" w:themeColor="text1"/>
          <w:sz w:val="20"/>
          <w:szCs w:val="20"/>
        </w:rPr>
        <w:instrText xml:space="preserve"> SEQ Table \* ARABIC </w:instrText>
      </w:r>
      <w:r w:rsidRPr="00B51AC1">
        <w:rPr>
          <w:rFonts w:ascii="Times New Roman" w:hAnsi="Times New Roman" w:cs="Times New Roman"/>
          <w:b/>
          <w:bCs/>
          <w:color w:val="000000" w:themeColor="text1"/>
          <w:sz w:val="20"/>
          <w:szCs w:val="20"/>
        </w:rPr>
        <w:fldChar w:fldCharType="separate"/>
      </w:r>
      <w:r w:rsidRPr="00B51AC1">
        <w:rPr>
          <w:rFonts w:ascii="Times New Roman" w:hAnsi="Times New Roman" w:cs="Times New Roman"/>
          <w:b/>
          <w:bCs/>
          <w:noProof/>
          <w:color w:val="000000" w:themeColor="text1"/>
          <w:sz w:val="20"/>
          <w:szCs w:val="20"/>
        </w:rPr>
        <w:t>9</w:t>
      </w:r>
      <w:r w:rsidRPr="00B51AC1">
        <w:rPr>
          <w:rFonts w:ascii="Times New Roman" w:hAnsi="Times New Roman" w:cs="Times New Roman"/>
          <w:b/>
          <w:bCs/>
          <w:color w:val="000000" w:themeColor="text1"/>
          <w:sz w:val="20"/>
          <w:szCs w:val="20"/>
        </w:rPr>
        <w:fldChar w:fldCharType="end"/>
      </w:r>
      <w:r w:rsidRPr="00B51AC1">
        <w:rPr>
          <w:rFonts w:ascii="Times New Roman" w:hAnsi="Times New Roman" w:cs="Times New Roman"/>
          <w:b/>
          <w:bCs/>
          <w:color w:val="000000" w:themeColor="text1"/>
          <w:sz w:val="20"/>
          <w:szCs w:val="20"/>
        </w:rPr>
        <w:t>: Gender and Levels of Career Risk-Taking Behaviour among Secondary School Students</w:t>
      </w:r>
    </w:p>
    <w:tbl>
      <w:tblPr>
        <w:tblStyle w:val="GridTable1Light-Accent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864"/>
        <w:gridCol w:w="1886"/>
        <w:gridCol w:w="1700"/>
        <w:gridCol w:w="1890"/>
        <w:gridCol w:w="895"/>
      </w:tblGrid>
      <w:tr w:rsidR="00B51AC1" w:rsidRPr="00B51AC1" w14:paraId="674D03F6" w14:textId="77777777" w:rsidTr="00DB4774">
        <w:tc>
          <w:tcPr>
            <w:tcW w:w="5000" w:type="pct"/>
            <w:gridSpan w:val="6"/>
          </w:tcPr>
          <w:p w14:paraId="4118965B" w14:textId="77777777" w:rsidR="00315B1B" w:rsidRPr="00B51AC1" w:rsidRDefault="00315B1B"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 xml:space="preserve">Gender of the Students </w:t>
            </w:r>
            <w:r w:rsidRPr="00B51AC1">
              <w:rPr>
                <w:rFonts w:ascii="Times New Roman" w:hAnsi="Times New Roman" w:cs="Times New Roman"/>
                <w:color w:val="000000" w:themeColor="text1"/>
                <w:cs/>
                <w:lang w:bidi="bn-IN"/>
              </w:rPr>
              <w:t xml:space="preserve">* </w:t>
            </w:r>
            <w:r w:rsidRPr="00B51AC1">
              <w:rPr>
                <w:rFonts w:ascii="Times New Roman" w:hAnsi="Times New Roman" w:cs="Times New Roman"/>
                <w:color w:val="000000" w:themeColor="text1"/>
                <w:lang w:bidi="bn-IN"/>
              </w:rPr>
              <w:t>Levels of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 Crosstabulation</w:t>
            </w:r>
          </w:p>
        </w:tc>
      </w:tr>
      <w:tr w:rsidR="00B51AC1" w:rsidRPr="00B51AC1" w14:paraId="70E57A1E" w14:textId="77777777" w:rsidTr="00DB4774">
        <w:tc>
          <w:tcPr>
            <w:tcW w:w="1467" w:type="pct"/>
            <w:gridSpan w:val="2"/>
            <w:vMerge w:val="restart"/>
          </w:tcPr>
          <w:p w14:paraId="109DEB95" w14:textId="77777777" w:rsidR="00315B1B" w:rsidRPr="00B51AC1" w:rsidRDefault="00315B1B" w:rsidP="00315B1B">
            <w:pPr>
              <w:rPr>
                <w:rFonts w:ascii="Times New Roman" w:hAnsi="Times New Roman" w:cs="Times New Roman"/>
                <w:color w:val="000000" w:themeColor="text1"/>
                <w:lang w:bidi="bn-IN"/>
              </w:rPr>
            </w:pPr>
          </w:p>
        </w:tc>
        <w:tc>
          <w:tcPr>
            <w:tcW w:w="3037" w:type="pct"/>
            <w:gridSpan w:val="3"/>
          </w:tcPr>
          <w:p w14:paraId="1563663C" w14:textId="77777777" w:rsidR="00315B1B" w:rsidRPr="00B51AC1" w:rsidRDefault="00315B1B"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Levels of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496" w:type="pct"/>
            <w:vMerge w:val="restart"/>
            <w:vAlign w:val="center"/>
          </w:tcPr>
          <w:p w14:paraId="2155BAA1"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Total</w:t>
            </w:r>
          </w:p>
        </w:tc>
      </w:tr>
      <w:tr w:rsidR="00B51AC1" w:rsidRPr="00B51AC1" w14:paraId="3DD46E49" w14:textId="77777777" w:rsidTr="00DB4774">
        <w:tc>
          <w:tcPr>
            <w:tcW w:w="1467" w:type="pct"/>
            <w:gridSpan w:val="2"/>
            <w:vMerge/>
          </w:tcPr>
          <w:p w14:paraId="2E8AC39D" w14:textId="77777777" w:rsidR="00315B1B" w:rsidRPr="00B51AC1" w:rsidRDefault="00315B1B" w:rsidP="00315B1B">
            <w:pPr>
              <w:rPr>
                <w:rFonts w:ascii="Times New Roman" w:hAnsi="Times New Roman" w:cs="Times New Roman"/>
                <w:color w:val="000000" w:themeColor="text1"/>
                <w:lang w:bidi="bn-IN"/>
              </w:rPr>
            </w:pPr>
          </w:p>
        </w:tc>
        <w:tc>
          <w:tcPr>
            <w:tcW w:w="1046" w:type="pct"/>
            <w:vAlign w:val="center"/>
          </w:tcPr>
          <w:p w14:paraId="1C7F3B79"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Low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943" w:type="pct"/>
            <w:vAlign w:val="center"/>
          </w:tcPr>
          <w:p w14:paraId="581957D7"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Moderate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1048" w:type="pct"/>
            <w:vAlign w:val="center"/>
          </w:tcPr>
          <w:p w14:paraId="5F4BA680"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High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496" w:type="pct"/>
            <w:vMerge/>
            <w:vAlign w:val="center"/>
          </w:tcPr>
          <w:p w14:paraId="743F5CB4" w14:textId="77777777" w:rsidR="00315B1B" w:rsidRPr="00B51AC1" w:rsidRDefault="00315B1B" w:rsidP="00DA7417">
            <w:pPr>
              <w:jc w:val="center"/>
              <w:rPr>
                <w:rFonts w:ascii="Times New Roman" w:hAnsi="Times New Roman" w:cs="Times New Roman"/>
                <w:color w:val="000000" w:themeColor="text1"/>
                <w:lang w:bidi="bn-IN"/>
              </w:rPr>
            </w:pPr>
          </w:p>
        </w:tc>
      </w:tr>
      <w:tr w:rsidR="00B51AC1" w:rsidRPr="00B51AC1" w14:paraId="1BF78DDC" w14:textId="77777777" w:rsidTr="00DB4774">
        <w:tc>
          <w:tcPr>
            <w:tcW w:w="988" w:type="pct"/>
            <w:vMerge w:val="restart"/>
          </w:tcPr>
          <w:p w14:paraId="1997BAF7"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Gender of the Students</w:t>
            </w:r>
          </w:p>
        </w:tc>
        <w:tc>
          <w:tcPr>
            <w:tcW w:w="479" w:type="pct"/>
            <w:vMerge w:val="restart"/>
          </w:tcPr>
          <w:p w14:paraId="6CEC6467"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Male</w:t>
            </w:r>
          </w:p>
        </w:tc>
        <w:tc>
          <w:tcPr>
            <w:tcW w:w="1046" w:type="pct"/>
            <w:vAlign w:val="center"/>
          </w:tcPr>
          <w:p w14:paraId="52C94ED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11</w:t>
            </w:r>
          </w:p>
        </w:tc>
        <w:tc>
          <w:tcPr>
            <w:tcW w:w="943" w:type="pct"/>
            <w:vAlign w:val="center"/>
          </w:tcPr>
          <w:p w14:paraId="0FE3AB1D"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65</w:t>
            </w:r>
          </w:p>
        </w:tc>
        <w:tc>
          <w:tcPr>
            <w:tcW w:w="1048" w:type="pct"/>
            <w:vAlign w:val="center"/>
          </w:tcPr>
          <w:p w14:paraId="2C2832CE"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14</w:t>
            </w:r>
          </w:p>
        </w:tc>
        <w:tc>
          <w:tcPr>
            <w:tcW w:w="496" w:type="pct"/>
            <w:vAlign w:val="center"/>
          </w:tcPr>
          <w:p w14:paraId="1D31D650"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90</w:t>
            </w:r>
          </w:p>
        </w:tc>
      </w:tr>
      <w:tr w:rsidR="00B51AC1" w:rsidRPr="00B51AC1" w14:paraId="287736FD" w14:textId="77777777" w:rsidTr="00DB4774">
        <w:tc>
          <w:tcPr>
            <w:tcW w:w="988" w:type="pct"/>
            <w:vMerge/>
          </w:tcPr>
          <w:p w14:paraId="0309FFC0" w14:textId="77777777" w:rsidR="00DA7417" w:rsidRPr="00B51AC1" w:rsidRDefault="00DA7417" w:rsidP="00315B1B">
            <w:pPr>
              <w:rPr>
                <w:rFonts w:ascii="Times New Roman" w:hAnsi="Times New Roman" w:cs="Times New Roman"/>
                <w:color w:val="000000" w:themeColor="text1"/>
                <w:lang w:bidi="bn-IN"/>
              </w:rPr>
            </w:pPr>
          </w:p>
        </w:tc>
        <w:tc>
          <w:tcPr>
            <w:tcW w:w="479" w:type="pct"/>
            <w:vMerge/>
          </w:tcPr>
          <w:p w14:paraId="31A51F86" w14:textId="77777777" w:rsidR="00DA7417" w:rsidRPr="00B51AC1" w:rsidRDefault="00DA7417" w:rsidP="00315B1B">
            <w:pPr>
              <w:rPr>
                <w:rFonts w:ascii="Times New Roman" w:hAnsi="Times New Roman" w:cs="Times New Roman"/>
                <w:color w:val="000000" w:themeColor="text1"/>
                <w:lang w:bidi="bn-IN"/>
              </w:rPr>
            </w:pPr>
          </w:p>
        </w:tc>
        <w:tc>
          <w:tcPr>
            <w:tcW w:w="1046" w:type="pct"/>
            <w:vAlign w:val="center"/>
          </w:tcPr>
          <w:p w14:paraId="5BAED29B"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943" w:type="pct"/>
            <w:vAlign w:val="center"/>
          </w:tcPr>
          <w:p w14:paraId="5CD259F3"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72</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1048" w:type="pct"/>
            <w:vAlign w:val="center"/>
          </w:tcPr>
          <w:p w14:paraId="0CD1B0B9"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15</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6</w:t>
            </w:r>
            <w:r w:rsidRPr="00B51AC1">
              <w:rPr>
                <w:rFonts w:ascii="Times New Roman" w:hAnsi="Times New Roman" w:cs="Times New Roman"/>
                <w:color w:val="000000" w:themeColor="text1"/>
                <w:cs/>
                <w:lang w:bidi="bn-IN"/>
              </w:rPr>
              <w:t>%</w:t>
            </w:r>
          </w:p>
        </w:tc>
        <w:tc>
          <w:tcPr>
            <w:tcW w:w="496" w:type="pct"/>
            <w:vAlign w:val="center"/>
          </w:tcPr>
          <w:p w14:paraId="63755CD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100</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0</w:t>
            </w:r>
            <w:r w:rsidRPr="00B51AC1">
              <w:rPr>
                <w:rFonts w:ascii="Times New Roman" w:hAnsi="Times New Roman" w:cs="Times New Roman"/>
                <w:color w:val="000000" w:themeColor="text1"/>
                <w:cs/>
                <w:lang w:bidi="bn-IN"/>
              </w:rPr>
              <w:t>%</w:t>
            </w:r>
          </w:p>
        </w:tc>
      </w:tr>
      <w:tr w:rsidR="00B51AC1" w:rsidRPr="00B51AC1" w14:paraId="66086251" w14:textId="77777777" w:rsidTr="00DB4774">
        <w:tc>
          <w:tcPr>
            <w:tcW w:w="988" w:type="pct"/>
            <w:vMerge/>
          </w:tcPr>
          <w:p w14:paraId="00855910" w14:textId="77777777" w:rsidR="00DA7417" w:rsidRPr="00B51AC1" w:rsidRDefault="00DA7417" w:rsidP="00315B1B">
            <w:pPr>
              <w:rPr>
                <w:rFonts w:ascii="Times New Roman" w:hAnsi="Times New Roman" w:cs="Times New Roman"/>
                <w:color w:val="000000" w:themeColor="text1"/>
                <w:lang w:bidi="bn-IN"/>
              </w:rPr>
            </w:pPr>
          </w:p>
        </w:tc>
        <w:tc>
          <w:tcPr>
            <w:tcW w:w="479" w:type="pct"/>
            <w:vMerge w:val="restart"/>
          </w:tcPr>
          <w:p w14:paraId="16B6636D"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Female</w:t>
            </w:r>
          </w:p>
        </w:tc>
        <w:tc>
          <w:tcPr>
            <w:tcW w:w="1046" w:type="pct"/>
            <w:vAlign w:val="center"/>
          </w:tcPr>
          <w:p w14:paraId="1FD1D85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17</w:t>
            </w:r>
          </w:p>
        </w:tc>
        <w:tc>
          <w:tcPr>
            <w:tcW w:w="943" w:type="pct"/>
            <w:vAlign w:val="center"/>
          </w:tcPr>
          <w:p w14:paraId="506501D4"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93</w:t>
            </w:r>
          </w:p>
        </w:tc>
        <w:tc>
          <w:tcPr>
            <w:tcW w:w="1048" w:type="pct"/>
            <w:vAlign w:val="center"/>
          </w:tcPr>
          <w:p w14:paraId="4E0410C2"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w:t>
            </w:r>
          </w:p>
        </w:tc>
        <w:tc>
          <w:tcPr>
            <w:tcW w:w="496" w:type="pct"/>
            <w:vAlign w:val="center"/>
          </w:tcPr>
          <w:p w14:paraId="0D03CE27"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122</w:t>
            </w:r>
          </w:p>
        </w:tc>
      </w:tr>
      <w:tr w:rsidR="00B51AC1" w:rsidRPr="00B51AC1" w14:paraId="74547972" w14:textId="77777777" w:rsidTr="00DB4774">
        <w:tc>
          <w:tcPr>
            <w:tcW w:w="988" w:type="pct"/>
            <w:vMerge/>
          </w:tcPr>
          <w:p w14:paraId="6AB0A772" w14:textId="77777777" w:rsidR="00DA7417" w:rsidRPr="00B51AC1" w:rsidRDefault="00DA7417" w:rsidP="00315B1B">
            <w:pPr>
              <w:rPr>
                <w:rFonts w:ascii="Times New Roman" w:hAnsi="Times New Roman" w:cs="Times New Roman"/>
                <w:color w:val="000000" w:themeColor="text1"/>
                <w:lang w:bidi="bn-IN"/>
              </w:rPr>
            </w:pPr>
          </w:p>
        </w:tc>
        <w:tc>
          <w:tcPr>
            <w:tcW w:w="479" w:type="pct"/>
            <w:vMerge/>
          </w:tcPr>
          <w:p w14:paraId="1614C172" w14:textId="77777777" w:rsidR="00DA7417" w:rsidRPr="00B51AC1" w:rsidRDefault="00DA7417" w:rsidP="00315B1B">
            <w:pPr>
              <w:rPr>
                <w:rFonts w:ascii="Times New Roman" w:hAnsi="Times New Roman" w:cs="Times New Roman"/>
                <w:color w:val="000000" w:themeColor="text1"/>
                <w:lang w:bidi="bn-IN"/>
              </w:rPr>
            </w:pPr>
          </w:p>
        </w:tc>
        <w:tc>
          <w:tcPr>
            <w:tcW w:w="1046" w:type="pct"/>
            <w:vAlign w:val="center"/>
          </w:tcPr>
          <w:p w14:paraId="073CFBBB"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13</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9</w:t>
            </w:r>
            <w:r w:rsidRPr="00B51AC1">
              <w:rPr>
                <w:rFonts w:ascii="Times New Roman" w:hAnsi="Times New Roman" w:cs="Times New Roman"/>
                <w:color w:val="000000" w:themeColor="text1"/>
                <w:cs/>
                <w:lang w:bidi="bn-IN"/>
              </w:rPr>
              <w:t>%</w:t>
            </w:r>
          </w:p>
        </w:tc>
        <w:tc>
          <w:tcPr>
            <w:tcW w:w="943" w:type="pct"/>
            <w:vAlign w:val="center"/>
          </w:tcPr>
          <w:p w14:paraId="4991E0EB"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76</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1048" w:type="pct"/>
            <w:vAlign w:val="center"/>
          </w:tcPr>
          <w:p w14:paraId="7C6E62B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9</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8</w:t>
            </w:r>
            <w:r w:rsidRPr="00B51AC1">
              <w:rPr>
                <w:rFonts w:ascii="Times New Roman" w:hAnsi="Times New Roman" w:cs="Times New Roman"/>
                <w:color w:val="000000" w:themeColor="text1"/>
                <w:cs/>
                <w:lang w:bidi="bn-IN"/>
              </w:rPr>
              <w:t>%</w:t>
            </w:r>
          </w:p>
        </w:tc>
        <w:tc>
          <w:tcPr>
            <w:tcW w:w="496" w:type="pct"/>
            <w:vAlign w:val="center"/>
          </w:tcPr>
          <w:p w14:paraId="31CF2F40"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100</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0</w:t>
            </w:r>
            <w:r w:rsidRPr="00B51AC1">
              <w:rPr>
                <w:rFonts w:ascii="Times New Roman" w:hAnsi="Times New Roman" w:cs="Times New Roman"/>
                <w:color w:val="000000" w:themeColor="text1"/>
                <w:cs/>
                <w:lang w:bidi="bn-IN"/>
              </w:rPr>
              <w:t>%</w:t>
            </w:r>
          </w:p>
        </w:tc>
      </w:tr>
      <w:tr w:rsidR="00B51AC1" w:rsidRPr="00B51AC1" w14:paraId="11703137" w14:textId="77777777" w:rsidTr="00DB4774">
        <w:tc>
          <w:tcPr>
            <w:tcW w:w="1467" w:type="pct"/>
            <w:gridSpan w:val="2"/>
            <w:vMerge w:val="restart"/>
          </w:tcPr>
          <w:p w14:paraId="67C40A64"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Total</w:t>
            </w:r>
          </w:p>
        </w:tc>
        <w:tc>
          <w:tcPr>
            <w:tcW w:w="1046" w:type="pct"/>
            <w:vAlign w:val="center"/>
          </w:tcPr>
          <w:p w14:paraId="41A64B42"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28</w:t>
            </w:r>
          </w:p>
        </w:tc>
        <w:tc>
          <w:tcPr>
            <w:tcW w:w="943" w:type="pct"/>
            <w:vAlign w:val="center"/>
          </w:tcPr>
          <w:p w14:paraId="23A1F014"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158</w:t>
            </w:r>
          </w:p>
        </w:tc>
        <w:tc>
          <w:tcPr>
            <w:tcW w:w="1048" w:type="pct"/>
            <w:vAlign w:val="center"/>
          </w:tcPr>
          <w:p w14:paraId="16840596"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26</w:t>
            </w:r>
          </w:p>
        </w:tc>
        <w:tc>
          <w:tcPr>
            <w:tcW w:w="496" w:type="pct"/>
            <w:vAlign w:val="center"/>
          </w:tcPr>
          <w:p w14:paraId="61D7088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212</w:t>
            </w:r>
          </w:p>
        </w:tc>
      </w:tr>
      <w:tr w:rsidR="00B51AC1" w:rsidRPr="00B51AC1" w14:paraId="149A184D" w14:textId="77777777" w:rsidTr="00DB4774">
        <w:tc>
          <w:tcPr>
            <w:tcW w:w="1467" w:type="pct"/>
            <w:gridSpan w:val="2"/>
            <w:vMerge/>
          </w:tcPr>
          <w:p w14:paraId="181CC79A" w14:textId="77777777" w:rsidR="00DA7417" w:rsidRPr="00B51AC1" w:rsidRDefault="00DA7417" w:rsidP="00315B1B">
            <w:pPr>
              <w:rPr>
                <w:rFonts w:ascii="Times New Roman" w:hAnsi="Times New Roman" w:cs="Times New Roman"/>
                <w:color w:val="000000" w:themeColor="text1"/>
                <w:lang w:bidi="bn-IN"/>
              </w:rPr>
            </w:pPr>
          </w:p>
        </w:tc>
        <w:tc>
          <w:tcPr>
            <w:tcW w:w="1046" w:type="pct"/>
            <w:vAlign w:val="center"/>
          </w:tcPr>
          <w:p w14:paraId="6CDBEE6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13</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943" w:type="pct"/>
            <w:vAlign w:val="center"/>
          </w:tcPr>
          <w:p w14:paraId="4C55949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74</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5</w:t>
            </w:r>
            <w:r w:rsidRPr="00B51AC1">
              <w:rPr>
                <w:rFonts w:ascii="Times New Roman" w:hAnsi="Times New Roman" w:cs="Times New Roman"/>
                <w:color w:val="000000" w:themeColor="text1"/>
                <w:cs/>
                <w:lang w:bidi="bn-IN"/>
              </w:rPr>
              <w:t>%</w:t>
            </w:r>
          </w:p>
        </w:tc>
        <w:tc>
          <w:tcPr>
            <w:tcW w:w="1048" w:type="pct"/>
            <w:vAlign w:val="center"/>
          </w:tcPr>
          <w:p w14:paraId="0A338263"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3</w:t>
            </w:r>
            <w:r w:rsidRPr="00B51AC1">
              <w:rPr>
                <w:rFonts w:ascii="Times New Roman" w:hAnsi="Times New Roman" w:cs="Times New Roman"/>
                <w:color w:val="000000" w:themeColor="text1"/>
                <w:cs/>
                <w:lang w:bidi="bn-IN"/>
              </w:rPr>
              <w:t>%</w:t>
            </w:r>
          </w:p>
        </w:tc>
        <w:tc>
          <w:tcPr>
            <w:tcW w:w="496" w:type="pct"/>
            <w:vAlign w:val="center"/>
          </w:tcPr>
          <w:p w14:paraId="751DD5A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100</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0</w:t>
            </w:r>
            <w:r w:rsidRPr="00B51AC1">
              <w:rPr>
                <w:rFonts w:ascii="Times New Roman" w:hAnsi="Times New Roman" w:cs="Times New Roman"/>
                <w:color w:val="000000" w:themeColor="text1"/>
                <w:cs/>
                <w:lang w:bidi="bn-IN"/>
              </w:rPr>
              <w:t>%</w:t>
            </w:r>
          </w:p>
        </w:tc>
      </w:tr>
    </w:tbl>
    <w:p w14:paraId="672E4C71" w14:textId="77777777" w:rsidR="0090179D" w:rsidRDefault="0090179D" w:rsidP="0090179D">
      <w:pPr>
        <w:autoSpaceDE w:val="0"/>
        <w:autoSpaceDN w:val="0"/>
        <w:adjustRightInd w:val="0"/>
        <w:spacing w:before="0" w:beforeAutospacing="0" w:afterAutospacing="0" w:line="240" w:lineRule="auto"/>
        <w:jc w:val="left"/>
        <w:rPr>
          <w:rFonts w:ascii="Times New Roman" w:hAnsi="Times New Roman" w:cs="Times New Roman"/>
          <w:noProof/>
          <w:kern w:val="0"/>
          <w:sz w:val="24"/>
          <w:szCs w:val="24"/>
          <w:lang w:bidi="bn-IN"/>
        </w:rPr>
      </w:pPr>
    </w:p>
    <w:p w14:paraId="4414EF14" w14:textId="77777777" w:rsidR="005A6A1A" w:rsidRPr="004924F1" w:rsidRDefault="005A6A1A" w:rsidP="005A6A1A">
      <w:pPr>
        <w:rPr>
          <w:rFonts w:ascii="Times New Roman" w:hAnsi="Times New Roman" w:cs="Times New Roman"/>
          <w:lang w:bidi="bn-IN"/>
        </w:rPr>
      </w:pPr>
      <w:r>
        <w:rPr>
          <w:rFonts w:ascii="Times New Roman" w:hAnsi="Times New Roman" w:cs="Times New Roman"/>
          <w:lang w:bidi="bn-IN"/>
        </w:rPr>
        <w:t>Table</w:t>
      </w:r>
      <w:r w:rsidRPr="004924F1">
        <w:rPr>
          <w:rFonts w:ascii="Times New Roman" w:hAnsi="Times New Roman" w:cs="Times New Roman"/>
          <w:lang w:bidi="bn-IN"/>
        </w:rPr>
        <w:t xml:space="preserve"> </w:t>
      </w:r>
      <w:r>
        <w:rPr>
          <w:rFonts w:ascii="Times New Roman" w:hAnsi="Times New Roman" w:cs="Times New Roman"/>
          <w:lang w:bidi="bn-IN"/>
        </w:rPr>
        <w:t xml:space="preserve">9 </w:t>
      </w:r>
      <w:r w:rsidRPr="004924F1">
        <w:rPr>
          <w:rFonts w:ascii="Times New Roman" w:hAnsi="Times New Roman" w:cs="Times New Roman"/>
          <w:lang w:bidi="bn-IN"/>
        </w:rPr>
        <w:t>indicates that among male students, 72.2% exhibit moderate, 12.2% low, and 15.6% high career risk-taking behaviour. Similarly, among female students, 76.2% show moderate, 13.9% low, and 9.8% high levels. Overall, the majority of students (74.5%) fall under the moderate category.</w:t>
      </w:r>
    </w:p>
    <w:p w14:paraId="493CCCEF" w14:textId="77777777" w:rsidR="0090179D" w:rsidRDefault="0090179D" w:rsidP="0090179D">
      <w:pPr>
        <w:autoSpaceDE w:val="0"/>
        <w:autoSpaceDN w:val="0"/>
        <w:adjustRightInd w:val="0"/>
        <w:spacing w:before="0" w:beforeAutospacing="0" w:afterAutospacing="0" w:line="240" w:lineRule="auto"/>
        <w:jc w:val="left"/>
        <w:rPr>
          <w:rFonts w:ascii="Times New Roman" w:hAnsi="Times New Roman" w:cs="Times New Roman"/>
          <w:noProof/>
          <w:kern w:val="0"/>
          <w:sz w:val="24"/>
          <w:szCs w:val="24"/>
          <w:lang w:bidi="bn-IN"/>
        </w:rPr>
      </w:pPr>
    </w:p>
    <w:p w14:paraId="2A9082A4" w14:textId="77777777" w:rsidR="00017574" w:rsidRDefault="0090179D" w:rsidP="00017574">
      <w:pPr>
        <w:keepNext/>
        <w:autoSpaceDE w:val="0"/>
        <w:autoSpaceDN w:val="0"/>
        <w:adjustRightInd w:val="0"/>
        <w:spacing w:before="0" w:beforeAutospacing="0" w:afterAutospacing="0" w:line="240" w:lineRule="auto"/>
        <w:jc w:val="left"/>
      </w:pPr>
      <w:r>
        <w:rPr>
          <w:rFonts w:ascii="Times New Roman" w:hAnsi="Times New Roman" w:cs="Times New Roman"/>
          <w:noProof/>
          <w:kern w:val="0"/>
          <w:sz w:val="24"/>
          <w:szCs w:val="24"/>
          <w:lang w:bidi="bn-IN"/>
        </w:rPr>
        <w:drawing>
          <wp:inline distT="0" distB="0" distL="0" distR="0" wp14:anchorId="062B94CE" wp14:editId="1A65F75A">
            <wp:extent cx="5731510" cy="3511550"/>
            <wp:effectExtent l="0" t="0" r="2540" b="0"/>
            <wp:docPr id="17669459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3511550"/>
                    </a:xfrm>
                    <a:prstGeom prst="rect">
                      <a:avLst/>
                    </a:prstGeom>
                    <a:noFill/>
                    <a:ln>
                      <a:noFill/>
                    </a:ln>
                  </pic:spPr>
                </pic:pic>
              </a:graphicData>
            </a:graphic>
          </wp:inline>
        </w:drawing>
      </w:r>
    </w:p>
    <w:p w14:paraId="2732DABE" w14:textId="5540580D" w:rsidR="00315B1B" w:rsidRDefault="00017574" w:rsidP="00017574">
      <w:pPr>
        <w:pStyle w:val="Caption"/>
        <w:jc w:val="left"/>
        <w:rPr>
          <w:rFonts w:ascii="Times New Roman" w:hAnsi="Times New Roman" w:cs="Times New Roman"/>
          <w:b/>
          <w:bCs/>
          <w:color w:val="000000" w:themeColor="text1"/>
          <w:sz w:val="20"/>
          <w:szCs w:val="20"/>
        </w:rPr>
      </w:pPr>
      <w:r w:rsidRPr="00017574">
        <w:rPr>
          <w:rFonts w:ascii="Times New Roman" w:hAnsi="Times New Roman" w:cs="Times New Roman"/>
          <w:b/>
          <w:bCs/>
          <w:color w:val="000000" w:themeColor="text1"/>
          <w:sz w:val="20"/>
          <w:szCs w:val="20"/>
        </w:rPr>
        <w:t xml:space="preserve">Figure </w:t>
      </w:r>
      <w:r w:rsidRPr="00017574">
        <w:rPr>
          <w:rFonts w:ascii="Times New Roman" w:hAnsi="Times New Roman" w:cs="Times New Roman"/>
          <w:b/>
          <w:bCs/>
          <w:color w:val="000000" w:themeColor="text1"/>
          <w:sz w:val="20"/>
          <w:szCs w:val="20"/>
        </w:rPr>
        <w:fldChar w:fldCharType="begin"/>
      </w:r>
      <w:r w:rsidRPr="00017574">
        <w:rPr>
          <w:rFonts w:ascii="Times New Roman" w:hAnsi="Times New Roman" w:cs="Times New Roman"/>
          <w:b/>
          <w:bCs/>
          <w:color w:val="000000" w:themeColor="text1"/>
          <w:sz w:val="20"/>
          <w:szCs w:val="20"/>
        </w:rPr>
        <w:instrText xml:space="preserve"> SEQ Figure \* ARABIC </w:instrText>
      </w:r>
      <w:r w:rsidRPr="00017574">
        <w:rPr>
          <w:rFonts w:ascii="Times New Roman" w:hAnsi="Times New Roman" w:cs="Times New Roman"/>
          <w:b/>
          <w:bCs/>
          <w:color w:val="000000" w:themeColor="text1"/>
          <w:sz w:val="20"/>
          <w:szCs w:val="20"/>
        </w:rPr>
        <w:fldChar w:fldCharType="separate"/>
      </w:r>
      <w:r w:rsidRPr="00017574">
        <w:rPr>
          <w:rFonts w:ascii="Times New Roman" w:hAnsi="Times New Roman" w:cs="Times New Roman"/>
          <w:b/>
          <w:bCs/>
          <w:noProof/>
          <w:color w:val="000000" w:themeColor="text1"/>
          <w:sz w:val="20"/>
          <w:szCs w:val="20"/>
        </w:rPr>
        <w:t>3</w:t>
      </w:r>
      <w:r w:rsidRPr="00017574">
        <w:rPr>
          <w:rFonts w:ascii="Times New Roman" w:hAnsi="Times New Roman" w:cs="Times New Roman"/>
          <w:b/>
          <w:bCs/>
          <w:color w:val="000000" w:themeColor="text1"/>
          <w:sz w:val="20"/>
          <w:szCs w:val="20"/>
        </w:rPr>
        <w:fldChar w:fldCharType="end"/>
      </w:r>
      <w:r w:rsidRPr="00017574">
        <w:rPr>
          <w:rFonts w:ascii="Times New Roman" w:hAnsi="Times New Roman" w:cs="Times New Roman"/>
          <w:b/>
          <w:bCs/>
          <w:color w:val="000000" w:themeColor="text1"/>
          <w:sz w:val="20"/>
          <w:szCs w:val="20"/>
        </w:rPr>
        <w:t>: Bar Chart Showing Gender Differences in Levels of Career Risk-Taking Behaviour</w:t>
      </w:r>
    </w:p>
    <w:p w14:paraId="330F5368" w14:textId="4ED61B8C" w:rsidR="00E45A71" w:rsidRPr="00E45A71" w:rsidRDefault="00E45A71" w:rsidP="00E45A71">
      <w:pPr>
        <w:pStyle w:val="Caption"/>
        <w:keepNext/>
        <w:ind w:firstLine="720"/>
        <w:rPr>
          <w:rFonts w:ascii="Times New Roman" w:hAnsi="Times New Roman" w:cs="Times New Roman"/>
          <w:i w:val="0"/>
          <w:iCs w:val="0"/>
          <w:color w:val="000000" w:themeColor="text1"/>
          <w:sz w:val="24"/>
          <w:szCs w:val="24"/>
        </w:rPr>
      </w:pPr>
      <w:r w:rsidRPr="00E45A71">
        <w:rPr>
          <w:rFonts w:ascii="Times New Roman" w:hAnsi="Times New Roman" w:cs="Times New Roman"/>
          <w:i w:val="0"/>
          <w:iCs w:val="0"/>
          <w:color w:val="000000" w:themeColor="text1"/>
          <w:sz w:val="24"/>
          <w:szCs w:val="24"/>
        </w:rPr>
        <w:t xml:space="preserve">Figure 3 The bar chart illustrates the distribution of career risk-taking behaviour across gender. It is evident that both male and female students predominantly exhibit a moderate level of career risk-taking behaviour, with females (93) slightly higher than males (65). In terms of </w:t>
      </w:r>
      <w:r w:rsidRPr="00E45A71">
        <w:rPr>
          <w:rFonts w:ascii="Times New Roman" w:hAnsi="Times New Roman" w:cs="Times New Roman"/>
          <w:i w:val="0"/>
          <w:iCs w:val="0"/>
          <w:color w:val="000000" w:themeColor="text1"/>
          <w:sz w:val="24"/>
          <w:szCs w:val="24"/>
        </w:rPr>
        <w:lastRenderedPageBreak/>
        <w:t>low risk-taking behaviour, females (17) are slightly higher than males (11), whereas for high risk-taking behaviour, males (14) slightly exceed females (12).</w:t>
      </w:r>
    </w:p>
    <w:p w14:paraId="454D75FF" w14:textId="5B039245" w:rsidR="00A16C61" w:rsidRPr="00A16C61" w:rsidRDefault="00A16C61" w:rsidP="00A16C61">
      <w:pPr>
        <w:pStyle w:val="Caption"/>
        <w:keepNext/>
        <w:rPr>
          <w:rFonts w:ascii="Times New Roman" w:hAnsi="Times New Roman" w:cs="Times New Roman"/>
          <w:b/>
          <w:bCs/>
          <w:color w:val="000000" w:themeColor="text1"/>
          <w:sz w:val="20"/>
          <w:szCs w:val="20"/>
        </w:rPr>
      </w:pPr>
      <w:r w:rsidRPr="00A16C61">
        <w:rPr>
          <w:rFonts w:ascii="Times New Roman" w:hAnsi="Times New Roman" w:cs="Times New Roman"/>
          <w:b/>
          <w:bCs/>
          <w:color w:val="000000" w:themeColor="text1"/>
          <w:sz w:val="20"/>
          <w:szCs w:val="20"/>
        </w:rPr>
        <w:t xml:space="preserve">Table </w:t>
      </w:r>
      <w:r w:rsidRPr="00A16C61">
        <w:rPr>
          <w:rFonts w:ascii="Times New Roman" w:hAnsi="Times New Roman" w:cs="Times New Roman"/>
          <w:b/>
          <w:bCs/>
          <w:color w:val="000000" w:themeColor="text1"/>
          <w:sz w:val="20"/>
          <w:szCs w:val="20"/>
        </w:rPr>
        <w:fldChar w:fldCharType="begin"/>
      </w:r>
      <w:r w:rsidRPr="00A16C61">
        <w:rPr>
          <w:rFonts w:ascii="Times New Roman" w:hAnsi="Times New Roman" w:cs="Times New Roman"/>
          <w:b/>
          <w:bCs/>
          <w:color w:val="000000" w:themeColor="text1"/>
          <w:sz w:val="20"/>
          <w:szCs w:val="20"/>
        </w:rPr>
        <w:instrText xml:space="preserve"> SEQ Table \* ARABIC </w:instrText>
      </w:r>
      <w:r w:rsidRPr="00A16C61">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10</w:t>
      </w:r>
      <w:r w:rsidRPr="00A16C61">
        <w:rPr>
          <w:rFonts w:ascii="Times New Roman" w:hAnsi="Times New Roman" w:cs="Times New Roman"/>
          <w:b/>
          <w:bCs/>
          <w:color w:val="000000" w:themeColor="text1"/>
          <w:sz w:val="20"/>
          <w:szCs w:val="20"/>
        </w:rPr>
        <w:fldChar w:fldCharType="end"/>
      </w:r>
      <w:r w:rsidRPr="00A16C61">
        <w:rPr>
          <w:rFonts w:ascii="Times New Roman" w:hAnsi="Times New Roman" w:cs="Times New Roman"/>
          <w:b/>
          <w:bCs/>
          <w:color w:val="000000" w:themeColor="text1"/>
          <w:sz w:val="20"/>
          <w:szCs w:val="20"/>
          <w:lang w:val="en-US"/>
        </w:rPr>
        <w:t xml:space="preserve">: Type of School * Levels of Career Risk-Taking </w:t>
      </w:r>
      <w:proofErr w:type="spellStart"/>
      <w:r w:rsidRPr="00A16C61">
        <w:rPr>
          <w:rFonts w:ascii="Times New Roman" w:hAnsi="Times New Roman" w:cs="Times New Roman"/>
          <w:b/>
          <w:bCs/>
          <w:color w:val="000000" w:themeColor="text1"/>
          <w:sz w:val="20"/>
          <w:szCs w:val="20"/>
          <w:lang w:val="en-US"/>
        </w:rPr>
        <w:t>Behaviour</w:t>
      </w:r>
      <w:proofErr w:type="spellEnd"/>
      <w:r w:rsidRPr="00A16C61">
        <w:rPr>
          <w:rFonts w:ascii="Times New Roman" w:hAnsi="Times New Roman" w:cs="Times New Roman"/>
          <w:b/>
          <w:bCs/>
          <w:color w:val="000000" w:themeColor="text1"/>
          <w:sz w:val="20"/>
          <w:szCs w:val="20"/>
          <w:lang w:val="en-US"/>
        </w:rPr>
        <w:t xml:space="preserve"> Crosstabulation</w:t>
      </w:r>
    </w:p>
    <w:tbl>
      <w:tblPr>
        <w:tblStyle w:val="GridTable1Light-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2350"/>
        <w:gridCol w:w="1410"/>
        <w:gridCol w:w="1410"/>
        <w:gridCol w:w="1410"/>
        <w:gridCol w:w="983"/>
      </w:tblGrid>
      <w:tr w:rsidR="00CB5A9D" w:rsidRPr="00575431" w14:paraId="70179658" w14:textId="77777777" w:rsidTr="00DB4774">
        <w:tc>
          <w:tcPr>
            <w:tcW w:w="5000" w:type="pct"/>
            <w:gridSpan w:val="6"/>
          </w:tcPr>
          <w:p w14:paraId="6323D10C" w14:textId="77777777" w:rsidR="006F2C74" w:rsidRPr="00575431" w:rsidRDefault="006F2C74" w:rsidP="00A16C61">
            <w:pPr>
              <w:pStyle w:val="NoSpacing"/>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 xml:space="preserve">Type of School </w:t>
            </w:r>
            <w:r w:rsidRPr="00575431">
              <w:rPr>
                <w:rFonts w:ascii="Times New Roman" w:hAnsi="Times New Roman" w:cs="Times New Roman"/>
                <w:color w:val="000000" w:themeColor="text1"/>
                <w:cs/>
                <w:lang w:bidi="bn-IN"/>
              </w:rPr>
              <w:t xml:space="preserve">* </w:t>
            </w:r>
            <w:r w:rsidRPr="00575431">
              <w:rPr>
                <w:rFonts w:ascii="Times New Roman" w:hAnsi="Times New Roman" w:cs="Times New Roman"/>
                <w:color w:val="000000" w:themeColor="text1"/>
                <w:lang w:bidi="bn-IN"/>
              </w:rPr>
              <w:t>Levels of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 Crosstabulation</w:t>
            </w:r>
          </w:p>
        </w:tc>
      </w:tr>
      <w:tr w:rsidR="00CB5A9D" w:rsidRPr="00575431" w14:paraId="299E2654" w14:textId="77777777" w:rsidTr="00DB4774">
        <w:tc>
          <w:tcPr>
            <w:tcW w:w="5000" w:type="pct"/>
            <w:gridSpan w:val="6"/>
          </w:tcPr>
          <w:p w14:paraId="53EF97C4" w14:textId="77777777" w:rsidR="006F2C74" w:rsidRPr="00575431" w:rsidRDefault="006F2C74" w:rsidP="00A16C61">
            <w:pPr>
              <w:pStyle w:val="NoSpacing"/>
              <w:rPr>
                <w:rFonts w:ascii="Times New Roman" w:hAnsi="Times New Roman" w:cs="Times New Roman"/>
                <w:color w:val="000000" w:themeColor="text1"/>
                <w:lang w:bidi="bn-IN"/>
              </w:rPr>
            </w:pPr>
            <w:r w:rsidRPr="00575431">
              <w:rPr>
                <w:rFonts w:ascii="Times New Roman" w:hAnsi="Times New Roman" w:cs="Times New Roman"/>
                <w:color w:val="000000" w:themeColor="text1"/>
                <w:shd w:val="clear" w:color="auto" w:fill="FFFFFF"/>
                <w:lang w:bidi="bn-IN"/>
              </w:rPr>
              <w:t xml:space="preserve">Count  </w:t>
            </w:r>
          </w:p>
        </w:tc>
      </w:tr>
      <w:tr w:rsidR="00CB5A9D" w:rsidRPr="00575431" w14:paraId="14A05EB7" w14:textId="77777777" w:rsidTr="00DB4774">
        <w:tc>
          <w:tcPr>
            <w:tcW w:w="2109" w:type="pct"/>
            <w:gridSpan w:val="2"/>
            <w:vMerge w:val="restart"/>
            <w:vAlign w:val="center"/>
          </w:tcPr>
          <w:p w14:paraId="33311C1D" w14:textId="77777777" w:rsidR="006F2C74" w:rsidRPr="00575431" w:rsidRDefault="006F2C74" w:rsidP="00575431">
            <w:pPr>
              <w:pStyle w:val="NoSpacing"/>
              <w:jc w:val="center"/>
              <w:rPr>
                <w:rFonts w:ascii="Times New Roman" w:hAnsi="Times New Roman" w:cs="Times New Roman"/>
                <w:color w:val="000000" w:themeColor="text1"/>
                <w:lang w:bidi="bn-IN"/>
              </w:rPr>
            </w:pPr>
          </w:p>
        </w:tc>
        <w:tc>
          <w:tcPr>
            <w:tcW w:w="2345" w:type="pct"/>
            <w:gridSpan w:val="3"/>
            <w:vAlign w:val="center"/>
          </w:tcPr>
          <w:p w14:paraId="7E1055D4" w14:textId="77777777" w:rsidR="006F2C74" w:rsidRPr="004A458E" w:rsidRDefault="006F2C74" w:rsidP="00575431">
            <w:pPr>
              <w:pStyle w:val="NoSpacing"/>
              <w:jc w:val="center"/>
              <w:rPr>
                <w:rFonts w:ascii="Times New Roman" w:hAnsi="Times New Roman" w:cs="Times New Roman"/>
                <w:b/>
                <w:bCs/>
                <w:color w:val="000000" w:themeColor="text1"/>
                <w:lang w:bidi="bn-IN"/>
              </w:rPr>
            </w:pPr>
            <w:r w:rsidRPr="004A458E">
              <w:rPr>
                <w:rFonts w:ascii="Times New Roman" w:hAnsi="Times New Roman" w:cs="Times New Roman"/>
                <w:b/>
                <w:bCs/>
                <w:color w:val="000000" w:themeColor="text1"/>
                <w:lang w:bidi="bn-IN"/>
              </w:rPr>
              <w:t>Levels of Career Risk</w:t>
            </w:r>
            <w:r w:rsidRPr="004A458E">
              <w:rPr>
                <w:rFonts w:ascii="Times New Roman" w:hAnsi="Times New Roman" w:cs="Times New Roman"/>
                <w:b/>
                <w:bCs/>
                <w:color w:val="000000" w:themeColor="text1"/>
                <w:cs/>
                <w:lang w:bidi="bn-IN"/>
              </w:rPr>
              <w:t>-</w:t>
            </w:r>
            <w:r w:rsidRPr="004A458E">
              <w:rPr>
                <w:rFonts w:ascii="Times New Roman" w:hAnsi="Times New Roman" w:cs="Times New Roman"/>
                <w:b/>
                <w:bCs/>
                <w:color w:val="000000" w:themeColor="text1"/>
                <w:lang w:bidi="bn-IN"/>
              </w:rPr>
              <w:t>Taking Behaviour</w:t>
            </w:r>
          </w:p>
        </w:tc>
        <w:tc>
          <w:tcPr>
            <w:tcW w:w="545" w:type="pct"/>
            <w:vMerge w:val="restart"/>
            <w:vAlign w:val="center"/>
          </w:tcPr>
          <w:p w14:paraId="53B9A94A"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Total</w:t>
            </w:r>
          </w:p>
        </w:tc>
      </w:tr>
      <w:tr w:rsidR="00CB5A9D" w:rsidRPr="00575431" w14:paraId="1BF8C9DA" w14:textId="77777777" w:rsidTr="00DB4774">
        <w:tc>
          <w:tcPr>
            <w:tcW w:w="2109" w:type="pct"/>
            <w:gridSpan w:val="2"/>
            <w:vMerge/>
            <w:vAlign w:val="center"/>
          </w:tcPr>
          <w:p w14:paraId="675E5C5C" w14:textId="77777777" w:rsidR="006F2C74" w:rsidRPr="00575431" w:rsidRDefault="006F2C74" w:rsidP="00575431">
            <w:pPr>
              <w:pStyle w:val="NoSpacing"/>
              <w:jc w:val="center"/>
              <w:rPr>
                <w:rFonts w:ascii="Times New Roman" w:hAnsi="Times New Roman" w:cs="Times New Roman"/>
                <w:color w:val="000000" w:themeColor="text1"/>
                <w:lang w:bidi="bn-IN"/>
              </w:rPr>
            </w:pPr>
          </w:p>
        </w:tc>
        <w:tc>
          <w:tcPr>
            <w:tcW w:w="782" w:type="pct"/>
            <w:vAlign w:val="center"/>
          </w:tcPr>
          <w:p w14:paraId="2A0A1302"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Low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w:t>
            </w:r>
          </w:p>
        </w:tc>
        <w:tc>
          <w:tcPr>
            <w:tcW w:w="782" w:type="pct"/>
            <w:vAlign w:val="center"/>
          </w:tcPr>
          <w:p w14:paraId="5F88088B"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Moderate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w:t>
            </w:r>
          </w:p>
        </w:tc>
        <w:tc>
          <w:tcPr>
            <w:tcW w:w="782" w:type="pct"/>
            <w:vAlign w:val="center"/>
          </w:tcPr>
          <w:p w14:paraId="00BCAE04"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High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w:t>
            </w:r>
          </w:p>
        </w:tc>
        <w:tc>
          <w:tcPr>
            <w:tcW w:w="545" w:type="pct"/>
            <w:vMerge/>
            <w:vAlign w:val="center"/>
          </w:tcPr>
          <w:p w14:paraId="616C8A0C" w14:textId="77777777" w:rsidR="006F2C74" w:rsidRPr="00575431" w:rsidRDefault="006F2C74" w:rsidP="00575431">
            <w:pPr>
              <w:pStyle w:val="NoSpacing"/>
              <w:jc w:val="center"/>
              <w:rPr>
                <w:rFonts w:ascii="Times New Roman" w:hAnsi="Times New Roman" w:cs="Times New Roman"/>
                <w:color w:val="000000" w:themeColor="text1"/>
                <w:lang w:bidi="bn-IN"/>
              </w:rPr>
            </w:pPr>
          </w:p>
        </w:tc>
      </w:tr>
      <w:tr w:rsidR="00CB5A9D" w:rsidRPr="00575431" w14:paraId="32601608" w14:textId="77777777" w:rsidTr="00DB4774">
        <w:tc>
          <w:tcPr>
            <w:tcW w:w="806" w:type="pct"/>
            <w:vMerge w:val="restart"/>
            <w:vAlign w:val="center"/>
          </w:tcPr>
          <w:p w14:paraId="326466D2"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Type of School</w:t>
            </w:r>
          </w:p>
        </w:tc>
        <w:tc>
          <w:tcPr>
            <w:tcW w:w="1303" w:type="pct"/>
            <w:vAlign w:val="center"/>
          </w:tcPr>
          <w:p w14:paraId="50C949B9"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Government School</w:t>
            </w:r>
          </w:p>
        </w:tc>
        <w:tc>
          <w:tcPr>
            <w:tcW w:w="782" w:type="pct"/>
            <w:vAlign w:val="center"/>
          </w:tcPr>
          <w:p w14:paraId="551E2A54"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23</w:t>
            </w:r>
          </w:p>
        </w:tc>
        <w:tc>
          <w:tcPr>
            <w:tcW w:w="782" w:type="pct"/>
            <w:vAlign w:val="center"/>
          </w:tcPr>
          <w:p w14:paraId="014AB67B"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132</w:t>
            </w:r>
          </w:p>
        </w:tc>
        <w:tc>
          <w:tcPr>
            <w:tcW w:w="782" w:type="pct"/>
            <w:vAlign w:val="center"/>
          </w:tcPr>
          <w:p w14:paraId="2A47379F"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20</w:t>
            </w:r>
          </w:p>
        </w:tc>
        <w:tc>
          <w:tcPr>
            <w:tcW w:w="545" w:type="pct"/>
            <w:vAlign w:val="center"/>
          </w:tcPr>
          <w:p w14:paraId="092D8550"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175</w:t>
            </w:r>
          </w:p>
        </w:tc>
      </w:tr>
      <w:tr w:rsidR="00CB5A9D" w:rsidRPr="00575431" w14:paraId="2E2F4A5F" w14:textId="77777777" w:rsidTr="00DB4774">
        <w:tc>
          <w:tcPr>
            <w:tcW w:w="806" w:type="pct"/>
            <w:vMerge/>
            <w:vAlign w:val="center"/>
          </w:tcPr>
          <w:p w14:paraId="2B3A0970" w14:textId="77777777" w:rsidR="006F2C74" w:rsidRPr="00575431" w:rsidRDefault="006F2C74" w:rsidP="00575431">
            <w:pPr>
              <w:pStyle w:val="NoSpacing"/>
              <w:jc w:val="center"/>
              <w:rPr>
                <w:rFonts w:ascii="Times New Roman" w:hAnsi="Times New Roman" w:cs="Times New Roman"/>
                <w:color w:val="000000" w:themeColor="text1"/>
                <w:lang w:bidi="bn-IN"/>
              </w:rPr>
            </w:pPr>
          </w:p>
        </w:tc>
        <w:tc>
          <w:tcPr>
            <w:tcW w:w="1303" w:type="pct"/>
            <w:vAlign w:val="center"/>
          </w:tcPr>
          <w:p w14:paraId="6C88C552"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Government Aided School</w:t>
            </w:r>
          </w:p>
        </w:tc>
        <w:tc>
          <w:tcPr>
            <w:tcW w:w="782" w:type="pct"/>
            <w:vAlign w:val="center"/>
          </w:tcPr>
          <w:p w14:paraId="5606C2C0"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5</w:t>
            </w:r>
          </w:p>
        </w:tc>
        <w:tc>
          <w:tcPr>
            <w:tcW w:w="782" w:type="pct"/>
            <w:vAlign w:val="center"/>
          </w:tcPr>
          <w:p w14:paraId="5C6A2DD1"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26</w:t>
            </w:r>
          </w:p>
        </w:tc>
        <w:tc>
          <w:tcPr>
            <w:tcW w:w="782" w:type="pct"/>
            <w:vAlign w:val="center"/>
          </w:tcPr>
          <w:p w14:paraId="706CA49B"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6</w:t>
            </w:r>
          </w:p>
        </w:tc>
        <w:tc>
          <w:tcPr>
            <w:tcW w:w="545" w:type="pct"/>
            <w:vAlign w:val="center"/>
          </w:tcPr>
          <w:p w14:paraId="12F3CDEA"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37</w:t>
            </w:r>
          </w:p>
        </w:tc>
      </w:tr>
      <w:tr w:rsidR="00CB5A9D" w:rsidRPr="00575431" w14:paraId="03C1E3ED" w14:textId="77777777" w:rsidTr="00DB4774">
        <w:tc>
          <w:tcPr>
            <w:tcW w:w="2109" w:type="pct"/>
            <w:gridSpan w:val="2"/>
            <w:vAlign w:val="center"/>
          </w:tcPr>
          <w:p w14:paraId="6744F979"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Total</w:t>
            </w:r>
          </w:p>
        </w:tc>
        <w:tc>
          <w:tcPr>
            <w:tcW w:w="782" w:type="pct"/>
            <w:vAlign w:val="center"/>
          </w:tcPr>
          <w:p w14:paraId="5C23846D"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28</w:t>
            </w:r>
          </w:p>
        </w:tc>
        <w:tc>
          <w:tcPr>
            <w:tcW w:w="782" w:type="pct"/>
            <w:vAlign w:val="center"/>
          </w:tcPr>
          <w:p w14:paraId="599C31E6"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158</w:t>
            </w:r>
          </w:p>
        </w:tc>
        <w:tc>
          <w:tcPr>
            <w:tcW w:w="782" w:type="pct"/>
            <w:vAlign w:val="center"/>
          </w:tcPr>
          <w:p w14:paraId="58331866"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26</w:t>
            </w:r>
          </w:p>
        </w:tc>
        <w:tc>
          <w:tcPr>
            <w:tcW w:w="545" w:type="pct"/>
            <w:vAlign w:val="center"/>
          </w:tcPr>
          <w:p w14:paraId="3B3BE4B6"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212</w:t>
            </w:r>
          </w:p>
        </w:tc>
      </w:tr>
    </w:tbl>
    <w:p w14:paraId="4051AB5A" w14:textId="250F536F" w:rsidR="006F2C74" w:rsidRPr="00A16C61" w:rsidRDefault="00A16C61" w:rsidP="00934505">
      <w:pPr>
        <w:autoSpaceDE w:val="0"/>
        <w:autoSpaceDN w:val="0"/>
        <w:adjustRightInd w:val="0"/>
        <w:spacing w:before="0" w:beforeAutospacing="0" w:afterAutospacing="0" w:line="400" w:lineRule="atLeast"/>
        <w:ind w:right="95" w:firstLine="720"/>
        <w:rPr>
          <w:rFonts w:ascii="Times New Roman" w:hAnsi="Times New Roman" w:cs="Times New Roman"/>
          <w:kern w:val="0"/>
          <w:sz w:val="24"/>
          <w:szCs w:val="24"/>
          <w:lang w:bidi="bn-IN"/>
        </w:rPr>
      </w:pPr>
      <w:r w:rsidRPr="00A16C61">
        <w:rPr>
          <w:rFonts w:ascii="Times New Roman" w:hAnsi="Times New Roman" w:cs="Times New Roman"/>
          <w:kern w:val="0"/>
          <w:sz w:val="24"/>
          <w:szCs w:val="24"/>
          <w:lang w:bidi="bn-IN"/>
        </w:rPr>
        <w:t xml:space="preserve">Table </w:t>
      </w:r>
      <w:r w:rsidR="00961AF2">
        <w:rPr>
          <w:rFonts w:ascii="Times New Roman" w:hAnsi="Times New Roman" w:cs="Times New Roman"/>
          <w:kern w:val="0"/>
          <w:sz w:val="24"/>
          <w:szCs w:val="24"/>
          <w:lang w:bidi="bn-IN"/>
        </w:rPr>
        <w:t>10</w:t>
      </w:r>
      <w:r w:rsidRPr="00A16C61">
        <w:rPr>
          <w:rFonts w:ascii="Times New Roman" w:hAnsi="Times New Roman" w:cs="Times New Roman"/>
          <w:kern w:val="0"/>
          <w:sz w:val="24"/>
          <w:szCs w:val="24"/>
          <w:lang w:bidi="bn-IN"/>
        </w:rPr>
        <w:t xml:space="preserve"> presents the distribution of students’ levels of career risk-taking behaviour with respect to the type of school. Among students studying in government schools, 23 exhibit low, 132 moderate, and 20 high levels of career risk-taking behaviour. In comparison, among students from government-aided schools, 5 fall under low, 26 under moderate, and 6 under high levels of career risk-taking behaviour.</w:t>
      </w:r>
      <w:r>
        <w:rPr>
          <w:rFonts w:ascii="Times New Roman" w:hAnsi="Times New Roman" w:cs="Times New Roman"/>
          <w:kern w:val="0"/>
          <w:sz w:val="24"/>
          <w:szCs w:val="24"/>
          <w:lang w:bidi="bn-IN"/>
        </w:rPr>
        <w:t xml:space="preserve"> </w:t>
      </w:r>
      <w:r w:rsidRPr="00A16C61">
        <w:rPr>
          <w:rFonts w:ascii="Times New Roman" w:hAnsi="Times New Roman" w:cs="Times New Roman"/>
          <w:kern w:val="0"/>
          <w:sz w:val="24"/>
          <w:szCs w:val="24"/>
          <w:lang w:bidi="bn-IN"/>
        </w:rPr>
        <w:t>It is observed that in both categories of schools, the majority of students demonstrate a moderate level of career risk-taking behaviour. The distribution pattern across government and government-aided schools appears to be relatively similar, with only minor variations in the proportion of students across different levels</w:t>
      </w:r>
    </w:p>
    <w:p w14:paraId="44F58DD4" w14:textId="77777777" w:rsidR="00B86A9F" w:rsidRDefault="006F2C74" w:rsidP="00B86A9F">
      <w:pPr>
        <w:pStyle w:val="ListParagraph"/>
        <w:keepNext/>
        <w:spacing w:line="400" w:lineRule="atLeast"/>
        <w:ind w:left="0"/>
      </w:pPr>
      <w:r w:rsidRPr="006F2C74">
        <w:rPr>
          <w:rFonts w:ascii="Times New Roman" w:hAnsi="Times New Roman" w:cs="Times New Roman"/>
          <w:noProof/>
          <w:kern w:val="0"/>
          <w:sz w:val="24"/>
          <w:szCs w:val="24"/>
          <w:lang w:bidi="bn-IN"/>
        </w:rPr>
        <w:drawing>
          <wp:inline distT="0" distB="0" distL="0" distR="0" wp14:anchorId="218003C1" wp14:editId="471CCCD8">
            <wp:extent cx="5731510" cy="3369945"/>
            <wp:effectExtent l="0" t="0" r="2540" b="1905"/>
            <wp:docPr id="1250311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369945"/>
                    </a:xfrm>
                    <a:prstGeom prst="rect">
                      <a:avLst/>
                    </a:prstGeom>
                    <a:noFill/>
                    <a:ln>
                      <a:noFill/>
                    </a:ln>
                  </pic:spPr>
                </pic:pic>
              </a:graphicData>
            </a:graphic>
          </wp:inline>
        </w:drawing>
      </w:r>
    </w:p>
    <w:p w14:paraId="7B55E411" w14:textId="2A9FF815" w:rsidR="00696A07" w:rsidRPr="001D50B9" w:rsidRDefault="00B86A9F" w:rsidP="001D50B9">
      <w:pPr>
        <w:pStyle w:val="Caption"/>
        <w:rPr>
          <w:rFonts w:ascii="Times New Roman" w:hAnsi="Times New Roman" w:cs="Times New Roman"/>
          <w:b/>
          <w:bCs/>
          <w:color w:val="000000" w:themeColor="text1"/>
          <w:sz w:val="20"/>
          <w:szCs w:val="20"/>
        </w:rPr>
      </w:pPr>
      <w:r w:rsidRPr="00B86A9F">
        <w:rPr>
          <w:rFonts w:ascii="Times New Roman" w:hAnsi="Times New Roman" w:cs="Times New Roman"/>
          <w:b/>
          <w:bCs/>
          <w:color w:val="000000" w:themeColor="text1"/>
          <w:sz w:val="20"/>
          <w:szCs w:val="20"/>
        </w:rPr>
        <w:t xml:space="preserve">Figure </w:t>
      </w:r>
      <w:r w:rsidRPr="00B86A9F">
        <w:rPr>
          <w:rFonts w:ascii="Times New Roman" w:hAnsi="Times New Roman" w:cs="Times New Roman"/>
          <w:b/>
          <w:bCs/>
          <w:color w:val="000000" w:themeColor="text1"/>
          <w:sz w:val="20"/>
          <w:szCs w:val="20"/>
        </w:rPr>
        <w:fldChar w:fldCharType="begin"/>
      </w:r>
      <w:r w:rsidRPr="00B86A9F">
        <w:rPr>
          <w:rFonts w:ascii="Times New Roman" w:hAnsi="Times New Roman" w:cs="Times New Roman"/>
          <w:b/>
          <w:bCs/>
          <w:color w:val="000000" w:themeColor="text1"/>
          <w:sz w:val="20"/>
          <w:szCs w:val="20"/>
        </w:rPr>
        <w:instrText xml:space="preserve"> SEQ Figure \* ARABIC </w:instrText>
      </w:r>
      <w:r w:rsidRPr="00B86A9F">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4</w:t>
      </w:r>
      <w:r w:rsidRPr="00B86A9F">
        <w:rPr>
          <w:rFonts w:ascii="Times New Roman" w:hAnsi="Times New Roman" w:cs="Times New Roman"/>
          <w:b/>
          <w:bCs/>
          <w:color w:val="000000" w:themeColor="text1"/>
          <w:sz w:val="20"/>
          <w:szCs w:val="20"/>
        </w:rPr>
        <w:fldChar w:fldCharType="end"/>
      </w:r>
      <w:r w:rsidRPr="00B86A9F">
        <w:rPr>
          <w:rFonts w:ascii="Times New Roman" w:hAnsi="Times New Roman" w:cs="Times New Roman"/>
          <w:b/>
          <w:bCs/>
          <w:color w:val="000000" w:themeColor="text1"/>
          <w:sz w:val="20"/>
          <w:szCs w:val="20"/>
        </w:rPr>
        <w:t xml:space="preserve">: Bar Chart Showing Distribution of Career Risk-Taking Behaviour Across </w:t>
      </w:r>
      <w:r w:rsidR="00A37BB0">
        <w:rPr>
          <w:rFonts w:ascii="Times New Roman" w:hAnsi="Times New Roman" w:cs="Times New Roman"/>
          <w:b/>
          <w:bCs/>
          <w:color w:val="000000" w:themeColor="text1"/>
          <w:sz w:val="20"/>
          <w:szCs w:val="20"/>
        </w:rPr>
        <w:t>Types</w:t>
      </w:r>
      <w:r w:rsidRPr="00B86A9F">
        <w:rPr>
          <w:rFonts w:ascii="Times New Roman" w:hAnsi="Times New Roman" w:cs="Times New Roman"/>
          <w:b/>
          <w:bCs/>
          <w:color w:val="000000" w:themeColor="text1"/>
          <w:sz w:val="20"/>
          <w:szCs w:val="20"/>
        </w:rPr>
        <w:t xml:space="preserve"> of School</w:t>
      </w:r>
    </w:p>
    <w:p w14:paraId="1CC0C236" w14:textId="7CCD5384" w:rsidR="00E869F0" w:rsidRPr="00E869F0" w:rsidRDefault="00E869F0" w:rsidP="00E869F0">
      <w:pPr>
        <w:pStyle w:val="Caption"/>
        <w:keepNext/>
        <w:ind w:firstLine="720"/>
        <w:rPr>
          <w:rFonts w:ascii="Times New Roman" w:hAnsi="Times New Roman" w:cs="Times New Roman"/>
          <w:i w:val="0"/>
          <w:iCs w:val="0"/>
          <w:color w:val="000000" w:themeColor="text1"/>
          <w:sz w:val="24"/>
          <w:szCs w:val="24"/>
        </w:rPr>
      </w:pPr>
      <w:r w:rsidRPr="00E869F0">
        <w:rPr>
          <w:rFonts w:ascii="Times New Roman" w:hAnsi="Times New Roman" w:cs="Times New Roman"/>
          <w:i w:val="0"/>
          <w:iCs w:val="0"/>
          <w:color w:val="000000" w:themeColor="text1"/>
          <w:sz w:val="24"/>
          <w:szCs w:val="24"/>
        </w:rPr>
        <w:lastRenderedPageBreak/>
        <w:t>Figure 4 bar chart shows the distribution of career risk-taking behaviour across types of school. It is evident that students from both government and government-aided schools predominantly exhibit a moderate level of career risk-taking behaviour, with a notably higher number in government schools due to larger sample representation. A smaller proportion of students in both school types fall under low and high risk-taking categories, with slightly higher counts observed in government schools.</w:t>
      </w:r>
    </w:p>
    <w:p w14:paraId="6DF3F6EE" w14:textId="66065A3D" w:rsidR="00696A07" w:rsidRPr="00696A07" w:rsidRDefault="00696A07" w:rsidP="00696A07">
      <w:pPr>
        <w:pStyle w:val="Caption"/>
        <w:keepNext/>
        <w:rPr>
          <w:rFonts w:ascii="Times New Roman" w:hAnsi="Times New Roman" w:cs="Times New Roman"/>
          <w:b/>
          <w:bCs/>
          <w:color w:val="000000" w:themeColor="text1"/>
          <w:sz w:val="20"/>
          <w:szCs w:val="20"/>
        </w:rPr>
      </w:pPr>
      <w:r w:rsidRPr="00696A07">
        <w:rPr>
          <w:rFonts w:ascii="Times New Roman" w:hAnsi="Times New Roman" w:cs="Times New Roman"/>
          <w:b/>
          <w:bCs/>
          <w:color w:val="000000" w:themeColor="text1"/>
          <w:sz w:val="20"/>
          <w:szCs w:val="20"/>
        </w:rPr>
        <w:t xml:space="preserve">Table </w:t>
      </w:r>
      <w:r w:rsidRPr="00696A07">
        <w:rPr>
          <w:rFonts w:ascii="Times New Roman" w:hAnsi="Times New Roman" w:cs="Times New Roman"/>
          <w:b/>
          <w:bCs/>
          <w:color w:val="000000" w:themeColor="text1"/>
          <w:sz w:val="20"/>
          <w:szCs w:val="20"/>
        </w:rPr>
        <w:fldChar w:fldCharType="begin"/>
      </w:r>
      <w:r w:rsidRPr="00696A07">
        <w:rPr>
          <w:rFonts w:ascii="Times New Roman" w:hAnsi="Times New Roman" w:cs="Times New Roman"/>
          <w:b/>
          <w:bCs/>
          <w:color w:val="000000" w:themeColor="text1"/>
          <w:sz w:val="20"/>
          <w:szCs w:val="20"/>
        </w:rPr>
        <w:instrText xml:space="preserve"> SEQ Table \* ARABIC </w:instrText>
      </w:r>
      <w:r w:rsidRPr="00696A07">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11</w:t>
      </w:r>
      <w:r w:rsidRPr="00696A07">
        <w:rPr>
          <w:rFonts w:ascii="Times New Roman" w:hAnsi="Times New Roman" w:cs="Times New Roman"/>
          <w:b/>
          <w:bCs/>
          <w:color w:val="000000" w:themeColor="text1"/>
          <w:sz w:val="20"/>
          <w:szCs w:val="20"/>
        </w:rPr>
        <w:fldChar w:fldCharType="end"/>
      </w:r>
      <w:r w:rsidRPr="00696A07">
        <w:rPr>
          <w:rFonts w:ascii="Times New Roman" w:hAnsi="Times New Roman" w:cs="Times New Roman"/>
          <w:b/>
          <w:bCs/>
          <w:color w:val="000000" w:themeColor="text1"/>
          <w:sz w:val="20"/>
          <w:szCs w:val="20"/>
        </w:rPr>
        <w:t>: Distribution of Career Risk-Taking Behaviour Across Academic Stream</w:t>
      </w:r>
    </w:p>
    <w:tbl>
      <w:tblPr>
        <w:tblStyle w:val="GridTable1Light-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278"/>
        <w:gridCol w:w="1513"/>
        <w:gridCol w:w="1513"/>
        <w:gridCol w:w="1515"/>
        <w:gridCol w:w="1055"/>
      </w:tblGrid>
      <w:tr w:rsidR="00614F46" w:rsidRPr="00614F46" w14:paraId="0101E50A" w14:textId="77777777" w:rsidTr="00DB4774">
        <w:tc>
          <w:tcPr>
            <w:tcW w:w="5000" w:type="pct"/>
            <w:gridSpan w:val="6"/>
            <w:vAlign w:val="center"/>
          </w:tcPr>
          <w:p w14:paraId="11B8FE56" w14:textId="77777777" w:rsidR="00D71A50" w:rsidRPr="00A37BB0" w:rsidRDefault="00D71A50" w:rsidP="00A37BB0">
            <w:pPr>
              <w:pStyle w:val="NoSpacing"/>
              <w:rPr>
                <w:rFonts w:ascii="Times New Roman" w:hAnsi="Times New Roman" w:cs="Times New Roman"/>
                <w:b/>
                <w:bCs/>
                <w:color w:val="000000" w:themeColor="text1"/>
                <w:sz w:val="24"/>
                <w:szCs w:val="24"/>
                <w:lang w:bidi="bn-IN"/>
              </w:rPr>
            </w:pPr>
            <w:r w:rsidRPr="00A37BB0">
              <w:rPr>
                <w:rFonts w:ascii="Times New Roman" w:hAnsi="Times New Roman" w:cs="Times New Roman"/>
                <w:b/>
                <w:bCs/>
                <w:color w:val="000000" w:themeColor="text1"/>
                <w:lang w:bidi="bn-IN"/>
              </w:rPr>
              <w:t xml:space="preserve">Stream of the student </w:t>
            </w:r>
            <w:r w:rsidRPr="00A37BB0">
              <w:rPr>
                <w:rFonts w:ascii="Times New Roman" w:hAnsi="Times New Roman" w:cs="Times New Roman"/>
                <w:b/>
                <w:bCs/>
                <w:color w:val="000000" w:themeColor="text1"/>
                <w:cs/>
                <w:lang w:bidi="bn-IN"/>
              </w:rPr>
              <w:t xml:space="preserve">* </w:t>
            </w:r>
            <w:r w:rsidRPr="00A37BB0">
              <w:rPr>
                <w:rFonts w:ascii="Times New Roman" w:hAnsi="Times New Roman" w:cs="Times New Roman"/>
                <w:b/>
                <w:bCs/>
                <w:color w:val="000000" w:themeColor="text1"/>
                <w:lang w:bidi="bn-IN"/>
              </w:rPr>
              <w:t>Levels of Career Risk</w:t>
            </w:r>
            <w:r w:rsidRPr="00A37BB0">
              <w:rPr>
                <w:rFonts w:ascii="Times New Roman" w:hAnsi="Times New Roman" w:cs="Times New Roman"/>
                <w:b/>
                <w:bCs/>
                <w:color w:val="000000" w:themeColor="text1"/>
                <w:cs/>
                <w:lang w:bidi="bn-IN"/>
              </w:rPr>
              <w:t>-</w:t>
            </w:r>
            <w:r w:rsidRPr="00A37BB0">
              <w:rPr>
                <w:rFonts w:ascii="Times New Roman" w:hAnsi="Times New Roman" w:cs="Times New Roman"/>
                <w:b/>
                <w:bCs/>
                <w:color w:val="000000" w:themeColor="text1"/>
                <w:lang w:bidi="bn-IN"/>
              </w:rPr>
              <w:t>Taking Behaviour Crosstabulation</w:t>
            </w:r>
          </w:p>
        </w:tc>
      </w:tr>
      <w:tr w:rsidR="00614F46" w:rsidRPr="00614F46" w14:paraId="160E9B36" w14:textId="77777777" w:rsidTr="00DB4774">
        <w:tc>
          <w:tcPr>
            <w:tcW w:w="5000" w:type="pct"/>
            <w:gridSpan w:val="6"/>
            <w:vAlign w:val="center"/>
          </w:tcPr>
          <w:p w14:paraId="40BC6229" w14:textId="714656E8"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shd w:val="clear" w:color="auto" w:fill="FFFFFF"/>
                <w:lang w:bidi="bn-IN"/>
              </w:rPr>
              <w:t>Count</w:t>
            </w:r>
          </w:p>
        </w:tc>
      </w:tr>
      <w:tr w:rsidR="00614F46" w:rsidRPr="00614F46" w14:paraId="6A8A5661" w14:textId="77777777" w:rsidTr="00DB4774">
        <w:tc>
          <w:tcPr>
            <w:tcW w:w="1897" w:type="pct"/>
            <w:gridSpan w:val="2"/>
            <w:vMerge w:val="restart"/>
            <w:vAlign w:val="center"/>
          </w:tcPr>
          <w:p w14:paraId="49651D2A" w14:textId="77777777" w:rsidR="00D71A50" w:rsidRPr="00614F46" w:rsidRDefault="00D71A50" w:rsidP="00B179EB">
            <w:pPr>
              <w:pStyle w:val="NoSpacing"/>
              <w:rPr>
                <w:rFonts w:ascii="Times New Roman" w:hAnsi="Times New Roman" w:cs="Times New Roman"/>
                <w:color w:val="000000" w:themeColor="text1"/>
                <w:sz w:val="24"/>
                <w:szCs w:val="24"/>
                <w:lang w:bidi="bn-IN"/>
              </w:rPr>
            </w:pPr>
          </w:p>
        </w:tc>
        <w:tc>
          <w:tcPr>
            <w:tcW w:w="2518" w:type="pct"/>
            <w:gridSpan w:val="3"/>
            <w:vAlign w:val="center"/>
          </w:tcPr>
          <w:p w14:paraId="471CB717"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Levels of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585" w:type="pct"/>
            <w:vMerge w:val="restart"/>
            <w:vAlign w:val="center"/>
          </w:tcPr>
          <w:p w14:paraId="33A8B73C"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Total</w:t>
            </w:r>
          </w:p>
        </w:tc>
      </w:tr>
      <w:tr w:rsidR="00614F46" w:rsidRPr="00614F46" w14:paraId="2FC2E5D2" w14:textId="77777777" w:rsidTr="00DB4774">
        <w:tc>
          <w:tcPr>
            <w:tcW w:w="1897" w:type="pct"/>
            <w:gridSpan w:val="2"/>
            <w:vMerge/>
            <w:vAlign w:val="center"/>
          </w:tcPr>
          <w:p w14:paraId="5820C26B"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c>
          <w:tcPr>
            <w:tcW w:w="839" w:type="pct"/>
            <w:vAlign w:val="center"/>
          </w:tcPr>
          <w:p w14:paraId="7BCF7462"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Low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839" w:type="pct"/>
            <w:vAlign w:val="center"/>
          </w:tcPr>
          <w:p w14:paraId="60B0DAEC"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Moderate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839" w:type="pct"/>
            <w:vAlign w:val="center"/>
          </w:tcPr>
          <w:p w14:paraId="7BCB6B5E"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High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585" w:type="pct"/>
            <w:vMerge/>
            <w:vAlign w:val="center"/>
          </w:tcPr>
          <w:p w14:paraId="45E2FAF8"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r>
      <w:tr w:rsidR="00614F46" w:rsidRPr="00614F46" w14:paraId="4C6BAEB5" w14:textId="77777777" w:rsidTr="00DB4774">
        <w:tc>
          <w:tcPr>
            <w:tcW w:w="1188" w:type="pct"/>
            <w:vMerge w:val="restart"/>
            <w:vAlign w:val="center"/>
          </w:tcPr>
          <w:p w14:paraId="62F76814" w14:textId="77777777" w:rsidR="00D71A50" w:rsidRPr="00614F46" w:rsidRDefault="00D71A50" w:rsidP="00B179EB">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Stream of the student</w:t>
            </w:r>
          </w:p>
        </w:tc>
        <w:tc>
          <w:tcPr>
            <w:tcW w:w="709" w:type="pct"/>
            <w:vAlign w:val="center"/>
          </w:tcPr>
          <w:p w14:paraId="4860A959"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Science</w:t>
            </w:r>
          </w:p>
        </w:tc>
        <w:tc>
          <w:tcPr>
            <w:tcW w:w="839" w:type="pct"/>
            <w:vAlign w:val="center"/>
          </w:tcPr>
          <w:p w14:paraId="3F4D8C41"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8</w:t>
            </w:r>
          </w:p>
        </w:tc>
        <w:tc>
          <w:tcPr>
            <w:tcW w:w="839" w:type="pct"/>
            <w:vAlign w:val="center"/>
          </w:tcPr>
          <w:p w14:paraId="1D0A7A0C"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52</w:t>
            </w:r>
          </w:p>
        </w:tc>
        <w:tc>
          <w:tcPr>
            <w:tcW w:w="839" w:type="pct"/>
            <w:vAlign w:val="center"/>
          </w:tcPr>
          <w:p w14:paraId="35F8EF6F"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7</w:t>
            </w:r>
          </w:p>
        </w:tc>
        <w:tc>
          <w:tcPr>
            <w:tcW w:w="585" w:type="pct"/>
            <w:vAlign w:val="center"/>
          </w:tcPr>
          <w:p w14:paraId="2A063D55"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67</w:t>
            </w:r>
          </w:p>
        </w:tc>
      </w:tr>
      <w:tr w:rsidR="00614F46" w:rsidRPr="00614F46" w14:paraId="240A59F5" w14:textId="77777777" w:rsidTr="00DB4774">
        <w:tc>
          <w:tcPr>
            <w:tcW w:w="1188" w:type="pct"/>
            <w:vMerge/>
            <w:vAlign w:val="center"/>
          </w:tcPr>
          <w:p w14:paraId="5A1A44DF"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c>
          <w:tcPr>
            <w:tcW w:w="709" w:type="pct"/>
            <w:vAlign w:val="center"/>
          </w:tcPr>
          <w:p w14:paraId="3CD1072A"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Arts</w:t>
            </w:r>
          </w:p>
        </w:tc>
        <w:tc>
          <w:tcPr>
            <w:tcW w:w="839" w:type="pct"/>
            <w:vAlign w:val="center"/>
          </w:tcPr>
          <w:p w14:paraId="3A0C9C2B"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7</w:t>
            </w:r>
          </w:p>
        </w:tc>
        <w:tc>
          <w:tcPr>
            <w:tcW w:w="839" w:type="pct"/>
            <w:vAlign w:val="center"/>
          </w:tcPr>
          <w:p w14:paraId="10CFE328"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51</w:t>
            </w:r>
          </w:p>
        </w:tc>
        <w:tc>
          <w:tcPr>
            <w:tcW w:w="839" w:type="pct"/>
            <w:vAlign w:val="center"/>
          </w:tcPr>
          <w:p w14:paraId="124A3E97"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11</w:t>
            </w:r>
          </w:p>
        </w:tc>
        <w:tc>
          <w:tcPr>
            <w:tcW w:w="585" w:type="pct"/>
            <w:vAlign w:val="center"/>
          </w:tcPr>
          <w:p w14:paraId="454FDE27"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69</w:t>
            </w:r>
          </w:p>
        </w:tc>
      </w:tr>
      <w:tr w:rsidR="00614F46" w:rsidRPr="00614F46" w14:paraId="72899392" w14:textId="77777777" w:rsidTr="00DB4774">
        <w:tc>
          <w:tcPr>
            <w:tcW w:w="1188" w:type="pct"/>
            <w:vMerge/>
            <w:vAlign w:val="center"/>
          </w:tcPr>
          <w:p w14:paraId="3C29D309"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c>
          <w:tcPr>
            <w:tcW w:w="709" w:type="pct"/>
            <w:vAlign w:val="center"/>
          </w:tcPr>
          <w:p w14:paraId="2B91E19A"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Commerce</w:t>
            </w:r>
          </w:p>
        </w:tc>
        <w:tc>
          <w:tcPr>
            <w:tcW w:w="839" w:type="pct"/>
            <w:vAlign w:val="center"/>
          </w:tcPr>
          <w:p w14:paraId="1688A8EA"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13</w:t>
            </w:r>
          </w:p>
        </w:tc>
        <w:tc>
          <w:tcPr>
            <w:tcW w:w="839" w:type="pct"/>
            <w:vAlign w:val="center"/>
          </w:tcPr>
          <w:p w14:paraId="13C4D5ED"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55</w:t>
            </w:r>
          </w:p>
        </w:tc>
        <w:tc>
          <w:tcPr>
            <w:tcW w:w="839" w:type="pct"/>
            <w:vAlign w:val="center"/>
          </w:tcPr>
          <w:p w14:paraId="014FB26E"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8</w:t>
            </w:r>
          </w:p>
        </w:tc>
        <w:tc>
          <w:tcPr>
            <w:tcW w:w="585" w:type="pct"/>
            <w:vAlign w:val="center"/>
          </w:tcPr>
          <w:p w14:paraId="697CC474"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76</w:t>
            </w:r>
          </w:p>
        </w:tc>
      </w:tr>
      <w:tr w:rsidR="00614F46" w:rsidRPr="00614F46" w14:paraId="69821C8C" w14:textId="77777777" w:rsidTr="00DB4774">
        <w:tc>
          <w:tcPr>
            <w:tcW w:w="1897" w:type="pct"/>
            <w:gridSpan w:val="2"/>
            <w:vAlign w:val="center"/>
          </w:tcPr>
          <w:p w14:paraId="22EF2FE4"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Total</w:t>
            </w:r>
          </w:p>
        </w:tc>
        <w:tc>
          <w:tcPr>
            <w:tcW w:w="839" w:type="pct"/>
            <w:vAlign w:val="center"/>
          </w:tcPr>
          <w:p w14:paraId="4D0D0E60"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28</w:t>
            </w:r>
          </w:p>
        </w:tc>
        <w:tc>
          <w:tcPr>
            <w:tcW w:w="839" w:type="pct"/>
            <w:vAlign w:val="center"/>
          </w:tcPr>
          <w:p w14:paraId="08ED5CD5"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158</w:t>
            </w:r>
          </w:p>
        </w:tc>
        <w:tc>
          <w:tcPr>
            <w:tcW w:w="839" w:type="pct"/>
            <w:vAlign w:val="center"/>
          </w:tcPr>
          <w:p w14:paraId="150F16B2"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26</w:t>
            </w:r>
          </w:p>
        </w:tc>
        <w:tc>
          <w:tcPr>
            <w:tcW w:w="585" w:type="pct"/>
            <w:vAlign w:val="center"/>
          </w:tcPr>
          <w:p w14:paraId="7EE670CB"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212</w:t>
            </w:r>
          </w:p>
        </w:tc>
      </w:tr>
    </w:tbl>
    <w:p w14:paraId="67261F42" w14:textId="282A9A57" w:rsidR="004674A8" w:rsidRPr="000B61E7" w:rsidRDefault="004674A8" w:rsidP="00DC1C75">
      <w:pPr>
        <w:spacing w:line="240" w:lineRule="auto"/>
        <w:ind w:firstLine="720"/>
        <w:rPr>
          <w:rFonts w:ascii="Times New Roman" w:hAnsi="Times New Roman" w:cs="Times New Roman"/>
          <w:kern w:val="0"/>
          <w:sz w:val="24"/>
          <w:szCs w:val="24"/>
          <w:lang w:bidi="bn-IN"/>
        </w:rPr>
      </w:pPr>
      <w:r w:rsidRPr="004674A8">
        <w:rPr>
          <w:rFonts w:ascii="Times New Roman" w:hAnsi="Times New Roman" w:cs="Times New Roman"/>
          <w:kern w:val="0"/>
          <w:sz w:val="24"/>
          <w:szCs w:val="24"/>
          <w:lang w:bidi="bn-IN"/>
        </w:rPr>
        <w:t xml:space="preserve">Table </w:t>
      </w:r>
      <w:r w:rsidR="00EA3BBD">
        <w:rPr>
          <w:rFonts w:ascii="Times New Roman" w:hAnsi="Times New Roman" w:cs="Times New Roman"/>
          <w:kern w:val="0"/>
          <w:sz w:val="24"/>
          <w:szCs w:val="24"/>
          <w:lang w:bidi="bn-IN"/>
        </w:rPr>
        <w:t>1</w:t>
      </w:r>
      <w:r w:rsidR="00961AF2">
        <w:rPr>
          <w:rFonts w:ascii="Times New Roman" w:hAnsi="Times New Roman" w:cs="Times New Roman"/>
          <w:kern w:val="0"/>
          <w:sz w:val="24"/>
          <w:szCs w:val="24"/>
          <w:lang w:bidi="bn-IN"/>
        </w:rPr>
        <w:t>1</w:t>
      </w:r>
      <w:r w:rsidRPr="004674A8">
        <w:rPr>
          <w:rFonts w:ascii="Times New Roman" w:hAnsi="Times New Roman" w:cs="Times New Roman"/>
          <w:kern w:val="0"/>
          <w:sz w:val="24"/>
          <w:szCs w:val="24"/>
          <w:lang w:bidi="bn-IN"/>
        </w:rPr>
        <w:t xml:space="preserve"> presents the distribution of students’ levels of career risk-taking behaviour across different academic streams. Among students from the Science stream, 8 exhibit low, 52 moderate, and 7 high levels of career risk-taking behaviour. In the Arts stream, 7 students fall under low, 51 under moderate, and 11 under high levels. Similarly, among Commerce students, 13 exhibit low, 55 moderate, and 8 high levels of career risk-taking behaviour.</w:t>
      </w:r>
      <w:r>
        <w:rPr>
          <w:rFonts w:ascii="Times New Roman" w:hAnsi="Times New Roman" w:cs="Times New Roman"/>
          <w:kern w:val="0"/>
          <w:sz w:val="24"/>
          <w:szCs w:val="24"/>
          <w:lang w:bidi="bn-IN"/>
        </w:rPr>
        <w:t xml:space="preserve"> </w:t>
      </w:r>
      <w:r w:rsidRPr="004674A8">
        <w:rPr>
          <w:rFonts w:ascii="Times New Roman" w:hAnsi="Times New Roman" w:cs="Times New Roman"/>
          <w:kern w:val="0"/>
          <w:sz w:val="24"/>
          <w:szCs w:val="24"/>
          <w:lang w:bidi="bn-IN"/>
        </w:rPr>
        <w:t>It is evident that across all three academic streams, the majority of students demonstrate a moderate level of career risk-taking behaviour. Although slight variations are observed in the distribution of low and high levels among the streams, the overall pattern remains consistent.</w:t>
      </w:r>
      <w:r>
        <w:rPr>
          <w:rFonts w:ascii="Times New Roman" w:hAnsi="Times New Roman" w:cs="Times New Roman"/>
          <w:kern w:val="0"/>
          <w:sz w:val="24"/>
          <w:szCs w:val="24"/>
          <w:lang w:bidi="bn-IN"/>
        </w:rPr>
        <w:t xml:space="preserve"> </w:t>
      </w:r>
      <w:r w:rsidRPr="004674A8">
        <w:rPr>
          <w:rFonts w:ascii="Times New Roman" w:hAnsi="Times New Roman" w:cs="Times New Roman"/>
          <w:kern w:val="0"/>
          <w:sz w:val="24"/>
          <w:szCs w:val="24"/>
          <w:lang w:bidi="bn-IN"/>
        </w:rPr>
        <w:t>These findings indicate that the academic stream of the students does not substantially influence their level of career risk-taking behaviour, as similar trends are observed across Science, Arts, and Commerce groups.</w:t>
      </w:r>
    </w:p>
    <w:p w14:paraId="20102D7E" w14:textId="77777777" w:rsidR="000B61E7" w:rsidRDefault="00614F46" w:rsidP="000B61E7">
      <w:pPr>
        <w:pStyle w:val="ListParagraph"/>
        <w:keepNext/>
        <w:spacing w:line="400" w:lineRule="atLeast"/>
        <w:ind w:left="360"/>
      </w:pPr>
      <w:r w:rsidRPr="00614F46">
        <w:rPr>
          <w:rFonts w:ascii="Times New Roman" w:hAnsi="Times New Roman" w:cs="Times New Roman"/>
          <w:noProof/>
          <w:kern w:val="0"/>
          <w:sz w:val="24"/>
          <w:szCs w:val="24"/>
          <w:lang w:bidi="bn-IN"/>
        </w:rPr>
        <w:drawing>
          <wp:inline distT="0" distB="0" distL="0" distR="0" wp14:anchorId="22499AF0" wp14:editId="4762FF25">
            <wp:extent cx="5731510" cy="2885850"/>
            <wp:effectExtent l="0" t="0" r="2540" b="0"/>
            <wp:docPr id="2002055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3186" cy="2886694"/>
                    </a:xfrm>
                    <a:prstGeom prst="rect">
                      <a:avLst/>
                    </a:prstGeom>
                    <a:noFill/>
                    <a:ln>
                      <a:noFill/>
                    </a:ln>
                  </pic:spPr>
                </pic:pic>
              </a:graphicData>
            </a:graphic>
          </wp:inline>
        </w:drawing>
      </w:r>
    </w:p>
    <w:p w14:paraId="7E4D48FF" w14:textId="4FDABCE8" w:rsidR="00413976" w:rsidRDefault="000B61E7" w:rsidP="00413976">
      <w:pPr>
        <w:pStyle w:val="Caption"/>
        <w:rPr>
          <w:rFonts w:ascii="Times New Roman" w:hAnsi="Times New Roman" w:cs="Times New Roman"/>
          <w:b/>
          <w:bCs/>
          <w:color w:val="000000" w:themeColor="text1"/>
          <w:sz w:val="20"/>
          <w:szCs w:val="20"/>
        </w:rPr>
      </w:pPr>
      <w:r w:rsidRPr="000B61E7">
        <w:rPr>
          <w:rFonts w:ascii="Times New Roman" w:hAnsi="Times New Roman" w:cs="Times New Roman"/>
          <w:b/>
          <w:bCs/>
          <w:color w:val="000000" w:themeColor="text1"/>
          <w:sz w:val="20"/>
          <w:szCs w:val="20"/>
        </w:rPr>
        <w:t xml:space="preserve">Figure </w:t>
      </w:r>
      <w:r w:rsidRPr="000B61E7">
        <w:rPr>
          <w:rFonts w:ascii="Times New Roman" w:hAnsi="Times New Roman" w:cs="Times New Roman"/>
          <w:b/>
          <w:bCs/>
          <w:color w:val="000000" w:themeColor="text1"/>
          <w:sz w:val="20"/>
          <w:szCs w:val="20"/>
        </w:rPr>
        <w:fldChar w:fldCharType="begin"/>
      </w:r>
      <w:r w:rsidRPr="000B61E7">
        <w:rPr>
          <w:rFonts w:ascii="Times New Roman" w:hAnsi="Times New Roman" w:cs="Times New Roman"/>
          <w:b/>
          <w:bCs/>
          <w:color w:val="000000" w:themeColor="text1"/>
          <w:sz w:val="20"/>
          <w:szCs w:val="20"/>
        </w:rPr>
        <w:instrText xml:space="preserve"> SEQ Figure \* ARABIC </w:instrText>
      </w:r>
      <w:r w:rsidRPr="000B61E7">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5</w:t>
      </w:r>
      <w:r w:rsidRPr="000B61E7">
        <w:rPr>
          <w:rFonts w:ascii="Times New Roman" w:hAnsi="Times New Roman" w:cs="Times New Roman"/>
          <w:b/>
          <w:bCs/>
          <w:color w:val="000000" w:themeColor="text1"/>
          <w:sz w:val="20"/>
          <w:szCs w:val="20"/>
        </w:rPr>
        <w:fldChar w:fldCharType="end"/>
      </w:r>
      <w:r w:rsidRPr="000B61E7">
        <w:rPr>
          <w:rFonts w:ascii="Times New Roman" w:hAnsi="Times New Roman" w:cs="Times New Roman"/>
          <w:b/>
          <w:bCs/>
          <w:color w:val="000000" w:themeColor="text1"/>
          <w:sz w:val="20"/>
          <w:szCs w:val="20"/>
        </w:rPr>
        <w:t>: Bar Chart Showing Distribution of Career Risk-Taking Behaviour Across Academic Stream</w:t>
      </w:r>
    </w:p>
    <w:p w14:paraId="7F83E2A1" w14:textId="41AA941B" w:rsidR="00413976" w:rsidRPr="00413976" w:rsidRDefault="001223F4" w:rsidP="00413976">
      <w:pPr>
        <w:ind w:firstLine="720"/>
        <w:rPr>
          <w:rFonts w:ascii="Times New Roman" w:hAnsi="Times New Roman" w:cs="Times New Roman"/>
          <w:sz w:val="24"/>
          <w:szCs w:val="24"/>
          <w:lang w:bidi="bn-IN"/>
        </w:rPr>
      </w:pPr>
      <w:r>
        <w:rPr>
          <w:rFonts w:ascii="Times New Roman" w:hAnsi="Times New Roman" w:cs="Times New Roman"/>
          <w:sz w:val="24"/>
          <w:szCs w:val="24"/>
          <w:lang w:bidi="bn-IN"/>
        </w:rPr>
        <w:lastRenderedPageBreak/>
        <w:t xml:space="preserve">In </w:t>
      </w:r>
      <w:r w:rsidR="00413976" w:rsidRPr="00413976">
        <w:rPr>
          <w:rFonts w:ascii="Times New Roman" w:hAnsi="Times New Roman" w:cs="Times New Roman"/>
          <w:sz w:val="24"/>
          <w:szCs w:val="24"/>
          <w:lang w:bidi="bn-IN"/>
        </w:rPr>
        <w:t xml:space="preserve">Figure 5 </w:t>
      </w:r>
      <w:r w:rsidR="008C3C02">
        <w:rPr>
          <w:rFonts w:ascii="Times New Roman" w:hAnsi="Times New Roman" w:cs="Times New Roman"/>
          <w:sz w:val="24"/>
          <w:szCs w:val="24"/>
          <w:lang w:bidi="bn-IN"/>
        </w:rPr>
        <w:t>D</w:t>
      </w:r>
      <w:r w:rsidR="00413976" w:rsidRPr="00413976">
        <w:rPr>
          <w:rFonts w:ascii="Times New Roman" w:hAnsi="Times New Roman" w:cs="Times New Roman"/>
          <w:sz w:val="24"/>
          <w:szCs w:val="24"/>
          <w:lang w:bidi="bn-IN"/>
        </w:rPr>
        <w:t>istribution of career risk-taking behaviour across different academic streams. It is evident that students from all streams</w:t>
      </w:r>
      <w:r w:rsidR="00413976">
        <w:rPr>
          <w:rFonts w:ascii="Times New Roman" w:hAnsi="Times New Roman" w:cs="Times New Roman"/>
          <w:sz w:val="24"/>
          <w:szCs w:val="24"/>
          <w:lang w:bidi="bn-IN"/>
        </w:rPr>
        <w:t>-</w:t>
      </w:r>
      <w:r w:rsidR="00413976" w:rsidRPr="001223F4">
        <w:rPr>
          <w:rFonts w:ascii="Times New Roman" w:hAnsi="Times New Roman" w:cs="Times New Roman"/>
          <w:sz w:val="24"/>
          <w:szCs w:val="24"/>
          <w:lang w:bidi="bn-IN"/>
        </w:rPr>
        <w:t>Science, Arts, and Commerce-predominantly exhibit a moderate level of career risk-taking behaviour, with Commerce students showing a slightly higher count. The low and high risk-taking categories</w:t>
      </w:r>
      <w:r w:rsidR="00413976" w:rsidRPr="00413976">
        <w:rPr>
          <w:rFonts w:ascii="Times New Roman" w:hAnsi="Times New Roman" w:cs="Times New Roman"/>
          <w:sz w:val="24"/>
          <w:szCs w:val="24"/>
          <w:lang w:bidi="bn-IN"/>
        </w:rPr>
        <w:t xml:space="preserve"> are comparatively smaller across all streams, with minor variations. Arts students show a slightly higher tendency toward high risk-taking behaviour, while Commerce students have relatively higher representation in the low category.</w:t>
      </w:r>
    </w:p>
    <w:p w14:paraId="7357AACF" w14:textId="2A1EE53E" w:rsidR="008B11D3" w:rsidRPr="00C25E2D" w:rsidRDefault="00E673A5" w:rsidP="00C25E2D">
      <w:pPr>
        <w:pStyle w:val="NoSpacing"/>
        <w:numPr>
          <w:ilvl w:val="1"/>
          <w:numId w:val="31"/>
        </w:numPr>
        <w:ind w:left="567" w:hanging="567"/>
        <w:jc w:val="both"/>
        <w:rPr>
          <w:rFonts w:ascii="Times New Roman" w:hAnsi="Times New Roman" w:cs="Times New Roman"/>
          <w:b/>
          <w:bCs/>
          <w:sz w:val="28"/>
          <w:szCs w:val="28"/>
        </w:rPr>
      </w:pPr>
      <w:r w:rsidRPr="004E2C08">
        <w:rPr>
          <w:rFonts w:ascii="Times New Roman" w:hAnsi="Times New Roman" w:cs="Times New Roman"/>
          <w:b/>
          <w:bCs/>
          <w:sz w:val="24"/>
          <w:szCs w:val="24"/>
          <w:lang w:eastAsia="en-IN" w:bidi="bn-IN"/>
        </w:rPr>
        <w:t xml:space="preserve">To </w:t>
      </w:r>
      <w:r w:rsidR="004E2C08">
        <w:rPr>
          <w:rFonts w:ascii="Times New Roman" w:hAnsi="Times New Roman" w:cs="Times New Roman"/>
          <w:b/>
          <w:bCs/>
          <w:sz w:val="24"/>
          <w:szCs w:val="24"/>
          <w:lang w:eastAsia="en-IN" w:bidi="bn-IN"/>
        </w:rPr>
        <w:t>analyse</w:t>
      </w:r>
      <w:r w:rsidRPr="004E2C08">
        <w:rPr>
          <w:rFonts w:ascii="Times New Roman" w:hAnsi="Times New Roman" w:cs="Times New Roman"/>
          <w:b/>
          <w:bCs/>
          <w:sz w:val="24"/>
          <w:szCs w:val="24"/>
          <w:lang w:eastAsia="en-IN" w:bidi="bn-IN"/>
        </w:rPr>
        <w:t xml:space="preserve"> the predictive role of socioeconomic status and demographic variables on career risk-taking behaviour. </w:t>
      </w:r>
    </w:p>
    <w:p w14:paraId="7426DA68" w14:textId="72A7E78A" w:rsidR="00C25E2D" w:rsidRPr="00C25E2D" w:rsidRDefault="00C25E2D" w:rsidP="00C25E2D">
      <w:pPr>
        <w:pStyle w:val="Caption"/>
        <w:keepNext/>
        <w:rPr>
          <w:rFonts w:ascii="Times New Roman" w:hAnsi="Times New Roman" w:cs="Times New Roman"/>
          <w:b/>
          <w:bCs/>
          <w:color w:val="000000" w:themeColor="text1"/>
          <w:sz w:val="20"/>
          <w:szCs w:val="20"/>
        </w:rPr>
      </w:pPr>
      <w:r w:rsidRPr="00C25E2D">
        <w:rPr>
          <w:rFonts w:ascii="Times New Roman" w:hAnsi="Times New Roman" w:cs="Times New Roman"/>
          <w:b/>
          <w:bCs/>
          <w:color w:val="000000" w:themeColor="text1"/>
          <w:sz w:val="20"/>
          <w:szCs w:val="20"/>
        </w:rPr>
        <w:t xml:space="preserve">Table </w:t>
      </w:r>
      <w:r w:rsidRPr="00C25E2D">
        <w:rPr>
          <w:rFonts w:ascii="Times New Roman" w:hAnsi="Times New Roman" w:cs="Times New Roman"/>
          <w:b/>
          <w:bCs/>
          <w:color w:val="000000" w:themeColor="text1"/>
          <w:sz w:val="20"/>
          <w:szCs w:val="20"/>
        </w:rPr>
        <w:fldChar w:fldCharType="begin"/>
      </w:r>
      <w:r w:rsidRPr="00C25E2D">
        <w:rPr>
          <w:rFonts w:ascii="Times New Roman" w:hAnsi="Times New Roman" w:cs="Times New Roman"/>
          <w:b/>
          <w:bCs/>
          <w:color w:val="000000" w:themeColor="text1"/>
          <w:sz w:val="20"/>
          <w:szCs w:val="20"/>
        </w:rPr>
        <w:instrText xml:space="preserve"> SEQ Table \* ARABIC </w:instrText>
      </w:r>
      <w:r w:rsidRPr="00C25E2D">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12</w:t>
      </w:r>
      <w:r w:rsidRPr="00C25E2D">
        <w:rPr>
          <w:rFonts w:ascii="Times New Roman" w:hAnsi="Times New Roman" w:cs="Times New Roman"/>
          <w:b/>
          <w:bCs/>
          <w:color w:val="000000" w:themeColor="text1"/>
          <w:sz w:val="20"/>
          <w:szCs w:val="20"/>
        </w:rPr>
        <w:fldChar w:fldCharType="end"/>
      </w:r>
      <w:r w:rsidRPr="00C25E2D">
        <w:rPr>
          <w:rFonts w:ascii="Times New Roman" w:hAnsi="Times New Roman" w:cs="Times New Roman"/>
          <w:b/>
          <w:bCs/>
          <w:color w:val="000000" w:themeColor="text1"/>
          <w:sz w:val="20"/>
          <w:szCs w:val="20"/>
        </w:rPr>
        <w:t>: Summary of Multiple Regression Analysis Predicting Career Risk-Taking Behaviour</w:t>
      </w:r>
    </w:p>
    <w:tbl>
      <w:tblPr>
        <w:tblStyle w:val="GridTable1Light-Accent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739"/>
        <w:gridCol w:w="827"/>
        <w:gridCol w:w="1072"/>
        <w:gridCol w:w="1072"/>
        <w:gridCol w:w="1074"/>
        <w:gridCol w:w="889"/>
        <w:gridCol w:w="739"/>
        <w:gridCol w:w="739"/>
        <w:gridCol w:w="1074"/>
      </w:tblGrid>
      <w:tr w:rsidR="007E7FC7" w:rsidRPr="005B49CC" w14:paraId="5ED4A9DA" w14:textId="77777777" w:rsidTr="00DB4774">
        <w:trPr>
          <w:jc w:val="center"/>
        </w:trPr>
        <w:tc>
          <w:tcPr>
            <w:tcW w:w="5000" w:type="pct"/>
            <w:gridSpan w:val="10"/>
            <w:vAlign w:val="center"/>
          </w:tcPr>
          <w:p w14:paraId="1D0B8AB3" w14:textId="77777777" w:rsidR="00DD0128" w:rsidRPr="005B49CC" w:rsidRDefault="00DD0128" w:rsidP="005B49CC">
            <w:pPr>
              <w:pStyle w:val="NoSpacing"/>
              <w:rPr>
                <w:rFonts w:ascii="Times New Roman" w:hAnsi="Times New Roman" w:cs="Times New Roman"/>
                <w:b/>
                <w:bCs/>
                <w:lang w:bidi="bn-IN"/>
              </w:rPr>
            </w:pPr>
            <w:r w:rsidRPr="005B49CC">
              <w:rPr>
                <w:rFonts w:ascii="Times New Roman" w:hAnsi="Times New Roman" w:cs="Times New Roman"/>
                <w:b/>
                <w:bCs/>
                <w:lang w:bidi="bn-IN"/>
              </w:rPr>
              <w:t>Model Summary</w:t>
            </w:r>
            <w:r w:rsidRPr="005B49CC">
              <w:rPr>
                <w:rFonts w:ascii="Times New Roman" w:hAnsi="Times New Roman" w:cs="Times New Roman"/>
                <w:b/>
                <w:bCs/>
                <w:vertAlign w:val="superscript"/>
                <w:lang w:bidi="bn-IN"/>
              </w:rPr>
              <w:t>b</w:t>
            </w:r>
          </w:p>
        </w:tc>
      </w:tr>
      <w:tr w:rsidR="007E7FC7" w:rsidRPr="005B49CC" w14:paraId="6045415D" w14:textId="77777777" w:rsidTr="00DB4774">
        <w:trPr>
          <w:jc w:val="center"/>
        </w:trPr>
        <w:tc>
          <w:tcPr>
            <w:tcW w:w="385" w:type="pct"/>
            <w:vMerge w:val="restart"/>
            <w:vAlign w:val="center"/>
          </w:tcPr>
          <w:p w14:paraId="1F84EC36"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Model</w:t>
            </w:r>
          </w:p>
        </w:tc>
        <w:tc>
          <w:tcPr>
            <w:tcW w:w="423" w:type="pct"/>
            <w:vMerge w:val="restart"/>
            <w:vAlign w:val="center"/>
          </w:tcPr>
          <w:p w14:paraId="4966893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R</w:t>
            </w:r>
          </w:p>
        </w:tc>
        <w:tc>
          <w:tcPr>
            <w:tcW w:w="449" w:type="pct"/>
            <w:vMerge w:val="restart"/>
            <w:vAlign w:val="center"/>
          </w:tcPr>
          <w:p w14:paraId="7DA9F1C4"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R Square</w:t>
            </w:r>
          </w:p>
        </w:tc>
        <w:tc>
          <w:tcPr>
            <w:tcW w:w="608" w:type="pct"/>
            <w:vMerge w:val="restart"/>
            <w:vAlign w:val="center"/>
          </w:tcPr>
          <w:p w14:paraId="7BACEBA7"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Adjusted R Square</w:t>
            </w:r>
          </w:p>
        </w:tc>
        <w:tc>
          <w:tcPr>
            <w:tcW w:w="608" w:type="pct"/>
            <w:vMerge w:val="restart"/>
            <w:vAlign w:val="center"/>
          </w:tcPr>
          <w:p w14:paraId="33D964D3"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Std</w:t>
            </w:r>
            <w:r w:rsidRPr="005B49CC">
              <w:rPr>
                <w:rFonts w:ascii="Times New Roman" w:hAnsi="Times New Roman" w:cs="Times New Roman"/>
                <w:cs/>
                <w:lang w:bidi="bn-IN"/>
              </w:rPr>
              <w:t xml:space="preserve">. </w:t>
            </w:r>
            <w:r w:rsidRPr="005B49CC">
              <w:rPr>
                <w:rFonts w:ascii="Times New Roman" w:hAnsi="Times New Roman" w:cs="Times New Roman"/>
                <w:lang w:bidi="bn-IN"/>
              </w:rPr>
              <w:t>Error of the Estimate</w:t>
            </w:r>
          </w:p>
        </w:tc>
        <w:tc>
          <w:tcPr>
            <w:tcW w:w="2527" w:type="pct"/>
            <w:gridSpan w:val="5"/>
            <w:vAlign w:val="center"/>
          </w:tcPr>
          <w:p w14:paraId="35FDAF92"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Change Statistics</w:t>
            </w:r>
          </w:p>
        </w:tc>
      </w:tr>
      <w:tr w:rsidR="007E7FC7" w:rsidRPr="005B49CC" w14:paraId="7150EBE2" w14:textId="77777777" w:rsidTr="00DB4774">
        <w:trPr>
          <w:jc w:val="center"/>
        </w:trPr>
        <w:tc>
          <w:tcPr>
            <w:tcW w:w="385" w:type="pct"/>
            <w:vMerge/>
            <w:vAlign w:val="center"/>
          </w:tcPr>
          <w:p w14:paraId="5BE97802" w14:textId="77777777" w:rsidR="00DD0128" w:rsidRPr="005B49CC" w:rsidRDefault="00DD0128" w:rsidP="005B49CC">
            <w:pPr>
              <w:pStyle w:val="NoSpacing"/>
              <w:jc w:val="center"/>
              <w:rPr>
                <w:rFonts w:ascii="Times New Roman" w:hAnsi="Times New Roman" w:cs="Times New Roman"/>
                <w:lang w:bidi="bn-IN"/>
              </w:rPr>
            </w:pPr>
          </w:p>
        </w:tc>
        <w:tc>
          <w:tcPr>
            <w:tcW w:w="423" w:type="pct"/>
            <w:vMerge/>
            <w:vAlign w:val="center"/>
          </w:tcPr>
          <w:p w14:paraId="26ADBBCC" w14:textId="77777777" w:rsidR="00DD0128" w:rsidRPr="005B49CC" w:rsidRDefault="00DD0128" w:rsidP="005B49CC">
            <w:pPr>
              <w:pStyle w:val="NoSpacing"/>
              <w:jc w:val="center"/>
              <w:rPr>
                <w:rFonts w:ascii="Times New Roman" w:hAnsi="Times New Roman" w:cs="Times New Roman"/>
                <w:lang w:bidi="bn-IN"/>
              </w:rPr>
            </w:pPr>
          </w:p>
        </w:tc>
        <w:tc>
          <w:tcPr>
            <w:tcW w:w="449" w:type="pct"/>
            <w:vMerge/>
            <w:vAlign w:val="center"/>
          </w:tcPr>
          <w:p w14:paraId="720A3721" w14:textId="77777777" w:rsidR="00DD0128" w:rsidRPr="005B49CC" w:rsidRDefault="00DD0128" w:rsidP="005B49CC">
            <w:pPr>
              <w:pStyle w:val="NoSpacing"/>
              <w:jc w:val="center"/>
              <w:rPr>
                <w:rFonts w:ascii="Times New Roman" w:hAnsi="Times New Roman" w:cs="Times New Roman"/>
                <w:lang w:bidi="bn-IN"/>
              </w:rPr>
            </w:pPr>
          </w:p>
        </w:tc>
        <w:tc>
          <w:tcPr>
            <w:tcW w:w="608" w:type="pct"/>
            <w:vMerge/>
            <w:vAlign w:val="center"/>
          </w:tcPr>
          <w:p w14:paraId="0CF1EBC5" w14:textId="77777777" w:rsidR="00DD0128" w:rsidRPr="005B49CC" w:rsidRDefault="00DD0128" w:rsidP="005B49CC">
            <w:pPr>
              <w:pStyle w:val="NoSpacing"/>
              <w:jc w:val="center"/>
              <w:rPr>
                <w:rFonts w:ascii="Times New Roman" w:hAnsi="Times New Roman" w:cs="Times New Roman"/>
                <w:lang w:bidi="bn-IN"/>
              </w:rPr>
            </w:pPr>
          </w:p>
        </w:tc>
        <w:tc>
          <w:tcPr>
            <w:tcW w:w="608" w:type="pct"/>
            <w:vMerge/>
            <w:vAlign w:val="center"/>
          </w:tcPr>
          <w:p w14:paraId="37EEA4EE" w14:textId="77777777" w:rsidR="00DD0128" w:rsidRPr="005B49CC" w:rsidRDefault="00DD0128" w:rsidP="005B49CC">
            <w:pPr>
              <w:pStyle w:val="NoSpacing"/>
              <w:jc w:val="center"/>
              <w:rPr>
                <w:rFonts w:ascii="Times New Roman" w:hAnsi="Times New Roman" w:cs="Times New Roman"/>
                <w:lang w:bidi="bn-IN"/>
              </w:rPr>
            </w:pPr>
          </w:p>
        </w:tc>
        <w:tc>
          <w:tcPr>
            <w:tcW w:w="609" w:type="pct"/>
            <w:vAlign w:val="center"/>
          </w:tcPr>
          <w:p w14:paraId="593A196C"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R Square Change</w:t>
            </w:r>
          </w:p>
        </w:tc>
        <w:tc>
          <w:tcPr>
            <w:tcW w:w="463" w:type="pct"/>
            <w:vAlign w:val="center"/>
          </w:tcPr>
          <w:p w14:paraId="24EE31B5"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F Change</w:t>
            </w:r>
          </w:p>
        </w:tc>
        <w:tc>
          <w:tcPr>
            <w:tcW w:w="423" w:type="pct"/>
            <w:vAlign w:val="center"/>
          </w:tcPr>
          <w:p w14:paraId="60F5AEB0"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df1</w:t>
            </w:r>
          </w:p>
        </w:tc>
        <w:tc>
          <w:tcPr>
            <w:tcW w:w="423" w:type="pct"/>
            <w:vAlign w:val="center"/>
          </w:tcPr>
          <w:p w14:paraId="4C3B9025"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df2</w:t>
            </w:r>
          </w:p>
        </w:tc>
        <w:tc>
          <w:tcPr>
            <w:tcW w:w="609" w:type="pct"/>
            <w:vAlign w:val="center"/>
          </w:tcPr>
          <w:p w14:paraId="2415BF19"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Sig</w:t>
            </w:r>
            <w:r w:rsidRPr="005B49CC">
              <w:rPr>
                <w:rFonts w:ascii="Times New Roman" w:hAnsi="Times New Roman" w:cs="Times New Roman"/>
                <w:cs/>
                <w:lang w:bidi="bn-IN"/>
              </w:rPr>
              <w:t xml:space="preserve">. </w:t>
            </w:r>
            <w:r w:rsidRPr="005B49CC">
              <w:rPr>
                <w:rFonts w:ascii="Times New Roman" w:hAnsi="Times New Roman" w:cs="Times New Roman"/>
                <w:lang w:bidi="bn-IN"/>
              </w:rPr>
              <w:t>F Change</w:t>
            </w:r>
          </w:p>
        </w:tc>
      </w:tr>
      <w:tr w:rsidR="007E7FC7" w:rsidRPr="005B49CC" w14:paraId="7A22E07C" w14:textId="77777777" w:rsidTr="00DB4774">
        <w:trPr>
          <w:jc w:val="center"/>
        </w:trPr>
        <w:tc>
          <w:tcPr>
            <w:tcW w:w="385" w:type="pct"/>
            <w:vAlign w:val="center"/>
          </w:tcPr>
          <w:p w14:paraId="48763A15"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1</w:t>
            </w:r>
          </w:p>
        </w:tc>
        <w:tc>
          <w:tcPr>
            <w:tcW w:w="423" w:type="pct"/>
            <w:vAlign w:val="center"/>
          </w:tcPr>
          <w:p w14:paraId="7A9F109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098</w:t>
            </w:r>
            <w:r w:rsidRPr="005B49CC">
              <w:rPr>
                <w:rFonts w:ascii="Times New Roman" w:hAnsi="Times New Roman" w:cs="Times New Roman"/>
                <w:vertAlign w:val="superscript"/>
                <w:lang w:bidi="bn-IN"/>
              </w:rPr>
              <w:t>a</w:t>
            </w:r>
          </w:p>
        </w:tc>
        <w:tc>
          <w:tcPr>
            <w:tcW w:w="449" w:type="pct"/>
            <w:vAlign w:val="center"/>
          </w:tcPr>
          <w:p w14:paraId="434B7BD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010</w:t>
            </w:r>
          </w:p>
        </w:tc>
        <w:tc>
          <w:tcPr>
            <w:tcW w:w="608" w:type="pct"/>
            <w:vAlign w:val="center"/>
          </w:tcPr>
          <w:p w14:paraId="41D9E58E"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005</w:t>
            </w:r>
          </w:p>
        </w:tc>
        <w:tc>
          <w:tcPr>
            <w:tcW w:w="608" w:type="pct"/>
            <w:vAlign w:val="center"/>
          </w:tcPr>
          <w:p w14:paraId="5F485040"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20</w:t>
            </w:r>
            <w:r w:rsidRPr="005B49CC">
              <w:rPr>
                <w:rFonts w:ascii="Times New Roman" w:hAnsi="Times New Roman" w:cs="Times New Roman"/>
                <w:cs/>
                <w:lang w:bidi="bn-IN"/>
              </w:rPr>
              <w:t>.</w:t>
            </w:r>
            <w:r w:rsidRPr="005B49CC">
              <w:rPr>
                <w:rFonts w:ascii="Times New Roman" w:hAnsi="Times New Roman" w:cs="Times New Roman"/>
                <w:lang w:bidi="bn-IN"/>
              </w:rPr>
              <w:t>52233</w:t>
            </w:r>
          </w:p>
        </w:tc>
        <w:tc>
          <w:tcPr>
            <w:tcW w:w="609" w:type="pct"/>
            <w:vAlign w:val="center"/>
          </w:tcPr>
          <w:p w14:paraId="743B9504"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010</w:t>
            </w:r>
          </w:p>
        </w:tc>
        <w:tc>
          <w:tcPr>
            <w:tcW w:w="463" w:type="pct"/>
            <w:vAlign w:val="center"/>
          </w:tcPr>
          <w:p w14:paraId="2CD0BEA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676</w:t>
            </w:r>
          </w:p>
        </w:tc>
        <w:tc>
          <w:tcPr>
            <w:tcW w:w="423" w:type="pct"/>
            <w:vAlign w:val="center"/>
          </w:tcPr>
          <w:p w14:paraId="5F2DE9D9"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3</w:t>
            </w:r>
          </w:p>
        </w:tc>
        <w:tc>
          <w:tcPr>
            <w:tcW w:w="423" w:type="pct"/>
            <w:vAlign w:val="center"/>
          </w:tcPr>
          <w:p w14:paraId="7F710EFB"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208</w:t>
            </w:r>
          </w:p>
        </w:tc>
        <w:tc>
          <w:tcPr>
            <w:tcW w:w="609" w:type="pct"/>
            <w:vAlign w:val="center"/>
          </w:tcPr>
          <w:p w14:paraId="2F58BBA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568</w:t>
            </w:r>
          </w:p>
        </w:tc>
      </w:tr>
      <w:tr w:rsidR="007E7FC7" w:rsidRPr="005B49CC" w14:paraId="66B7F4BA" w14:textId="77777777" w:rsidTr="00DB4774">
        <w:trPr>
          <w:jc w:val="center"/>
        </w:trPr>
        <w:tc>
          <w:tcPr>
            <w:tcW w:w="5000" w:type="pct"/>
            <w:gridSpan w:val="10"/>
            <w:vAlign w:val="center"/>
          </w:tcPr>
          <w:p w14:paraId="270ADC73" w14:textId="77777777" w:rsidR="00DD0128" w:rsidRPr="005B49CC" w:rsidRDefault="00DD0128" w:rsidP="005B49CC">
            <w:pPr>
              <w:pStyle w:val="NoSpacing"/>
              <w:rPr>
                <w:rFonts w:ascii="Times New Roman" w:hAnsi="Times New Roman" w:cs="Times New Roman"/>
                <w:lang w:bidi="bn-IN"/>
              </w:rPr>
            </w:pPr>
            <w:r w:rsidRPr="005B49CC">
              <w:rPr>
                <w:rFonts w:ascii="Times New Roman" w:hAnsi="Times New Roman" w:cs="Times New Roman"/>
                <w:lang w:bidi="bn-IN"/>
              </w:rPr>
              <w:t>a</w:t>
            </w:r>
            <w:r w:rsidRPr="005B49CC">
              <w:rPr>
                <w:rFonts w:ascii="Times New Roman" w:hAnsi="Times New Roman" w:cs="Times New Roman"/>
                <w:cs/>
                <w:lang w:bidi="bn-IN"/>
              </w:rPr>
              <w:t xml:space="preserve">. </w:t>
            </w:r>
            <w:r w:rsidRPr="005B49CC">
              <w:rPr>
                <w:rFonts w:ascii="Times New Roman" w:hAnsi="Times New Roman" w:cs="Times New Roman"/>
                <w:lang w:bidi="bn-IN"/>
              </w:rPr>
              <w:t>Predictors</w:t>
            </w:r>
            <w:r w:rsidRPr="005B49CC">
              <w:rPr>
                <w:rFonts w:ascii="Times New Roman" w:hAnsi="Times New Roman" w:cs="Times New Roman"/>
                <w:cs/>
                <w:lang w:bidi="bn-IN"/>
              </w:rPr>
              <w:t>: (</w:t>
            </w:r>
            <w:r w:rsidRPr="005B49CC">
              <w:rPr>
                <w:rFonts w:ascii="Times New Roman" w:hAnsi="Times New Roman" w:cs="Times New Roman"/>
                <w:lang w:bidi="bn-IN"/>
              </w:rPr>
              <w:t>Constant</w:t>
            </w:r>
            <w:r w:rsidRPr="005B49CC">
              <w:rPr>
                <w:rFonts w:ascii="Times New Roman" w:hAnsi="Times New Roman" w:cs="Times New Roman"/>
                <w:cs/>
                <w:lang w:bidi="bn-IN"/>
              </w:rPr>
              <w:t>)</w:t>
            </w:r>
            <w:r w:rsidRPr="005B49CC">
              <w:rPr>
                <w:rFonts w:ascii="Times New Roman" w:hAnsi="Times New Roman" w:cs="Times New Roman"/>
                <w:lang w:bidi="bn-IN"/>
              </w:rPr>
              <w:t>, Gender of the Students, Type of School, Monthly Family Income</w:t>
            </w:r>
          </w:p>
        </w:tc>
      </w:tr>
      <w:tr w:rsidR="007E7FC7" w:rsidRPr="005B49CC" w14:paraId="091252BD" w14:textId="77777777" w:rsidTr="00DB4774">
        <w:trPr>
          <w:jc w:val="center"/>
        </w:trPr>
        <w:tc>
          <w:tcPr>
            <w:tcW w:w="5000" w:type="pct"/>
            <w:gridSpan w:val="10"/>
            <w:vAlign w:val="center"/>
          </w:tcPr>
          <w:p w14:paraId="3A347251" w14:textId="77777777" w:rsidR="00DD0128" w:rsidRPr="005B49CC" w:rsidRDefault="00DD0128" w:rsidP="005B49CC">
            <w:pPr>
              <w:pStyle w:val="NoSpacing"/>
              <w:rPr>
                <w:rFonts w:ascii="Times New Roman" w:hAnsi="Times New Roman" w:cs="Times New Roman"/>
                <w:lang w:bidi="bn-IN"/>
              </w:rPr>
            </w:pPr>
            <w:r w:rsidRPr="005B49CC">
              <w:rPr>
                <w:rFonts w:ascii="Times New Roman" w:hAnsi="Times New Roman" w:cs="Times New Roman"/>
                <w:lang w:bidi="bn-IN"/>
              </w:rPr>
              <w:t>b</w:t>
            </w:r>
            <w:r w:rsidRPr="005B49CC">
              <w:rPr>
                <w:rFonts w:ascii="Times New Roman" w:hAnsi="Times New Roman" w:cs="Times New Roman"/>
                <w:cs/>
                <w:lang w:bidi="bn-IN"/>
              </w:rPr>
              <w:t xml:space="preserve">. </w:t>
            </w:r>
            <w:r w:rsidRPr="005B49CC">
              <w:rPr>
                <w:rFonts w:ascii="Times New Roman" w:hAnsi="Times New Roman" w:cs="Times New Roman"/>
                <w:lang w:bidi="bn-IN"/>
              </w:rPr>
              <w:t>Dependent Variable</w:t>
            </w:r>
            <w:r w:rsidRPr="005B49CC">
              <w:rPr>
                <w:rFonts w:ascii="Times New Roman" w:hAnsi="Times New Roman" w:cs="Times New Roman"/>
                <w:cs/>
                <w:lang w:bidi="bn-IN"/>
              </w:rPr>
              <w:t xml:space="preserve">: </w:t>
            </w:r>
            <w:proofErr w:type="spellStart"/>
            <w:r w:rsidRPr="005B49CC">
              <w:rPr>
                <w:rFonts w:ascii="Times New Roman" w:hAnsi="Times New Roman" w:cs="Times New Roman"/>
                <w:lang w:bidi="bn-IN"/>
              </w:rPr>
              <w:t>CRT_Behaviour</w:t>
            </w:r>
            <w:proofErr w:type="spellEnd"/>
            <w:r w:rsidRPr="005B49CC">
              <w:rPr>
                <w:rFonts w:ascii="Times New Roman" w:hAnsi="Times New Roman" w:cs="Times New Roman"/>
                <w:lang w:bidi="bn-IN"/>
              </w:rPr>
              <w:t xml:space="preserve"> Scale</w:t>
            </w:r>
          </w:p>
        </w:tc>
      </w:tr>
    </w:tbl>
    <w:p w14:paraId="5BCCF6B6" w14:textId="1B069363" w:rsidR="00D713EC" w:rsidRPr="00D713EC" w:rsidRDefault="00413976" w:rsidP="004E0E92">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Pr>
          <w:rFonts w:ascii="Times New Roman" w:hAnsi="Times New Roman" w:cs="Times New Roman"/>
          <w:kern w:val="0"/>
          <w:sz w:val="24"/>
          <w:szCs w:val="24"/>
          <w:lang w:bidi="bn-IN"/>
        </w:rPr>
        <w:t>Table 12 M</w:t>
      </w:r>
      <w:r w:rsidR="00D7263D" w:rsidRPr="00D7263D">
        <w:rPr>
          <w:rFonts w:ascii="Times New Roman" w:hAnsi="Times New Roman" w:cs="Times New Roman"/>
          <w:kern w:val="0"/>
          <w:sz w:val="24"/>
          <w:szCs w:val="24"/>
          <w:lang w:bidi="bn-IN"/>
        </w:rPr>
        <w:t>odel summary indicates that the multiple correlation coefficient (R) is 0.098, suggesting a very weak relationship between the independent variables (monthly family income, gender, and type of school) and career risk-taking behaviour. The coefficient of determination (R²) is 0.010, which indicates that only 1.0% of the variance in career risk-taking behaviour is explained by the predictor variables. The adjusted R² value (-0.005) further confirms that the model has very low explanatory power.</w:t>
      </w:r>
    </w:p>
    <w:p w14:paraId="33DC8FE2" w14:textId="6B6B7FB3" w:rsidR="004E0E92" w:rsidRPr="004E0E92" w:rsidRDefault="004E0E92" w:rsidP="004E0E92">
      <w:pPr>
        <w:pStyle w:val="Caption"/>
        <w:keepNext/>
        <w:rPr>
          <w:rFonts w:ascii="Times New Roman" w:hAnsi="Times New Roman" w:cs="Times New Roman"/>
          <w:b/>
          <w:bCs/>
          <w:color w:val="000000" w:themeColor="text1"/>
          <w:sz w:val="20"/>
          <w:szCs w:val="20"/>
        </w:rPr>
      </w:pPr>
      <w:r w:rsidRPr="004E0E92">
        <w:rPr>
          <w:rFonts w:ascii="Times New Roman" w:hAnsi="Times New Roman" w:cs="Times New Roman"/>
          <w:b/>
          <w:bCs/>
          <w:color w:val="000000" w:themeColor="text1"/>
          <w:sz w:val="20"/>
          <w:szCs w:val="20"/>
        </w:rPr>
        <w:t xml:space="preserve">Table </w:t>
      </w:r>
      <w:r w:rsidRPr="004E0E92">
        <w:rPr>
          <w:rFonts w:ascii="Times New Roman" w:hAnsi="Times New Roman" w:cs="Times New Roman"/>
          <w:b/>
          <w:bCs/>
          <w:color w:val="000000" w:themeColor="text1"/>
          <w:sz w:val="20"/>
          <w:szCs w:val="20"/>
        </w:rPr>
        <w:fldChar w:fldCharType="begin"/>
      </w:r>
      <w:r w:rsidRPr="004E0E92">
        <w:rPr>
          <w:rFonts w:ascii="Times New Roman" w:hAnsi="Times New Roman" w:cs="Times New Roman"/>
          <w:b/>
          <w:bCs/>
          <w:color w:val="000000" w:themeColor="text1"/>
          <w:sz w:val="20"/>
          <w:szCs w:val="20"/>
        </w:rPr>
        <w:instrText xml:space="preserve"> SEQ Table \* ARABIC </w:instrText>
      </w:r>
      <w:r w:rsidRPr="004E0E92">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13</w:t>
      </w:r>
      <w:r w:rsidRPr="004E0E92">
        <w:rPr>
          <w:rFonts w:ascii="Times New Roman" w:hAnsi="Times New Roman" w:cs="Times New Roman"/>
          <w:b/>
          <w:bCs/>
          <w:color w:val="000000" w:themeColor="text1"/>
          <w:sz w:val="20"/>
          <w:szCs w:val="20"/>
        </w:rPr>
        <w:fldChar w:fldCharType="end"/>
      </w:r>
      <w:r w:rsidRPr="004E0E92">
        <w:rPr>
          <w:rFonts w:ascii="Times New Roman" w:hAnsi="Times New Roman" w:cs="Times New Roman"/>
          <w:b/>
          <w:bCs/>
          <w:color w:val="000000" w:themeColor="text1"/>
          <w:sz w:val="20"/>
          <w:szCs w:val="20"/>
        </w:rPr>
        <w:t>: ANOVA for Multiple Regression Analysis Predicting Career Risk-Taking Behaviour</w:t>
      </w: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1455"/>
        <w:gridCol w:w="1661"/>
        <w:gridCol w:w="1159"/>
        <w:gridCol w:w="1592"/>
        <w:gridCol w:w="1159"/>
        <w:gridCol w:w="1161"/>
      </w:tblGrid>
      <w:tr w:rsidR="00D713EC" w:rsidRPr="00B179EB" w14:paraId="5FBE5116" w14:textId="77777777" w:rsidTr="00DB4774">
        <w:trPr>
          <w:trHeight w:val="340"/>
        </w:trPr>
        <w:tc>
          <w:tcPr>
            <w:tcW w:w="5000" w:type="pct"/>
            <w:gridSpan w:val="7"/>
          </w:tcPr>
          <w:p w14:paraId="612190D6" w14:textId="77777777" w:rsidR="00D713EC" w:rsidRPr="00B179EB" w:rsidRDefault="00D713EC" w:rsidP="00B179EB">
            <w:pPr>
              <w:pStyle w:val="NoSpacing"/>
              <w:jc w:val="center"/>
              <w:rPr>
                <w:rFonts w:ascii="Times New Roman" w:hAnsi="Times New Roman" w:cs="Times New Roman"/>
                <w:b/>
                <w:bCs/>
                <w:lang w:bidi="bn-IN"/>
              </w:rPr>
            </w:pPr>
            <w:proofErr w:type="spellStart"/>
            <w:r w:rsidRPr="00B179EB">
              <w:rPr>
                <w:rFonts w:ascii="Times New Roman" w:hAnsi="Times New Roman" w:cs="Times New Roman"/>
                <w:b/>
                <w:bCs/>
                <w:lang w:bidi="bn-IN"/>
              </w:rPr>
              <w:t>ANOVA</w:t>
            </w:r>
            <w:r w:rsidRPr="00B179EB">
              <w:rPr>
                <w:rFonts w:ascii="Times New Roman" w:hAnsi="Times New Roman" w:cs="Times New Roman"/>
                <w:b/>
                <w:bCs/>
                <w:vertAlign w:val="superscript"/>
                <w:lang w:bidi="bn-IN"/>
              </w:rPr>
              <w:t>a</w:t>
            </w:r>
            <w:proofErr w:type="spellEnd"/>
          </w:p>
        </w:tc>
      </w:tr>
      <w:tr w:rsidR="00D713EC" w:rsidRPr="00B179EB" w14:paraId="3A52F881" w14:textId="77777777" w:rsidTr="00DB4774">
        <w:trPr>
          <w:trHeight w:val="340"/>
        </w:trPr>
        <w:tc>
          <w:tcPr>
            <w:tcW w:w="1266" w:type="pct"/>
            <w:gridSpan w:val="2"/>
            <w:vAlign w:val="center"/>
          </w:tcPr>
          <w:p w14:paraId="23398FB0"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Model</w:t>
            </w:r>
          </w:p>
        </w:tc>
        <w:tc>
          <w:tcPr>
            <w:tcW w:w="921" w:type="pct"/>
            <w:vAlign w:val="center"/>
          </w:tcPr>
          <w:p w14:paraId="724A0C7B"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Sum of Squares</w:t>
            </w:r>
          </w:p>
        </w:tc>
        <w:tc>
          <w:tcPr>
            <w:tcW w:w="643" w:type="pct"/>
            <w:vAlign w:val="center"/>
          </w:tcPr>
          <w:p w14:paraId="1DCDB7B5"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df</w:t>
            </w:r>
          </w:p>
        </w:tc>
        <w:tc>
          <w:tcPr>
            <w:tcW w:w="883" w:type="pct"/>
            <w:vAlign w:val="center"/>
          </w:tcPr>
          <w:p w14:paraId="780D5951"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Mean Square</w:t>
            </w:r>
          </w:p>
        </w:tc>
        <w:tc>
          <w:tcPr>
            <w:tcW w:w="643" w:type="pct"/>
            <w:vAlign w:val="center"/>
          </w:tcPr>
          <w:p w14:paraId="33286BF7"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F</w:t>
            </w:r>
          </w:p>
        </w:tc>
        <w:tc>
          <w:tcPr>
            <w:tcW w:w="643" w:type="pct"/>
            <w:vAlign w:val="center"/>
          </w:tcPr>
          <w:p w14:paraId="30C2C02B"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Sig</w:t>
            </w:r>
            <w:r w:rsidRPr="00B179EB">
              <w:rPr>
                <w:rFonts w:ascii="Times New Roman" w:hAnsi="Times New Roman" w:cs="Times New Roman"/>
                <w:cs/>
                <w:lang w:bidi="bn-IN"/>
              </w:rPr>
              <w:t>.</w:t>
            </w:r>
          </w:p>
        </w:tc>
      </w:tr>
      <w:tr w:rsidR="00B179EB" w:rsidRPr="00B179EB" w14:paraId="60276EC8" w14:textId="77777777" w:rsidTr="00DB4774">
        <w:trPr>
          <w:trHeight w:val="340"/>
        </w:trPr>
        <w:tc>
          <w:tcPr>
            <w:tcW w:w="459" w:type="pct"/>
            <w:vMerge w:val="restart"/>
          </w:tcPr>
          <w:p w14:paraId="1C144043" w14:textId="77777777" w:rsidR="00D713EC" w:rsidRPr="00B179EB" w:rsidRDefault="00D713EC" w:rsidP="00B179EB">
            <w:pPr>
              <w:pStyle w:val="NoSpacing"/>
              <w:rPr>
                <w:rFonts w:ascii="Times New Roman" w:hAnsi="Times New Roman" w:cs="Times New Roman"/>
                <w:lang w:bidi="bn-IN"/>
              </w:rPr>
            </w:pPr>
            <w:r w:rsidRPr="00B179EB">
              <w:rPr>
                <w:rFonts w:ascii="Times New Roman" w:hAnsi="Times New Roman" w:cs="Times New Roman"/>
                <w:lang w:bidi="bn-IN"/>
              </w:rPr>
              <w:t>1</w:t>
            </w:r>
          </w:p>
        </w:tc>
        <w:tc>
          <w:tcPr>
            <w:tcW w:w="807" w:type="pct"/>
            <w:vAlign w:val="center"/>
          </w:tcPr>
          <w:p w14:paraId="4FF2042F"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Regression</w:t>
            </w:r>
          </w:p>
        </w:tc>
        <w:tc>
          <w:tcPr>
            <w:tcW w:w="921" w:type="pct"/>
            <w:vAlign w:val="center"/>
          </w:tcPr>
          <w:p w14:paraId="1297619C"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853</w:t>
            </w:r>
            <w:r w:rsidRPr="00B179EB">
              <w:rPr>
                <w:rFonts w:ascii="Times New Roman" w:hAnsi="Times New Roman" w:cs="Times New Roman"/>
                <w:cs/>
                <w:lang w:bidi="bn-IN"/>
              </w:rPr>
              <w:t>.</w:t>
            </w:r>
            <w:r w:rsidRPr="00B179EB">
              <w:rPr>
                <w:rFonts w:ascii="Times New Roman" w:hAnsi="Times New Roman" w:cs="Times New Roman"/>
                <w:lang w:bidi="bn-IN"/>
              </w:rPr>
              <w:t>945</w:t>
            </w:r>
          </w:p>
        </w:tc>
        <w:tc>
          <w:tcPr>
            <w:tcW w:w="643" w:type="pct"/>
            <w:vAlign w:val="center"/>
          </w:tcPr>
          <w:p w14:paraId="54884BAD"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3</w:t>
            </w:r>
          </w:p>
        </w:tc>
        <w:tc>
          <w:tcPr>
            <w:tcW w:w="883" w:type="pct"/>
            <w:vAlign w:val="center"/>
          </w:tcPr>
          <w:p w14:paraId="0BCC19EC"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284</w:t>
            </w:r>
            <w:r w:rsidRPr="00B179EB">
              <w:rPr>
                <w:rFonts w:ascii="Times New Roman" w:hAnsi="Times New Roman" w:cs="Times New Roman"/>
                <w:cs/>
                <w:lang w:bidi="bn-IN"/>
              </w:rPr>
              <w:t>.</w:t>
            </w:r>
            <w:r w:rsidRPr="00B179EB">
              <w:rPr>
                <w:rFonts w:ascii="Times New Roman" w:hAnsi="Times New Roman" w:cs="Times New Roman"/>
                <w:lang w:bidi="bn-IN"/>
              </w:rPr>
              <w:t>648</w:t>
            </w:r>
          </w:p>
        </w:tc>
        <w:tc>
          <w:tcPr>
            <w:tcW w:w="643" w:type="pct"/>
            <w:vAlign w:val="center"/>
          </w:tcPr>
          <w:p w14:paraId="300B1FB1"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cs/>
                <w:lang w:bidi="bn-IN"/>
              </w:rPr>
              <w:t>.</w:t>
            </w:r>
            <w:r w:rsidRPr="00B179EB">
              <w:rPr>
                <w:rFonts w:ascii="Times New Roman" w:hAnsi="Times New Roman" w:cs="Times New Roman"/>
                <w:lang w:bidi="bn-IN"/>
              </w:rPr>
              <w:t>676</w:t>
            </w:r>
          </w:p>
        </w:tc>
        <w:tc>
          <w:tcPr>
            <w:tcW w:w="643" w:type="pct"/>
            <w:vAlign w:val="center"/>
          </w:tcPr>
          <w:p w14:paraId="35CBA28B"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cs/>
                <w:lang w:bidi="bn-IN"/>
              </w:rPr>
              <w:t>.</w:t>
            </w:r>
            <w:r w:rsidRPr="00B179EB">
              <w:rPr>
                <w:rFonts w:ascii="Times New Roman" w:hAnsi="Times New Roman" w:cs="Times New Roman"/>
                <w:lang w:bidi="bn-IN"/>
              </w:rPr>
              <w:t>568</w:t>
            </w:r>
            <w:r w:rsidRPr="00B179EB">
              <w:rPr>
                <w:rFonts w:ascii="Times New Roman" w:hAnsi="Times New Roman" w:cs="Times New Roman"/>
                <w:vertAlign w:val="superscript"/>
                <w:lang w:bidi="bn-IN"/>
              </w:rPr>
              <w:t>b</w:t>
            </w:r>
          </w:p>
        </w:tc>
      </w:tr>
      <w:tr w:rsidR="00B179EB" w:rsidRPr="00B179EB" w14:paraId="0C614337" w14:textId="77777777" w:rsidTr="00DB4774">
        <w:trPr>
          <w:trHeight w:val="340"/>
        </w:trPr>
        <w:tc>
          <w:tcPr>
            <w:tcW w:w="459" w:type="pct"/>
            <w:vMerge/>
          </w:tcPr>
          <w:p w14:paraId="63D1E903" w14:textId="77777777" w:rsidR="00D713EC" w:rsidRPr="00B179EB" w:rsidRDefault="00D713EC" w:rsidP="00B179EB">
            <w:pPr>
              <w:pStyle w:val="NoSpacing"/>
              <w:rPr>
                <w:rFonts w:ascii="Times New Roman" w:hAnsi="Times New Roman" w:cs="Times New Roman"/>
                <w:lang w:bidi="bn-IN"/>
              </w:rPr>
            </w:pPr>
          </w:p>
        </w:tc>
        <w:tc>
          <w:tcPr>
            <w:tcW w:w="807" w:type="pct"/>
            <w:vAlign w:val="center"/>
          </w:tcPr>
          <w:p w14:paraId="06E509AF"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Residual</w:t>
            </w:r>
          </w:p>
        </w:tc>
        <w:tc>
          <w:tcPr>
            <w:tcW w:w="921" w:type="pct"/>
            <w:vAlign w:val="center"/>
          </w:tcPr>
          <w:p w14:paraId="1BB14024"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87602</w:t>
            </w:r>
            <w:r w:rsidRPr="00B179EB">
              <w:rPr>
                <w:rFonts w:ascii="Times New Roman" w:hAnsi="Times New Roman" w:cs="Times New Roman"/>
                <w:cs/>
                <w:lang w:bidi="bn-IN"/>
              </w:rPr>
              <w:t>.</w:t>
            </w:r>
            <w:r w:rsidRPr="00B179EB">
              <w:rPr>
                <w:rFonts w:ascii="Times New Roman" w:hAnsi="Times New Roman" w:cs="Times New Roman"/>
                <w:lang w:bidi="bn-IN"/>
              </w:rPr>
              <w:t>559</w:t>
            </w:r>
          </w:p>
        </w:tc>
        <w:tc>
          <w:tcPr>
            <w:tcW w:w="643" w:type="pct"/>
            <w:vAlign w:val="center"/>
          </w:tcPr>
          <w:p w14:paraId="79F65614"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208</w:t>
            </w:r>
          </w:p>
        </w:tc>
        <w:tc>
          <w:tcPr>
            <w:tcW w:w="883" w:type="pct"/>
            <w:vAlign w:val="center"/>
          </w:tcPr>
          <w:p w14:paraId="7A513586"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421</w:t>
            </w:r>
            <w:r w:rsidRPr="00B179EB">
              <w:rPr>
                <w:rFonts w:ascii="Times New Roman" w:hAnsi="Times New Roman" w:cs="Times New Roman"/>
                <w:cs/>
                <w:lang w:bidi="bn-IN"/>
              </w:rPr>
              <w:t>.</w:t>
            </w:r>
            <w:r w:rsidRPr="00B179EB">
              <w:rPr>
                <w:rFonts w:ascii="Times New Roman" w:hAnsi="Times New Roman" w:cs="Times New Roman"/>
                <w:lang w:bidi="bn-IN"/>
              </w:rPr>
              <w:t>166</w:t>
            </w:r>
          </w:p>
        </w:tc>
        <w:tc>
          <w:tcPr>
            <w:tcW w:w="643" w:type="pct"/>
            <w:vAlign w:val="center"/>
          </w:tcPr>
          <w:p w14:paraId="187F440D" w14:textId="77777777" w:rsidR="00D713EC" w:rsidRPr="00B179EB" w:rsidRDefault="00D713EC" w:rsidP="00B179EB">
            <w:pPr>
              <w:pStyle w:val="NoSpacing"/>
              <w:jc w:val="center"/>
              <w:rPr>
                <w:rFonts w:ascii="Times New Roman" w:hAnsi="Times New Roman" w:cs="Times New Roman"/>
                <w:lang w:bidi="bn-IN"/>
              </w:rPr>
            </w:pPr>
          </w:p>
        </w:tc>
        <w:tc>
          <w:tcPr>
            <w:tcW w:w="643" w:type="pct"/>
            <w:vAlign w:val="center"/>
          </w:tcPr>
          <w:p w14:paraId="65626FA0" w14:textId="77777777" w:rsidR="00D713EC" w:rsidRPr="00B179EB" w:rsidRDefault="00D713EC" w:rsidP="00B179EB">
            <w:pPr>
              <w:pStyle w:val="NoSpacing"/>
              <w:jc w:val="center"/>
              <w:rPr>
                <w:rFonts w:ascii="Times New Roman" w:hAnsi="Times New Roman" w:cs="Times New Roman"/>
                <w:lang w:bidi="bn-IN"/>
              </w:rPr>
            </w:pPr>
          </w:p>
        </w:tc>
      </w:tr>
      <w:tr w:rsidR="00B179EB" w:rsidRPr="00B179EB" w14:paraId="05B7D74A" w14:textId="77777777" w:rsidTr="00DB4774">
        <w:trPr>
          <w:trHeight w:val="340"/>
        </w:trPr>
        <w:tc>
          <w:tcPr>
            <w:tcW w:w="459" w:type="pct"/>
            <w:vMerge/>
          </w:tcPr>
          <w:p w14:paraId="0A5C52A6" w14:textId="77777777" w:rsidR="00D713EC" w:rsidRPr="00B179EB" w:rsidRDefault="00D713EC" w:rsidP="00B179EB">
            <w:pPr>
              <w:pStyle w:val="NoSpacing"/>
              <w:rPr>
                <w:rFonts w:ascii="Times New Roman" w:hAnsi="Times New Roman" w:cs="Times New Roman"/>
                <w:lang w:bidi="bn-IN"/>
              </w:rPr>
            </w:pPr>
          </w:p>
        </w:tc>
        <w:tc>
          <w:tcPr>
            <w:tcW w:w="807" w:type="pct"/>
            <w:vAlign w:val="center"/>
          </w:tcPr>
          <w:p w14:paraId="12DB7097"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Total</w:t>
            </w:r>
          </w:p>
        </w:tc>
        <w:tc>
          <w:tcPr>
            <w:tcW w:w="921" w:type="pct"/>
            <w:vAlign w:val="center"/>
          </w:tcPr>
          <w:p w14:paraId="077B12DF"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88456</w:t>
            </w:r>
            <w:r w:rsidRPr="00B179EB">
              <w:rPr>
                <w:rFonts w:ascii="Times New Roman" w:hAnsi="Times New Roman" w:cs="Times New Roman"/>
                <w:cs/>
                <w:lang w:bidi="bn-IN"/>
              </w:rPr>
              <w:t>.</w:t>
            </w:r>
            <w:r w:rsidRPr="00B179EB">
              <w:rPr>
                <w:rFonts w:ascii="Times New Roman" w:hAnsi="Times New Roman" w:cs="Times New Roman"/>
                <w:lang w:bidi="bn-IN"/>
              </w:rPr>
              <w:t>505</w:t>
            </w:r>
          </w:p>
        </w:tc>
        <w:tc>
          <w:tcPr>
            <w:tcW w:w="643" w:type="pct"/>
            <w:vAlign w:val="center"/>
          </w:tcPr>
          <w:p w14:paraId="178FA977"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211</w:t>
            </w:r>
          </w:p>
        </w:tc>
        <w:tc>
          <w:tcPr>
            <w:tcW w:w="883" w:type="pct"/>
            <w:vAlign w:val="center"/>
          </w:tcPr>
          <w:p w14:paraId="7D64F366" w14:textId="77777777" w:rsidR="00D713EC" w:rsidRPr="00B179EB" w:rsidRDefault="00D713EC" w:rsidP="00B179EB">
            <w:pPr>
              <w:pStyle w:val="NoSpacing"/>
              <w:jc w:val="center"/>
              <w:rPr>
                <w:rFonts w:ascii="Times New Roman" w:hAnsi="Times New Roman" w:cs="Times New Roman"/>
                <w:lang w:bidi="bn-IN"/>
              </w:rPr>
            </w:pPr>
          </w:p>
        </w:tc>
        <w:tc>
          <w:tcPr>
            <w:tcW w:w="643" w:type="pct"/>
            <w:vAlign w:val="center"/>
          </w:tcPr>
          <w:p w14:paraId="24DA8099" w14:textId="77777777" w:rsidR="00D713EC" w:rsidRPr="00B179EB" w:rsidRDefault="00D713EC" w:rsidP="00B179EB">
            <w:pPr>
              <w:pStyle w:val="NoSpacing"/>
              <w:jc w:val="center"/>
              <w:rPr>
                <w:rFonts w:ascii="Times New Roman" w:hAnsi="Times New Roman" w:cs="Times New Roman"/>
                <w:lang w:bidi="bn-IN"/>
              </w:rPr>
            </w:pPr>
          </w:p>
        </w:tc>
        <w:tc>
          <w:tcPr>
            <w:tcW w:w="643" w:type="pct"/>
            <w:vAlign w:val="center"/>
          </w:tcPr>
          <w:p w14:paraId="6D8440D3" w14:textId="77777777" w:rsidR="00D713EC" w:rsidRPr="00B179EB" w:rsidRDefault="00D713EC" w:rsidP="00B179EB">
            <w:pPr>
              <w:pStyle w:val="NoSpacing"/>
              <w:jc w:val="center"/>
              <w:rPr>
                <w:rFonts w:ascii="Times New Roman" w:hAnsi="Times New Roman" w:cs="Times New Roman"/>
                <w:lang w:bidi="bn-IN"/>
              </w:rPr>
            </w:pPr>
          </w:p>
        </w:tc>
      </w:tr>
      <w:tr w:rsidR="00D713EC" w:rsidRPr="00B179EB" w14:paraId="1D5D2E9C" w14:textId="77777777" w:rsidTr="00DB4774">
        <w:trPr>
          <w:trHeight w:val="340"/>
        </w:trPr>
        <w:tc>
          <w:tcPr>
            <w:tcW w:w="5000" w:type="pct"/>
            <w:gridSpan w:val="7"/>
          </w:tcPr>
          <w:p w14:paraId="78CAF670" w14:textId="77777777" w:rsidR="00D713EC" w:rsidRPr="00B179EB" w:rsidRDefault="00D713EC" w:rsidP="00B179EB">
            <w:pPr>
              <w:pStyle w:val="NoSpacing"/>
              <w:rPr>
                <w:rFonts w:ascii="Times New Roman" w:hAnsi="Times New Roman" w:cs="Times New Roman"/>
                <w:lang w:bidi="bn-IN"/>
              </w:rPr>
            </w:pPr>
            <w:r w:rsidRPr="00B179EB">
              <w:rPr>
                <w:rFonts w:ascii="Times New Roman" w:hAnsi="Times New Roman" w:cs="Times New Roman"/>
                <w:lang w:bidi="bn-IN"/>
              </w:rPr>
              <w:t>a</w:t>
            </w:r>
            <w:r w:rsidRPr="00B179EB">
              <w:rPr>
                <w:rFonts w:ascii="Times New Roman" w:hAnsi="Times New Roman" w:cs="Times New Roman"/>
                <w:cs/>
                <w:lang w:bidi="bn-IN"/>
              </w:rPr>
              <w:t xml:space="preserve">. </w:t>
            </w:r>
            <w:r w:rsidRPr="00B179EB">
              <w:rPr>
                <w:rFonts w:ascii="Times New Roman" w:hAnsi="Times New Roman" w:cs="Times New Roman"/>
                <w:lang w:bidi="bn-IN"/>
              </w:rPr>
              <w:t>Dependent Variable</w:t>
            </w:r>
            <w:r w:rsidRPr="00B179EB">
              <w:rPr>
                <w:rFonts w:ascii="Times New Roman" w:hAnsi="Times New Roman" w:cs="Times New Roman"/>
                <w:cs/>
                <w:lang w:bidi="bn-IN"/>
              </w:rPr>
              <w:t xml:space="preserve">: </w:t>
            </w:r>
            <w:proofErr w:type="spellStart"/>
            <w:r w:rsidRPr="00B179EB">
              <w:rPr>
                <w:rFonts w:ascii="Times New Roman" w:hAnsi="Times New Roman" w:cs="Times New Roman"/>
                <w:lang w:bidi="bn-IN"/>
              </w:rPr>
              <w:t>CRT_Behaviour</w:t>
            </w:r>
            <w:proofErr w:type="spellEnd"/>
            <w:r w:rsidRPr="00B179EB">
              <w:rPr>
                <w:rFonts w:ascii="Times New Roman" w:hAnsi="Times New Roman" w:cs="Times New Roman"/>
                <w:lang w:bidi="bn-IN"/>
              </w:rPr>
              <w:t xml:space="preserve"> Scale</w:t>
            </w:r>
          </w:p>
        </w:tc>
      </w:tr>
      <w:tr w:rsidR="00D713EC" w:rsidRPr="00B179EB" w14:paraId="0024C460" w14:textId="77777777" w:rsidTr="00DB4774">
        <w:trPr>
          <w:trHeight w:val="340"/>
        </w:trPr>
        <w:tc>
          <w:tcPr>
            <w:tcW w:w="5000" w:type="pct"/>
            <w:gridSpan w:val="7"/>
          </w:tcPr>
          <w:p w14:paraId="1AD1DD55" w14:textId="3691346C" w:rsidR="00D713EC" w:rsidRPr="00B179EB" w:rsidRDefault="00D713EC" w:rsidP="00B179EB">
            <w:pPr>
              <w:pStyle w:val="NoSpacing"/>
              <w:rPr>
                <w:rFonts w:ascii="Times New Roman" w:hAnsi="Times New Roman" w:cs="Times New Roman"/>
                <w:lang w:bidi="bn-IN"/>
              </w:rPr>
            </w:pPr>
            <w:r w:rsidRPr="00B179EB">
              <w:rPr>
                <w:rFonts w:ascii="Times New Roman" w:hAnsi="Times New Roman" w:cs="Times New Roman"/>
                <w:lang w:bidi="bn-IN"/>
              </w:rPr>
              <w:t>b</w:t>
            </w:r>
            <w:r w:rsidRPr="00B179EB">
              <w:rPr>
                <w:rFonts w:ascii="Times New Roman" w:hAnsi="Times New Roman" w:cs="Times New Roman"/>
                <w:cs/>
                <w:lang w:bidi="bn-IN"/>
              </w:rPr>
              <w:t xml:space="preserve">. </w:t>
            </w:r>
            <w:r w:rsidRPr="00B179EB">
              <w:rPr>
                <w:rFonts w:ascii="Times New Roman" w:hAnsi="Times New Roman" w:cs="Times New Roman"/>
                <w:lang w:bidi="bn-IN"/>
              </w:rPr>
              <w:t>Predictors</w:t>
            </w:r>
            <w:r w:rsidRPr="00B179EB">
              <w:rPr>
                <w:rFonts w:ascii="Times New Roman" w:hAnsi="Times New Roman" w:cs="Times New Roman"/>
                <w:cs/>
                <w:lang w:bidi="bn-IN"/>
              </w:rPr>
              <w:t>: (</w:t>
            </w:r>
            <w:r w:rsidRPr="00B179EB">
              <w:rPr>
                <w:rFonts w:ascii="Times New Roman" w:hAnsi="Times New Roman" w:cs="Times New Roman"/>
                <w:lang w:bidi="bn-IN"/>
              </w:rPr>
              <w:t>Constant</w:t>
            </w:r>
            <w:r w:rsidRPr="00B179EB">
              <w:rPr>
                <w:rFonts w:ascii="Times New Roman" w:hAnsi="Times New Roman" w:cs="Times New Roman"/>
                <w:cs/>
                <w:lang w:bidi="bn-IN"/>
              </w:rPr>
              <w:t>)</w:t>
            </w:r>
            <w:r w:rsidRPr="00B179EB">
              <w:rPr>
                <w:rFonts w:ascii="Times New Roman" w:hAnsi="Times New Roman" w:cs="Times New Roman"/>
                <w:lang w:bidi="bn-IN"/>
              </w:rPr>
              <w:t>, Gender of the Students, Type of School, Monthly Family</w:t>
            </w:r>
            <w:r w:rsidR="00B45FCC" w:rsidRPr="00B179EB">
              <w:rPr>
                <w:rFonts w:ascii="Times New Roman" w:hAnsi="Times New Roman" w:cs="Times New Roman"/>
                <w:lang w:bidi="bn-IN"/>
              </w:rPr>
              <w:t xml:space="preserve"> </w:t>
            </w:r>
            <w:r w:rsidRPr="00B179EB">
              <w:rPr>
                <w:rFonts w:ascii="Times New Roman" w:hAnsi="Times New Roman" w:cs="Times New Roman"/>
                <w:lang w:bidi="bn-IN"/>
              </w:rPr>
              <w:t>Income</w:t>
            </w:r>
          </w:p>
        </w:tc>
      </w:tr>
    </w:tbl>
    <w:p w14:paraId="47D87D42" w14:textId="165F136E" w:rsidR="00223D84" w:rsidRPr="00223D84" w:rsidRDefault="00413976" w:rsidP="00297AC4">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Pr>
          <w:rFonts w:ascii="Times New Roman" w:hAnsi="Times New Roman" w:cs="Times New Roman"/>
          <w:kern w:val="0"/>
          <w:sz w:val="24"/>
          <w:szCs w:val="24"/>
          <w:lang w:bidi="bn-IN"/>
        </w:rPr>
        <w:t>Table 13</w:t>
      </w:r>
      <w:r w:rsidR="00B45FCC" w:rsidRPr="00B45FCC">
        <w:rPr>
          <w:rFonts w:ascii="Times New Roman" w:hAnsi="Times New Roman" w:cs="Times New Roman"/>
          <w:kern w:val="0"/>
          <w:sz w:val="24"/>
          <w:szCs w:val="24"/>
          <w:lang w:bidi="bn-IN"/>
        </w:rPr>
        <w:t xml:space="preserve"> ANOVA results show that the overall regression model is not statistically significant, </w:t>
      </w:r>
      <w:proofErr w:type="gramStart"/>
      <w:r w:rsidR="00B45FCC" w:rsidRPr="00B45FCC">
        <w:rPr>
          <w:rFonts w:ascii="Times New Roman" w:hAnsi="Times New Roman" w:cs="Times New Roman"/>
          <w:kern w:val="0"/>
          <w:sz w:val="24"/>
          <w:szCs w:val="24"/>
          <w:lang w:bidi="bn-IN"/>
        </w:rPr>
        <w:t>F(</w:t>
      </w:r>
      <w:proofErr w:type="gramEnd"/>
      <w:r w:rsidR="00B45FCC" w:rsidRPr="00B45FCC">
        <w:rPr>
          <w:rFonts w:ascii="Times New Roman" w:hAnsi="Times New Roman" w:cs="Times New Roman"/>
          <w:kern w:val="0"/>
          <w:sz w:val="24"/>
          <w:szCs w:val="24"/>
          <w:lang w:bidi="bn-IN"/>
        </w:rPr>
        <w:t>3, 208) = 0.676, p = 0.568 (p &gt; 0.05). This indicates that the set of independent variables does not significantly predict career risk-taking behaviour. Therefore, the regression model is not a good fit for the data.</w:t>
      </w:r>
    </w:p>
    <w:p w14:paraId="0FB8C4A2" w14:textId="777D9014" w:rsidR="00297AC4" w:rsidRPr="00297AC4" w:rsidRDefault="00297AC4" w:rsidP="00297AC4">
      <w:pPr>
        <w:pStyle w:val="Caption"/>
        <w:keepNext/>
        <w:rPr>
          <w:rFonts w:ascii="Times New Roman" w:hAnsi="Times New Roman" w:cs="Times New Roman"/>
          <w:b/>
          <w:bCs/>
          <w:color w:val="000000" w:themeColor="text1"/>
          <w:sz w:val="20"/>
          <w:szCs w:val="20"/>
        </w:rPr>
      </w:pPr>
      <w:r w:rsidRPr="00297AC4">
        <w:rPr>
          <w:rFonts w:ascii="Times New Roman" w:hAnsi="Times New Roman" w:cs="Times New Roman"/>
          <w:b/>
          <w:bCs/>
          <w:color w:val="000000" w:themeColor="text1"/>
          <w:sz w:val="20"/>
          <w:szCs w:val="20"/>
        </w:rPr>
        <w:t xml:space="preserve">Table </w:t>
      </w:r>
      <w:r w:rsidRPr="00297AC4">
        <w:rPr>
          <w:rFonts w:ascii="Times New Roman" w:hAnsi="Times New Roman" w:cs="Times New Roman"/>
          <w:b/>
          <w:bCs/>
          <w:color w:val="000000" w:themeColor="text1"/>
          <w:sz w:val="20"/>
          <w:szCs w:val="20"/>
        </w:rPr>
        <w:fldChar w:fldCharType="begin"/>
      </w:r>
      <w:r w:rsidRPr="00297AC4">
        <w:rPr>
          <w:rFonts w:ascii="Times New Roman" w:hAnsi="Times New Roman" w:cs="Times New Roman"/>
          <w:b/>
          <w:bCs/>
          <w:color w:val="000000" w:themeColor="text1"/>
          <w:sz w:val="20"/>
          <w:szCs w:val="20"/>
        </w:rPr>
        <w:instrText xml:space="preserve"> SEQ Table \* ARABIC </w:instrText>
      </w:r>
      <w:r w:rsidRPr="00297AC4">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14</w:t>
      </w:r>
      <w:r w:rsidRPr="00297AC4">
        <w:rPr>
          <w:rFonts w:ascii="Times New Roman" w:hAnsi="Times New Roman" w:cs="Times New Roman"/>
          <w:b/>
          <w:bCs/>
          <w:color w:val="000000" w:themeColor="text1"/>
          <w:sz w:val="20"/>
          <w:szCs w:val="20"/>
        </w:rPr>
        <w:fldChar w:fldCharType="end"/>
      </w:r>
      <w:r w:rsidRPr="00297AC4">
        <w:rPr>
          <w:rFonts w:ascii="Times New Roman" w:hAnsi="Times New Roman" w:cs="Times New Roman"/>
          <w:b/>
          <w:bCs/>
          <w:color w:val="000000" w:themeColor="text1"/>
          <w:sz w:val="20"/>
          <w:szCs w:val="20"/>
        </w:rPr>
        <w:t>: Regression Coefficients for Predicting Career Risk-Taking Behaviour</w:t>
      </w:r>
    </w:p>
    <w:tbl>
      <w:tblPr>
        <w:tblStyle w:val="GridTable1Light-Accent4"/>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229"/>
        <w:gridCol w:w="1338"/>
        <w:gridCol w:w="1338"/>
        <w:gridCol w:w="1476"/>
        <w:gridCol w:w="1030"/>
        <w:gridCol w:w="1030"/>
      </w:tblGrid>
      <w:tr w:rsidR="00223D84" w:rsidRPr="00352BCD" w14:paraId="50786BDA" w14:textId="77777777" w:rsidTr="00DB4774">
        <w:trPr>
          <w:trHeight w:val="170"/>
        </w:trPr>
        <w:tc>
          <w:tcPr>
            <w:tcW w:w="9172" w:type="dxa"/>
            <w:gridSpan w:val="7"/>
          </w:tcPr>
          <w:p w14:paraId="574A179B" w14:textId="77777777" w:rsidR="00223D84" w:rsidRPr="00352BCD" w:rsidRDefault="00223D84" w:rsidP="00297AC4">
            <w:pPr>
              <w:pStyle w:val="NoSpacing"/>
              <w:jc w:val="center"/>
              <w:rPr>
                <w:rFonts w:ascii="Times New Roman" w:hAnsi="Times New Roman" w:cs="Times New Roman"/>
                <w:b/>
                <w:bCs/>
                <w:lang w:bidi="bn-IN"/>
              </w:rPr>
            </w:pPr>
            <w:proofErr w:type="spellStart"/>
            <w:r w:rsidRPr="00352BCD">
              <w:rPr>
                <w:rFonts w:ascii="Times New Roman" w:hAnsi="Times New Roman" w:cs="Times New Roman"/>
                <w:b/>
                <w:bCs/>
                <w:lang w:bidi="bn-IN"/>
              </w:rPr>
              <w:t>Coefficients</w:t>
            </w:r>
            <w:r w:rsidRPr="00352BCD">
              <w:rPr>
                <w:rFonts w:ascii="Times New Roman" w:hAnsi="Times New Roman" w:cs="Times New Roman"/>
                <w:b/>
                <w:bCs/>
                <w:vertAlign w:val="superscript"/>
                <w:lang w:bidi="bn-IN"/>
              </w:rPr>
              <w:t>a</w:t>
            </w:r>
            <w:proofErr w:type="spellEnd"/>
          </w:p>
        </w:tc>
      </w:tr>
      <w:tr w:rsidR="00223D84" w:rsidRPr="00352BCD" w14:paraId="4111BC29" w14:textId="77777777" w:rsidTr="00DB4774">
        <w:trPr>
          <w:trHeight w:val="170"/>
        </w:trPr>
        <w:tc>
          <w:tcPr>
            <w:tcW w:w="2965" w:type="dxa"/>
            <w:gridSpan w:val="2"/>
            <w:vMerge w:val="restart"/>
          </w:tcPr>
          <w:p w14:paraId="36CE5C2B"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lastRenderedPageBreak/>
              <w:t>Model</w:t>
            </w:r>
          </w:p>
        </w:tc>
        <w:tc>
          <w:tcPr>
            <w:tcW w:w="2674" w:type="dxa"/>
            <w:gridSpan w:val="2"/>
            <w:vAlign w:val="center"/>
          </w:tcPr>
          <w:p w14:paraId="25B2AC86"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Unstandardized Coefficients</w:t>
            </w:r>
          </w:p>
        </w:tc>
        <w:tc>
          <w:tcPr>
            <w:tcW w:w="1475" w:type="dxa"/>
            <w:vAlign w:val="center"/>
          </w:tcPr>
          <w:p w14:paraId="52914E6B"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Standardized Coefficients</w:t>
            </w:r>
          </w:p>
        </w:tc>
        <w:tc>
          <w:tcPr>
            <w:tcW w:w="1029" w:type="dxa"/>
            <w:vMerge w:val="restart"/>
            <w:vAlign w:val="center"/>
          </w:tcPr>
          <w:p w14:paraId="2B7A527D"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t</w:t>
            </w:r>
          </w:p>
        </w:tc>
        <w:tc>
          <w:tcPr>
            <w:tcW w:w="1029" w:type="dxa"/>
            <w:vMerge w:val="restart"/>
            <w:vAlign w:val="center"/>
          </w:tcPr>
          <w:p w14:paraId="0EBB434E"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Sig</w:t>
            </w:r>
            <w:r w:rsidRPr="00352BCD">
              <w:rPr>
                <w:rFonts w:ascii="Times New Roman" w:hAnsi="Times New Roman" w:cs="Times New Roman"/>
                <w:cs/>
                <w:lang w:bidi="bn-IN"/>
              </w:rPr>
              <w:t>.</w:t>
            </w:r>
          </w:p>
        </w:tc>
      </w:tr>
      <w:tr w:rsidR="00223D84" w:rsidRPr="00352BCD" w14:paraId="2824D916" w14:textId="77777777" w:rsidTr="00DB4774">
        <w:trPr>
          <w:trHeight w:val="170"/>
        </w:trPr>
        <w:tc>
          <w:tcPr>
            <w:tcW w:w="2965" w:type="dxa"/>
            <w:gridSpan w:val="2"/>
            <w:vMerge/>
          </w:tcPr>
          <w:p w14:paraId="606C4CE8" w14:textId="77777777" w:rsidR="00223D84" w:rsidRPr="00352BCD" w:rsidRDefault="00223D84" w:rsidP="00297AC4">
            <w:pPr>
              <w:pStyle w:val="NoSpacing"/>
              <w:jc w:val="center"/>
              <w:rPr>
                <w:rFonts w:ascii="Times New Roman" w:hAnsi="Times New Roman" w:cs="Times New Roman"/>
                <w:lang w:bidi="bn-IN"/>
              </w:rPr>
            </w:pPr>
          </w:p>
        </w:tc>
        <w:tc>
          <w:tcPr>
            <w:tcW w:w="1337" w:type="dxa"/>
            <w:vAlign w:val="center"/>
          </w:tcPr>
          <w:p w14:paraId="35CF3C3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B</w:t>
            </w:r>
          </w:p>
        </w:tc>
        <w:tc>
          <w:tcPr>
            <w:tcW w:w="1337" w:type="dxa"/>
            <w:vAlign w:val="center"/>
          </w:tcPr>
          <w:p w14:paraId="6A46054F"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Std</w:t>
            </w:r>
            <w:r w:rsidRPr="00352BCD">
              <w:rPr>
                <w:rFonts w:ascii="Times New Roman" w:hAnsi="Times New Roman" w:cs="Times New Roman"/>
                <w:cs/>
                <w:lang w:bidi="bn-IN"/>
              </w:rPr>
              <w:t xml:space="preserve">. </w:t>
            </w:r>
            <w:r w:rsidRPr="00352BCD">
              <w:rPr>
                <w:rFonts w:ascii="Times New Roman" w:hAnsi="Times New Roman" w:cs="Times New Roman"/>
                <w:lang w:bidi="bn-IN"/>
              </w:rPr>
              <w:t>Error</w:t>
            </w:r>
          </w:p>
        </w:tc>
        <w:tc>
          <w:tcPr>
            <w:tcW w:w="1475" w:type="dxa"/>
            <w:vAlign w:val="center"/>
          </w:tcPr>
          <w:p w14:paraId="1B46A72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Beta</w:t>
            </w:r>
          </w:p>
        </w:tc>
        <w:tc>
          <w:tcPr>
            <w:tcW w:w="1029" w:type="dxa"/>
            <w:vMerge/>
            <w:vAlign w:val="center"/>
          </w:tcPr>
          <w:p w14:paraId="00875BE3" w14:textId="77777777" w:rsidR="00223D84" w:rsidRPr="00352BCD" w:rsidRDefault="00223D84" w:rsidP="00B179EB">
            <w:pPr>
              <w:pStyle w:val="NoSpacing"/>
              <w:jc w:val="center"/>
              <w:rPr>
                <w:rFonts w:ascii="Times New Roman" w:hAnsi="Times New Roman" w:cs="Times New Roman"/>
                <w:lang w:bidi="bn-IN"/>
              </w:rPr>
            </w:pPr>
          </w:p>
        </w:tc>
        <w:tc>
          <w:tcPr>
            <w:tcW w:w="1029" w:type="dxa"/>
            <w:vMerge/>
            <w:vAlign w:val="center"/>
          </w:tcPr>
          <w:p w14:paraId="63DCC956" w14:textId="77777777" w:rsidR="00223D84" w:rsidRPr="00352BCD" w:rsidRDefault="00223D84" w:rsidP="00B179EB">
            <w:pPr>
              <w:pStyle w:val="NoSpacing"/>
              <w:jc w:val="center"/>
              <w:rPr>
                <w:rFonts w:ascii="Times New Roman" w:hAnsi="Times New Roman" w:cs="Times New Roman"/>
                <w:lang w:bidi="bn-IN"/>
              </w:rPr>
            </w:pPr>
          </w:p>
        </w:tc>
      </w:tr>
      <w:tr w:rsidR="00223D84" w:rsidRPr="00352BCD" w14:paraId="48FD78CD" w14:textId="77777777" w:rsidTr="00DB4774">
        <w:trPr>
          <w:trHeight w:val="170"/>
        </w:trPr>
        <w:tc>
          <w:tcPr>
            <w:tcW w:w="737" w:type="dxa"/>
            <w:vMerge w:val="restart"/>
          </w:tcPr>
          <w:p w14:paraId="28A8F510"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1</w:t>
            </w:r>
          </w:p>
        </w:tc>
        <w:tc>
          <w:tcPr>
            <w:tcW w:w="2228" w:type="dxa"/>
          </w:tcPr>
          <w:p w14:paraId="74CE3902"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Constant</w:t>
            </w:r>
            <w:r w:rsidRPr="00352BCD">
              <w:rPr>
                <w:rFonts w:ascii="Times New Roman" w:hAnsi="Times New Roman" w:cs="Times New Roman"/>
                <w:cs/>
                <w:lang w:bidi="bn-IN"/>
              </w:rPr>
              <w:t>)</w:t>
            </w:r>
          </w:p>
        </w:tc>
        <w:tc>
          <w:tcPr>
            <w:tcW w:w="1337" w:type="dxa"/>
            <w:vAlign w:val="center"/>
          </w:tcPr>
          <w:p w14:paraId="266DE58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125</w:t>
            </w:r>
            <w:r w:rsidRPr="00352BCD">
              <w:rPr>
                <w:rFonts w:ascii="Times New Roman" w:hAnsi="Times New Roman" w:cs="Times New Roman"/>
                <w:cs/>
                <w:lang w:bidi="bn-IN"/>
              </w:rPr>
              <w:t>.</w:t>
            </w:r>
            <w:r w:rsidRPr="00352BCD">
              <w:rPr>
                <w:rFonts w:ascii="Times New Roman" w:hAnsi="Times New Roman" w:cs="Times New Roman"/>
                <w:lang w:bidi="bn-IN"/>
              </w:rPr>
              <w:t>813</w:t>
            </w:r>
          </w:p>
        </w:tc>
        <w:tc>
          <w:tcPr>
            <w:tcW w:w="1337" w:type="dxa"/>
            <w:vAlign w:val="center"/>
          </w:tcPr>
          <w:p w14:paraId="610B6A25"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7</w:t>
            </w:r>
            <w:r w:rsidRPr="00352BCD">
              <w:rPr>
                <w:rFonts w:ascii="Times New Roman" w:hAnsi="Times New Roman" w:cs="Times New Roman"/>
                <w:cs/>
                <w:lang w:bidi="bn-IN"/>
              </w:rPr>
              <w:t>.</w:t>
            </w:r>
            <w:r w:rsidRPr="00352BCD">
              <w:rPr>
                <w:rFonts w:ascii="Times New Roman" w:hAnsi="Times New Roman" w:cs="Times New Roman"/>
                <w:lang w:bidi="bn-IN"/>
              </w:rPr>
              <w:t>657</w:t>
            </w:r>
          </w:p>
        </w:tc>
        <w:tc>
          <w:tcPr>
            <w:tcW w:w="1475" w:type="dxa"/>
            <w:vAlign w:val="center"/>
          </w:tcPr>
          <w:p w14:paraId="0DF4022F" w14:textId="77777777" w:rsidR="00223D84" w:rsidRPr="00352BCD" w:rsidRDefault="00223D84" w:rsidP="00B179EB">
            <w:pPr>
              <w:pStyle w:val="NoSpacing"/>
              <w:jc w:val="center"/>
              <w:rPr>
                <w:rFonts w:ascii="Times New Roman" w:hAnsi="Times New Roman" w:cs="Times New Roman"/>
                <w:lang w:bidi="bn-IN"/>
              </w:rPr>
            </w:pPr>
          </w:p>
        </w:tc>
        <w:tc>
          <w:tcPr>
            <w:tcW w:w="1029" w:type="dxa"/>
            <w:vAlign w:val="center"/>
          </w:tcPr>
          <w:p w14:paraId="65047866"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16</w:t>
            </w:r>
            <w:r w:rsidRPr="00352BCD">
              <w:rPr>
                <w:rFonts w:ascii="Times New Roman" w:hAnsi="Times New Roman" w:cs="Times New Roman"/>
                <w:cs/>
                <w:lang w:bidi="bn-IN"/>
              </w:rPr>
              <w:t>.</w:t>
            </w:r>
            <w:r w:rsidRPr="00352BCD">
              <w:rPr>
                <w:rFonts w:ascii="Times New Roman" w:hAnsi="Times New Roman" w:cs="Times New Roman"/>
                <w:lang w:bidi="bn-IN"/>
              </w:rPr>
              <w:t>432</w:t>
            </w:r>
          </w:p>
        </w:tc>
        <w:tc>
          <w:tcPr>
            <w:tcW w:w="1029" w:type="dxa"/>
            <w:vAlign w:val="center"/>
          </w:tcPr>
          <w:p w14:paraId="778BCB26"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000</w:t>
            </w:r>
          </w:p>
        </w:tc>
      </w:tr>
      <w:tr w:rsidR="00223D84" w:rsidRPr="00352BCD" w14:paraId="65478E94" w14:textId="77777777" w:rsidTr="00DB4774">
        <w:trPr>
          <w:trHeight w:val="170"/>
        </w:trPr>
        <w:tc>
          <w:tcPr>
            <w:tcW w:w="737" w:type="dxa"/>
            <w:vMerge/>
          </w:tcPr>
          <w:p w14:paraId="3F101E06" w14:textId="77777777" w:rsidR="00223D84" w:rsidRPr="00352BCD" w:rsidRDefault="00223D84" w:rsidP="00297AC4">
            <w:pPr>
              <w:pStyle w:val="NoSpacing"/>
              <w:jc w:val="center"/>
              <w:rPr>
                <w:rFonts w:ascii="Times New Roman" w:hAnsi="Times New Roman" w:cs="Times New Roman"/>
                <w:lang w:bidi="bn-IN"/>
              </w:rPr>
            </w:pPr>
          </w:p>
        </w:tc>
        <w:tc>
          <w:tcPr>
            <w:tcW w:w="2228" w:type="dxa"/>
          </w:tcPr>
          <w:p w14:paraId="685CA5F1"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Monthly Family Income</w:t>
            </w:r>
          </w:p>
        </w:tc>
        <w:tc>
          <w:tcPr>
            <w:tcW w:w="1337" w:type="dxa"/>
            <w:vAlign w:val="center"/>
          </w:tcPr>
          <w:p w14:paraId="4556FF9E"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w:t>
            </w:r>
            <w:r w:rsidRPr="00352BCD">
              <w:rPr>
                <w:rFonts w:ascii="Times New Roman" w:hAnsi="Times New Roman" w:cs="Times New Roman"/>
                <w:cs/>
                <w:lang w:bidi="bn-IN"/>
              </w:rPr>
              <w:t>.</w:t>
            </w:r>
            <w:r w:rsidRPr="00352BCD">
              <w:rPr>
                <w:rFonts w:ascii="Times New Roman" w:hAnsi="Times New Roman" w:cs="Times New Roman"/>
                <w:lang w:bidi="bn-IN"/>
              </w:rPr>
              <w:t>148</w:t>
            </w:r>
          </w:p>
        </w:tc>
        <w:tc>
          <w:tcPr>
            <w:tcW w:w="1337" w:type="dxa"/>
            <w:vAlign w:val="center"/>
          </w:tcPr>
          <w:p w14:paraId="35992DE9"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2</w:t>
            </w:r>
            <w:r w:rsidRPr="00352BCD">
              <w:rPr>
                <w:rFonts w:ascii="Times New Roman" w:hAnsi="Times New Roman" w:cs="Times New Roman"/>
                <w:cs/>
                <w:lang w:bidi="bn-IN"/>
              </w:rPr>
              <w:t>.</w:t>
            </w:r>
            <w:r w:rsidRPr="00352BCD">
              <w:rPr>
                <w:rFonts w:ascii="Times New Roman" w:hAnsi="Times New Roman" w:cs="Times New Roman"/>
                <w:lang w:bidi="bn-IN"/>
              </w:rPr>
              <w:t>559</w:t>
            </w:r>
          </w:p>
        </w:tc>
        <w:tc>
          <w:tcPr>
            <w:tcW w:w="1475" w:type="dxa"/>
            <w:vAlign w:val="center"/>
          </w:tcPr>
          <w:p w14:paraId="5083117F"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031</w:t>
            </w:r>
          </w:p>
        </w:tc>
        <w:tc>
          <w:tcPr>
            <w:tcW w:w="1029" w:type="dxa"/>
            <w:vAlign w:val="center"/>
          </w:tcPr>
          <w:p w14:paraId="4F430469"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449</w:t>
            </w:r>
          </w:p>
        </w:tc>
        <w:tc>
          <w:tcPr>
            <w:tcW w:w="1029" w:type="dxa"/>
            <w:vAlign w:val="center"/>
          </w:tcPr>
          <w:p w14:paraId="590D10BA"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654</w:t>
            </w:r>
          </w:p>
        </w:tc>
      </w:tr>
      <w:tr w:rsidR="00223D84" w:rsidRPr="00352BCD" w14:paraId="10248EE2" w14:textId="77777777" w:rsidTr="00DB4774">
        <w:trPr>
          <w:trHeight w:val="170"/>
        </w:trPr>
        <w:tc>
          <w:tcPr>
            <w:tcW w:w="737" w:type="dxa"/>
            <w:vMerge/>
          </w:tcPr>
          <w:p w14:paraId="0535A9E6" w14:textId="77777777" w:rsidR="00223D84" w:rsidRPr="00352BCD" w:rsidRDefault="00223D84" w:rsidP="00297AC4">
            <w:pPr>
              <w:pStyle w:val="NoSpacing"/>
              <w:jc w:val="center"/>
              <w:rPr>
                <w:rFonts w:ascii="Times New Roman" w:hAnsi="Times New Roman" w:cs="Times New Roman"/>
                <w:lang w:bidi="bn-IN"/>
              </w:rPr>
            </w:pPr>
          </w:p>
        </w:tc>
        <w:tc>
          <w:tcPr>
            <w:tcW w:w="2228" w:type="dxa"/>
          </w:tcPr>
          <w:p w14:paraId="76C37FC5"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Type of School</w:t>
            </w:r>
          </w:p>
        </w:tc>
        <w:tc>
          <w:tcPr>
            <w:tcW w:w="1337" w:type="dxa"/>
            <w:vAlign w:val="center"/>
          </w:tcPr>
          <w:p w14:paraId="450990A4"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w:t>
            </w:r>
            <w:r w:rsidRPr="00352BCD">
              <w:rPr>
                <w:rFonts w:ascii="Times New Roman" w:hAnsi="Times New Roman" w:cs="Times New Roman"/>
                <w:cs/>
                <w:lang w:bidi="bn-IN"/>
              </w:rPr>
              <w:t>.</w:t>
            </w:r>
            <w:r w:rsidRPr="00352BCD">
              <w:rPr>
                <w:rFonts w:ascii="Times New Roman" w:hAnsi="Times New Roman" w:cs="Times New Roman"/>
                <w:lang w:bidi="bn-IN"/>
              </w:rPr>
              <w:t>168</w:t>
            </w:r>
          </w:p>
        </w:tc>
        <w:tc>
          <w:tcPr>
            <w:tcW w:w="1337" w:type="dxa"/>
            <w:vAlign w:val="center"/>
          </w:tcPr>
          <w:p w14:paraId="1AFEC8F5"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3</w:t>
            </w:r>
            <w:r w:rsidRPr="00352BCD">
              <w:rPr>
                <w:rFonts w:ascii="Times New Roman" w:hAnsi="Times New Roman" w:cs="Times New Roman"/>
                <w:cs/>
                <w:lang w:bidi="bn-IN"/>
              </w:rPr>
              <w:t>.</w:t>
            </w:r>
            <w:r w:rsidRPr="00352BCD">
              <w:rPr>
                <w:rFonts w:ascii="Times New Roman" w:hAnsi="Times New Roman" w:cs="Times New Roman"/>
                <w:lang w:bidi="bn-IN"/>
              </w:rPr>
              <w:t>721</w:t>
            </w:r>
          </w:p>
        </w:tc>
        <w:tc>
          <w:tcPr>
            <w:tcW w:w="1475" w:type="dxa"/>
            <w:vAlign w:val="center"/>
          </w:tcPr>
          <w:p w14:paraId="3B702FA1"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022</w:t>
            </w:r>
          </w:p>
        </w:tc>
        <w:tc>
          <w:tcPr>
            <w:tcW w:w="1029" w:type="dxa"/>
            <w:vAlign w:val="center"/>
          </w:tcPr>
          <w:p w14:paraId="59DFF80C"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314</w:t>
            </w:r>
          </w:p>
        </w:tc>
        <w:tc>
          <w:tcPr>
            <w:tcW w:w="1029" w:type="dxa"/>
            <w:vAlign w:val="center"/>
          </w:tcPr>
          <w:p w14:paraId="003BC5EC"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754</w:t>
            </w:r>
          </w:p>
        </w:tc>
      </w:tr>
      <w:tr w:rsidR="00223D84" w:rsidRPr="00352BCD" w14:paraId="689E1642" w14:textId="77777777" w:rsidTr="00DB4774">
        <w:trPr>
          <w:trHeight w:val="170"/>
        </w:trPr>
        <w:tc>
          <w:tcPr>
            <w:tcW w:w="737" w:type="dxa"/>
            <w:vMerge/>
          </w:tcPr>
          <w:p w14:paraId="658A24A8" w14:textId="77777777" w:rsidR="00223D84" w:rsidRPr="00352BCD" w:rsidRDefault="00223D84" w:rsidP="00297AC4">
            <w:pPr>
              <w:pStyle w:val="NoSpacing"/>
              <w:jc w:val="center"/>
              <w:rPr>
                <w:rFonts w:ascii="Times New Roman" w:hAnsi="Times New Roman" w:cs="Times New Roman"/>
                <w:lang w:bidi="bn-IN"/>
              </w:rPr>
            </w:pPr>
          </w:p>
        </w:tc>
        <w:tc>
          <w:tcPr>
            <w:tcW w:w="2228" w:type="dxa"/>
          </w:tcPr>
          <w:p w14:paraId="7FAD1DD8"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Gender of the Students</w:t>
            </w:r>
          </w:p>
        </w:tc>
        <w:tc>
          <w:tcPr>
            <w:tcW w:w="1337" w:type="dxa"/>
            <w:vAlign w:val="center"/>
          </w:tcPr>
          <w:p w14:paraId="2F5EF190"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3</w:t>
            </w:r>
            <w:r w:rsidRPr="00352BCD">
              <w:rPr>
                <w:rFonts w:ascii="Times New Roman" w:hAnsi="Times New Roman" w:cs="Times New Roman"/>
                <w:cs/>
                <w:lang w:bidi="bn-IN"/>
              </w:rPr>
              <w:t>.</w:t>
            </w:r>
            <w:r w:rsidRPr="00352BCD">
              <w:rPr>
                <w:rFonts w:ascii="Times New Roman" w:hAnsi="Times New Roman" w:cs="Times New Roman"/>
                <w:lang w:bidi="bn-IN"/>
              </w:rPr>
              <w:t>717</w:t>
            </w:r>
          </w:p>
        </w:tc>
        <w:tc>
          <w:tcPr>
            <w:tcW w:w="1337" w:type="dxa"/>
            <w:vAlign w:val="center"/>
          </w:tcPr>
          <w:p w14:paraId="6865F22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2</w:t>
            </w:r>
            <w:r w:rsidRPr="00352BCD">
              <w:rPr>
                <w:rFonts w:ascii="Times New Roman" w:hAnsi="Times New Roman" w:cs="Times New Roman"/>
                <w:cs/>
                <w:lang w:bidi="bn-IN"/>
              </w:rPr>
              <w:t>.</w:t>
            </w:r>
            <w:r w:rsidRPr="00352BCD">
              <w:rPr>
                <w:rFonts w:ascii="Times New Roman" w:hAnsi="Times New Roman" w:cs="Times New Roman"/>
                <w:lang w:bidi="bn-IN"/>
              </w:rPr>
              <w:t>855</w:t>
            </w:r>
          </w:p>
        </w:tc>
        <w:tc>
          <w:tcPr>
            <w:tcW w:w="1475" w:type="dxa"/>
            <w:vAlign w:val="center"/>
          </w:tcPr>
          <w:p w14:paraId="2A07E85C"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090</w:t>
            </w:r>
          </w:p>
        </w:tc>
        <w:tc>
          <w:tcPr>
            <w:tcW w:w="1029" w:type="dxa"/>
            <w:vAlign w:val="center"/>
          </w:tcPr>
          <w:p w14:paraId="0C69E69E"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w:t>
            </w:r>
            <w:r w:rsidRPr="00352BCD">
              <w:rPr>
                <w:rFonts w:ascii="Times New Roman" w:hAnsi="Times New Roman" w:cs="Times New Roman"/>
                <w:cs/>
                <w:lang w:bidi="bn-IN"/>
              </w:rPr>
              <w:t>.</w:t>
            </w:r>
            <w:r w:rsidRPr="00352BCD">
              <w:rPr>
                <w:rFonts w:ascii="Times New Roman" w:hAnsi="Times New Roman" w:cs="Times New Roman"/>
                <w:lang w:bidi="bn-IN"/>
              </w:rPr>
              <w:t>302</w:t>
            </w:r>
          </w:p>
        </w:tc>
        <w:tc>
          <w:tcPr>
            <w:tcW w:w="1029" w:type="dxa"/>
            <w:vAlign w:val="center"/>
          </w:tcPr>
          <w:p w14:paraId="55C10307"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194</w:t>
            </w:r>
          </w:p>
        </w:tc>
      </w:tr>
      <w:tr w:rsidR="00223D84" w:rsidRPr="00352BCD" w14:paraId="17612C86" w14:textId="77777777" w:rsidTr="00DB4774">
        <w:trPr>
          <w:trHeight w:val="170"/>
        </w:trPr>
        <w:tc>
          <w:tcPr>
            <w:tcW w:w="9172" w:type="dxa"/>
            <w:gridSpan w:val="7"/>
          </w:tcPr>
          <w:p w14:paraId="13C8BF57" w14:textId="77777777" w:rsidR="00223D84" w:rsidRPr="00352BCD" w:rsidRDefault="00223D84" w:rsidP="00352BCD">
            <w:pPr>
              <w:pStyle w:val="NoSpacing"/>
              <w:rPr>
                <w:rFonts w:ascii="Times New Roman" w:hAnsi="Times New Roman" w:cs="Times New Roman"/>
                <w:lang w:bidi="bn-IN"/>
              </w:rPr>
            </w:pPr>
            <w:r w:rsidRPr="00352BCD">
              <w:rPr>
                <w:rFonts w:ascii="Times New Roman" w:hAnsi="Times New Roman" w:cs="Times New Roman"/>
                <w:lang w:bidi="bn-IN"/>
              </w:rPr>
              <w:t>a</w:t>
            </w:r>
            <w:r w:rsidRPr="00352BCD">
              <w:rPr>
                <w:rFonts w:ascii="Times New Roman" w:hAnsi="Times New Roman" w:cs="Times New Roman"/>
                <w:cs/>
                <w:lang w:bidi="bn-IN"/>
              </w:rPr>
              <w:t xml:space="preserve">. </w:t>
            </w:r>
            <w:r w:rsidRPr="00352BCD">
              <w:rPr>
                <w:rFonts w:ascii="Times New Roman" w:hAnsi="Times New Roman" w:cs="Times New Roman"/>
                <w:lang w:bidi="bn-IN"/>
              </w:rPr>
              <w:t>Dependent Variable</w:t>
            </w:r>
            <w:r w:rsidRPr="00352BCD">
              <w:rPr>
                <w:rFonts w:ascii="Times New Roman" w:hAnsi="Times New Roman" w:cs="Times New Roman"/>
                <w:cs/>
                <w:lang w:bidi="bn-IN"/>
              </w:rPr>
              <w:t xml:space="preserve">: </w:t>
            </w:r>
            <w:proofErr w:type="spellStart"/>
            <w:r w:rsidRPr="00352BCD">
              <w:rPr>
                <w:rFonts w:ascii="Times New Roman" w:hAnsi="Times New Roman" w:cs="Times New Roman"/>
                <w:lang w:bidi="bn-IN"/>
              </w:rPr>
              <w:t>CRT_Behaviour</w:t>
            </w:r>
            <w:proofErr w:type="spellEnd"/>
            <w:r w:rsidRPr="00352BCD">
              <w:rPr>
                <w:rFonts w:ascii="Times New Roman" w:hAnsi="Times New Roman" w:cs="Times New Roman"/>
                <w:lang w:bidi="bn-IN"/>
              </w:rPr>
              <w:t xml:space="preserve"> Scale</w:t>
            </w:r>
          </w:p>
        </w:tc>
      </w:tr>
    </w:tbl>
    <w:p w14:paraId="3F6C6469" w14:textId="4EDE8072" w:rsidR="0067706D" w:rsidRPr="0067706D" w:rsidRDefault="00413976" w:rsidP="0067706D">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Pr>
          <w:rFonts w:ascii="Times New Roman" w:hAnsi="Times New Roman" w:cs="Times New Roman"/>
          <w:kern w:val="0"/>
          <w:sz w:val="24"/>
          <w:szCs w:val="24"/>
          <w:lang w:bidi="bn-IN"/>
        </w:rPr>
        <w:t>Table 14 R</w:t>
      </w:r>
      <w:r w:rsidR="0067706D" w:rsidRPr="0067706D">
        <w:rPr>
          <w:rFonts w:ascii="Times New Roman" w:hAnsi="Times New Roman" w:cs="Times New Roman"/>
          <w:kern w:val="0"/>
          <w:sz w:val="24"/>
          <w:szCs w:val="24"/>
          <w:lang w:bidi="bn-IN"/>
        </w:rPr>
        <w:t>egression coefficients indicate that none of the independent variables significantly predict career risk-taking behaviour. Monthly family income (β = -0.031, p = 0.654), type of school (β = -0.022, p = 0.754), and gender (β = -0.090, p = 0.194) all have non-significant p-values (p &gt; 0.05).</w:t>
      </w:r>
      <w:r w:rsidR="0067706D">
        <w:rPr>
          <w:rFonts w:ascii="Times New Roman" w:hAnsi="Times New Roman" w:cs="Times New Roman"/>
          <w:kern w:val="0"/>
          <w:sz w:val="24"/>
          <w:szCs w:val="24"/>
          <w:lang w:bidi="bn-IN"/>
        </w:rPr>
        <w:t xml:space="preserve"> </w:t>
      </w:r>
      <w:r w:rsidR="0067706D" w:rsidRPr="0067706D">
        <w:rPr>
          <w:rFonts w:ascii="Times New Roman" w:hAnsi="Times New Roman" w:cs="Times New Roman"/>
          <w:kern w:val="0"/>
          <w:sz w:val="24"/>
          <w:szCs w:val="24"/>
          <w:lang w:bidi="bn-IN"/>
        </w:rPr>
        <w:t>This suggests that changes in socioeconomic status, school type, or gender do not</w:t>
      </w:r>
      <w:r w:rsidR="0067706D">
        <w:rPr>
          <w:rFonts w:ascii="Times New Roman" w:hAnsi="Times New Roman" w:cs="Times New Roman"/>
          <w:kern w:val="0"/>
          <w:sz w:val="24"/>
          <w:szCs w:val="24"/>
          <w:lang w:bidi="bn-IN"/>
        </w:rPr>
        <w:t xml:space="preserve"> </w:t>
      </w:r>
      <w:r w:rsidR="0067706D" w:rsidRPr="0067706D">
        <w:rPr>
          <w:rFonts w:ascii="Times New Roman" w:hAnsi="Times New Roman" w:cs="Times New Roman"/>
          <w:kern w:val="0"/>
          <w:sz w:val="24"/>
          <w:szCs w:val="24"/>
          <w:lang w:bidi="bn-IN"/>
        </w:rPr>
        <w:t>significantly influence students’ career risk-taking behaviour.</w:t>
      </w:r>
    </w:p>
    <w:p w14:paraId="665C5AC4" w14:textId="77777777" w:rsidR="00352BCD" w:rsidRDefault="00352BCD" w:rsidP="00352BCD">
      <w:pPr>
        <w:pStyle w:val="NoSpacing"/>
        <w:jc w:val="both"/>
        <w:rPr>
          <w:rFonts w:ascii="Times New Roman" w:hAnsi="Times New Roman" w:cs="Times New Roman"/>
          <w:sz w:val="24"/>
          <w:szCs w:val="24"/>
          <w:lang w:eastAsia="en-IN" w:bidi="bn-IN"/>
        </w:rPr>
      </w:pPr>
    </w:p>
    <w:p w14:paraId="261E50F3" w14:textId="297A05A7" w:rsidR="00352BCD" w:rsidRPr="00BD2D64" w:rsidRDefault="00352BCD" w:rsidP="00BD2D64">
      <w:pPr>
        <w:pStyle w:val="NoSpacing"/>
        <w:numPr>
          <w:ilvl w:val="1"/>
          <w:numId w:val="31"/>
        </w:numPr>
        <w:ind w:left="567" w:hanging="567"/>
        <w:jc w:val="both"/>
        <w:rPr>
          <w:rFonts w:ascii="Times New Roman" w:hAnsi="Times New Roman" w:cs="Times New Roman"/>
          <w:b/>
          <w:bCs/>
          <w:sz w:val="28"/>
          <w:szCs w:val="28"/>
        </w:rPr>
      </w:pPr>
      <w:r w:rsidRPr="00352BCD">
        <w:rPr>
          <w:rFonts w:ascii="Times New Roman" w:hAnsi="Times New Roman" w:cs="Times New Roman"/>
          <w:b/>
          <w:bCs/>
          <w:sz w:val="24"/>
          <w:szCs w:val="24"/>
          <w:lang w:eastAsia="en-IN" w:bidi="bn-IN"/>
        </w:rPr>
        <w:t>To assess the accuracy and explanatory power of the regression model in predicting career risk-taking behaviour.</w:t>
      </w:r>
    </w:p>
    <w:p w14:paraId="5271E8C3" w14:textId="342E1365" w:rsidR="00523FD1" w:rsidRPr="00523FD1" w:rsidRDefault="00523FD1" w:rsidP="00523FD1">
      <w:pPr>
        <w:pStyle w:val="Caption"/>
        <w:keepNext/>
        <w:rPr>
          <w:rFonts w:ascii="Times New Roman" w:hAnsi="Times New Roman" w:cs="Times New Roman"/>
          <w:b/>
          <w:bCs/>
          <w:color w:val="000000" w:themeColor="text1"/>
          <w:sz w:val="20"/>
          <w:szCs w:val="20"/>
        </w:rPr>
      </w:pPr>
      <w:r w:rsidRPr="00523FD1">
        <w:rPr>
          <w:rFonts w:ascii="Times New Roman" w:hAnsi="Times New Roman" w:cs="Times New Roman"/>
          <w:b/>
          <w:bCs/>
          <w:color w:val="000000" w:themeColor="text1"/>
          <w:sz w:val="20"/>
          <w:szCs w:val="20"/>
        </w:rPr>
        <w:t xml:space="preserve">Table </w:t>
      </w:r>
      <w:r w:rsidRPr="00523FD1">
        <w:rPr>
          <w:rFonts w:ascii="Times New Roman" w:hAnsi="Times New Roman" w:cs="Times New Roman"/>
          <w:b/>
          <w:bCs/>
          <w:color w:val="000000" w:themeColor="text1"/>
          <w:sz w:val="20"/>
          <w:szCs w:val="20"/>
        </w:rPr>
        <w:fldChar w:fldCharType="begin"/>
      </w:r>
      <w:r w:rsidRPr="00523FD1">
        <w:rPr>
          <w:rFonts w:ascii="Times New Roman" w:hAnsi="Times New Roman" w:cs="Times New Roman"/>
          <w:b/>
          <w:bCs/>
          <w:color w:val="000000" w:themeColor="text1"/>
          <w:sz w:val="20"/>
          <w:szCs w:val="20"/>
        </w:rPr>
        <w:instrText xml:space="preserve"> SEQ Table \* ARABIC </w:instrText>
      </w:r>
      <w:r w:rsidRPr="00523FD1">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15</w:t>
      </w:r>
      <w:r w:rsidRPr="00523FD1">
        <w:rPr>
          <w:rFonts w:ascii="Times New Roman" w:hAnsi="Times New Roman" w:cs="Times New Roman"/>
          <w:b/>
          <w:bCs/>
          <w:color w:val="000000" w:themeColor="text1"/>
          <w:sz w:val="20"/>
          <w:szCs w:val="20"/>
        </w:rPr>
        <w:fldChar w:fldCharType="end"/>
      </w:r>
      <w:r w:rsidRPr="00523FD1">
        <w:rPr>
          <w:rFonts w:ascii="Times New Roman" w:hAnsi="Times New Roman" w:cs="Times New Roman"/>
          <w:b/>
          <w:bCs/>
          <w:color w:val="000000" w:themeColor="text1"/>
          <w:sz w:val="20"/>
          <w:szCs w:val="20"/>
        </w:rPr>
        <w:t>: Residuals Statistics for Multiple Regression Model</w:t>
      </w:r>
    </w:p>
    <w:tbl>
      <w:tblPr>
        <w:tblStyle w:val="GridTable1Light-Accent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1331"/>
        <w:gridCol w:w="1278"/>
        <w:gridCol w:w="1260"/>
        <w:gridCol w:w="1668"/>
        <w:gridCol w:w="1190"/>
      </w:tblGrid>
      <w:tr w:rsidR="00223D84" w:rsidRPr="007F1E37" w14:paraId="60840A79" w14:textId="77777777" w:rsidTr="00DB4774">
        <w:trPr>
          <w:trHeight w:val="340"/>
          <w:jc w:val="center"/>
        </w:trPr>
        <w:tc>
          <w:tcPr>
            <w:tcW w:w="5000" w:type="pct"/>
            <w:gridSpan w:val="6"/>
            <w:vAlign w:val="center"/>
          </w:tcPr>
          <w:p w14:paraId="1BD8A022" w14:textId="77777777" w:rsidR="00223D84" w:rsidRPr="007F1E37" w:rsidRDefault="00223D84" w:rsidP="007F1E37">
            <w:pPr>
              <w:pStyle w:val="NoSpacing"/>
              <w:jc w:val="center"/>
              <w:rPr>
                <w:rFonts w:ascii="Times New Roman" w:hAnsi="Times New Roman" w:cs="Times New Roman"/>
                <w:b/>
                <w:bCs/>
                <w:lang w:bidi="bn-IN"/>
              </w:rPr>
            </w:pPr>
            <w:r w:rsidRPr="007F1E37">
              <w:rPr>
                <w:rFonts w:ascii="Times New Roman" w:hAnsi="Times New Roman" w:cs="Times New Roman"/>
                <w:b/>
                <w:bCs/>
                <w:lang w:bidi="bn-IN"/>
              </w:rPr>
              <w:t xml:space="preserve">Residuals </w:t>
            </w:r>
            <w:proofErr w:type="spellStart"/>
            <w:r w:rsidRPr="007F1E37">
              <w:rPr>
                <w:rFonts w:ascii="Times New Roman" w:hAnsi="Times New Roman" w:cs="Times New Roman"/>
                <w:b/>
                <w:bCs/>
                <w:lang w:bidi="bn-IN"/>
              </w:rPr>
              <w:t>Statistics</w:t>
            </w:r>
            <w:r w:rsidRPr="007F1E37">
              <w:rPr>
                <w:rFonts w:ascii="Times New Roman" w:hAnsi="Times New Roman" w:cs="Times New Roman"/>
                <w:b/>
                <w:bCs/>
                <w:vertAlign w:val="superscript"/>
                <w:lang w:bidi="bn-IN"/>
              </w:rPr>
              <w:t>a</w:t>
            </w:r>
            <w:proofErr w:type="spellEnd"/>
          </w:p>
        </w:tc>
      </w:tr>
      <w:tr w:rsidR="00223D84" w:rsidRPr="007F1E37" w14:paraId="44943759" w14:textId="77777777" w:rsidTr="00DB4774">
        <w:trPr>
          <w:trHeight w:val="340"/>
          <w:jc w:val="center"/>
        </w:trPr>
        <w:tc>
          <w:tcPr>
            <w:tcW w:w="1269" w:type="pct"/>
            <w:vAlign w:val="center"/>
          </w:tcPr>
          <w:p w14:paraId="4492A0CB" w14:textId="77777777" w:rsidR="00223D84" w:rsidRPr="007F1E37" w:rsidRDefault="00223D84" w:rsidP="007F1E37">
            <w:pPr>
              <w:pStyle w:val="NoSpacing"/>
              <w:jc w:val="center"/>
              <w:rPr>
                <w:rFonts w:ascii="Times New Roman" w:hAnsi="Times New Roman" w:cs="Times New Roman"/>
                <w:lang w:bidi="bn-IN"/>
              </w:rPr>
            </w:pPr>
          </w:p>
        </w:tc>
        <w:tc>
          <w:tcPr>
            <w:tcW w:w="738" w:type="pct"/>
            <w:vAlign w:val="center"/>
          </w:tcPr>
          <w:p w14:paraId="482F679C"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Minimum</w:t>
            </w:r>
          </w:p>
        </w:tc>
        <w:tc>
          <w:tcPr>
            <w:tcW w:w="709" w:type="pct"/>
            <w:vAlign w:val="center"/>
          </w:tcPr>
          <w:p w14:paraId="5DA699AC"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Maximum</w:t>
            </w:r>
          </w:p>
        </w:tc>
        <w:tc>
          <w:tcPr>
            <w:tcW w:w="699" w:type="pct"/>
            <w:vAlign w:val="center"/>
          </w:tcPr>
          <w:p w14:paraId="5B6238B2"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Mean</w:t>
            </w:r>
          </w:p>
        </w:tc>
        <w:tc>
          <w:tcPr>
            <w:tcW w:w="925" w:type="pct"/>
            <w:vAlign w:val="center"/>
          </w:tcPr>
          <w:p w14:paraId="6225DD0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Std</w:t>
            </w:r>
            <w:r w:rsidRPr="007F1E37">
              <w:rPr>
                <w:rFonts w:ascii="Times New Roman" w:hAnsi="Times New Roman" w:cs="Times New Roman"/>
                <w:cs/>
                <w:lang w:bidi="bn-IN"/>
              </w:rPr>
              <w:t xml:space="preserve">. </w:t>
            </w:r>
            <w:r w:rsidRPr="007F1E37">
              <w:rPr>
                <w:rFonts w:ascii="Times New Roman" w:hAnsi="Times New Roman" w:cs="Times New Roman"/>
                <w:lang w:bidi="bn-IN"/>
              </w:rPr>
              <w:t>Deviation</w:t>
            </w:r>
          </w:p>
        </w:tc>
        <w:tc>
          <w:tcPr>
            <w:tcW w:w="659" w:type="pct"/>
            <w:vAlign w:val="center"/>
          </w:tcPr>
          <w:p w14:paraId="619C4F1F"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N</w:t>
            </w:r>
          </w:p>
        </w:tc>
      </w:tr>
      <w:tr w:rsidR="00223D84" w:rsidRPr="007F1E37" w14:paraId="72D79827" w14:textId="77777777" w:rsidTr="00DB4774">
        <w:trPr>
          <w:trHeight w:val="340"/>
          <w:jc w:val="center"/>
        </w:trPr>
        <w:tc>
          <w:tcPr>
            <w:tcW w:w="1269" w:type="pct"/>
            <w:vAlign w:val="center"/>
          </w:tcPr>
          <w:p w14:paraId="051C181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Predicted Value</w:t>
            </w:r>
          </w:p>
        </w:tc>
        <w:tc>
          <w:tcPr>
            <w:tcW w:w="738" w:type="pct"/>
            <w:vAlign w:val="center"/>
          </w:tcPr>
          <w:p w14:paraId="21D409A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112</w:t>
            </w:r>
            <w:r w:rsidRPr="007F1E37">
              <w:rPr>
                <w:rFonts w:ascii="Times New Roman" w:hAnsi="Times New Roman" w:cs="Times New Roman"/>
                <w:cs/>
                <w:lang w:bidi="bn-IN"/>
              </w:rPr>
              <w:t>.</w:t>
            </w:r>
            <w:r w:rsidRPr="007F1E37">
              <w:rPr>
                <w:rFonts w:ascii="Times New Roman" w:hAnsi="Times New Roman" w:cs="Times New Roman"/>
                <w:lang w:bidi="bn-IN"/>
              </w:rPr>
              <w:t>5984</w:t>
            </w:r>
          </w:p>
        </w:tc>
        <w:tc>
          <w:tcPr>
            <w:tcW w:w="709" w:type="pct"/>
            <w:vAlign w:val="center"/>
          </w:tcPr>
          <w:p w14:paraId="5E82744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119</w:t>
            </w:r>
            <w:r w:rsidRPr="007F1E37">
              <w:rPr>
                <w:rFonts w:ascii="Times New Roman" w:hAnsi="Times New Roman" w:cs="Times New Roman"/>
                <w:cs/>
                <w:lang w:bidi="bn-IN"/>
              </w:rPr>
              <w:t>.</w:t>
            </w:r>
            <w:r w:rsidRPr="007F1E37">
              <w:rPr>
                <w:rFonts w:ascii="Times New Roman" w:hAnsi="Times New Roman" w:cs="Times New Roman"/>
                <w:lang w:bidi="bn-IN"/>
              </w:rPr>
              <w:t>7800</w:t>
            </w:r>
          </w:p>
        </w:tc>
        <w:tc>
          <w:tcPr>
            <w:tcW w:w="699" w:type="pct"/>
            <w:vAlign w:val="center"/>
          </w:tcPr>
          <w:p w14:paraId="4DB48FC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116</w:t>
            </w:r>
            <w:r w:rsidRPr="007F1E37">
              <w:rPr>
                <w:rFonts w:ascii="Times New Roman" w:hAnsi="Times New Roman" w:cs="Times New Roman"/>
                <w:cs/>
                <w:lang w:bidi="bn-IN"/>
              </w:rPr>
              <w:t>.</w:t>
            </w:r>
            <w:r w:rsidRPr="007F1E37">
              <w:rPr>
                <w:rFonts w:ascii="Times New Roman" w:hAnsi="Times New Roman" w:cs="Times New Roman"/>
                <w:lang w:bidi="bn-IN"/>
              </w:rPr>
              <w:t>6085</w:t>
            </w:r>
          </w:p>
        </w:tc>
        <w:tc>
          <w:tcPr>
            <w:tcW w:w="925" w:type="pct"/>
            <w:vAlign w:val="center"/>
          </w:tcPr>
          <w:p w14:paraId="22FBBA87"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w:t>
            </w:r>
            <w:r w:rsidRPr="007F1E37">
              <w:rPr>
                <w:rFonts w:ascii="Times New Roman" w:hAnsi="Times New Roman" w:cs="Times New Roman"/>
                <w:cs/>
                <w:lang w:bidi="bn-IN"/>
              </w:rPr>
              <w:t>.</w:t>
            </w:r>
            <w:r w:rsidRPr="007F1E37">
              <w:rPr>
                <w:rFonts w:ascii="Times New Roman" w:hAnsi="Times New Roman" w:cs="Times New Roman"/>
                <w:lang w:bidi="bn-IN"/>
              </w:rPr>
              <w:t>01175</w:t>
            </w:r>
          </w:p>
        </w:tc>
        <w:tc>
          <w:tcPr>
            <w:tcW w:w="659" w:type="pct"/>
            <w:vAlign w:val="center"/>
          </w:tcPr>
          <w:p w14:paraId="2E2F9799"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6FC28CB4" w14:textId="77777777" w:rsidTr="00DB4774">
        <w:trPr>
          <w:trHeight w:val="340"/>
          <w:jc w:val="center"/>
        </w:trPr>
        <w:tc>
          <w:tcPr>
            <w:tcW w:w="1269" w:type="pct"/>
            <w:vAlign w:val="center"/>
          </w:tcPr>
          <w:p w14:paraId="53F50C9F"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Residual</w:t>
            </w:r>
          </w:p>
        </w:tc>
        <w:tc>
          <w:tcPr>
            <w:tcW w:w="738" w:type="pct"/>
            <w:vAlign w:val="center"/>
          </w:tcPr>
          <w:p w14:paraId="7AF224B9"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84</w:t>
            </w:r>
            <w:r w:rsidRPr="007F1E37">
              <w:rPr>
                <w:rFonts w:ascii="Times New Roman" w:hAnsi="Times New Roman" w:cs="Times New Roman"/>
                <w:cs/>
                <w:lang w:bidi="bn-IN"/>
              </w:rPr>
              <w:t>.</w:t>
            </w:r>
            <w:r w:rsidRPr="007F1E37">
              <w:rPr>
                <w:rFonts w:ascii="Times New Roman" w:hAnsi="Times New Roman" w:cs="Times New Roman"/>
                <w:lang w:bidi="bn-IN"/>
              </w:rPr>
              <w:t>78002</w:t>
            </w:r>
          </w:p>
        </w:tc>
        <w:tc>
          <w:tcPr>
            <w:tcW w:w="709" w:type="pct"/>
            <w:vAlign w:val="center"/>
          </w:tcPr>
          <w:p w14:paraId="3677BBC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58</w:t>
            </w:r>
            <w:r w:rsidRPr="007F1E37">
              <w:rPr>
                <w:rFonts w:ascii="Times New Roman" w:hAnsi="Times New Roman" w:cs="Times New Roman"/>
                <w:cs/>
                <w:lang w:bidi="bn-IN"/>
              </w:rPr>
              <w:t>.</w:t>
            </w:r>
            <w:r w:rsidRPr="007F1E37">
              <w:rPr>
                <w:rFonts w:ascii="Times New Roman" w:hAnsi="Times New Roman" w:cs="Times New Roman"/>
                <w:lang w:bidi="bn-IN"/>
              </w:rPr>
              <w:t>93679</w:t>
            </w:r>
          </w:p>
        </w:tc>
        <w:tc>
          <w:tcPr>
            <w:tcW w:w="699" w:type="pct"/>
            <w:vAlign w:val="center"/>
          </w:tcPr>
          <w:p w14:paraId="2A6C8536"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00000</w:t>
            </w:r>
          </w:p>
        </w:tc>
        <w:tc>
          <w:tcPr>
            <w:tcW w:w="925" w:type="pct"/>
            <w:vAlign w:val="center"/>
          </w:tcPr>
          <w:p w14:paraId="203F250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20</w:t>
            </w:r>
            <w:r w:rsidRPr="007F1E37">
              <w:rPr>
                <w:rFonts w:ascii="Times New Roman" w:hAnsi="Times New Roman" w:cs="Times New Roman"/>
                <w:cs/>
                <w:lang w:bidi="bn-IN"/>
              </w:rPr>
              <w:t>.</w:t>
            </w:r>
            <w:r w:rsidRPr="007F1E37">
              <w:rPr>
                <w:rFonts w:ascii="Times New Roman" w:hAnsi="Times New Roman" w:cs="Times New Roman"/>
                <w:lang w:bidi="bn-IN"/>
              </w:rPr>
              <w:t>37592</w:t>
            </w:r>
          </w:p>
        </w:tc>
        <w:tc>
          <w:tcPr>
            <w:tcW w:w="659" w:type="pct"/>
            <w:vAlign w:val="center"/>
          </w:tcPr>
          <w:p w14:paraId="317BA70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78379BDF" w14:textId="77777777" w:rsidTr="00DB4774">
        <w:trPr>
          <w:trHeight w:val="340"/>
          <w:jc w:val="center"/>
        </w:trPr>
        <w:tc>
          <w:tcPr>
            <w:tcW w:w="1269" w:type="pct"/>
            <w:vAlign w:val="center"/>
          </w:tcPr>
          <w:p w14:paraId="159CD03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Std</w:t>
            </w:r>
            <w:r w:rsidRPr="007F1E37">
              <w:rPr>
                <w:rFonts w:ascii="Times New Roman" w:hAnsi="Times New Roman" w:cs="Times New Roman"/>
                <w:cs/>
                <w:lang w:bidi="bn-IN"/>
              </w:rPr>
              <w:t xml:space="preserve">. </w:t>
            </w:r>
            <w:r w:rsidRPr="007F1E37">
              <w:rPr>
                <w:rFonts w:ascii="Times New Roman" w:hAnsi="Times New Roman" w:cs="Times New Roman"/>
                <w:lang w:bidi="bn-IN"/>
              </w:rPr>
              <w:t>Predicted Value</w:t>
            </w:r>
          </w:p>
        </w:tc>
        <w:tc>
          <w:tcPr>
            <w:tcW w:w="738" w:type="pct"/>
            <w:vAlign w:val="center"/>
          </w:tcPr>
          <w:p w14:paraId="3BEC0347"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1</w:t>
            </w:r>
            <w:r w:rsidRPr="007F1E37">
              <w:rPr>
                <w:rFonts w:ascii="Times New Roman" w:hAnsi="Times New Roman" w:cs="Times New Roman"/>
                <w:cs/>
                <w:lang w:bidi="bn-IN"/>
              </w:rPr>
              <w:t>.</w:t>
            </w:r>
            <w:r w:rsidRPr="007F1E37">
              <w:rPr>
                <w:rFonts w:ascii="Times New Roman" w:hAnsi="Times New Roman" w:cs="Times New Roman"/>
                <w:lang w:bidi="bn-IN"/>
              </w:rPr>
              <w:t>993</w:t>
            </w:r>
          </w:p>
        </w:tc>
        <w:tc>
          <w:tcPr>
            <w:tcW w:w="709" w:type="pct"/>
            <w:vAlign w:val="center"/>
          </w:tcPr>
          <w:p w14:paraId="684690F5"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w:t>
            </w:r>
            <w:r w:rsidRPr="007F1E37">
              <w:rPr>
                <w:rFonts w:ascii="Times New Roman" w:hAnsi="Times New Roman" w:cs="Times New Roman"/>
                <w:cs/>
                <w:lang w:bidi="bn-IN"/>
              </w:rPr>
              <w:t>.</w:t>
            </w:r>
            <w:r w:rsidRPr="007F1E37">
              <w:rPr>
                <w:rFonts w:ascii="Times New Roman" w:hAnsi="Times New Roman" w:cs="Times New Roman"/>
                <w:lang w:bidi="bn-IN"/>
              </w:rPr>
              <w:t>577</w:t>
            </w:r>
          </w:p>
        </w:tc>
        <w:tc>
          <w:tcPr>
            <w:tcW w:w="699" w:type="pct"/>
            <w:vAlign w:val="center"/>
          </w:tcPr>
          <w:p w14:paraId="763402DB"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000</w:t>
            </w:r>
          </w:p>
        </w:tc>
        <w:tc>
          <w:tcPr>
            <w:tcW w:w="925" w:type="pct"/>
            <w:vAlign w:val="center"/>
          </w:tcPr>
          <w:p w14:paraId="445E956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w:t>
            </w:r>
            <w:r w:rsidRPr="007F1E37">
              <w:rPr>
                <w:rFonts w:ascii="Times New Roman" w:hAnsi="Times New Roman" w:cs="Times New Roman"/>
                <w:cs/>
                <w:lang w:bidi="bn-IN"/>
              </w:rPr>
              <w:t>.</w:t>
            </w:r>
            <w:r w:rsidRPr="007F1E37">
              <w:rPr>
                <w:rFonts w:ascii="Times New Roman" w:hAnsi="Times New Roman" w:cs="Times New Roman"/>
                <w:lang w:bidi="bn-IN"/>
              </w:rPr>
              <w:t>000</w:t>
            </w:r>
          </w:p>
        </w:tc>
        <w:tc>
          <w:tcPr>
            <w:tcW w:w="659" w:type="pct"/>
            <w:vAlign w:val="center"/>
          </w:tcPr>
          <w:p w14:paraId="7B9758D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371631BB" w14:textId="77777777" w:rsidTr="00DB4774">
        <w:trPr>
          <w:trHeight w:val="340"/>
          <w:jc w:val="center"/>
        </w:trPr>
        <w:tc>
          <w:tcPr>
            <w:tcW w:w="1269" w:type="pct"/>
            <w:vAlign w:val="center"/>
          </w:tcPr>
          <w:p w14:paraId="0863B8B8"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Std</w:t>
            </w:r>
            <w:r w:rsidRPr="007F1E37">
              <w:rPr>
                <w:rFonts w:ascii="Times New Roman" w:hAnsi="Times New Roman" w:cs="Times New Roman"/>
                <w:cs/>
                <w:lang w:bidi="bn-IN"/>
              </w:rPr>
              <w:t xml:space="preserve">. </w:t>
            </w:r>
            <w:r w:rsidRPr="007F1E37">
              <w:rPr>
                <w:rFonts w:ascii="Times New Roman" w:hAnsi="Times New Roman" w:cs="Times New Roman"/>
                <w:lang w:bidi="bn-IN"/>
              </w:rPr>
              <w:t>Residual</w:t>
            </w:r>
          </w:p>
        </w:tc>
        <w:tc>
          <w:tcPr>
            <w:tcW w:w="738" w:type="pct"/>
            <w:vAlign w:val="center"/>
          </w:tcPr>
          <w:p w14:paraId="74B22450"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4</w:t>
            </w:r>
            <w:r w:rsidRPr="007F1E37">
              <w:rPr>
                <w:rFonts w:ascii="Times New Roman" w:hAnsi="Times New Roman" w:cs="Times New Roman"/>
                <w:cs/>
                <w:lang w:bidi="bn-IN"/>
              </w:rPr>
              <w:t>.</w:t>
            </w:r>
            <w:r w:rsidRPr="007F1E37">
              <w:rPr>
                <w:rFonts w:ascii="Times New Roman" w:hAnsi="Times New Roman" w:cs="Times New Roman"/>
                <w:lang w:bidi="bn-IN"/>
              </w:rPr>
              <w:t>131</w:t>
            </w:r>
          </w:p>
        </w:tc>
        <w:tc>
          <w:tcPr>
            <w:tcW w:w="709" w:type="pct"/>
            <w:vAlign w:val="center"/>
          </w:tcPr>
          <w:p w14:paraId="7127F71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w:t>
            </w:r>
            <w:r w:rsidRPr="007F1E37">
              <w:rPr>
                <w:rFonts w:ascii="Times New Roman" w:hAnsi="Times New Roman" w:cs="Times New Roman"/>
                <w:cs/>
                <w:lang w:bidi="bn-IN"/>
              </w:rPr>
              <w:t>.</w:t>
            </w:r>
            <w:r w:rsidRPr="007F1E37">
              <w:rPr>
                <w:rFonts w:ascii="Times New Roman" w:hAnsi="Times New Roman" w:cs="Times New Roman"/>
                <w:lang w:bidi="bn-IN"/>
              </w:rPr>
              <w:t>872</w:t>
            </w:r>
          </w:p>
        </w:tc>
        <w:tc>
          <w:tcPr>
            <w:tcW w:w="699" w:type="pct"/>
            <w:vAlign w:val="center"/>
          </w:tcPr>
          <w:p w14:paraId="253FFCA9"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000</w:t>
            </w:r>
          </w:p>
        </w:tc>
        <w:tc>
          <w:tcPr>
            <w:tcW w:w="925" w:type="pct"/>
            <w:vAlign w:val="center"/>
          </w:tcPr>
          <w:p w14:paraId="22CCB33E"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993</w:t>
            </w:r>
          </w:p>
        </w:tc>
        <w:tc>
          <w:tcPr>
            <w:tcW w:w="659" w:type="pct"/>
            <w:vAlign w:val="center"/>
          </w:tcPr>
          <w:p w14:paraId="22050ED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3B3B5F2A" w14:textId="77777777" w:rsidTr="00DB4774">
        <w:trPr>
          <w:trHeight w:val="340"/>
          <w:jc w:val="center"/>
        </w:trPr>
        <w:tc>
          <w:tcPr>
            <w:tcW w:w="5000" w:type="pct"/>
            <w:gridSpan w:val="6"/>
            <w:vAlign w:val="center"/>
          </w:tcPr>
          <w:p w14:paraId="697EA98C" w14:textId="77777777" w:rsidR="00223D84" w:rsidRPr="007F1E37" w:rsidRDefault="00223D84" w:rsidP="007F1E37">
            <w:pPr>
              <w:pStyle w:val="NoSpacing"/>
              <w:rPr>
                <w:rFonts w:ascii="Times New Roman" w:hAnsi="Times New Roman" w:cs="Times New Roman"/>
                <w:lang w:bidi="bn-IN"/>
              </w:rPr>
            </w:pPr>
            <w:r w:rsidRPr="007F1E37">
              <w:rPr>
                <w:rFonts w:ascii="Times New Roman" w:hAnsi="Times New Roman" w:cs="Times New Roman"/>
                <w:lang w:bidi="bn-IN"/>
              </w:rPr>
              <w:t>a</w:t>
            </w:r>
            <w:r w:rsidRPr="007F1E37">
              <w:rPr>
                <w:rFonts w:ascii="Times New Roman" w:hAnsi="Times New Roman" w:cs="Times New Roman"/>
                <w:cs/>
                <w:lang w:bidi="bn-IN"/>
              </w:rPr>
              <w:t xml:space="preserve">. </w:t>
            </w:r>
            <w:r w:rsidRPr="007F1E37">
              <w:rPr>
                <w:rFonts w:ascii="Times New Roman" w:hAnsi="Times New Roman" w:cs="Times New Roman"/>
                <w:lang w:bidi="bn-IN"/>
              </w:rPr>
              <w:t>Dependent Variable</w:t>
            </w:r>
            <w:r w:rsidRPr="007F1E37">
              <w:rPr>
                <w:rFonts w:ascii="Times New Roman" w:hAnsi="Times New Roman" w:cs="Times New Roman"/>
                <w:cs/>
                <w:lang w:bidi="bn-IN"/>
              </w:rPr>
              <w:t xml:space="preserve">: </w:t>
            </w:r>
            <w:proofErr w:type="spellStart"/>
            <w:r w:rsidRPr="007F1E37">
              <w:rPr>
                <w:rFonts w:ascii="Times New Roman" w:hAnsi="Times New Roman" w:cs="Times New Roman"/>
                <w:lang w:bidi="bn-IN"/>
              </w:rPr>
              <w:t>CRT_Behaviour</w:t>
            </w:r>
            <w:proofErr w:type="spellEnd"/>
            <w:r w:rsidRPr="007F1E37">
              <w:rPr>
                <w:rFonts w:ascii="Times New Roman" w:hAnsi="Times New Roman" w:cs="Times New Roman"/>
                <w:lang w:bidi="bn-IN"/>
              </w:rPr>
              <w:t xml:space="preserve"> Scale</w:t>
            </w:r>
          </w:p>
        </w:tc>
      </w:tr>
    </w:tbl>
    <w:p w14:paraId="54E0F910" w14:textId="5B4F3972" w:rsidR="00FA2ABD" w:rsidRPr="00952035" w:rsidRDefault="005539FA" w:rsidP="00952035">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5539FA">
        <w:rPr>
          <w:rFonts w:ascii="Times New Roman" w:hAnsi="Times New Roman" w:cs="Times New Roman"/>
          <w:kern w:val="0"/>
          <w:sz w:val="24"/>
          <w:szCs w:val="24"/>
          <w:lang w:bidi="bn-IN"/>
        </w:rPr>
        <w:t>T</w:t>
      </w:r>
      <w:r w:rsidR="001A1FD2">
        <w:rPr>
          <w:rFonts w:ascii="Times New Roman" w:hAnsi="Times New Roman" w:cs="Times New Roman"/>
          <w:kern w:val="0"/>
          <w:sz w:val="24"/>
          <w:szCs w:val="24"/>
          <w:lang w:bidi="bn-IN"/>
        </w:rPr>
        <w:t>able 15</w:t>
      </w:r>
      <w:r w:rsidRPr="005539FA">
        <w:rPr>
          <w:rFonts w:ascii="Times New Roman" w:hAnsi="Times New Roman" w:cs="Times New Roman"/>
          <w:kern w:val="0"/>
          <w:sz w:val="24"/>
          <w:szCs w:val="24"/>
          <w:lang w:bidi="bn-IN"/>
        </w:rPr>
        <w:t xml:space="preserve"> residuals statistics provide information about the accuracy and distribution of the predicted values in the regression model. The predicted values of career risk-taking behaviour range from 112.60 to 119.78, with a mean of 116.61 and a standard deviation of 2.01, indicating a relatively narrow spread of predicted scores.</w:t>
      </w:r>
      <w:r>
        <w:rPr>
          <w:rFonts w:ascii="Times New Roman" w:hAnsi="Times New Roman" w:cs="Times New Roman"/>
          <w:kern w:val="0"/>
          <w:sz w:val="24"/>
          <w:szCs w:val="24"/>
          <w:lang w:bidi="bn-IN"/>
        </w:rPr>
        <w:t xml:space="preserve"> </w:t>
      </w:r>
      <w:r w:rsidRPr="005539FA">
        <w:rPr>
          <w:rFonts w:ascii="Times New Roman" w:hAnsi="Times New Roman" w:cs="Times New Roman"/>
          <w:kern w:val="0"/>
          <w:sz w:val="24"/>
          <w:szCs w:val="24"/>
          <w:lang w:bidi="bn-IN"/>
        </w:rPr>
        <w:t>The residual values range from -84.78 to 58.94, with a mean of 0.00 and a standard deviation of 20.38. The mean residual of zero suggests that the model does not systematically overestimate or underestimate the dependent variable. However, the wide range of residuals indicates substantial variability between observed and predicted values.</w:t>
      </w:r>
      <w:r w:rsidR="008F0E04">
        <w:rPr>
          <w:rFonts w:ascii="Times New Roman" w:hAnsi="Times New Roman" w:cs="Times New Roman"/>
          <w:kern w:val="0"/>
          <w:sz w:val="24"/>
          <w:szCs w:val="24"/>
          <w:lang w:bidi="bn-IN"/>
        </w:rPr>
        <w:t xml:space="preserve"> </w:t>
      </w:r>
    </w:p>
    <w:p w14:paraId="7B4C54DE" w14:textId="77777777" w:rsidR="00952035" w:rsidRDefault="00223D84" w:rsidP="00952035">
      <w:pPr>
        <w:keepNext/>
        <w:autoSpaceDE w:val="0"/>
        <w:autoSpaceDN w:val="0"/>
        <w:adjustRightInd w:val="0"/>
        <w:spacing w:before="0" w:beforeAutospacing="0" w:afterAutospacing="0" w:line="400" w:lineRule="atLeast"/>
        <w:jc w:val="left"/>
      </w:pPr>
      <w:r w:rsidRPr="00223D84">
        <w:rPr>
          <w:rFonts w:ascii="Times New Roman" w:hAnsi="Times New Roman" w:cs="Times New Roman"/>
          <w:noProof/>
          <w:kern w:val="0"/>
          <w:sz w:val="24"/>
          <w:szCs w:val="24"/>
          <w:lang w:bidi="bn-IN"/>
        </w:rPr>
        <w:lastRenderedPageBreak/>
        <w:drawing>
          <wp:inline distT="0" distB="0" distL="0" distR="0" wp14:anchorId="11772620" wp14:editId="233A99F3">
            <wp:extent cx="5727708" cy="3550024"/>
            <wp:effectExtent l="0" t="0" r="6350" b="0"/>
            <wp:docPr id="1212056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4261" cy="3591273"/>
                    </a:xfrm>
                    <a:prstGeom prst="rect">
                      <a:avLst/>
                    </a:prstGeom>
                    <a:noFill/>
                    <a:ln>
                      <a:noFill/>
                    </a:ln>
                  </pic:spPr>
                </pic:pic>
              </a:graphicData>
            </a:graphic>
          </wp:inline>
        </w:drawing>
      </w:r>
    </w:p>
    <w:p w14:paraId="7DC65D1A" w14:textId="3C09EA25" w:rsidR="00BD2D64" w:rsidRPr="00952035" w:rsidRDefault="00952035" w:rsidP="00952035">
      <w:pPr>
        <w:pStyle w:val="Caption"/>
        <w:jc w:val="left"/>
        <w:rPr>
          <w:rFonts w:ascii="Times New Roman" w:hAnsi="Times New Roman" w:cs="Times New Roman"/>
          <w:b/>
          <w:bCs/>
          <w:color w:val="000000" w:themeColor="text1"/>
          <w:kern w:val="0"/>
          <w:sz w:val="28"/>
          <w:szCs w:val="28"/>
          <w:lang w:bidi="bn-IN"/>
        </w:rPr>
      </w:pPr>
      <w:r w:rsidRPr="00952035">
        <w:rPr>
          <w:rFonts w:ascii="Times New Roman" w:hAnsi="Times New Roman" w:cs="Times New Roman"/>
          <w:b/>
          <w:bCs/>
          <w:color w:val="000000" w:themeColor="text1"/>
          <w:sz w:val="20"/>
          <w:szCs w:val="20"/>
        </w:rPr>
        <w:t xml:space="preserve">Figure </w:t>
      </w:r>
      <w:r w:rsidRPr="00952035">
        <w:rPr>
          <w:rFonts w:ascii="Times New Roman" w:hAnsi="Times New Roman" w:cs="Times New Roman"/>
          <w:b/>
          <w:bCs/>
          <w:color w:val="000000" w:themeColor="text1"/>
          <w:sz w:val="20"/>
          <w:szCs w:val="20"/>
        </w:rPr>
        <w:fldChar w:fldCharType="begin"/>
      </w:r>
      <w:r w:rsidRPr="00952035">
        <w:rPr>
          <w:rFonts w:ascii="Times New Roman" w:hAnsi="Times New Roman" w:cs="Times New Roman"/>
          <w:b/>
          <w:bCs/>
          <w:color w:val="000000" w:themeColor="text1"/>
          <w:sz w:val="20"/>
          <w:szCs w:val="20"/>
        </w:rPr>
        <w:instrText xml:space="preserve"> SEQ Figure \* ARABIC </w:instrText>
      </w:r>
      <w:r w:rsidRPr="00952035">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6</w:t>
      </w:r>
      <w:r w:rsidRPr="00952035">
        <w:rPr>
          <w:rFonts w:ascii="Times New Roman" w:hAnsi="Times New Roman" w:cs="Times New Roman"/>
          <w:b/>
          <w:bCs/>
          <w:color w:val="000000" w:themeColor="text1"/>
          <w:sz w:val="20"/>
          <w:szCs w:val="20"/>
        </w:rPr>
        <w:fldChar w:fldCharType="end"/>
      </w:r>
      <w:r w:rsidRPr="00952035">
        <w:rPr>
          <w:rFonts w:ascii="Times New Roman" w:hAnsi="Times New Roman" w:cs="Times New Roman"/>
          <w:b/>
          <w:bCs/>
          <w:color w:val="000000" w:themeColor="text1"/>
          <w:sz w:val="20"/>
          <w:szCs w:val="20"/>
        </w:rPr>
        <w:t>: Scatterplot of Standardised Residuals vs Standardised Predicted Values</w:t>
      </w:r>
    </w:p>
    <w:p w14:paraId="44244026" w14:textId="57B2517E" w:rsidR="00223D84" w:rsidRPr="00223D84" w:rsidRDefault="001A1FD2" w:rsidP="00952035">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Pr>
          <w:rFonts w:ascii="Times New Roman" w:hAnsi="Times New Roman" w:cs="Times New Roman"/>
          <w:kern w:val="0"/>
          <w:sz w:val="24"/>
          <w:szCs w:val="24"/>
          <w:lang w:bidi="bn-IN"/>
        </w:rPr>
        <w:t xml:space="preserve">Figure 6 </w:t>
      </w:r>
      <w:r w:rsidR="00DF66EA">
        <w:rPr>
          <w:rFonts w:ascii="Times New Roman" w:hAnsi="Times New Roman" w:cs="Times New Roman"/>
          <w:kern w:val="0"/>
          <w:sz w:val="24"/>
          <w:szCs w:val="24"/>
          <w:lang w:bidi="bn-IN"/>
        </w:rPr>
        <w:t xml:space="preserve">shows a </w:t>
      </w:r>
      <w:r w:rsidR="00FD315A" w:rsidRPr="00FD315A">
        <w:rPr>
          <w:rFonts w:ascii="Times New Roman" w:hAnsi="Times New Roman" w:cs="Times New Roman"/>
          <w:kern w:val="0"/>
          <w:sz w:val="24"/>
          <w:szCs w:val="24"/>
          <w:lang w:bidi="bn-IN"/>
        </w:rPr>
        <w:t>lack of a distinct pattern in the scatterplot suggests that the independent variables included in the model do not adequately explain variations in career risk-taking behaviour. This supports the non-significant findings obtained from regression analysis and highlights the limited role of socioeconomic and demographic factors in predicting the outcome variable.</w:t>
      </w:r>
    </w:p>
    <w:p w14:paraId="5C98ADD9" w14:textId="77777777" w:rsidR="00D81069" w:rsidRPr="00D81069" w:rsidRDefault="00D81069" w:rsidP="00BD2D64">
      <w:pPr>
        <w:pStyle w:val="NoSpacing"/>
        <w:jc w:val="both"/>
        <w:rPr>
          <w:rFonts w:ascii="Times New Roman" w:hAnsi="Times New Roman" w:cs="Times New Roman"/>
          <w:b/>
          <w:bCs/>
          <w:sz w:val="28"/>
          <w:szCs w:val="28"/>
        </w:rPr>
      </w:pPr>
    </w:p>
    <w:p w14:paraId="07375EE0" w14:textId="7DE94313" w:rsidR="00797421" w:rsidRDefault="002266A1" w:rsidP="00FF35DD">
      <w:pPr>
        <w:pStyle w:val="NoSpacing"/>
        <w:numPr>
          <w:ilvl w:val="0"/>
          <w:numId w:val="31"/>
        </w:numPr>
        <w:rPr>
          <w:rFonts w:ascii="Times New Roman" w:hAnsi="Times New Roman" w:cs="Times New Roman"/>
          <w:b/>
          <w:bCs/>
          <w:sz w:val="28"/>
          <w:szCs w:val="28"/>
        </w:rPr>
      </w:pPr>
      <w:r>
        <w:rPr>
          <w:rFonts w:ascii="Times New Roman" w:hAnsi="Times New Roman" w:cs="Times New Roman"/>
          <w:b/>
          <w:bCs/>
          <w:sz w:val="28"/>
          <w:szCs w:val="28"/>
        </w:rPr>
        <w:t>Summary</w:t>
      </w:r>
      <w:r w:rsidR="003B61C3" w:rsidRPr="00FF35DD">
        <w:rPr>
          <w:rFonts w:ascii="Times New Roman" w:hAnsi="Times New Roman" w:cs="Times New Roman"/>
          <w:b/>
          <w:bCs/>
          <w:sz w:val="28"/>
          <w:szCs w:val="28"/>
        </w:rPr>
        <w:t xml:space="preserve"> and </w:t>
      </w:r>
      <w:r w:rsidR="00797421" w:rsidRPr="00FF35DD">
        <w:rPr>
          <w:rFonts w:ascii="Times New Roman" w:hAnsi="Times New Roman" w:cs="Times New Roman"/>
          <w:b/>
          <w:bCs/>
          <w:sz w:val="28"/>
          <w:szCs w:val="28"/>
        </w:rPr>
        <w:t>Conclusion</w:t>
      </w:r>
    </w:p>
    <w:p w14:paraId="2A4E09CB" w14:textId="77777777" w:rsidR="00CF1235" w:rsidRDefault="00CF1235" w:rsidP="00CF1235">
      <w:pPr>
        <w:pStyle w:val="NoSpacing"/>
        <w:jc w:val="both"/>
        <w:rPr>
          <w:rFonts w:ascii="Times New Roman" w:hAnsi="Times New Roman" w:cs="Times New Roman"/>
          <w:sz w:val="24"/>
          <w:szCs w:val="24"/>
        </w:rPr>
      </w:pPr>
    </w:p>
    <w:p w14:paraId="120BF4A5" w14:textId="77777777"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 xml:space="preserve">The findings of the study reveal a clear and consistent pattern in the distribution and determinants of career risk-taking behaviour among secondary school students. The predominance of a </w:t>
      </w:r>
      <w:r w:rsidRPr="003A6E54">
        <w:rPr>
          <w:rFonts w:ascii="Times New Roman" w:hAnsi="Times New Roman" w:cs="Times New Roman"/>
          <w:sz w:val="24"/>
          <w:szCs w:val="24"/>
        </w:rPr>
        <w:t>moderate level of career risk-taking behaviour (74.5%)</w:t>
      </w:r>
      <w:r w:rsidRPr="00017F19">
        <w:rPr>
          <w:rFonts w:ascii="Times New Roman" w:hAnsi="Times New Roman" w:cs="Times New Roman"/>
          <w:sz w:val="24"/>
          <w:szCs w:val="24"/>
        </w:rPr>
        <w:t xml:space="preserve"> suggests that most students adopt a balanced approach toward career decision-making, indicating a tendency to weigh both risk and stability rather than exhibit extreme orientations. This pattern reflects a cautious yet adaptive behavioural tendency, which may be shaped by broader socio-cultural and educational influences.</w:t>
      </w:r>
    </w:p>
    <w:p w14:paraId="6FB51875" w14:textId="77777777"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Analysis of demographic characteristics indicates a relatively balanced representation across gender and academic streams, with a larger proportion of students belonging to government schools and lower to middle socioeconomic backgrounds. However, despite this variation, the distribution of career risk-taking behaviour remains largely consistent across groups, suggesting that demographic factors do not substantially differentiate students’ risk orientation.</w:t>
      </w:r>
    </w:p>
    <w:p w14:paraId="11783B64" w14:textId="77777777"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 xml:space="preserve">Importantly, inferential analyses provide strong evidence against the assumed influence of socioeconomic status on career risk-taking behaviour. The </w:t>
      </w:r>
      <w:r w:rsidRPr="003A6E54">
        <w:rPr>
          <w:rFonts w:ascii="Times New Roman" w:hAnsi="Times New Roman" w:cs="Times New Roman"/>
          <w:sz w:val="24"/>
          <w:szCs w:val="24"/>
        </w:rPr>
        <w:t>Chi-square test</w:t>
      </w:r>
      <w:r w:rsidRPr="00017F19">
        <w:rPr>
          <w:rFonts w:ascii="Times New Roman" w:hAnsi="Times New Roman" w:cs="Times New Roman"/>
          <w:sz w:val="24"/>
          <w:szCs w:val="24"/>
        </w:rPr>
        <w:t xml:space="preserve"> indicates no significant association between SES and levels of career risk-taking behaviour (p &gt; 0.05), while the </w:t>
      </w:r>
      <w:r w:rsidRPr="003A6E54">
        <w:rPr>
          <w:rFonts w:ascii="Times New Roman" w:hAnsi="Times New Roman" w:cs="Times New Roman"/>
          <w:sz w:val="24"/>
          <w:szCs w:val="24"/>
        </w:rPr>
        <w:t>one-way ANOVA</w:t>
      </w:r>
      <w:r w:rsidRPr="00017F19">
        <w:rPr>
          <w:rFonts w:ascii="Times New Roman" w:hAnsi="Times New Roman" w:cs="Times New Roman"/>
          <w:sz w:val="24"/>
          <w:szCs w:val="24"/>
        </w:rPr>
        <w:t xml:space="preserve"> further confirms the absence of significant differences across income </w:t>
      </w:r>
      <w:r w:rsidRPr="00017F19">
        <w:rPr>
          <w:rFonts w:ascii="Times New Roman" w:hAnsi="Times New Roman" w:cs="Times New Roman"/>
          <w:sz w:val="24"/>
          <w:szCs w:val="24"/>
        </w:rPr>
        <w:lastRenderedPageBreak/>
        <w:t>groups. These findings suggest that students from different socioeconomic backgrounds exhibit comparable behavioural patterns in relation to career risk.</w:t>
      </w:r>
    </w:p>
    <w:p w14:paraId="4C8B1A9C" w14:textId="77777777"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Similarly, cross-tabulation analyses across demographic variables such as type of school and academic stream reveal a uniform pattern, with the majority of students in all categories demonstrating moderate levels of career risk-taking behaviour. This consistency reinforces the notion that these variables exert minimal influence on the behavioural outcome.</w:t>
      </w:r>
    </w:p>
    <w:p w14:paraId="0F889DC1" w14:textId="77777777"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 xml:space="preserve">The </w:t>
      </w:r>
      <w:r w:rsidRPr="003329DB">
        <w:rPr>
          <w:rFonts w:ascii="Times New Roman" w:hAnsi="Times New Roman" w:cs="Times New Roman"/>
          <w:sz w:val="24"/>
          <w:szCs w:val="24"/>
        </w:rPr>
        <w:t>multiple regression</w:t>
      </w:r>
      <w:r w:rsidRPr="00017F19">
        <w:rPr>
          <w:rFonts w:ascii="Times New Roman" w:hAnsi="Times New Roman" w:cs="Times New Roman"/>
          <w:b/>
          <w:bCs/>
          <w:sz w:val="24"/>
          <w:szCs w:val="24"/>
        </w:rPr>
        <w:t xml:space="preserve"> </w:t>
      </w:r>
      <w:r w:rsidRPr="003329DB">
        <w:rPr>
          <w:rFonts w:ascii="Times New Roman" w:hAnsi="Times New Roman" w:cs="Times New Roman"/>
          <w:sz w:val="24"/>
          <w:szCs w:val="24"/>
        </w:rPr>
        <w:t>analysis</w:t>
      </w:r>
      <w:r w:rsidRPr="00017F19">
        <w:rPr>
          <w:rFonts w:ascii="Times New Roman" w:hAnsi="Times New Roman" w:cs="Times New Roman"/>
          <w:sz w:val="24"/>
          <w:szCs w:val="24"/>
        </w:rPr>
        <w:t xml:space="preserve"> provides further analytical depth by examining the predictive capacity of SES and demographic variables. The results indicate that these variables do not significantly predict career risk-taking behaviour (R² = 0.010, p &gt; 0.05), highlighting the extremely low explanatory power of the model. This suggests that only a negligible proportion of variance in career risk-taking behaviour can be attributed to socioeconomic and demographic factors.</w:t>
      </w:r>
    </w:p>
    <w:p w14:paraId="0718A8BE" w14:textId="77777777"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Moreover, residual analysis and scatterplot examination reveal a lack of systematic pattern, indicating weak model fit and reinforcing the limited predictive relevance of the selected variables. The presence of variability and outliers further suggests that unmeasured factors may play a more substantial role in shaping career risk-taking behaviour.</w:t>
      </w:r>
    </w:p>
    <w:p w14:paraId="580E3A44" w14:textId="44ABB5B6" w:rsidR="00017F19" w:rsidRPr="00017F19" w:rsidRDefault="00017F19" w:rsidP="00017F19">
      <w:pPr>
        <w:pStyle w:val="NoSpacing"/>
        <w:ind w:firstLine="720"/>
        <w:jc w:val="both"/>
        <w:rPr>
          <w:rFonts w:ascii="Times New Roman" w:hAnsi="Times New Roman" w:cs="Times New Roman"/>
          <w:sz w:val="24"/>
          <w:szCs w:val="24"/>
        </w:rPr>
      </w:pPr>
      <w:r w:rsidRPr="00017F19">
        <w:rPr>
          <w:rFonts w:ascii="Times New Roman" w:hAnsi="Times New Roman" w:cs="Times New Roman"/>
          <w:sz w:val="24"/>
          <w:szCs w:val="24"/>
        </w:rPr>
        <w:t>Overall, the findings challenge the conventional assumption of socioeconomic determinism in career development. The consistent absence of significant relationships across multiple statistical techniques</w:t>
      </w:r>
      <w:r w:rsidR="003A6E54">
        <w:rPr>
          <w:rFonts w:ascii="Times New Roman" w:hAnsi="Times New Roman" w:cs="Times New Roman"/>
          <w:sz w:val="24"/>
          <w:szCs w:val="24"/>
        </w:rPr>
        <w:t>-</w:t>
      </w:r>
      <w:r w:rsidRPr="00017F19">
        <w:rPr>
          <w:rFonts w:ascii="Times New Roman" w:hAnsi="Times New Roman" w:cs="Times New Roman"/>
          <w:sz w:val="24"/>
          <w:szCs w:val="24"/>
        </w:rPr>
        <w:t>correlation, chi-square, ANOVA, and regression</w:t>
      </w:r>
      <w:r w:rsidR="003A6E54">
        <w:rPr>
          <w:rFonts w:ascii="Times New Roman" w:hAnsi="Times New Roman" w:cs="Times New Roman"/>
          <w:sz w:val="24"/>
          <w:szCs w:val="24"/>
        </w:rPr>
        <w:t>-</w:t>
      </w:r>
      <w:r w:rsidRPr="00017F19">
        <w:rPr>
          <w:rFonts w:ascii="Times New Roman" w:hAnsi="Times New Roman" w:cs="Times New Roman"/>
          <w:sz w:val="24"/>
          <w:szCs w:val="24"/>
        </w:rPr>
        <w:t xml:space="preserve">indicates that career risk-taking behaviour is largely independent of socioeconomic status. Instead, the results point toward the likely influence of </w:t>
      </w:r>
      <w:r w:rsidRPr="00F90197">
        <w:rPr>
          <w:rFonts w:ascii="Times New Roman" w:hAnsi="Times New Roman" w:cs="Times New Roman"/>
          <w:sz w:val="24"/>
          <w:szCs w:val="24"/>
        </w:rPr>
        <w:t>psychological, social, and contextual factors,</w:t>
      </w:r>
      <w:r w:rsidRPr="00017F19">
        <w:rPr>
          <w:rFonts w:ascii="Times New Roman" w:hAnsi="Times New Roman" w:cs="Times New Roman"/>
          <w:sz w:val="24"/>
          <w:szCs w:val="24"/>
        </w:rPr>
        <w:t xml:space="preserve"> such as self-efficacy, motivation, exposure, and institutional support, which may better explain variations in career-related risk behaviour.</w:t>
      </w:r>
    </w:p>
    <w:p w14:paraId="40D6115A" w14:textId="77777777" w:rsidR="0033339D" w:rsidRDefault="0033339D" w:rsidP="0033339D">
      <w:pPr>
        <w:pStyle w:val="NoSpacing"/>
        <w:ind w:firstLine="720"/>
        <w:jc w:val="both"/>
        <w:rPr>
          <w:rFonts w:ascii="Times New Roman" w:hAnsi="Times New Roman" w:cs="Times New Roman"/>
          <w:sz w:val="24"/>
          <w:szCs w:val="24"/>
        </w:rPr>
      </w:pPr>
    </w:p>
    <w:p w14:paraId="5ED9F01D" w14:textId="31DB0B0A" w:rsidR="0033339D" w:rsidRPr="0033339D" w:rsidRDefault="0033339D" w:rsidP="0033339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w:t>
      </w:r>
      <w:r w:rsidRPr="0033339D">
        <w:rPr>
          <w:rFonts w:ascii="Times New Roman" w:hAnsi="Times New Roman" w:cs="Times New Roman"/>
          <w:sz w:val="24"/>
          <w:szCs w:val="24"/>
        </w:rPr>
        <w:t xml:space="preserve">he study challenges the deterministic view of socioeconomic status and </w:t>
      </w:r>
      <w:r>
        <w:rPr>
          <w:rFonts w:ascii="Times New Roman" w:hAnsi="Times New Roman" w:cs="Times New Roman"/>
          <w:sz w:val="24"/>
          <w:szCs w:val="24"/>
        </w:rPr>
        <w:t>emphasises</w:t>
      </w:r>
      <w:r w:rsidRPr="0033339D">
        <w:rPr>
          <w:rFonts w:ascii="Times New Roman" w:hAnsi="Times New Roman" w:cs="Times New Roman"/>
          <w:sz w:val="24"/>
          <w:szCs w:val="24"/>
        </w:rPr>
        <w:t xml:space="preserve"> the need for a multidimensional perspective in understanding career development. It highlights that factors such as personal interests, self-efficacy, parental guidance, peer influence, and educational exposure may play a more crucial role in shaping students’ career-related decisions.</w:t>
      </w:r>
    </w:p>
    <w:p w14:paraId="59A24AE3" w14:textId="45307736" w:rsidR="00237A11" w:rsidRDefault="0033339D" w:rsidP="00912313">
      <w:pPr>
        <w:pStyle w:val="NoSpacing"/>
        <w:jc w:val="both"/>
        <w:rPr>
          <w:rFonts w:ascii="Times New Roman" w:hAnsi="Times New Roman" w:cs="Times New Roman"/>
          <w:b/>
          <w:bCs/>
          <w:sz w:val="28"/>
          <w:szCs w:val="28"/>
        </w:rPr>
      </w:pPr>
      <w:r w:rsidRPr="0033339D">
        <w:rPr>
          <w:rFonts w:ascii="Times New Roman" w:hAnsi="Times New Roman" w:cs="Times New Roman"/>
          <w:sz w:val="24"/>
          <w:szCs w:val="24"/>
        </w:rPr>
        <w:t>In conclusion, the study contributes to the existing literature by providing empirical evidence that career risk-taking behaviour among adolescents is largely independent of socioeconomic status, thereby offering important implications for educational policy, career guidance, and future research</w:t>
      </w:r>
      <w:r w:rsidRPr="0033339D">
        <w:rPr>
          <w:rFonts w:ascii="Times New Roman" w:hAnsi="Times New Roman" w:cs="Times New Roman"/>
          <w:b/>
          <w:bCs/>
          <w:sz w:val="28"/>
          <w:szCs w:val="28"/>
        </w:rPr>
        <w:t>.</w:t>
      </w:r>
    </w:p>
    <w:p w14:paraId="7353E00F" w14:textId="77777777" w:rsidR="00912313" w:rsidRDefault="00912313" w:rsidP="00912313">
      <w:pPr>
        <w:pStyle w:val="NoSpacing"/>
        <w:jc w:val="both"/>
        <w:rPr>
          <w:rFonts w:ascii="Times New Roman" w:hAnsi="Times New Roman" w:cs="Times New Roman"/>
          <w:b/>
          <w:bCs/>
          <w:sz w:val="28"/>
          <w:szCs w:val="28"/>
        </w:rPr>
      </w:pPr>
    </w:p>
    <w:p w14:paraId="19DBB5F3" w14:textId="77777777" w:rsidR="008F48C7" w:rsidRPr="008F48C7" w:rsidRDefault="008F48C7" w:rsidP="008F48C7">
      <w:pPr>
        <w:pStyle w:val="NoSpacing"/>
        <w:jc w:val="both"/>
        <w:rPr>
          <w:rFonts w:ascii="Times New Roman" w:hAnsi="Times New Roman" w:cs="Times New Roman"/>
          <w:b/>
          <w:bCs/>
          <w:sz w:val="24"/>
          <w:szCs w:val="24"/>
        </w:rPr>
      </w:pPr>
      <w:r w:rsidRPr="008F48C7">
        <w:rPr>
          <w:rFonts w:ascii="Times New Roman" w:hAnsi="Times New Roman" w:cs="Times New Roman"/>
          <w:b/>
          <w:bCs/>
          <w:sz w:val="24"/>
          <w:szCs w:val="24"/>
        </w:rPr>
        <w:t>Limitations of the Study</w:t>
      </w:r>
    </w:p>
    <w:p w14:paraId="1CDFF89B" w14:textId="74F0F827" w:rsidR="008F48C7" w:rsidRPr="008F48C7" w:rsidRDefault="008F48C7" w:rsidP="008F48C7">
      <w:pPr>
        <w:pStyle w:val="NoSpacing"/>
        <w:jc w:val="both"/>
        <w:rPr>
          <w:rFonts w:ascii="Times New Roman" w:hAnsi="Times New Roman" w:cs="Times New Roman"/>
          <w:sz w:val="24"/>
          <w:szCs w:val="24"/>
        </w:rPr>
      </w:pPr>
      <w:r w:rsidRPr="008F48C7">
        <w:rPr>
          <w:rFonts w:ascii="Times New Roman" w:hAnsi="Times New Roman" w:cs="Times New Roman"/>
          <w:sz w:val="24"/>
          <w:szCs w:val="24"/>
        </w:rPr>
        <w:t xml:space="preserve">Despite its analytical </w:t>
      </w:r>
      <w:r w:rsidR="003329DB">
        <w:rPr>
          <w:rFonts w:ascii="Times New Roman" w:hAnsi="Times New Roman" w:cs="Times New Roman"/>
          <w:sz w:val="24"/>
          <w:szCs w:val="24"/>
        </w:rPr>
        <w:t>rigour</w:t>
      </w:r>
      <w:r w:rsidRPr="008F48C7">
        <w:rPr>
          <w:rFonts w:ascii="Times New Roman" w:hAnsi="Times New Roman" w:cs="Times New Roman"/>
          <w:sz w:val="24"/>
          <w:szCs w:val="24"/>
        </w:rPr>
        <w:t xml:space="preserve">, the study is limited by its confined sample, simplified SES measure, and cross-sectional design, which </w:t>
      </w:r>
      <w:r w:rsidR="003329DB">
        <w:rPr>
          <w:rFonts w:ascii="Times New Roman" w:hAnsi="Times New Roman" w:cs="Times New Roman"/>
          <w:sz w:val="24"/>
          <w:szCs w:val="24"/>
        </w:rPr>
        <w:t>restricts</w:t>
      </w:r>
      <w:r w:rsidRPr="008F48C7">
        <w:rPr>
          <w:rFonts w:ascii="Times New Roman" w:hAnsi="Times New Roman" w:cs="Times New Roman"/>
          <w:sz w:val="24"/>
          <w:szCs w:val="24"/>
        </w:rPr>
        <w:t xml:space="preserve"> broader generalisation and causal interpretation.</w:t>
      </w:r>
    </w:p>
    <w:p w14:paraId="5B136AAF" w14:textId="77777777" w:rsidR="008F48C7" w:rsidRDefault="008F48C7" w:rsidP="00912313">
      <w:pPr>
        <w:pStyle w:val="NoSpacing"/>
        <w:jc w:val="both"/>
        <w:rPr>
          <w:rFonts w:ascii="Times New Roman" w:hAnsi="Times New Roman" w:cs="Times New Roman"/>
          <w:b/>
          <w:bCs/>
          <w:sz w:val="24"/>
          <w:szCs w:val="24"/>
        </w:rPr>
      </w:pPr>
    </w:p>
    <w:p w14:paraId="4A16F481" w14:textId="6FD86123" w:rsidR="00912313" w:rsidRDefault="00912313" w:rsidP="00912313">
      <w:pPr>
        <w:pStyle w:val="NoSpacing"/>
        <w:jc w:val="both"/>
        <w:rPr>
          <w:rFonts w:ascii="Times New Roman" w:hAnsi="Times New Roman" w:cs="Times New Roman"/>
          <w:b/>
          <w:bCs/>
          <w:sz w:val="24"/>
          <w:szCs w:val="24"/>
        </w:rPr>
      </w:pPr>
      <w:r w:rsidRPr="00912313">
        <w:rPr>
          <w:rFonts w:ascii="Times New Roman" w:hAnsi="Times New Roman" w:cs="Times New Roman"/>
          <w:b/>
          <w:bCs/>
          <w:sz w:val="24"/>
          <w:szCs w:val="24"/>
        </w:rPr>
        <w:t xml:space="preserve">Acknowledgement </w:t>
      </w:r>
    </w:p>
    <w:p w14:paraId="6A4805FE" w14:textId="77B6439C" w:rsidR="00912313" w:rsidRDefault="00F70851" w:rsidP="00912313">
      <w:pPr>
        <w:pStyle w:val="NoSpacing"/>
        <w:jc w:val="both"/>
        <w:rPr>
          <w:rFonts w:ascii="Times New Roman" w:hAnsi="Times New Roman" w:cs="Times New Roman"/>
          <w:sz w:val="24"/>
          <w:szCs w:val="24"/>
        </w:rPr>
      </w:pPr>
      <w:r w:rsidRPr="00F70851">
        <w:rPr>
          <w:rFonts w:ascii="Times New Roman" w:hAnsi="Times New Roman" w:cs="Times New Roman"/>
          <w:sz w:val="24"/>
          <w:szCs w:val="24"/>
        </w:rPr>
        <w:t>The author thanks all participants and school authorities for their support in data collection.</w:t>
      </w:r>
    </w:p>
    <w:p w14:paraId="264CA30C" w14:textId="6517C213" w:rsidR="002266A1" w:rsidRDefault="002266A1" w:rsidP="00912313">
      <w:pPr>
        <w:pStyle w:val="NoSpacing"/>
        <w:jc w:val="both"/>
        <w:rPr>
          <w:rFonts w:ascii="Times New Roman" w:hAnsi="Times New Roman" w:cs="Times New Roman"/>
          <w:sz w:val="24"/>
          <w:szCs w:val="24"/>
        </w:rPr>
      </w:pPr>
    </w:p>
    <w:p w14:paraId="7EACCA2B" w14:textId="77777777" w:rsidR="002266A1" w:rsidRPr="002266A1" w:rsidRDefault="002266A1" w:rsidP="002266A1">
      <w:pPr>
        <w:pStyle w:val="NoSpacing"/>
        <w:rPr>
          <w:rFonts w:ascii="Times New Roman" w:hAnsi="Times New Roman" w:cs="Times New Roman"/>
          <w:b/>
          <w:sz w:val="24"/>
          <w:szCs w:val="24"/>
        </w:rPr>
      </w:pPr>
      <w:r w:rsidRPr="002266A1">
        <w:rPr>
          <w:rFonts w:ascii="Times New Roman" w:hAnsi="Times New Roman" w:cs="Times New Roman"/>
          <w:b/>
          <w:sz w:val="24"/>
          <w:szCs w:val="24"/>
        </w:rPr>
        <w:t>Ethical Approval:</w:t>
      </w:r>
    </w:p>
    <w:p w14:paraId="45D4E2E2" w14:textId="77777777" w:rsidR="002266A1" w:rsidRPr="002266A1" w:rsidRDefault="002266A1" w:rsidP="002266A1">
      <w:pPr>
        <w:pStyle w:val="NoSpacing"/>
        <w:rPr>
          <w:rFonts w:ascii="Times New Roman" w:hAnsi="Times New Roman" w:cs="Times New Roman"/>
          <w:sz w:val="24"/>
          <w:szCs w:val="24"/>
        </w:rPr>
      </w:pPr>
    </w:p>
    <w:p w14:paraId="5B7D2E04" w14:textId="7C5703C2" w:rsidR="002266A1" w:rsidRDefault="002266A1" w:rsidP="002266A1">
      <w:pPr>
        <w:pStyle w:val="NoSpacing"/>
        <w:jc w:val="both"/>
        <w:rPr>
          <w:rFonts w:ascii="Times New Roman" w:hAnsi="Times New Roman" w:cs="Times New Roman"/>
          <w:sz w:val="24"/>
          <w:szCs w:val="24"/>
        </w:rPr>
      </w:pPr>
      <w:r w:rsidRPr="002266A1">
        <w:rPr>
          <w:rFonts w:ascii="Times New Roman" w:hAnsi="Times New Roman" w:cs="Times New Roman"/>
          <w:sz w:val="24"/>
          <w:szCs w:val="24"/>
        </w:rPr>
        <w:t>As per international standards or university standards written ethical approval has been collected and preserved by the author(s).</w:t>
      </w:r>
    </w:p>
    <w:p w14:paraId="31381B4B" w14:textId="507BE2CA" w:rsidR="002266A1" w:rsidRDefault="002266A1" w:rsidP="002266A1">
      <w:pPr>
        <w:pStyle w:val="NoSpacing"/>
        <w:jc w:val="both"/>
        <w:rPr>
          <w:rFonts w:ascii="Times New Roman" w:hAnsi="Times New Roman" w:cs="Times New Roman"/>
          <w:sz w:val="24"/>
          <w:szCs w:val="24"/>
        </w:rPr>
      </w:pPr>
    </w:p>
    <w:p w14:paraId="2FC13F06" w14:textId="77777777" w:rsidR="002266A1" w:rsidRPr="002266A1" w:rsidRDefault="002266A1" w:rsidP="002266A1">
      <w:pPr>
        <w:pStyle w:val="NoSpacing"/>
        <w:rPr>
          <w:rFonts w:ascii="Times New Roman" w:hAnsi="Times New Roman" w:cs="Times New Roman"/>
          <w:b/>
          <w:sz w:val="24"/>
          <w:szCs w:val="24"/>
        </w:rPr>
      </w:pPr>
      <w:r w:rsidRPr="002266A1">
        <w:rPr>
          <w:rFonts w:ascii="Times New Roman" w:hAnsi="Times New Roman" w:cs="Times New Roman"/>
          <w:b/>
          <w:sz w:val="24"/>
          <w:szCs w:val="24"/>
        </w:rPr>
        <w:t xml:space="preserve">Consent </w:t>
      </w:r>
    </w:p>
    <w:p w14:paraId="3BB8315B" w14:textId="239B9CBA" w:rsidR="002266A1" w:rsidRPr="00F70851" w:rsidRDefault="002266A1" w:rsidP="002266A1">
      <w:pPr>
        <w:pStyle w:val="NoSpacing"/>
        <w:jc w:val="both"/>
        <w:rPr>
          <w:rFonts w:ascii="Times New Roman" w:hAnsi="Times New Roman" w:cs="Times New Roman"/>
          <w:sz w:val="24"/>
          <w:szCs w:val="24"/>
        </w:rPr>
      </w:pPr>
      <w:r w:rsidRPr="002266A1">
        <w:rPr>
          <w:rFonts w:ascii="Times New Roman" w:hAnsi="Times New Roman" w:cs="Times New Roman"/>
          <w:sz w:val="24"/>
          <w:szCs w:val="24"/>
        </w:rPr>
        <w:t>As per international standards or university standards, Participants’ written consent has been collected and preserved by the author(s).</w:t>
      </w:r>
    </w:p>
    <w:p w14:paraId="55992B3F" w14:textId="77777777" w:rsidR="0047482A" w:rsidRDefault="007D018F" w:rsidP="00F90197">
      <w:pPr>
        <w:rPr>
          <w:rFonts w:ascii="Times New Roman" w:hAnsi="Times New Roman" w:cs="Times New Roman"/>
          <w:b/>
          <w:color w:val="000000" w:themeColor="text1"/>
          <w:sz w:val="24"/>
          <w:szCs w:val="24"/>
        </w:rPr>
      </w:pPr>
      <w:r w:rsidRPr="00B451AF">
        <w:rPr>
          <w:rFonts w:ascii="Times New Roman" w:hAnsi="Times New Roman" w:cs="Times New Roman"/>
          <w:b/>
          <w:color w:val="000000" w:themeColor="text1"/>
          <w:sz w:val="24"/>
          <w:szCs w:val="24"/>
        </w:rPr>
        <w:t>Disclaimer (Artificial intelligence)</w:t>
      </w:r>
    </w:p>
    <w:p w14:paraId="666C22EC" w14:textId="4AF084F9" w:rsidR="0047482A" w:rsidRDefault="007D018F" w:rsidP="00F90197">
      <w:pPr>
        <w:rPr>
          <w:rFonts w:ascii="Times New Roman" w:hAnsi="Times New Roman" w:cs="Times New Roman"/>
          <w:b/>
          <w:color w:val="000000" w:themeColor="text1"/>
          <w:sz w:val="24"/>
          <w:szCs w:val="24"/>
        </w:rPr>
      </w:pPr>
      <w:r w:rsidRPr="00B451AF">
        <w:rPr>
          <w:rFonts w:ascii="Times New Roman" w:hAnsi="Times New Roman" w:cs="Times New Roman"/>
          <w:color w:val="000000" w:themeColor="text1"/>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52775FAD" w14:textId="77777777" w:rsidR="000F236C" w:rsidRPr="00F90197" w:rsidRDefault="000F236C" w:rsidP="00F90197">
      <w:pPr>
        <w:rPr>
          <w:rFonts w:ascii="Times New Roman" w:hAnsi="Times New Roman" w:cs="Times New Roman"/>
          <w:b/>
          <w:color w:val="000000" w:themeColor="text1"/>
          <w:sz w:val="24"/>
          <w:szCs w:val="24"/>
        </w:rPr>
      </w:pPr>
    </w:p>
    <w:p w14:paraId="419EC447" w14:textId="374C3385" w:rsidR="004936F9" w:rsidRDefault="004936F9" w:rsidP="0006346A">
      <w:pPr>
        <w:spacing w:line="240" w:lineRule="auto"/>
        <w:rPr>
          <w:rFonts w:ascii="Times New Roman" w:hAnsi="Times New Roman" w:cs="Times New Roman"/>
          <w:b/>
          <w:bCs/>
          <w:sz w:val="28"/>
          <w:szCs w:val="28"/>
        </w:rPr>
      </w:pPr>
      <w:r w:rsidRPr="00330E2F">
        <w:rPr>
          <w:rFonts w:ascii="Times New Roman" w:hAnsi="Times New Roman" w:cs="Times New Roman"/>
          <w:b/>
          <w:bCs/>
          <w:sz w:val="28"/>
          <w:szCs w:val="28"/>
        </w:rPr>
        <w:t>Reference:</w:t>
      </w:r>
    </w:p>
    <w:p w14:paraId="28773853"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Bandura, A. (1997). </w:t>
      </w:r>
      <w:r w:rsidRPr="00B53E32">
        <w:rPr>
          <w:rFonts w:ascii="Times New Roman" w:hAnsi="Times New Roman" w:cs="Times New Roman"/>
          <w:i/>
          <w:iCs/>
          <w:sz w:val="24"/>
          <w:szCs w:val="24"/>
        </w:rPr>
        <w:t>Self-efficacy: The exercise of control</w:t>
      </w:r>
      <w:r w:rsidRPr="00B53E32">
        <w:rPr>
          <w:rFonts w:ascii="Times New Roman" w:hAnsi="Times New Roman" w:cs="Times New Roman"/>
          <w:sz w:val="24"/>
          <w:szCs w:val="24"/>
        </w:rPr>
        <w:t>. W. H. Freeman.</w:t>
      </w:r>
    </w:p>
    <w:p w14:paraId="00B88B38" w14:textId="05E8197D"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Bandura, A. (2012). On the functional properties of perceived self-efficacy revisited. </w:t>
      </w:r>
      <w:r w:rsidRPr="00B53E32">
        <w:rPr>
          <w:rFonts w:ascii="Times New Roman" w:hAnsi="Times New Roman" w:cs="Times New Roman"/>
          <w:i/>
          <w:iCs/>
          <w:sz w:val="24"/>
          <w:szCs w:val="24"/>
        </w:rPr>
        <w:t>Journal of Management, 38</w:t>
      </w:r>
      <w:r w:rsidRPr="00B53E32">
        <w:rPr>
          <w:rFonts w:ascii="Times New Roman" w:hAnsi="Times New Roman" w:cs="Times New Roman"/>
          <w:sz w:val="24"/>
          <w:szCs w:val="24"/>
        </w:rPr>
        <w:t xml:space="preserve">(1), 9–44. </w:t>
      </w:r>
      <w:hyperlink r:id="rId32" w:history="1">
        <w:r w:rsidRPr="00B53E32">
          <w:rPr>
            <w:rStyle w:val="Hyperlink"/>
            <w:rFonts w:ascii="Times New Roman" w:hAnsi="Times New Roman" w:cs="Times New Roman"/>
            <w:sz w:val="24"/>
            <w:szCs w:val="24"/>
          </w:rPr>
          <w:t>https://doi.org/10.1177/0149206311410606</w:t>
        </w:r>
      </w:hyperlink>
      <w:r w:rsidRPr="00B53E32">
        <w:rPr>
          <w:rFonts w:ascii="Times New Roman" w:hAnsi="Times New Roman" w:cs="Times New Roman"/>
          <w:sz w:val="24"/>
          <w:szCs w:val="24"/>
        </w:rPr>
        <w:t xml:space="preserve"> </w:t>
      </w:r>
    </w:p>
    <w:p w14:paraId="42C18643"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Bourdieu, P. (1986). The forms of capital. In J. Richardson (Ed.), </w:t>
      </w:r>
      <w:r w:rsidRPr="00B53E32">
        <w:rPr>
          <w:rFonts w:ascii="Times New Roman" w:hAnsi="Times New Roman" w:cs="Times New Roman"/>
          <w:i/>
          <w:iCs/>
          <w:sz w:val="24"/>
          <w:szCs w:val="24"/>
        </w:rPr>
        <w:t>Handbook of theory and research for the sociology of education</w:t>
      </w:r>
      <w:r w:rsidRPr="00B53E32">
        <w:rPr>
          <w:rFonts w:ascii="Times New Roman" w:hAnsi="Times New Roman" w:cs="Times New Roman"/>
          <w:sz w:val="24"/>
          <w:szCs w:val="24"/>
        </w:rPr>
        <w:t xml:space="preserve"> (pp. 241–258). Greenwood.</w:t>
      </w:r>
    </w:p>
    <w:p w14:paraId="1548848C"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Eccles, J. S. (2009). Who am I and what am I going to do with my life? Personal and collective identities as motivators of action. </w:t>
      </w:r>
      <w:r w:rsidRPr="00B53E32">
        <w:rPr>
          <w:rFonts w:ascii="Times New Roman" w:hAnsi="Times New Roman" w:cs="Times New Roman"/>
          <w:i/>
          <w:iCs/>
          <w:sz w:val="24"/>
          <w:szCs w:val="24"/>
        </w:rPr>
        <w:t>Child Development, 80</w:t>
      </w:r>
      <w:r w:rsidRPr="00B53E32">
        <w:rPr>
          <w:rFonts w:ascii="Times New Roman" w:hAnsi="Times New Roman" w:cs="Times New Roman"/>
          <w:sz w:val="24"/>
          <w:szCs w:val="24"/>
        </w:rPr>
        <w:t xml:space="preserve">(3), 682–692. </w:t>
      </w:r>
      <w:hyperlink r:id="rId33" w:tgtFrame="_new" w:history="1">
        <w:r w:rsidRPr="00B53E32">
          <w:rPr>
            <w:rStyle w:val="Hyperlink"/>
            <w:rFonts w:ascii="Times New Roman" w:hAnsi="Times New Roman" w:cs="Times New Roman"/>
            <w:sz w:val="24"/>
            <w:szCs w:val="24"/>
          </w:rPr>
          <w:t>https://doi.org/10.1111/j.1467-8624.2009.01342.x</w:t>
        </w:r>
      </w:hyperlink>
    </w:p>
    <w:p w14:paraId="1A11A363"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Eccles, J. S., &amp; Wigfield, A. (2002). Motivational beliefs, values, and goals. </w:t>
      </w:r>
      <w:r w:rsidRPr="00B53E32">
        <w:rPr>
          <w:rFonts w:ascii="Times New Roman" w:hAnsi="Times New Roman" w:cs="Times New Roman"/>
          <w:i/>
          <w:iCs/>
          <w:sz w:val="24"/>
          <w:szCs w:val="24"/>
        </w:rPr>
        <w:t>Annual Review of Psychology, 53</w:t>
      </w:r>
      <w:r w:rsidRPr="00B53E32">
        <w:rPr>
          <w:rFonts w:ascii="Times New Roman" w:hAnsi="Times New Roman" w:cs="Times New Roman"/>
          <w:sz w:val="24"/>
          <w:szCs w:val="24"/>
        </w:rPr>
        <w:t xml:space="preserve">, 109–132. </w:t>
      </w:r>
      <w:hyperlink r:id="rId34" w:tgtFrame="_new" w:history="1">
        <w:r w:rsidRPr="00B53E32">
          <w:rPr>
            <w:rStyle w:val="Hyperlink"/>
            <w:rFonts w:ascii="Times New Roman" w:hAnsi="Times New Roman" w:cs="Times New Roman"/>
            <w:sz w:val="24"/>
            <w:szCs w:val="24"/>
          </w:rPr>
          <w:t>https://doi.org/10.1146/annurev.psych.53.100901.135153</w:t>
        </w:r>
      </w:hyperlink>
    </w:p>
    <w:p w14:paraId="31B5CD1B"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Eccles, J. S., &amp; Wigfield, A. (2020). From expectancy-value theory to situated expectancy-value theory: A developmental perspective on motivation. </w:t>
      </w:r>
      <w:r w:rsidRPr="00B53E32">
        <w:rPr>
          <w:rFonts w:ascii="Times New Roman" w:hAnsi="Times New Roman" w:cs="Times New Roman"/>
          <w:i/>
          <w:iCs/>
          <w:sz w:val="24"/>
          <w:szCs w:val="24"/>
        </w:rPr>
        <w:t>Contemporary Educational Psychology, 61</w:t>
      </w:r>
      <w:r w:rsidRPr="00B53E32">
        <w:rPr>
          <w:rFonts w:ascii="Times New Roman" w:hAnsi="Times New Roman" w:cs="Times New Roman"/>
          <w:sz w:val="24"/>
          <w:szCs w:val="24"/>
        </w:rPr>
        <w:t xml:space="preserve">, 101859. </w:t>
      </w:r>
      <w:hyperlink r:id="rId35" w:tgtFrame="_new" w:history="1">
        <w:r w:rsidRPr="00B53E32">
          <w:rPr>
            <w:rStyle w:val="Hyperlink"/>
            <w:rFonts w:ascii="Times New Roman" w:hAnsi="Times New Roman" w:cs="Times New Roman"/>
            <w:sz w:val="24"/>
            <w:szCs w:val="24"/>
          </w:rPr>
          <w:t>https://doi.org/10.1016/j.cedpsych.2020.101859</w:t>
        </w:r>
      </w:hyperlink>
    </w:p>
    <w:p w14:paraId="268A4ADE"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Government of India. (2020). </w:t>
      </w:r>
      <w:r w:rsidRPr="00B53E32">
        <w:rPr>
          <w:rFonts w:ascii="Times New Roman" w:hAnsi="Times New Roman" w:cs="Times New Roman"/>
          <w:i/>
          <w:iCs/>
          <w:sz w:val="24"/>
          <w:szCs w:val="24"/>
        </w:rPr>
        <w:t>National Education Policy 2020</w:t>
      </w:r>
      <w:r w:rsidRPr="00B53E32">
        <w:rPr>
          <w:rFonts w:ascii="Times New Roman" w:hAnsi="Times New Roman" w:cs="Times New Roman"/>
          <w:sz w:val="24"/>
          <w:szCs w:val="24"/>
        </w:rPr>
        <w:t xml:space="preserve">. </w:t>
      </w:r>
      <w:hyperlink r:id="rId36" w:tgtFrame="_new" w:history="1">
        <w:r w:rsidRPr="00B53E32">
          <w:rPr>
            <w:rStyle w:val="Hyperlink"/>
            <w:rFonts w:ascii="Times New Roman" w:hAnsi="Times New Roman" w:cs="Times New Roman"/>
            <w:sz w:val="24"/>
            <w:szCs w:val="24"/>
          </w:rPr>
          <w:t>https://www.education.gov.in</w:t>
        </w:r>
      </w:hyperlink>
    </w:p>
    <w:p w14:paraId="2266FA1F"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Kingdon, G. G. (2007). The progress of school education in India. </w:t>
      </w:r>
      <w:r w:rsidRPr="00B53E32">
        <w:rPr>
          <w:rFonts w:ascii="Times New Roman" w:hAnsi="Times New Roman" w:cs="Times New Roman"/>
          <w:i/>
          <w:iCs/>
          <w:sz w:val="24"/>
          <w:szCs w:val="24"/>
        </w:rPr>
        <w:t>World Development, 35</w:t>
      </w:r>
      <w:r w:rsidRPr="00B53E32">
        <w:rPr>
          <w:rFonts w:ascii="Times New Roman" w:hAnsi="Times New Roman" w:cs="Times New Roman"/>
          <w:sz w:val="24"/>
          <w:szCs w:val="24"/>
        </w:rPr>
        <w:t xml:space="preserve">(10), 1681–1695. </w:t>
      </w:r>
      <w:hyperlink r:id="rId37" w:tgtFrame="_new" w:history="1">
        <w:r w:rsidRPr="00B53E32">
          <w:rPr>
            <w:rStyle w:val="Hyperlink"/>
            <w:rFonts w:ascii="Times New Roman" w:hAnsi="Times New Roman" w:cs="Times New Roman"/>
            <w:sz w:val="24"/>
            <w:szCs w:val="24"/>
          </w:rPr>
          <w:t>https://doi.org/10.1016/j.worlddev.2006.10.008</w:t>
        </w:r>
      </w:hyperlink>
    </w:p>
    <w:p w14:paraId="63963813"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Lent, R. W., Brown, S. D., &amp; Hackett, G. (1994). Toward a unifying social cognitive theory of career and academic interest. </w:t>
      </w:r>
      <w:r w:rsidRPr="00B53E32">
        <w:rPr>
          <w:rFonts w:ascii="Times New Roman" w:hAnsi="Times New Roman" w:cs="Times New Roman"/>
          <w:i/>
          <w:iCs/>
          <w:sz w:val="24"/>
          <w:szCs w:val="24"/>
        </w:rPr>
        <w:t>Psychological Review, 101</w:t>
      </w:r>
      <w:r w:rsidRPr="00B53E32">
        <w:rPr>
          <w:rFonts w:ascii="Times New Roman" w:hAnsi="Times New Roman" w:cs="Times New Roman"/>
          <w:sz w:val="24"/>
          <w:szCs w:val="24"/>
        </w:rPr>
        <w:t xml:space="preserve">(2), 326–348. </w:t>
      </w:r>
      <w:hyperlink r:id="rId38" w:tgtFrame="_new" w:history="1">
        <w:r w:rsidRPr="00B53E32">
          <w:rPr>
            <w:rStyle w:val="Hyperlink"/>
            <w:rFonts w:ascii="Times New Roman" w:hAnsi="Times New Roman" w:cs="Times New Roman"/>
            <w:sz w:val="24"/>
            <w:szCs w:val="24"/>
          </w:rPr>
          <w:t>https://doi.org/10.1037/0033-295X.101.2.326</w:t>
        </w:r>
      </w:hyperlink>
    </w:p>
    <w:p w14:paraId="14F20F51" w14:textId="731D4F2A"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Lent, R. W., Brown, S. D., &amp; Hackett, G. (2017). Social cognitive career theory: Empirical and practical implications. </w:t>
      </w:r>
      <w:r w:rsidRPr="00B53E32">
        <w:rPr>
          <w:rFonts w:ascii="Times New Roman" w:hAnsi="Times New Roman" w:cs="Times New Roman"/>
          <w:i/>
          <w:iCs/>
          <w:sz w:val="24"/>
          <w:szCs w:val="24"/>
        </w:rPr>
        <w:t>Journal of Career Assessment, 25</w:t>
      </w:r>
      <w:r w:rsidRPr="00B53E32">
        <w:rPr>
          <w:rFonts w:ascii="Times New Roman" w:hAnsi="Times New Roman" w:cs="Times New Roman"/>
          <w:sz w:val="24"/>
          <w:szCs w:val="24"/>
        </w:rPr>
        <w:t xml:space="preserve">(1), 4–18. </w:t>
      </w:r>
      <w:hyperlink r:id="rId39" w:history="1">
        <w:r w:rsidRPr="00B53E32">
          <w:rPr>
            <w:rStyle w:val="Hyperlink"/>
            <w:rFonts w:ascii="Times New Roman" w:hAnsi="Times New Roman" w:cs="Times New Roman"/>
            <w:sz w:val="24"/>
            <w:szCs w:val="24"/>
          </w:rPr>
          <w:t>https://doi.org/10.1177/1069072716658780</w:t>
        </w:r>
      </w:hyperlink>
      <w:r w:rsidRPr="00B53E32">
        <w:rPr>
          <w:rFonts w:ascii="Times New Roman" w:hAnsi="Times New Roman" w:cs="Times New Roman"/>
          <w:sz w:val="24"/>
          <w:szCs w:val="24"/>
        </w:rPr>
        <w:t xml:space="preserve"> </w:t>
      </w:r>
    </w:p>
    <w:p w14:paraId="254244CF"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Lent, R. W., &amp; Brown, S. D. (2021). </w:t>
      </w:r>
      <w:r w:rsidRPr="00B53E32">
        <w:rPr>
          <w:rFonts w:ascii="Times New Roman" w:hAnsi="Times New Roman" w:cs="Times New Roman"/>
          <w:i/>
          <w:iCs/>
          <w:sz w:val="24"/>
          <w:szCs w:val="24"/>
        </w:rPr>
        <w:t xml:space="preserve">Career development and </w:t>
      </w:r>
      <w:proofErr w:type="spellStart"/>
      <w:r w:rsidRPr="00B53E32">
        <w:rPr>
          <w:rFonts w:ascii="Times New Roman" w:hAnsi="Times New Roman" w:cs="Times New Roman"/>
          <w:i/>
          <w:iCs/>
          <w:sz w:val="24"/>
          <w:szCs w:val="24"/>
        </w:rPr>
        <w:t>counseling</w:t>
      </w:r>
      <w:proofErr w:type="spellEnd"/>
      <w:r w:rsidRPr="00B53E32">
        <w:rPr>
          <w:rFonts w:ascii="Times New Roman" w:hAnsi="Times New Roman" w:cs="Times New Roman"/>
          <w:i/>
          <w:iCs/>
          <w:sz w:val="24"/>
          <w:szCs w:val="24"/>
        </w:rPr>
        <w:t>: Putting theory and research to work</w:t>
      </w:r>
      <w:r w:rsidRPr="00B53E32">
        <w:rPr>
          <w:rFonts w:ascii="Times New Roman" w:hAnsi="Times New Roman" w:cs="Times New Roman"/>
          <w:sz w:val="24"/>
          <w:szCs w:val="24"/>
        </w:rPr>
        <w:t xml:space="preserve"> (3rd ed.). Wiley.</w:t>
      </w:r>
    </w:p>
    <w:p w14:paraId="7A567D61"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NITI Aayog. (2021). </w:t>
      </w:r>
      <w:r w:rsidRPr="00B53E32">
        <w:rPr>
          <w:rFonts w:ascii="Times New Roman" w:hAnsi="Times New Roman" w:cs="Times New Roman"/>
          <w:i/>
          <w:iCs/>
          <w:sz w:val="24"/>
          <w:szCs w:val="24"/>
        </w:rPr>
        <w:t>National strategy for artificial intelligence</w:t>
      </w:r>
      <w:r w:rsidRPr="00B53E32">
        <w:rPr>
          <w:rFonts w:ascii="Times New Roman" w:hAnsi="Times New Roman" w:cs="Times New Roman"/>
          <w:sz w:val="24"/>
          <w:szCs w:val="24"/>
        </w:rPr>
        <w:t xml:space="preserve">. </w:t>
      </w:r>
      <w:hyperlink r:id="rId40" w:tgtFrame="_new" w:history="1">
        <w:r w:rsidRPr="00B53E32">
          <w:rPr>
            <w:rStyle w:val="Hyperlink"/>
            <w:rFonts w:ascii="Times New Roman" w:hAnsi="Times New Roman" w:cs="Times New Roman"/>
            <w:sz w:val="24"/>
            <w:szCs w:val="24"/>
          </w:rPr>
          <w:t>https://www.niti.gov.in</w:t>
        </w:r>
      </w:hyperlink>
    </w:p>
    <w:p w14:paraId="6314FDAE"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Organisation for Economic Co-operation and Development (OECD). (2018). </w:t>
      </w:r>
      <w:r w:rsidRPr="00B53E32">
        <w:rPr>
          <w:rFonts w:ascii="Times New Roman" w:hAnsi="Times New Roman" w:cs="Times New Roman"/>
          <w:i/>
          <w:iCs/>
          <w:sz w:val="24"/>
          <w:szCs w:val="24"/>
        </w:rPr>
        <w:t>Education at a glance 2018: OECD indicators</w:t>
      </w:r>
      <w:r w:rsidRPr="00B53E32">
        <w:rPr>
          <w:rFonts w:ascii="Times New Roman" w:hAnsi="Times New Roman" w:cs="Times New Roman"/>
          <w:sz w:val="24"/>
          <w:szCs w:val="24"/>
        </w:rPr>
        <w:t xml:space="preserve">. </w:t>
      </w:r>
      <w:hyperlink r:id="rId41" w:tgtFrame="_new" w:history="1">
        <w:r w:rsidRPr="00B53E32">
          <w:rPr>
            <w:rStyle w:val="Hyperlink"/>
            <w:rFonts w:ascii="Times New Roman" w:hAnsi="Times New Roman" w:cs="Times New Roman"/>
            <w:sz w:val="24"/>
            <w:szCs w:val="24"/>
          </w:rPr>
          <w:t>https://www.oecd.org/education/education-at-a-glance/</w:t>
        </w:r>
      </w:hyperlink>
    </w:p>
    <w:p w14:paraId="3754D766"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Organisation for Economic Co-operation and Development (OECD). (2022). </w:t>
      </w:r>
      <w:r w:rsidRPr="00B53E32">
        <w:rPr>
          <w:rFonts w:ascii="Times New Roman" w:hAnsi="Times New Roman" w:cs="Times New Roman"/>
          <w:i/>
          <w:iCs/>
          <w:sz w:val="24"/>
          <w:szCs w:val="24"/>
        </w:rPr>
        <w:t>Education at a glance 2022: OECD indicators</w:t>
      </w:r>
      <w:r w:rsidRPr="00B53E32">
        <w:rPr>
          <w:rFonts w:ascii="Times New Roman" w:hAnsi="Times New Roman" w:cs="Times New Roman"/>
          <w:sz w:val="24"/>
          <w:szCs w:val="24"/>
        </w:rPr>
        <w:t xml:space="preserve">. </w:t>
      </w:r>
      <w:hyperlink r:id="rId42" w:tgtFrame="_new" w:history="1">
        <w:r w:rsidRPr="00B53E32">
          <w:rPr>
            <w:rStyle w:val="Hyperlink"/>
            <w:rFonts w:ascii="Times New Roman" w:hAnsi="Times New Roman" w:cs="Times New Roman"/>
            <w:sz w:val="24"/>
            <w:szCs w:val="24"/>
          </w:rPr>
          <w:t>https://www.oecd.org/education/education-at-a-glance/</w:t>
        </w:r>
      </w:hyperlink>
    </w:p>
    <w:p w14:paraId="4CD84011"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Tilak, J. B. G. (2002). Determinants of household expenditure on education in rural India. </w:t>
      </w:r>
      <w:r w:rsidRPr="00B53E32">
        <w:rPr>
          <w:rFonts w:ascii="Times New Roman" w:hAnsi="Times New Roman" w:cs="Times New Roman"/>
          <w:i/>
          <w:iCs/>
          <w:sz w:val="24"/>
          <w:szCs w:val="24"/>
        </w:rPr>
        <w:t>Economic and Political Weekly, 37</w:t>
      </w:r>
      <w:r w:rsidRPr="00B53E32">
        <w:rPr>
          <w:rFonts w:ascii="Times New Roman" w:hAnsi="Times New Roman" w:cs="Times New Roman"/>
          <w:sz w:val="24"/>
          <w:szCs w:val="24"/>
        </w:rPr>
        <w:t>(6), 540–551.</w:t>
      </w:r>
    </w:p>
    <w:p w14:paraId="1F1EA81D"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UNESCO. (2019). </w:t>
      </w:r>
      <w:r w:rsidRPr="00B53E32">
        <w:rPr>
          <w:rFonts w:ascii="Times New Roman" w:hAnsi="Times New Roman" w:cs="Times New Roman"/>
          <w:i/>
          <w:iCs/>
          <w:sz w:val="24"/>
          <w:szCs w:val="24"/>
        </w:rPr>
        <w:t>Global education monitoring report</w:t>
      </w:r>
      <w:r w:rsidRPr="00B53E32">
        <w:rPr>
          <w:rFonts w:ascii="Times New Roman" w:hAnsi="Times New Roman" w:cs="Times New Roman"/>
          <w:sz w:val="24"/>
          <w:szCs w:val="24"/>
        </w:rPr>
        <w:t xml:space="preserve">. </w:t>
      </w:r>
      <w:hyperlink r:id="rId43" w:tgtFrame="_new" w:history="1">
        <w:r w:rsidRPr="00B53E32">
          <w:rPr>
            <w:rStyle w:val="Hyperlink"/>
            <w:rFonts w:ascii="Times New Roman" w:hAnsi="Times New Roman" w:cs="Times New Roman"/>
            <w:sz w:val="24"/>
            <w:szCs w:val="24"/>
          </w:rPr>
          <w:t>https://en.unesco.org/themes/education</w:t>
        </w:r>
      </w:hyperlink>
    </w:p>
    <w:p w14:paraId="76243580"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UNESCO. (2023). </w:t>
      </w:r>
      <w:r w:rsidRPr="00B53E32">
        <w:rPr>
          <w:rFonts w:ascii="Times New Roman" w:hAnsi="Times New Roman" w:cs="Times New Roman"/>
          <w:i/>
          <w:iCs/>
          <w:sz w:val="24"/>
          <w:szCs w:val="24"/>
        </w:rPr>
        <w:t>Global education monitoring report 2023</w:t>
      </w:r>
      <w:r w:rsidRPr="00B53E32">
        <w:rPr>
          <w:rFonts w:ascii="Times New Roman" w:hAnsi="Times New Roman" w:cs="Times New Roman"/>
          <w:sz w:val="24"/>
          <w:szCs w:val="24"/>
        </w:rPr>
        <w:t xml:space="preserve">. </w:t>
      </w:r>
      <w:hyperlink r:id="rId44" w:tgtFrame="_new" w:history="1">
        <w:r w:rsidRPr="00B53E32">
          <w:rPr>
            <w:rStyle w:val="Hyperlink"/>
            <w:rFonts w:ascii="Times New Roman" w:hAnsi="Times New Roman" w:cs="Times New Roman"/>
            <w:sz w:val="24"/>
            <w:szCs w:val="24"/>
          </w:rPr>
          <w:t>https://www.unesco.org/en/education</w:t>
        </w:r>
      </w:hyperlink>
    </w:p>
    <w:p w14:paraId="66256EF3"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t xml:space="preserve">World Economic Forum. (2020). </w:t>
      </w:r>
      <w:r w:rsidRPr="00B53E32">
        <w:rPr>
          <w:rFonts w:ascii="Times New Roman" w:hAnsi="Times New Roman" w:cs="Times New Roman"/>
          <w:i/>
          <w:iCs/>
          <w:sz w:val="24"/>
          <w:szCs w:val="24"/>
        </w:rPr>
        <w:t>The future of jobs report 2020</w:t>
      </w:r>
      <w:r w:rsidRPr="00B53E32">
        <w:rPr>
          <w:rFonts w:ascii="Times New Roman" w:hAnsi="Times New Roman" w:cs="Times New Roman"/>
          <w:sz w:val="24"/>
          <w:szCs w:val="24"/>
        </w:rPr>
        <w:t xml:space="preserve">. </w:t>
      </w:r>
      <w:hyperlink r:id="rId45" w:tgtFrame="_new" w:history="1">
        <w:r w:rsidRPr="00B53E32">
          <w:rPr>
            <w:rStyle w:val="Hyperlink"/>
            <w:rFonts w:ascii="Times New Roman" w:hAnsi="Times New Roman" w:cs="Times New Roman"/>
            <w:sz w:val="24"/>
            <w:szCs w:val="24"/>
          </w:rPr>
          <w:t>https://www.weforum.org/reports/the-future-of-jobs-report-2020</w:t>
        </w:r>
      </w:hyperlink>
    </w:p>
    <w:p w14:paraId="451E5F6E" w14:textId="77777777" w:rsidR="00D72955" w:rsidRPr="00B53E32" w:rsidRDefault="00D72955" w:rsidP="00B53E32">
      <w:pPr>
        <w:pStyle w:val="ListParagraph"/>
        <w:numPr>
          <w:ilvl w:val="0"/>
          <w:numId w:val="45"/>
        </w:numPr>
        <w:spacing w:after="100" w:line="240" w:lineRule="auto"/>
        <w:rPr>
          <w:rFonts w:ascii="Times New Roman" w:hAnsi="Times New Roman" w:cs="Times New Roman"/>
          <w:sz w:val="24"/>
          <w:szCs w:val="24"/>
        </w:rPr>
      </w:pPr>
      <w:r w:rsidRPr="00B53E32">
        <w:rPr>
          <w:rFonts w:ascii="Times New Roman" w:hAnsi="Times New Roman" w:cs="Times New Roman"/>
          <w:sz w:val="24"/>
          <w:szCs w:val="24"/>
        </w:rPr>
        <w:lastRenderedPageBreak/>
        <w:t xml:space="preserve">World Economic Forum. (2023). </w:t>
      </w:r>
      <w:r w:rsidRPr="00B53E32">
        <w:rPr>
          <w:rFonts w:ascii="Times New Roman" w:hAnsi="Times New Roman" w:cs="Times New Roman"/>
          <w:i/>
          <w:iCs/>
          <w:sz w:val="24"/>
          <w:szCs w:val="24"/>
        </w:rPr>
        <w:t>The future of jobs report 2023</w:t>
      </w:r>
      <w:r w:rsidRPr="00B53E32">
        <w:rPr>
          <w:rFonts w:ascii="Times New Roman" w:hAnsi="Times New Roman" w:cs="Times New Roman"/>
          <w:sz w:val="24"/>
          <w:szCs w:val="24"/>
        </w:rPr>
        <w:t xml:space="preserve">. </w:t>
      </w:r>
      <w:hyperlink r:id="rId46" w:tgtFrame="_new" w:history="1">
        <w:r w:rsidRPr="00B53E32">
          <w:rPr>
            <w:rStyle w:val="Hyperlink"/>
            <w:rFonts w:ascii="Times New Roman" w:hAnsi="Times New Roman" w:cs="Times New Roman"/>
            <w:sz w:val="24"/>
            <w:szCs w:val="24"/>
          </w:rPr>
          <w:t>https://www.weforum.org/reports/the-future-of-jobs-report-2023</w:t>
        </w:r>
      </w:hyperlink>
    </w:p>
    <w:p w14:paraId="54661DEE" w14:textId="7D3D01B3" w:rsidR="00CA06FF" w:rsidRPr="00330E2F" w:rsidRDefault="00CA06FF" w:rsidP="00D72955">
      <w:pPr>
        <w:spacing w:after="100" w:line="240" w:lineRule="auto"/>
        <w:ind w:left="851" w:hanging="851"/>
        <w:contextualSpacing/>
        <w:rPr>
          <w:rFonts w:ascii="Times New Roman" w:hAnsi="Times New Roman" w:cs="Times New Roman"/>
          <w:b/>
          <w:bCs/>
          <w:sz w:val="28"/>
          <w:szCs w:val="28"/>
        </w:rPr>
      </w:pPr>
    </w:p>
    <w:sectPr w:rsidR="00CA06FF" w:rsidRPr="00330E2F" w:rsidSect="00C01F35">
      <w:headerReference w:type="even" r:id="rId47"/>
      <w:headerReference w:type="default" r:id="rId48"/>
      <w:footerReference w:type="even" r:id="rId49"/>
      <w:footerReference w:type="default" r:id="rId50"/>
      <w:headerReference w:type="first" r:id="rId51"/>
      <w:footerReference w:type="first" r:id="rId5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2F463" w14:textId="77777777" w:rsidR="00006543" w:rsidRDefault="00006543" w:rsidP="00C1045D">
      <w:pPr>
        <w:spacing w:before="0" w:line="240" w:lineRule="auto"/>
      </w:pPr>
      <w:r>
        <w:separator/>
      </w:r>
    </w:p>
  </w:endnote>
  <w:endnote w:type="continuationSeparator" w:id="0">
    <w:p w14:paraId="0338C3CC" w14:textId="77777777" w:rsidR="00006543" w:rsidRDefault="00006543" w:rsidP="00C104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CDC3" w14:textId="77777777" w:rsidR="00276664" w:rsidRDefault="0027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40B5" w14:textId="77777777" w:rsidR="00276664" w:rsidRDefault="0027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23B8" w14:textId="77777777" w:rsidR="00276664" w:rsidRDefault="0027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41A17" w14:textId="77777777" w:rsidR="00006543" w:rsidRDefault="00006543" w:rsidP="00C1045D">
      <w:pPr>
        <w:spacing w:before="0" w:line="240" w:lineRule="auto"/>
      </w:pPr>
      <w:r>
        <w:separator/>
      </w:r>
    </w:p>
  </w:footnote>
  <w:footnote w:type="continuationSeparator" w:id="0">
    <w:p w14:paraId="0C9ED8A2" w14:textId="77777777" w:rsidR="00006543" w:rsidRDefault="00006543" w:rsidP="00C104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B54C" w14:textId="1AB42FAB" w:rsidR="00276664" w:rsidRDefault="00006543">
    <w:pPr>
      <w:pStyle w:val="Header"/>
    </w:pPr>
    <w:r>
      <w:rPr>
        <w:noProof/>
      </w:rPr>
      <w:pict w14:anchorId="4B912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407"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F4EC" w14:textId="0C54572C" w:rsidR="00276664" w:rsidRDefault="00006543">
    <w:pPr>
      <w:pStyle w:val="Header"/>
    </w:pPr>
    <w:r>
      <w:rPr>
        <w:noProof/>
      </w:rPr>
      <w:pict w14:anchorId="4C34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408"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1D26" w14:textId="175D43B1" w:rsidR="00276664" w:rsidRDefault="00006543">
    <w:pPr>
      <w:pStyle w:val="Header"/>
    </w:pPr>
    <w:r>
      <w:rPr>
        <w:noProof/>
      </w:rPr>
      <w:pict w14:anchorId="2C4CB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406"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811"/>
    <w:multiLevelType w:val="hybridMultilevel"/>
    <w:tmpl w:val="1C16B950"/>
    <w:lvl w:ilvl="0" w:tplc="884AE762">
      <w:numFmt w:val="bullet"/>
      <w:lvlText w:val="-"/>
      <w:lvlJc w:val="left"/>
      <w:pPr>
        <w:ind w:left="6006" w:hanging="360"/>
      </w:pPr>
      <w:rPr>
        <w:rFonts w:ascii="Times New Roman" w:eastAsia="Times New Roman" w:hAnsi="Times New Roman" w:cs="Times New Roman" w:hint="default"/>
        <w:b/>
      </w:rPr>
    </w:lvl>
    <w:lvl w:ilvl="1" w:tplc="40090003" w:tentative="1">
      <w:start w:val="1"/>
      <w:numFmt w:val="bullet"/>
      <w:lvlText w:val="o"/>
      <w:lvlJc w:val="left"/>
      <w:pPr>
        <w:ind w:left="6726" w:hanging="360"/>
      </w:pPr>
      <w:rPr>
        <w:rFonts w:ascii="Courier New" w:hAnsi="Courier New" w:cs="Courier New" w:hint="default"/>
      </w:rPr>
    </w:lvl>
    <w:lvl w:ilvl="2" w:tplc="40090005" w:tentative="1">
      <w:start w:val="1"/>
      <w:numFmt w:val="bullet"/>
      <w:lvlText w:val=""/>
      <w:lvlJc w:val="left"/>
      <w:pPr>
        <w:ind w:left="7446" w:hanging="360"/>
      </w:pPr>
      <w:rPr>
        <w:rFonts w:ascii="Wingdings" w:hAnsi="Wingdings" w:hint="default"/>
      </w:rPr>
    </w:lvl>
    <w:lvl w:ilvl="3" w:tplc="40090001" w:tentative="1">
      <w:start w:val="1"/>
      <w:numFmt w:val="bullet"/>
      <w:lvlText w:val=""/>
      <w:lvlJc w:val="left"/>
      <w:pPr>
        <w:ind w:left="8166" w:hanging="360"/>
      </w:pPr>
      <w:rPr>
        <w:rFonts w:ascii="Symbol" w:hAnsi="Symbol" w:hint="default"/>
      </w:rPr>
    </w:lvl>
    <w:lvl w:ilvl="4" w:tplc="40090003" w:tentative="1">
      <w:start w:val="1"/>
      <w:numFmt w:val="bullet"/>
      <w:lvlText w:val="o"/>
      <w:lvlJc w:val="left"/>
      <w:pPr>
        <w:ind w:left="8886" w:hanging="360"/>
      </w:pPr>
      <w:rPr>
        <w:rFonts w:ascii="Courier New" w:hAnsi="Courier New" w:cs="Courier New" w:hint="default"/>
      </w:rPr>
    </w:lvl>
    <w:lvl w:ilvl="5" w:tplc="40090005" w:tentative="1">
      <w:start w:val="1"/>
      <w:numFmt w:val="bullet"/>
      <w:lvlText w:val=""/>
      <w:lvlJc w:val="left"/>
      <w:pPr>
        <w:ind w:left="9606" w:hanging="360"/>
      </w:pPr>
      <w:rPr>
        <w:rFonts w:ascii="Wingdings" w:hAnsi="Wingdings" w:hint="default"/>
      </w:rPr>
    </w:lvl>
    <w:lvl w:ilvl="6" w:tplc="40090001" w:tentative="1">
      <w:start w:val="1"/>
      <w:numFmt w:val="bullet"/>
      <w:lvlText w:val=""/>
      <w:lvlJc w:val="left"/>
      <w:pPr>
        <w:ind w:left="10326" w:hanging="360"/>
      </w:pPr>
      <w:rPr>
        <w:rFonts w:ascii="Symbol" w:hAnsi="Symbol" w:hint="default"/>
      </w:rPr>
    </w:lvl>
    <w:lvl w:ilvl="7" w:tplc="40090003" w:tentative="1">
      <w:start w:val="1"/>
      <w:numFmt w:val="bullet"/>
      <w:lvlText w:val="o"/>
      <w:lvlJc w:val="left"/>
      <w:pPr>
        <w:ind w:left="11046" w:hanging="360"/>
      </w:pPr>
      <w:rPr>
        <w:rFonts w:ascii="Courier New" w:hAnsi="Courier New" w:cs="Courier New" w:hint="default"/>
      </w:rPr>
    </w:lvl>
    <w:lvl w:ilvl="8" w:tplc="40090005" w:tentative="1">
      <w:start w:val="1"/>
      <w:numFmt w:val="bullet"/>
      <w:lvlText w:val=""/>
      <w:lvlJc w:val="left"/>
      <w:pPr>
        <w:ind w:left="11766" w:hanging="360"/>
      </w:pPr>
      <w:rPr>
        <w:rFonts w:ascii="Wingdings" w:hAnsi="Wingdings" w:hint="default"/>
      </w:rPr>
    </w:lvl>
  </w:abstractNum>
  <w:abstractNum w:abstractNumId="1" w15:restartNumberingAfterBreak="0">
    <w:nsid w:val="10140BD2"/>
    <w:multiLevelType w:val="hybridMultilevel"/>
    <w:tmpl w:val="7668D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A55A3"/>
    <w:multiLevelType w:val="hybridMultilevel"/>
    <w:tmpl w:val="7CF41FBE"/>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0E0CE1"/>
    <w:multiLevelType w:val="multilevel"/>
    <w:tmpl w:val="76C2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7E24"/>
    <w:multiLevelType w:val="hybridMultilevel"/>
    <w:tmpl w:val="6328610E"/>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A0F74C4"/>
    <w:multiLevelType w:val="hybridMultilevel"/>
    <w:tmpl w:val="9FE6D5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7355E7"/>
    <w:multiLevelType w:val="hybridMultilevel"/>
    <w:tmpl w:val="19A2C85E"/>
    <w:lvl w:ilvl="0" w:tplc="1C4880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911160"/>
    <w:multiLevelType w:val="multilevel"/>
    <w:tmpl w:val="61A6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744"/>
    <w:multiLevelType w:val="hybridMultilevel"/>
    <w:tmpl w:val="0846D3B6"/>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A95C7F"/>
    <w:multiLevelType w:val="hybridMultilevel"/>
    <w:tmpl w:val="2138D7B4"/>
    <w:lvl w:ilvl="0" w:tplc="40090001">
      <w:start w:val="1"/>
      <w:numFmt w:val="bullet"/>
      <w:lvlText w:val=""/>
      <w:lvlJc w:val="left"/>
      <w:pPr>
        <w:ind w:left="121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4B1014"/>
    <w:multiLevelType w:val="hybridMultilevel"/>
    <w:tmpl w:val="7608A4B6"/>
    <w:lvl w:ilvl="0" w:tplc="5A76B230">
      <w:start w:val="1"/>
      <w:numFmt w:val="upperRoman"/>
      <w:lvlText w:val="%1."/>
      <w:lvlJc w:val="righ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EA4A1B"/>
    <w:multiLevelType w:val="multilevel"/>
    <w:tmpl w:val="F58CA5F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065175"/>
    <w:multiLevelType w:val="hybridMultilevel"/>
    <w:tmpl w:val="70000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02308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023267"/>
    <w:multiLevelType w:val="hybridMultilevel"/>
    <w:tmpl w:val="16AE8888"/>
    <w:lvl w:ilvl="0" w:tplc="5F361B9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0B015E"/>
    <w:multiLevelType w:val="hybridMultilevel"/>
    <w:tmpl w:val="BA3E60DE"/>
    <w:lvl w:ilvl="0" w:tplc="2A44CEA2">
      <w:numFmt w:val="bullet"/>
      <w:lvlText w:val="-"/>
      <w:lvlJc w:val="left"/>
      <w:pPr>
        <w:ind w:left="4320" w:hanging="360"/>
      </w:pPr>
      <w:rPr>
        <w:rFonts w:ascii="Times New Roman" w:eastAsia="Times New Roman" w:hAnsi="Times New Roman" w:cs="Times New Roman"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16" w15:restartNumberingAfterBreak="0">
    <w:nsid w:val="2BB756C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D3466D"/>
    <w:multiLevelType w:val="multilevel"/>
    <w:tmpl w:val="F58CA5FA"/>
    <w:lvl w:ilvl="0">
      <w:start w:val="1"/>
      <w:numFmt w:val="decimal"/>
      <w:lvlText w:val="%1."/>
      <w:lvlJc w:val="left"/>
      <w:pPr>
        <w:ind w:left="360" w:hanging="360"/>
      </w:pPr>
    </w:lvl>
    <w:lvl w:ilvl="1">
      <w:start w:val="1"/>
      <w:numFmt w:val="decimal"/>
      <w:lvlText w:val="%1.%2."/>
      <w:lvlJc w:val="left"/>
      <w:pPr>
        <w:ind w:left="581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94F67"/>
    <w:multiLevelType w:val="hybridMultilevel"/>
    <w:tmpl w:val="BE984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F8D5F5F"/>
    <w:multiLevelType w:val="hybridMultilevel"/>
    <w:tmpl w:val="11D6AA94"/>
    <w:lvl w:ilvl="0" w:tplc="5A76B230">
      <w:start w:val="1"/>
      <w:numFmt w:val="upp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F50E40"/>
    <w:multiLevelType w:val="hybridMultilevel"/>
    <w:tmpl w:val="C7BAD8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4043BEA"/>
    <w:multiLevelType w:val="hybridMultilevel"/>
    <w:tmpl w:val="5B2E4714"/>
    <w:lvl w:ilvl="0" w:tplc="5A76B230">
      <w:start w:val="1"/>
      <w:numFmt w:val="upp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68A0CBC"/>
    <w:multiLevelType w:val="hybridMultilevel"/>
    <w:tmpl w:val="73D66D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AC4B1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CE7E01"/>
    <w:multiLevelType w:val="hybridMultilevel"/>
    <w:tmpl w:val="A3625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C8B6DD7"/>
    <w:multiLevelType w:val="hybridMultilevel"/>
    <w:tmpl w:val="2AD8EE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0A5FA5"/>
    <w:multiLevelType w:val="hybridMultilevel"/>
    <w:tmpl w:val="48A66EA6"/>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BB50CE"/>
    <w:multiLevelType w:val="hybridMultilevel"/>
    <w:tmpl w:val="5DA2A1A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3735FBA"/>
    <w:multiLevelType w:val="hybridMultilevel"/>
    <w:tmpl w:val="01D4660E"/>
    <w:lvl w:ilvl="0" w:tplc="40090009">
      <w:start w:val="1"/>
      <w:numFmt w:val="bullet"/>
      <w:lvlText w:val=""/>
      <w:lvlJc w:val="left"/>
      <w:pPr>
        <w:ind w:left="121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4856803"/>
    <w:multiLevelType w:val="hybridMultilevel"/>
    <w:tmpl w:val="0B9A5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6C82063"/>
    <w:multiLevelType w:val="hybridMultilevel"/>
    <w:tmpl w:val="9ED83250"/>
    <w:lvl w:ilvl="0" w:tplc="976A3C8E">
      <w:start w:val="1"/>
      <w:numFmt w:val="decimal"/>
      <w:lvlText w:val="%1."/>
      <w:lvlJc w:val="left"/>
      <w:pPr>
        <w:ind w:left="720" w:hanging="360"/>
      </w:pPr>
      <w:rPr>
        <w:rFonts w:ascii="Times New Roman" w:hAnsi="Times New Roman" w:cs="Times New Roman" w:hint="default"/>
        <w:b/>
        <w:bCs/>
        <w:color w:val="000000" w:themeColor="text1"/>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D9D4CB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E52DF7"/>
    <w:multiLevelType w:val="multilevel"/>
    <w:tmpl w:val="D1CAE7AA"/>
    <w:lvl w:ilvl="0">
      <w:start w:val="1"/>
      <w:numFmt w:val="decimal"/>
      <w:lvlText w:val="%1."/>
      <w:lvlJc w:val="right"/>
      <w:pPr>
        <w:ind w:left="720" w:hanging="360"/>
      </w:pPr>
      <w:rPr>
        <w:rFonts w:hint="default"/>
        <w:b/>
        <w:bCs/>
        <w:sz w:val="28"/>
        <w:szCs w:val="28"/>
      </w:rPr>
    </w:lvl>
    <w:lvl w:ilvl="1">
      <w:start w:val="2"/>
      <w:numFmt w:val="decimal"/>
      <w:isLgl/>
      <w:lvlText w:val="%1.%2"/>
      <w:lvlJc w:val="left"/>
      <w:pPr>
        <w:ind w:left="744" w:hanging="384"/>
      </w:pPr>
      <w:rPr>
        <w:rFonts w:ascii="Times New Roman" w:hAnsi="Times New Roman" w:cs="Times New Roman" w:hint="default"/>
        <w:sz w:val="22"/>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33" w15:restartNumberingAfterBreak="0">
    <w:nsid w:val="55903B48"/>
    <w:multiLevelType w:val="multilevel"/>
    <w:tmpl w:val="F0E2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E55362"/>
    <w:multiLevelType w:val="multilevel"/>
    <w:tmpl w:val="5C16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4558E"/>
    <w:multiLevelType w:val="hybridMultilevel"/>
    <w:tmpl w:val="C66A7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3CC63D9"/>
    <w:multiLevelType w:val="hybridMultilevel"/>
    <w:tmpl w:val="88F819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7CD7B42"/>
    <w:multiLevelType w:val="hybridMultilevel"/>
    <w:tmpl w:val="C6A8C928"/>
    <w:lvl w:ilvl="0" w:tplc="40090001">
      <w:start w:val="1"/>
      <w:numFmt w:val="bullet"/>
      <w:lvlText w:val=""/>
      <w:lvlJc w:val="left"/>
      <w:pPr>
        <w:ind w:left="121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B474F37"/>
    <w:multiLevelType w:val="hybridMultilevel"/>
    <w:tmpl w:val="485C5B1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97743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241E7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8C74FC"/>
    <w:multiLevelType w:val="hybridMultilevel"/>
    <w:tmpl w:val="69881C1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BB22205"/>
    <w:multiLevelType w:val="multilevel"/>
    <w:tmpl w:val="F58CA5F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867F10"/>
    <w:multiLevelType w:val="hybridMultilevel"/>
    <w:tmpl w:val="DCC05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FF1253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18"/>
  </w:num>
  <w:num w:numId="3">
    <w:abstractNumId w:val="12"/>
  </w:num>
  <w:num w:numId="4">
    <w:abstractNumId w:val="15"/>
  </w:num>
  <w:num w:numId="5">
    <w:abstractNumId w:val="0"/>
  </w:num>
  <w:num w:numId="6">
    <w:abstractNumId w:val="25"/>
  </w:num>
  <w:num w:numId="7">
    <w:abstractNumId w:val="6"/>
  </w:num>
  <w:num w:numId="8">
    <w:abstractNumId w:val="38"/>
  </w:num>
  <w:num w:numId="9">
    <w:abstractNumId w:val="8"/>
  </w:num>
  <w:num w:numId="10">
    <w:abstractNumId w:val="43"/>
  </w:num>
  <w:num w:numId="11">
    <w:abstractNumId w:val="26"/>
  </w:num>
  <w:num w:numId="12">
    <w:abstractNumId w:val="27"/>
  </w:num>
  <w:num w:numId="13">
    <w:abstractNumId w:val="10"/>
  </w:num>
  <w:num w:numId="14">
    <w:abstractNumId w:val="9"/>
  </w:num>
  <w:num w:numId="15">
    <w:abstractNumId w:val="41"/>
  </w:num>
  <w:num w:numId="16">
    <w:abstractNumId w:val="21"/>
  </w:num>
  <w:num w:numId="17">
    <w:abstractNumId w:val="32"/>
  </w:num>
  <w:num w:numId="18">
    <w:abstractNumId w:val="28"/>
  </w:num>
  <w:num w:numId="19">
    <w:abstractNumId w:val="22"/>
  </w:num>
  <w:num w:numId="20">
    <w:abstractNumId w:val="19"/>
  </w:num>
  <w:num w:numId="21">
    <w:abstractNumId w:val="5"/>
  </w:num>
  <w:num w:numId="22">
    <w:abstractNumId w:val="20"/>
  </w:num>
  <w:num w:numId="23">
    <w:abstractNumId w:val="4"/>
  </w:num>
  <w:num w:numId="24">
    <w:abstractNumId w:val="34"/>
  </w:num>
  <w:num w:numId="25">
    <w:abstractNumId w:val="29"/>
  </w:num>
  <w:num w:numId="26">
    <w:abstractNumId w:val="1"/>
  </w:num>
  <w:num w:numId="27">
    <w:abstractNumId w:val="2"/>
  </w:num>
  <w:num w:numId="28">
    <w:abstractNumId w:val="36"/>
  </w:num>
  <w:num w:numId="29">
    <w:abstractNumId w:val="30"/>
  </w:num>
  <w:num w:numId="30">
    <w:abstractNumId w:val="44"/>
  </w:num>
  <w:num w:numId="31">
    <w:abstractNumId w:val="17"/>
  </w:num>
  <w:num w:numId="32">
    <w:abstractNumId w:val="23"/>
  </w:num>
  <w:num w:numId="33">
    <w:abstractNumId w:val="16"/>
  </w:num>
  <w:num w:numId="34">
    <w:abstractNumId w:val="13"/>
  </w:num>
  <w:num w:numId="35">
    <w:abstractNumId w:val="31"/>
  </w:num>
  <w:num w:numId="36">
    <w:abstractNumId w:val="39"/>
  </w:num>
  <w:num w:numId="37">
    <w:abstractNumId w:val="40"/>
  </w:num>
  <w:num w:numId="38">
    <w:abstractNumId w:val="35"/>
  </w:num>
  <w:num w:numId="39">
    <w:abstractNumId w:val="14"/>
  </w:num>
  <w:num w:numId="40">
    <w:abstractNumId w:val="11"/>
  </w:num>
  <w:num w:numId="41">
    <w:abstractNumId w:val="42"/>
  </w:num>
  <w:num w:numId="42">
    <w:abstractNumId w:val="33"/>
  </w:num>
  <w:num w:numId="43">
    <w:abstractNumId w:val="3"/>
  </w:num>
  <w:num w:numId="44">
    <w:abstractNumId w:val="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74"/>
    <w:rsid w:val="000045D5"/>
    <w:rsid w:val="00006543"/>
    <w:rsid w:val="00013184"/>
    <w:rsid w:val="00016D9A"/>
    <w:rsid w:val="00017574"/>
    <w:rsid w:val="00017F19"/>
    <w:rsid w:val="00023FB8"/>
    <w:rsid w:val="000259F6"/>
    <w:rsid w:val="00026413"/>
    <w:rsid w:val="00032A38"/>
    <w:rsid w:val="000366E8"/>
    <w:rsid w:val="00047FB4"/>
    <w:rsid w:val="00050518"/>
    <w:rsid w:val="00052350"/>
    <w:rsid w:val="0005451B"/>
    <w:rsid w:val="00055423"/>
    <w:rsid w:val="000559A9"/>
    <w:rsid w:val="00056D94"/>
    <w:rsid w:val="00057693"/>
    <w:rsid w:val="0006346A"/>
    <w:rsid w:val="0006765E"/>
    <w:rsid w:val="0007243F"/>
    <w:rsid w:val="00076181"/>
    <w:rsid w:val="000803A5"/>
    <w:rsid w:val="00085231"/>
    <w:rsid w:val="00085F4C"/>
    <w:rsid w:val="00087CC9"/>
    <w:rsid w:val="0009499B"/>
    <w:rsid w:val="00094B69"/>
    <w:rsid w:val="00095D0D"/>
    <w:rsid w:val="000A06A7"/>
    <w:rsid w:val="000A18AB"/>
    <w:rsid w:val="000A379B"/>
    <w:rsid w:val="000A57EB"/>
    <w:rsid w:val="000A6442"/>
    <w:rsid w:val="000A7D5D"/>
    <w:rsid w:val="000A7D66"/>
    <w:rsid w:val="000B0609"/>
    <w:rsid w:val="000B33EA"/>
    <w:rsid w:val="000B61E7"/>
    <w:rsid w:val="000C3960"/>
    <w:rsid w:val="000C3A3C"/>
    <w:rsid w:val="000D0008"/>
    <w:rsid w:val="000D1AF6"/>
    <w:rsid w:val="000D1B02"/>
    <w:rsid w:val="000D2186"/>
    <w:rsid w:val="000D7702"/>
    <w:rsid w:val="000E2A4F"/>
    <w:rsid w:val="000E5F01"/>
    <w:rsid w:val="000F1F1A"/>
    <w:rsid w:val="000F236C"/>
    <w:rsid w:val="000F56B3"/>
    <w:rsid w:val="001012F2"/>
    <w:rsid w:val="001037E4"/>
    <w:rsid w:val="00115FE8"/>
    <w:rsid w:val="0012030D"/>
    <w:rsid w:val="00121E7E"/>
    <w:rsid w:val="001223F4"/>
    <w:rsid w:val="001253AC"/>
    <w:rsid w:val="0012569D"/>
    <w:rsid w:val="001302FF"/>
    <w:rsid w:val="001303B6"/>
    <w:rsid w:val="00143AC1"/>
    <w:rsid w:val="00150203"/>
    <w:rsid w:val="00151266"/>
    <w:rsid w:val="0015390B"/>
    <w:rsid w:val="00155359"/>
    <w:rsid w:val="001658C9"/>
    <w:rsid w:val="00170161"/>
    <w:rsid w:val="00177162"/>
    <w:rsid w:val="00180BB9"/>
    <w:rsid w:val="00181CBD"/>
    <w:rsid w:val="0018233B"/>
    <w:rsid w:val="00183FD8"/>
    <w:rsid w:val="00185222"/>
    <w:rsid w:val="00186EF6"/>
    <w:rsid w:val="00187196"/>
    <w:rsid w:val="00191B7C"/>
    <w:rsid w:val="0019353F"/>
    <w:rsid w:val="00193A7D"/>
    <w:rsid w:val="00193EA6"/>
    <w:rsid w:val="00195258"/>
    <w:rsid w:val="00197AF9"/>
    <w:rsid w:val="001A1FD2"/>
    <w:rsid w:val="001A6622"/>
    <w:rsid w:val="001B06E3"/>
    <w:rsid w:val="001B19BD"/>
    <w:rsid w:val="001D0774"/>
    <w:rsid w:val="001D4984"/>
    <w:rsid w:val="001D50B9"/>
    <w:rsid w:val="001D539A"/>
    <w:rsid w:val="001E4DB8"/>
    <w:rsid w:val="001F35BD"/>
    <w:rsid w:val="001F40E8"/>
    <w:rsid w:val="001F54E5"/>
    <w:rsid w:val="002022B0"/>
    <w:rsid w:val="002027F6"/>
    <w:rsid w:val="00202B05"/>
    <w:rsid w:val="00202FB0"/>
    <w:rsid w:val="0020636C"/>
    <w:rsid w:val="00210756"/>
    <w:rsid w:val="00215BD0"/>
    <w:rsid w:val="00220D06"/>
    <w:rsid w:val="0022158C"/>
    <w:rsid w:val="002230B1"/>
    <w:rsid w:val="002233BE"/>
    <w:rsid w:val="00223D84"/>
    <w:rsid w:val="002266A1"/>
    <w:rsid w:val="00233228"/>
    <w:rsid w:val="00235410"/>
    <w:rsid w:val="002359E4"/>
    <w:rsid w:val="00237A11"/>
    <w:rsid w:val="00241B9D"/>
    <w:rsid w:val="00243A4F"/>
    <w:rsid w:val="002518B9"/>
    <w:rsid w:val="00253DAC"/>
    <w:rsid w:val="00254B24"/>
    <w:rsid w:val="00264985"/>
    <w:rsid w:val="00265F4D"/>
    <w:rsid w:val="002666B1"/>
    <w:rsid w:val="002666E1"/>
    <w:rsid w:val="002754C1"/>
    <w:rsid w:val="00276664"/>
    <w:rsid w:val="00285184"/>
    <w:rsid w:val="00291FAC"/>
    <w:rsid w:val="002930CC"/>
    <w:rsid w:val="00293E25"/>
    <w:rsid w:val="0029569D"/>
    <w:rsid w:val="00295F60"/>
    <w:rsid w:val="00297AC4"/>
    <w:rsid w:val="002A4789"/>
    <w:rsid w:val="002A48BE"/>
    <w:rsid w:val="002A5A36"/>
    <w:rsid w:val="002A6F83"/>
    <w:rsid w:val="002B1A51"/>
    <w:rsid w:val="002B58B9"/>
    <w:rsid w:val="002B678A"/>
    <w:rsid w:val="002C2387"/>
    <w:rsid w:val="002C2973"/>
    <w:rsid w:val="002C6444"/>
    <w:rsid w:val="002C7C73"/>
    <w:rsid w:val="002D0892"/>
    <w:rsid w:val="002D0D85"/>
    <w:rsid w:val="002D66FD"/>
    <w:rsid w:val="002E018D"/>
    <w:rsid w:val="002E1BDB"/>
    <w:rsid w:val="002E1E70"/>
    <w:rsid w:val="002F15E0"/>
    <w:rsid w:val="002F37C0"/>
    <w:rsid w:val="002F3F81"/>
    <w:rsid w:val="00301C80"/>
    <w:rsid w:val="00305931"/>
    <w:rsid w:val="00305D90"/>
    <w:rsid w:val="00315B1B"/>
    <w:rsid w:val="00316784"/>
    <w:rsid w:val="00321A4C"/>
    <w:rsid w:val="00325E21"/>
    <w:rsid w:val="003307F3"/>
    <w:rsid w:val="00330E2F"/>
    <w:rsid w:val="003329DB"/>
    <w:rsid w:val="0033339D"/>
    <w:rsid w:val="00333D51"/>
    <w:rsid w:val="0034020D"/>
    <w:rsid w:val="0034223E"/>
    <w:rsid w:val="00347D1C"/>
    <w:rsid w:val="00352BCD"/>
    <w:rsid w:val="00352D01"/>
    <w:rsid w:val="003548A2"/>
    <w:rsid w:val="00357B0C"/>
    <w:rsid w:val="003610E5"/>
    <w:rsid w:val="003649B3"/>
    <w:rsid w:val="0036524C"/>
    <w:rsid w:val="00367031"/>
    <w:rsid w:val="00370DB3"/>
    <w:rsid w:val="00371F83"/>
    <w:rsid w:val="00372C3C"/>
    <w:rsid w:val="003758FA"/>
    <w:rsid w:val="0038035D"/>
    <w:rsid w:val="0038696C"/>
    <w:rsid w:val="003926D8"/>
    <w:rsid w:val="003940D7"/>
    <w:rsid w:val="00396DF8"/>
    <w:rsid w:val="003A30E6"/>
    <w:rsid w:val="003A4009"/>
    <w:rsid w:val="003A5148"/>
    <w:rsid w:val="003A6E54"/>
    <w:rsid w:val="003B5BFD"/>
    <w:rsid w:val="003B61C3"/>
    <w:rsid w:val="003C5BC2"/>
    <w:rsid w:val="003D085C"/>
    <w:rsid w:val="003D4A72"/>
    <w:rsid w:val="003D640D"/>
    <w:rsid w:val="003E5092"/>
    <w:rsid w:val="003F0E6E"/>
    <w:rsid w:val="003F35E7"/>
    <w:rsid w:val="003F4FCB"/>
    <w:rsid w:val="003F74D7"/>
    <w:rsid w:val="00402D1F"/>
    <w:rsid w:val="00402D5F"/>
    <w:rsid w:val="00405923"/>
    <w:rsid w:val="00410645"/>
    <w:rsid w:val="00410A1C"/>
    <w:rsid w:val="004132F1"/>
    <w:rsid w:val="00413976"/>
    <w:rsid w:val="00423660"/>
    <w:rsid w:val="0043553B"/>
    <w:rsid w:val="004416C2"/>
    <w:rsid w:val="00442035"/>
    <w:rsid w:val="00445912"/>
    <w:rsid w:val="00452FDF"/>
    <w:rsid w:val="004547BE"/>
    <w:rsid w:val="00456E1E"/>
    <w:rsid w:val="004604BE"/>
    <w:rsid w:val="004630AC"/>
    <w:rsid w:val="0046720A"/>
    <w:rsid w:val="004674A8"/>
    <w:rsid w:val="00470E90"/>
    <w:rsid w:val="00472ACB"/>
    <w:rsid w:val="004739A7"/>
    <w:rsid w:val="0047482A"/>
    <w:rsid w:val="00475635"/>
    <w:rsid w:val="004769D9"/>
    <w:rsid w:val="0048375D"/>
    <w:rsid w:val="00486939"/>
    <w:rsid w:val="00486F74"/>
    <w:rsid w:val="004924F1"/>
    <w:rsid w:val="004936F9"/>
    <w:rsid w:val="004A0B43"/>
    <w:rsid w:val="004A181F"/>
    <w:rsid w:val="004A2498"/>
    <w:rsid w:val="004A26ED"/>
    <w:rsid w:val="004A458E"/>
    <w:rsid w:val="004A4AAE"/>
    <w:rsid w:val="004A6C09"/>
    <w:rsid w:val="004B0B45"/>
    <w:rsid w:val="004B28F8"/>
    <w:rsid w:val="004C4479"/>
    <w:rsid w:val="004C56CF"/>
    <w:rsid w:val="004D0660"/>
    <w:rsid w:val="004D3CA2"/>
    <w:rsid w:val="004D742A"/>
    <w:rsid w:val="004E00AD"/>
    <w:rsid w:val="004E0515"/>
    <w:rsid w:val="004E0E92"/>
    <w:rsid w:val="004E27FD"/>
    <w:rsid w:val="004E2979"/>
    <w:rsid w:val="004E2C08"/>
    <w:rsid w:val="004F0743"/>
    <w:rsid w:val="004F1411"/>
    <w:rsid w:val="004F67E9"/>
    <w:rsid w:val="0051411A"/>
    <w:rsid w:val="005171F1"/>
    <w:rsid w:val="00520747"/>
    <w:rsid w:val="00520D7D"/>
    <w:rsid w:val="005211AC"/>
    <w:rsid w:val="00523FD1"/>
    <w:rsid w:val="00525813"/>
    <w:rsid w:val="0053107A"/>
    <w:rsid w:val="00534EE1"/>
    <w:rsid w:val="005402D9"/>
    <w:rsid w:val="0054163E"/>
    <w:rsid w:val="00546810"/>
    <w:rsid w:val="00547E03"/>
    <w:rsid w:val="00550384"/>
    <w:rsid w:val="005539FA"/>
    <w:rsid w:val="00555F9B"/>
    <w:rsid w:val="00555FDD"/>
    <w:rsid w:val="005565D1"/>
    <w:rsid w:val="00556670"/>
    <w:rsid w:val="0055753C"/>
    <w:rsid w:val="005651F2"/>
    <w:rsid w:val="005672B6"/>
    <w:rsid w:val="00575431"/>
    <w:rsid w:val="00582A06"/>
    <w:rsid w:val="00582A25"/>
    <w:rsid w:val="00585A3B"/>
    <w:rsid w:val="00590333"/>
    <w:rsid w:val="005919C3"/>
    <w:rsid w:val="00595265"/>
    <w:rsid w:val="005A3235"/>
    <w:rsid w:val="005A4327"/>
    <w:rsid w:val="005A44EC"/>
    <w:rsid w:val="005A6A1A"/>
    <w:rsid w:val="005A7FE1"/>
    <w:rsid w:val="005B118E"/>
    <w:rsid w:val="005B2EC4"/>
    <w:rsid w:val="005B45AE"/>
    <w:rsid w:val="005B49CC"/>
    <w:rsid w:val="005B6323"/>
    <w:rsid w:val="005B72B8"/>
    <w:rsid w:val="005C1C74"/>
    <w:rsid w:val="005C1D0F"/>
    <w:rsid w:val="005C3242"/>
    <w:rsid w:val="005D2306"/>
    <w:rsid w:val="005D40D4"/>
    <w:rsid w:val="005E38F5"/>
    <w:rsid w:val="005E66CB"/>
    <w:rsid w:val="005F0A75"/>
    <w:rsid w:val="005F1281"/>
    <w:rsid w:val="005F4486"/>
    <w:rsid w:val="005F726D"/>
    <w:rsid w:val="005F762F"/>
    <w:rsid w:val="0060315B"/>
    <w:rsid w:val="006040CF"/>
    <w:rsid w:val="00604E02"/>
    <w:rsid w:val="00610431"/>
    <w:rsid w:val="00610544"/>
    <w:rsid w:val="00611046"/>
    <w:rsid w:val="00611DFB"/>
    <w:rsid w:val="006129E6"/>
    <w:rsid w:val="00614F46"/>
    <w:rsid w:val="00627DE3"/>
    <w:rsid w:val="00632C5E"/>
    <w:rsid w:val="00636116"/>
    <w:rsid w:val="006364F0"/>
    <w:rsid w:val="00645396"/>
    <w:rsid w:val="00664861"/>
    <w:rsid w:val="006651CB"/>
    <w:rsid w:val="00670E94"/>
    <w:rsid w:val="00674209"/>
    <w:rsid w:val="00675885"/>
    <w:rsid w:val="0067706D"/>
    <w:rsid w:val="00681132"/>
    <w:rsid w:val="00692E1C"/>
    <w:rsid w:val="006951D7"/>
    <w:rsid w:val="00696968"/>
    <w:rsid w:val="00696A07"/>
    <w:rsid w:val="006A4D9B"/>
    <w:rsid w:val="006A5F05"/>
    <w:rsid w:val="006B780E"/>
    <w:rsid w:val="006C2065"/>
    <w:rsid w:val="006C239F"/>
    <w:rsid w:val="006D2ADB"/>
    <w:rsid w:val="006D6D08"/>
    <w:rsid w:val="006E086B"/>
    <w:rsid w:val="006E355C"/>
    <w:rsid w:val="006E5736"/>
    <w:rsid w:val="006F18E5"/>
    <w:rsid w:val="006F1D6D"/>
    <w:rsid w:val="006F2C74"/>
    <w:rsid w:val="006F50F9"/>
    <w:rsid w:val="006F5E55"/>
    <w:rsid w:val="00700626"/>
    <w:rsid w:val="00702522"/>
    <w:rsid w:val="007063F2"/>
    <w:rsid w:val="007075C7"/>
    <w:rsid w:val="00713D71"/>
    <w:rsid w:val="007169B3"/>
    <w:rsid w:val="00717231"/>
    <w:rsid w:val="00720E23"/>
    <w:rsid w:val="0072161D"/>
    <w:rsid w:val="00724434"/>
    <w:rsid w:val="00725034"/>
    <w:rsid w:val="00734D25"/>
    <w:rsid w:val="00737267"/>
    <w:rsid w:val="007511D9"/>
    <w:rsid w:val="00751AD9"/>
    <w:rsid w:val="00751C39"/>
    <w:rsid w:val="00755A77"/>
    <w:rsid w:val="007565A3"/>
    <w:rsid w:val="007624E0"/>
    <w:rsid w:val="0076318D"/>
    <w:rsid w:val="00764512"/>
    <w:rsid w:val="0076519E"/>
    <w:rsid w:val="00766A0B"/>
    <w:rsid w:val="007709A1"/>
    <w:rsid w:val="007766DD"/>
    <w:rsid w:val="007771A5"/>
    <w:rsid w:val="00786516"/>
    <w:rsid w:val="00786E48"/>
    <w:rsid w:val="007919D4"/>
    <w:rsid w:val="00791DFB"/>
    <w:rsid w:val="00794FD0"/>
    <w:rsid w:val="00796073"/>
    <w:rsid w:val="00797421"/>
    <w:rsid w:val="0079764F"/>
    <w:rsid w:val="007A0370"/>
    <w:rsid w:val="007A3880"/>
    <w:rsid w:val="007A6419"/>
    <w:rsid w:val="007C2FF7"/>
    <w:rsid w:val="007C3C8E"/>
    <w:rsid w:val="007C7AF4"/>
    <w:rsid w:val="007D018F"/>
    <w:rsid w:val="007D64A6"/>
    <w:rsid w:val="007D722C"/>
    <w:rsid w:val="007E0CC1"/>
    <w:rsid w:val="007E3596"/>
    <w:rsid w:val="007E4AA9"/>
    <w:rsid w:val="007E5930"/>
    <w:rsid w:val="007E610F"/>
    <w:rsid w:val="007E74A3"/>
    <w:rsid w:val="007E78CF"/>
    <w:rsid w:val="007E7FC7"/>
    <w:rsid w:val="007F0B37"/>
    <w:rsid w:val="007F0BE2"/>
    <w:rsid w:val="007F1E37"/>
    <w:rsid w:val="007F6616"/>
    <w:rsid w:val="007F74FA"/>
    <w:rsid w:val="00817C7E"/>
    <w:rsid w:val="00820EA0"/>
    <w:rsid w:val="00823070"/>
    <w:rsid w:val="008240C9"/>
    <w:rsid w:val="0083015F"/>
    <w:rsid w:val="00832B6C"/>
    <w:rsid w:val="00833F20"/>
    <w:rsid w:val="00834966"/>
    <w:rsid w:val="00837450"/>
    <w:rsid w:val="00840253"/>
    <w:rsid w:val="008403D6"/>
    <w:rsid w:val="00851832"/>
    <w:rsid w:val="00854CD7"/>
    <w:rsid w:val="0086235D"/>
    <w:rsid w:val="008674FD"/>
    <w:rsid w:val="00870BD5"/>
    <w:rsid w:val="00874A8E"/>
    <w:rsid w:val="008776CA"/>
    <w:rsid w:val="00881FD0"/>
    <w:rsid w:val="0088595F"/>
    <w:rsid w:val="008877DD"/>
    <w:rsid w:val="00893476"/>
    <w:rsid w:val="008A29B5"/>
    <w:rsid w:val="008A4288"/>
    <w:rsid w:val="008B11D3"/>
    <w:rsid w:val="008B12D1"/>
    <w:rsid w:val="008B6F48"/>
    <w:rsid w:val="008C01CF"/>
    <w:rsid w:val="008C37D4"/>
    <w:rsid w:val="008C3B91"/>
    <w:rsid w:val="008C3C02"/>
    <w:rsid w:val="008D02DE"/>
    <w:rsid w:val="008D342D"/>
    <w:rsid w:val="008D3DBC"/>
    <w:rsid w:val="008D531F"/>
    <w:rsid w:val="008D6662"/>
    <w:rsid w:val="008E02EB"/>
    <w:rsid w:val="008E18D5"/>
    <w:rsid w:val="008E2044"/>
    <w:rsid w:val="008E300C"/>
    <w:rsid w:val="008F0E04"/>
    <w:rsid w:val="008F48C0"/>
    <w:rsid w:val="008F48C7"/>
    <w:rsid w:val="008F556D"/>
    <w:rsid w:val="008F6E84"/>
    <w:rsid w:val="0090179D"/>
    <w:rsid w:val="00903C29"/>
    <w:rsid w:val="009056C4"/>
    <w:rsid w:val="00906471"/>
    <w:rsid w:val="00906578"/>
    <w:rsid w:val="00907D9E"/>
    <w:rsid w:val="00912313"/>
    <w:rsid w:val="009141CB"/>
    <w:rsid w:val="00914620"/>
    <w:rsid w:val="009153B5"/>
    <w:rsid w:val="00920EC4"/>
    <w:rsid w:val="009248B6"/>
    <w:rsid w:val="009259C4"/>
    <w:rsid w:val="00932ACD"/>
    <w:rsid w:val="0093338F"/>
    <w:rsid w:val="00934505"/>
    <w:rsid w:val="00937859"/>
    <w:rsid w:val="0094020A"/>
    <w:rsid w:val="00941D05"/>
    <w:rsid w:val="00950871"/>
    <w:rsid w:val="009510FA"/>
    <w:rsid w:val="009517EA"/>
    <w:rsid w:val="00952035"/>
    <w:rsid w:val="009525D7"/>
    <w:rsid w:val="00953AEA"/>
    <w:rsid w:val="00955295"/>
    <w:rsid w:val="00961AF2"/>
    <w:rsid w:val="00962E97"/>
    <w:rsid w:val="009645E3"/>
    <w:rsid w:val="00992EE4"/>
    <w:rsid w:val="0099484A"/>
    <w:rsid w:val="00995DC2"/>
    <w:rsid w:val="009A662E"/>
    <w:rsid w:val="009B2C80"/>
    <w:rsid w:val="009B310E"/>
    <w:rsid w:val="009B3A0C"/>
    <w:rsid w:val="009E02F8"/>
    <w:rsid w:val="009E135A"/>
    <w:rsid w:val="009E28EB"/>
    <w:rsid w:val="009E41DA"/>
    <w:rsid w:val="009E6AC4"/>
    <w:rsid w:val="009E7088"/>
    <w:rsid w:val="009F07CD"/>
    <w:rsid w:val="009F30B6"/>
    <w:rsid w:val="009F3E2B"/>
    <w:rsid w:val="009F54D9"/>
    <w:rsid w:val="00A006F9"/>
    <w:rsid w:val="00A141D0"/>
    <w:rsid w:val="00A16C61"/>
    <w:rsid w:val="00A21218"/>
    <w:rsid w:val="00A2271D"/>
    <w:rsid w:val="00A23895"/>
    <w:rsid w:val="00A23EC4"/>
    <w:rsid w:val="00A3334E"/>
    <w:rsid w:val="00A336A9"/>
    <w:rsid w:val="00A36B7A"/>
    <w:rsid w:val="00A37BB0"/>
    <w:rsid w:val="00A469DC"/>
    <w:rsid w:val="00A5024C"/>
    <w:rsid w:val="00A51035"/>
    <w:rsid w:val="00A5680A"/>
    <w:rsid w:val="00A56B47"/>
    <w:rsid w:val="00A61611"/>
    <w:rsid w:val="00A65604"/>
    <w:rsid w:val="00A67EE5"/>
    <w:rsid w:val="00A7307C"/>
    <w:rsid w:val="00A74CD3"/>
    <w:rsid w:val="00A75996"/>
    <w:rsid w:val="00A75CCC"/>
    <w:rsid w:val="00A80411"/>
    <w:rsid w:val="00A81B15"/>
    <w:rsid w:val="00A855F5"/>
    <w:rsid w:val="00A876DA"/>
    <w:rsid w:val="00A87BDF"/>
    <w:rsid w:val="00A9356A"/>
    <w:rsid w:val="00A94FF9"/>
    <w:rsid w:val="00AA0BB5"/>
    <w:rsid w:val="00AA63EF"/>
    <w:rsid w:val="00AA7277"/>
    <w:rsid w:val="00AB0350"/>
    <w:rsid w:val="00AB2590"/>
    <w:rsid w:val="00AB72DE"/>
    <w:rsid w:val="00AC23FF"/>
    <w:rsid w:val="00AC2EF9"/>
    <w:rsid w:val="00AD1FDE"/>
    <w:rsid w:val="00AD2B4E"/>
    <w:rsid w:val="00AD3DDA"/>
    <w:rsid w:val="00AD3EC7"/>
    <w:rsid w:val="00AD4C58"/>
    <w:rsid w:val="00AD50B6"/>
    <w:rsid w:val="00AF3DA2"/>
    <w:rsid w:val="00B01CDB"/>
    <w:rsid w:val="00B01F40"/>
    <w:rsid w:val="00B023B5"/>
    <w:rsid w:val="00B0396F"/>
    <w:rsid w:val="00B10E19"/>
    <w:rsid w:val="00B125DB"/>
    <w:rsid w:val="00B13667"/>
    <w:rsid w:val="00B16D23"/>
    <w:rsid w:val="00B179EB"/>
    <w:rsid w:val="00B20E78"/>
    <w:rsid w:val="00B21F08"/>
    <w:rsid w:val="00B30F1D"/>
    <w:rsid w:val="00B32D30"/>
    <w:rsid w:val="00B451AF"/>
    <w:rsid w:val="00B45C82"/>
    <w:rsid w:val="00B45FCC"/>
    <w:rsid w:val="00B47370"/>
    <w:rsid w:val="00B51AC1"/>
    <w:rsid w:val="00B53E32"/>
    <w:rsid w:val="00B55924"/>
    <w:rsid w:val="00B55A7E"/>
    <w:rsid w:val="00B56036"/>
    <w:rsid w:val="00B60282"/>
    <w:rsid w:val="00B60E7B"/>
    <w:rsid w:val="00B61187"/>
    <w:rsid w:val="00B66D5B"/>
    <w:rsid w:val="00B70F17"/>
    <w:rsid w:val="00B7132D"/>
    <w:rsid w:val="00B7274F"/>
    <w:rsid w:val="00B742A0"/>
    <w:rsid w:val="00B82E81"/>
    <w:rsid w:val="00B86A9F"/>
    <w:rsid w:val="00B94290"/>
    <w:rsid w:val="00B9634F"/>
    <w:rsid w:val="00B968E9"/>
    <w:rsid w:val="00B97E89"/>
    <w:rsid w:val="00BA5875"/>
    <w:rsid w:val="00BB1465"/>
    <w:rsid w:val="00BB18AD"/>
    <w:rsid w:val="00BB2619"/>
    <w:rsid w:val="00BB38FC"/>
    <w:rsid w:val="00BB674D"/>
    <w:rsid w:val="00BB7DA6"/>
    <w:rsid w:val="00BC1F82"/>
    <w:rsid w:val="00BC47F2"/>
    <w:rsid w:val="00BC6552"/>
    <w:rsid w:val="00BD2D64"/>
    <w:rsid w:val="00BD3642"/>
    <w:rsid w:val="00BD6747"/>
    <w:rsid w:val="00BD706E"/>
    <w:rsid w:val="00BE11F0"/>
    <w:rsid w:val="00BE4206"/>
    <w:rsid w:val="00BF0F65"/>
    <w:rsid w:val="00BF47E4"/>
    <w:rsid w:val="00BF68E9"/>
    <w:rsid w:val="00C01F35"/>
    <w:rsid w:val="00C02014"/>
    <w:rsid w:val="00C045F8"/>
    <w:rsid w:val="00C1045D"/>
    <w:rsid w:val="00C11589"/>
    <w:rsid w:val="00C2298F"/>
    <w:rsid w:val="00C23237"/>
    <w:rsid w:val="00C239DF"/>
    <w:rsid w:val="00C23A66"/>
    <w:rsid w:val="00C2570C"/>
    <w:rsid w:val="00C25E2D"/>
    <w:rsid w:val="00C27AE0"/>
    <w:rsid w:val="00C43654"/>
    <w:rsid w:val="00C512C1"/>
    <w:rsid w:val="00C546D4"/>
    <w:rsid w:val="00C5492E"/>
    <w:rsid w:val="00C56146"/>
    <w:rsid w:val="00C5798F"/>
    <w:rsid w:val="00C57E4D"/>
    <w:rsid w:val="00C60219"/>
    <w:rsid w:val="00C6135E"/>
    <w:rsid w:val="00C70A10"/>
    <w:rsid w:val="00C71726"/>
    <w:rsid w:val="00C80BC9"/>
    <w:rsid w:val="00C810B7"/>
    <w:rsid w:val="00C833B7"/>
    <w:rsid w:val="00C84470"/>
    <w:rsid w:val="00C85E53"/>
    <w:rsid w:val="00C87D07"/>
    <w:rsid w:val="00C87D76"/>
    <w:rsid w:val="00C920E7"/>
    <w:rsid w:val="00C92276"/>
    <w:rsid w:val="00C9578F"/>
    <w:rsid w:val="00C973D2"/>
    <w:rsid w:val="00CA06FF"/>
    <w:rsid w:val="00CA2A54"/>
    <w:rsid w:val="00CA2C50"/>
    <w:rsid w:val="00CA6006"/>
    <w:rsid w:val="00CB23A5"/>
    <w:rsid w:val="00CB5A9D"/>
    <w:rsid w:val="00CC0099"/>
    <w:rsid w:val="00CC075E"/>
    <w:rsid w:val="00CC4282"/>
    <w:rsid w:val="00CC568D"/>
    <w:rsid w:val="00CC731E"/>
    <w:rsid w:val="00CD2E04"/>
    <w:rsid w:val="00CD2E89"/>
    <w:rsid w:val="00CD384D"/>
    <w:rsid w:val="00CD3903"/>
    <w:rsid w:val="00CD5639"/>
    <w:rsid w:val="00CF1235"/>
    <w:rsid w:val="00CF222A"/>
    <w:rsid w:val="00CF4D88"/>
    <w:rsid w:val="00D03CFA"/>
    <w:rsid w:val="00D047F4"/>
    <w:rsid w:val="00D14EA1"/>
    <w:rsid w:val="00D203B5"/>
    <w:rsid w:val="00D2072B"/>
    <w:rsid w:val="00D273DD"/>
    <w:rsid w:val="00D37532"/>
    <w:rsid w:val="00D37B5F"/>
    <w:rsid w:val="00D41181"/>
    <w:rsid w:val="00D447AA"/>
    <w:rsid w:val="00D46661"/>
    <w:rsid w:val="00D527F7"/>
    <w:rsid w:val="00D546BC"/>
    <w:rsid w:val="00D550D9"/>
    <w:rsid w:val="00D57A3B"/>
    <w:rsid w:val="00D57EAB"/>
    <w:rsid w:val="00D6161F"/>
    <w:rsid w:val="00D61744"/>
    <w:rsid w:val="00D6457E"/>
    <w:rsid w:val="00D66234"/>
    <w:rsid w:val="00D70F20"/>
    <w:rsid w:val="00D713EC"/>
    <w:rsid w:val="00D71A50"/>
    <w:rsid w:val="00D724DB"/>
    <w:rsid w:val="00D7263D"/>
    <w:rsid w:val="00D72955"/>
    <w:rsid w:val="00D73076"/>
    <w:rsid w:val="00D73878"/>
    <w:rsid w:val="00D77459"/>
    <w:rsid w:val="00D77ABB"/>
    <w:rsid w:val="00D81069"/>
    <w:rsid w:val="00D8605B"/>
    <w:rsid w:val="00D974AE"/>
    <w:rsid w:val="00D9783F"/>
    <w:rsid w:val="00DA6839"/>
    <w:rsid w:val="00DA7417"/>
    <w:rsid w:val="00DA7BD2"/>
    <w:rsid w:val="00DB2472"/>
    <w:rsid w:val="00DB4774"/>
    <w:rsid w:val="00DB5140"/>
    <w:rsid w:val="00DB6854"/>
    <w:rsid w:val="00DC008E"/>
    <w:rsid w:val="00DC1C75"/>
    <w:rsid w:val="00DC7C5C"/>
    <w:rsid w:val="00DD0128"/>
    <w:rsid w:val="00DD322E"/>
    <w:rsid w:val="00DF1B54"/>
    <w:rsid w:val="00DF52E2"/>
    <w:rsid w:val="00DF66EA"/>
    <w:rsid w:val="00E03A5E"/>
    <w:rsid w:val="00E055D6"/>
    <w:rsid w:val="00E134D2"/>
    <w:rsid w:val="00E135D0"/>
    <w:rsid w:val="00E14C12"/>
    <w:rsid w:val="00E20A6F"/>
    <w:rsid w:val="00E2677B"/>
    <w:rsid w:val="00E26F5F"/>
    <w:rsid w:val="00E26FFE"/>
    <w:rsid w:val="00E30913"/>
    <w:rsid w:val="00E344F8"/>
    <w:rsid w:val="00E35604"/>
    <w:rsid w:val="00E42D47"/>
    <w:rsid w:val="00E45A71"/>
    <w:rsid w:val="00E45ECF"/>
    <w:rsid w:val="00E52950"/>
    <w:rsid w:val="00E531AB"/>
    <w:rsid w:val="00E54E18"/>
    <w:rsid w:val="00E550F8"/>
    <w:rsid w:val="00E5560F"/>
    <w:rsid w:val="00E661A4"/>
    <w:rsid w:val="00E673A5"/>
    <w:rsid w:val="00E7291A"/>
    <w:rsid w:val="00E85E93"/>
    <w:rsid w:val="00E869F0"/>
    <w:rsid w:val="00E90543"/>
    <w:rsid w:val="00E95576"/>
    <w:rsid w:val="00E96E8E"/>
    <w:rsid w:val="00EA10BB"/>
    <w:rsid w:val="00EA223A"/>
    <w:rsid w:val="00EA3276"/>
    <w:rsid w:val="00EA3BBD"/>
    <w:rsid w:val="00EA421E"/>
    <w:rsid w:val="00EB5CF8"/>
    <w:rsid w:val="00EC1DA1"/>
    <w:rsid w:val="00ED29FC"/>
    <w:rsid w:val="00ED34DE"/>
    <w:rsid w:val="00ED3C50"/>
    <w:rsid w:val="00ED5CC1"/>
    <w:rsid w:val="00EF0932"/>
    <w:rsid w:val="00EF10A1"/>
    <w:rsid w:val="00EF6B23"/>
    <w:rsid w:val="00F00159"/>
    <w:rsid w:val="00F0036A"/>
    <w:rsid w:val="00F116D3"/>
    <w:rsid w:val="00F12731"/>
    <w:rsid w:val="00F1393F"/>
    <w:rsid w:val="00F1630D"/>
    <w:rsid w:val="00F23F7B"/>
    <w:rsid w:val="00F25EFE"/>
    <w:rsid w:val="00F27D79"/>
    <w:rsid w:val="00F3009A"/>
    <w:rsid w:val="00F3245E"/>
    <w:rsid w:val="00F33895"/>
    <w:rsid w:val="00F33BF5"/>
    <w:rsid w:val="00F34B6F"/>
    <w:rsid w:val="00F43C19"/>
    <w:rsid w:val="00F50E30"/>
    <w:rsid w:val="00F521C7"/>
    <w:rsid w:val="00F55108"/>
    <w:rsid w:val="00F67943"/>
    <w:rsid w:val="00F70851"/>
    <w:rsid w:val="00F71015"/>
    <w:rsid w:val="00F71E6D"/>
    <w:rsid w:val="00F7534B"/>
    <w:rsid w:val="00F76C64"/>
    <w:rsid w:val="00F848C1"/>
    <w:rsid w:val="00F85DB0"/>
    <w:rsid w:val="00F90197"/>
    <w:rsid w:val="00F91E2C"/>
    <w:rsid w:val="00F92C43"/>
    <w:rsid w:val="00F97A9B"/>
    <w:rsid w:val="00FA060E"/>
    <w:rsid w:val="00FA2ABD"/>
    <w:rsid w:val="00FA723C"/>
    <w:rsid w:val="00FB2B4D"/>
    <w:rsid w:val="00FB311A"/>
    <w:rsid w:val="00FB6458"/>
    <w:rsid w:val="00FB7D38"/>
    <w:rsid w:val="00FC4413"/>
    <w:rsid w:val="00FD315A"/>
    <w:rsid w:val="00FD3870"/>
    <w:rsid w:val="00FE037B"/>
    <w:rsid w:val="00FE54A9"/>
    <w:rsid w:val="00FF35DD"/>
    <w:rsid w:val="00FF4152"/>
    <w:rsid w:val="00FF60F8"/>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55321C"/>
  <w15:chartTrackingRefBased/>
  <w15:docId w15:val="{E9734A62-44BF-4730-80AC-D0292F7A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D0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7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7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774"/>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774"/>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774"/>
    <w:rPr>
      <w:rFonts w:eastAsiaTheme="majorEastAsia" w:cstheme="majorBidi"/>
      <w:color w:val="272727" w:themeColor="text1" w:themeTint="D8"/>
    </w:rPr>
  </w:style>
  <w:style w:type="paragraph" w:styleId="Title">
    <w:name w:val="Title"/>
    <w:basedOn w:val="Normal"/>
    <w:next w:val="Normal"/>
    <w:link w:val="TitleChar"/>
    <w:uiPriority w:val="10"/>
    <w:qFormat/>
    <w:rsid w:val="001D07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7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7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0774"/>
    <w:rPr>
      <w:i/>
      <w:iCs/>
      <w:color w:val="404040" w:themeColor="text1" w:themeTint="BF"/>
    </w:rPr>
  </w:style>
  <w:style w:type="paragraph" w:styleId="ListParagraph">
    <w:name w:val="List Paragraph"/>
    <w:basedOn w:val="Normal"/>
    <w:uiPriority w:val="34"/>
    <w:qFormat/>
    <w:rsid w:val="001D0774"/>
    <w:pPr>
      <w:ind w:left="720"/>
      <w:contextualSpacing/>
    </w:pPr>
  </w:style>
  <w:style w:type="character" w:styleId="IntenseEmphasis">
    <w:name w:val="Intense Emphasis"/>
    <w:basedOn w:val="DefaultParagraphFont"/>
    <w:uiPriority w:val="21"/>
    <w:qFormat/>
    <w:rsid w:val="001D0774"/>
    <w:rPr>
      <w:i/>
      <w:iCs/>
      <w:color w:val="2F5496" w:themeColor="accent1" w:themeShade="BF"/>
    </w:rPr>
  </w:style>
  <w:style w:type="paragraph" w:styleId="IntenseQuote">
    <w:name w:val="Intense Quote"/>
    <w:basedOn w:val="Normal"/>
    <w:next w:val="Normal"/>
    <w:link w:val="IntenseQuoteChar"/>
    <w:uiPriority w:val="30"/>
    <w:qFormat/>
    <w:rsid w:val="001D0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774"/>
    <w:rPr>
      <w:i/>
      <w:iCs/>
      <w:color w:val="2F5496" w:themeColor="accent1" w:themeShade="BF"/>
    </w:rPr>
  </w:style>
  <w:style w:type="character" w:styleId="IntenseReference">
    <w:name w:val="Intense Reference"/>
    <w:basedOn w:val="DefaultParagraphFont"/>
    <w:uiPriority w:val="32"/>
    <w:qFormat/>
    <w:rsid w:val="001D0774"/>
    <w:rPr>
      <w:b/>
      <w:bCs/>
      <w:smallCaps/>
      <w:color w:val="2F5496" w:themeColor="accent1" w:themeShade="BF"/>
      <w:spacing w:val="5"/>
    </w:rPr>
  </w:style>
  <w:style w:type="character" w:styleId="Hyperlink">
    <w:name w:val="Hyperlink"/>
    <w:basedOn w:val="DefaultParagraphFont"/>
    <w:uiPriority w:val="99"/>
    <w:unhideWhenUsed/>
    <w:rsid w:val="00C1045D"/>
    <w:rPr>
      <w:color w:val="0563C1" w:themeColor="hyperlink"/>
      <w:u w:val="single"/>
    </w:rPr>
  </w:style>
  <w:style w:type="character" w:styleId="FootnoteReference">
    <w:name w:val="footnote reference"/>
    <w:basedOn w:val="DefaultParagraphFont"/>
    <w:uiPriority w:val="99"/>
    <w:semiHidden/>
    <w:unhideWhenUsed/>
    <w:rsid w:val="00C1045D"/>
    <w:rPr>
      <w:vertAlign w:val="superscript"/>
    </w:rPr>
  </w:style>
  <w:style w:type="paragraph" w:styleId="NoSpacing">
    <w:name w:val="No Spacing"/>
    <w:uiPriority w:val="1"/>
    <w:qFormat/>
    <w:rsid w:val="00C1045D"/>
    <w:pPr>
      <w:spacing w:before="0" w:beforeAutospacing="0" w:after="0" w:afterAutospacing="0" w:line="240" w:lineRule="auto"/>
      <w:jc w:val="left"/>
    </w:pPr>
  </w:style>
  <w:style w:type="paragraph" w:styleId="NormalWeb">
    <w:name w:val="Normal (Web)"/>
    <w:basedOn w:val="Normal"/>
    <w:uiPriority w:val="99"/>
    <w:unhideWhenUsed/>
    <w:rsid w:val="00285184"/>
    <w:pPr>
      <w:spacing w:after="100" w:line="240" w:lineRule="auto"/>
      <w:jc w:val="left"/>
    </w:pPr>
    <w:rPr>
      <w:rFonts w:ascii="Times New Roman" w:eastAsia="Times New Roman" w:hAnsi="Times New Roman" w:cs="Times New Roman"/>
      <w:kern w:val="0"/>
      <w:sz w:val="24"/>
      <w:szCs w:val="24"/>
      <w:lang w:eastAsia="en-IN" w:bidi="bn-IN"/>
      <w14:ligatures w14:val="none"/>
    </w:rPr>
  </w:style>
  <w:style w:type="character" w:styleId="Strong">
    <w:name w:val="Strong"/>
    <w:basedOn w:val="DefaultParagraphFont"/>
    <w:uiPriority w:val="22"/>
    <w:qFormat/>
    <w:rsid w:val="00285184"/>
    <w:rPr>
      <w:b/>
      <w:bCs/>
    </w:rPr>
  </w:style>
  <w:style w:type="table" w:styleId="GridTable2-Accent2">
    <w:name w:val="Grid Table 2 Accent 2"/>
    <w:basedOn w:val="TableNormal"/>
    <w:uiPriority w:val="47"/>
    <w:rsid w:val="00E550F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7E610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8595F"/>
    <w:pPr>
      <w:spacing w:before="0"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A7307C"/>
    <w:rPr>
      <w:color w:val="605E5C"/>
      <w:shd w:val="clear" w:color="auto" w:fill="E1DFDD"/>
    </w:rPr>
  </w:style>
  <w:style w:type="table" w:styleId="GridTable2">
    <w:name w:val="Grid Table 2"/>
    <w:basedOn w:val="TableNormal"/>
    <w:uiPriority w:val="47"/>
    <w:rsid w:val="009402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9402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E055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2">
    <w:name w:val="List Table 1 Light Accent 2"/>
    <w:basedOn w:val="TableNormal"/>
    <w:uiPriority w:val="46"/>
    <w:rsid w:val="009153B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3">
    <w:name w:val="Plain Table 3"/>
    <w:basedOn w:val="TableNormal"/>
    <w:uiPriority w:val="43"/>
    <w:rsid w:val="00E14C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5">
    <w:name w:val="List Table 1 Light Accent 5"/>
    <w:basedOn w:val="TableNormal"/>
    <w:uiPriority w:val="46"/>
    <w:rsid w:val="0019525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4">
    <w:name w:val="List Table 1 Light Accent 4"/>
    <w:basedOn w:val="TableNormal"/>
    <w:uiPriority w:val="46"/>
    <w:rsid w:val="001012F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C0201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02014"/>
  </w:style>
  <w:style w:type="paragraph" w:styleId="Footer">
    <w:name w:val="footer"/>
    <w:basedOn w:val="Normal"/>
    <w:link w:val="FooterChar"/>
    <w:uiPriority w:val="99"/>
    <w:unhideWhenUsed/>
    <w:rsid w:val="00C0201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02014"/>
  </w:style>
  <w:style w:type="paragraph" w:customStyle="1" w:styleId="query-text-line">
    <w:name w:val="query-text-line"/>
    <w:basedOn w:val="Normal"/>
    <w:rsid w:val="005F4486"/>
    <w:pPr>
      <w:spacing w:after="100" w:line="240" w:lineRule="auto"/>
      <w:jc w:val="left"/>
    </w:pPr>
    <w:rPr>
      <w:rFonts w:ascii="Times New Roman" w:eastAsia="Times New Roman" w:hAnsi="Times New Roman" w:cs="Times New Roman"/>
      <w:kern w:val="0"/>
      <w:sz w:val="24"/>
      <w:szCs w:val="24"/>
      <w:lang w:eastAsia="en-IN" w:bidi="bn-IN"/>
      <w14:ligatures w14:val="none"/>
    </w:rPr>
  </w:style>
  <w:style w:type="character" w:styleId="FollowedHyperlink">
    <w:name w:val="FollowedHyperlink"/>
    <w:basedOn w:val="DefaultParagraphFont"/>
    <w:uiPriority w:val="99"/>
    <w:semiHidden/>
    <w:unhideWhenUsed/>
    <w:rsid w:val="00050518"/>
    <w:rPr>
      <w:color w:val="954F72" w:themeColor="followedHyperlink"/>
      <w:u w:val="single"/>
    </w:rPr>
  </w:style>
  <w:style w:type="table" w:styleId="TableGridLight">
    <w:name w:val="Grid Table Light"/>
    <w:basedOn w:val="TableNormal"/>
    <w:uiPriority w:val="40"/>
    <w:rsid w:val="00604E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E00A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297AC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3FD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B49C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683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AcknHead">
    <w:name w:val="Ackn Head"/>
    <w:basedOn w:val="Normal"/>
    <w:rsid w:val="00920EC4"/>
    <w:pPr>
      <w:keepNext/>
      <w:spacing w:before="0" w:beforeAutospacing="0" w:after="240" w:afterAutospacing="0" w:line="240" w:lineRule="auto"/>
      <w:jc w:val="left"/>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4B0B45"/>
    <w:pPr>
      <w:keepNext/>
      <w:spacing w:before="0" w:beforeAutospacing="0" w:after="240" w:afterAutospacing="0" w:line="240" w:lineRule="auto"/>
      <w:jc w:val="left"/>
    </w:pPr>
    <w:rPr>
      <w:rFonts w:ascii="Helvetica" w:eastAsia="Times New Roman" w:hAnsi="Helvetica" w:cs="Times New Roman"/>
      <w:b/>
      <w:caps/>
      <w:kern w:val="0"/>
      <w:szCs w:val="20"/>
      <w:lang w:val="en-US"/>
      <w14:ligatures w14:val="none"/>
    </w:rPr>
  </w:style>
  <w:style w:type="character" w:styleId="Emphasis">
    <w:name w:val="Emphasis"/>
    <w:basedOn w:val="DefaultParagraphFont"/>
    <w:uiPriority w:val="20"/>
    <w:qFormat/>
    <w:rsid w:val="00824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education/education-at-a-glance/" TargetMode="External"/><Relationship Id="rId18" Type="http://schemas.openxmlformats.org/officeDocument/2006/relationships/hyperlink" Target="https://doi.org/10.1037/cou0000495" TargetMode="External"/><Relationship Id="rId26" Type="http://schemas.microsoft.com/office/2007/relationships/hdphoto" Target="media/hdphoto1.wdp"/><Relationship Id="rId39" Type="http://schemas.openxmlformats.org/officeDocument/2006/relationships/hyperlink" Target="https://doi.org/10.1177/1069072716658780" TargetMode="External"/><Relationship Id="rId21" Type="http://schemas.openxmlformats.org/officeDocument/2006/relationships/hyperlink" Target="https://doi.org/10.1037/a0029497" TargetMode="External"/><Relationship Id="rId34" Type="http://schemas.openxmlformats.org/officeDocument/2006/relationships/hyperlink" Target="https://doi.org/10.1146/annurev.psych.53.100901.135153" TargetMode="External"/><Relationship Id="rId42" Type="http://schemas.openxmlformats.org/officeDocument/2006/relationships/hyperlink" Target="https://www.oecd.org/education/education-at-a-glance/"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esco.org/en/education" TargetMode="External"/><Relationship Id="rId29" Type="http://schemas.openxmlformats.org/officeDocument/2006/relationships/image" Target="media/image4.png"/><Relationship Id="rId11" Type="http://schemas.openxmlformats.org/officeDocument/2006/relationships/hyperlink" Target="https://www.education.gov.in" TargetMode="External"/><Relationship Id="rId24" Type="http://schemas.openxmlformats.org/officeDocument/2006/relationships/hyperlink" Target="https://www.weforum.org/reports/the-future-of-jobs-report-2023" TargetMode="External"/><Relationship Id="rId32" Type="http://schemas.openxmlformats.org/officeDocument/2006/relationships/hyperlink" Target="https://doi.org/10.1177/0149206311410606" TargetMode="External"/><Relationship Id="rId37" Type="http://schemas.openxmlformats.org/officeDocument/2006/relationships/hyperlink" Target="https://doi.org/10.1016/j.worlddev.2006.10.008" TargetMode="External"/><Relationship Id="rId40" Type="http://schemas.openxmlformats.org/officeDocument/2006/relationships/hyperlink" Target="https://www.niti.gov.in" TargetMode="External"/><Relationship Id="rId45" Type="http://schemas.openxmlformats.org/officeDocument/2006/relationships/hyperlink" Target="https://www.weforum.org/reports/the-future-of-jobs-report-202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unesco.org/themes/education" TargetMode="External"/><Relationship Id="rId19" Type="http://schemas.openxmlformats.org/officeDocument/2006/relationships/hyperlink" Target="https://www.education.gov.in/sites/upload_files/mhrd/files/NEP_Final_English_0.pdf" TargetMode="External"/><Relationship Id="rId31" Type="http://schemas.openxmlformats.org/officeDocument/2006/relationships/image" Target="media/image6.png"/><Relationship Id="rId44" Type="http://schemas.openxmlformats.org/officeDocument/2006/relationships/hyperlink" Target="https://www.unesco.org/en/education"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ecd.org/education/education-at-a-glance/" TargetMode="External"/><Relationship Id="rId14" Type="http://schemas.openxmlformats.org/officeDocument/2006/relationships/hyperlink" Target="https://www.oecd.org/education/education-at-a-glance/" TargetMode="External"/><Relationship Id="rId22" Type="http://schemas.openxmlformats.org/officeDocument/2006/relationships/hyperlink" Target="https://doi.org/10.1146/annurev-devpsych-051120-010914"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doi.org/10.1016/j.cedpsych.2020.101859" TargetMode="External"/><Relationship Id="rId43" Type="http://schemas.openxmlformats.org/officeDocument/2006/relationships/hyperlink" Target="https://en.unesco.org/themes/education" TargetMode="External"/><Relationship Id="rId48" Type="http://schemas.openxmlformats.org/officeDocument/2006/relationships/header" Target="header2.xml"/><Relationship Id="rId8" Type="http://schemas.openxmlformats.org/officeDocument/2006/relationships/hyperlink" Target="https://www.weforum.org/reports/the-future-of-jobs-report-2020"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niti.gov.in" TargetMode="External"/><Relationship Id="rId17" Type="http://schemas.openxmlformats.org/officeDocument/2006/relationships/hyperlink" Target="https://doi.org/10.1016/j.jvb.2017.02.002" TargetMode="External"/><Relationship Id="rId25" Type="http://schemas.openxmlformats.org/officeDocument/2006/relationships/image" Target="media/image1.png"/><Relationship Id="rId33" Type="http://schemas.openxmlformats.org/officeDocument/2006/relationships/hyperlink" Target="https://doi.org/10.1111/j.1467-8624.2009.01342.x" TargetMode="External"/><Relationship Id="rId38" Type="http://schemas.openxmlformats.org/officeDocument/2006/relationships/hyperlink" Target="https://doi.org/10.1037/0033-295X.101.2.326" TargetMode="External"/><Relationship Id="rId46" Type="http://schemas.openxmlformats.org/officeDocument/2006/relationships/hyperlink" Target="https://www.weforum.org/reports/the-future-of-jobs-report-2023" TargetMode="External"/><Relationship Id="rId20" Type="http://schemas.openxmlformats.org/officeDocument/2006/relationships/hyperlink" Target="https://www.niti.gov.in/sites/default/files/2021-01/AI_Strategy.pdf" TargetMode="External"/><Relationship Id="rId41" Type="http://schemas.openxmlformats.org/officeDocument/2006/relationships/hyperlink" Target="https://www.oecd.org/education/education-at-a-glan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unesco.org/themes/education" TargetMode="External"/><Relationship Id="rId23" Type="http://schemas.openxmlformats.org/officeDocument/2006/relationships/hyperlink" Target="https://www.weforum.org/reports/the-future-of-jobs-report-2020" TargetMode="External"/><Relationship Id="rId28" Type="http://schemas.openxmlformats.org/officeDocument/2006/relationships/image" Target="media/image3.png"/><Relationship Id="rId36" Type="http://schemas.openxmlformats.org/officeDocument/2006/relationships/hyperlink" Target="https://www.education.gov.in"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CFA289-316C-4222-9CD4-57B20051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18</Pages>
  <Words>6461</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BAIRAGI</dc:creator>
  <cp:keywords/>
  <dc:description/>
  <cp:lastModifiedBy>Editor-1183</cp:lastModifiedBy>
  <cp:revision>709</cp:revision>
  <cp:lastPrinted>2025-11-01T20:57:00Z</cp:lastPrinted>
  <dcterms:created xsi:type="dcterms:W3CDTF">2025-11-01T14:18:00Z</dcterms:created>
  <dcterms:modified xsi:type="dcterms:W3CDTF">2026-04-25T13:22:00Z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6ac09ef9-e8d4-422b-aaa8-aa27be1822ee</vt:lpwstr>
  </property>
</Properties>
</file>