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9136E" w14:textId="77777777" w:rsidR="00A64327" w:rsidRPr="00A64327" w:rsidRDefault="00A64327" w:rsidP="00A64327">
      <w:pPr>
        <w:spacing w:after="0" w:line="240" w:lineRule="auto"/>
        <w:jc w:val="both"/>
        <w:rPr>
          <w:rFonts w:ascii="Arial" w:eastAsia="Times New Roman" w:hAnsi="Arial" w:cs="Arial"/>
          <w:b/>
          <w:kern w:val="28"/>
          <w:sz w:val="36"/>
          <w:szCs w:val="20"/>
          <w:lang w:val="en-US"/>
          <w14:ligatures w14:val="none"/>
        </w:rPr>
      </w:pPr>
    </w:p>
    <w:p w14:paraId="507B1BE8" w14:textId="79E53507" w:rsidR="00A64327" w:rsidRDefault="00A64327" w:rsidP="00A64327">
      <w:pPr>
        <w:spacing w:after="0" w:line="240" w:lineRule="auto"/>
        <w:jc w:val="right"/>
        <w:rPr>
          <w:rFonts w:ascii="Arial" w:eastAsia="Times New Roman" w:hAnsi="Arial" w:cs="Arial"/>
          <w:b/>
          <w:bCs/>
          <w:iCs/>
          <w:kern w:val="28"/>
          <w:sz w:val="36"/>
          <w:szCs w:val="20"/>
          <w:lang w:val="en-US"/>
          <w14:ligatures w14:val="none"/>
        </w:rPr>
      </w:pPr>
      <w:r w:rsidRPr="00A64327">
        <w:rPr>
          <w:rFonts w:ascii="Arial" w:eastAsia="Times New Roman" w:hAnsi="Arial" w:cs="Arial"/>
          <w:b/>
          <w:bCs/>
          <w:iCs/>
          <w:kern w:val="28"/>
          <w:sz w:val="36"/>
          <w:szCs w:val="20"/>
          <w:lang w:val="en-US"/>
          <w14:ligatures w14:val="none"/>
        </w:rPr>
        <w:t>Possessions and life experiences of university students from the perspective of behavioral economics</w:t>
      </w:r>
    </w:p>
    <w:p w14:paraId="13CBDADB" w14:textId="77777777" w:rsidR="00C751E3" w:rsidRPr="00A64327" w:rsidRDefault="00C751E3" w:rsidP="00A64327">
      <w:pPr>
        <w:spacing w:after="0" w:line="240" w:lineRule="auto"/>
        <w:jc w:val="right"/>
        <w:rPr>
          <w:rFonts w:ascii="Arial" w:eastAsia="Times New Roman" w:hAnsi="Arial" w:cs="Arial"/>
          <w:b/>
          <w:kern w:val="0"/>
          <w:sz w:val="36"/>
          <w:szCs w:val="20"/>
          <w:lang w:val="en-US"/>
          <w14:ligatures w14:val="none"/>
        </w:rPr>
      </w:pPr>
    </w:p>
    <w:p w14:paraId="0B2E047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F6DE3FA"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5CFE81B" w14:textId="77777777" w:rsidR="00A64327" w:rsidRPr="00A64327" w:rsidRDefault="00A64327" w:rsidP="00A64327">
      <w:pPr>
        <w:spacing w:after="0" w:line="240" w:lineRule="auto"/>
        <w:jc w:val="both"/>
        <w:rPr>
          <w:rFonts w:ascii="Arial" w:eastAsia="Times New Roman" w:hAnsi="Arial" w:cs="Arial"/>
          <w:kern w:val="0"/>
          <w:sz w:val="16"/>
          <w:szCs w:val="20"/>
          <w:lang w:val="en-US"/>
          <w14:ligatures w14:val="none"/>
        </w:rPr>
        <w:sectPr w:rsidR="00A64327" w:rsidRPr="00A64327" w:rsidSect="008145E7">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99"/>
        </w:sectPr>
      </w:pPr>
      <w:r w:rsidRPr="00A64327">
        <w:rPr>
          <w:rFonts w:ascii="Arial" w:eastAsia="Times New Roman" w:hAnsi="Arial" w:cs="Arial"/>
          <w:noProof/>
          <w:kern w:val="0"/>
          <w:sz w:val="16"/>
          <w:szCs w:val="20"/>
          <w:lang w:val="en-US"/>
          <w14:ligatures w14:val="none"/>
        </w:rPr>
        <mc:AlternateContent>
          <mc:Choice Requires="wps">
            <w:drawing>
              <wp:inline distT="0" distB="0" distL="0" distR="0" wp14:anchorId="52D59820" wp14:editId="6739EFC8">
                <wp:extent cx="5303520" cy="635"/>
                <wp:effectExtent l="13335" t="13335" r="17145" b="15240"/>
                <wp:docPr id="163335824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6B0018" id="_x0000_t32" coordsize="21600,21600" o:spt="32" o:oned="t" path="m,l21600,21600e" filled="f">
                <v:path arrowok="t" fillok="f" o:connecttype="none"/>
                <o:lock v:ext="edit" shapetype="t"/>
              </v:shapetype>
              <v:shape id="Conector recto de flech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A64327">
        <w:rPr>
          <w:rFonts w:ascii="Arial" w:eastAsia="Times New Roman" w:hAnsi="Arial" w:cs="Arial"/>
          <w:kern w:val="0"/>
          <w:sz w:val="16"/>
          <w:szCs w:val="20"/>
          <w:lang w:val="en-US"/>
          <w14:ligatures w14:val="none"/>
        </w:rPr>
        <w:t>.</w:t>
      </w:r>
    </w:p>
    <w:p w14:paraId="04081812" w14:textId="77777777" w:rsid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 xml:space="preserve">ABSTRACT </w:t>
      </w:r>
    </w:p>
    <w:p w14:paraId="45903039" w14:textId="77777777" w:rsidR="005144FE" w:rsidRPr="00A64327" w:rsidRDefault="005144FE" w:rsidP="00A64327">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64327" w:rsidRPr="008C5BD9" w14:paraId="71335440" w14:textId="77777777" w:rsidTr="00077708">
        <w:tc>
          <w:tcPr>
            <w:tcW w:w="9576" w:type="dxa"/>
            <w:shd w:val="clear" w:color="auto" w:fill="F2F2F2"/>
          </w:tcPr>
          <w:p w14:paraId="6C0A6715" w14:textId="60B054B3" w:rsidR="009E6E87" w:rsidRDefault="009E6E87" w:rsidP="00A64327">
            <w:pPr>
              <w:jc w:val="both"/>
              <w:rPr>
                <w:rFonts w:ascii="Arial" w:hAnsi="Arial" w:cs="Arial"/>
                <w:lang w:val="en-US"/>
              </w:rPr>
            </w:pPr>
            <w:r>
              <w:rPr>
                <w:rFonts w:ascii="Arial" w:hAnsi="Arial" w:cs="Arial"/>
                <w:lang w:val="en-US"/>
              </w:rPr>
              <w:t xml:space="preserve">Background: </w:t>
            </w:r>
            <w:r w:rsidRPr="009E6E87">
              <w:rPr>
                <w:rFonts w:ascii="Arial" w:hAnsi="Arial" w:cs="Arial"/>
                <w:lang w:val="en-US"/>
              </w:rPr>
              <w:t>Economic decision-making is not purely rational or profit-driven, but shaped by a combination of objective information, personal beliefs, experiences, and social context. Modern economic thought recognizes that individuals construct decisions through both logical calculations and subjective perceptions, where values and context play an important role alongside rational analysis</w:t>
            </w:r>
            <w:r>
              <w:rPr>
                <w:rFonts w:ascii="Arial" w:hAnsi="Arial" w:cs="Arial"/>
                <w:lang w:val="en-US"/>
              </w:rPr>
              <w:t>.</w:t>
            </w:r>
          </w:p>
          <w:p w14:paraId="70816675" w14:textId="4440264E" w:rsidR="008C5BD9" w:rsidRDefault="00A64327" w:rsidP="00A64327">
            <w:pPr>
              <w:jc w:val="both"/>
              <w:rPr>
                <w:rFonts w:ascii="Arial" w:hAnsi="Arial" w:cs="Arial"/>
                <w:lang w:val="en-US"/>
              </w:rPr>
            </w:pPr>
            <w:r w:rsidRPr="000B6094">
              <w:rPr>
                <w:rFonts w:ascii="Arial" w:hAnsi="Arial" w:cs="Arial"/>
                <w:lang w:val="en-US"/>
              </w:rPr>
              <w:t xml:space="preserve">Objective: </w:t>
            </w:r>
            <w:r w:rsidR="008C5BD9" w:rsidRPr="008C5BD9">
              <w:rPr>
                <w:rFonts w:ascii="Arial" w:hAnsi="Arial" w:cs="Arial"/>
                <w:lang w:val="en-US"/>
              </w:rPr>
              <w:t xml:space="preserve">To analyze the thinking of students at the </w:t>
            </w:r>
            <w:proofErr w:type="spellStart"/>
            <w:r w:rsidR="008C5BD9" w:rsidRPr="008C5BD9">
              <w:rPr>
                <w:rFonts w:ascii="Arial" w:hAnsi="Arial" w:cs="Arial"/>
                <w:lang w:val="en-US"/>
              </w:rPr>
              <w:t>Veracruzana</w:t>
            </w:r>
            <w:proofErr w:type="spellEnd"/>
            <w:r w:rsidR="008C5BD9" w:rsidRPr="008C5BD9">
              <w:rPr>
                <w:rFonts w:ascii="Arial" w:hAnsi="Arial" w:cs="Arial"/>
                <w:lang w:val="en-US"/>
              </w:rPr>
              <w:t xml:space="preserve"> University in Mexico, regarding their perception of having resources in contexts of economic inequality, in order to recognize their level of acceptance of their current life circumstances, demonstrating that material dependencies are related to the generation of life expectations.</w:t>
            </w:r>
          </w:p>
          <w:p w14:paraId="446EC0E2" w14:textId="77777777" w:rsidR="008C5BD9" w:rsidRDefault="008C5BD9" w:rsidP="00A64327">
            <w:pPr>
              <w:jc w:val="both"/>
              <w:rPr>
                <w:rFonts w:ascii="Arial" w:hAnsi="Arial" w:cs="Arial"/>
                <w:lang w:val="en-US"/>
              </w:rPr>
            </w:pPr>
            <w:r w:rsidRPr="008C5BD9">
              <w:rPr>
                <w:rFonts w:ascii="Arial" w:hAnsi="Arial" w:cs="Arial"/>
                <w:lang w:val="en-US"/>
              </w:rPr>
              <w:t>Methodological design: This study focused on analyzing articles, reports, and blogs on the theory of rational agent behavior. This theory helps to understand how people are expected to respond in the future and highlights the importance of personal feelings in the decisions they make. The analysis investigated the characteristics of consumers that influence rational processes and expectations through a field study using a data collection instrument (survey) administered on-site during the last two months of 2025. The results were descriptive and suggestive regarding the understanding of expectations among specific groups.</w:t>
            </w:r>
          </w:p>
          <w:p w14:paraId="582D12F3" w14:textId="78DCA9E5" w:rsidR="00A64327" w:rsidRPr="000B6094" w:rsidRDefault="00A64327" w:rsidP="00A64327">
            <w:pPr>
              <w:jc w:val="both"/>
              <w:rPr>
                <w:rFonts w:ascii="Arial" w:hAnsi="Arial" w:cs="Arial"/>
                <w:lang w:val="en-US"/>
              </w:rPr>
            </w:pPr>
            <w:r w:rsidRPr="000B6094">
              <w:rPr>
                <w:rFonts w:ascii="Arial" w:hAnsi="Arial" w:cs="Arial"/>
                <w:lang w:val="en-US"/>
              </w:rPr>
              <w:t>Results: The study found that university students—particularly younger generations—are sensitive to life experiences and possessions as a means of achievement. From a cognitive perspective, their experience centered on personal life processes influences the generation of expectations based on past experiences.</w:t>
            </w:r>
          </w:p>
          <w:p w14:paraId="543CDAB4" w14:textId="77777777" w:rsidR="00A64327" w:rsidRPr="000B6094" w:rsidRDefault="00A64327" w:rsidP="00A64327">
            <w:pPr>
              <w:jc w:val="both"/>
              <w:rPr>
                <w:rFonts w:ascii="Arial" w:hAnsi="Arial" w:cs="Arial"/>
                <w:lang w:val="en-US"/>
              </w:rPr>
            </w:pPr>
            <w:r w:rsidRPr="000B6094">
              <w:rPr>
                <w:rFonts w:ascii="Arial" w:hAnsi="Arial" w:cs="Arial"/>
                <w:lang w:val="en-US"/>
              </w:rPr>
              <w:t>Limitations of the Research: Insufficient recent information demonstrating systematized rational thought processes related to life perceptions.</w:t>
            </w:r>
          </w:p>
          <w:p w14:paraId="3D9F10D8" w14:textId="77777777" w:rsidR="00A64327" w:rsidRPr="000B6094" w:rsidRDefault="00A64327" w:rsidP="00A64327">
            <w:pPr>
              <w:jc w:val="both"/>
              <w:rPr>
                <w:rFonts w:ascii="Arial" w:hAnsi="Arial" w:cs="Arial"/>
                <w:lang w:val="en-US"/>
              </w:rPr>
            </w:pPr>
            <w:r w:rsidRPr="000B6094">
              <w:rPr>
                <w:rFonts w:ascii="Arial" w:hAnsi="Arial" w:cs="Arial"/>
                <w:lang w:val="en-US"/>
              </w:rPr>
              <w:t xml:space="preserve">Findings: Cognitive processes are fundamental to understanding decision-making within the population. Being economically dependent can foster feelings of </w:t>
            </w:r>
            <w:r w:rsidRPr="000B6094">
              <w:rPr>
                <w:rFonts w:ascii="Arial" w:hAnsi="Arial" w:cs="Arial"/>
                <w:lang w:val="en-US"/>
              </w:rPr>
              <w:lastRenderedPageBreak/>
              <w:t>vulnerability and dissatisfaction with one's personal experiences. However, it is also related to a sense of having made better decisions, demonstrating that family or parental support as the source of resources can contribute to a better-lived life.</w:t>
            </w:r>
          </w:p>
          <w:p w14:paraId="1A560610" w14:textId="3C9A53BE" w:rsidR="00A64327" w:rsidRPr="00A64327" w:rsidRDefault="00A64327" w:rsidP="005144FE">
            <w:pPr>
              <w:jc w:val="both"/>
              <w:rPr>
                <w:rFonts w:ascii="Arial" w:hAnsi="Arial" w:cs="Arial"/>
                <w:lang w:val="en-US"/>
              </w:rPr>
            </w:pPr>
          </w:p>
        </w:tc>
      </w:tr>
    </w:tbl>
    <w:p w14:paraId="5933FD2E" w14:textId="77777777" w:rsidR="00A64327" w:rsidRPr="00A64327" w:rsidRDefault="00A64327" w:rsidP="00A64327">
      <w:pPr>
        <w:spacing w:after="0" w:line="240" w:lineRule="auto"/>
        <w:jc w:val="both"/>
        <w:rPr>
          <w:rFonts w:ascii="Arial" w:eastAsia="Times New Roman" w:hAnsi="Arial" w:cs="Arial"/>
          <w:i/>
          <w:kern w:val="0"/>
          <w:sz w:val="20"/>
          <w:szCs w:val="20"/>
          <w:lang w:val="en-US"/>
          <w14:ligatures w14:val="none"/>
        </w:rPr>
      </w:pPr>
    </w:p>
    <w:p w14:paraId="3A84B723" w14:textId="5F6EE6D5" w:rsidR="00A64327" w:rsidRPr="00A64327" w:rsidRDefault="00A64327" w:rsidP="00A64327">
      <w:pPr>
        <w:jc w:val="both"/>
        <w:rPr>
          <w:rFonts w:ascii="Arial" w:hAnsi="Arial" w:cs="Arial"/>
          <w:i/>
          <w:iCs/>
          <w:sz w:val="20"/>
          <w:szCs w:val="20"/>
          <w:lang w:val="en-US"/>
        </w:rPr>
      </w:pPr>
      <w:r w:rsidRPr="00A64327">
        <w:rPr>
          <w:rFonts w:ascii="Arial" w:hAnsi="Arial" w:cs="Arial"/>
          <w:i/>
          <w:iCs/>
          <w:sz w:val="20"/>
          <w:szCs w:val="20"/>
          <w:lang w:val="en-US"/>
        </w:rPr>
        <w:t>Keywords: feelings; expressions and expectations</w:t>
      </w:r>
      <w:r w:rsidR="00174AC5">
        <w:rPr>
          <w:rFonts w:ascii="Arial" w:hAnsi="Arial" w:cs="Arial"/>
          <w:i/>
          <w:iCs/>
          <w:sz w:val="20"/>
          <w:szCs w:val="20"/>
          <w:lang w:val="en-US"/>
        </w:rPr>
        <w:t xml:space="preserve">, </w:t>
      </w:r>
      <w:r w:rsidR="00174AC5" w:rsidRPr="00174AC5">
        <w:rPr>
          <w:rFonts w:ascii="Arial" w:hAnsi="Arial" w:cs="Arial"/>
          <w:i/>
          <w:iCs/>
          <w:sz w:val="20"/>
          <w:szCs w:val="20"/>
          <w:lang w:val="en-US"/>
        </w:rPr>
        <w:t>economic inequality;</w:t>
      </w:r>
      <w:r w:rsidR="00174AC5" w:rsidRPr="00174AC5">
        <w:t xml:space="preserve"> </w:t>
      </w:r>
      <w:r w:rsidR="00174AC5" w:rsidRPr="00174AC5">
        <w:rPr>
          <w:rFonts w:ascii="Arial" w:hAnsi="Arial" w:cs="Arial"/>
          <w:i/>
          <w:iCs/>
          <w:sz w:val="20"/>
          <w:szCs w:val="20"/>
          <w:lang w:val="en-US"/>
        </w:rPr>
        <w:t>consumer decision-making</w:t>
      </w:r>
    </w:p>
    <w:p w14:paraId="107282FF" w14:textId="77777777" w:rsidR="00A64327" w:rsidRPr="00A64327" w:rsidRDefault="00A64327" w:rsidP="00A64327">
      <w:pPr>
        <w:spacing w:after="0" w:line="240" w:lineRule="auto"/>
        <w:jc w:val="both"/>
        <w:rPr>
          <w:rFonts w:ascii="Arial" w:eastAsia="Times New Roman" w:hAnsi="Arial" w:cs="Arial"/>
          <w:i/>
          <w:kern w:val="0"/>
          <w:sz w:val="18"/>
          <w:szCs w:val="20"/>
          <w:lang w:val="en-US"/>
          <w14:ligatures w14:val="none"/>
        </w:rPr>
      </w:pPr>
    </w:p>
    <w:p w14:paraId="14183CD8" w14:textId="2A68D7E2"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 xml:space="preserve">1. INTRODUCTION </w:t>
      </w:r>
    </w:p>
    <w:p w14:paraId="00E2D389"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18D9D091"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Economic science, from its fundamental notion, has sought to explain how agents and, especially consumers, make decisions based on exercises that represent the sum of experiences combined with an ideological or belief exercise.</w:t>
      </w:r>
    </w:p>
    <w:p w14:paraId="7722FB14"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07C2B3C" w14:textId="10B9DE6B" w:rsidR="00A64327" w:rsidRDefault="00573DDB" w:rsidP="00A64327">
      <w:pPr>
        <w:spacing w:after="0" w:line="240" w:lineRule="auto"/>
        <w:jc w:val="both"/>
        <w:rPr>
          <w:rFonts w:ascii="Arial" w:eastAsia="Times New Roman" w:hAnsi="Arial" w:cs="Arial"/>
          <w:kern w:val="0"/>
          <w:sz w:val="20"/>
          <w:szCs w:val="20"/>
          <w:lang w:val="en-US"/>
          <w14:ligatures w14:val="none"/>
        </w:rPr>
      </w:pPr>
      <w:r w:rsidRPr="00573DDB">
        <w:rPr>
          <w:rFonts w:ascii="Arial" w:eastAsia="Times New Roman" w:hAnsi="Arial" w:cs="Arial"/>
          <w:kern w:val="0"/>
          <w:sz w:val="20"/>
          <w:szCs w:val="20"/>
          <w:lang w:val="en-US"/>
          <w14:ligatures w14:val="none"/>
        </w:rPr>
        <w:t>The arguments presented by the main proponents of the classical economic model—characterized by its foundations of objective rationality—have been refuted both empirically and theoretically, demonstrating that the neoclassical view has been insufficient to prove that the outcomes of decisions made by economic agents have been determined by rational thought and quantifiable profit. Even in areas where a greater degree of rationality could have been demonstrated, such as financial markets, the contributions combine normative theories from psychology (about how behavior is) with descriptive causal studies based on subjective approaches</w:t>
      </w:r>
      <w:r>
        <w:rPr>
          <w:rFonts w:ascii="Arial" w:eastAsia="Times New Roman" w:hAnsi="Arial" w:cs="Arial"/>
          <w:kern w:val="0"/>
          <w:sz w:val="20"/>
          <w:szCs w:val="20"/>
          <w:lang w:val="en-US"/>
          <w14:ligatures w14:val="none"/>
        </w:rPr>
        <w:t xml:space="preserve"> </w:t>
      </w:r>
      <w:proofErr w:type="spellStart"/>
      <w:r w:rsidRPr="00573DDB">
        <w:rPr>
          <w:rFonts w:ascii="Arial" w:eastAsia="Times New Roman" w:hAnsi="Arial" w:cs="Arial"/>
          <w:kern w:val="0"/>
          <w:sz w:val="20"/>
          <w:szCs w:val="20"/>
          <w:lang w:val="en-US"/>
          <w14:ligatures w14:val="none"/>
        </w:rPr>
        <w:t>Arizmendi</w:t>
      </w:r>
      <w:proofErr w:type="spellEnd"/>
      <w:r w:rsidRPr="00573DDB">
        <w:rPr>
          <w:rFonts w:ascii="Arial" w:eastAsia="Times New Roman" w:hAnsi="Arial" w:cs="Arial"/>
          <w:kern w:val="0"/>
          <w:sz w:val="20"/>
          <w:szCs w:val="20"/>
          <w:lang w:val="en-US"/>
          <w14:ligatures w14:val="none"/>
        </w:rPr>
        <w:t>, L. F. (2026).</w:t>
      </w:r>
      <w:r>
        <w:rPr>
          <w:rFonts w:ascii="Arial" w:eastAsia="Times New Roman" w:hAnsi="Arial" w:cs="Arial"/>
          <w:kern w:val="0"/>
          <w:sz w:val="20"/>
          <w:szCs w:val="20"/>
          <w:lang w:val="en-US"/>
          <w14:ligatures w14:val="none"/>
        </w:rPr>
        <w:t xml:space="preserve"> </w:t>
      </w:r>
    </w:p>
    <w:p w14:paraId="1D4D930F" w14:textId="77777777" w:rsidR="00573DDB" w:rsidRPr="00A64327" w:rsidRDefault="00573DDB" w:rsidP="00A64327">
      <w:pPr>
        <w:spacing w:after="0" w:line="240" w:lineRule="auto"/>
        <w:jc w:val="both"/>
        <w:rPr>
          <w:rFonts w:ascii="Arial" w:eastAsia="Times New Roman" w:hAnsi="Arial" w:cs="Arial"/>
          <w:kern w:val="0"/>
          <w:sz w:val="20"/>
          <w:szCs w:val="20"/>
          <w:lang w:val="en-US"/>
          <w14:ligatures w14:val="none"/>
        </w:rPr>
      </w:pPr>
    </w:p>
    <w:p w14:paraId="2362D370" w14:textId="759228AF" w:rsidR="00DA07D4" w:rsidRDefault="00DA07D4" w:rsidP="00A64327">
      <w:pPr>
        <w:spacing w:after="0" w:line="240" w:lineRule="auto"/>
        <w:jc w:val="both"/>
        <w:rPr>
          <w:rFonts w:ascii="Arial" w:eastAsia="Times New Roman" w:hAnsi="Arial" w:cs="Arial"/>
          <w:kern w:val="0"/>
          <w:sz w:val="20"/>
          <w:szCs w:val="20"/>
          <w:lang w:val="en-US"/>
          <w14:ligatures w14:val="none"/>
        </w:rPr>
      </w:pPr>
      <w:r w:rsidRPr="00DA07D4">
        <w:rPr>
          <w:rFonts w:ascii="Arial" w:eastAsia="Times New Roman" w:hAnsi="Arial" w:cs="Arial"/>
          <w:kern w:val="0"/>
          <w:sz w:val="20"/>
          <w:szCs w:val="20"/>
          <w:lang w:val="en-US"/>
          <w14:ligatures w14:val="none"/>
        </w:rPr>
        <w:t>A noteworthy theoretical contribution is the research by Askari, M. Y. et al. (2024), who, using contextual analysis as the foundation for interpreting perceptions and realities, and employing a theoretical-conceptual approach and deductive reasoning, demonstrated that research into the cause or origin of decisions begins when individuals construct their own realities by combining objective and subjective elements within the context of their perceived best interests. They proved that people make decisions based on both their own personal opinions and objective data, thus constructing subjective realities.</w:t>
      </w:r>
    </w:p>
    <w:p w14:paraId="5AB69AA0" w14:textId="77777777" w:rsidR="00DA07D4" w:rsidRPr="00A64327" w:rsidRDefault="00DA07D4" w:rsidP="00A64327">
      <w:pPr>
        <w:spacing w:after="0" w:line="240" w:lineRule="auto"/>
        <w:jc w:val="both"/>
        <w:rPr>
          <w:rFonts w:ascii="Arial" w:eastAsia="Times New Roman" w:hAnsi="Arial" w:cs="Arial"/>
          <w:kern w:val="0"/>
          <w:sz w:val="20"/>
          <w:szCs w:val="20"/>
          <w:lang w:val="en-US"/>
          <w14:ligatures w14:val="none"/>
        </w:rPr>
      </w:pPr>
    </w:p>
    <w:p w14:paraId="26EAC765"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Attributed to its common sense, the study of factors that influence decision-making processes under the perception of the best possible result is an investigative path for economic science. According to Nishant, R., (2024), Max Weber's notions of formal and sustainable rationality (1978) allow us to demonstrate that the impulse driven by a principle of formal rationality is due to quantitative calculations and sets of rigid rules that drive action. However, sustainable rationality is associated with contextually rooted values ​​that drive action </w:t>
      </w:r>
      <w:proofErr w:type="spellStart"/>
      <w:r w:rsidRPr="00A64327">
        <w:rPr>
          <w:rFonts w:ascii="Arial" w:eastAsia="Times New Roman" w:hAnsi="Arial" w:cs="Arial"/>
          <w:kern w:val="0"/>
          <w:sz w:val="20"/>
          <w:szCs w:val="20"/>
          <w:lang w:val="en-US"/>
          <w14:ligatures w14:val="none"/>
        </w:rPr>
        <w:t>Lindebaum</w:t>
      </w:r>
      <w:proofErr w:type="spellEnd"/>
      <w:r w:rsidRPr="00A64327">
        <w:rPr>
          <w:rFonts w:ascii="Arial" w:eastAsia="Times New Roman" w:hAnsi="Arial" w:cs="Arial"/>
          <w:kern w:val="0"/>
          <w:sz w:val="20"/>
          <w:szCs w:val="20"/>
          <w:lang w:val="en-US"/>
          <w14:ligatures w14:val="none"/>
        </w:rPr>
        <w:t xml:space="preserve"> D. et al., 2020; </w:t>
      </w:r>
      <w:proofErr w:type="spellStart"/>
      <w:r w:rsidRPr="00A64327">
        <w:rPr>
          <w:rFonts w:ascii="Arial" w:eastAsia="Times New Roman" w:hAnsi="Arial" w:cs="Arial"/>
          <w:kern w:val="0"/>
          <w:sz w:val="20"/>
          <w:szCs w:val="20"/>
          <w:lang w:val="en-US"/>
          <w14:ligatures w14:val="none"/>
        </w:rPr>
        <w:t>Kalberg</w:t>
      </w:r>
      <w:proofErr w:type="spellEnd"/>
      <w:r w:rsidRPr="00A64327">
        <w:rPr>
          <w:rFonts w:ascii="Arial" w:eastAsia="Times New Roman" w:hAnsi="Arial" w:cs="Arial"/>
          <w:kern w:val="0"/>
          <w:sz w:val="20"/>
          <w:szCs w:val="20"/>
          <w:lang w:val="en-US"/>
          <w14:ligatures w14:val="none"/>
        </w:rPr>
        <w:t>, 1980.</w:t>
      </w:r>
    </w:p>
    <w:p w14:paraId="17F024EB"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2C4F9D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To avoid the consequences of anarchic struggle, agents accept the legal frameworks of property and authority of modern society, built on a democratic and egalitarian principle that inexorably lead to marked inequalities in economic prosperity. According to Hobbes-Locke cited by Foley, D. K. (2004) rationalizing - in reference to tolerating - inequalities of power and economic prosperity result in being a consequence of the interaction of individuals faced as equals who will similarly recognize their capacity to act or respond.</w:t>
      </w:r>
    </w:p>
    <w:p w14:paraId="09B1052C"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72023A7"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In this way, study projects centered on the behavior of users and/or consumers seek to insert rational processes through mechanisms of direct understanding of conveniences and </w:t>
      </w:r>
      <w:r w:rsidRPr="00A64327">
        <w:rPr>
          <w:rFonts w:ascii="Arial" w:eastAsia="Times New Roman" w:hAnsi="Arial" w:cs="Arial"/>
          <w:kern w:val="0"/>
          <w:sz w:val="20"/>
          <w:szCs w:val="20"/>
          <w:lang w:val="en-US"/>
          <w14:ligatures w14:val="none"/>
        </w:rPr>
        <w:lastRenderedPageBreak/>
        <w:t>opportunities. However, it is necessary to delve deeper into how the decision maker, the agent, makes decisions through recognition of his own lived experiences.</w:t>
      </w:r>
    </w:p>
    <w:p w14:paraId="5704A01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677FB90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An investigation that adapts and expands the decision-making model of Engel, </w:t>
      </w:r>
      <w:proofErr w:type="spellStart"/>
      <w:r w:rsidRPr="00A64327">
        <w:rPr>
          <w:rFonts w:ascii="Arial" w:eastAsia="Times New Roman" w:hAnsi="Arial" w:cs="Arial"/>
          <w:kern w:val="0"/>
          <w:sz w:val="20"/>
          <w:szCs w:val="20"/>
          <w:lang w:val="en-US"/>
          <w14:ligatures w14:val="none"/>
        </w:rPr>
        <w:t>Kollat</w:t>
      </w:r>
      <w:proofErr w:type="spellEnd"/>
      <w:r w:rsidRPr="00A64327">
        <w:rPr>
          <w:rFonts w:ascii="Arial" w:eastAsia="Times New Roman" w:hAnsi="Arial" w:cs="Arial"/>
          <w:kern w:val="0"/>
          <w:sz w:val="20"/>
          <w:szCs w:val="20"/>
          <w:lang w:val="en-US"/>
          <w14:ligatures w14:val="none"/>
        </w:rPr>
        <w:t xml:space="preserve"> ​​and Blackwell (1978) and Engel, Blackwell and </w:t>
      </w:r>
      <w:proofErr w:type="spellStart"/>
      <w:r w:rsidRPr="00A64327">
        <w:rPr>
          <w:rFonts w:ascii="Arial" w:eastAsia="Times New Roman" w:hAnsi="Arial" w:cs="Arial"/>
          <w:kern w:val="0"/>
          <w:sz w:val="20"/>
          <w:szCs w:val="20"/>
          <w:lang w:val="en-US"/>
          <w14:ligatures w14:val="none"/>
        </w:rPr>
        <w:t>Miniard</w:t>
      </w:r>
      <w:proofErr w:type="spellEnd"/>
      <w:r w:rsidRPr="00A64327">
        <w:rPr>
          <w:rFonts w:ascii="Arial" w:eastAsia="Times New Roman" w:hAnsi="Arial" w:cs="Arial"/>
          <w:kern w:val="0"/>
          <w:sz w:val="20"/>
          <w:szCs w:val="20"/>
          <w:lang w:val="en-US"/>
          <w14:ligatures w14:val="none"/>
        </w:rPr>
        <w:t xml:space="preserve"> (1986) was the study by Darley, W. K., et al (2010) from which we demonstrated the lack of research in several components of decision-making and inconsistencies in the characterization of the environment. Its evidence demonstrates that the investigation method leans towards the survey rather than the experimentation of the studied agents, where spaces and environmental conditioning factors can be decisive.</w:t>
      </w:r>
    </w:p>
    <w:p w14:paraId="29EA0D5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130FC876"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However, understanding the guidelines applied by people when making distributive decisions in resource allocation contexts and criteria can be pursued using different criteria. When the reasoning of justice determines the rule of equity for decision-making, resources and rewards are shared according to the merits attributed to individuals and therefore, the positive assignment of human perceptions is encouraged in the conception of justice and elections </w:t>
      </w:r>
      <w:proofErr w:type="spellStart"/>
      <w:r w:rsidRPr="00A64327">
        <w:rPr>
          <w:rFonts w:ascii="Arial" w:eastAsia="Times New Roman" w:hAnsi="Arial" w:cs="Arial"/>
          <w:kern w:val="0"/>
          <w:sz w:val="20"/>
          <w:szCs w:val="20"/>
          <w:lang w:val="en-US"/>
          <w14:ligatures w14:val="none"/>
        </w:rPr>
        <w:t>Goudarzi</w:t>
      </w:r>
      <w:proofErr w:type="spellEnd"/>
      <w:r w:rsidRPr="00A64327">
        <w:rPr>
          <w:rFonts w:ascii="Arial" w:eastAsia="Times New Roman" w:hAnsi="Arial" w:cs="Arial"/>
          <w:kern w:val="0"/>
          <w:sz w:val="20"/>
          <w:szCs w:val="20"/>
          <w:lang w:val="en-US"/>
          <w14:ligatures w14:val="none"/>
        </w:rPr>
        <w:t xml:space="preserve">, S., </w:t>
      </w:r>
      <w:proofErr w:type="spellStart"/>
      <w:r w:rsidRPr="00A64327">
        <w:rPr>
          <w:rFonts w:ascii="Arial" w:eastAsia="Times New Roman" w:hAnsi="Arial" w:cs="Arial"/>
          <w:kern w:val="0"/>
          <w:sz w:val="20"/>
          <w:szCs w:val="20"/>
          <w:lang w:val="en-US"/>
          <w14:ligatures w14:val="none"/>
        </w:rPr>
        <w:t>Badaan</w:t>
      </w:r>
      <w:proofErr w:type="spellEnd"/>
      <w:r w:rsidRPr="00A64327">
        <w:rPr>
          <w:rFonts w:ascii="Arial" w:eastAsia="Times New Roman" w:hAnsi="Arial" w:cs="Arial"/>
          <w:kern w:val="0"/>
          <w:sz w:val="20"/>
          <w:szCs w:val="20"/>
          <w:lang w:val="en-US"/>
          <w14:ligatures w14:val="none"/>
        </w:rPr>
        <w:t>, V., &amp; Knowles, E. D. (2022).</w:t>
      </w:r>
    </w:p>
    <w:p w14:paraId="5F8A0D4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4E2BBE99"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From a theoretical point of view these situations represent a new research paradigm centered on the criteria used to define deliberate judgments. The experience, meanings and feelings of agents can glimpse forms of assignment as expected to achieve or obtain.</w:t>
      </w:r>
    </w:p>
    <w:p w14:paraId="7F3BC5B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31C673A"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A particular case, these are studies on agency theory that emphasize the empirical property that connotes intention and consciousness on the part of human beings and is attributed to human intelligence. The incorporation of agency as a natural entity on top of other artificial naturalness helps to systematically incorporate the importance of biological agency and its effects in research programs, thus highlighting cognitive processes Sultan, S. E., </w:t>
      </w:r>
      <w:proofErr w:type="spellStart"/>
      <w:r w:rsidRPr="00A64327">
        <w:rPr>
          <w:rFonts w:ascii="Arial" w:eastAsia="Times New Roman" w:hAnsi="Arial" w:cs="Arial"/>
          <w:kern w:val="0"/>
          <w:sz w:val="20"/>
          <w:szCs w:val="20"/>
          <w:lang w:val="en-US"/>
          <w14:ligatures w14:val="none"/>
        </w:rPr>
        <w:t>Moczek</w:t>
      </w:r>
      <w:proofErr w:type="spellEnd"/>
      <w:r w:rsidRPr="00A64327">
        <w:rPr>
          <w:rFonts w:ascii="Arial" w:eastAsia="Times New Roman" w:hAnsi="Arial" w:cs="Arial"/>
          <w:kern w:val="0"/>
          <w:sz w:val="20"/>
          <w:szCs w:val="20"/>
          <w:lang w:val="en-US"/>
          <w14:ligatures w14:val="none"/>
        </w:rPr>
        <w:t>, A. P., &amp; Walsh, D. (2022).</w:t>
      </w:r>
    </w:p>
    <w:p w14:paraId="63B0F801"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p>
    <w:p w14:paraId="172739B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Within this framework, the economy from its high dosage of selection of rational criteria articulates objective procedures that in a contextual analysis contribute to the analysis of the resulting processes. The ongoing dialogue around the integration of behavioral perspectives in economic analysis addresses challenges to reconcile traditional economic paradigms and advocates for a more holistic understanding of human behavior in economic research. This review highlights the transformative potential of behavioral economics to perfect economic theories and policy frameworks, ultimately promoting a more accurate representation of human decision-making in the face of irrationality. The synthesis of the multidisciplinary perspectives presented in this article provides the basis for future investigations and practical applications in the field in the constant evolution of behavioral economics. </w:t>
      </w:r>
      <w:proofErr w:type="spellStart"/>
      <w:r w:rsidRPr="00A64327">
        <w:rPr>
          <w:rFonts w:ascii="Arial" w:eastAsia="Times New Roman" w:hAnsi="Arial" w:cs="Arial"/>
          <w:kern w:val="0"/>
          <w:sz w:val="20"/>
          <w:szCs w:val="20"/>
          <w:lang w:val="en-US"/>
          <w14:ligatures w14:val="none"/>
        </w:rPr>
        <w:t>Floridi</w:t>
      </w:r>
      <w:proofErr w:type="spellEnd"/>
      <w:r w:rsidRPr="00A64327">
        <w:rPr>
          <w:rFonts w:ascii="Arial" w:eastAsia="Times New Roman" w:hAnsi="Arial" w:cs="Arial"/>
          <w:kern w:val="0"/>
          <w:sz w:val="20"/>
          <w:szCs w:val="20"/>
          <w:lang w:val="en-US"/>
          <w14:ligatures w14:val="none"/>
        </w:rPr>
        <w:t>, L., (February 12, 2024).</w:t>
      </w:r>
    </w:p>
    <w:p w14:paraId="56DD3AC1"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0023D6D5"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In this order of ideas there are different research alternatives centered on the economy and behavior, based on the understanding of problems from the heterogeneity of subjects; its local interaction; dependency and dynamics of disequilibrium and emergence. Gomes, O. (2023). The theory of behavioral economics has the potential to transform significant areas of research into information systems. Arnott, D., &amp; Gao, S. (2022).</w:t>
      </w:r>
    </w:p>
    <w:p w14:paraId="79F55F40"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55540B18"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The types of economy centered on behavior establish their own methodologies and solutions based on the complexity of factors and, therefore, exemplify differences between processes and forms of intervention converted into incentives that benefit understanding and importance for contexts. However, there is a lack of consensus at the academic level about how to evaluate them, especially in the context of decision-making processes such as "net impact </w:t>
      </w:r>
      <w:r w:rsidRPr="00A64327">
        <w:rPr>
          <w:rFonts w:ascii="Arial" w:eastAsia="Times New Roman" w:hAnsi="Arial" w:cs="Arial"/>
          <w:kern w:val="0"/>
          <w:sz w:val="20"/>
          <w:szCs w:val="20"/>
          <w:lang w:val="en-US"/>
          <w14:ligatures w14:val="none"/>
        </w:rPr>
        <w:lastRenderedPageBreak/>
        <w:t xml:space="preserve">accounting" in the context of environmental decision-making. </w:t>
      </w:r>
      <w:proofErr w:type="spellStart"/>
      <w:r w:rsidRPr="00A64327">
        <w:rPr>
          <w:rFonts w:ascii="Arial" w:eastAsia="Times New Roman" w:hAnsi="Arial" w:cs="Arial"/>
          <w:kern w:val="0"/>
          <w:sz w:val="20"/>
          <w:szCs w:val="20"/>
          <w:lang w:val="en-US"/>
          <w14:ligatures w14:val="none"/>
        </w:rPr>
        <w:t>Ekchajzer</w:t>
      </w:r>
      <w:proofErr w:type="spellEnd"/>
      <w:r w:rsidRPr="00A64327">
        <w:rPr>
          <w:rFonts w:ascii="Arial" w:eastAsia="Times New Roman" w:hAnsi="Arial" w:cs="Arial"/>
          <w:kern w:val="0"/>
          <w:sz w:val="20"/>
          <w:szCs w:val="20"/>
          <w:lang w:val="en-US"/>
          <w14:ligatures w14:val="none"/>
        </w:rPr>
        <w:t xml:space="preserve">, D., </w:t>
      </w:r>
      <w:proofErr w:type="spellStart"/>
      <w:r w:rsidRPr="00A64327">
        <w:rPr>
          <w:rFonts w:ascii="Arial" w:eastAsia="Times New Roman" w:hAnsi="Arial" w:cs="Arial"/>
          <w:kern w:val="0"/>
          <w:sz w:val="20"/>
          <w:szCs w:val="20"/>
          <w:lang w:val="en-US"/>
          <w14:ligatures w14:val="none"/>
        </w:rPr>
        <w:t>Bornes</w:t>
      </w:r>
      <w:proofErr w:type="spellEnd"/>
      <w:r w:rsidRPr="00A64327">
        <w:rPr>
          <w:rFonts w:ascii="Arial" w:eastAsia="Times New Roman" w:hAnsi="Arial" w:cs="Arial"/>
          <w:kern w:val="0"/>
          <w:sz w:val="20"/>
          <w:szCs w:val="20"/>
          <w:lang w:val="en-US"/>
          <w14:ligatures w14:val="none"/>
        </w:rPr>
        <w:t xml:space="preserve">, L., </w:t>
      </w:r>
      <w:proofErr w:type="spellStart"/>
      <w:r w:rsidRPr="00A64327">
        <w:rPr>
          <w:rFonts w:ascii="Arial" w:eastAsia="Times New Roman" w:hAnsi="Arial" w:cs="Arial"/>
          <w:kern w:val="0"/>
          <w:sz w:val="20"/>
          <w:szCs w:val="20"/>
          <w:lang w:val="en-US"/>
          <w14:ligatures w14:val="none"/>
        </w:rPr>
        <w:t>Combaz</w:t>
      </w:r>
      <w:proofErr w:type="spellEnd"/>
      <w:r w:rsidRPr="00A64327">
        <w:rPr>
          <w:rFonts w:ascii="Arial" w:eastAsia="Times New Roman" w:hAnsi="Arial" w:cs="Arial"/>
          <w:kern w:val="0"/>
          <w:sz w:val="20"/>
          <w:szCs w:val="20"/>
          <w:lang w:val="en-US"/>
          <w14:ligatures w14:val="none"/>
        </w:rPr>
        <w:t xml:space="preserve">, J., </w:t>
      </w:r>
      <w:proofErr w:type="spellStart"/>
      <w:r w:rsidRPr="00A64327">
        <w:rPr>
          <w:rFonts w:ascii="Arial" w:eastAsia="Times New Roman" w:hAnsi="Arial" w:cs="Arial"/>
          <w:kern w:val="0"/>
          <w:sz w:val="20"/>
          <w:szCs w:val="20"/>
          <w:lang w:val="en-US"/>
          <w14:ligatures w14:val="none"/>
        </w:rPr>
        <w:t>Letondal</w:t>
      </w:r>
      <w:proofErr w:type="spellEnd"/>
      <w:r w:rsidRPr="00A64327">
        <w:rPr>
          <w:rFonts w:ascii="Arial" w:eastAsia="Times New Roman" w:hAnsi="Arial" w:cs="Arial"/>
          <w:kern w:val="0"/>
          <w:sz w:val="20"/>
          <w:szCs w:val="20"/>
          <w:lang w:val="en-US"/>
          <w14:ligatures w14:val="none"/>
        </w:rPr>
        <w:t xml:space="preserve">, C., &amp; </w:t>
      </w:r>
      <w:proofErr w:type="spellStart"/>
      <w:r w:rsidRPr="00A64327">
        <w:rPr>
          <w:rFonts w:ascii="Arial" w:eastAsia="Times New Roman" w:hAnsi="Arial" w:cs="Arial"/>
          <w:kern w:val="0"/>
          <w:sz w:val="20"/>
          <w:szCs w:val="20"/>
          <w:lang w:val="en-US"/>
          <w14:ligatures w14:val="none"/>
        </w:rPr>
        <w:t>Vingerhoeds</w:t>
      </w:r>
      <w:proofErr w:type="spellEnd"/>
      <w:r w:rsidRPr="00A64327">
        <w:rPr>
          <w:rFonts w:ascii="Arial" w:eastAsia="Times New Roman" w:hAnsi="Arial" w:cs="Arial"/>
          <w:kern w:val="0"/>
          <w:sz w:val="20"/>
          <w:szCs w:val="20"/>
          <w:lang w:val="en-US"/>
          <w14:ligatures w14:val="none"/>
        </w:rPr>
        <w:t>, R. (2024, June).</w:t>
      </w:r>
    </w:p>
    <w:p w14:paraId="143A6EB7"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20B6118A"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To demonstrate the impacts of behavior on economic systems, conduct becomes a means of response to the expectations of achieving and having it. From the information in </w:t>
      </w:r>
      <w:proofErr w:type="spellStart"/>
      <w:r w:rsidRPr="00A64327">
        <w:rPr>
          <w:rFonts w:ascii="Arial" w:eastAsia="Times New Roman" w:hAnsi="Arial" w:cs="Arial"/>
          <w:kern w:val="0"/>
          <w:sz w:val="20"/>
          <w:szCs w:val="20"/>
          <w:lang w:val="en-US"/>
          <w14:ligatures w14:val="none"/>
        </w:rPr>
        <w:t>posesión</w:t>
      </w:r>
      <w:proofErr w:type="spellEnd"/>
      <w:r w:rsidRPr="00A64327">
        <w:rPr>
          <w:rFonts w:ascii="Arial" w:eastAsia="Times New Roman" w:hAnsi="Arial" w:cs="Arial"/>
          <w:kern w:val="0"/>
          <w:sz w:val="20"/>
          <w:szCs w:val="20"/>
          <w:lang w:val="en-US"/>
          <w14:ligatures w14:val="none"/>
        </w:rPr>
        <w:t xml:space="preserve">; Interaction and freedom of expression promote a resilient economic environment. </w:t>
      </w:r>
      <w:proofErr w:type="spellStart"/>
      <w:r w:rsidRPr="00A64327">
        <w:rPr>
          <w:rFonts w:ascii="Arial" w:eastAsia="Times New Roman" w:hAnsi="Arial" w:cs="Arial"/>
          <w:kern w:val="0"/>
          <w:sz w:val="20"/>
          <w:szCs w:val="20"/>
          <w:lang w:val="en-US"/>
          <w14:ligatures w14:val="none"/>
        </w:rPr>
        <w:t>Paliszkiewicz</w:t>
      </w:r>
      <w:proofErr w:type="spellEnd"/>
      <w:r w:rsidRPr="00A64327">
        <w:rPr>
          <w:rFonts w:ascii="Arial" w:eastAsia="Times New Roman" w:hAnsi="Arial" w:cs="Arial"/>
          <w:kern w:val="0"/>
          <w:sz w:val="20"/>
          <w:szCs w:val="20"/>
          <w:lang w:val="en-US"/>
          <w14:ligatures w14:val="none"/>
        </w:rPr>
        <w:t xml:space="preserve">, J., &amp; </w:t>
      </w:r>
      <w:proofErr w:type="spellStart"/>
      <w:r w:rsidRPr="00A64327">
        <w:rPr>
          <w:rFonts w:ascii="Arial" w:eastAsia="Times New Roman" w:hAnsi="Arial" w:cs="Arial"/>
          <w:kern w:val="0"/>
          <w:sz w:val="20"/>
          <w:szCs w:val="20"/>
          <w:lang w:val="en-US"/>
          <w14:ligatures w14:val="none"/>
        </w:rPr>
        <w:t>Gołuchowski</w:t>
      </w:r>
      <w:proofErr w:type="spellEnd"/>
      <w:r w:rsidRPr="00A64327">
        <w:rPr>
          <w:rFonts w:ascii="Arial" w:eastAsia="Times New Roman" w:hAnsi="Arial" w:cs="Arial"/>
          <w:kern w:val="0"/>
          <w:sz w:val="20"/>
          <w:szCs w:val="20"/>
          <w:lang w:val="en-US"/>
          <w14:ligatures w14:val="none"/>
        </w:rPr>
        <w:t>, J. (2025).</w:t>
      </w:r>
    </w:p>
    <w:p w14:paraId="03CB914F"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339243B0" w14:textId="67AE3AC1"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However, the detonator of an expected result of a social environment is from the perceived reality of it, highlighting emotions as the medium through which stimuli are reflected and fundamental courses of action are chosen for the achievement of certain results. Davidson, D. J., &amp; </w:t>
      </w:r>
      <w:proofErr w:type="spellStart"/>
      <w:r w:rsidRPr="00A64327">
        <w:rPr>
          <w:rFonts w:ascii="Arial" w:eastAsia="Times New Roman" w:hAnsi="Arial" w:cs="Arial"/>
          <w:kern w:val="0"/>
          <w:sz w:val="20"/>
          <w:szCs w:val="20"/>
          <w:lang w:val="en-US"/>
          <w14:ligatures w14:val="none"/>
        </w:rPr>
        <w:t>Kecinski</w:t>
      </w:r>
      <w:proofErr w:type="spellEnd"/>
      <w:r w:rsidRPr="00A64327">
        <w:rPr>
          <w:rFonts w:ascii="Arial" w:eastAsia="Times New Roman" w:hAnsi="Arial" w:cs="Arial"/>
          <w:kern w:val="0"/>
          <w:sz w:val="20"/>
          <w:szCs w:val="20"/>
          <w:lang w:val="en-US"/>
          <w14:ligatures w14:val="none"/>
        </w:rPr>
        <w:t>, M. (2022).</w:t>
      </w:r>
    </w:p>
    <w:p w14:paraId="2210F540" w14:textId="77777777" w:rsidR="009E6E87" w:rsidRPr="00A64327" w:rsidRDefault="009E6E87" w:rsidP="00A64327">
      <w:pPr>
        <w:spacing w:after="0" w:line="240" w:lineRule="auto"/>
        <w:jc w:val="both"/>
        <w:rPr>
          <w:rFonts w:ascii="Arial" w:eastAsia="Times New Roman" w:hAnsi="Arial" w:cs="Arial"/>
          <w:kern w:val="0"/>
          <w:sz w:val="20"/>
          <w:szCs w:val="20"/>
          <w:lang w:val="en-US"/>
          <w14:ligatures w14:val="none"/>
        </w:rPr>
      </w:pPr>
    </w:p>
    <w:p w14:paraId="0D3B956D" w14:textId="77777777" w:rsidR="00A64327" w:rsidRPr="009E6E87" w:rsidRDefault="00A64327" w:rsidP="00A64327">
      <w:pPr>
        <w:spacing w:after="0" w:line="240" w:lineRule="auto"/>
        <w:jc w:val="both"/>
        <w:rPr>
          <w:rFonts w:ascii="Arial" w:eastAsia="Times New Roman" w:hAnsi="Arial" w:cs="Arial"/>
          <w:b/>
          <w:kern w:val="0"/>
          <w:sz w:val="20"/>
          <w:szCs w:val="20"/>
          <w:lang w:val="en-US"/>
          <w14:ligatures w14:val="none"/>
        </w:rPr>
      </w:pPr>
      <w:r w:rsidRPr="00A64327">
        <w:rPr>
          <w:rFonts w:ascii="Arial" w:eastAsia="Times New Roman" w:hAnsi="Arial" w:cs="Arial"/>
          <w:kern w:val="0"/>
          <w:sz w:val="20"/>
          <w:szCs w:val="20"/>
          <w:lang w:val="en-US"/>
          <w14:ligatures w14:val="none"/>
        </w:rPr>
        <w:t xml:space="preserve">II. </w:t>
      </w:r>
      <w:r w:rsidRPr="009E6E87">
        <w:rPr>
          <w:rFonts w:ascii="Arial" w:eastAsia="Times New Roman" w:hAnsi="Arial" w:cs="Arial"/>
          <w:b/>
          <w:kern w:val="0"/>
          <w:sz w:val="20"/>
          <w:szCs w:val="20"/>
          <w:lang w:val="en-US"/>
          <w14:ligatures w14:val="none"/>
        </w:rPr>
        <w:t>POSESIONS AND FEELING OF DEFICIENCY FROM THE ECONOMY OF BEHAVIOR</w:t>
      </w:r>
    </w:p>
    <w:p w14:paraId="41E02BF2"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poses in the economy of behavior function in a similar way to the material poses. Personas obtain psychological utility based on tangible assets, as well as their beliefs. Individuals choose, maintain and adjust their belief systems to satisfy psychological needs such as identity, sense of belonging, internal coherence and self-esteem.</w:t>
      </w:r>
    </w:p>
    <w:p w14:paraId="5002C957"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15F2F410"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 xml:space="preserve">Credentials are not limited by physical resources, but rather by cognitive and social restrictions. Even though people can be motivated to adopt favorable beliefs for their emotional well-being, there are limits imposed by reality, social pressure, logical consistency and available evidence. Therefore, understanding how beliefs are formed, maintained and abandoned is key to explaining contemporary social phenomena such as radicalization, resistance to the change of opinion and ideological conflicts. </w:t>
      </w:r>
      <w:proofErr w:type="spellStart"/>
      <w:r w:rsidRPr="00A64327">
        <w:rPr>
          <w:rFonts w:ascii="Arial" w:eastAsia="Times New Roman" w:hAnsi="Arial" w:cs="Arial"/>
          <w:kern w:val="0"/>
          <w:sz w:val="20"/>
          <w:szCs w:val="20"/>
          <w:lang w:val="en-US"/>
          <w14:ligatures w14:val="none"/>
        </w:rPr>
        <w:t>Gadzali</w:t>
      </w:r>
      <w:proofErr w:type="spellEnd"/>
      <w:r w:rsidRPr="00A64327">
        <w:rPr>
          <w:rFonts w:ascii="Arial" w:eastAsia="Times New Roman" w:hAnsi="Arial" w:cs="Arial"/>
          <w:kern w:val="0"/>
          <w:sz w:val="20"/>
          <w:szCs w:val="20"/>
          <w:lang w:val="en-US"/>
          <w14:ligatures w14:val="none"/>
        </w:rPr>
        <w:t>, S. S. (2023).</w:t>
      </w:r>
    </w:p>
    <w:p w14:paraId="2489BB0B"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52D9556F" w14:textId="77777777" w:rsidR="00A64327" w:rsidRDefault="00A64327" w:rsidP="00A64327">
      <w:pPr>
        <w:spacing w:after="0" w:line="240" w:lineRule="auto"/>
        <w:jc w:val="both"/>
        <w:rPr>
          <w:rFonts w:ascii="Arial" w:eastAsia="Times New Roman" w:hAnsi="Arial" w:cs="Arial"/>
          <w:kern w:val="0"/>
          <w:sz w:val="20"/>
          <w:szCs w:val="20"/>
          <w:lang w:val="en-US"/>
          <w14:ligatures w14:val="none"/>
        </w:rPr>
      </w:pPr>
      <w:r w:rsidRPr="00A64327">
        <w:rPr>
          <w:rFonts w:ascii="Arial" w:eastAsia="Times New Roman" w:hAnsi="Arial" w:cs="Arial"/>
          <w:kern w:val="0"/>
          <w:sz w:val="20"/>
          <w:szCs w:val="20"/>
          <w:lang w:val="en-US"/>
          <w14:ligatures w14:val="none"/>
        </w:rPr>
        <w:t>The rational response to poses in the economy of behavior is a measure of search before the expectation of an uncertain future life, assuming that people have an accurate perception of probabilities associated with possible future events. In economic terms, people "discover" the future; This is to decide, preferring the present to the future, if everything else remains the same, and taking current actions that maximize the sum discounted from the future. Its actions are consistent over time. This is a variant of the well-known "expected utility" model, which, according to Kahneman and Tversky, does not reflect human behavior (see Chapter 2). Kahneman, D., &amp; Tversky, A. (1979).</w:t>
      </w:r>
    </w:p>
    <w:p w14:paraId="76AF6541" w14:textId="77777777" w:rsidR="00B76E71" w:rsidRPr="00A64327" w:rsidRDefault="00B76E71" w:rsidP="00A64327">
      <w:pPr>
        <w:spacing w:after="0" w:line="240" w:lineRule="auto"/>
        <w:jc w:val="both"/>
        <w:rPr>
          <w:rFonts w:ascii="Arial" w:eastAsia="Times New Roman" w:hAnsi="Arial" w:cs="Arial"/>
          <w:kern w:val="0"/>
          <w:sz w:val="20"/>
          <w:szCs w:val="20"/>
          <w:lang w:val="en-US"/>
          <w14:ligatures w14:val="none"/>
        </w:rPr>
      </w:pPr>
    </w:p>
    <w:p w14:paraId="41CC57F6"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In the theory of the economics of behavior there is no single definition for this term. The theoretical approach to the concept comes from a set of behaviors that seem to deviate from the prediction of traditional models, without building a theory with an integral foundation. However, five fundamental principles have been identified, which allow us to test behavioral hypotheses and develop strategies to influence behavior: limited attention and cognition, inaccurate beliefs, sense of the present, dependence and frame of reference, and preferences and social norms.</w:t>
      </w:r>
    </w:p>
    <w:p w14:paraId="5757613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E38730F"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9E6E87">
        <w:rPr>
          <w:rFonts w:ascii="Arial" w:eastAsia="Times New Roman" w:hAnsi="Arial" w:cs="Arial"/>
          <w:b/>
          <w:kern w:val="0"/>
          <w:sz w:val="20"/>
          <w:szCs w:val="20"/>
          <w:lang w:val="en-US"/>
          <w14:ligatures w14:val="none"/>
        </w:rPr>
        <w:t>1. Limited attention and cognition</w:t>
      </w:r>
    </w:p>
    <w:p w14:paraId="66A2F39E"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degree to which people understand, pay attention and process information is crucial in any decision. However, people only pay limited attention to important aspects of their surroundings, often experiencing difficulties in processing information and making cognitive errors even in simple situations.</w:t>
      </w:r>
    </w:p>
    <w:p w14:paraId="1468E73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177A00C5" w14:textId="77777777" w:rsidR="00B76E71" w:rsidRPr="009E6E87" w:rsidRDefault="00B76E71" w:rsidP="00B76E71">
      <w:pPr>
        <w:spacing w:after="0" w:line="240" w:lineRule="auto"/>
        <w:jc w:val="both"/>
        <w:rPr>
          <w:rFonts w:ascii="Arial" w:eastAsia="Times New Roman" w:hAnsi="Arial" w:cs="Arial"/>
          <w:b/>
          <w:kern w:val="0"/>
          <w:sz w:val="20"/>
          <w:szCs w:val="20"/>
          <w:lang w:val="en-US"/>
          <w14:ligatures w14:val="none"/>
        </w:rPr>
      </w:pPr>
      <w:r w:rsidRPr="009E6E87">
        <w:rPr>
          <w:rFonts w:ascii="Arial" w:eastAsia="Times New Roman" w:hAnsi="Arial" w:cs="Arial"/>
          <w:b/>
          <w:kern w:val="0"/>
          <w:sz w:val="20"/>
          <w:szCs w:val="20"/>
          <w:lang w:val="en-US"/>
          <w14:ligatures w14:val="none"/>
        </w:rPr>
        <w:t>2. Inaccurate beliefs</w:t>
      </w:r>
    </w:p>
    <w:p w14:paraId="3E7C415C"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often have incorrect perceptions or information about the situations they encounter, the incentives they face, their own abilities and the beliefs of others, often as a result of limited attention or cognition.</w:t>
      </w:r>
    </w:p>
    <w:p w14:paraId="3FE43E50"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32375F60" w14:textId="29E1E88C" w:rsidR="00B76E71" w:rsidRPr="009E6E87" w:rsidRDefault="00B76E71" w:rsidP="00B76E71">
      <w:pPr>
        <w:spacing w:after="0" w:line="240" w:lineRule="auto"/>
        <w:jc w:val="both"/>
        <w:rPr>
          <w:rFonts w:ascii="Arial" w:eastAsia="Times New Roman" w:hAnsi="Arial" w:cs="Arial"/>
          <w:b/>
          <w:kern w:val="0"/>
          <w:sz w:val="20"/>
          <w:szCs w:val="20"/>
          <w:lang w:val="en-US"/>
          <w14:ligatures w14:val="none"/>
        </w:rPr>
      </w:pPr>
      <w:r w:rsidRPr="009E6E87">
        <w:rPr>
          <w:rFonts w:ascii="Arial" w:eastAsia="Times New Roman" w:hAnsi="Arial" w:cs="Arial"/>
          <w:b/>
          <w:kern w:val="0"/>
          <w:sz w:val="20"/>
          <w:szCs w:val="20"/>
          <w:lang w:val="en-US"/>
          <w14:ligatures w14:val="none"/>
        </w:rPr>
        <w:t xml:space="preserve">3. </w:t>
      </w:r>
      <w:r w:rsidR="000A674B" w:rsidRPr="009E6E87">
        <w:rPr>
          <w:rFonts w:ascii="Arial" w:eastAsia="Times New Roman" w:hAnsi="Arial" w:cs="Arial"/>
          <w:b/>
          <w:kern w:val="0"/>
          <w:sz w:val="20"/>
          <w:szCs w:val="20"/>
          <w:lang w:val="en-US"/>
          <w14:ligatures w14:val="none"/>
        </w:rPr>
        <w:t>Present Bias</w:t>
      </w:r>
    </w:p>
    <w:p w14:paraId="1152B753"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tend to focus disproportionately on issues that exist before them in the present moment, paying less attention to benefits and future consequences. This question has important implications for decisions about consumption, payments and utility.</w:t>
      </w:r>
    </w:p>
    <w:p w14:paraId="2D4FAFA3"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6511DACD" w14:textId="4D63DB77" w:rsidR="00B76E71" w:rsidRPr="009E6E87" w:rsidRDefault="009E6E87" w:rsidP="00B76E71">
      <w:pPr>
        <w:spacing w:after="0" w:line="240" w:lineRule="auto"/>
        <w:jc w:val="both"/>
        <w:rPr>
          <w:rFonts w:ascii="Arial" w:eastAsia="Times New Roman" w:hAnsi="Arial" w:cs="Arial"/>
          <w:b/>
          <w:kern w:val="0"/>
          <w:sz w:val="20"/>
          <w:szCs w:val="20"/>
          <w:lang w:val="en-US"/>
          <w14:ligatures w14:val="none"/>
        </w:rPr>
      </w:pPr>
      <w:r>
        <w:rPr>
          <w:rFonts w:ascii="Arial" w:eastAsia="Times New Roman" w:hAnsi="Arial" w:cs="Arial"/>
          <w:b/>
          <w:kern w:val="0"/>
          <w:sz w:val="20"/>
          <w:szCs w:val="20"/>
          <w:lang w:val="en-US"/>
          <w14:ligatures w14:val="none"/>
        </w:rPr>
        <w:t>4</w:t>
      </w:r>
      <w:r w:rsidR="00B76E71" w:rsidRPr="009E6E87">
        <w:rPr>
          <w:rFonts w:ascii="Arial" w:eastAsia="Times New Roman" w:hAnsi="Arial" w:cs="Arial"/>
          <w:b/>
          <w:kern w:val="0"/>
          <w:sz w:val="20"/>
          <w:szCs w:val="20"/>
          <w:lang w:val="en-US"/>
          <w14:ligatures w14:val="none"/>
        </w:rPr>
        <w:t>. Reference and framing dependency</w:t>
      </w:r>
    </w:p>
    <w:p w14:paraId="7903DB76"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People have to evaluate risk decisions by considering how options relate to a particular point of reference. That is to say, evaluating if a result would be a gain or a loss by comparing the possible results with a single point of reference, such as the current status quo, instead of considering all possible alternatives. Therefore, people are sensitive to the way in which decision problems are raised, which affects the possible results they perceive.</w:t>
      </w:r>
    </w:p>
    <w:p w14:paraId="24073AC6" w14:textId="668F6FD4" w:rsidR="00B76E71" w:rsidRPr="009E6E87" w:rsidRDefault="009E6E87" w:rsidP="00B76E71">
      <w:pPr>
        <w:spacing w:after="0" w:line="240" w:lineRule="auto"/>
        <w:jc w:val="both"/>
        <w:rPr>
          <w:rFonts w:ascii="Arial" w:eastAsia="Times New Roman" w:hAnsi="Arial" w:cs="Arial"/>
          <w:b/>
          <w:kern w:val="0"/>
          <w:sz w:val="20"/>
          <w:szCs w:val="20"/>
          <w:lang w:val="en-US"/>
          <w14:ligatures w14:val="none"/>
        </w:rPr>
      </w:pPr>
      <w:r>
        <w:rPr>
          <w:rFonts w:ascii="Arial" w:eastAsia="Times New Roman" w:hAnsi="Arial" w:cs="Arial"/>
          <w:b/>
          <w:kern w:val="0"/>
          <w:sz w:val="20"/>
          <w:szCs w:val="20"/>
          <w:lang w:val="en-US"/>
          <w14:ligatures w14:val="none"/>
        </w:rPr>
        <w:t>5</w:t>
      </w:r>
      <w:r w:rsidR="00B76E71" w:rsidRPr="009E6E87">
        <w:rPr>
          <w:rFonts w:ascii="Arial" w:eastAsia="Times New Roman" w:hAnsi="Arial" w:cs="Arial"/>
          <w:b/>
          <w:kern w:val="0"/>
          <w:sz w:val="20"/>
          <w:szCs w:val="20"/>
          <w:lang w:val="en-US"/>
          <w14:ligatures w14:val="none"/>
        </w:rPr>
        <w:t>. Preferences and Social Norms</w:t>
      </w:r>
    </w:p>
    <w:p w14:paraId="44668FFA" w14:textId="77777777" w:rsidR="00A64327"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An important aspect of the context for decision-making is the perception of how their own actions relate to others, including others' well-being: people compare themselves to themselves and others, and worry about their social position, how they transmit their values ​​and preferences to others, and how they feel adjusting to social norms. </w:t>
      </w:r>
      <w:proofErr w:type="spellStart"/>
      <w:r w:rsidRPr="00B76E71">
        <w:rPr>
          <w:rFonts w:ascii="Arial" w:eastAsia="Times New Roman" w:hAnsi="Arial" w:cs="Arial"/>
          <w:kern w:val="0"/>
          <w:sz w:val="20"/>
          <w:szCs w:val="20"/>
          <w:lang w:val="en-US"/>
          <w14:ligatures w14:val="none"/>
        </w:rPr>
        <w:t>Buttenheim</w:t>
      </w:r>
      <w:proofErr w:type="spellEnd"/>
      <w:r w:rsidRPr="00B76E71">
        <w:rPr>
          <w:rFonts w:ascii="Arial" w:eastAsia="Times New Roman" w:hAnsi="Arial" w:cs="Arial"/>
          <w:kern w:val="0"/>
          <w:sz w:val="20"/>
          <w:szCs w:val="20"/>
          <w:lang w:val="en-US"/>
          <w14:ligatures w14:val="none"/>
        </w:rPr>
        <w:t>, A., Moffitt, R., &amp; Beatty, A. (2023).</w:t>
      </w:r>
    </w:p>
    <w:p w14:paraId="2DAE3FB1"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p>
    <w:p w14:paraId="10CE22E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These factors contribute to an understanding by arguing that decisions are influenced by limited understanding capabilities to process information and be free from errors. By deciding, posing ideologies defined in the context and unequal capabilities, you can prioritize the creation of immediate benefits over future consequences.</w:t>
      </w:r>
    </w:p>
    <w:p w14:paraId="4F1E855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60EEFB27" w14:textId="77777777" w:rsidR="00B76E71" w:rsidRPr="009E6E87" w:rsidRDefault="00B76E71" w:rsidP="00B76E71">
      <w:pPr>
        <w:spacing w:after="0" w:line="240" w:lineRule="auto"/>
        <w:jc w:val="both"/>
        <w:rPr>
          <w:rFonts w:ascii="Arial" w:eastAsia="Times New Roman" w:hAnsi="Arial" w:cs="Arial"/>
          <w:b/>
          <w:kern w:val="0"/>
          <w:sz w:val="20"/>
          <w:szCs w:val="20"/>
          <w:lang w:val="en-US"/>
          <w14:ligatures w14:val="none"/>
        </w:rPr>
      </w:pPr>
      <w:r w:rsidRPr="009E6E87">
        <w:rPr>
          <w:rFonts w:ascii="Arial" w:eastAsia="Times New Roman" w:hAnsi="Arial" w:cs="Arial"/>
          <w:b/>
          <w:kern w:val="0"/>
          <w:sz w:val="20"/>
          <w:szCs w:val="20"/>
          <w:lang w:val="en-US"/>
          <w14:ligatures w14:val="none"/>
        </w:rPr>
        <w:t>III. EXPECTATION THEORY FROM THE ECONOMY OF BEHAVIOR</w:t>
      </w:r>
    </w:p>
    <w:p w14:paraId="4B25F41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0A12DA6D"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Within the scope of the behavioral economy, the expectations of rational agents result in economic decisions about consumption or investment centered on expectations.</w:t>
      </w:r>
    </w:p>
    <w:p w14:paraId="10522B91"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3B5E1458"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expectations and subsequent decisions determine the most important macroeconomic results, such as aggregate supply and demand, the economic cycle, as well as the booms and financial crises. It can stabilize, but also destabilize, economies and drive major events. The global financial crisis of 2008 demonstrated categorically that the beliefs of agents are important (</w:t>
      </w:r>
      <w:proofErr w:type="spellStart"/>
      <w:r w:rsidRPr="00B76E71">
        <w:rPr>
          <w:rFonts w:ascii="Arial" w:eastAsia="Times New Roman" w:hAnsi="Arial" w:cs="Arial"/>
          <w:kern w:val="0"/>
          <w:sz w:val="20"/>
          <w:szCs w:val="20"/>
          <w:lang w:val="en-US"/>
          <w14:ligatures w14:val="none"/>
        </w:rPr>
        <w:t>Gennaioli</w:t>
      </w:r>
      <w:proofErr w:type="spellEnd"/>
      <w:r w:rsidRPr="00B76E71">
        <w:rPr>
          <w:rFonts w:ascii="Arial" w:eastAsia="Times New Roman" w:hAnsi="Arial" w:cs="Arial"/>
          <w:kern w:val="0"/>
          <w:sz w:val="20"/>
          <w:szCs w:val="20"/>
          <w:lang w:val="en-US"/>
          <w14:ligatures w14:val="none"/>
        </w:rPr>
        <w:t xml:space="preserve"> and Shleifer, 2018).</w:t>
      </w:r>
    </w:p>
    <w:p w14:paraId="233F566D"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FE360FF"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Several political leaders recognize that shaping beliefs and intervening in the dynamics of expectations could be crucial for the successful governance of the economic system and financial markets. If it is necessary to modify contemporary concepts about expectations, which are too centered on human cognitive capabilities and tend to succumb to feelings and emotions, to imagine and narrate, researchers should not blindly overestimate the importance of technology. In other words, a more detailed investigation is required on how human and algorithmic knowledge, (in)attention, data management, histories, etc., influence the beliefs of markets, homes and companies. </w:t>
      </w:r>
      <w:proofErr w:type="spellStart"/>
      <w:r w:rsidRPr="00B76E71">
        <w:rPr>
          <w:rFonts w:ascii="Arial" w:eastAsia="Times New Roman" w:hAnsi="Arial" w:cs="Arial"/>
          <w:kern w:val="0"/>
          <w:sz w:val="20"/>
          <w:szCs w:val="20"/>
          <w:lang w:val="en-US"/>
          <w14:ligatures w14:val="none"/>
        </w:rPr>
        <w:t>Tuckett</w:t>
      </w:r>
      <w:proofErr w:type="spellEnd"/>
      <w:r w:rsidRPr="00B76E71">
        <w:rPr>
          <w:rFonts w:ascii="Arial" w:eastAsia="Times New Roman" w:hAnsi="Arial" w:cs="Arial"/>
          <w:kern w:val="0"/>
          <w:sz w:val="20"/>
          <w:szCs w:val="20"/>
          <w:lang w:val="en-US"/>
          <w14:ligatures w14:val="none"/>
        </w:rPr>
        <w:t xml:space="preserve"> D. et al. (2020)</w:t>
      </w:r>
    </w:p>
    <w:p w14:paraId="610D08D3"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4C187FF6"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From the theory of games, the criteria of maximin and </w:t>
      </w:r>
      <w:proofErr w:type="spellStart"/>
      <w:r w:rsidRPr="00B76E71">
        <w:rPr>
          <w:rFonts w:ascii="Arial" w:eastAsia="Times New Roman" w:hAnsi="Arial" w:cs="Arial"/>
          <w:kern w:val="0"/>
          <w:sz w:val="20"/>
          <w:szCs w:val="20"/>
          <w:lang w:val="en-US"/>
          <w14:ligatures w14:val="none"/>
        </w:rPr>
        <w:t>minimin</w:t>
      </w:r>
      <w:proofErr w:type="spellEnd"/>
      <w:r w:rsidRPr="00B76E71">
        <w:rPr>
          <w:rFonts w:ascii="Arial" w:eastAsia="Times New Roman" w:hAnsi="Arial" w:cs="Arial"/>
          <w:kern w:val="0"/>
          <w:sz w:val="20"/>
          <w:szCs w:val="20"/>
          <w:lang w:val="en-US"/>
          <w14:ligatures w14:val="none"/>
        </w:rPr>
        <w:t xml:space="preserve">, based on winning expectations and the smallest possible loss form part of rational thinking. However, information visualization is key in areas such as human-agent collaboration, constituting itself as a decision problem. To attribute the loss to human performance, it is necessary to provide the information that a rational agent needs to identify the normative decision. </w:t>
      </w:r>
      <w:proofErr w:type="spellStart"/>
      <w:r w:rsidRPr="00B76E71">
        <w:rPr>
          <w:rFonts w:ascii="Arial" w:eastAsia="Times New Roman" w:hAnsi="Arial" w:cs="Arial"/>
          <w:kern w:val="0"/>
          <w:sz w:val="20"/>
          <w:szCs w:val="20"/>
          <w:lang w:val="en-US"/>
          <w14:ligatures w14:val="none"/>
        </w:rPr>
        <w:t>Hullman</w:t>
      </w:r>
      <w:proofErr w:type="spellEnd"/>
      <w:r w:rsidRPr="00B76E71">
        <w:rPr>
          <w:rFonts w:ascii="Arial" w:eastAsia="Times New Roman" w:hAnsi="Arial" w:cs="Arial"/>
          <w:kern w:val="0"/>
          <w:sz w:val="20"/>
          <w:szCs w:val="20"/>
          <w:lang w:val="en-US"/>
          <w14:ligatures w14:val="none"/>
        </w:rPr>
        <w:t>, J., Kale, A., &amp; Hartline, J. (2025, April).</w:t>
      </w:r>
    </w:p>
    <w:p w14:paraId="62F1DD20"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p>
    <w:p w14:paraId="73BD0FE1" w14:textId="77777777" w:rsidR="00B76E71" w:rsidRPr="00B76E71" w:rsidRDefault="00B76E71" w:rsidP="00B76E71">
      <w:pPr>
        <w:spacing w:after="0" w:line="240" w:lineRule="auto"/>
        <w:jc w:val="both"/>
        <w:rPr>
          <w:rFonts w:ascii="Arial" w:eastAsia="Times New Roman" w:hAnsi="Arial" w:cs="Arial"/>
          <w:kern w:val="0"/>
          <w:sz w:val="20"/>
          <w:szCs w:val="20"/>
          <w14:ligatures w14:val="none"/>
        </w:rPr>
      </w:pPr>
      <w:r w:rsidRPr="00B76E71">
        <w:rPr>
          <w:rFonts w:ascii="Arial" w:eastAsia="Times New Roman" w:hAnsi="Arial" w:cs="Arial"/>
          <w:kern w:val="0"/>
          <w:sz w:val="20"/>
          <w:szCs w:val="20"/>
          <w:lang w:val="en-US"/>
          <w14:ligatures w14:val="none"/>
        </w:rPr>
        <w:t xml:space="preserve">When making decisions under conditions of uncertainty and waiting for the fulfillment of some expectation, people often deviate from rational behavior, which can be evaluated in three </w:t>
      </w:r>
      <w:r w:rsidRPr="00B76E71">
        <w:rPr>
          <w:rFonts w:ascii="Arial" w:eastAsia="Times New Roman" w:hAnsi="Arial" w:cs="Arial"/>
          <w:kern w:val="0"/>
          <w:sz w:val="20"/>
          <w:szCs w:val="20"/>
          <w:lang w:val="en-US"/>
          <w14:ligatures w14:val="none"/>
        </w:rPr>
        <w:lastRenderedPageBreak/>
        <w:t xml:space="preserve">dimensions: preference for risk, consideration of probability and aversion to loss. Given the widespread use of large language models (LLM) to support decision-making processes, it is crucial to evaluate whether your behavior aligns with human norms and ethical expectations or displays possible safe ways. </w:t>
      </w:r>
      <w:r w:rsidRPr="00B76E71">
        <w:rPr>
          <w:rFonts w:ascii="Arial" w:eastAsia="Times New Roman" w:hAnsi="Arial" w:cs="Arial"/>
          <w:kern w:val="0"/>
          <w:sz w:val="20"/>
          <w:szCs w:val="20"/>
          <w14:ligatures w14:val="none"/>
        </w:rPr>
        <w:t>Jia, J., Yuan, Z., Pan, J., McNamara, P. E., &amp; Chen, D. (2024).</w:t>
      </w:r>
    </w:p>
    <w:p w14:paraId="37172339"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However, in the theory of expected utility, implementation problems do not arise: all results are associated with precise probabilities and utilities; Therefore, each option has a precise expected utility, and the order of the options is always well defined. In this sense, the imprecision of value — and the implementation problems that it generates — is no more appropriate in prospective theory than in expected utility theory. This natural strategy undoubtedly contributed to the great influence of prospective theory in economic applications. But it also imported a somewhat realistic idealization of the theory of expected utility to the psychology of decision making: the assumption of precise subjective values ​​and complete classifications.</w:t>
      </w:r>
    </w:p>
    <w:p w14:paraId="0DAF1E8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From the theory of management, the theory of games has been explored for the definition of traditional strategies of rational election, which assumes that the preferences of agents are complete and therefore, a division of the theory of rational election is proposed — theory of preference and theory of implementation — that questions the normative adequacy of the theory of expected utility and raises questions about the explanatory scope of prospective theory. Sher, S., Müller-</w:t>
      </w:r>
      <w:proofErr w:type="spellStart"/>
      <w:r w:rsidRPr="00B76E71">
        <w:rPr>
          <w:rFonts w:ascii="Arial" w:eastAsia="Times New Roman" w:hAnsi="Arial" w:cs="Arial"/>
          <w:kern w:val="0"/>
          <w:sz w:val="20"/>
          <w:szCs w:val="20"/>
          <w:lang w:val="en-US"/>
          <w14:ligatures w14:val="none"/>
        </w:rPr>
        <w:t>Trede</w:t>
      </w:r>
      <w:proofErr w:type="spellEnd"/>
      <w:r w:rsidRPr="00B76E71">
        <w:rPr>
          <w:rFonts w:ascii="Arial" w:eastAsia="Times New Roman" w:hAnsi="Arial" w:cs="Arial"/>
          <w:kern w:val="0"/>
          <w:sz w:val="20"/>
          <w:szCs w:val="20"/>
          <w:lang w:val="en-US"/>
          <w14:ligatures w14:val="none"/>
        </w:rPr>
        <w:t>, J., &amp; McKenzie, C. R. (2025).</w:t>
      </w:r>
    </w:p>
    <w:p w14:paraId="1233965C" w14:textId="77777777" w:rsidR="00B76E71" w:rsidRP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 xml:space="preserve">Individual behavior depends primarily on economic incentives and accessible information, as well as preferences, skills, experiences and other individual characteristics. personal characteristics significantly improve our ability to explain and predict economic achievements in the market Hanlon, M., Yeung, K., &amp; </w:t>
      </w:r>
      <w:proofErr w:type="spellStart"/>
      <w:r w:rsidRPr="00B76E71">
        <w:rPr>
          <w:rFonts w:ascii="Arial" w:eastAsia="Times New Roman" w:hAnsi="Arial" w:cs="Arial"/>
          <w:kern w:val="0"/>
          <w:sz w:val="20"/>
          <w:szCs w:val="20"/>
          <w:lang w:val="en-US"/>
          <w14:ligatures w14:val="none"/>
        </w:rPr>
        <w:t>Zuo</w:t>
      </w:r>
      <w:proofErr w:type="spellEnd"/>
      <w:r w:rsidRPr="00B76E71">
        <w:rPr>
          <w:rFonts w:ascii="Arial" w:eastAsia="Times New Roman" w:hAnsi="Arial" w:cs="Arial"/>
          <w:kern w:val="0"/>
          <w:sz w:val="20"/>
          <w:szCs w:val="20"/>
          <w:lang w:val="en-US"/>
          <w14:ligatures w14:val="none"/>
        </w:rPr>
        <w:t>, L. (2022).</w:t>
      </w:r>
    </w:p>
    <w:p w14:paraId="601C156C" w14:textId="77777777" w:rsidR="00B76E71" w:rsidRDefault="00B76E71" w:rsidP="00B76E71">
      <w:pPr>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In such a situation, the feeling of scarcity may depend on personal connotations to feelings of penury. Having your own resources or not, allows you to assume the acceptance or rejection of present and past achievements and expected results in the future. In addition to allowing emotions to develop around the recognition of needs,</w:t>
      </w:r>
    </w:p>
    <w:p w14:paraId="306EAD72" w14:textId="77777777" w:rsidR="00B76E71" w:rsidRPr="00A64327" w:rsidRDefault="00B76E71" w:rsidP="00B76E71">
      <w:pPr>
        <w:spacing w:after="0" w:line="240" w:lineRule="auto"/>
        <w:jc w:val="both"/>
        <w:rPr>
          <w:rFonts w:ascii="Arial" w:eastAsia="Times New Roman" w:hAnsi="Arial" w:cs="Arial"/>
          <w:kern w:val="0"/>
          <w:sz w:val="20"/>
          <w:szCs w:val="20"/>
          <w:lang w:val="en-US"/>
          <w14:ligatures w14:val="none"/>
        </w:rPr>
      </w:pPr>
    </w:p>
    <w:p w14:paraId="2100C6C2" w14:textId="77777777" w:rsid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 xml:space="preserve">2. methodology </w:t>
      </w:r>
    </w:p>
    <w:p w14:paraId="35D5B9DF"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6F40A8D0" w14:textId="0B63E17D" w:rsidR="00B76E71" w:rsidRPr="00A64327" w:rsidRDefault="003D1783" w:rsidP="00A64327">
      <w:pPr>
        <w:spacing w:after="0" w:line="240" w:lineRule="auto"/>
        <w:jc w:val="both"/>
        <w:rPr>
          <w:rFonts w:ascii="Arial" w:eastAsia="Times New Roman" w:hAnsi="Arial" w:cs="Arial"/>
          <w:kern w:val="0"/>
          <w:sz w:val="20"/>
          <w:szCs w:val="20"/>
          <w:lang w:val="en-US"/>
          <w14:ligatures w14:val="none"/>
        </w:rPr>
      </w:pPr>
      <w:r w:rsidRPr="003D1783">
        <w:rPr>
          <w:rFonts w:ascii="Arial" w:eastAsia="Times New Roman" w:hAnsi="Arial" w:cs="Arial"/>
          <w:kern w:val="0"/>
          <w:sz w:val="20"/>
          <w:szCs w:val="20"/>
          <w:lang w:val="en-US"/>
          <w14:ligatures w14:val="none"/>
        </w:rPr>
        <w:t xml:space="preserve">The study was conducted with a selective sample of 82 students from a population of 1,142 at the Universidad </w:t>
      </w:r>
      <w:proofErr w:type="spellStart"/>
      <w:r w:rsidRPr="003D1783">
        <w:rPr>
          <w:rFonts w:ascii="Arial" w:eastAsia="Times New Roman" w:hAnsi="Arial" w:cs="Arial"/>
          <w:kern w:val="0"/>
          <w:sz w:val="20"/>
          <w:szCs w:val="20"/>
          <w:lang w:val="en-US"/>
          <w14:ligatures w14:val="none"/>
        </w:rPr>
        <w:t>Veracruzana</w:t>
      </w:r>
      <w:proofErr w:type="spellEnd"/>
      <w:r w:rsidRPr="003D1783">
        <w:rPr>
          <w:rFonts w:ascii="Arial" w:eastAsia="Times New Roman" w:hAnsi="Arial" w:cs="Arial"/>
          <w:kern w:val="0"/>
          <w:sz w:val="20"/>
          <w:szCs w:val="20"/>
          <w:lang w:val="en-US"/>
          <w14:ligatures w14:val="none"/>
        </w:rPr>
        <w:t xml:space="preserve"> in </w:t>
      </w:r>
      <w:proofErr w:type="spellStart"/>
      <w:r w:rsidRPr="003D1783">
        <w:rPr>
          <w:rFonts w:ascii="Arial" w:eastAsia="Times New Roman" w:hAnsi="Arial" w:cs="Arial"/>
          <w:kern w:val="0"/>
          <w:sz w:val="20"/>
          <w:szCs w:val="20"/>
          <w:lang w:val="en-US"/>
          <w14:ligatures w14:val="none"/>
        </w:rPr>
        <w:t>Xalapa</w:t>
      </w:r>
      <w:proofErr w:type="spellEnd"/>
      <w:r w:rsidRPr="003D1783">
        <w:rPr>
          <w:rFonts w:ascii="Arial" w:eastAsia="Times New Roman" w:hAnsi="Arial" w:cs="Arial"/>
          <w:kern w:val="0"/>
          <w:sz w:val="20"/>
          <w:szCs w:val="20"/>
          <w:lang w:val="en-US"/>
          <w14:ligatures w14:val="none"/>
        </w:rPr>
        <w:t xml:space="preserve">, Veracruz. Therefore, the group was selected using non-probability convenience sampling. Data collection was carried out using a structured </w:t>
      </w:r>
      <w:bookmarkStart w:id="0" w:name="_Hlk227076681"/>
      <w:r w:rsidRPr="003D1783">
        <w:rPr>
          <w:rFonts w:ascii="Arial" w:eastAsia="Times New Roman" w:hAnsi="Arial" w:cs="Arial"/>
          <w:kern w:val="0"/>
          <w:sz w:val="20"/>
          <w:szCs w:val="20"/>
          <w:lang w:val="en-US"/>
          <w14:ligatures w14:val="none"/>
        </w:rPr>
        <w:t xml:space="preserve">questionnaire </w:t>
      </w:r>
      <w:bookmarkEnd w:id="0"/>
      <w:r w:rsidRPr="003D1783">
        <w:rPr>
          <w:rFonts w:ascii="Arial" w:eastAsia="Times New Roman" w:hAnsi="Arial" w:cs="Arial"/>
          <w:kern w:val="0"/>
          <w:sz w:val="20"/>
          <w:szCs w:val="20"/>
          <w:lang w:val="en-US"/>
          <w14:ligatures w14:val="none"/>
        </w:rPr>
        <w:t>with 18 items using a Likert scale, administered in person. The instrument demonstrated adequate reliability (α = 0.82). The data were analyzed using descriptive statistics, including frequencies, and seeking to identify significant percentages. The results indicate that for 92% of the participants, the influence of their environment is a central element in their personal projections toward the future and in their decision-making, with personal and educational development being a key element and driving force for change, supported by the protective guidance of their families.</w:t>
      </w:r>
    </w:p>
    <w:p w14:paraId="1E991F63" w14:textId="77777777" w:rsidR="00A64327" w:rsidRPr="00A64327" w:rsidRDefault="00A64327" w:rsidP="00A64327">
      <w:pPr>
        <w:spacing w:after="0" w:line="240" w:lineRule="auto"/>
        <w:jc w:val="both"/>
        <w:rPr>
          <w:rFonts w:ascii="Arial" w:eastAsia="Times New Roman" w:hAnsi="Arial" w:cs="Arial"/>
          <w:kern w:val="0"/>
          <w:sz w:val="20"/>
          <w:szCs w:val="20"/>
          <w:lang w:val="en-US"/>
          <w14:ligatures w14:val="none"/>
        </w:rPr>
      </w:pPr>
    </w:p>
    <w:p w14:paraId="7355DB20" w14:textId="3E3AC98E"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lastRenderedPageBreak/>
        <w:t xml:space="preserve">3. results </w:t>
      </w:r>
    </w:p>
    <w:p w14:paraId="3FC44360" w14:textId="77777777" w:rsidR="00A64327" w:rsidRPr="00A64327" w:rsidRDefault="00A64327" w:rsidP="00A64327">
      <w:pPr>
        <w:keepNext/>
        <w:spacing w:after="0" w:line="240" w:lineRule="auto"/>
        <w:jc w:val="both"/>
        <w:rPr>
          <w:rFonts w:ascii="Arial" w:eastAsia="Times New Roman" w:hAnsi="Arial" w:cs="Arial"/>
          <w:b/>
          <w:caps/>
          <w:kern w:val="0"/>
          <w:szCs w:val="20"/>
          <w:lang w:val="en-US"/>
          <w14:ligatures w14:val="none"/>
        </w:rPr>
      </w:pPr>
    </w:p>
    <w:p w14:paraId="67599150"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The results presented were continued by those obtained by the application of the survey disseminated by electronic media from the 8th to the 23rd of January 2026.</w:t>
      </w:r>
    </w:p>
    <w:p w14:paraId="7228A94A" w14:textId="77777777" w:rsidR="00DB03ED" w:rsidRDefault="00DB03ED" w:rsidP="00B76E71">
      <w:pPr>
        <w:keepNext/>
        <w:spacing w:after="0" w:line="240" w:lineRule="auto"/>
        <w:jc w:val="both"/>
        <w:rPr>
          <w:rFonts w:ascii="Arial" w:eastAsia="Times New Roman" w:hAnsi="Arial" w:cs="Arial"/>
          <w:kern w:val="0"/>
          <w:sz w:val="20"/>
          <w:szCs w:val="20"/>
          <w:lang w:val="en-US"/>
          <w14:ligatures w14:val="none"/>
        </w:rPr>
      </w:pPr>
    </w:p>
    <w:p w14:paraId="1CF3660F" w14:textId="77777777" w:rsidR="00B76E71" w:rsidRPr="00B76E71" w:rsidRDefault="00DB03ED" w:rsidP="00B76E71">
      <w:pPr>
        <w:keepNext/>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 presents the university community that practices some sport, highlighting it as a sporting habit among surveyed students.</w:t>
      </w:r>
    </w:p>
    <w:p w14:paraId="409F0FC3"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p>
    <w:p w14:paraId="312C7C2A"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66D8CD7B" wp14:editId="34B0C03F">
            <wp:extent cx="3066415" cy="1666875"/>
            <wp:effectExtent l="0" t="0" r="635" b="9525"/>
            <wp:docPr id="1359174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6415" cy="1666875"/>
                    </a:xfrm>
                    <a:prstGeom prst="rect">
                      <a:avLst/>
                    </a:prstGeom>
                    <a:noFill/>
                  </pic:spPr>
                </pic:pic>
              </a:graphicData>
            </a:graphic>
          </wp:inline>
        </w:drawing>
      </w:r>
    </w:p>
    <w:p w14:paraId="3E5E7061" w14:textId="4AB9D783" w:rsidR="00B76E71" w:rsidRPr="00B76E71" w:rsidRDefault="00DB03ED" w:rsidP="009E6E87">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w:t>
      </w:r>
      <w:r w:rsidR="009E6E87">
        <w:rPr>
          <w:rFonts w:ascii="Arial" w:eastAsia="Times New Roman" w:hAnsi="Arial" w:cs="Arial"/>
          <w:kern w:val="0"/>
          <w:sz w:val="20"/>
          <w:szCs w:val="20"/>
          <w:lang w:val="en-US"/>
          <w14:ligatures w14:val="none"/>
        </w:rPr>
        <w:t xml:space="preserve">. </w:t>
      </w:r>
      <w:r w:rsidR="00B76E71" w:rsidRPr="00B76E71">
        <w:rPr>
          <w:rFonts w:ascii="Arial" w:eastAsia="Times New Roman" w:hAnsi="Arial" w:cs="Arial"/>
          <w:kern w:val="0"/>
          <w:sz w:val="20"/>
          <w:szCs w:val="20"/>
          <w:lang w:val="en-US"/>
          <w14:ligatures w14:val="none"/>
        </w:rPr>
        <w:t>Sports practice</w:t>
      </w:r>
    </w:p>
    <w:p w14:paraId="4809FE3F"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26B9BE4"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35484DF9"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2 presents a university community that practices some creed or religion, showing that practices are a frequent personal element among students.</w:t>
      </w:r>
    </w:p>
    <w:p w14:paraId="31E4229F"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8110D73"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sidRPr="00DB03ED">
        <w:rPr>
          <w:rFonts w:ascii="Arial" w:eastAsia="Calibri" w:hAnsi="Arial" w:cs="Arial"/>
          <w:noProof/>
          <w:kern w:val="0"/>
          <w14:ligatures w14:val="none"/>
        </w:rPr>
        <w:drawing>
          <wp:inline distT="0" distB="0" distL="0" distR="0" wp14:anchorId="7BCBFCA3" wp14:editId="5BA7EB8E">
            <wp:extent cx="3096895" cy="1764665"/>
            <wp:effectExtent l="0" t="0" r="8255" b="6985"/>
            <wp:docPr id="67560319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2A7A43" w14:textId="1B4F4473" w:rsidR="00B76E71" w:rsidRPr="00B76E71" w:rsidRDefault="00DB03ED" w:rsidP="009E6E87">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2</w:t>
      </w:r>
      <w:r w:rsidR="009E6E87">
        <w:rPr>
          <w:rFonts w:ascii="Arial" w:eastAsia="Times New Roman" w:hAnsi="Arial" w:cs="Arial"/>
          <w:kern w:val="0"/>
          <w:sz w:val="20"/>
          <w:szCs w:val="20"/>
          <w:lang w:val="en-US"/>
          <w14:ligatures w14:val="none"/>
        </w:rPr>
        <w:t xml:space="preserve">. </w:t>
      </w:r>
      <w:r w:rsidR="00B76E71" w:rsidRPr="00B76E71">
        <w:rPr>
          <w:rFonts w:ascii="Arial" w:eastAsia="Times New Roman" w:hAnsi="Arial" w:cs="Arial"/>
          <w:kern w:val="0"/>
          <w:sz w:val="20"/>
          <w:szCs w:val="20"/>
          <w:lang w:val="en-US"/>
          <w14:ligatures w14:val="none"/>
        </w:rPr>
        <w:t>Religious practice</w:t>
      </w:r>
    </w:p>
    <w:p w14:paraId="19A1216D"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58C1834"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7A897946"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3 presents the university community that reaches conclusions of decisions that have been made throughout their lives.</w:t>
      </w:r>
    </w:p>
    <w:p w14:paraId="06FE7256"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6A75031D"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lastRenderedPageBreak/>
        <w:drawing>
          <wp:inline distT="0" distB="0" distL="0" distR="0" wp14:anchorId="75063102" wp14:editId="5404879E">
            <wp:extent cx="3123565" cy="2152650"/>
            <wp:effectExtent l="0" t="0" r="635" b="0"/>
            <wp:docPr id="20286955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3565" cy="2152650"/>
                    </a:xfrm>
                    <a:prstGeom prst="rect">
                      <a:avLst/>
                    </a:prstGeom>
                    <a:noFill/>
                  </pic:spPr>
                </pic:pic>
              </a:graphicData>
            </a:graphic>
          </wp:inline>
        </w:drawing>
      </w:r>
    </w:p>
    <w:p w14:paraId="374F31D8" w14:textId="3C6994E5" w:rsidR="00B76E71" w:rsidRPr="00B76E71" w:rsidRDefault="00DB03ED" w:rsidP="009E6E87">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3</w:t>
      </w:r>
      <w:r w:rsidR="009E6E87">
        <w:rPr>
          <w:rFonts w:ascii="Arial" w:eastAsia="Times New Roman" w:hAnsi="Arial" w:cs="Arial"/>
          <w:kern w:val="0"/>
          <w:sz w:val="20"/>
          <w:szCs w:val="20"/>
          <w:lang w:val="en-US"/>
          <w14:ligatures w14:val="none"/>
        </w:rPr>
        <w:t xml:space="preserve">. </w:t>
      </w:r>
      <w:r w:rsidR="00B76E71" w:rsidRPr="00B76E71">
        <w:rPr>
          <w:rFonts w:ascii="Arial" w:eastAsia="Times New Roman" w:hAnsi="Arial" w:cs="Arial"/>
          <w:kern w:val="0"/>
          <w:sz w:val="20"/>
          <w:szCs w:val="20"/>
          <w:lang w:val="en-US"/>
          <w14:ligatures w14:val="none"/>
        </w:rPr>
        <w:t>Self-reflection practice</w:t>
      </w:r>
    </w:p>
    <w:p w14:paraId="743805AE"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43ED8B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A0D1C6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4 presents the university community that changes its life plans frequently.</w:t>
      </w:r>
    </w:p>
    <w:p w14:paraId="04087F08"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4CD39ADB" wp14:editId="6CE890F5">
            <wp:extent cx="2887345" cy="1983105"/>
            <wp:effectExtent l="0" t="0" r="8255" b="17145"/>
            <wp:docPr id="1904904238"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FE0BEE"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2DAF551A" w14:textId="14B635F4" w:rsidR="00B76E71" w:rsidRPr="00B76E71" w:rsidRDefault="00DB03ED" w:rsidP="009E6E87">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4</w:t>
      </w:r>
      <w:r w:rsidR="009E6E87">
        <w:rPr>
          <w:rFonts w:ascii="Arial" w:eastAsia="Times New Roman" w:hAnsi="Arial" w:cs="Arial"/>
          <w:kern w:val="0"/>
          <w:sz w:val="20"/>
          <w:szCs w:val="20"/>
          <w:lang w:val="en-US"/>
          <w14:ligatures w14:val="none"/>
        </w:rPr>
        <w:t xml:space="preserve">. </w:t>
      </w:r>
      <w:r w:rsidR="00B76E71" w:rsidRPr="00B76E71">
        <w:rPr>
          <w:rFonts w:ascii="Arial" w:eastAsia="Times New Roman" w:hAnsi="Arial" w:cs="Arial"/>
          <w:kern w:val="0"/>
          <w:sz w:val="20"/>
          <w:szCs w:val="20"/>
          <w:lang w:val="en-US"/>
          <w14:ligatures w14:val="none"/>
        </w:rPr>
        <w:t>Changing life plans</w:t>
      </w:r>
    </w:p>
    <w:p w14:paraId="3A60A169"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81D004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B9F7F8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5 presents the university community that analyzes how to contribute to the development of other people.</w:t>
      </w:r>
    </w:p>
    <w:p w14:paraId="30ED181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2C127E9" w14:textId="77777777" w:rsidR="008352B5" w:rsidRDefault="008352B5">
      <w:pPr>
        <w:spacing w:after="160" w:line="259"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br w:type="page"/>
      </w:r>
    </w:p>
    <w:p w14:paraId="77E8AB94" w14:textId="08744560" w:rsidR="00B76E71" w:rsidRPr="00B76E71" w:rsidRDefault="00DB03ED" w:rsidP="009E6E87">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lastRenderedPageBreak/>
        <w:t xml:space="preserve">Fig. </w:t>
      </w:r>
      <w:r w:rsidR="00B76E71" w:rsidRPr="00B76E71">
        <w:rPr>
          <w:rFonts w:ascii="Arial" w:eastAsia="Times New Roman" w:hAnsi="Arial" w:cs="Arial"/>
          <w:kern w:val="0"/>
          <w:sz w:val="20"/>
          <w:szCs w:val="20"/>
          <w:lang w:val="en-US"/>
          <w14:ligatures w14:val="none"/>
        </w:rPr>
        <w:t xml:space="preserve"> 5</w:t>
      </w:r>
      <w:r w:rsidR="009E6E87">
        <w:rPr>
          <w:rFonts w:ascii="Arial" w:eastAsia="Times New Roman" w:hAnsi="Arial" w:cs="Arial"/>
          <w:kern w:val="0"/>
          <w:sz w:val="20"/>
          <w:szCs w:val="20"/>
          <w:lang w:val="en-US"/>
          <w14:ligatures w14:val="none"/>
        </w:rPr>
        <w:t xml:space="preserve">. </w:t>
      </w:r>
      <w:r w:rsidR="00B76E71" w:rsidRPr="00B76E71">
        <w:rPr>
          <w:rFonts w:ascii="Arial" w:eastAsia="Times New Roman" w:hAnsi="Arial" w:cs="Arial"/>
          <w:kern w:val="0"/>
          <w:sz w:val="20"/>
          <w:szCs w:val="20"/>
          <w:lang w:val="en-US"/>
          <w14:ligatures w14:val="none"/>
        </w:rPr>
        <w:t>Bonhomie to third parties</w:t>
      </w:r>
    </w:p>
    <w:p w14:paraId="340B4C7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08078AC" w14:textId="77777777" w:rsidR="00B76E71"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310DF932" wp14:editId="001DC61D">
            <wp:extent cx="2895600" cy="2112645"/>
            <wp:effectExtent l="0" t="0" r="0" b="1905"/>
            <wp:docPr id="1750552089"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A22E5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6 presents the university community that has supported another person in some situation they face, </w:t>
      </w:r>
      <w:proofErr w:type="gramStart"/>
      <w:r w:rsidR="00B76E71" w:rsidRPr="00B76E71">
        <w:rPr>
          <w:rFonts w:ascii="Arial" w:eastAsia="Times New Roman" w:hAnsi="Arial" w:cs="Arial"/>
          <w:kern w:val="0"/>
          <w:sz w:val="20"/>
          <w:szCs w:val="20"/>
          <w:lang w:val="en-US"/>
          <w14:ligatures w14:val="none"/>
        </w:rPr>
        <w:t>taking into account</w:t>
      </w:r>
      <w:proofErr w:type="gramEnd"/>
      <w:r w:rsidR="00B76E71" w:rsidRPr="00B76E71">
        <w:rPr>
          <w:rFonts w:ascii="Arial" w:eastAsia="Times New Roman" w:hAnsi="Arial" w:cs="Arial"/>
          <w:kern w:val="0"/>
          <w:sz w:val="20"/>
          <w:szCs w:val="20"/>
          <w:lang w:val="en-US"/>
          <w14:ligatures w14:val="none"/>
        </w:rPr>
        <w:t xml:space="preserve"> past experiences.</w:t>
      </w:r>
    </w:p>
    <w:p w14:paraId="27D94B07" w14:textId="77777777" w:rsidR="00DB03ED" w:rsidRDefault="00DB03ED" w:rsidP="00DB03ED">
      <w:pPr>
        <w:keepNext/>
        <w:spacing w:after="0" w:line="240" w:lineRule="auto"/>
        <w:jc w:val="center"/>
        <w:rPr>
          <w:rFonts w:ascii="Arial" w:eastAsia="Times New Roman" w:hAnsi="Arial" w:cs="Arial"/>
          <w:kern w:val="0"/>
          <w:sz w:val="20"/>
          <w:szCs w:val="20"/>
          <w:lang w:val="en-US"/>
          <w14:ligatures w14:val="none"/>
        </w:rPr>
      </w:pPr>
    </w:p>
    <w:p w14:paraId="56200995"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21872C53" wp14:editId="59BC2492">
            <wp:extent cx="2884170" cy="1962785"/>
            <wp:effectExtent l="0" t="0" r="11430" b="18415"/>
            <wp:docPr id="213945738"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BDCB62" w14:textId="40FD453F" w:rsidR="00B76E71" w:rsidRPr="00B76E71" w:rsidRDefault="00DB03ED" w:rsidP="009E6E87">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6</w:t>
      </w:r>
      <w:r w:rsidR="009E6E87">
        <w:rPr>
          <w:rFonts w:ascii="Arial" w:eastAsia="Times New Roman" w:hAnsi="Arial" w:cs="Arial"/>
          <w:kern w:val="0"/>
          <w:sz w:val="20"/>
          <w:szCs w:val="20"/>
          <w:lang w:val="en-US"/>
          <w14:ligatures w14:val="none"/>
        </w:rPr>
        <w:t xml:space="preserve">. </w:t>
      </w:r>
      <w:r w:rsidR="00B76E71" w:rsidRPr="00B76E71">
        <w:rPr>
          <w:rFonts w:ascii="Arial" w:eastAsia="Times New Roman" w:hAnsi="Arial" w:cs="Arial"/>
          <w:kern w:val="0"/>
          <w:sz w:val="20"/>
          <w:szCs w:val="20"/>
          <w:lang w:val="en-US"/>
          <w14:ligatures w14:val="none"/>
        </w:rPr>
        <w:t>Share personal experiences</w:t>
      </w:r>
    </w:p>
    <w:p w14:paraId="42304B4A"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1C523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7 shows the university community that has made decisions based on what other people have done. This assumption shows that cognitive processes are the basis for recognizing </w:t>
      </w:r>
      <w:r w:rsidR="00B76E71" w:rsidRPr="00B76E71">
        <w:rPr>
          <w:rFonts w:ascii="Arial" w:eastAsia="Times New Roman" w:hAnsi="Arial" w:cs="Arial"/>
          <w:kern w:val="0"/>
          <w:sz w:val="20"/>
          <w:szCs w:val="20"/>
          <w:lang w:val="en-US"/>
          <w14:ligatures w14:val="none"/>
        </w:rPr>
        <w:lastRenderedPageBreak/>
        <w:t>decisions between the population. What you can do would depend on the information you have from the experiences of others.</w:t>
      </w:r>
    </w:p>
    <w:p w14:paraId="12FB927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82DD583"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6C47E5B1" wp14:editId="1145FCF0">
            <wp:extent cx="2914015" cy="1981200"/>
            <wp:effectExtent l="0" t="0" r="635" b="0"/>
            <wp:docPr id="176022878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015" cy="1981200"/>
                    </a:xfrm>
                    <a:prstGeom prst="rect">
                      <a:avLst/>
                    </a:prstGeom>
                    <a:noFill/>
                  </pic:spPr>
                </pic:pic>
              </a:graphicData>
            </a:graphic>
          </wp:inline>
        </w:drawing>
      </w:r>
    </w:p>
    <w:p w14:paraId="7164E1F9"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7</w:t>
      </w:r>
    </w:p>
    <w:p w14:paraId="463DF01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Third party information for other people's decisions</w:t>
      </w:r>
    </w:p>
    <w:p w14:paraId="512F712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414A8C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79AC7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8 presents the university community that reflects on the most important/influential decisions in their lives.</w:t>
      </w:r>
    </w:p>
    <w:p w14:paraId="17F025EC"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2EB7A6A" w14:textId="77777777" w:rsidR="00DB03ED"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450531B8" wp14:editId="73514054">
            <wp:extent cx="2922905" cy="2239010"/>
            <wp:effectExtent l="0" t="0" r="10795" b="8890"/>
            <wp:docPr id="45403512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C430BD"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8</w:t>
      </w:r>
    </w:p>
    <w:p w14:paraId="578EA2C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Practice cognitive self-reflection</w:t>
      </w:r>
    </w:p>
    <w:p w14:paraId="1608215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0F2AC3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8C49B23"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9 presents the university community that regrets the decisions it has made in its life.</w:t>
      </w:r>
    </w:p>
    <w:p w14:paraId="79803E31"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47DECBA5"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49375DDF"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p>
    <w:p w14:paraId="6C19012F"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lastRenderedPageBreak/>
        <w:drawing>
          <wp:inline distT="0" distB="0" distL="0" distR="0" wp14:anchorId="7D042DCF" wp14:editId="0F1DDCCA">
            <wp:extent cx="3018790" cy="2143125"/>
            <wp:effectExtent l="0" t="0" r="0" b="9525"/>
            <wp:docPr id="125858523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8790" cy="2143125"/>
                    </a:xfrm>
                    <a:prstGeom prst="rect">
                      <a:avLst/>
                    </a:prstGeom>
                    <a:noFill/>
                  </pic:spPr>
                </pic:pic>
              </a:graphicData>
            </a:graphic>
          </wp:inline>
        </w:drawing>
      </w:r>
    </w:p>
    <w:p w14:paraId="164F6BB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9</w:t>
      </w:r>
    </w:p>
    <w:p w14:paraId="7FE4779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Practice self-reflection and sensitivity</w:t>
      </w:r>
    </w:p>
    <w:p w14:paraId="7ACCBE75"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BB39035"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52B004E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10 presents the university community that recognizes the best way to lead life.</w:t>
      </w:r>
    </w:p>
    <w:p w14:paraId="45B95FAC"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noProof/>
          <w:kern w:val="0"/>
          <w:sz w:val="20"/>
          <w:szCs w:val="20"/>
          <w:lang w:val="en-US"/>
          <w14:ligatures w14:val="none"/>
        </w:rPr>
        <w:drawing>
          <wp:inline distT="0" distB="0" distL="0" distR="0" wp14:anchorId="44D0F056" wp14:editId="07ABF80B">
            <wp:extent cx="2780665" cy="2095500"/>
            <wp:effectExtent l="0" t="0" r="635" b="0"/>
            <wp:docPr id="14495454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0665" cy="2095500"/>
                    </a:xfrm>
                    <a:prstGeom prst="rect">
                      <a:avLst/>
                    </a:prstGeom>
                    <a:noFill/>
                  </pic:spPr>
                </pic:pic>
              </a:graphicData>
            </a:graphic>
          </wp:inline>
        </w:drawing>
      </w:r>
    </w:p>
    <w:p w14:paraId="73981B1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10</w:t>
      </w:r>
    </w:p>
    <w:p w14:paraId="2D53C70D"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Acceptable recognition</w:t>
      </w:r>
    </w:p>
    <w:p w14:paraId="0208101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A5D4DEC"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882FFE0"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11 demonstrates the percentage of the university community that has resources and resources that allow them to achieve their personal goals. In other words, 86% of those </w:t>
      </w:r>
      <w:r w:rsidR="00B76E71" w:rsidRPr="00B76E71">
        <w:rPr>
          <w:rFonts w:ascii="Arial" w:eastAsia="Times New Roman" w:hAnsi="Arial" w:cs="Arial"/>
          <w:kern w:val="0"/>
          <w:sz w:val="20"/>
          <w:szCs w:val="20"/>
          <w:lang w:val="en-US"/>
          <w14:ligatures w14:val="none"/>
        </w:rPr>
        <w:lastRenderedPageBreak/>
        <w:t>surveyed are economic dependents and, therefore, can express vulnerability and be at the same time a characteristic of dissatisfaction with personal experiences.</w:t>
      </w:r>
    </w:p>
    <w:p w14:paraId="149EF42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10876A6"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6B577C7C" wp14:editId="164F8D9F">
            <wp:extent cx="2779395" cy="2115185"/>
            <wp:effectExtent l="0" t="0" r="1905" b="18415"/>
            <wp:docPr id="587611443"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BC7DE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11</w:t>
      </w:r>
    </w:p>
    <w:p w14:paraId="56378260"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Economic dependence</w:t>
      </w:r>
    </w:p>
    <w:p w14:paraId="2A918D32"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CE2755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6BCF4C3"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12 presents a university community that has its own resources and resources that allow them to fulfill their personal goals.</w:t>
      </w:r>
    </w:p>
    <w:p w14:paraId="1A068202"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06B63DCD" w14:textId="77777777" w:rsidR="00DB03ED"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04F8C7E2" wp14:editId="5718E8A4">
            <wp:extent cx="2807970" cy="2171065"/>
            <wp:effectExtent l="0" t="0" r="11430" b="635"/>
            <wp:docPr id="1061819480"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6DA85C"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12</w:t>
      </w:r>
    </w:p>
    <w:p w14:paraId="41E07E7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Dependence on personal goals</w:t>
      </w:r>
    </w:p>
    <w:p w14:paraId="5C600859"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6B2D20DC"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3D5292A8"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13 presents a university community that feels attuned to its personal achievements.</w:t>
      </w:r>
    </w:p>
    <w:p w14:paraId="23D0FEE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3CF2BB9" w14:textId="77777777" w:rsidR="00DB03ED"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lastRenderedPageBreak/>
        <w:drawing>
          <wp:inline distT="0" distB="0" distL="0" distR="0" wp14:anchorId="71A1B69D" wp14:editId="63E79979">
            <wp:extent cx="2731770" cy="2011680"/>
            <wp:effectExtent l="0" t="0" r="11430" b="7620"/>
            <wp:docPr id="711528216"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CD293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13</w:t>
      </w:r>
    </w:p>
    <w:p w14:paraId="22B2974B"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Satisfaction with personal achievements</w:t>
      </w:r>
    </w:p>
    <w:p w14:paraId="3862E53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44FF9DE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1D59B8F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14 presents the university community that feels valued by the activities it carries out.</w:t>
      </w:r>
    </w:p>
    <w:p w14:paraId="16194328"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1D0958">
        <w:rPr>
          <w:rFonts w:ascii="Arial" w:hAnsi="Arial" w:cs="Arial"/>
          <w:noProof/>
        </w:rPr>
        <w:drawing>
          <wp:inline distT="0" distB="0" distL="0" distR="0" wp14:anchorId="46F79B49" wp14:editId="240D21AD">
            <wp:extent cx="2761615" cy="2078355"/>
            <wp:effectExtent l="0" t="0" r="635" b="17145"/>
            <wp:docPr id="346539227"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321931"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14</w:t>
      </w:r>
    </w:p>
    <w:p w14:paraId="36FD477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roofErr w:type="spellStart"/>
      <w:r w:rsidRPr="00B76E71">
        <w:rPr>
          <w:rFonts w:ascii="Arial" w:eastAsia="Times New Roman" w:hAnsi="Arial" w:cs="Arial"/>
          <w:kern w:val="0"/>
          <w:sz w:val="20"/>
          <w:szCs w:val="20"/>
          <w:lang w:val="en-US"/>
          <w14:ligatures w14:val="none"/>
        </w:rPr>
        <w:t>Autovaluation</w:t>
      </w:r>
      <w:proofErr w:type="spellEnd"/>
    </w:p>
    <w:p w14:paraId="2DAB71D4"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53AA470"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15 presents the university community that considers living in the best reality possible.</w:t>
      </w:r>
    </w:p>
    <w:p w14:paraId="55C32F0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BF037A6"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26D1C1BE" wp14:editId="58024BF8">
            <wp:extent cx="2743835" cy="2087880"/>
            <wp:effectExtent l="0" t="0" r="18415" b="7620"/>
            <wp:docPr id="313791573"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993AACF"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15</w:t>
      </w:r>
    </w:p>
    <w:p w14:paraId="010C6FF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lastRenderedPageBreak/>
        <w:t>Recognition of possible reality</w:t>
      </w:r>
    </w:p>
    <w:p w14:paraId="5530030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2DF0715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C390772"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16, presents the university community that manages to recognize the best way to conduct oneself through life to achieve their personal objectives.</w:t>
      </w:r>
    </w:p>
    <w:p w14:paraId="32DF8F62"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6B2960E7" wp14:editId="2D7768C4">
            <wp:extent cx="2818765" cy="2125980"/>
            <wp:effectExtent l="0" t="0" r="635" b="7620"/>
            <wp:docPr id="79587001"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8C7CE4"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16</w:t>
      </w:r>
    </w:p>
    <w:p w14:paraId="39A00BF3"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Positive life experience</w:t>
      </w:r>
    </w:p>
    <w:p w14:paraId="4BF729F1"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6410D30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747C6A2A"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17 presents a university community that has family life plans.</w:t>
      </w:r>
    </w:p>
    <w:p w14:paraId="6401B70E" w14:textId="77777777" w:rsidR="008352B5"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drawing>
          <wp:inline distT="0" distB="0" distL="0" distR="0" wp14:anchorId="58FB01F1" wp14:editId="3086531E">
            <wp:extent cx="2846070" cy="2169160"/>
            <wp:effectExtent l="0" t="0" r="11430" b="2540"/>
            <wp:docPr id="443078983" name="Gráfic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D8803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17</w:t>
      </w:r>
    </w:p>
    <w:p w14:paraId="7CBB4F36"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Personal goals based on family life</w:t>
      </w:r>
    </w:p>
    <w:p w14:paraId="38DAC247"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3B5BFAC8" w14:textId="77777777" w:rsidR="00B76E71" w:rsidRPr="00B76E71" w:rsidRDefault="00B76E71" w:rsidP="00DB03ED">
      <w:pPr>
        <w:keepNext/>
        <w:spacing w:after="0" w:line="240" w:lineRule="auto"/>
        <w:jc w:val="center"/>
        <w:rPr>
          <w:rFonts w:ascii="Arial" w:eastAsia="Times New Roman" w:hAnsi="Arial" w:cs="Arial"/>
          <w:kern w:val="0"/>
          <w:sz w:val="20"/>
          <w:szCs w:val="20"/>
          <w:lang w:val="en-US"/>
          <w14:ligatures w14:val="none"/>
        </w:rPr>
      </w:pPr>
    </w:p>
    <w:p w14:paraId="52B08E17" w14:textId="77777777" w:rsid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18 presents the university community that has future plans that allow it to fulfill its personal goals.</w:t>
      </w:r>
    </w:p>
    <w:p w14:paraId="5A47F47A" w14:textId="77777777" w:rsidR="00DB03ED"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p>
    <w:p w14:paraId="157ACA49" w14:textId="77777777" w:rsidR="00B76E71" w:rsidRPr="00B76E71" w:rsidRDefault="008352B5" w:rsidP="00DB03ED">
      <w:pPr>
        <w:keepNext/>
        <w:spacing w:after="0" w:line="240" w:lineRule="auto"/>
        <w:jc w:val="center"/>
        <w:rPr>
          <w:rFonts w:ascii="Arial" w:eastAsia="Times New Roman" w:hAnsi="Arial" w:cs="Arial"/>
          <w:kern w:val="0"/>
          <w:sz w:val="20"/>
          <w:szCs w:val="20"/>
          <w:lang w:val="en-US"/>
          <w14:ligatures w14:val="none"/>
        </w:rPr>
      </w:pPr>
      <w:r w:rsidRPr="008352B5">
        <w:rPr>
          <w:rFonts w:ascii="Arial" w:eastAsia="Calibri" w:hAnsi="Arial" w:cs="Arial"/>
          <w:noProof/>
          <w:kern w:val="0"/>
          <w14:ligatures w14:val="none"/>
        </w:rPr>
        <w:lastRenderedPageBreak/>
        <w:drawing>
          <wp:inline distT="0" distB="0" distL="0" distR="0" wp14:anchorId="2C2F7433" wp14:editId="33899B40">
            <wp:extent cx="2887345" cy="2199005"/>
            <wp:effectExtent l="0" t="0" r="8255" b="10795"/>
            <wp:docPr id="1690062479" name="Gráfic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AEFD75" w14:textId="77777777" w:rsidR="00B76E71" w:rsidRPr="00B76E71" w:rsidRDefault="00DB03ED" w:rsidP="00DB03ED">
      <w:pPr>
        <w:keepNext/>
        <w:spacing w:after="0" w:line="24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Fig. </w:t>
      </w:r>
      <w:r w:rsidR="00B76E71" w:rsidRPr="00B76E71">
        <w:rPr>
          <w:rFonts w:ascii="Arial" w:eastAsia="Times New Roman" w:hAnsi="Arial" w:cs="Arial"/>
          <w:kern w:val="0"/>
          <w:sz w:val="20"/>
          <w:szCs w:val="20"/>
          <w:lang w:val="en-US"/>
          <w14:ligatures w14:val="none"/>
        </w:rPr>
        <w:t xml:space="preserve"> 18</w:t>
      </w:r>
    </w:p>
    <w:p w14:paraId="2E3E280E" w14:textId="77777777" w:rsidR="00B76E71" w:rsidRDefault="00B76E71" w:rsidP="00DB03ED">
      <w:pPr>
        <w:keepNext/>
        <w:spacing w:after="0" w:line="240" w:lineRule="auto"/>
        <w:jc w:val="center"/>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Personal goal planning</w:t>
      </w:r>
    </w:p>
    <w:p w14:paraId="21935D8E" w14:textId="77777777" w:rsidR="00B76E71" w:rsidRPr="00B76E71" w:rsidRDefault="00B76E71" w:rsidP="00B76E71">
      <w:pPr>
        <w:keepNext/>
        <w:spacing w:after="0" w:line="240" w:lineRule="auto"/>
        <w:jc w:val="both"/>
        <w:rPr>
          <w:rFonts w:ascii="Arial" w:eastAsia="Times New Roman" w:hAnsi="Arial" w:cs="Arial"/>
          <w:kern w:val="0"/>
          <w:sz w:val="20"/>
          <w:szCs w:val="20"/>
          <w:lang w:val="en-US"/>
          <w14:ligatures w14:val="none"/>
        </w:rPr>
      </w:pPr>
    </w:p>
    <w:p w14:paraId="2D78DA77" w14:textId="77777777" w:rsidR="008352B5" w:rsidRDefault="00B76E71" w:rsidP="00B76E71">
      <w:pPr>
        <w:keepNext/>
        <w:spacing w:after="0" w:line="240" w:lineRule="auto"/>
        <w:jc w:val="both"/>
        <w:rPr>
          <w:rFonts w:ascii="Arial" w:eastAsia="Times New Roman" w:hAnsi="Arial" w:cs="Arial"/>
          <w:kern w:val="0"/>
          <w:sz w:val="20"/>
          <w:szCs w:val="20"/>
          <w:lang w:val="en-US"/>
          <w14:ligatures w14:val="none"/>
        </w:rPr>
      </w:pPr>
      <w:r w:rsidRPr="00B76E71">
        <w:rPr>
          <w:rFonts w:ascii="Arial" w:eastAsia="Times New Roman" w:hAnsi="Arial" w:cs="Arial"/>
          <w:kern w:val="0"/>
          <w:sz w:val="20"/>
          <w:szCs w:val="20"/>
          <w:lang w:val="en-US"/>
          <w14:ligatures w14:val="none"/>
        </w:rPr>
        <w:t>Generally speaking, the results show that the university community harmonizes processes of personal self-reflection, influences the environment and personal projection for the future as central elements of decision making and construction of individual life projects concentrated on what they perceive in others and in the individual plan.</w:t>
      </w:r>
    </w:p>
    <w:p w14:paraId="1061E4D2" w14:textId="77777777" w:rsidR="008352B5" w:rsidRDefault="008352B5" w:rsidP="00B76E71">
      <w:pPr>
        <w:keepNext/>
        <w:spacing w:after="0" w:line="240" w:lineRule="auto"/>
        <w:jc w:val="both"/>
        <w:rPr>
          <w:rFonts w:ascii="Arial" w:eastAsia="Times New Roman" w:hAnsi="Arial" w:cs="Arial"/>
          <w:kern w:val="0"/>
          <w:sz w:val="20"/>
          <w:szCs w:val="20"/>
          <w:lang w:val="en-US"/>
          <w14:ligatures w14:val="none"/>
        </w:rPr>
      </w:pPr>
    </w:p>
    <w:p w14:paraId="76AB254A" w14:textId="6F6ABD06" w:rsidR="00783FA0" w:rsidRPr="008C5BD9" w:rsidRDefault="00B95E37" w:rsidP="00B76E71">
      <w:pPr>
        <w:keepNext/>
        <w:spacing w:after="0" w:line="240" w:lineRule="auto"/>
        <w:jc w:val="both"/>
        <w:rPr>
          <w:rFonts w:ascii="Arial" w:eastAsia="Times New Roman" w:hAnsi="Arial" w:cs="Arial"/>
          <w:b/>
          <w:bCs/>
          <w:kern w:val="0"/>
          <w:sz w:val="20"/>
          <w:szCs w:val="20"/>
          <w:lang w:val="en-US"/>
          <w14:ligatures w14:val="none"/>
        </w:rPr>
      </w:pPr>
      <w:r w:rsidRPr="008C5BD9">
        <w:rPr>
          <w:rFonts w:ascii="Arial" w:eastAsia="Times New Roman" w:hAnsi="Arial" w:cs="Arial"/>
          <w:b/>
          <w:bCs/>
          <w:kern w:val="0"/>
          <w:sz w:val="20"/>
          <w:szCs w:val="20"/>
          <w:lang w:val="en-US"/>
          <w14:ligatures w14:val="none"/>
        </w:rPr>
        <w:t xml:space="preserve">4. </w:t>
      </w:r>
      <w:r w:rsidR="00783FA0" w:rsidRPr="008C5BD9">
        <w:rPr>
          <w:rFonts w:ascii="Arial" w:eastAsia="Times New Roman" w:hAnsi="Arial" w:cs="Arial"/>
          <w:b/>
          <w:bCs/>
          <w:kern w:val="0"/>
          <w:sz w:val="20"/>
          <w:szCs w:val="20"/>
          <w:lang w:val="en-US"/>
          <w14:ligatures w14:val="none"/>
        </w:rPr>
        <w:t xml:space="preserve">DISCUSSION </w:t>
      </w:r>
    </w:p>
    <w:p w14:paraId="6F9C55D5" w14:textId="77777777" w:rsidR="00B95E37" w:rsidRPr="008C5BD9" w:rsidRDefault="00B95E37" w:rsidP="00783FA0">
      <w:pPr>
        <w:keepNext/>
        <w:spacing w:after="0" w:line="240" w:lineRule="auto"/>
        <w:jc w:val="both"/>
        <w:rPr>
          <w:rFonts w:ascii="Arial" w:eastAsia="Times New Roman" w:hAnsi="Arial" w:cs="Arial"/>
          <w:kern w:val="0"/>
          <w:sz w:val="20"/>
          <w:szCs w:val="20"/>
          <w:lang w:val="en-US"/>
          <w14:ligatures w14:val="none"/>
        </w:rPr>
      </w:pPr>
    </w:p>
    <w:p w14:paraId="4040C643"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r w:rsidRPr="00C635E2">
        <w:rPr>
          <w:rFonts w:ascii="Arial" w:eastAsia="Times New Roman" w:hAnsi="Arial" w:cs="Arial"/>
          <w:kern w:val="0"/>
          <w:sz w:val="20"/>
          <w:szCs w:val="20"/>
          <w:lang w:val="en-US"/>
          <w14:ligatures w14:val="none"/>
        </w:rPr>
        <w:t>Expectations about the future are an important topic in current social research. They help us understand how public tools and economic conditions affect the opportunities and challenges for those who participate in the market.</w:t>
      </w:r>
    </w:p>
    <w:p w14:paraId="1002CA64"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p>
    <w:p w14:paraId="561B0DD5"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r w:rsidRPr="00C635E2">
        <w:rPr>
          <w:rFonts w:ascii="Arial" w:eastAsia="Times New Roman" w:hAnsi="Arial" w:cs="Arial"/>
          <w:kern w:val="0"/>
          <w:sz w:val="20"/>
          <w:szCs w:val="20"/>
          <w:lang w:val="en-US"/>
          <w14:ligatures w14:val="none"/>
        </w:rPr>
        <w:t xml:space="preserve">Considering the social roles and responsibilities to which current generations are subject allows us to glimpse their orientation toward the emerging future. In this case, milestones such as self-sufficiency and the ability to provide for and care for a family have been crucial indicators of adulthood in contexts such as the United States (Arnett, 2004; </w:t>
      </w:r>
      <w:proofErr w:type="spellStart"/>
      <w:r w:rsidRPr="00C635E2">
        <w:rPr>
          <w:rFonts w:ascii="Arial" w:eastAsia="Times New Roman" w:hAnsi="Arial" w:cs="Arial"/>
          <w:kern w:val="0"/>
          <w:sz w:val="20"/>
          <w:szCs w:val="20"/>
          <w:lang w:val="en-US"/>
          <w14:ligatures w14:val="none"/>
        </w:rPr>
        <w:t>Culatta</w:t>
      </w:r>
      <w:proofErr w:type="spellEnd"/>
      <w:r w:rsidRPr="00C635E2">
        <w:rPr>
          <w:rFonts w:ascii="Arial" w:eastAsia="Times New Roman" w:hAnsi="Arial" w:cs="Arial"/>
          <w:kern w:val="0"/>
          <w:sz w:val="20"/>
          <w:szCs w:val="20"/>
          <w:lang w:val="en-US"/>
          <w14:ligatures w14:val="none"/>
        </w:rPr>
        <w:t xml:space="preserve"> and Clay-Warner, 2021; Lowe et al., 2013). However, today's social changes, due to market pressures—such as those in the labor market—have influenced important decisions made by young people, such as postponing marriage and pursuing higher education. This has led to a more flexible transition to adulthood today (</w:t>
      </w:r>
      <w:proofErr w:type="spellStart"/>
      <w:r w:rsidRPr="00C635E2">
        <w:rPr>
          <w:rFonts w:ascii="Arial" w:eastAsia="Times New Roman" w:hAnsi="Arial" w:cs="Arial"/>
          <w:kern w:val="0"/>
          <w:sz w:val="20"/>
          <w:szCs w:val="20"/>
          <w:lang w:val="en-US"/>
          <w14:ligatures w14:val="none"/>
        </w:rPr>
        <w:t>Cepa</w:t>
      </w:r>
      <w:proofErr w:type="spellEnd"/>
      <w:r w:rsidRPr="00C635E2">
        <w:rPr>
          <w:rFonts w:ascii="Arial" w:eastAsia="Times New Roman" w:hAnsi="Arial" w:cs="Arial"/>
          <w:kern w:val="0"/>
          <w:sz w:val="20"/>
          <w:szCs w:val="20"/>
          <w:lang w:val="en-US"/>
          <w14:ligatures w14:val="none"/>
        </w:rPr>
        <w:t xml:space="preserve"> and Furstenberg, 2021).</w:t>
      </w:r>
    </w:p>
    <w:p w14:paraId="66EE845C"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p>
    <w:p w14:paraId="6758B169"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r w:rsidRPr="00C635E2">
        <w:rPr>
          <w:rFonts w:ascii="Arial" w:eastAsia="Times New Roman" w:hAnsi="Arial" w:cs="Arial"/>
          <w:kern w:val="0"/>
          <w:sz w:val="20"/>
          <w:szCs w:val="20"/>
          <w:lang w:val="en-US"/>
          <w14:ligatures w14:val="none"/>
        </w:rPr>
        <w:t>Indicators of more flexible life processes, which depend on economic opportunities, have impacted the transition to independence for some young people and affected their self-esteem, since this is typically achieved in late adulthood (</w:t>
      </w:r>
      <w:proofErr w:type="spellStart"/>
      <w:r w:rsidRPr="00C635E2">
        <w:rPr>
          <w:rFonts w:ascii="Arial" w:eastAsia="Times New Roman" w:hAnsi="Arial" w:cs="Arial"/>
          <w:kern w:val="0"/>
          <w:sz w:val="20"/>
          <w:szCs w:val="20"/>
          <w:lang w:val="en-US"/>
          <w14:ligatures w14:val="none"/>
        </w:rPr>
        <w:t>Schoon</w:t>
      </w:r>
      <w:proofErr w:type="spellEnd"/>
      <w:r w:rsidRPr="00C635E2">
        <w:rPr>
          <w:rFonts w:ascii="Arial" w:eastAsia="Times New Roman" w:hAnsi="Arial" w:cs="Arial"/>
          <w:kern w:val="0"/>
          <w:sz w:val="20"/>
          <w:szCs w:val="20"/>
          <w:lang w:val="en-US"/>
          <w14:ligatures w14:val="none"/>
        </w:rPr>
        <w:t xml:space="preserve"> &amp; Mortimer, 2017; Sharon, 2016). These disruptions can ultimately influence how a young person views their future, diminishing optimism about achieving goals and confidence in their ability to control what happens, such as achieving financial independence as an adult (</w:t>
      </w:r>
      <w:proofErr w:type="spellStart"/>
      <w:r w:rsidRPr="00C635E2">
        <w:rPr>
          <w:rFonts w:ascii="Arial" w:eastAsia="Times New Roman" w:hAnsi="Arial" w:cs="Arial"/>
          <w:kern w:val="0"/>
          <w:sz w:val="20"/>
          <w:szCs w:val="20"/>
          <w:lang w:val="en-US"/>
          <w14:ligatures w14:val="none"/>
        </w:rPr>
        <w:t>Settersten</w:t>
      </w:r>
      <w:proofErr w:type="spellEnd"/>
      <w:r w:rsidRPr="00C635E2">
        <w:rPr>
          <w:rFonts w:ascii="Arial" w:eastAsia="Times New Roman" w:hAnsi="Arial" w:cs="Arial"/>
          <w:kern w:val="0"/>
          <w:sz w:val="20"/>
          <w:szCs w:val="20"/>
          <w:lang w:val="en-US"/>
          <w14:ligatures w14:val="none"/>
        </w:rPr>
        <w:t xml:space="preserve"> et al., 2020).</w:t>
      </w:r>
    </w:p>
    <w:p w14:paraId="509AE9E0"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p>
    <w:p w14:paraId="620B2352"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r w:rsidRPr="00C635E2">
        <w:rPr>
          <w:rFonts w:ascii="Arial" w:eastAsia="Times New Roman" w:hAnsi="Arial" w:cs="Arial"/>
          <w:kern w:val="0"/>
          <w:sz w:val="20"/>
          <w:szCs w:val="20"/>
          <w:lang w:val="en-US"/>
          <w14:ligatures w14:val="none"/>
        </w:rPr>
        <w:t>Understanding the different social experiences among demographic groups is fundamental for developing instrumental policies and making decisions oriented toward the future of young adults (Rubin et al., 2024). Likewise, perceived outcomes are crucial for evaluating the impact of processes related to access to labor market opportunities and the overall economic context.</w:t>
      </w:r>
    </w:p>
    <w:p w14:paraId="6056DEAC"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p>
    <w:p w14:paraId="7FA95D2C" w14:textId="03F71CD5"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r w:rsidRPr="00C635E2">
        <w:rPr>
          <w:rFonts w:ascii="Arial" w:eastAsia="Times New Roman" w:hAnsi="Arial" w:cs="Arial"/>
          <w:kern w:val="0"/>
          <w:sz w:val="20"/>
          <w:szCs w:val="20"/>
          <w:lang w:val="en-US"/>
          <w14:ligatures w14:val="none"/>
        </w:rPr>
        <w:t xml:space="preserve">The perceived opportunity among social groups that promoted self-employment as a source of work and productivity translated into more favorable opportunities for all, identified in the present as a path toward better conditions for the future. However, research showed that </w:t>
      </w:r>
      <w:r w:rsidRPr="00C635E2">
        <w:rPr>
          <w:rFonts w:ascii="Arial" w:eastAsia="Times New Roman" w:hAnsi="Arial" w:cs="Arial"/>
          <w:kern w:val="0"/>
          <w:sz w:val="20"/>
          <w:szCs w:val="20"/>
          <w:lang w:val="en-US"/>
          <w14:ligatures w14:val="none"/>
        </w:rPr>
        <w:lastRenderedPageBreak/>
        <w:t>economic dependence can help maintain better life expectations in the future. This contradicts arguments that highlighted the importance of economic independence as a basis for future development, personal growth, and self-sufficiency. The opposite seems to occur: economic limitations—which could be considered the cause of a greater need for achievement and self-sufficiency—can generate deeper pessimism among independent young people and reduce their confidence in the future.</w:t>
      </w:r>
    </w:p>
    <w:p w14:paraId="1F686862" w14:textId="77777777" w:rsidR="00C635E2" w:rsidRPr="00C635E2" w:rsidRDefault="00C635E2" w:rsidP="00C635E2">
      <w:pPr>
        <w:keepNext/>
        <w:spacing w:after="0" w:line="240" w:lineRule="auto"/>
        <w:jc w:val="both"/>
        <w:rPr>
          <w:rFonts w:ascii="Arial" w:eastAsia="Times New Roman" w:hAnsi="Arial" w:cs="Arial"/>
          <w:kern w:val="0"/>
          <w:sz w:val="20"/>
          <w:szCs w:val="20"/>
          <w:lang w:val="en-US"/>
          <w14:ligatures w14:val="none"/>
        </w:rPr>
      </w:pPr>
    </w:p>
    <w:p w14:paraId="7C6077E0" w14:textId="037933C6" w:rsidR="00E62BD1" w:rsidRDefault="00C635E2" w:rsidP="00C635E2">
      <w:pPr>
        <w:keepNext/>
        <w:spacing w:after="0" w:line="240" w:lineRule="auto"/>
        <w:jc w:val="both"/>
        <w:rPr>
          <w:rFonts w:ascii="Arial" w:eastAsia="Times New Roman" w:hAnsi="Arial" w:cs="Arial"/>
          <w:kern w:val="0"/>
          <w:sz w:val="20"/>
          <w:szCs w:val="20"/>
          <w:lang w:val="en-US"/>
          <w14:ligatures w14:val="none"/>
        </w:rPr>
      </w:pPr>
      <w:r w:rsidRPr="00C635E2">
        <w:rPr>
          <w:rFonts w:ascii="Arial" w:eastAsia="Times New Roman" w:hAnsi="Arial" w:cs="Arial"/>
          <w:kern w:val="0"/>
          <w:sz w:val="20"/>
          <w:szCs w:val="20"/>
          <w:lang w:val="en-US"/>
          <w14:ligatures w14:val="none"/>
        </w:rPr>
        <w:t>In that case, the perception we obtain depends on how we understand current reality, which includes both objective and subjective factors. This influences our future perceptions and constructs. Possessing the resources to be independent or self-sufficient contributes to a pessimistic perception of one's personal context. Meanwhile, having or not having shelter or economic protection from the family is a reference point for the construction of subjective realities, coinciding with the contributions of Askari, M. Y. et al. (2024).</w:t>
      </w:r>
    </w:p>
    <w:p w14:paraId="04991EE6" w14:textId="77777777" w:rsidR="00C635E2" w:rsidRPr="008542B4" w:rsidRDefault="00C635E2" w:rsidP="00C635E2">
      <w:pPr>
        <w:keepNext/>
        <w:spacing w:after="0" w:line="240" w:lineRule="auto"/>
        <w:jc w:val="both"/>
        <w:rPr>
          <w:rFonts w:ascii="Arial" w:eastAsia="Times New Roman" w:hAnsi="Arial" w:cs="Arial"/>
          <w:kern w:val="0"/>
          <w:sz w:val="20"/>
          <w:szCs w:val="20"/>
          <w:lang w:val="en-US"/>
          <w14:ligatures w14:val="none"/>
        </w:rPr>
      </w:pPr>
    </w:p>
    <w:p w14:paraId="1693FABF" w14:textId="35558FF5" w:rsidR="00A64327" w:rsidRPr="008C5BD9" w:rsidRDefault="00B95E37" w:rsidP="00B76E71">
      <w:pPr>
        <w:keepNext/>
        <w:spacing w:after="0" w:line="240" w:lineRule="auto"/>
        <w:jc w:val="both"/>
        <w:rPr>
          <w:rFonts w:ascii="Arial" w:eastAsia="Times New Roman" w:hAnsi="Arial" w:cs="Arial"/>
          <w:b/>
          <w:caps/>
          <w:kern w:val="0"/>
          <w:szCs w:val="20"/>
          <w:lang w:val="en-US"/>
          <w14:ligatures w14:val="none"/>
        </w:rPr>
      </w:pPr>
      <w:r w:rsidRPr="008C5BD9">
        <w:rPr>
          <w:rFonts w:ascii="Arial" w:eastAsia="Times New Roman" w:hAnsi="Arial" w:cs="Arial"/>
          <w:b/>
          <w:caps/>
          <w:kern w:val="0"/>
          <w:szCs w:val="20"/>
          <w:lang w:val="en-US"/>
          <w14:ligatures w14:val="none"/>
        </w:rPr>
        <w:t>5</w:t>
      </w:r>
      <w:r w:rsidR="00A64327" w:rsidRPr="008C5BD9">
        <w:rPr>
          <w:rFonts w:ascii="Arial" w:eastAsia="Times New Roman" w:hAnsi="Arial" w:cs="Arial"/>
          <w:b/>
          <w:caps/>
          <w:kern w:val="0"/>
          <w:szCs w:val="20"/>
          <w:lang w:val="en-US"/>
          <w14:ligatures w14:val="none"/>
        </w:rPr>
        <w:t>. Conclusion</w:t>
      </w:r>
    </w:p>
    <w:p w14:paraId="46073C8A" w14:textId="77777777" w:rsidR="00A64327" w:rsidRPr="008C5BD9" w:rsidRDefault="00A64327" w:rsidP="00A64327">
      <w:pPr>
        <w:keepNext/>
        <w:spacing w:after="0" w:line="240" w:lineRule="auto"/>
        <w:jc w:val="both"/>
        <w:rPr>
          <w:rFonts w:ascii="Arial" w:eastAsia="Times New Roman" w:hAnsi="Arial" w:cs="Arial"/>
          <w:b/>
          <w:caps/>
          <w:kern w:val="0"/>
          <w:szCs w:val="20"/>
          <w:lang w:val="en-US"/>
          <w14:ligatures w14:val="none"/>
        </w:rPr>
      </w:pPr>
    </w:p>
    <w:p w14:paraId="1EAA5B18"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 xml:space="preserve">A topic of interest especially for the economy is data analysis or information centered on how economic agents behave, as in this case, </w:t>
      </w:r>
      <w:bookmarkStart w:id="1" w:name="_GoBack"/>
      <w:r w:rsidRPr="008352B5">
        <w:rPr>
          <w:rFonts w:ascii="Arial" w:eastAsia="Times New Roman" w:hAnsi="Arial" w:cs="Arial"/>
          <w:kern w:val="0"/>
          <w:sz w:val="20"/>
          <w:szCs w:val="20"/>
          <w:lang w:val="en-US"/>
          <w14:ligatures w14:val="none"/>
        </w:rPr>
        <w:t>consumer</w:t>
      </w:r>
      <w:bookmarkEnd w:id="1"/>
      <w:r w:rsidRPr="008352B5">
        <w:rPr>
          <w:rFonts w:ascii="Arial" w:eastAsia="Times New Roman" w:hAnsi="Arial" w:cs="Arial"/>
          <w:kern w:val="0"/>
          <w:sz w:val="20"/>
          <w:szCs w:val="20"/>
          <w:lang w:val="en-US"/>
          <w14:ligatures w14:val="none"/>
        </w:rPr>
        <w:t>s. Conceptualized as that group that acts as end user to satisfy needs and desires through consumption experiences.</w:t>
      </w:r>
    </w:p>
    <w:p w14:paraId="08755CD9"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Through a research project and a chain of behavior based on perceptions, we seek to directly contribute to the understanding of factors that are associated especially with the way in which the economic reality of people is interpreted.</w:t>
      </w:r>
    </w:p>
    <w:p w14:paraId="19779BFE"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The objective of this research project was to analyze the thinking of university students, faced with the feeling of possession of resources that, characterized by contexts of economic inequality, allows us to recognize the level of acceptance in life, showing that material dependencies are related to the generation of expectations in life.</w:t>
      </w:r>
    </w:p>
    <w:p w14:paraId="1CA82ABB" w14:textId="77777777" w:rsidR="008352B5" w:rsidRPr="008352B5"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Promoting economic independence can be a motivator for consumer experiences through economic freedom and the conception of the free market. However, the experience of this exercise can lead to conscious thoughts and a better life expectancy in terms of the dependence that this represents.</w:t>
      </w:r>
    </w:p>
    <w:p w14:paraId="7A7BF809" w14:textId="0EF930DC" w:rsidR="00A64327" w:rsidRDefault="008352B5" w:rsidP="008352B5">
      <w:pPr>
        <w:spacing w:after="0" w:line="240" w:lineRule="auto"/>
        <w:jc w:val="both"/>
        <w:rPr>
          <w:rFonts w:ascii="Arial" w:eastAsia="Times New Roman" w:hAnsi="Arial" w:cs="Arial"/>
          <w:kern w:val="0"/>
          <w:sz w:val="20"/>
          <w:szCs w:val="20"/>
          <w:lang w:val="en-US"/>
          <w14:ligatures w14:val="none"/>
        </w:rPr>
      </w:pPr>
      <w:r w:rsidRPr="008352B5">
        <w:rPr>
          <w:rFonts w:ascii="Arial" w:eastAsia="Times New Roman" w:hAnsi="Arial" w:cs="Arial"/>
          <w:kern w:val="0"/>
          <w:sz w:val="20"/>
          <w:szCs w:val="20"/>
          <w:lang w:val="en-US"/>
          <w14:ligatures w14:val="none"/>
        </w:rPr>
        <w:t>It will correspond to future exercises of perception between new generations to highlight the importance of independence or economic dependence and with it, to favor processes that represent opportunities for development and better hopes in the future.</w:t>
      </w:r>
    </w:p>
    <w:p w14:paraId="08D425AB" w14:textId="77777777" w:rsidR="009E6E87" w:rsidRDefault="009E6E87" w:rsidP="008352B5">
      <w:pPr>
        <w:spacing w:after="0" w:line="240" w:lineRule="auto"/>
        <w:jc w:val="both"/>
        <w:rPr>
          <w:rFonts w:ascii="Arial" w:eastAsia="Times New Roman" w:hAnsi="Arial" w:cs="Arial"/>
          <w:kern w:val="0"/>
          <w:sz w:val="20"/>
          <w:szCs w:val="20"/>
          <w:lang w:val="en-US"/>
          <w14:ligatures w14:val="none"/>
        </w:rPr>
      </w:pPr>
    </w:p>
    <w:p w14:paraId="5F88407F" w14:textId="77777777" w:rsidR="009E6E87" w:rsidRPr="009E6E87" w:rsidRDefault="009E6E87" w:rsidP="009E6E87">
      <w:pPr>
        <w:spacing w:after="0" w:line="240" w:lineRule="auto"/>
        <w:jc w:val="both"/>
        <w:rPr>
          <w:rFonts w:ascii="Arial" w:eastAsia="Times New Roman" w:hAnsi="Arial" w:cs="Arial"/>
          <w:b/>
          <w:kern w:val="0"/>
          <w:sz w:val="20"/>
          <w:szCs w:val="20"/>
          <w:lang w:val="en-US"/>
          <w14:ligatures w14:val="none"/>
        </w:rPr>
      </w:pPr>
      <w:r w:rsidRPr="009E6E87">
        <w:rPr>
          <w:rFonts w:ascii="Arial" w:eastAsia="Times New Roman" w:hAnsi="Arial" w:cs="Arial"/>
          <w:b/>
          <w:kern w:val="0"/>
          <w:sz w:val="20"/>
          <w:szCs w:val="20"/>
          <w:lang w:val="en-US"/>
          <w14:ligatures w14:val="none"/>
        </w:rPr>
        <w:t xml:space="preserve">Consent </w:t>
      </w:r>
    </w:p>
    <w:p w14:paraId="6888AC65" w14:textId="091F407A" w:rsidR="009E6E87" w:rsidRDefault="009E6E87" w:rsidP="009E6E87">
      <w:pPr>
        <w:spacing w:after="0" w:line="240" w:lineRule="auto"/>
        <w:jc w:val="both"/>
        <w:rPr>
          <w:rFonts w:ascii="Arial" w:eastAsia="Times New Roman" w:hAnsi="Arial" w:cs="Arial"/>
          <w:kern w:val="0"/>
          <w:sz w:val="20"/>
          <w:szCs w:val="20"/>
          <w:lang w:val="en-US"/>
          <w14:ligatures w14:val="none"/>
        </w:rPr>
      </w:pPr>
      <w:r w:rsidRPr="009E6E87">
        <w:rPr>
          <w:rFonts w:ascii="Arial" w:eastAsia="Times New Roman" w:hAnsi="Arial" w:cs="Arial"/>
          <w:kern w:val="0"/>
          <w:sz w:val="20"/>
          <w:szCs w:val="20"/>
          <w:lang w:val="en-US"/>
          <w14:ligatures w14:val="none"/>
        </w:rPr>
        <w:t>As per international standards or university standards, respondents’ written consent has been collected and preserved by the author(s).</w:t>
      </w:r>
    </w:p>
    <w:p w14:paraId="00E762A4"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47BFDA4F" w14:textId="77777777" w:rsidR="00670FB0" w:rsidRPr="00670FB0" w:rsidRDefault="00670FB0" w:rsidP="008352B5">
      <w:pPr>
        <w:spacing w:after="0" w:line="240" w:lineRule="auto"/>
        <w:jc w:val="both"/>
        <w:rPr>
          <w:rFonts w:ascii="Arial" w:eastAsia="Times New Roman" w:hAnsi="Arial" w:cs="Arial"/>
          <w:b/>
          <w:caps/>
          <w:kern w:val="0"/>
          <w:szCs w:val="20"/>
          <w:lang w:val="en-US"/>
          <w14:ligatures w14:val="none"/>
        </w:rPr>
      </w:pPr>
      <w:r w:rsidRPr="00670FB0">
        <w:rPr>
          <w:rFonts w:ascii="Arial" w:eastAsia="Times New Roman" w:hAnsi="Arial" w:cs="Arial"/>
          <w:b/>
          <w:caps/>
          <w:kern w:val="0"/>
          <w:szCs w:val="20"/>
          <w:lang w:val="en-US"/>
          <w14:ligatures w14:val="none"/>
        </w:rPr>
        <w:t>Disclaimer (Artificial Intelligence)</w:t>
      </w:r>
    </w:p>
    <w:p w14:paraId="2626F366"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3F54682C"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r w:rsidRPr="00670FB0">
        <w:rPr>
          <w:rFonts w:ascii="Arial" w:eastAsia="Times New Roman" w:hAnsi="Arial" w:cs="Arial"/>
          <w:kern w:val="0"/>
          <w:sz w:val="20"/>
          <w:szCs w:val="20"/>
          <w:lang w:val="en-US"/>
          <w14:ligatures w14:val="none"/>
        </w:rPr>
        <w:t xml:space="preserve">Authors </w:t>
      </w:r>
      <w:proofErr w:type="gramStart"/>
      <w:r w:rsidRPr="00670FB0">
        <w:rPr>
          <w:rFonts w:ascii="Arial" w:eastAsia="Times New Roman" w:hAnsi="Arial" w:cs="Arial"/>
          <w:kern w:val="0"/>
          <w:sz w:val="20"/>
          <w:szCs w:val="20"/>
          <w:lang w:val="en-US"/>
          <w14:ligatures w14:val="none"/>
        </w:rPr>
        <w:t>hereby  declare</w:t>
      </w:r>
      <w:proofErr w:type="gramEnd"/>
      <w:r w:rsidRPr="00670FB0">
        <w:rPr>
          <w:rFonts w:ascii="Arial" w:eastAsia="Times New Roman" w:hAnsi="Arial" w:cs="Arial"/>
          <w:kern w:val="0"/>
          <w:sz w:val="20"/>
          <w:szCs w:val="20"/>
          <w:lang w:val="en-US"/>
          <w14:ligatures w14:val="none"/>
        </w:rPr>
        <w:t xml:space="preserve">  that  NO  generative  AI technologies  such  as  Large  Language  Models (</w:t>
      </w:r>
      <w:proofErr w:type="spellStart"/>
      <w:r w:rsidRPr="00670FB0">
        <w:rPr>
          <w:rFonts w:ascii="Arial" w:eastAsia="Times New Roman" w:hAnsi="Arial" w:cs="Arial"/>
          <w:kern w:val="0"/>
          <w:sz w:val="20"/>
          <w:szCs w:val="20"/>
          <w:lang w:val="en-US"/>
          <w14:ligatures w14:val="none"/>
        </w:rPr>
        <w:t>ChatGPT</w:t>
      </w:r>
      <w:proofErr w:type="spellEnd"/>
      <w:r w:rsidRPr="00670FB0">
        <w:rPr>
          <w:rFonts w:ascii="Arial" w:eastAsia="Times New Roman" w:hAnsi="Arial" w:cs="Arial"/>
          <w:kern w:val="0"/>
          <w:sz w:val="20"/>
          <w:szCs w:val="20"/>
          <w:lang w:val="en-US"/>
          <w14:ligatures w14:val="none"/>
        </w:rPr>
        <w:t xml:space="preserve">,   COPILOT,   etc.)   and   text-to-image generators have been used during </w:t>
      </w:r>
      <w:proofErr w:type="gramStart"/>
      <w:r w:rsidRPr="00670FB0">
        <w:rPr>
          <w:rFonts w:ascii="Arial" w:eastAsia="Times New Roman" w:hAnsi="Arial" w:cs="Arial"/>
          <w:kern w:val="0"/>
          <w:sz w:val="20"/>
          <w:szCs w:val="20"/>
          <w:lang w:val="en-US"/>
          <w14:ligatures w14:val="none"/>
        </w:rPr>
        <w:t>the  writing</w:t>
      </w:r>
      <w:proofErr w:type="gramEnd"/>
      <w:r w:rsidRPr="00670FB0">
        <w:rPr>
          <w:rFonts w:ascii="Arial" w:eastAsia="Times New Roman" w:hAnsi="Arial" w:cs="Arial"/>
          <w:kern w:val="0"/>
          <w:sz w:val="20"/>
          <w:szCs w:val="20"/>
          <w:lang w:val="en-US"/>
          <w14:ligatures w14:val="none"/>
        </w:rPr>
        <w:t xml:space="preserve"> or editing of this manuscript. </w:t>
      </w:r>
    </w:p>
    <w:p w14:paraId="242D2AD7" w14:textId="77777777" w:rsidR="00670FB0" w:rsidRDefault="00670FB0" w:rsidP="008352B5">
      <w:pPr>
        <w:spacing w:after="0" w:line="240" w:lineRule="auto"/>
        <w:jc w:val="both"/>
        <w:rPr>
          <w:rFonts w:ascii="Arial" w:eastAsia="Times New Roman" w:hAnsi="Arial" w:cs="Arial"/>
          <w:kern w:val="0"/>
          <w:sz w:val="20"/>
          <w:szCs w:val="20"/>
          <w:lang w:val="en-US"/>
          <w14:ligatures w14:val="none"/>
        </w:rPr>
      </w:pPr>
    </w:p>
    <w:p w14:paraId="19BF0709" w14:textId="77777777" w:rsidR="008352B5" w:rsidRPr="00A64327" w:rsidRDefault="008352B5" w:rsidP="008352B5">
      <w:pPr>
        <w:spacing w:after="0" w:line="240" w:lineRule="auto"/>
        <w:jc w:val="both"/>
        <w:rPr>
          <w:rFonts w:ascii="Arial" w:eastAsia="Times New Roman" w:hAnsi="Arial" w:cs="Arial"/>
          <w:kern w:val="0"/>
          <w:sz w:val="20"/>
          <w:szCs w:val="20"/>
          <w:lang w:val="en-US"/>
          <w14:ligatures w14:val="none"/>
        </w:rPr>
      </w:pPr>
    </w:p>
    <w:p w14:paraId="507D95F2" w14:textId="77777777" w:rsidR="00670FB0" w:rsidRDefault="00A64327" w:rsidP="00A64327">
      <w:pPr>
        <w:keepNext/>
        <w:spacing w:after="0" w:line="240" w:lineRule="auto"/>
        <w:jc w:val="both"/>
        <w:rPr>
          <w:rFonts w:ascii="Arial" w:eastAsia="Times New Roman" w:hAnsi="Arial" w:cs="Arial"/>
          <w:b/>
          <w:caps/>
          <w:kern w:val="0"/>
          <w:szCs w:val="20"/>
          <w:lang w:val="en-US"/>
          <w14:ligatures w14:val="none"/>
        </w:rPr>
      </w:pPr>
      <w:r w:rsidRPr="00A64327">
        <w:rPr>
          <w:rFonts w:ascii="Arial" w:eastAsia="Times New Roman" w:hAnsi="Arial" w:cs="Arial"/>
          <w:b/>
          <w:caps/>
          <w:kern w:val="0"/>
          <w:szCs w:val="20"/>
          <w:lang w:val="en-US"/>
          <w14:ligatures w14:val="none"/>
        </w:rPr>
        <w:t>References</w:t>
      </w:r>
    </w:p>
    <w:p w14:paraId="621FED6C" w14:textId="77777777" w:rsidR="00DA07D4" w:rsidRDefault="00DA07D4" w:rsidP="00A64327">
      <w:pPr>
        <w:keepNext/>
        <w:spacing w:after="0" w:line="240" w:lineRule="auto"/>
        <w:jc w:val="both"/>
        <w:rPr>
          <w:rFonts w:ascii="Arial" w:eastAsia="Times New Roman" w:hAnsi="Arial" w:cs="Arial"/>
          <w:b/>
          <w:caps/>
          <w:kern w:val="0"/>
          <w:szCs w:val="20"/>
          <w:lang w:val="en-US"/>
          <w14:ligatures w14:val="none"/>
        </w:rPr>
      </w:pPr>
    </w:p>
    <w:p w14:paraId="6EEF2CBB" w14:textId="426D357F" w:rsidR="00DA07D4" w:rsidRDefault="00DA07D4" w:rsidP="00DA07D4">
      <w:pPr>
        <w:jc w:val="both"/>
        <w:rPr>
          <w:rFonts w:ascii="Helvetica" w:eastAsia="Times New Roman" w:hAnsi="Helvetica" w:cs="Times New Roman"/>
          <w:kern w:val="0"/>
          <w:sz w:val="20"/>
          <w:szCs w:val="20"/>
          <w:lang w:val="en-US"/>
          <w14:ligatures w14:val="none"/>
        </w:rPr>
      </w:pPr>
      <w:proofErr w:type="spellStart"/>
      <w:r w:rsidRPr="00DA07D4">
        <w:rPr>
          <w:rFonts w:ascii="Helvetica" w:eastAsia="Times New Roman" w:hAnsi="Helvetica" w:cs="Times New Roman"/>
          <w:kern w:val="0"/>
          <w:sz w:val="20"/>
          <w:szCs w:val="20"/>
          <w:lang w:val="en-US"/>
          <w14:ligatures w14:val="none"/>
        </w:rPr>
        <w:t>Arizmendi</w:t>
      </w:r>
      <w:proofErr w:type="spellEnd"/>
      <w:r w:rsidRPr="00DA07D4">
        <w:rPr>
          <w:rFonts w:ascii="Helvetica" w:eastAsia="Times New Roman" w:hAnsi="Helvetica" w:cs="Times New Roman"/>
          <w:kern w:val="0"/>
          <w:sz w:val="20"/>
          <w:szCs w:val="20"/>
          <w:lang w:val="en-US"/>
          <w14:ligatures w14:val="none"/>
        </w:rPr>
        <w:t xml:space="preserve">, L. F. (2026). </w:t>
      </w:r>
      <w:r w:rsidR="00C635E2">
        <w:rPr>
          <w:rFonts w:ascii="Helvetica" w:eastAsia="Times New Roman" w:hAnsi="Helvetica" w:cs="Times New Roman"/>
          <w:kern w:val="0"/>
          <w:sz w:val="20"/>
          <w:szCs w:val="20"/>
          <w:lang w:val="en-US"/>
          <w14:ligatures w14:val="none"/>
        </w:rPr>
        <w:t>“</w:t>
      </w:r>
      <w:r w:rsidRPr="00DA07D4">
        <w:rPr>
          <w:rFonts w:ascii="Helvetica" w:eastAsia="Times New Roman" w:hAnsi="Helvetica" w:cs="Times New Roman"/>
          <w:kern w:val="0"/>
          <w:sz w:val="20"/>
          <w:szCs w:val="20"/>
          <w:lang w:val="en-US"/>
          <w14:ligatures w14:val="none"/>
        </w:rPr>
        <w:t>Behavioral Economics: Integrating Psychology and Mathematics into Economic Analysis</w:t>
      </w:r>
      <w:r w:rsidR="00C635E2">
        <w:rPr>
          <w:rFonts w:ascii="Helvetica" w:eastAsia="Times New Roman" w:hAnsi="Helvetica" w:cs="Times New Roman"/>
          <w:kern w:val="0"/>
          <w:sz w:val="20"/>
          <w:szCs w:val="20"/>
          <w:lang w:val="en-US"/>
          <w14:ligatures w14:val="none"/>
        </w:rPr>
        <w:t>”</w:t>
      </w:r>
      <w:r w:rsidRPr="00DA07D4">
        <w:rPr>
          <w:rFonts w:ascii="Helvetica" w:eastAsia="Times New Roman" w:hAnsi="Helvetica" w:cs="Times New Roman"/>
          <w:kern w:val="0"/>
          <w:sz w:val="20"/>
          <w:szCs w:val="20"/>
          <w:lang w:val="en-US"/>
          <w14:ligatures w14:val="none"/>
        </w:rPr>
        <w:t>. Available at SSRN 6073094.</w:t>
      </w:r>
    </w:p>
    <w:p w14:paraId="654DF7E5" w14:textId="219F14D6" w:rsidR="00DA07D4" w:rsidRPr="00DA07D4" w:rsidRDefault="00DA07D4" w:rsidP="00DA07D4">
      <w:pPr>
        <w:jc w:val="both"/>
        <w:rPr>
          <w:rFonts w:ascii="Helvetica" w:eastAsia="Times New Roman" w:hAnsi="Helvetica" w:cs="Times New Roman"/>
          <w:kern w:val="0"/>
          <w:sz w:val="20"/>
          <w:szCs w:val="20"/>
          <w:lang w:val="en-US"/>
          <w14:ligatures w14:val="none"/>
        </w:rPr>
      </w:pPr>
      <w:r w:rsidRPr="00DA07D4">
        <w:rPr>
          <w:rFonts w:ascii="Helvetica" w:eastAsia="Times New Roman" w:hAnsi="Helvetica" w:cs="Times New Roman"/>
          <w:kern w:val="0"/>
          <w:sz w:val="20"/>
          <w:szCs w:val="20"/>
          <w:lang w:val="en-US"/>
          <w14:ligatures w14:val="none"/>
        </w:rPr>
        <w:lastRenderedPageBreak/>
        <w:t xml:space="preserve">Askari, M. Y., &amp; </w:t>
      </w:r>
      <w:proofErr w:type="spellStart"/>
      <w:r w:rsidRPr="00DA07D4">
        <w:rPr>
          <w:rFonts w:ascii="Helvetica" w:eastAsia="Times New Roman" w:hAnsi="Helvetica" w:cs="Times New Roman"/>
          <w:kern w:val="0"/>
          <w:sz w:val="20"/>
          <w:szCs w:val="20"/>
          <w:lang w:val="en-US"/>
          <w14:ligatures w14:val="none"/>
        </w:rPr>
        <w:t>Refae</w:t>
      </w:r>
      <w:proofErr w:type="spellEnd"/>
      <w:r w:rsidRPr="00DA07D4">
        <w:rPr>
          <w:rFonts w:ascii="Helvetica" w:eastAsia="Times New Roman" w:hAnsi="Helvetica" w:cs="Times New Roman"/>
          <w:kern w:val="0"/>
          <w:sz w:val="20"/>
          <w:szCs w:val="20"/>
          <w:lang w:val="en-US"/>
          <w14:ligatures w14:val="none"/>
        </w:rPr>
        <w:t xml:space="preserve">, G. A. E. (2024). “A hypothesis on </w:t>
      </w:r>
      <w:proofErr w:type="spellStart"/>
      <w:r w:rsidRPr="00DA07D4">
        <w:rPr>
          <w:rFonts w:ascii="Helvetica" w:eastAsia="Times New Roman" w:hAnsi="Helvetica" w:cs="Times New Roman"/>
          <w:kern w:val="0"/>
          <w:sz w:val="20"/>
          <w:szCs w:val="20"/>
          <w:lang w:val="en-US"/>
          <w14:ligatures w14:val="none"/>
        </w:rPr>
        <w:t>rationalising</w:t>
      </w:r>
      <w:proofErr w:type="spellEnd"/>
      <w:r w:rsidRPr="00DA07D4">
        <w:rPr>
          <w:rFonts w:ascii="Helvetica" w:eastAsia="Times New Roman" w:hAnsi="Helvetica" w:cs="Times New Roman"/>
          <w:kern w:val="0"/>
          <w:sz w:val="20"/>
          <w:szCs w:val="20"/>
          <w:lang w:val="en-US"/>
          <w14:ligatures w14:val="none"/>
        </w:rPr>
        <w:t xml:space="preserve"> decisions by constructing personal realities”. International Journal of Economics and Business Research, 28(1), 120-134.</w:t>
      </w:r>
    </w:p>
    <w:p w14:paraId="5D5FC776"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Thaler, Richard H. 2016. "Behavioral Economics: Past, Present, and Future." American Economic Review 106 (7): 1577–1600.DOI: 10.1257/aer.106.7.1577</w:t>
      </w:r>
      <w:r>
        <w:rPr>
          <w:rFonts w:ascii="Helvetica" w:eastAsia="Times New Roman" w:hAnsi="Helvetica" w:cs="Times New Roman"/>
          <w:kern w:val="0"/>
          <w:sz w:val="20"/>
          <w:szCs w:val="20"/>
          <w:lang w:val="en-US"/>
          <w14:ligatures w14:val="none"/>
        </w:rPr>
        <w:t>.</w:t>
      </w:r>
    </w:p>
    <w:p w14:paraId="3E73E58A"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Nishant, R., </w:t>
      </w:r>
      <w:proofErr w:type="spellStart"/>
      <w:r w:rsidRPr="00AC210B">
        <w:rPr>
          <w:rFonts w:ascii="Helvetica" w:eastAsia="Times New Roman" w:hAnsi="Helvetica" w:cs="Times New Roman"/>
          <w:kern w:val="0"/>
          <w:sz w:val="20"/>
          <w:szCs w:val="20"/>
          <w:lang w:val="en-US"/>
          <w14:ligatures w14:val="none"/>
        </w:rPr>
        <w:t>Schneckenberg</w:t>
      </w:r>
      <w:proofErr w:type="spellEnd"/>
      <w:r w:rsidRPr="00AC210B">
        <w:rPr>
          <w:rFonts w:ascii="Helvetica" w:eastAsia="Times New Roman" w:hAnsi="Helvetica" w:cs="Times New Roman"/>
          <w:kern w:val="0"/>
          <w:sz w:val="20"/>
          <w:szCs w:val="20"/>
          <w:lang w:val="en-US"/>
          <w14:ligatures w14:val="none"/>
        </w:rPr>
        <w:t>, D., &amp; Ravishankar, M. N. (2024). The formal rationality of artificial intelligence-based algorithms and the problem of bias. Journal of Information Technology, 39(1), 19-40.</w:t>
      </w:r>
    </w:p>
    <w:p w14:paraId="7F39B9A5" w14:textId="3192D2D3" w:rsidR="00670FB0" w:rsidRPr="005A2A95" w:rsidRDefault="00670FB0" w:rsidP="00670FB0">
      <w:pPr>
        <w:jc w:val="both"/>
        <w:rPr>
          <w:lang w:val="en-US"/>
        </w:rPr>
      </w:pPr>
      <w:r w:rsidRPr="00AC210B">
        <w:rPr>
          <w:rFonts w:ascii="Helvetica" w:eastAsia="Times New Roman" w:hAnsi="Helvetica" w:cs="Times New Roman"/>
          <w:kern w:val="0"/>
          <w:sz w:val="20"/>
          <w:szCs w:val="20"/>
          <w:lang w:val="en-US"/>
          <w14:ligatures w14:val="none"/>
        </w:rPr>
        <w:t>Weber</w:t>
      </w:r>
      <w:r w:rsidR="00DA07D4">
        <w:rPr>
          <w:rFonts w:ascii="Helvetica" w:eastAsia="Times New Roman" w:hAnsi="Helvetica" w:cs="Times New Roman"/>
          <w:kern w:val="0"/>
          <w:sz w:val="20"/>
          <w:szCs w:val="20"/>
          <w:lang w:val="en-US"/>
          <w14:ligatures w14:val="none"/>
        </w:rPr>
        <w:t>,</w:t>
      </w:r>
      <w:r w:rsidRPr="00AC210B">
        <w:rPr>
          <w:rFonts w:ascii="Helvetica" w:eastAsia="Times New Roman" w:hAnsi="Helvetica" w:cs="Times New Roman"/>
          <w:kern w:val="0"/>
          <w:sz w:val="20"/>
          <w:szCs w:val="20"/>
          <w:lang w:val="en-US"/>
          <w14:ligatures w14:val="none"/>
        </w:rPr>
        <w:t xml:space="preserve"> M</w:t>
      </w:r>
      <w:r w:rsidR="00DA07D4">
        <w:rPr>
          <w:rFonts w:ascii="Helvetica" w:eastAsia="Times New Roman" w:hAnsi="Helvetica" w:cs="Times New Roman"/>
          <w:kern w:val="0"/>
          <w:sz w:val="20"/>
          <w:szCs w:val="20"/>
          <w:lang w:val="en-US"/>
          <w14:ligatures w14:val="none"/>
        </w:rPr>
        <w:t>.,</w:t>
      </w:r>
      <w:r w:rsidRPr="00AC210B">
        <w:rPr>
          <w:rFonts w:ascii="Helvetica" w:eastAsia="Times New Roman" w:hAnsi="Helvetica" w:cs="Times New Roman"/>
          <w:kern w:val="0"/>
          <w:sz w:val="20"/>
          <w:szCs w:val="20"/>
          <w:lang w:val="en-US"/>
          <w14:ligatures w14:val="none"/>
        </w:rPr>
        <w:t xml:space="preserve"> (1978) Economy and Society: An Outline of Interpretive Sociology. US: Univ of California Press 1.</w:t>
      </w:r>
    </w:p>
    <w:p w14:paraId="6493D8F7"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Lindebaum</w:t>
      </w:r>
      <w:proofErr w:type="spellEnd"/>
      <w:r w:rsidRPr="00AC210B">
        <w:rPr>
          <w:rFonts w:ascii="Helvetica" w:eastAsia="Times New Roman" w:hAnsi="Helvetica" w:cs="Times New Roman"/>
          <w:kern w:val="0"/>
          <w:sz w:val="20"/>
          <w:szCs w:val="20"/>
          <w:lang w:val="en-US"/>
          <w14:ligatures w14:val="none"/>
        </w:rPr>
        <w:t xml:space="preserve"> D, </w:t>
      </w:r>
      <w:proofErr w:type="spellStart"/>
      <w:r w:rsidRPr="00AC210B">
        <w:rPr>
          <w:rFonts w:ascii="Helvetica" w:eastAsia="Times New Roman" w:hAnsi="Helvetica" w:cs="Times New Roman"/>
          <w:kern w:val="0"/>
          <w:sz w:val="20"/>
          <w:szCs w:val="20"/>
          <w:lang w:val="en-US"/>
          <w14:ligatures w14:val="none"/>
        </w:rPr>
        <w:t>Vesa</w:t>
      </w:r>
      <w:proofErr w:type="spellEnd"/>
      <w:r w:rsidRPr="00AC210B">
        <w:rPr>
          <w:rFonts w:ascii="Helvetica" w:eastAsia="Times New Roman" w:hAnsi="Helvetica" w:cs="Times New Roman"/>
          <w:kern w:val="0"/>
          <w:sz w:val="20"/>
          <w:szCs w:val="20"/>
          <w:lang w:val="en-US"/>
          <w14:ligatures w14:val="none"/>
        </w:rPr>
        <w:t xml:space="preserve"> M, Den </w:t>
      </w:r>
      <w:proofErr w:type="spellStart"/>
      <w:r w:rsidRPr="00AC210B">
        <w:rPr>
          <w:rFonts w:ascii="Helvetica" w:eastAsia="Times New Roman" w:hAnsi="Helvetica" w:cs="Times New Roman"/>
          <w:kern w:val="0"/>
          <w:sz w:val="20"/>
          <w:szCs w:val="20"/>
          <w:lang w:val="en-US"/>
          <w14:ligatures w14:val="none"/>
        </w:rPr>
        <w:t>Hond</w:t>
      </w:r>
      <w:proofErr w:type="spellEnd"/>
      <w:r w:rsidRPr="00AC210B">
        <w:rPr>
          <w:rFonts w:ascii="Helvetica" w:eastAsia="Times New Roman" w:hAnsi="Helvetica" w:cs="Times New Roman"/>
          <w:kern w:val="0"/>
          <w:sz w:val="20"/>
          <w:szCs w:val="20"/>
          <w:lang w:val="en-US"/>
          <w14:ligatures w14:val="none"/>
        </w:rPr>
        <w:t xml:space="preserve"> F (2020) Insights from “the machine stops” to better understand rational assumptions in algorithmic decision making and its implications for organizations. Academy of Management Review 45(1): 247–263.</w:t>
      </w:r>
    </w:p>
    <w:p w14:paraId="16F75679"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Kalberg</w:t>
      </w:r>
      <w:proofErr w:type="spellEnd"/>
      <w:r w:rsidRPr="00AC210B">
        <w:rPr>
          <w:rFonts w:ascii="Helvetica" w:eastAsia="Times New Roman" w:hAnsi="Helvetica" w:cs="Times New Roman"/>
          <w:kern w:val="0"/>
          <w:sz w:val="20"/>
          <w:szCs w:val="20"/>
          <w:lang w:val="en-US"/>
          <w14:ligatures w14:val="none"/>
        </w:rPr>
        <w:t xml:space="preserve"> S (1980) Max Weber's types of rationality: Cornerstones for the analysis of rationalization processes in history. American journal of sociology 85(5): 1145–1179.</w:t>
      </w:r>
    </w:p>
    <w:p w14:paraId="29BD1229"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Foley, D. K. (2004). Rationality and ideology in economics. Social Research: An International Quarterly, 71(2), 329-342</w:t>
      </w:r>
    </w:p>
    <w:p w14:paraId="556E7D3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5A2A95">
        <w:rPr>
          <w:rFonts w:ascii="Helvetica" w:eastAsia="Times New Roman" w:hAnsi="Helvetica" w:cs="Times New Roman"/>
          <w:kern w:val="0"/>
          <w:sz w:val="20"/>
          <w:szCs w:val="20"/>
          <w14:ligatures w14:val="none"/>
        </w:rPr>
        <w:t>Darley</w:t>
      </w:r>
      <w:proofErr w:type="spellEnd"/>
      <w:r w:rsidRPr="005A2A95">
        <w:rPr>
          <w:rFonts w:ascii="Helvetica" w:eastAsia="Times New Roman" w:hAnsi="Helvetica" w:cs="Times New Roman"/>
          <w:kern w:val="0"/>
          <w:sz w:val="20"/>
          <w:szCs w:val="20"/>
          <w14:ligatures w14:val="none"/>
        </w:rPr>
        <w:t xml:space="preserve">, W. K., </w:t>
      </w:r>
      <w:proofErr w:type="spellStart"/>
      <w:r w:rsidRPr="005A2A95">
        <w:rPr>
          <w:rFonts w:ascii="Helvetica" w:eastAsia="Times New Roman" w:hAnsi="Helvetica" w:cs="Times New Roman"/>
          <w:kern w:val="0"/>
          <w:sz w:val="20"/>
          <w:szCs w:val="20"/>
          <w14:ligatures w14:val="none"/>
        </w:rPr>
        <w:t>Blankson</w:t>
      </w:r>
      <w:proofErr w:type="spellEnd"/>
      <w:r w:rsidRPr="005A2A95">
        <w:rPr>
          <w:rFonts w:ascii="Helvetica" w:eastAsia="Times New Roman" w:hAnsi="Helvetica" w:cs="Times New Roman"/>
          <w:kern w:val="0"/>
          <w:sz w:val="20"/>
          <w:szCs w:val="20"/>
          <w14:ligatures w14:val="none"/>
        </w:rPr>
        <w:t xml:space="preserve">, C., &amp; </w:t>
      </w:r>
      <w:proofErr w:type="spellStart"/>
      <w:r w:rsidRPr="005A2A95">
        <w:rPr>
          <w:rFonts w:ascii="Helvetica" w:eastAsia="Times New Roman" w:hAnsi="Helvetica" w:cs="Times New Roman"/>
          <w:kern w:val="0"/>
          <w:sz w:val="20"/>
          <w:szCs w:val="20"/>
          <w14:ligatures w14:val="none"/>
        </w:rPr>
        <w:t>Luethge</w:t>
      </w:r>
      <w:proofErr w:type="spellEnd"/>
      <w:r w:rsidRPr="005A2A95">
        <w:rPr>
          <w:rFonts w:ascii="Helvetica" w:eastAsia="Times New Roman" w:hAnsi="Helvetica" w:cs="Times New Roman"/>
          <w:kern w:val="0"/>
          <w:sz w:val="20"/>
          <w:szCs w:val="20"/>
          <w14:ligatures w14:val="none"/>
        </w:rPr>
        <w:t xml:space="preserve">, D. J. (2010). </w:t>
      </w:r>
      <w:r w:rsidRPr="005A2A95">
        <w:rPr>
          <w:rFonts w:ascii="Helvetica" w:eastAsia="Times New Roman" w:hAnsi="Helvetica" w:cs="Times New Roman"/>
          <w:kern w:val="0"/>
          <w:sz w:val="20"/>
          <w:szCs w:val="20"/>
          <w:lang w:val="en-US"/>
          <w14:ligatures w14:val="none"/>
        </w:rPr>
        <w:t xml:space="preserve">Toward an integrated framework for online consumer behavior and </w:t>
      </w:r>
      <w:proofErr w:type="gramStart"/>
      <w:r w:rsidRPr="005A2A95">
        <w:rPr>
          <w:rFonts w:ascii="Helvetica" w:eastAsia="Times New Roman" w:hAnsi="Helvetica" w:cs="Times New Roman"/>
          <w:kern w:val="0"/>
          <w:sz w:val="20"/>
          <w:szCs w:val="20"/>
          <w:lang w:val="en-US"/>
          <w14:ligatures w14:val="none"/>
        </w:rPr>
        <w:t>decision making</w:t>
      </w:r>
      <w:proofErr w:type="gramEnd"/>
      <w:r w:rsidRPr="005A2A95">
        <w:rPr>
          <w:rFonts w:ascii="Helvetica" w:eastAsia="Times New Roman" w:hAnsi="Helvetica" w:cs="Times New Roman"/>
          <w:kern w:val="0"/>
          <w:sz w:val="20"/>
          <w:szCs w:val="20"/>
          <w:lang w:val="en-US"/>
          <w14:ligatures w14:val="none"/>
        </w:rPr>
        <w:t xml:space="preserve"> process: A review. Psychology &amp; marketing, 27(2), 94-116.</w:t>
      </w:r>
    </w:p>
    <w:p w14:paraId="0AC5B9E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Goudarzi</w:t>
      </w:r>
      <w:proofErr w:type="spellEnd"/>
      <w:r w:rsidRPr="00AC210B">
        <w:rPr>
          <w:rFonts w:ascii="Helvetica" w:eastAsia="Times New Roman" w:hAnsi="Helvetica" w:cs="Times New Roman"/>
          <w:kern w:val="0"/>
          <w:sz w:val="20"/>
          <w:szCs w:val="20"/>
          <w:lang w:val="en-US"/>
          <w14:ligatures w14:val="none"/>
        </w:rPr>
        <w:t xml:space="preserve">, S., </w:t>
      </w:r>
      <w:proofErr w:type="spellStart"/>
      <w:r w:rsidRPr="00AC210B">
        <w:rPr>
          <w:rFonts w:ascii="Helvetica" w:eastAsia="Times New Roman" w:hAnsi="Helvetica" w:cs="Times New Roman"/>
          <w:kern w:val="0"/>
          <w:sz w:val="20"/>
          <w:szCs w:val="20"/>
          <w:lang w:val="en-US"/>
          <w14:ligatures w14:val="none"/>
        </w:rPr>
        <w:t>Badaan</w:t>
      </w:r>
      <w:proofErr w:type="spellEnd"/>
      <w:r w:rsidRPr="00AC210B">
        <w:rPr>
          <w:rFonts w:ascii="Helvetica" w:eastAsia="Times New Roman" w:hAnsi="Helvetica" w:cs="Times New Roman"/>
          <w:kern w:val="0"/>
          <w:sz w:val="20"/>
          <w:szCs w:val="20"/>
          <w:lang w:val="en-US"/>
          <w14:ligatures w14:val="none"/>
        </w:rPr>
        <w:t>, V., &amp; Knowles, E. D. (2022). Neoliberalism and the ideological construction of equity beliefs. Perspectives on Psychological Science, 17(5), 1431-1451.</w:t>
      </w:r>
    </w:p>
    <w:p w14:paraId="5E79015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Sultan, S. E., </w:t>
      </w:r>
      <w:proofErr w:type="spellStart"/>
      <w:r w:rsidRPr="00AC210B">
        <w:rPr>
          <w:rFonts w:ascii="Helvetica" w:eastAsia="Times New Roman" w:hAnsi="Helvetica" w:cs="Times New Roman"/>
          <w:kern w:val="0"/>
          <w:sz w:val="20"/>
          <w:szCs w:val="20"/>
          <w:lang w:val="en-US"/>
          <w14:ligatures w14:val="none"/>
        </w:rPr>
        <w:t>Moczek</w:t>
      </w:r>
      <w:proofErr w:type="spellEnd"/>
      <w:r w:rsidRPr="00AC210B">
        <w:rPr>
          <w:rFonts w:ascii="Helvetica" w:eastAsia="Times New Roman" w:hAnsi="Helvetica" w:cs="Times New Roman"/>
          <w:kern w:val="0"/>
          <w:sz w:val="20"/>
          <w:szCs w:val="20"/>
          <w:lang w:val="en-US"/>
          <w14:ligatures w14:val="none"/>
        </w:rPr>
        <w:t xml:space="preserve">, A. P., &amp; Walsh, D. (2022). Bridging the explanatory gaps: What can we learn from a biological agency </w:t>
      </w:r>
      <w:proofErr w:type="gramStart"/>
      <w:r w:rsidRPr="00AC210B">
        <w:rPr>
          <w:rFonts w:ascii="Helvetica" w:eastAsia="Times New Roman" w:hAnsi="Helvetica" w:cs="Times New Roman"/>
          <w:kern w:val="0"/>
          <w:sz w:val="20"/>
          <w:szCs w:val="20"/>
          <w:lang w:val="en-US"/>
          <w14:ligatures w14:val="none"/>
        </w:rPr>
        <w:t>perspective?.</w:t>
      </w:r>
      <w:proofErr w:type="gramEnd"/>
      <w:r w:rsidRPr="00AC210B">
        <w:rPr>
          <w:rFonts w:ascii="Helvetica" w:eastAsia="Times New Roman" w:hAnsi="Helvetica" w:cs="Times New Roman"/>
          <w:kern w:val="0"/>
          <w:sz w:val="20"/>
          <w:szCs w:val="20"/>
          <w:lang w:val="en-US"/>
          <w14:ligatures w14:val="none"/>
        </w:rPr>
        <w:t xml:space="preserve"> </w:t>
      </w:r>
      <w:proofErr w:type="spellStart"/>
      <w:r w:rsidRPr="00AC210B">
        <w:rPr>
          <w:rFonts w:ascii="Helvetica" w:eastAsia="Times New Roman" w:hAnsi="Helvetica" w:cs="Times New Roman"/>
          <w:kern w:val="0"/>
          <w:sz w:val="20"/>
          <w:szCs w:val="20"/>
          <w:lang w:val="en-US"/>
          <w14:ligatures w14:val="none"/>
        </w:rPr>
        <w:t>BioEssays</w:t>
      </w:r>
      <w:proofErr w:type="spellEnd"/>
      <w:r w:rsidRPr="00AC210B">
        <w:rPr>
          <w:rFonts w:ascii="Helvetica" w:eastAsia="Times New Roman" w:hAnsi="Helvetica" w:cs="Times New Roman"/>
          <w:kern w:val="0"/>
          <w:sz w:val="20"/>
          <w:szCs w:val="20"/>
          <w:lang w:val="en-US"/>
          <w14:ligatures w14:val="none"/>
        </w:rPr>
        <w:t>, 44(1), 2100185</w:t>
      </w:r>
    </w:p>
    <w:p w14:paraId="6334880B"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Floridi</w:t>
      </w:r>
      <w:proofErr w:type="spellEnd"/>
      <w:r w:rsidRPr="00AC210B">
        <w:rPr>
          <w:rFonts w:ascii="Helvetica" w:eastAsia="Times New Roman" w:hAnsi="Helvetica" w:cs="Times New Roman"/>
          <w:kern w:val="0"/>
          <w:sz w:val="20"/>
          <w:szCs w:val="20"/>
          <w:lang w:val="en-US"/>
          <w14:ligatures w14:val="none"/>
        </w:rPr>
        <w:t xml:space="preserve">, Luciano, AI as Agency without Intelligence: On Artificial Intelligence as a New Form of Artificial Agency and the Multiple </w:t>
      </w:r>
      <w:proofErr w:type="spellStart"/>
      <w:r w:rsidRPr="00AC210B">
        <w:rPr>
          <w:rFonts w:ascii="Helvetica" w:eastAsia="Times New Roman" w:hAnsi="Helvetica" w:cs="Times New Roman"/>
          <w:kern w:val="0"/>
          <w:sz w:val="20"/>
          <w:szCs w:val="20"/>
          <w:lang w:val="en-US"/>
          <w14:ligatures w14:val="none"/>
        </w:rPr>
        <w:t>Realisability</w:t>
      </w:r>
      <w:proofErr w:type="spellEnd"/>
      <w:r w:rsidRPr="00AC210B">
        <w:rPr>
          <w:rFonts w:ascii="Helvetica" w:eastAsia="Times New Roman" w:hAnsi="Helvetica" w:cs="Times New Roman"/>
          <w:kern w:val="0"/>
          <w:sz w:val="20"/>
          <w:szCs w:val="20"/>
          <w:lang w:val="en-US"/>
          <w14:ligatures w14:val="none"/>
        </w:rPr>
        <w:t xml:space="preserve"> of Agency Thesis (February 12, 2024). Available at SSRN: https://ssrn.com/abstract=5135645 or http://dx.doi.org/10.2139/ssrn.5135645</w:t>
      </w:r>
    </w:p>
    <w:p w14:paraId="7154055B"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Gomes, O. (2023). Behavioral economics and finance: a selective review of models, methods and tools. Studies in Economics and Finance, 40(3), 393-410.</w:t>
      </w:r>
    </w:p>
    <w:p w14:paraId="3F5E5B76"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32606F">
        <w:rPr>
          <w:rFonts w:ascii="Helvetica" w:eastAsia="Times New Roman" w:hAnsi="Helvetica" w:cs="Times New Roman"/>
          <w:kern w:val="0"/>
          <w:sz w:val="20"/>
          <w:szCs w:val="20"/>
          <w:lang w:val="en-US"/>
          <w14:ligatures w14:val="none"/>
        </w:rPr>
        <w:t>Arnott, D., &amp; Gao, S. (2022). Behavioral economics in information systems research: Critical analysis and research strategies. </w:t>
      </w:r>
      <w:r w:rsidRPr="0032606F">
        <w:rPr>
          <w:rFonts w:ascii="Helvetica" w:eastAsia="Times New Roman" w:hAnsi="Helvetica" w:cs="Times New Roman"/>
          <w:i/>
          <w:iCs/>
          <w:kern w:val="0"/>
          <w:sz w:val="20"/>
          <w:szCs w:val="20"/>
          <w:lang w:val="en-US"/>
          <w14:ligatures w14:val="none"/>
        </w:rPr>
        <w:t>Journal of Information Technology</w:t>
      </w:r>
      <w:r w:rsidRPr="0032606F">
        <w:rPr>
          <w:rFonts w:ascii="Helvetica" w:eastAsia="Times New Roman" w:hAnsi="Helvetica" w:cs="Times New Roman"/>
          <w:kern w:val="0"/>
          <w:sz w:val="20"/>
          <w:szCs w:val="20"/>
          <w:lang w:val="en-US"/>
          <w14:ligatures w14:val="none"/>
        </w:rPr>
        <w:t>, </w:t>
      </w:r>
      <w:r w:rsidRPr="0032606F">
        <w:rPr>
          <w:rFonts w:ascii="Helvetica" w:eastAsia="Times New Roman" w:hAnsi="Helvetica" w:cs="Times New Roman"/>
          <w:i/>
          <w:iCs/>
          <w:kern w:val="0"/>
          <w:sz w:val="20"/>
          <w:szCs w:val="20"/>
          <w:lang w:val="en-US"/>
          <w14:ligatures w14:val="none"/>
        </w:rPr>
        <w:t>37</w:t>
      </w:r>
      <w:r w:rsidRPr="0032606F">
        <w:rPr>
          <w:rFonts w:ascii="Helvetica" w:eastAsia="Times New Roman" w:hAnsi="Helvetica" w:cs="Times New Roman"/>
          <w:kern w:val="0"/>
          <w:sz w:val="20"/>
          <w:szCs w:val="20"/>
          <w:lang w:val="en-US"/>
          <w14:ligatures w14:val="none"/>
        </w:rPr>
        <w:t>(1), 80-117.</w:t>
      </w:r>
    </w:p>
    <w:p w14:paraId="21E78AD2"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Ekchajzer</w:t>
      </w:r>
      <w:proofErr w:type="spellEnd"/>
      <w:r w:rsidRPr="00AC210B">
        <w:rPr>
          <w:rFonts w:ascii="Helvetica" w:eastAsia="Times New Roman" w:hAnsi="Helvetica" w:cs="Times New Roman"/>
          <w:kern w:val="0"/>
          <w:sz w:val="20"/>
          <w:szCs w:val="20"/>
          <w:lang w:val="en-US"/>
          <w14:ligatures w14:val="none"/>
        </w:rPr>
        <w:t xml:space="preserve">, D., </w:t>
      </w:r>
      <w:proofErr w:type="spellStart"/>
      <w:r w:rsidRPr="00AC210B">
        <w:rPr>
          <w:rFonts w:ascii="Helvetica" w:eastAsia="Times New Roman" w:hAnsi="Helvetica" w:cs="Times New Roman"/>
          <w:kern w:val="0"/>
          <w:sz w:val="20"/>
          <w:szCs w:val="20"/>
          <w:lang w:val="en-US"/>
          <w14:ligatures w14:val="none"/>
        </w:rPr>
        <w:t>Bornes</w:t>
      </w:r>
      <w:proofErr w:type="spellEnd"/>
      <w:r w:rsidRPr="00AC210B">
        <w:rPr>
          <w:rFonts w:ascii="Helvetica" w:eastAsia="Times New Roman" w:hAnsi="Helvetica" w:cs="Times New Roman"/>
          <w:kern w:val="0"/>
          <w:sz w:val="20"/>
          <w:szCs w:val="20"/>
          <w:lang w:val="en-US"/>
          <w14:ligatures w14:val="none"/>
        </w:rPr>
        <w:t xml:space="preserve">, L., </w:t>
      </w:r>
      <w:proofErr w:type="spellStart"/>
      <w:r w:rsidRPr="00AC210B">
        <w:rPr>
          <w:rFonts w:ascii="Helvetica" w:eastAsia="Times New Roman" w:hAnsi="Helvetica" w:cs="Times New Roman"/>
          <w:kern w:val="0"/>
          <w:sz w:val="20"/>
          <w:szCs w:val="20"/>
          <w:lang w:val="en-US"/>
          <w14:ligatures w14:val="none"/>
        </w:rPr>
        <w:t>Combaz</w:t>
      </w:r>
      <w:proofErr w:type="spellEnd"/>
      <w:r w:rsidRPr="00AC210B">
        <w:rPr>
          <w:rFonts w:ascii="Helvetica" w:eastAsia="Times New Roman" w:hAnsi="Helvetica" w:cs="Times New Roman"/>
          <w:kern w:val="0"/>
          <w:sz w:val="20"/>
          <w:szCs w:val="20"/>
          <w:lang w:val="en-US"/>
          <w14:ligatures w14:val="none"/>
        </w:rPr>
        <w:t xml:space="preserve">, J., </w:t>
      </w:r>
      <w:proofErr w:type="spellStart"/>
      <w:r w:rsidRPr="00AC210B">
        <w:rPr>
          <w:rFonts w:ascii="Helvetica" w:eastAsia="Times New Roman" w:hAnsi="Helvetica" w:cs="Times New Roman"/>
          <w:kern w:val="0"/>
          <w:sz w:val="20"/>
          <w:szCs w:val="20"/>
          <w:lang w:val="en-US"/>
          <w14:ligatures w14:val="none"/>
        </w:rPr>
        <w:t>Letondal</w:t>
      </w:r>
      <w:proofErr w:type="spellEnd"/>
      <w:r w:rsidRPr="00AC210B">
        <w:rPr>
          <w:rFonts w:ascii="Helvetica" w:eastAsia="Times New Roman" w:hAnsi="Helvetica" w:cs="Times New Roman"/>
          <w:kern w:val="0"/>
          <w:sz w:val="20"/>
          <w:szCs w:val="20"/>
          <w:lang w:val="en-US"/>
          <w14:ligatures w14:val="none"/>
        </w:rPr>
        <w:t xml:space="preserve">, C., &amp; </w:t>
      </w:r>
      <w:proofErr w:type="spellStart"/>
      <w:r w:rsidRPr="00AC210B">
        <w:rPr>
          <w:rFonts w:ascii="Helvetica" w:eastAsia="Times New Roman" w:hAnsi="Helvetica" w:cs="Times New Roman"/>
          <w:kern w:val="0"/>
          <w:sz w:val="20"/>
          <w:szCs w:val="20"/>
          <w:lang w:val="en-US"/>
          <w14:ligatures w14:val="none"/>
        </w:rPr>
        <w:t>Vingerhoeds</w:t>
      </w:r>
      <w:proofErr w:type="spellEnd"/>
      <w:r w:rsidRPr="00AC210B">
        <w:rPr>
          <w:rFonts w:ascii="Helvetica" w:eastAsia="Times New Roman" w:hAnsi="Helvetica" w:cs="Times New Roman"/>
          <w:kern w:val="0"/>
          <w:sz w:val="20"/>
          <w:szCs w:val="20"/>
          <w:lang w:val="en-US"/>
          <w14:ligatures w14:val="none"/>
        </w:rPr>
        <w:t>, R. (2024, June). Decision-making under environmental complexity: the need for moving from avoided impacts of ICT solutions to systems thinking approaches. In 2024 10th International Conference on ICT for Sustainability (ICT4S) (pp. 29-40). IEEE.</w:t>
      </w:r>
    </w:p>
    <w:p w14:paraId="4AC562AB" w14:textId="77777777" w:rsidR="00670FB0"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lastRenderedPageBreak/>
        <w:t>Paliszkiewicz</w:t>
      </w:r>
      <w:proofErr w:type="spellEnd"/>
      <w:r w:rsidRPr="00AC210B">
        <w:rPr>
          <w:rFonts w:ascii="Helvetica" w:eastAsia="Times New Roman" w:hAnsi="Helvetica" w:cs="Times New Roman"/>
          <w:kern w:val="0"/>
          <w:sz w:val="20"/>
          <w:szCs w:val="20"/>
          <w:lang w:val="en-US"/>
          <w14:ligatures w14:val="none"/>
        </w:rPr>
        <w:t xml:space="preserve">, J., &amp; </w:t>
      </w:r>
      <w:proofErr w:type="spellStart"/>
      <w:r w:rsidRPr="00AC210B">
        <w:rPr>
          <w:rFonts w:ascii="Helvetica" w:eastAsia="Times New Roman" w:hAnsi="Helvetica" w:cs="Times New Roman"/>
          <w:kern w:val="0"/>
          <w:sz w:val="20"/>
          <w:szCs w:val="20"/>
          <w:lang w:val="en-US"/>
          <w14:ligatures w14:val="none"/>
        </w:rPr>
        <w:t>Gołuchowski</w:t>
      </w:r>
      <w:proofErr w:type="spellEnd"/>
      <w:r w:rsidRPr="00AC210B">
        <w:rPr>
          <w:rFonts w:ascii="Helvetica" w:eastAsia="Times New Roman" w:hAnsi="Helvetica" w:cs="Times New Roman"/>
          <w:kern w:val="0"/>
          <w:sz w:val="20"/>
          <w:szCs w:val="20"/>
          <w:lang w:val="en-US"/>
          <w14:ligatures w14:val="none"/>
        </w:rPr>
        <w:t xml:space="preserve">, J. (2025). The role of trust in media and the economy: Future directions. In Trust, Media and the Economy (pp. 3-14). Routledge. </w:t>
      </w:r>
    </w:p>
    <w:p w14:paraId="116725CC"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32606F">
        <w:rPr>
          <w:rFonts w:ascii="Helvetica" w:eastAsia="Times New Roman" w:hAnsi="Helvetica" w:cs="Times New Roman"/>
          <w:kern w:val="0"/>
          <w:sz w:val="20"/>
          <w:szCs w:val="20"/>
          <w:lang w:val="en-US"/>
          <w14:ligatures w14:val="none"/>
        </w:rPr>
        <w:t xml:space="preserve">Davidson, D. J., &amp; </w:t>
      </w:r>
      <w:proofErr w:type="spellStart"/>
      <w:r w:rsidRPr="0032606F">
        <w:rPr>
          <w:rFonts w:ascii="Helvetica" w:eastAsia="Times New Roman" w:hAnsi="Helvetica" w:cs="Times New Roman"/>
          <w:kern w:val="0"/>
          <w:sz w:val="20"/>
          <w:szCs w:val="20"/>
          <w:lang w:val="en-US"/>
          <w14:ligatures w14:val="none"/>
        </w:rPr>
        <w:t>Kecinski</w:t>
      </w:r>
      <w:proofErr w:type="spellEnd"/>
      <w:r w:rsidRPr="0032606F">
        <w:rPr>
          <w:rFonts w:ascii="Helvetica" w:eastAsia="Times New Roman" w:hAnsi="Helvetica" w:cs="Times New Roman"/>
          <w:kern w:val="0"/>
          <w:sz w:val="20"/>
          <w:szCs w:val="20"/>
          <w:lang w:val="en-US"/>
          <w14:ligatures w14:val="none"/>
        </w:rPr>
        <w:t>, M. (2022). Emotional pathways to climate change responses. Wiley Interdisciplinary Reviews: Climate Change, 13(2), e751.</w:t>
      </w:r>
    </w:p>
    <w:p w14:paraId="3D21B74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Scherer K. R. (1984). On the nature and function of emotion: A component process approach. In Scherer K. R., Ekman P. (Eds.), Approaches to emotion (pp. 293–317). Erlbaum.</w:t>
      </w:r>
    </w:p>
    <w:p w14:paraId="51804900"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Shaver P., Schwartz J., </w:t>
      </w:r>
      <w:proofErr w:type="spellStart"/>
      <w:r w:rsidRPr="00AC210B">
        <w:rPr>
          <w:rFonts w:ascii="Helvetica" w:eastAsia="Times New Roman" w:hAnsi="Helvetica" w:cs="Times New Roman"/>
          <w:kern w:val="0"/>
          <w:sz w:val="20"/>
          <w:szCs w:val="20"/>
          <w:lang w:val="en-US"/>
          <w14:ligatures w14:val="none"/>
        </w:rPr>
        <w:t>Kirson</w:t>
      </w:r>
      <w:proofErr w:type="spellEnd"/>
      <w:r w:rsidRPr="00AC210B">
        <w:rPr>
          <w:rFonts w:ascii="Helvetica" w:eastAsia="Times New Roman" w:hAnsi="Helvetica" w:cs="Times New Roman"/>
          <w:kern w:val="0"/>
          <w:sz w:val="20"/>
          <w:szCs w:val="20"/>
          <w:lang w:val="en-US"/>
          <w14:ligatures w14:val="none"/>
        </w:rPr>
        <w:t xml:space="preserve"> D., O’Connor C. (1987). Emotion knowledge: Further exploration of a prototype approach. Journal of Personality and Social Psychology, 52(6), 1061–1086. https://doi.org/10.1037/0022-3514.52.6.1061</w:t>
      </w:r>
    </w:p>
    <w:p w14:paraId="417D5FAA"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Gadzali</w:t>
      </w:r>
      <w:proofErr w:type="spellEnd"/>
      <w:r w:rsidRPr="00AC210B">
        <w:rPr>
          <w:rFonts w:ascii="Helvetica" w:eastAsia="Times New Roman" w:hAnsi="Helvetica" w:cs="Times New Roman"/>
          <w:kern w:val="0"/>
          <w:sz w:val="20"/>
          <w:szCs w:val="20"/>
          <w:lang w:val="en-US"/>
          <w14:ligatures w14:val="none"/>
        </w:rPr>
        <w:t>, S. S. (2023). Determinants of consumer purchases in the perspective of business psychology. Apollo: Journal of Tourism and Business, 1(1), 23-28.</w:t>
      </w:r>
    </w:p>
    <w:p w14:paraId="01CBCE5C"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Kahneman, D., &amp; Tversky, A. (1979). Prospect theory: An analysis of decision under risk. </w:t>
      </w:r>
      <w:proofErr w:type="spellStart"/>
      <w:r w:rsidRPr="00AC210B">
        <w:rPr>
          <w:rFonts w:ascii="Helvetica" w:eastAsia="Times New Roman" w:hAnsi="Helvetica" w:cs="Times New Roman"/>
          <w:kern w:val="0"/>
          <w:sz w:val="20"/>
          <w:szCs w:val="20"/>
          <w:lang w:val="en-US"/>
          <w14:ligatures w14:val="none"/>
        </w:rPr>
        <w:t>Econometrica</w:t>
      </w:r>
      <w:proofErr w:type="spellEnd"/>
      <w:r w:rsidRPr="00AC210B">
        <w:rPr>
          <w:rFonts w:ascii="Helvetica" w:eastAsia="Times New Roman" w:hAnsi="Helvetica" w:cs="Times New Roman"/>
          <w:kern w:val="0"/>
          <w:sz w:val="20"/>
          <w:szCs w:val="20"/>
          <w:lang w:val="en-US"/>
          <w14:ligatures w14:val="none"/>
        </w:rPr>
        <w:t>, 47(2), 263–291. https://doi.org/10.2307/1914185.</w:t>
      </w:r>
    </w:p>
    <w:p w14:paraId="02B84B7C" w14:textId="77777777" w:rsidR="00670FB0" w:rsidRDefault="00670FB0" w:rsidP="00670FB0">
      <w:pPr>
        <w:jc w:val="both"/>
        <w:rPr>
          <w:rFonts w:ascii="Helvetica" w:eastAsia="Times New Roman" w:hAnsi="Helvetica" w:cs="Times New Roman"/>
          <w:kern w:val="0"/>
          <w:sz w:val="20"/>
          <w:szCs w:val="20"/>
          <w:lang w:val="en-US"/>
          <w14:ligatures w14:val="none"/>
        </w:rPr>
      </w:pPr>
      <w:proofErr w:type="spellStart"/>
      <w:r w:rsidRPr="0032606F">
        <w:rPr>
          <w:rFonts w:ascii="Helvetica" w:eastAsia="Times New Roman" w:hAnsi="Helvetica" w:cs="Times New Roman"/>
          <w:kern w:val="0"/>
          <w:sz w:val="20"/>
          <w:szCs w:val="20"/>
          <w:lang w:val="en-US"/>
          <w14:ligatures w14:val="none"/>
        </w:rPr>
        <w:t>Buttenheim</w:t>
      </w:r>
      <w:proofErr w:type="spellEnd"/>
      <w:r w:rsidRPr="0032606F">
        <w:rPr>
          <w:rFonts w:ascii="Helvetica" w:eastAsia="Times New Roman" w:hAnsi="Helvetica" w:cs="Times New Roman"/>
          <w:kern w:val="0"/>
          <w:sz w:val="20"/>
          <w:szCs w:val="20"/>
          <w:lang w:val="en-US"/>
          <w14:ligatures w14:val="none"/>
        </w:rPr>
        <w:t xml:space="preserve">, A., Moffitt, R., &amp; Beatty, A. (2023). Behavioral Economics. National Academies Press, Washington, DC, </w:t>
      </w:r>
      <w:proofErr w:type="spellStart"/>
      <w:r w:rsidRPr="0032606F">
        <w:rPr>
          <w:rFonts w:ascii="Helvetica" w:eastAsia="Times New Roman" w:hAnsi="Helvetica" w:cs="Times New Roman"/>
          <w:kern w:val="0"/>
          <w:sz w:val="20"/>
          <w:szCs w:val="20"/>
          <w:lang w:val="en-US"/>
          <w14:ligatures w14:val="none"/>
        </w:rPr>
        <w:t>doi</w:t>
      </w:r>
      <w:proofErr w:type="spellEnd"/>
      <w:r w:rsidRPr="0032606F">
        <w:rPr>
          <w:rFonts w:ascii="Helvetica" w:eastAsia="Times New Roman" w:hAnsi="Helvetica" w:cs="Times New Roman"/>
          <w:kern w:val="0"/>
          <w:sz w:val="20"/>
          <w:szCs w:val="20"/>
          <w:lang w:val="en-US"/>
          <w14:ligatures w14:val="none"/>
        </w:rPr>
        <w:t>, 10, 26874.</w:t>
      </w:r>
    </w:p>
    <w:p w14:paraId="7334800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Gennaioli</w:t>
      </w:r>
      <w:proofErr w:type="spellEnd"/>
      <w:r w:rsidRPr="00AC210B">
        <w:rPr>
          <w:rFonts w:ascii="Helvetica" w:eastAsia="Times New Roman" w:hAnsi="Helvetica" w:cs="Times New Roman"/>
          <w:kern w:val="0"/>
          <w:sz w:val="20"/>
          <w:szCs w:val="20"/>
          <w:lang w:val="en-US"/>
          <w14:ligatures w14:val="none"/>
        </w:rPr>
        <w:t xml:space="preserve"> N., Shleifer A. (2018) A Crisis of Beliefs: Investor Psychology and Financial Fragility, Princeton, Princeton University Press.</w:t>
      </w:r>
    </w:p>
    <w:p w14:paraId="4020954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Tuckett</w:t>
      </w:r>
      <w:proofErr w:type="spellEnd"/>
      <w:r w:rsidRPr="00AC210B">
        <w:rPr>
          <w:rFonts w:ascii="Helvetica" w:eastAsia="Times New Roman" w:hAnsi="Helvetica" w:cs="Times New Roman"/>
          <w:kern w:val="0"/>
          <w:sz w:val="20"/>
          <w:szCs w:val="20"/>
          <w:lang w:val="en-US"/>
          <w14:ligatures w14:val="none"/>
        </w:rPr>
        <w:t xml:space="preserve"> D. et al. (2020) Monetary Policy and the Management of Uncertainty: A Narrative Approach, Staff Working Paper No. 840, Bank of England.</w:t>
      </w:r>
    </w:p>
    <w:p w14:paraId="3D0BD063"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proofErr w:type="spellStart"/>
      <w:r w:rsidRPr="00AC210B">
        <w:rPr>
          <w:rFonts w:ascii="Helvetica" w:eastAsia="Times New Roman" w:hAnsi="Helvetica" w:cs="Times New Roman"/>
          <w:kern w:val="0"/>
          <w:sz w:val="20"/>
          <w:szCs w:val="20"/>
          <w:lang w:val="en-US"/>
          <w14:ligatures w14:val="none"/>
        </w:rPr>
        <w:t>Hullman</w:t>
      </w:r>
      <w:proofErr w:type="spellEnd"/>
      <w:r w:rsidRPr="00AC210B">
        <w:rPr>
          <w:rFonts w:ascii="Helvetica" w:eastAsia="Times New Roman" w:hAnsi="Helvetica" w:cs="Times New Roman"/>
          <w:kern w:val="0"/>
          <w:sz w:val="20"/>
          <w:szCs w:val="20"/>
          <w:lang w:val="en-US"/>
          <w14:ligatures w14:val="none"/>
        </w:rPr>
        <w:t>, J., Kale, A., &amp; Hartline, J. (2025, April). Decision theoretic foundations for experiments evaluating human decisions. In Proceedings of the 2025 CHI Conference on Human Factors in Computing Systems (pp. 1-15).</w:t>
      </w:r>
    </w:p>
    <w:p w14:paraId="094628A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14:ligatures w14:val="none"/>
        </w:rPr>
        <w:t xml:space="preserve">Jia, J., Yuan, Z., Pan, J., McNamara, P. E., &amp; Chen, D. (2024). </w:t>
      </w:r>
      <w:r w:rsidRPr="00AC210B">
        <w:rPr>
          <w:rFonts w:ascii="Helvetica" w:eastAsia="Times New Roman" w:hAnsi="Helvetica" w:cs="Times New Roman"/>
          <w:kern w:val="0"/>
          <w:sz w:val="20"/>
          <w:szCs w:val="20"/>
          <w:lang w:val="en-US"/>
          <w14:ligatures w14:val="none"/>
        </w:rPr>
        <w:t xml:space="preserve">Decision-making behavior evaluation framework for </w:t>
      </w:r>
      <w:proofErr w:type="spellStart"/>
      <w:r w:rsidRPr="00AC210B">
        <w:rPr>
          <w:rFonts w:ascii="Helvetica" w:eastAsia="Times New Roman" w:hAnsi="Helvetica" w:cs="Times New Roman"/>
          <w:kern w:val="0"/>
          <w:sz w:val="20"/>
          <w:szCs w:val="20"/>
          <w:lang w:val="en-US"/>
          <w14:ligatures w14:val="none"/>
        </w:rPr>
        <w:t>llms</w:t>
      </w:r>
      <w:proofErr w:type="spellEnd"/>
      <w:r w:rsidRPr="00AC210B">
        <w:rPr>
          <w:rFonts w:ascii="Helvetica" w:eastAsia="Times New Roman" w:hAnsi="Helvetica" w:cs="Times New Roman"/>
          <w:kern w:val="0"/>
          <w:sz w:val="20"/>
          <w:szCs w:val="20"/>
          <w:lang w:val="en-US"/>
          <w14:ligatures w14:val="none"/>
        </w:rPr>
        <w:t xml:space="preserve"> under uncertain context. Advances in neural information processing systems, 37, 113360-113382</w:t>
      </w:r>
    </w:p>
    <w:p w14:paraId="63925B78" w14:textId="77777777" w:rsidR="00670FB0" w:rsidRPr="00AC210B"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Sher, S., Müller-</w:t>
      </w:r>
      <w:proofErr w:type="spellStart"/>
      <w:r w:rsidRPr="00AC210B">
        <w:rPr>
          <w:rFonts w:ascii="Helvetica" w:eastAsia="Times New Roman" w:hAnsi="Helvetica" w:cs="Times New Roman"/>
          <w:kern w:val="0"/>
          <w:sz w:val="20"/>
          <w:szCs w:val="20"/>
          <w:lang w:val="en-US"/>
          <w14:ligatures w14:val="none"/>
        </w:rPr>
        <w:t>Trede</w:t>
      </w:r>
      <w:proofErr w:type="spellEnd"/>
      <w:r w:rsidRPr="00AC210B">
        <w:rPr>
          <w:rFonts w:ascii="Helvetica" w:eastAsia="Times New Roman" w:hAnsi="Helvetica" w:cs="Times New Roman"/>
          <w:kern w:val="0"/>
          <w:sz w:val="20"/>
          <w:szCs w:val="20"/>
          <w:lang w:val="en-US"/>
          <w14:ligatures w14:val="none"/>
        </w:rPr>
        <w:t>, J., &amp; McKenzie, C. R. (2025). Choices without preferences: Principles of rational arbitrariness. Psychological Review</w:t>
      </w:r>
    </w:p>
    <w:p w14:paraId="00CBEB68" w14:textId="77777777" w:rsidR="00670FB0" w:rsidRDefault="00670FB0" w:rsidP="00670FB0">
      <w:pPr>
        <w:jc w:val="both"/>
        <w:rPr>
          <w:rFonts w:ascii="Helvetica" w:eastAsia="Times New Roman" w:hAnsi="Helvetica" w:cs="Times New Roman"/>
          <w:kern w:val="0"/>
          <w:sz w:val="20"/>
          <w:szCs w:val="20"/>
          <w:lang w:val="en-US"/>
          <w14:ligatures w14:val="none"/>
        </w:rPr>
      </w:pPr>
      <w:r w:rsidRPr="00AC210B">
        <w:rPr>
          <w:rFonts w:ascii="Helvetica" w:eastAsia="Times New Roman" w:hAnsi="Helvetica" w:cs="Times New Roman"/>
          <w:kern w:val="0"/>
          <w:sz w:val="20"/>
          <w:szCs w:val="20"/>
          <w:lang w:val="en-US"/>
          <w14:ligatures w14:val="none"/>
        </w:rPr>
        <w:t xml:space="preserve">Hanlon, M., Yeung, K., &amp; </w:t>
      </w:r>
      <w:proofErr w:type="spellStart"/>
      <w:r w:rsidRPr="00AC210B">
        <w:rPr>
          <w:rFonts w:ascii="Helvetica" w:eastAsia="Times New Roman" w:hAnsi="Helvetica" w:cs="Times New Roman"/>
          <w:kern w:val="0"/>
          <w:sz w:val="20"/>
          <w:szCs w:val="20"/>
          <w:lang w:val="en-US"/>
          <w14:ligatures w14:val="none"/>
        </w:rPr>
        <w:t>Zuo</w:t>
      </w:r>
      <w:proofErr w:type="spellEnd"/>
      <w:r w:rsidRPr="00AC210B">
        <w:rPr>
          <w:rFonts w:ascii="Helvetica" w:eastAsia="Times New Roman" w:hAnsi="Helvetica" w:cs="Times New Roman"/>
          <w:kern w:val="0"/>
          <w:sz w:val="20"/>
          <w:szCs w:val="20"/>
          <w:lang w:val="en-US"/>
          <w14:ligatures w14:val="none"/>
        </w:rPr>
        <w:t>, L. (2022). Behavioral economics of accounting: A review of archival research on individual decision makers. Contemporary Accounting Research, 39(2), 1150-1214.</w:t>
      </w:r>
    </w:p>
    <w:p w14:paraId="60319AC8" w14:textId="5ECFF85F" w:rsidR="008542B4" w:rsidRDefault="008542B4" w:rsidP="00670FB0">
      <w:pPr>
        <w:jc w:val="both"/>
        <w:rPr>
          <w:rFonts w:ascii="Helvetica" w:eastAsia="Times New Roman" w:hAnsi="Helvetica" w:cs="Times New Roman"/>
          <w:kern w:val="0"/>
          <w:sz w:val="20"/>
          <w:szCs w:val="20"/>
          <w:lang w:val="en-US"/>
          <w14:ligatures w14:val="none"/>
        </w:rPr>
      </w:pPr>
      <w:r w:rsidRPr="00F82956">
        <w:rPr>
          <w:lang w:val="en-US"/>
        </w:rPr>
        <w:t xml:space="preserve">Arnett J. J. (2004). Emerging adulthood: The winding road from the late teens through the twenties (1st ed.). </w:t>
      </w:r>
      <w:r w:rsidRPr="00A2603A">
        <w:rPr>
          <w:lang w:val="en-US"/>
        </w:rPr>
        <w:t>Oxford University Press.</w:t>
      </w:r>
    </w:p>
    <w:p w14:paraId="284D60CA" w14:textId="6D429D65"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Culatta</w:t>
      </w:r>
      <w:proofErr w:type="spellEnd"/>
      <w:r w:rsidRPr="008542B4">
        <w:rPr>
          <w:rFonts w:ascii="Helvetica" w:eastAsia="Times New Roman" w:hAnsi="Helvetica" w:cs="Times New Roman"/>
          <w:kern w:val="0"/>
          <w:sz w:val="20"/>
          <w:szCs w:val="20"/>
          <w:lang w:val="en-US"/>
          <w14:ligatures w14:val="none"/>
        </w:rPr>
        <w:t xml:space="preserve"> E., Clay-Warner J. (2021). Falling behind and feeling bad: Unmet expectations and mental health during the transition to adulthood. Society and Mental Health, 11(3), 251–265. </w:t>
      </w:r>
      <w:hyperlink r:id="rId30" w:history="1">
        <w:r w:rsidRPr="006828A9">
          <w:rPr>
            <w:rStyle w:val="Hyperlink"/>
            <w:rFonts w:ascii="Helvetica" w:eastAsia="Times New Roman" w:hAnsi="Helvetica" w:cs="Times New Roman"/>
            <w:kern w:val="0"/>
            <w:sz w:val="20"/>
            <w:szCs w:val="20"/>
            <w:lang w:val="en-US"/>
            <w14:ligatures w14:val="none"/>
          </w:rPr>
          <w:t>https://doi.org/10.1177/2156869321991892</w:t>
        </w:r>
      </w:hyperlink>
      <w:r>
        <w:rPr>
          <w:rFonts w:ascii="Helvetica" w:eastAsia="Times New Roman" w:hAnsi="Helvetica" w:cs="Times New Roman"/>
          <w:kern w:val="0"/>
          <w:sz w:val="20"/>
          <w:szCs w:val="20"/>
          <w:lang w:val="en-US"/>
          <w14:ligatures w14:val="none"/>
        </w:rPr>
        <w:t xml:space="preserve"> </w:t>
      </w:r>
    </w:p>
    <w:p w14:paraId="54895DF4" w14:textId="086F16F0" w:rsidR="008542B4"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lastRenderedPageBreak/>
        <w:t xml:space="preserve">Lowe S. R., Dillon C. O., Rhodes J. E., </w:t>
      </w:r>
      <w:proofErr w:type="spellStart"/>
      <w:r w:rsidRPr="008542B4">
        <w:rPr>
          <w:rFonts w:ascii="Helvetica" w:eastAsia="Times New Roman" w:hAnsi="Helvetica" w:cs="Times New Roman"/>
          <w:kern w:val="0"/>
          <w:sz w:val="20"/>
          <w:szCs w:val="20"/>
          <w:lang w:val="en-US"/>
          <w14:ligatures w14:val="none"/>
        </w:rPr>
        <w:t>Zwiebach</w:t>
      </w:r>
      <w:proofErr w:type="spellEnd"/>
      <w:r w:rsidRPr="008542B4">
        <w:rPr>
          <w:rFonts w:ascii="Helvetica" w:eastAsia="Times New Roman" w:hAnsi="Helvetica" w:cs="Times New Roman"/>
          <w:kern w:val="0"/>
          <w:sz w:val="20"/>
          <w:szCs w:val="20"/>
          <w:lang w:val="en-US"/>
          <w14:ligatures w14:val="none"/>
        </w:rPr>
        <w:t xml:space="preserve"> L. (2013). Defining adult experiences: Perspectives of a diverse sample of young adults. Journal of Adolescent Research, 28(1), 31–68. </w:t>
      </w:r>
      <w:hyperlink r:id="rId31" w:history="1">
        <w:r w:rsidRPr="006828A9">
          <w:rPr>
            <w:rStyle w:val="Hyperlink"/>
            <w:rFonts w:ascii="Helvetica" w:eastAsia="Times New Roman" w:hAnsi="Helvetica" w:cs="Times New Roman"/>
            <w:kern w:val="0"/>
            <w:sz w:val="20"/>
            <w:szCs w:val="20"/>
            <w:lang w:val="en-US"/>
            <w14:ligatures w14:val="none"/>
          </w:rPr>
          <w:t>https://doi.org/10.1177/0743558411435854</w:t>
        </w:r>
      </w:hyperlink>
      <w:r>
        <w:rPr>
          <w:rFonts w:ascii="Helvetica" w:eastAsia="Times New Roman" w:hAnsi="Helvetica" w:cs="Times New Roman"/>
          <w:kern w:val="0"/>
          <w:sz w:val="20"/>
          <w:szCs w:val="20"/>
          <w:lang w:val="en-US"/>
          <w14:ligatures w14:val="none"/>
        </w:rPr>
        <w:t xml:space="preserve"> </w:t>
      </w:r>
    </w:p>
    <w:p w14:paraId="164821FE" w14:textId="240E51CC"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Cepa</w:t>
      </w:r>
      <w:proofErr w:type="spellEnd"/>
      <w:r w:rsidRPr="008542B4">
        <w:rPr>
          <w:rFonts w:ascii="Helvetica" w:eastAsia="Times New Roman" w:hAnsi="Helvetica" w:cs="Times New Roman"/>
          <w:kern w:val="0"/>
          <w:sz w:val="20"/>
          <w:szCs w:val="20"/>
          <w:lang w:val="en-US"/>
          <w14:ligatures w14:val="none"/>
        </w:rPr>
        <w:t xml:space="preserve"> K., Furstenberg F. F. (2021). Reaching adulthood: Persistent beliefs about the importance and timing of adult milestones. Journal of Family Issues, 42(1), 27–57. </w:t>
      </w:r>
      <w:hyperlink r:id="rId32" w:history="1">
        <w:r w:rsidRPr="006828A9">
          <w:rPr>
            <w:rStyle w:val="Hyperlink"/>
            <w:rFonts w:ascii="Helvetica" w:eastAsia="Times New Roman" w:hAnsi="Helvetica" w:cs="Times New Roman"/>
            <w:kern w:val="0"/>
            <w:sz w:val="20"/>
            <w:szCs w:val="20"/>
            <w:lang w:val="en-US"/>
            <w14:ligatures w14:val="none"/>
          </w:rPr>
          <w:t>https://doi.org/10.1177/0192513X20918612</w:t>
        </w:r>
      </w:hyperlink>
      <w:r>
        <w:rPr>
          <w:rFonts w:ascii="Helvetica" w:eastAsia="Times New Roman" w:hAnsi="Helvetica" w:cs="Times New Roman"/>
          <w:kern w:val="0"/>
          <w:sz w:val="20"/>
          <w:szCs w:val="20"/>
          <w:lang w:val="en-US"/>
          <w14:ligatures w14:val="none"/>
        </w:rPr>
        <w:t xml:space="preserve"> </w:t>
      </w:r>
    </w:p>
    <w:p w14:paraId="334B5C67" w14:textId="0B6E2C92"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Schoon</w:t>
      </w:r>
      <w:proofErr w:type="spellEnd"/>
      <w:r w:rsidRPr="008542B4">
        <w:rPr>
          <w:rFonts w:ascii="Helvetica" w:eastAsia="Times New Roman" w:hAnsi="Helvetica" w:cs="Times New Roman"/>
          <w:kern w:val="0"/>
          <w:sz w:val="20"/>
          <w:szCs w:val="20"/>
          <w:lang w:val="en-US"/>
          <w14:ligatures w14:val="none"/>
        </w:rPr>
        <w:t xml:space="preserve"> I., Mortimer J. (2017). Youth and the Great Recession: Are values, achievement orientation and outlook to the future affected? International Journal of Psychology, 52(1), 1–8. </w:t>
      </w:r>
      <w:hyperlink r:id="rId33" w:history="1">
        <w:r w:rsidRPr="006828A9">
          <w:rPr>
            <w:rStyle w:val="Hyperlink"/>
            <w:rFonts w:ascii="Helvetica" w:eastAsia="Times New Roman" w:hAnsi="Helvetica" w:cs="Times New Roman"/>
            <w:kern w:val="0"/>
            <w:sz w:val="20"/>
            <w:szCs w:val="20"/>
            <w:lang w:val="en-US"/>
            <w14:ligatures w14:val="none"/>
          </w:rPr>
          <w:t>https://doi.org/10.1002/ijop.12400</w:t>
        </w:r>
      </w:hyperlink>
      <w:r>
        <w:rPr>
          <w:rFonts w:ascii="Helvetica" w:eastAsia="Times New Roman" w:hAnsi="Helvetica" w:cs="Times New Roman"/>
          <w:kern w:val="0"/>
          <w:sz w:val="20"/>
          <w:szCs w:val="20"/>
          <w:lang w:val="en-US"/>
          <w14:ligatures w14:val="none"/>
        </w:rPr>
        <w:t xml:space="preserve"> </w:t>
      </w:r>
    </w:p>
    <w:p w14:paraId="10683801" w14:textId="2CC833CE" w:rsidR="008542B4" w:rsidRDefault="008542B4" w:rsidP="00670FB0">
      <w:pPr>
        <w:jc w:val="both"/>
        <w:rPr>
          <w:rFonts w:ascii="Helvetica" w:eastAsia="Times New Roman" w:hAnsi="Helvetica" w:cs="Times New Roman"/>
          <w:kern w:val="0"/>
          <w:sz w:val="20"/>
          <w:szCs w:val="20"/>
          <w:lang w:val="en-US"/>
          <w14:ligatures w14:val="none"/>
        </w:rPr>
      </w:pPr>
      <w:proofErr w:type="spellStart"/>
      <w:r w:rsidRPr="008542B4">
        <w:rPr>
          <w:rFonts w:ascii="Helvetica" w:eastAsia="Times New Roman" w:hAnsi="Helvetica" w:cs="Times New Roman"/>
          <w:kern w:val="0"/>
          <w:sz w:val="20"/>
          <w:szCs w:val="20"/>
          <w:lang w:val="en-US"/>
          <w14:ligatures w14:val="none"/>
        </w:rPr>
        <w:t>Settersten</w:t>
      </w:r>
      <w:proofErr w:type="spellEnd"/>
      <w:r w:rsidRPr="008542B4">
        <w:rPr>
          <w:rFonts w:ascii="Helvetica" w:eastAsia="Times New Roman" w:hAnsi="Helvetica" w:cs="Times New Roman"/>
          <w:kern w:val="0"/>
          <w:sz w:val="20"/>
          <w:szCs w:val="20"/>
          <w:lang w:val="en-US"/>
          <w14:ligatures w14:val="none"/>
        </w:rPr>
        <w:t xml:space="preserve"> R. A. (2012). The contemporary context of young adulthood in the USA: From demography to development, from private troubles to public issues. In Booth A., Brown S. L., Landale N. S., Manning W. D., McHale S. M. (Eds.), Early adulthood in a family context (pp. 3–26). Springer. </w:t>
      </w:r>
      <w:hyperlink r:id="rId34" w:history="1">
        <w:r w:rsidRPr="006828A9">
          <w:rPr>
            <w:rStyle w:val="Hyperlink"/>
            <w:rFonts w:ascii="Helvetica" w:eastAsia="Times New Roman" w:hAnsi="Helvetica" w:cs="Times New Roman"/>
            <w:kern w:val="0"/>
            <w:sz w:val="20"/>
            <w:szCs w:val="20"/>
            <w:lang w:val="en-US"/>
            <w14:ligatures w14:val="none"/>
          </w:rPr>
          <w:t>https://doi.org/10.1007/978-1-4614-1436-0_1</w:t>
        </w:r>
      </w:hyperlink>
      <w:r>
        <w:rPr>
          <w:rFonts w:ascii="Helvetica" w:eastAsia="Times New Roman" w:hAnsi="Helvetica" w:cs="Times New Roman"/>
          <w:kern w:val="0"/>
          <w:sz w:val="20"/>
          <w:szCs w:val="20"/>
          <w:lang w:val="en-US"/>
          <w14:ligatures w14:val="none"/>
        </w:rPr>
        <w:t xml:space="preserve"> </w:t>
      </w:r>
    </w:p>
    <w:p w14:paraId="67D27AD9" w14:textId="63E7AFB6" w:rsidR="008542B4" w:rsidRPr="00AC210B" w:rsidRDefault="008542B4" w:rsidP="00670FB0">
      <w:pPr>
        <w:jc w:val="both"/>
        <w:rPr>
          <w:rFonts w:ascii="Helvetica" w:eastAsia="Times New Roman" w:hAnsi="Helvetica" w:cs="Times New Roman"/>
          <w:kern w:val="0"/>
          <w:sz w:val="20"/>
          <w:szCs w:val="20"/>
          <w:lang w:val="en-US"/>
          <w14:ligatures w14:val="none"/>
        </w:rPr>
      </w:pPr>
      <w:r w:rsidRPr="008542B4">
        <w:rPr>
          <w:rFonts w:ascii="Helvetica" w:eastAsia="Times New Roman" w:hAnsi="Helvetica" w:cs="Times New Roman"/>
          <w:kern w:val="0"/>
          <w:sz w:val="20"/>
          <w:szCs w:val="20"/>
          <w:lang w:val="en-US"/>
          <w14:ligatures w14:val="none"/>
        </w:rPr>
        <w:t>Rubin, J. D., Chen, K., &amp; Tung, A. (2024). Generation Z’s challenges to financial independence: Adolescents’ and early emerging adults’ perspectives on their financial futures. Journal of Adolescent Research, 07435584241256572</w:t>
      </w:r>
      <w:r>
        <w:rPr>
          <w:rFonts w:ascii="Helvetica" w:eastAsia="Times New Roman" w:hAnsi="Helvetica" w:cs="Times New Roman"/>
          <w:kern w:val="0"/>
          <w:sz w:val="20"/>
          <w:szCs w:val="20"/>
          <w:lang w:val="en-US"/>
          <w14:ligatures w14:val="none"/>
        </w:rPr>
        <w:t>.</w:t>
      </w:r>
    </w:p>
    <w:sectPr w:rsidR="008542B4" w:rsidRPr="00AC210B" w:rsidSect="008145E7">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F042D" w14:textId="77777777" w:rsidR="00B42252" w:rsidRDefault="00B42252" w:rsidP="00A64327">
      <w:pPr>
        <w:spacing w:after="0" w:line="240" w:lineRule="auto"/>
      </w:pPr>
      <w:r>
        <w:separator/>
      </w:r>
    </w:p>
  </w:endnote>
  <w:endnote w:type="continuationSeparator" w:id="0">
    <w:p w14:paraId="4960E1A4" w14:textId="77777777" w:rsidR="00B42252" w:rsidRDefault="00B42252" w:rsidP="00A6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2DB7" w14:textId="77777777" w:rsidR="00154139" w:rsidRDefault="0015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3505" w14:textId="03247C1E" w:rsidR="00A64327" w:rsidRPr="00C751E3" w:rsidRDefault="005144FE" w:rsidP="00C751E3">
    <w:pPr>
      <w:pStyle w:val="Footer"/>
    </w:pPr>
    <w:r w:rsidRPr="00C751E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98C5" w14:textId="382D619A" w:rsidR="00A64327" w:rsidRPr="00154139" w:rsidRDefault="00A64327" w:rsidP="00154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CE76" w14:textId="77777777" w:rsidR="00A64327" w:rsidRPr="00C37E61" w:rsidRDefault="00A643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CCE59" w14:textId="77777777" w:rsidR="00B42252" w:rsidRDefault="00B42252" w:rsidP="00A64327">
      <w:pPr>
        <w:spacing w:after="0" w:line="240" w:lineRule="auto"/>
      </w:pPr>
      <w:r>
        <w:separator/>
      </w:r>
    </w:p>
  </w:footnote>
  <w:footnote w:type="continuationSeparator" w:id="0">
    <w:p w14:paraId="47C17BAA" w14:textId="77777777" w:rsidR="00B42252" w:rsidRDefault="00B42252" w:rsidP="00A64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B9A3" w14:textId="65471494" w:rsidR="00154139" w:rsidRDefault="00B42252">
    <w:pPr>
      <w:pStyle w:val="Header"/>
    </w:pPr>
    <w:r>
      <w:rPr>
        <w:noProof/>
      </w:rPr>
      <w:pict w14:anchorId="18E3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69"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2770" w14:textId="201AF9DF" w:rsidR="00154139" w:rsidRDefault="00B42252">
    <w:pPr>
      <w:pStyle w:val="Header"/>
    </w:pPr>
    <w:r>
      <w:rPr>
        <w:noProof/>
      </w:rPr>
      <w:pict w14:anchorId="75D8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0"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951E" w14:textId="19A15E72" w:rsidR="00A64327" w:rsidRPr="00296529" w:rsidRDefault="00B42252" w:rsidP="00296529">
    <w:pPr>
      <w:ind w:left="2160"/>
      <w:jc w:val="center"/>
      <w:rPr>
        <w:rFonts w:ascii="Times New Roman" w:eastAsia="Calibri" w:hAnsi="Times New Roman"/>
        <w:i/>
        <w:sz w:val="18"/>
      </w:rPr>
    </w:pPr>
    <w:r>
      <w:rPr>
        <w:noProof/>
      </w:rPr>
      <w:pict w14:anchorId="7AD3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68"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B11729F" w14:textId="77777777" w:rsidR="00A64327" w:rsidRPr="00296529" w:rsidRDefault="00A64327"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767059F" w14:textId="77777777" w:rsidR="00A64327" w:rsidRPr="00296529" w:rsidRDefault="00A64327" w:rsidP="00296529">
    <w:pPr>
      <w:jc w:val="center"/>
      <w:rPr>
        <w:rFonts w:ascii="Times New Roman" w:eastAsia="Calibri" w:hAnsi="Times New Roman"/>
        <w:i/>
        <w:sz w:val="18"/>
      </w:rPr>
    </w:pPr>
    <w:r>
      <w:rPr>
        <w:rFonts w:ascii="Times New Roman" w:eastAsia="Calibri" w:hAnsi="Times New Roman"/>
        <w:i/>
        <w:sz w:val="18"/>
      </w:rPr>
      <w:t>.</w:t>
    </w:r>
  </w:p>
  <w:p w14:paraId="164F5FA9" w14:textId="77777777" w:rsidR="00A64327" w:rsidRPr="00296529" w:rsidRDefault="00A64327" w:rsidP="00296529">
    <w:pPr>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7E158106" w14:textId="77777777" w:rsidR="00A64327" w:rsidRDefault="00A64327"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A03D0F2" w14:textId="77777777" w:rsidR="00A64327" w:rsidRDefault="00A64327" w:rsidP="00296529">
    <w:pPr>
      <w:tabs>
        <w:tab w:val="left" w:pos="2145"/>
      </w:tabs>
      <w:rPr>
        <w:rFonts w:ascii="Times New Roman" w:eastAsia="Calibri" w:hAnsi="Times New Roman"/>
        <w:i/>
        <w:sz w:val="18"/>
      </w:rPr>
    </w:pPr>
    <w:r>
      <w:rPr>
        <w:rFonts w:ascii="Times New Roman" w:eastAsia="Calibri" w:hAnsi="Times New Roman"/>
        <w:i/>
        <w:sz w:val="18"/>
      </w:rPr>
      <w:tab/>
      <w:t>.</w:t>
    </w:r>
  </w:p>
  <w:p w14:paraId="1F73A0DE" w14:textId="77777777" w:rsidR="00A64327" w:rsidRDefault="00A643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0912" w14:textId="7DDAAA96" w:rsidR="00154139" w:rsidRDefault="00B42252">
    <w:pPr>
      <w:pStyle w:val="Header"/>
    </w:pPr>
    <w:r>
      <w:rPr>
        <w:noProof/>
      </w:rPr>
      <w:pict w14:anchorId="0E26B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2" o:spid="_x0000_s2053"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8BB4" w14:textId="04ABD38B" w:rsidR="00154139" w:rsidRDefault="00B42252">
    <w:pPr>
      <w:pStyle w:val="Header"/>
    </w:pPr>
    <w:r>
      <w:rPr>
        <w:noProof/>
      </w:rPr>
      <w:pict w14:anchorId="1987A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3" o:spid="_x0000_s2054"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DD52" w14:textId="22FCC4CA" w:rsidR="00154139" w:rsidRDefault="00B42252">
    <w:pPr>
      <w:pStyle w:val="Header"/>
    </w:pPr>
    <w:r>
      <w:rPr>
        <w:noProof/>
      </w:rPr>
      <w:pict w14:anchorId="6CA8C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40971" o:spid="_x0000_s2052"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27"/>
    <w:rsid w:val="0001411D"/>
    <w:rsid w:val="000A674B"/>
    <w:rsid w:val="000D7752"/>
    <w:rsid w:val="00154139"/>
    <w:rsid w:val="00174AC5"/>
    <w:rsid w:val="001C0FEA"/>
    <w:rsid w:val="001E009F"/>
    <w:rsid w:val="00204AF1"/>
    <w:rsid w:val="00256902"/>
    <w:rsid w:val="002A0B7F"/>
    <w:rsid w:val="002E2D17"/>
    <w:rsid w:val="00341020"/>
    <w:rsid w:val="00346469"/>
    <w:rsid w:val="003A084C"/>
    <w:rsid w:val="003B1354"/>
    <w:rsid w:val="003D1783"/>
    <w:rsid w:val="00461A68"/>
    <w:rsid w:val="00467F2F"/>
    <w:rsid w:val="00505581"/>
    <w:rsid w:val="005144FE"/>
    <w:rsid w:val="00536E61"/>
    <w:rsid w:val="00573DDB"/>
    <w:rsid w:val="00670FB0"/>
    <w:rsid w:val="006F40EC"/>
    <w:rsid w:val="006F6D33"/>
    <w:rsid w:val="00723319"/>
    <w:rsid w:val="00783FA0"/>
    <w:rsid w:val="007A6C1A"/>
    <w:rsid w:val="007C60B7"/>
    <w:rsid w:val="00803B8B"/>
    <w:rsid w:val="008145E7"/>
    <w:rsid w:val="008352B5"/>
    <w:rsid w:val="008542B4"/>
    <w:rsid w:val="008C5BD9"/>
    <w:rsid w:val="009D6BEC"/>
    <w:rsid w:val="009E6E87"/>
    <w:rsid w:val="00A36310"/>
    <w:rsid w:val="00A62729"/>
    <w:rsid w:val="00A64327"/>
    <w:rsid w:val="00A77A6B"/>
    <w:rsid w:val="00AC210B"/>
    <w:rsid w:val="00B42252"/>
    <w:rsid w:val="00B51D1B"/>
    <w:rsid w:val="00B6035C"/>
    <w:rsid w:val="00B76E71"/>
    <w:rsid w:val="00B95E37"/>
    <w:rsid w:val="00BC17AE"/>
    <w:rsid w:val="00C05E2E"/>
    <w:rsid w:val="00C635E2"/>
    <w:rsid w:val="00C751E3"/>
    <w:rsid w:val="00D83F36"/>
    <w:rsid w:val="00DA07D4"/>
    <w:rsid w:val="00DB03ED"/>
    <w:rsid w:val="00DE6773"/>
    <w:rsid w:val="00E05401"/>
    <w:rsid w:val="00E540E4"/>
    <w:rsid w:val="00E62BD1"/>
    <w:rsid w:val="00EF7D1E"/>
    <w:rsid w:val="00F0301A"/>
    <w:rsid w:val="00F2396B"/>
    <w:rsid w:val="00F4090B"/>
    <w:rsid w:val="00F45152"/>
    <w:rsid w:val="00F829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5D6FA91"/>
  <w15:chartTrackingRefBased/>
  <w15:docId w15:val="{402E2E06-47E0-4150-ABA1-BAA7418D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jc w:val="left"/>
    </w:pPr>
  </w:style>
  <w:style w:type="paragraph" w:styleId="Heading1">
    <w:name w:val="heading 1"/>
    <w:basedOn w:val="Normal"/>
    <w:next w:val="Normal"/>
    <w:link w:val="Heading1Char"/>
    <w:uiPriority w:val="9"/>
    <w:qFormat/>
    <w:rsid w:val="00A64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3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3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3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3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3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3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3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3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327"/>
    <w:rPr>
      <w:rFonts w:eastAsiaTheme="majorEastAsia" w:cstheme="majorBidi"/>
      <w:color w:val="272727" w:themeColor="text1" w:themeTint="D8"/>
    </w:rPr>
  </w:style>
  <w:style w:type="paragraph" w:styleId="Title">
    <w:name w:val="Title"/>
    <w:basedOn w:val="Normal"/>
    <w:next w:val="Normal"/>
    <w:link w:val="TitleChar"/>
    <w:uiPriority w:val="10"/>
    <w:qFormat/>
    <w:rsid w:val="00A64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3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327"/>
    <w:rPr>
      <w:i/>
      <w:iCs/>
      <w:color w:val="404040" w:themeColor="text1" w:themeTint="BF"/>
    </w:rPr>
  </w:style>
  <w:style w:type="paragraph" w:styleId="ListParagraph">
    <w:name w:val="List Paragraph"/>
    <w:basedOn w:val="Normal"/>
    <w:uiPriority w:val="34"/>
    <w:qFormat/>
    <w:rsid w:val="00A64327"/>
    <w:pPr>
      <w:ind w:left="720"/>
      <w:contextualSpacing/>
    </w:pPr>
  </w:style>
  <w:style w:type="character" w:styleId="IntenseEmphasis">
    <w:name w:val="Intense Emphasis"/>
    <w:basedOn w:val="DefaultParagraphFont"/>
    <w:uiPriority w:val="21"/>
    <w:qFormat/>
    <w:rsid w:val="00A64327"/>
    <w:rPr>
      <w:i/>
      <w:iCs/>
      <w:color w:val="2F5496" w:themeColor="accent1" w:themeShade="BF"/>
    </w:rPr>
  </w:style>
  <w:style w:type="paragraph" w:styleId="IntenseQuote">
    <w:name w:val="Intense Quote"/>
    <w:basedOn w:val="Normal"/>
    <w:next w:val="Normal"/>
    <w:link w:val="IntenseQuoteChar"/>
    <w:uiPriority w:val="30"/>
    <w:qFormat/>
    <w:rsid w:val="00A64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327"/>
    <w:rPr>
      <w:i/>
      <w:iCs/>
      <w:color w:val="2F5496" w:themeColor="accent1" w:themeShade="BF"/>
    </w:rPr>
  </w:style>
  <w:style w:type="character" w:styleId="IntenseReference">
    <w:name w:val="Intense Reference"/>
    <w:basedOn w:val="DefaultParagraphFont"/>
    <w:uiPriority w:val="32"/>
    <w:qFormat/>
    <w:rsid w:val="00A64327"/>
    <w:rPr>
      <w:b/>
      <w:bCs/>
      <w:smallCaps/>
      <w:color w:val="2F5496" w:themeColor="accent1" w:themeShade="BF"/>
      <w:spacing w:val="5"/>
    </w:rPr>
  </w:style>
  <w:style w:type="paragraph" w:styleId="Footer">
    <w:name w:val="footer"/>
    <w:basedOn w:val="Normal"/>
    <w:link w:val="FooterChar"/>
    <w:uiPriority w:val="99"/>
    <w:unhideWhenUsed/>
    <w:rsid w:val="00A64327"/>
    <w:pPr>
      <w:tabs>
        <w:tab w:val="center" w:pos="4419"/>
        <w:tab w:val="right" w:pos="8838"/>
      </w:tabs>
      <w:spacing w:after="0" w:line="240" w:lineRule="auto"/>
    </w:pPr>
  </w:style>
  <w:style w:type="character" w:customStyle="1" w:styleId="FooterChar">
    <w:name w:val="Footer Char"/>
    <w:basedOn w:val="DefaultParagraphFont"/>
    <w:link w:val="Footer"/>
    <w:uiPriority w:val="99"/>
    <w:rsid w:val="00A64327"/>
  </w:style>
  <w:style w:type="paragraph" w:styleId="Header">
    <w:name w:val="header"/>
    <w:basedOn w:val="Normal"/>
    <w:link w:val="HeaderChar"/>
    <w:uiPriority w:val="99"/>
    <w:unhideWhenUsed/>
    <w:rsid w:val="00A64327"/>
    <w:pPr>
      <w:tabs>
        <w:tab w:val="center" w:pos="4419"/>
        <w:tab w:val="right" w:pos="8838"/>
      </w:tabs>
      <w:spacing w:after="0" w:line="240" w:lineRule="auto"/>
    </w:pPr>
  </w:style>
  <w:style w:type="character" w:customStyle="1" w:styleId="HeaderChar">
    <w:name w:val="Header Char"/>
    <w:basedOn w:val="DefaultParagraphFont"/>
    <w:link w:val="Header"/>
    <w:uiPriority w:val="99"/>
    <w:rsid w:val="00A64327"/>
  </w:style>
  <w:style w:type="character" w:styleId="LineNumber">
    <w:name w:val="line number"/>
    <w:basedOn w:val="DefaultParagraphFont"/>
    <w:uiPriority w:val="99"/>
    <w:semiHidden/>
    <w:unhideWhenUsed/>
    <w:rsid w:val="00A64327"/>
  </w:style>
  <w:style w:type="character" w:styleId="Hyperlink">
    <w:name w:val="Hyperlink"/>
    <w:basedOn w:val="DefaultParagraphFont"/>
    <w:uiPriority w:val="99"/>
    <w:unhideWhenUsed/>
    <w:rsid w:val="00A64327"/>
    <w:rPr>
      <w:color w:val="0563C1" w:themeColor="hyperlink"/>
      <w:u w:val="single"/>
    </w:rPr>
  </w:style>
  <w:style w:type="character" w:styleId="UnresolvedMention">
    <w:name w:val="Unresolved Mention"/>
    <w:basedOn w:val="DefaultParagraphFont"/>
    <w:uiPriority w:val="99"/>
    <w:semiHidden/>
    <w:unhideWhenUsed/>
    <w:rsid w:val="00A64327"/>
    <w:rPr>
      <w:color w:val="605E5C"/>
      <w:shd w:val="clear" w:color="auto" w:fill="E1DFDD"/>
    </w:rPr>
  </w:style>
  <w:style w:type="character" w:styleId="CommentReference">
    <w:name w:val="annotation reference"/>
    <w:basedOn w:val="DefaultParagraphFont"/>
    <w:uiPriority w:val="99"/>
    <w:semiHidden/>
    <w:unhideWhenUsed/>
    <w:rsid w:val="00F82956"/>
    <w:rPr>
      <w:sz w:val="16"/>
      <w:szCs w:val="16"/>
    </w:rPr>
  </w:style>
  <w:style w:type="paragraph" w:styleId="CommentText">
    <w:name w:val="annotation text"/>
    <w:basedOn w:val="Normal"/>
    <w:link w:val="CommentTextChar"/>
    <w:uiPriority w:val="99"/>
    <w:unhideWhenUsed/>
    <w:rsid w:val="00F82956"/>
    <w:pPr>
      <w:spacing w:line="240" w:lineRule="auto"/>
    </w:pPr>
    <w:rPr>
      <w:sz w:val="20"/>
      <w:szCs w:val="20"/>
    </w:rPr>
  </w:style>
  <w:style w:type="character" w:customStyle="1" w:styleId="CommentTextChar">
    <w:name w:val="Comment Text Char"/>
    <w:basedOn w:val="DefaultParagraphFont"/>
    <w:link w:val="CommentText"/>
    <w:uiPriority w:val="99"/>
    <w:rsid w:val="00F82956"/>
    <w:rPr>
      <w:sz w:val="20"/>
      <w:szCs w:val="20"/>
    </w:rPr>
  </w:style>
  <w:style w:type="paragraph" w:styleId="CommentSubject">
    <w:name w:val="annotation subject"/>
    <w:basedOn w:val="CommentText"/>
    <w:next w:val="CommentText"/>
    <w:link w:val="CommentSubjectChar"/>
    <w:uiPriority w:val="99"/>
    <w:semiHidden/>
    <w:unhideWhenUsed/>
    <w:rsid w:val="00F82956"/>
    <w:rPr>
      <w:b/>
      <w:bCs/>
    </w:rPr>
  </w:style>
  <w:style w:type="character" w:customStyle="1" w:styleId="CommentSubjectChar">
    <w:name w:val="Comment Subject Char"/>
    <w:basedOn w:val="CommentTextChar"/>
    <w:link w:val="CommentSubject"/>
    <w:uiPriority w:val="99"/>
    <w:semiHidden/>
    <w:rsid w:val="00F829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60155">
      <w:bodyDiv w:val="1"/>
      <w:marLeft w:val="0"/>
      <w:marRight w:val="0"/>
      <w:marTop w:val="0"/>
      <w:marBottom w:val="0"/>
      <w:divBdr>
        <w:top w:val="none" w:sz="0" w:space="0" w:color="auto"/>
        <w:left w:val="none" w:sz="0" w:space="0" w:color="auto"/>
        <w:bottom w:val="none" w:sz="0" w:space="0" w:color="auto"/>
        <w:right w:val="none" w:sz="0" w:space="0" w:color="auto"/>
      </w:divBdr>
    </w:div>
    <w:div w:id="12151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chart" Target="charts/chart10.xm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doi.org/10.1007/978-1-4614-1436-0_1" TargetMode="Externa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chart" Target="charts/chart9.xml"/><Relationship Id="rId33" Type="http://schemas.openxmlformats.org/officeDocument/2006/relationships/hyperlink" Target="https://doi.org/10.1002/ijop.12400" TargetMode="External"/><Relationship Id="rId38"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image" Target="media/image4.png"/><Relationship Id="rId29" Type="http://schemas.openxmlformats.org/officeDocument/2006/relationships/chart" Target="charts/chart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chart" Target="charts/chart8.xml"/><Relationship Id="rId32" Type="http://schemas.openxmlformats.org/officeDocument/2006/relationships/hyperlink" Target="https://doi.org/10.1177/0192513X20918612"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eader" Target="header5.xml"/><Relationship Id="rId10" Type="http://schemas.openxmlformats.org/officeDocument/2006/relationships/header" Target="header3.xml"/><Relationship Id="rId19" Type="http://schemas.openxmlformats.org/officeDocument/2006/relationships/chart" Target="charts/chart5.xml"/><Relationship Id="rId31" Type="http://schemas.openxmlformats.org/officeDocument/2006/relationships/hyperlink" Target="https://doi.org/10.1177/0743558411435854"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hyperlink" Target="https://doi.org/10.1177/2156869321991892" TargetMode="External"/><Relationship Id="rId35" Type="http://schemas.openxmlformats.org/officeDocument/2006/relationships/header" Target="header4.xml"/><Relationship Id="rId8" Type="http://schemas.openxmlformats.org/officeDocument/2006/relationships/footer" Target="footer1.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V\03%20IIESCA\01%20ART&#205;CULO\ENCUESTA_EXPECTATIVAS_RACIONALE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UV\03%20IIESCA\01%20ART&#205;CULO\ENCUESTA_EXPECTATIVAS_RACIONALE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UV\03%20IIESCA\01%20ART&#205;CULO\ENCUESTA_EXPECTATIVAS_RACIONALE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UV\03%20IIESCA\01%20ART&#205;CULO\ENCUESTA_EXPECTATIVAS_RACIONALES.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UV\03%20IIESCA\01%20ART&#205;CULO\ENCUESTA_EXPECTATIVAS_RACIONAL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V\03%20IIESCA\01%20ART&#205;CULO\ENCUESTA_EXPECTATIVAS_RACIONAL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V\03%20IIESCA\01%20ART&#205;CULO\ENCUESTA_EXPECTATIVAS_RACIONAL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V\03%20IIESCA\01%20ART&#205;CULO\ENCUESTA_EXPECTATIVAS_RACIONALE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V\03%20IIESCA\01%20ART&#205;CULO\ENCUESTA_EXPECTATIVAS_RACIONALE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UV\03%20IIESCA\01%20ART&#205;CULO\ENCUESTA_EXPECTATIVAS_RACIONALE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UV\03%20IIESCA\01%20ART&#205;CULO\ENCUESTA_EXPECTATIVAS_RACIONALE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UV\03%20IIESCA\01%20ART&#205;CULO\ENCUESTA_EXPECTATIVAS_RACIONALE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UV\03%20IIESCA\01%20ART&#205;CULO\ENCUESTA_EXPECTATIVAS_RACIO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47562111570605"/>
          <c:y val="0.10347118591782829"/>
          <c:w val="0.5037384174041829"/>
          <c:h val="0.7323542907821927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2C-4FCC-A1A2-2A0012885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2C-4FCC-A1A2-2A0012885B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ESTADÍSTICAS!$AD$2:$AD$3</c:f>
              <c:strCache>
                <c:ptCount val="2"/>
                <c:pt idx="0">
                  <c:v>Si lo practica </c:v>
                </c:pt>
                <c:pt idx="1">
                  <c:v>No lo practica</c:v>
                </c:pt>
              </c:strCache>
            </c:strRef>
          </c:cat>
          <c:val>
            <c:numRef>
              <c:f>ESTADÍSTICAS!$AE$2:$AE$3</c:f>
              <c:numCache>
                <c:formatCode>General</c:formatCode>
                <c:ptCount val="2"/>
                <c:pt idx="0">
                  <c:v>25</c:v>
                </c:pt>
                <c:pt idx="1">
                  <c:v>18</c:v>
                </c:pt>
              </c:numCache>
            </c:numRef>
          </c:val>
          <c:extLst>
            <c:ext xmlns:c16="http://schemas.microsoft.com/office/drawing/2014/chart" uri="{C3380CC4-5D6E-409C-BE32-E72D297353CC}">
              <c16:uniqueId val="{00000004-1C2C-4FCC-A1A2-2A0012885B7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556496761925028"/>
          <c:y val="0.10574118390076941"/>
          <c:w val="0.55981102363949875"/>
          <c:h val="0.7560327965027440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41-4F90-AA04-064B3746DA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41-4F90-AA04-064B3746DA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ESTADÍSTICAS!$CQ$2:$CQ$3</c:f>
              <c:strCache>
                <c:ptCount val="2"/>
                <c:pt idx="0">
                  <c:v>Si la considera </c:v>
                </c:pt>
                <c:pt idx="1">
                  <c:v>No la considera</c:v>
                </c:pt>
              </c:strCache>
            </c:strRef>
          </c:cat>
          <c:val>
            <c:numRef>
              <c:f>ESTADÍSTICAS!$CR$2:$CR$3</c:f>
              <c:numCache>
                <c:formatCode>General</c:formatCode>
                <c:ptCount val="2"/>
                <c:pt idx="0">
                  <c:v>17</c:v>
                </c:pt>
                <c:pt idx="1">
                  <c:v>26</c:v>
                </c:pt>
              </c:numCache>
            </c:numRef>
          </c:val>
          <c:extLst>
            <c:ext xmlns:c16="http://schemas.microsoft.com/office/drawing/2014/chart" uri="{C3380CC4-5D6E-409C-BE32-E72D297353CC}">
              <c16:uniqueId val="{00000004-D441-4F90-AA04-064B3746DA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544070272990704"/>
          <c:y val="9.3944847716881302E-2"/>
          <c:w val="0.55615786591462868"/>
          <c:h val="0.7422382692843992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C0-41D2-9B17-39C64CE6B4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C0-41D2-9B17-39C64CE6B4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ESTADÍSTICAS!$CV$2:$CV$3</c:f>
              <c:strCache>
                <c:ptCount val="2"/>
                <c:pt idx="0">
                  <c:v>Si la reconoce</c:v>
                </c:pt>
                <c:pt idx="1">
                  <c:v>No la reconoce</c:v>
                </c:pt>
              </c:strCache>
            </c:strRef>
          </c:cat>
          <c:val>
            <c:numRef>
              <c:f>ESTADÍSTICAS!$CW$2:$CW$3</c:f>
              <c:numCache>
                <c:formatCode>General</c:formatCode>
                <c:ptCount val="2"/>
                <c:pt idx="0">
                  <c:v>30</c:v>
                </c:pt>
                <c:pt idx="1">
                  <c:v>13</c:v>
                </c:pt>
              </c:numCache>
            </c:numRef>
          </c:val>
          <c:extLst>
            <c:ext xmlns:c16="http://schemas.microsoft.com/office/drawing/2014/chart" uri="{C3380CC4-5D6E-409C-BE32-E72D297353CC}">
              <c16:uniqueId val="{00000004-06C0-41D2-9B17-39C64CE6B45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492917674539608"/>
          <c:y val="0.10376707152165832"/>
          <c:w val="0.54880549758940789"/>
          <c:h val="0.736454664671546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DA-4E2F-9CA2-067D8C4B65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DA-4E2F-9CA2-067D8C4B65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ESTADÍSTICAS!$DA$2:$DA$3</c:f>
              <c:strCache>
                <c:ptCount val="2"/>
                <c:pt idx="0">
                  <c:v>Los tiene</c:v>
                </c:pt>
                <c:pt idx="1">
                  <c:v>No los tiene</c:v>
                </c:pt>
              </c:strCache>
            </c:strRef>
          </c:cat>
          <c:val>
            <c:numRef>
              <c:f>ESTADÍSTICAS!$DB$2:$DB$3</c:f>
              <c:numCache>
                <c:formatCode>General</c:formatCode>
                <c:ptCount val="2"/>
                <c:pt idx="0">
                  <c:v>35</c:v>
                </c:pt>
                <c:pt idx="1">
                  <c:v>8</c:v>
                </c:pt>
              </c:numCache>
            </c:numRef>
          </c:val>
          <c:extLst>
            <c:ext xmlns:c16="http://schemas.microsoft.com/office/drawing/2014/chart" uri="{C3380CC4-5D6E-409C-BE32-E72D297353CC}">
              <c16:uniqueId val="{00000004-24DA-4E2F-9CA2-067D8C4B65F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981640673483279"/>
          <c:y val="0.13200727153665595"/>
          <c:w val="0.53097030148233781"/>
          <c:h val="0.708286945794978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EF-4745-8BDD-80F5CAFB03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EF-4745-8BDD-80F5CAFB03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ESTADÍSTICAS!$DF$2:$DF$3</c:f>
              <c:strCache>
                <c:ptCount val="2"/>
                <c:pt idx="0">
                  <c:v>Los tiene</c:v>
                </c:pt>
                <c:pt idx="1">
                  <c:v>No los tiene</c:v>
                </c:pt>
              </c:strCache>
            </c:strRef>
          </c:cat>
          <c:val>
            <c:numRef>
              <c:f>ESTADÍSTICAS!$DG$2:$DG$3</c:f>
              <c:numCache>
                <c:formatCode>General</c:formatCode>
                <c:ptCount val="2"/>
                <c:pt idx="0">
                  <c:v>40</c:v>
                </c:pt>
                <c:pt idx="1">
                  <c:v>3</c:v>
                </c:pt>
              </c:numCache>
            </c:numRef>
          </c:val>
          <c:extLst>
            <c:ext xmlns:c16="http://schemas.microsoft.com/office/drawing/2014/chart" uri="{C3380CC4-5D6E-409C-BE32-E72D297353CC}">
              <c16:uniqueId val="{00000004-A6EF-4745-8BDD-80F5CAFB032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02043150645898"/>
          <c:y val="0.13517880019311257"/>
          <c:w val="0.49824916401464187"/>
          <c:h val="0.701278420430397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7D-4F61-999E-61A5726C65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7D-4F61-999E-61A5726C65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ESTADÍSTICAS!$AN$2:$AN$3</c:f>
              <c:strCache>
                <c:ptCount val="2"/>
                <c:pt idx="0">
                  <c:v>Cambia frecuentemente</c:v>
                </c:pt>
                <c:pt idx="1">
                  <c:v>No cambia frecuentemente</c:v>
                </c:pt>
              </c:strCache>
            </c:strRef>
          </c:cat>
          <c:val>
            <c:numRef>
              <c:f>ESTADÍSTICAS!$AO$2:$AO$3</c:f>
              <c:numCache>
                <c:formatCode>General</c:formatCode>
                <c:ptCount val="2"/>
                <c:pt idx="0">
                  <c:v>14</c:v>
                </c:pt>
                <c:pt idx="1">
                  <c:v>29</c:v>
                </c:pt>
              </c:numCache>
            </c:numRef>
          </c:val>
          <c:extLst>
            <c:ext xmlns:c16="http://schemas.microsoft.com/office/drawing/2014/chart" uri="{C3380CC4-5D6E-409C-BE32-E72D297353CC}">
              <c16:uniqueId val="{00000004-FA7D-4F61-999E-61A5726C656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12481752575483"/>
          <c:y val="0.12968093724259525"/>
          <c:w val="0.51324666945598996"/>
          <c:h val="0.7172229445628175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894-4402-9D67-B0F0F4D457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94-4402-9D67-B0F0F4D457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ESTADÍSTICAS!$AS$2:$AS$3</c:f>
              <c:strCache>
                <c:ptCount val="2"/>
                <c:pt idx="0">
                  <c:v>Si analiza la forma de contribuir</c:v>
                </c:pt>
                <c:pt idx="1">
                  <c:v>No analiza la forma de contribuir</c:v>
                </c:pt>
              </c:strCache>
            </c:strRef>
          </c:cat>
          <c:val>
            <c:numRef>
              <c:f>ESTADÍSTICAS!$AT$2:$AT$3</c:f>
              <c:numCache>
                <c:formatCode>General</c:formatCode>
                <c:ptCount val="2"/>
                <c:pt idx="0">
                  <c:v>30</c:v>
                </c:pt>
                <c:pt idx="1">
                  <c:v>13</c:v>
                </c:pt>
              </c:numCache>
            </c:numRef>
          </c:val>
          <c:extLst>
            <c:ext xmlns:c16="http://schemas.microsoft.com/office/drawing/2014/chart" uri="{C3380CC4-5D6E-409C-BE32-E72D297353CC}">
              <c16:uniqueId val="{00000004-8894-4402-9D67-B0F0F4D457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78903634387852"/>
          <c:y val="0.11166703362614169"/>
          <c:w val="0.53212346382339781"/>
          <c:h val="0.739648705898430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DD-44C9-B7DD-B91B110643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DD-44C9-B7DD-B91B110643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ESTADÍSTICAS!$AX$2:$AX$3</c:f>
              <c:strCache>
                <c:ptCount val="2"/>
                <c:pt idx="0">
                  <c:v>Si ha apoyado</c:v>
                </c:pt>
                <c:pt idx="1">
                  <c:v>No ha apoyado</c:v>
                </c:pt>
              </c:strCache>
            </c:strRef>
          </c:cat>
          <c:val>
            <c:numRef>
              <c:f>ESTADÍSTICAS!$AY$2:$AY$3</c:f>
              <c:numCache>
                <c:formatCode>General</c:formatCode>
                <c:ptCount val="2"/>
                <c:pt idx="0">
                  <c:v>35</c:v>
                </c:pt>
                <c:pt idx="1">
                  <c:v>8</c:v>
                </c:pt>
              </c:numCache>
            </c:numRef>
          </c:val>
          <c:extLst>
            <c:ext xmlns:c16="http://schemas.microsoft.com/office/drawing/2014/chart" uri="{C3380CC4-5D6E-409C-BE32-E72D297353CC}">
              <c16:uniqueId val="{00000004-93DD-44C9-B7DD-B91B1106433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38026737698744"/>
          <c:y val="0.10356834236974963"/>
          <c:w val="0.54225451557477067"/>
          <c:h val="0.7439289280415083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CC5-4C80-855E-326334DC70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CC5-4C80-855E-326334DC70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ESTADÍSTICAS!$BH$2:$BH$3</c:f>
              <c:strCache>
                <c:ptCount val="2"/>
                <c:pt idx="0">
                  <c:v>Reflexiona</c:v>
                </c:pt>
                <c:pt idx="1">
                  <c:v>No reflexiona</c:v>
                </c:pt>
              </c:strCache>
            </c:strRef>
          </c:cat>
          <c:val>
            <c:numRef>
              <c:f>ESTADÍSTICAS!$BI$2:$BI$3</c:f>
              <c:numCache>
                <c:formatCode>General</c:formatCode>
                <c:ptCount val="2"/>
                <c:pt idx="0">
                  <c:v>40</c:v>
                </c:pt>
                <c:pt idx="1">
                  <c:v>3</c:v>
                </c:pt>
              </c:numCache>
            </c:numRef>
          </c:val>
          <c:extLst>
            <c:ext xmlns:c16="http://schemas.microsoft.com/office/drawing/2014/chart" uri="{C3380CC4-5D6E-409C-BE32-E72D297353CC}">
              <c16:uniqueId val="{00000004-ACC5-4C80-855E-326334DC70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253655089109634"/>
          <c:y val="0.10883541633365861"/>
          <c:w val="0.54896236303949142"/>
          <c:h val="0.7403323336571195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8EB-479B-8E39-1FB199E260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8EB-479B-8E39-1FB199E260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ESTADÍSTICAS!$BW$2:$BW$3</c:f>
              <c:strCache>
                <c:ptCount val="2"/>
                <c:pt idx="0">
                  <c:v>Los tiene</c:v>
                </c:pt>
                <c:pt idx="1">
                  <c:v>No los tiene</c:v>
                </c:pt>
              </c:strCache>
            </c:strRef>
          </c:cat>
          <c:val>
            <c:numRef>
              <c:f>ESTADÍSTICAS!$BX$2:$BX$3</c:f>
              <c:numCache>
                <c:formatCode>General</c:formatCode>
                <c:ptCount val="2"/>
                <c:pt idx="0">
                  <c:v>37</c:v>
                </c:pt>
                <c:pt idx="1">
                  <c:v>6</c:v>
                </c:pt>
              </c:numCache>
            </c:numRef>
          </c:val>
          <c:extLst>
            <c:ext xmlns:c16="http://schemas.microsoft.com/office/drawing/2014/chart" uri="{C3380CC4-5D6E-409C-BE32-E72D297353CC}">
              <c16:uniqueId val="{00000004-48EB-479B-8E39-1FB199E260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21409182270908"/>
          <c:y val="7.5746110370134567E-2"/>
          <c:w val="0.55564190939293678"/>
          <c:h val="0.749682216736759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63-4509-A286-F77A86A969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63-4509-A286-F77A86A969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ESTADÍSTICAS!$CB$2:$CB$3</c:f>
              <c:strCache>
                <c:ptCount val="2"/>
                <c:pt idx="0">
                  <c:v>Son propios</c:v>
                </c:pt>
                <c:pt idx="1">
                  <c:v>No son propios </c:v>
                </c:pt>
              </c:strCache>
            </c:strRef>
          </c:cat>
          <c:val>
            <c:numRef>
              <c:f>ESTADÍSTICAS!$CC$2:$CC$3</c:f>
              <c:numCache>
                <c:formatCode>General</c:formatCode>
                <c:ptCount val="2"/>
                <c:pt idx="0">
                  <c:v>17</c:v>
                </c:pt>
                <c:pt idx="1">
                  <c:v>26</c:v>
                </c:pt>
              </c:numCache>
            </c:numRef>
          </c:val>
          <c:extLst>
            <c:ext xmlns:c16="http://schemas.microsoft.com/office/drawing/2014/chart" uri="{C3380CC4-5D6E-409C-BE32-E72D297353CC}">
              <c16:uniqueId val="{00000004-4D63-4509-A286-F77A86A9692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811434805709333"/>
          <c:y val="8.364739563303851E-2"/>
          <c:w val="0.54801373981337065"/>
          <c:h val="0.7392690271964390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8A-457C-94A8-78B1081CF7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8A-457C-94A8-78B1081CF7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ESTADÍSTICAS!$CG$2:$CG$3</c:f>
              <c:strCache>
                <c:ptCount val="2"/>
                <c:pt idx="0">
                  <c:v>Se siente conforme</c:v>
                </c:pt>
                <c:pt idx="1">
                  <c:v>No se siente conforme</c:v>
                </c:pt>
              </c:strCache>
            </c:strRef>
          </c:cat>
          <c:val>
            <c:numRef>
              <c:f>ESTADÍSTICAS!$CH$2:$CH$3</c:f>
              <c:numCache>
                <c:formatCode>General</c:formatCode>
                <c:ptCount val="2"/>
                <c:pt idx="0">
                  <c:v>24</c:v>
                </c:pt>
                <c:pt idx="1">
                  <c:v>19</c:v>
                </c:pt>
              </c:numCache>
            </c:numRef>
          </c:val>
          <c:extLst>
            <c:ext xmlns:c16="http://schemas.microsoft.com/office/drawing/2014/chart" uri="{C3380CC4-5D6E-409C-BE32-E72D297353CC}">
              <c16:uniqueId val="{00000004-FA8A-457C-94A8-78B1081CF7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040946823356508"/>
          <c:y val="9.9440812772825363E-2"/>
          <c:w val="0.54837258510575904"/>
          <c:h val="0.738108520157329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68-44ED-8ED5-4DE3453A2C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68-44ED-8ED5-4DE3453A2C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ESTADÍSTICAS!$CL$2:$CL$3</c:f>
              <c:strCache>
                <c:ptCount val="2"/>
                <c:pt idx="0">
                  <c:v>Se siente valorado</c:v>
                </c:pt>
                <c:pt idx="1">
                  <c:v>No se sinte valorado</c:v>
                </c:pt>
              </c:strCache>
            </c:strRef>
          </c:cat>
          <c:val>
            <c:numRef>
              <c:f>ESTADÍSTICAS!$CM$2:$CM$3</c:f>
              <c:numCache>
                <c:formatCode>General</c:formatCode>
                <c:ptCount val="2"/>
                <c:pt idx="0">
                  <c:v>34</c:v>
                </c:pt>
                <c:pt idx="1">
                  <c:v>9</c:v>
                </c:pt>
              </c:numCache>
            </c:numRef>
          </c:val>
          <c:extLst>
            <c:ext xmlns:c16="http://schemas.microsoft.com/office/drawing/2014/chart" uri="{C3380CC4-5D6E-409C-BE32-E72D297353CC}">
              <c16:uniqueId val="{00000004-3768-44ED-8ED5-4DE3453A2CC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598</TotalTime>
  <Pages>19</Pages>
  <Words>5194</Words>
  <Characters>29607</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gonzalez muñoz</dc:creator>
  <cp:keywords/>
  <dc:description/>
  <cp:lastModifiedBy>Editor-1183</cp:lastModifiedBy>
  <cp:revision>17</cp:revision>
  <dcterms:created xsi:type="dcterms:W3CDTF">2026-04-01T01:29:00Z</dcterms:created>
  <dcterms:modified xsi:type="dcterms:W3CDTF">2026-04-14T11:18:00Z</dcterms:modified>
</cp:coreProperties>
</file>