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F141D" w14:textId="6EDEF945" w:rsidR="00996B73" w:rsidRDefault="00996B73">
      <w:pPr>
        <w:spacing w:after="160"/>
        <w:rPr>
          <w:rFonts w:ascii="Arial" w:eastAsia="Arial" w:hAnsi="Arial" w:cs="Arial"/>
          <w:b/>
          <w:bCs/>
          <w:sz w:val="36"/>
          <w:szCs w:val="36"/>
          <w:u w:val="single"/>
        </w:rPr>
      </w:pPr>
      <w:r w:rsidRPr="00996B73">
        <w:rPr>
          <w:rFonts w:ascii="Arial" w:eastAsia="Arial" w:hAnsi="Arial" w:cs="Arial"/>
          <w:b/>
          <w:bCs/>
          <w:sz w:val="36"/>
          <w:szCs w:val="36"/>
          <w:u w:val="single"/>
        </w:rPr>
        <w:t>Original Research Article</w:t>
      </w:r>
    </w:p>
    <w:p w14:paraId="408B5E25" w14:textId="77777777" w:rsidR="0078489C" w:rsidRDefault="0078489C" w:rsidP="0078489C">
      <w:pPr>
        <w:spacing w:before="120"/>
        <w:jc w:val="center"/>
      </w:pPr>
      <w:r>
        <w:rPr>
          <w:b/>
          <w:sz w:val="28"/>
        </w:rPr>
        <w:t>Predictive Compliance Modeling for Resource Conservation and Recovery Act (RCRA) Hazardous Was</w:t>
      </w:r>
      <w:bookmarkStart w:id="0" w:name="_GoBack"/>
      <w:bookmarkEnd w:id="0"/>
      <w:r>
        <w:rPr>
          <w:b/>
          <w:sz w:val="28"/>
        </w:rPr>
        <w:t>te Generators: A Data-Driven Approach for Inspection Targeting</w:t>
      </w:r>
    </w:p>
    <w:p w14:paraId="3DA7910D" w14:textId="77777777" w:rsidR="0078489C" w:rsidRDefault="0078489C" w:rsidP="0078489C"/>
    <w:p w14:paraId="607470DE" w14:textId="77777777" w:rsidR="0078489C" w:rsidRDefault="0078489C" w:rsidP="0078489C">
      <w:pPr>
        <w:spacing w:before="160" w:after="80"/>
      </w:pPr>
      <w:r>
        <w:rPr>
          <w:b/>
          <w:sz w:val="24"/>
        </w:rPr>
        <w:t>ABSTRACT</w:t>
      </w:r>
    </w:p>
    <w:p w14:paraId="6E1AE9FC" w14:textId="77342B68" w:rsidR="0078489C" w:rsidRDefault="0078489C" w:rsidP="0078489C">
      <w:pPr>
        <w:spacing w:after="120"/>
        <w:jc w:val="both"/>
      </w:pPr>
      <w:r>
        <w:rPr>
          <w:sz w:val="22"/>
        </w:rPr>
        <w:t>The improper management of hazardous waste poses severe risks to human health and the environment, making effective regulatory enforcement a critical priority for environmental agencies. The Resource Conservation and Recovery Act (RCRA) governs hazardous waste management across the United States, yet traditional inspection-targeting methods—based on cyclical schedules or facility size alone—are insufficient to proactively identify non-compliant generators. This study presents a data-</w:t>
      </w:r>
      <w:proofErr w:type="spellStart"/>
      <w:r>
        <w:rPr>
          <w:sz w:val="22"/>
        </w:rPr>
        <w:t>driven</w:t>
      </w:r>
      <w:r w:rsidR="00A8208C">
        <w:rPr>
          <w:sz w:val="22"/>
        </w:rPr>
        <w:t>f</w:t>
      </w:r>
      <w:proofErr w:type="spellEnd"/>
      <w:r>
        <w:rPr>
          <w:sz w:val="22"/>
        </w:rPr>
        <w:t xml:space="preserve"> predictive compliance modeling framework that integrates multi-source regulatory datasets, including EPA RCRA Info, Biennial Reports, Annual Reports, and Tier Two chemical inventory data, to predict which hazardous waste generators are most likely to be out of compliance in the next reporting cycle. Two ensemble machine learning algorithms, Random Forest (RF) and Gradient Boosting (GB), were evaluated on six engineered feature categories: past violation history, total annual waste quantity, number of waste streams, facility size, time since last inspection, and waste toxicity. Feature importance analysis identified past violation history as the dominant predictor (importance = 0.35), followed by total annual waste quantity (0.25) and number of waste streams (0.18), reflecting recidivism and operational complexity as the primary drivers of non-compliance. Performance simulations grounded in published EPA and NYSDEC field test benchmarks indicate that the proposed framework can improve inspection hit rates by 46–79% over conventional targeting strategies. The framework is portable across jurisdictions and provides a scalable, interpretable, and auditable tool for modernizing risk-based RCRA enforcement.</w:t>
      </w:r>
    </w:p>
    <w:p w14:paraId="198F539F" w14:textId="77777777" w:rsidR="0078489C" w:rsidRDefault="0078489C" w:rsidP="0078489C">
      <w:r>
        <w:rPr>
          <w:b/>
          <w:sz w:val="22"/>
        </w:rPr>
        <w:t xml:space="preserve">Keywords: </w:t>
      </w:r>
      <w:r>
        <w:rPr>
          <w:sz w:val="22"/>
        </w:rPr>
        <w:t>RCRA; Hazardous Waste; Machine Learning; Predictive Compliance; Inspection Targeting.</w:t>
      </w:r>
    </w:p>
    <w:p w14:paraId="2A87C3F8" w14:textId="77777777" w:rsidR="0078489C" w:rsidRDefault="0078489C" w:rsidP="0078489C"/>
    <w:p w14:paraId="3575C654" w14:textId="77777777" w:rsidR="0078489C" w:rsidRDefault="0078489C" w:rsidP="0078489C">
      <w:pPr>
        <w:spacing w:before="160" w:after="80"/>
      </w:pPr>
      <w:r>
        <w:rPr>
          <w:b/>
          <w:sz w:val="24"/>
        </w:rPr>
        <w:t>1. INTRODUCTION</w:t>
      </w:r>
    </w:p>
    <w:p w14:paraId="02465811" w14:textId="77777777" w:rsidR="0078489C" w:rsidRDefault="0078489C" w:rsidP="0078489C">
      <w:pPr>
        <w:spacing w:after="120"/>
        <w:jc w:val="both"/>
      </w:pPr>
      <w:r>
        <w:rPr>
          <w:sz w:val="22"/>
        </w:rPr>
        <w:t>The management and regulation of hazardous waste pursuant to the Resource Conservation and Recovery Act (RCRA) constitute one of the foremost challenges faced by environmental protection agencies throughout the United States. Enacted in 1976, RCRA grants regulatory authority over hazardous waste from generation to final disposal—a principle commonly described as 'cradle-to-grave' management [1]. State agencies are responsible for supervising a wide array of hazardous waste generators, ranging from large industrial operations to small enterprises, thereby ensuring compliance with both federal RCRA mandates and state-specific hazardous waste regulations. Achieving compliance across this extensive population is a formidable undertaking, often hampered by limited inspector availability and budgetary constraints.</w:t>
      </w:r>
    </w:p>
    <w:p w14:paraId="5FAD2598" w14:textId="77777777" w:rsidR="0078489C" w:rsidRDefault="0078489C" w:rsidP="0078489C">
      <w:pPr>
        <w:spacing w:after="120"/>
        <w:jc w:val="both"/>
      </w:pPr>
      <w:r>
        <w:rPr>
          <w:sz w:val="22"/>
        </w:rPr>
        <w:t xml:space="preserve">Traditionally, inspection targeting has relied on cyclical schedules, facility size categories (such as Large Quantity Generators versus Small Quantity Generators), or reactive triggers such as citizen complaints. While these methods establish a basic enforcement framework, they are inherently limited in their capacity to proactively identify facilities at elevated risk of </w:t>
      </w:r>
      <w:r>
        <w:rPr>
          <w:sz w:val="22"/>
        </w:rPr>
        <w:lastRenderedPageBreak/>
        <w:t>non-compliance. Stafford (2013) demonstrated that inspection patterns under traditional targeting are largely predictable and do not effectively concentrate resources on high-risk sites [4].</w:t>
      </w:r>
    </w:p>
    <w:p w14:paraId="10881283" w14:textId="77777777" w:rsidR="0078489C" w:rsidRDefault="0078489C" w:rsidP="0078489C">
      <w:pPr>
        <w:spacing w:after="120"/>
        <w:jc w:val="both"/>
      </w:pPr>
      <w:r>
        <w:rPr>
          <w:sz w:val="22"/>
        </w:rPr>
        <w:t>Recent advances in machine learning (ML) offer a pathway to more sophisticated, risk-informed targeting strategies. By examining historical compliance records and facility-level operational features, ML models can identify patterns predictive of future violations, enabling agencies to deploy inspection resources where they are most likely to yield environmental and public health benefits [1,2]. Potash et al. (2018) demonstrated this approach in collaboration with the New York State Department of Environmental Conservation (NYSDEC), showing that predictive models trained on RCRA reporting and enforcement data could substantially increase the proportion of inspections detecting violations [1]. A national field test conducted by Greenstone et al. (2021) for the U.S. Environmental Protection Agency (EPA) confirmed that ML-driven targeting improved inspection hit rates by 46–79% compared to expert judgment [2].</w:t>
      </w:r>
    </w:p>
    <w:p w14:paraId="4F3AF159" w14:textId="77777777" w:rsidR="0078489C" w:rsidRDefault="0078489C" w:rsidP="0078489C">
      <w:pPr>
        <w:spacing w:after="120"/>
        <w:jc w:val="both"/>
      </w:pPr>
      <w:r>
        <w:rPr>
          <w:sz w:val="22"/>
        </w:rPr>
        <w:t>More recently, Zhou et al. (2023) demonstrated that sliding-window ML approaches achieve an AUC exceeding 0.83 for predicting enterprise inspection failure, proposing risk-based allocation scenarios that increased detected failure rates by more than eightfold over baseline [11]. Ding et al. (2023) extended ensemble learning methods to identify probable hazardous-waste illegal-dumping sites from sparsely labeled environmental data [12]. Fang et al. (2025) developed a probabilistic ML framework to detect underreporting of hazardous-waste generation quantities, enabling targeted enforcement audits through fraud-risk scoring [13]. Collectively, these studies confirm that ML is a validated and increasingly indispensable tool for environmental compliance enforcement.</w:t>
      </w:r>
    </w:p>
    <w:p w14:paraId="2349C14B" w14:textId="77777777" w:rsidR="0078489C" w:rsidRDefault="0078489C" w:rsidP="0078489C">
      <w:pPr>
        <w:spacing w:after="120"/>
        <w:jc w:val="both"/>
      </w:pPr>
      <w:r>
        <w:rPr>
          <w:sz w:val="22"/>
        </w:rPr>
        <w:t>Despite these advances, no published study has yet operationalized a predictive compliance framework that simultaneously integrates EPA RCRA Info, Biennial Reports, Annual Reports, and Tier Two chemical inventory data within a single, portable pipeline architecture. The present study addresses this gap. The specific research objectives are: (1) to design and document a five-stage ML pipeline integrating multi-source RCRA datasets; (2) to engineer and evaluate six feature categories predictive of generator non-compliance; (3) to compare the predictive performance of Random Forest and Gradient Boosting algorithms; and (4) to quantify projected improvements in inspection hit rates using published field-test benchmarks as simulation anchors. The framework is designed to be portable across jurisdictions, enabling any state or tribal agency with access to RCRA reporting data to deploy the same pipeline architecture.</w:t>
      </w:r>
    </w:p>
    <w:p w14:paraId="5F892B8B" w14:textId="77777777" w:rsidR="0078489C" w:rsidRDefault="0078489C" w:rsidP="0078489C"/>
    <w:p w14:paraId="2C585069" w14:textId="77777777" w:rsidR="0078489C" w:rsidRDefault="0078489C" w:rsidP="0078489C">
      <w:pPr>
        <w:spacing w:before="160" w:after="80"/>
      </w:pPr>
      <w:r>
        <w:rPr>
          <w:b/>
          <w:sz w:val="24"/>
        </w:rPr>
        <w:t>2. METHODOLOGY</w:t>
      </w:r>
    </w:p>
    <w:p w14:paraId="5311889C" w14:textId="77777777" w:rsidR="0078489C" w:rsidRDefault="0078489C" w:rsidP="0078489C">
      <w:pPr>
        <w:spacing w:after="120"/>
        <w:jc w:val="both"/>
      </w:pPr>
      <w:r>
        <w:rPr>
          <w:sz w:val="22"/>
        </w:rPr>
        <w:t>The methodology follows a structured five-stage machine learning pipeline illustrated in Figure 1. The pipeline encompasses data acquisition, data processing, model development, output generation, and a continuous feedback loop for model retraining.</w:t>
      </w:r>
    </w:p>
    <w:p w14:paraId="62B2B8EA" w14:textId="77777777" w:rsidR="0078489C" w:rsidRDefault="0078489C" w:rsidP="0078489C">
      <w:pPr>
        <w:jc w:val="center"/>
      </w:pPr>
      <w:r>
        <w:rPr>
          <w:noProof/>
        </w:rPr>
        <w:lastRenderedPageBreak/>
        <w:drawing>
          <wp:inline distT="0" distB="0" distL="0" distR="0" wp14:anchorId="5AC45116" wp14:editId="38679A7A">
            <wp:extent cx="5303520" cy="29601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ra_ml_pipeline_diagram.png"/>
                    <pic:cNvPicPr/>
                  </pic:nvPicPr>
                  <pic:blipFill>
                    <a:blip r:embed="rId8"/>
                    <a:stretch>
                      <a:fillRect/>
                    </a:stretch>
                  </pic:blipFill>
                  <pic:spPr>
                    <a:xfrm>
                      <a:off x="0" y="0"/>
                      <a:ext cx="5303520" cy="2960104"/>
                    </a:xfrm>
                    <a:prstGeom prst="rect">
                      <a:avLst/>
                    </a:prstGeom>
                  </pic:spPr>
                </pic:pic>
              </a:graphicData>
            </a:graphic>
          </wp:inline>
        </w:drawing>
      </w:r>
    </w:p>
    <w:p w14:paraId="7D6CC697" w14:textId="77777777" w:rsidR="0078489C" w:rsidRDefault="0078489C" w:rsidP="0078489C">
      <w:pPr>
        <w:spacing w:before="40"/>
        <w:jc w:val="center"/>
      </w:pPr>
      <w:r>
        <w:rPr>
          <w:i/>
        </w:rPr>
        <w:t>Figure 1. Machine Learning Pipeline for Predictive Compliance in RCRA Hazardous Waste Management. The five-stage pipeline encompasses data ingestion from EPA RCRA Info, Biennial Reports, and Tier Two data (Stage 1); feature engineering, missing value handling, and temporal splitting (Stage 2); parallel Random Forest and Gradient Boosting model training (Stage 3); generation of Compliance Risk Scores and an Inspection Prioritization List (Stage 4); and a continuous feedback loop incorporating actual inspection results to retrain the model (Stage 5).</w:t>
      </w:r>
    </w:p>
    <w:p w14:paraId="510B8A09" w14:textId="77777777" w:rsidR="0078489C" w:rsidRDefault="0078489C" w:rsidP="0078489C">
      <w:pPr>
        <w:spacing w:before="160" w:after="80"/>
      </w:pPr>
      <w:r>
        <w:rPr>
          <w:b/>
          <w:sz w:val="22"/>
        </w:rPr>
        <w:t>2.1 Data Sources and Acquisition</w:t>
      </w:r>
    </w:p>
    <w:p w14:paraId="42BB6CC9" w14:textId="77777777" w:rsidR="0078489C" w:rsidRDefault="0078489C" w:rsidP="0078489C">
      <w:pPr>
        <w:spacing w:after="120"/>
        <w:jc w:val="both"/>
      </w:pPr>
      <w:r>
        <w:rPr>
          <w:sz w:val="22"/>
        </w:rPr>
        <w:t>Three primary data sources were integrated to maximize feature richness (Figure 3). The EPA RCRA Info provides facility identifiers, historical inspections, enforcement actions, and compliance evaluations, establishing historical compliance baselines and binary training labels (violation vs. no violation). Washington State Biennial and Annual Reports contain detailed information on the types and quantities of waste generated, managed, and shipped. Annual reporting provides higher temporal resolution than the federal biennial cycle alone, enabling detection of subtle changes in waste management practices between reporting periods. Tier Two Data, collected under the Emergency Planning and Community Right-to-Know Act (EPCRA), describes hazardous chemicals stored on-site, giving the model insight into a facility's chemical risk profile beyond its formal waste streams—particularly useful for identifying potential mismanagement of raw materials that may eventually become regulated hazardous waste. Direct access to these datasets at the state level is a significant operational differentiator, enabling more precise feature engineering that accurately reflects the jurisdiction's industrial and regulatory landscape [3].</w:t>
      </w:r>
    </w:p>
    <w:p w14:paraId="2B493BFA" w14:textId="77777777" w:rsidR="0078489C" w:rsidRDefault="0078489C" w:rsidP="0078489C">
      <w:pPr>
        <w:spacing w:before="160" w:after="80"/>
      </w:pPr>
      <w:r>
        <w:rPr>
          <w:b/>
          <w:sz w:val="22"/>
        </w:rPr>
        <w:t>2.2 Data Preprocessing and Feature Engineering</w:t>
      </w:r>
    </w:p>
    <w:p w14:paraId="338EC14F" w14:textId="77777777" w:rsidR="0078489C" w:rsidRDefault="0078489C" w:rsidP="0078489C">
      <w:pPr>
        <w:spacing w:after="120"/>
        <w:jc w:val="both"/>
      </w:pPr>
      <w:r>
        <w:rPr>
          <w:sz w:val="22"/>
        </w:rPr>
        <w:t>Data processing involved: (</w:t>
      </w:r>
      <w:proofErr w:type="spellStart"/>
      <w:r>
        <w:rPr>
          <w:sz w:val="22"/>
        </w:rPr>
        <w:t>i</w:t>
      </w:r>
      <w:proofErr w:type="spellEnd"/>
      <w:r>
        <w:rPr>
          <w:sz w:val="22"/>
        </w:rPr>
        <w:t>) merging facility records across the three source systems using the EPA Handler ID as the common key; (ii) imputing missing values using median imputation for continuous features and mode imputation for categorical features; and (iii) performing temporal splitting—training on reporting cycles prior to the most recent cycle and testing on the most recent cycle—to prevent data leakage and simulate prospective deployment. Six primary feature categories were engineered from the integrated dataset (Table 2):</w:t>
      </w:r>
    </w:p>
    <w:p w14:paraId="069AC53A" w14:textId="77777777" w:rsidR="0078489C" w:rsidRDefault="0078489C" w:rsidP="0078489C">
      <w:pPr>
        <w:pStyle w:val="ListBullet"/>
        <w:spacing w:after="60"/>
      </w:pPr>
      <w:r>
        <w:lastRenderedPageBreak/>
        <w:t>Past Violation History: A count and severity-weighted score of violations within the prior five years, capturing the recidivism pattern of non-compliant facilities (importance = 0.35) [4].</w:t>
      </w:r>
    </w:p>
    <w:p w14:paraId="7A8CE728" w14:textId="77777777" w:rsidR="0078489C" w:rsidRDefault="0078489C" w:rsidP="0078489C">
      <w:pPr>
        <w:pStyle w:val="ListBullet"/>
        <w:spacing w:after="60"/>
      </w:pPr>
      <w:r>
        <w:t>Total Annual Waste Quantity: The total mass (kg) of hazardous waste generated annually; larger volumes are associated with more complex management requirements and a higher probability of mismanagement [1].</w:t>
      </w:r>
    </w:p>
    <w:p w14:paraId="0A8CE65E" w14:textId="77777777" w:rsidR="0078489C" w:rsidRDefault="0078489C" w:rsidP="0078489C">
      <w:pPr>
        <w:pStyle w:val="ListBullet"/>
        <w:spacing w:after="60"/>
      </w:pPr>
      <w:r>
        <w:t>Number of Waste Streams: The count of distinct EPA waste codes (D, F, K, P, U series) handled by the facility; a higher count increases compliance monitoring complexity [12].</w:t>
      </w:r>
    </w:p>
    <w:p w14:paraId="5A6E48C9" w14:textId="77777777" w:rsidR="0078489C" w:rsidRDefault="0078489C" w:rsidP="0078489C">
      <w:pPr>
        <w:pStyle w:val="ListBullet"/>
        <w:spacing w:after="60"/>
      </w:pPr>
      <w:r>
        <w:t>Facility Size: Categorical classification as LQG, SQG, or VSQG based on monthly generation thresholds established under 40 CFR Part 262.</w:t>
      </w:r>
    </w:p>
    <w:p w14:paraId="53EB4067" w14:textId="77777777" w:rsidR="0078489C" w:rsidRDefault="0078489C" w:rsidP="0078489C">
      <w:pPr>
        <w:pStyle w:val="ListBullet"/>
        <w:spacing w:after="60"/>
      </w:pPr>
      <w:r>
        <w:t>Time Since Last Inspection: Days elapsed since the facility's most recent compliance evaluation; extended gaps are associated with compliance drift [11].</w:t>
      </w:r>
    </w:p>
    <w:p w14:paraId="03129327" w14:textId="77777777" w:rsidR="0078489C" w:rsidRDefault="0078489C" w:rsidP="0078489C">
      <w:pPr>
        <w:pStyle w:val="ListBullet"/>
        <w:spacing w:after="60"/>
      </w:pPr>
      <w:r>
        <w:t>Waste Toxicity: A weighted score based on the presence of acutely hazardous P-listed and K-listed waste codes requiring specialized handling protocols under RCRA [13].</w:t>
      </w:r>
    </w:p>
    <w:p w14:paraId="7AA3E993" w14:textId="77777777" w:rsidR="0078489C" w:rsidRDefault="0078489C" w:rsidP="0078489C">
      <w:pPr>
        <w:spacing w:before="160" w:after="80"/>
      </w:pPr>
      <w:r>
        <w:rPr>
          <w:b/>
          <w:sz w:val="22"/>
        </w:rPr>
        <w:t>2.3 Model Development and Training</w:t>
      </w:r>
    </w:p>
    <w:p w14:paraId="7D44A543" w14:textId="77777777" w:rsidR="0078489C" w:rsidRDefault="0078489C" w:rsidP="0078489C">
      <w:pPr>
        <w:spacing w:before="160" w:after="80"/>
      </w:pPr>
      <w:r>
        <w:rPr>
          <w:sz w:val="22"/>
        </w:rPr>
        <w:t>2.3.1 Random Forest (RF)</w:t>
      </w:r>
    </w:p>
    <w:p w14:paraId="4D84EBA8" w14:textId="77777777" w:rsidR="0078489C" w:rsidRDefault="0078489C" w:rsidP="0078489C">
      <w:pPr>
        <w:spacing w:after="120"/>
        <w:jc w:val="both"/>
      </w:pPr>
      <w:r>
        <w:rPr>
          <w:sz w:val="22"/>
        </w:rPr>
        <w:t>Random Forest constructs a large number of decision trees from bootstrapped subsets of the training data and aggregates their predictions by majority vote. In this study, the RF model was parameterized with 500 estimators, and maximum tree depth was optimized through five-fold stratified cross-validation. RF</w:t>
      </w:r>
      <w:r>
        <w:t xml:space="preserve"> </w:t>
      </w:r>
      <w:r>
        <w:rPr>
          <w:sz w:val="22"/>
        </w:rPr>
        <w:t>provides built-in, permutation-based feature importance scores essential for regulatory interpretability [8,14].</w:t>
      </w:r>
    </w:p>
    <w:p w14:paraId="7F5170A8" w14:textId="77777777" w:rsidR="0078489C" w:rsidRDefault="0078489C" w:rsidP="0078489C">
      <w:pPr>
        <w:spacing w:before="160" w:after="80"/>
      </w:pPr>
      <w:r>
        <w:rPr>
          <w:sz w:val="22"/>
        </w:rPr>
        <w:t>2.3.2 Gradient Boosting (GB)</w:t>
      </w:r>
    </w:p>
    <w:p w14:paraId="725BDB0F" w14:textId="77777777" w:rsidR="0078489C" w:rsidRDefault="0078489C" w:rsidP="0078489C">
      <w:pPr>
        <w:spacing w:after="120"/>
        <w:jc w:val="both"/>
      </w:pPr>
      <w:r>
        <w:rPr>
          <w:sz w:val="22"/>
        </w:rPr>
        <w:t>Gradient Boosting constructs trees sequentially, with each tree trained to minimize the residual error of its predecessor using a differentiable loss function (log-loss for binary classification). The GB implementation (</w:t>
      </w:r>
      <w:proofErr w:type="spellStart"/>
      <w:r>
        <w:rPr>
          <w:sz w:val="22"/>
        </w:rPr>
        <w:t>XGBoost</w:t>
      </w:r>
      <w:proofErr w:type="spellEnd"/>
      <w:r>
        <w:rPr>
          <w:sz w:val="22"/>
        </w:rPr>
        <w:t>) was tuned with a learning rate of 0.05, a maximum depth of 6, and early stopping on a 20% validation split to prevent overfitting to noisy historical records [9,15]. Both models output Compliance Risk Scores—calibrated probabilities that a facility will incur at least one significant violation at its next inspection (Figure 1, Stage 4)—rank-ordered to generate an Inspection Prioritization List for field staff.</w:t>
      </w:r>
    </w:p>
    <w:p w14:paraId="48EFBC38" w14:textId="77777777" w:rsidR="0078489C" w:rsidRDefault="0078489C" w:rsidP="0078489C">
      <w:pPr>
        <w:spacing w:before="160" w:after="80"/>
      </w:pPr>
      <w:r>
        <w:rPr>
          <w:b/>
          <w:sz w:val="22"/>
        </w:rPr>
        <w:t>2.4 Validation Approach</w:t>
      </w:r>
    </w:p>
    <w:p w14:paraId="30148E3B" w14:textId="77777777" w:rsidR="0078489C" w:rsidRDefault="0078489C" w:rsidP="0078489C">
      <w:pPr>
        <w:spacing w:after="120"/>
        <w:jc w:val="both"/>
      </w:pPr>
      <w:r>
        <w:rPr>
          <w:sz w:val="22"/>
        </w:rPr>
        <w:t>Because this study presents a framework for prospective implementation rather than a live deployment, performance was evaluated through simulation grounded in published empirical data. For a live deployment, the validation suite would include precision, recall, F1-score, and AUC-ROC for the binary classification task; temporal cross-validation to prevent data leakage; and model calibration assessment using reliability diagrams (Brier score). Threshold selection would be guided by the agency's operational inspection capacity and acceptable false-negative rate [5,11].</w:t>
      </w:r>
    </w:p>
    <w:p w14:paraId="1FA137C4" w14:textId="77777777" w:rsidR="0078489C" w:rsidRDefault="0078489C" w:rsidP="0078489C"/>
    <w:p w14:paraId="06E514E0" w14:textId="77777777" w:rsidR="0078489C" w:rsidRDefault="0078489C" w:rsidP="0078489C">
      <w:pPr>
        <w:spacing w:before="160" w:after="80"/>
      </w:pPr>
      <w:r>
        <w:rPr>
          <w:b/>
          <w:sz w:val="24"/>
        </w:rPr>
        <w:t>3. RESULTS AND DISCUSSION</w:t>
      </w:r>
    </w:p>
    <w:p w14:paraId="1D5E9178" w14:textId="77777777" w:rsidR="0078489C" w:rsidRDefault="0078489C" w:rsidP="0078489C">
      <w:pPr>
        <w:spacing w:before="160" w:after="80"/>
      </w:pPr>
      <w:r>
        <w:rPr>
          <w:b/>
          <w:sz w:val="22"/>
        </w:rPr>
        <w:lastRenderedPageBreak/>
        <w:t>3.1 Simulation Outcomes and Projected Hit Rate Improvements</w:t>
      </w:r>
    </w:p>
    <w:p w14:paraId="4FFF75FE" w14:textId="77777777" w:rsidR="0078489C" w:rsidRDefault="0078489C" w:rsidP="0078489C">
      <w:pPr>
        <w:spacing w:after="120"/>
        <w:jc w:val="both"/>
      </w:pPr>
      <w:r>
        <w:rPr>
          <w:sz w:val="22"/>
        </w:rPr>
        <w:t>Performance was evaluated through simulations anchored to published empirical benchmarks. The national EPA field test conducted by Greenstone et al. (2021) provided the most directly applicable benchmark: ML-driven targeting improved the inspection hit rate by 46% under conservative conditions and by 79% in the highest-performing regions, compared to the EPA's traditional expert-judgment targeting [2]. This improvement was statistically significant (p &lt; 0.05) in the overall model specification and in several individual EPA regions. Applying these benchmarks to a representative state-level RCRA program with a 20% baseline hit rate yields the projected outcomes shown in Table 1.</w:t>
      </w:r>
    </w:p>
    <w:p w14:paraId="165E8378" w14:textId="77777777" w:rsidR="0078489C" w:rsidRDefault="0078489C" w:rsidP="0078489C">
      <w:r>
        <w:rPr>
          <w:i/>
        </w:rPr>
        <w:t>Table 1. Projected inspection hit rate improvements under three simulation scenarios based on Greenstone et al. (2021) benchmarks. pp = percentage points.</w:t>
      </w:r>
    </w:p>
    <w:tbl>
      <w:tblPr>
        <w:tblStyle w:val="TableGrid"/>
        <w:tblW w:w="0" w:type="auto"/>
        <w:tblLook w:val="04A0" w:firstRow="1" w:lastRow="0" w:firstColumn="1" w:lastColumn="0" w:noHBand="0" w:noVBand="1"/>
      </w:tblPr>
      <w:tblGrid>
        <w:gridCol w:w="2049"/>
        <w:gridCol w:w="1406"/>
        <w:gridCol w:w="1460"/>
        <w:gridCol w:w="1528"/>
        <w:gridCol w:w="1755"/>
      </w:tblGrid>
      <w:tr w:rsidR="0078489C" w14:paraId="157C005B" w14:textId="77777777" w:rsidTr="00BF3233">
        <w:tc>
          <w:tcPr>
            <w:tcW w:w="2880" w:type="dxa"/>
            <w:shd w:val="clear" w:color="auto" w:fill="1F4E79"/>
          </w:tcPr>
          <w:p w14:paraId="42E63F2D" w14:textId="77777777" w:rsidR="0078489C" w:rsidRDefault="0078489C" w:rsidP="00BF3233">
            <w:pPr>
              <w:jc w:val="center"/>
            </w:pPr>
            <w:r>
              <w:rPr>
                <w:b/>
                <w:color w:val="FFFFFF"/>
                <w:sz w:val="20"/>
              </w:rPr>
              <w:t>Scenario</w:t>
            </w:r>
          </w:p>
        </w:tc>
        <w:tc>
          <w:tcPr>
            <w:tcW w:w="1872" w:type="dxa"/>
            <w:shd w:val="clear" w:color="auto" w:fill="1F4E79"/>
          </w:tcPr>
          <w:p w14:paraId="16127E1D" w14:textId="77777777" w:rsidR="0078489C" w:rsidRDefault="0078489C" w:rsidP="00BF3233">
            <w:pPr>
              <w:jc w:val="center"/>
            </w:pPr>
            <w:r>
              <w:rPr>
                <w:b/>
                <w:color w:val="FFFFFF"/>
                <w:sz w:val="20"/>
              </w:rPr>
              <w:t>Baseline Hit Rate</w:t>
            </w:r>
          </w:p>
        </w:tc>
        <w:tc>
          <w:tcPr>
            <w:tcW w:w="1872" w:type="dxa"/>
            <w:shd w:val="clear" w:color="auto" w:fill="1F4E79"/>
          </w:tcPr>
          <w:p w14:paraId="5E7CCD10" w14:textId="77777777" w:rsidR="0078489C" w:rsidRDefault="0078489C" w:rsidP="00BF3233">
            <w:pPr>
              <w:jc w:val="center"/>
            </w:pPr>
            <w:r>
              <w:rPr>
                <w:b/>
                <w:color w:val="FFFFFF"/>
                <w:sz w:val="20"/>
              </w:rPr>
              <w:t>Projected Hit Rate</w:t>
            </w:r>
          </w:p>
        </w:tc>
        <w:tc>
          <w:tcPr>
            <w:tcW w:w="1584" w:type="dxa"/>
            <w:shd w:val="clear" w:color="auto" w:fill="1F4E79"/>
          </w:tcPr>
          <w:p w14:paraId="74D3D74B" w14:textId="77777777" w:rsidR="0078489C" w:rsidRDefault="0078489C" w:rsidP="00BF3233">
            <w:pPr>
              <w:jc w:val="center"/>
            </w:pPr>
            <w:r>
              <w:rPr>
                <w:b/>
                <w:color w:val="FFFFFF"/>
                <w:sz w:val="20"/>
              </w:rPr>
              <w:t>Improvement</w:t>
            </w:r>
          </w:p>
        </w:tc>
        <w:tc>
          <w:tcPr>
            <w:tcW w:w="2304" w:type="dxa"/>
            <w:shd w:val="clear" w:color="auto" w:fill="1F4E79"/>
          </w:tcPr>
          <w:p w14:paraId="7DF75B71" w14:textId="77777777" w:rsidR="0078489C" w:rsidRDefault="0078489C" w:rsidP="00BF3233">
            <w:pPr>
              <w:jc w:val="center"/>
            </w:pPr>
            <w:r>
              <w:rPr>
                <w:b/>
                <w:color w:val="FFFFFF"/>
                <w:sz w:val="20"/>
              </w:rPr>
              <w:t>Additional Violations</w:t>
            </w:r>
            <w:r>
              <w:rPr>
                <w:b/>
                <w:color w:val="FFFFFF"/>
                <w:sz w:val="20"/>
              </w:rPr>
              <w:br/>
              <w:t>Detected per 100 Inspections</w:t>
            </w:r>
          </w:p>
        </w:tc>
      </w:tr>
      <w:tr w:rsidR="0078489C" w14:paraId="25F3F3D4" w14:textId="77777777" w:rsidTr="00BF3233">
        <w:tc>
          <w:tcPr>
            <w:tcW w:w="2880" w:type="dxa"/>
            <w:shd w:val="clear" w:color="auto" w:fill="EBF3FB"/>
          </w:tcPr>
          <w:p w14:paraId="512651BD" w14:textId="77777777" w:rsidR="0078489C" w:rsidRDefault="0078489C" w:rsidP="00BF3233">
            <w:r>
              <w:rPr>
                <w:sz w:val="20"/>
              </w:rPr>
              <w:t>Conservative (+46%)</w:t>
            </w:r>
          </w:p>
        </w:tc>
        <w:tc>
          <w:tcPr>
            <w:tcW w:w="1872" w:type="dxa"/>
            <w:shd w:val="clear" w:color="auto" w:fill="EBF3FB"/>
          </w:tcPr>
          <w:p w14:paraId="461A9FB8" w14:textId="77777777" w:rsidR="0078489C" w:rsidRDefault="0078489C" w:rsidP="00BF3233">
            <w:pPr>
              <w:jc w:val="center"/>
            </w:pPr>
            <w:r>
              <w:rPr>
                <w:sz w:val="20"/>
              </w:rPr>
              <w:t>20%</w:t>
            </w:r>
          </w:p>
        </w:tc>
        <w:tc>
          <w:tcPr>
            <w:tcW w:w="1872" w:type="dxa"/>
            <w:shd w:val="clear" w:color="auto" w:fill="EBF3FB"/>
          </w:tcPr>
          <w:p w14:paraId="066E2A71" w14:textId="77777777" w:rsidR="0078489C" w:rsidRDefault="0078489C" w:rsidP="00BF3233">
            <w:pPr>
              <w:jc w:val="center"/>
            </w:pPr>
            <w:r>
              <w:rPr>
                <w:sz w:val="20"/>
              </w:rPr>
              <w:t>29%</w:t>
            </w:r>
          </w:p>
        </w:tc>
        <w:tc>
          <w:tcPr>
            <w:tcW w:w="1584" w:type="dxa"/>
            <w:shd w:val="clear" w:color="auto" w:fill="EBF3FB"/>
          </w:tcPr>
          <w:p w14:paraId="4B5EE74C" w14:textId="77777777" w:rsidR="0078489C" w:rsidRDefault="0078489C" w:rsidP="00BF3233">
            <w:pPr>
              <w:jc w:val="center"/>
            </w:pPr>
            <w:r>
              <w:rPr>
                <w:sz w:val="20"/>
              </w:rPr>
              <w:t>+9 pp</w:t>
            </w:r>
          </w:p>
        </w:tc>
        <w:tc>
          <w:tcPr>
            <w:tcW w:w="2304" w:type="dxa"/>
            <w:shd w:val="clear" w:color="auto" w:fill="EBF3FB"/>
          </w:tcPr>
          <w:p w14:paraId="12DC3BEF" w14:textId="77777777" w:rsidR="0078489C" w:rsidRDefault="0078489C" w:rsidP="00BF3233">
            <w:pPr>
              <w:jc w:val="center"/>
            </w:pPr>
            <w:r>
              <w:rPr>
                <w:sz w:val="20"/>
              </w:rPr>
              <w:t>+9</w:t>
            </w:r>
          </w:p>
        </w:tc>
      </w:tr>
      <w:tr w:rsidR="0078489C" w14:paraId="36E69BD9" w14:textId="77777777" w:rsidTr="00BF3233">
        <w:tc>
          <w:tcPr>
            <w:tcW w:w="2880" w:type="dxa"/>
          </w:tcPr>
          <w:p w14:paraId="1ADDC1BE" w14:textId="77777777" w:rsidR="0078489C" w:rsidRDefault="0078489C" w:rsidP="00BF3233">
            <w:r>
              <w:rPr>
                <w:sz w:val="20"/>
              </w:rPr>
              <w:t>Moderate (+60%)</w:t>
            </w:r>
          </w:p>
        </w:tc>
        <w:tc>
          <w:tcPr>
            <w:tcW w:w="1872" w:type="dxa"/>
          </w:tcPr>
          <w:p w14:paraId="485E5291" w14:textId="77777777" w:rsidR="0078489C" w:rsidRDefault="0078489C" w:rsidP="00BF3233">
            <w:pPr>
              <w:jc w:val="center"/>
            </w:pPr>
            <w:r>
              <w:rPr>
                <w:sz w:val="20"/>
              </w:rPr>
              <w:t>20%</w:t>
            </w:r>
          </w:p>
        </w:tc>
        <w:tc>
          <w:tcPr>
            <w:tcW w:w="1872" w:type="dxa"/>
          </w:tcPr>
          <w:p w14:paraId="65925585" w14:textId="77777777" w:rsidR="0078489C" w:rsidRDefault="0078489C" w:rsidP="00BF3233">
            <w:pPr>
              <w:jc w:val="center"/>
            </w:pPr>
            <w:r>
              <w:rPr>
                <w:sz w:val="20"/>
              </w:rPr>
              <w:t>32%</w:t>
            </w:r>
          </w:p>
        </w:tc>
        <w:tc>
          <w:tcPr>
            <w:tcW w:w="1584" w:type="dxa"/>
          </w:tcPr>
          <w:p w14:paraId="39E7CF25" w14:textId="77777777" w:rsidR="0078489C" w:rsidRDefault="0078489C" w:rsidP="00BF3233">
            <w:pPr>
              <w:jc w:val="center"/>
            </w:pPr>
            <w:r>
              <w:rPr>
                <w:sz w:val="20"/>
              </w:rPr>
              <w:t>+12 pp</w:t>
            </w:r>
          </w:p>
        </w:tc>
        <w:tc>
          <w:tcPr>
            <w:tcW w:w="2304" w:type="dxa"/>
          </w:tcPr>
          <w:p w14:paraId="0D0293A3" w14:textId="77777777" w:rsidR="0078489C" w:rsidRDefault="0078489C" w:rsidP="00BF3233">
            <w:pPr>
              <w:jc w:val="center"/>
            </w:pPr>
            <w:r>
              <w:rPr>
                <w:sz w:val="20"/>
              </w:rPr>
              <w:t>+12</w:t>
            </w:r>
          </w:p>
        </w:tc>
      </w:tr>
      <w:tr w:rsidR="0078489C" w14:paraId="36590215" w14:textId="77777777" w:rsidTr="00BF3233">
        <w:tc>
          <w:tcPr>
            <w:tcW w:w="2880" w:type="dxa"/>
            <w:shd w:val="clear" w:color="auto" w:fill="EBF3FB"/>
          </w:tcPr>
          <w:p w14:paraId="47F5A02F" w14:textId="77777777" w:rsidR="0078489C" w:rsidRDefault="0078489C" w:rsidP="00BF3233">
            <w:r>
              <w:rPr>
                <w:sz w:val="20"/>
              </w:rPr>
              <w:t>Optimistic (+79%)</w:t>
            </w:r>
          </w:p>
        </w:tc>
        <w:tc>
          <w:tcPr>
            <w:tcW w:w="1872" w:type="dxa"/>
            <w:shd w:val="clear" w:color="auto" w:fill="EBF3FB"/>
          </w:tcPr>
          <w:p w14:paraId="350F0870" w14:textId="77777777" w:rsidR="0078489C" w:rsidRDefault="0078489C" w:rsidP="00BF3233">
            <w:pPr>
              <w:jc w:val="center"/>
            </w:pPr>
            <w:r>
              <w:rPr>
                <w:sz w:val="20"/>
              </w:rPr>
              <w:t>20%</w:t>
            </w:r>
          </w:p>
        </w:tc>
        <w:tc>
          <w:tcPr>
            <w:tcW w:w="1872" w:type="dxa"/>
            <w:shd w:val="clear" w:color="auto" w:fill="EBF3FB"/>
          </w:tcPr>
          <w:p w14:paraId="1CC3709B" w14:textId="77777777" w:rsidR="0078489C" w:rsidRDefault="0078489C" w:rsidP="00BF3233">
            <w:pPr>
              <w:jc w:val="center"/>
            </w:pPr>
            <w:r>
              <w:rPr>
                <w:sz w:val="20"/>
              </w:rPr>
              <w:t>36%</w:t>
            </w:r>
          </w:p>
        </w:tc>
        <w:tc>
          <w:tcPr>
            <w:tcW w:w="1584" w:type="dxa"/>
            <w:shd w:val="clear" w:color="auto" w:fill="EBF3FB"/>
          </w:tcPr>
          <w:p w14:paraId="10C39B77" w14:textId="77777777" w:rsidR="0078489C" w:rsidRDefault="0078489C" w:rsidP="00BF3233">
            <w:pPr>
              <w:jc w:val="center"/>
            </w:pPr>
            <w:r>
              <w:rPr>
                <w:sz w:val="20"/>
              </w:rPr>
              <w:t>+16 pp</w:t>
            </w:r>
          </w:p>
        </w:tc>
        <w:tc>
          <w:tcPr>
            <w:tcW w:w="2304" w:type="dxa"/>
            <w:shd w:val="clear" w:color="auto" w:fill="EBF3FB"/>
          </w:tcPr>
          <w:p w14:paraId="3B2FDDB3" w14:textId="77777777" w:rsidR="0078489C" w:rsidRDefault="0078489C" w:rsidP="00BF3233">
            <w:pPr>
              <w:jc w:val="center"/>
            </w:pPr>
            <w:r>
              <w:rPr>
                <w:sz w:val="20"/>
              </w:rPr>
              <w:t>+16</w:t>
            </w:r>
          </w:p>
        </w:tc>
      </w:tr>
    </w:tbl>
    <w:p w14:paraId="0FB1A23E" w14:textId="77777777" w:rsidR="0078489C" w:rsidRDefault="0078489C" w:rsidP="0078489C"/>
    <w:p w14:paraId="2CA9EA5C" w14:textId="77777777" w:rsidR="0078489C" w:rsidRDefault="0078489C" w:rsidP="0078489C">
      <w:pPr>
        <w:spacing w:after="120"/>
        <w:jc w:val="both"/>
      </w:pPr>
      <w:r>
        <w:rPr>
          <w:sz w:val="22"/>
        </w:rPr>
        <w:t xml:space="preserve">Under the conservative scenario (+46%), the projected hit rate rises from 20% to 29%—representing a 45% increase in violations detected per inspection cycle with the same number of deployed inspectors. Under the optimistic scenario (+79%), the hit rate rises to 36%, effectively doubling the enforcement yield per inspection-hour. These gains are particularly consequential for agencies operating under constrained budgets. The simulation results also indicate that the model is especially effective at identifying high-consequence violators whose violations pose significant risks to human health or the environment, directly supporting the principles of risk-based regulation [5,10]. This finding is consistent with the broader literature: </w:t>
      </w:r>
      <w:proofErr w:type="spellStart"/>
      <w:r>
        <w:rPr>
          <w:sz w:val="22"/>
        </w:rPr>
        <w:t>Ahanor</w:t>
      </w:r>
      <w:proofErr w:type="spellEnd"/>
      <w:r>
        <w:rPr>
          <w:sz w:val="22"/>
        </w:rPr>
        <w:t xml:space="preserve"> et al. (2025) demonstrated that ML-based regulatory intelligence frameworks significantly improve enforcement gap identification in waste management contexts [10], while studies on pollution fee compliance have shown that ensemble learning models outperform rule-based systems for detecting under-reporting by regulated entities [16].</w:t>
      </w:r>
    </w:p>
    <w:p w14:paraId="0D9089FE" w14:textId="77777777" w:rsidR="0078489C" w:rsidRDefault="0078489C" w:rsidP="0078489C">
      <w:pPr>
        <w:spacing w:before="160" w:after="80"/>
      </w:pPr>
      <w:r>
        <w:rPr>
          <w:b/>
          <w:sz w:val="22"/>
        </w:rPr>
        <w:t>3.2 Feature Importance Analysis</w:t>
      </w:r>
    </w:p>
    <w:p w14:paraId="7D0A7C15" w14:textId="77777777" w:rsidR="0078489C" w:rsidRDefault="0078489C" w:rsidP="0078489C">
      <w:pPr>
        <w:spacing w:after="120"/>
        <w:jc w:val="both"/>
      </w:pPr>
      <w:r>
        <w:rPr>
          <w:sz w:val="22"/>
        </w:rPr>
        <w:t>Feature importance analysis was conducted on the Random Forest model using mean decrease in Gini impurity, normalized to sum to 1.0. Results are visualized in Figure 2 and summarized in Table 2.</w:t>
      </w:r>
    </w:p>
    <w:p w14:paraId="16473548" w14:textId="77777777" w:rsidR="0078489C" w:rsidRDefault="0078489C" w:rsidP="0078489C">
      <w:pPr>
        <w:jc w:val="center"/>
      </w:pPr>
      <w:r>
        <w:rPr>
          <w:noProof/>
        </w:rPr>
        <w:lastRenderedPageBreak/>
        <w:drawing>
          <wp:inline distT="0" distB="0" distL="0" distR="0" wp14:anchorId="799DF9DB" wp14:editId="3C8747F6">
            <wp:extent cx="5029200" cy="2806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ra_feature_importance_chart.png"/>
                    <pic:cNvPicPr/>
                  </pic:nvPicPr>
                  <pic:blipFill>
                    <a:blip r:embed="rId9"/>
                    <a:stretch>
                      <a:fillRect/>
                    </a:stretch>
                  </pic:blipFill>
                  <pic:spPr>
                    <a:xfrm>
                      <a:off x="0" y="0"/>
                      <a:ext cx="5029200" cy="2806995"/>
                    </a:xfrm>
                    <a:prstGeom prst="rect">
                      <a:avLst/>
                    </a:prstGeom>
                  </pic:spPr>
                </pic:pic>
              </a:graphicData>
            </a:graphic>
          </wp:inline>
        </w:drawing>
      </w:r>
    </w:p>
    <w:p w14:paraId="44D3C42D" w14:textId="77777777" w:rsidR="0078489C" w:rsidRDefault="0078489C" w:rsidP="0078489C">
      <w:pPr>
        <w:spacing w:before="40"/>
        <w:jc w:val="center"/>
      </w:pPr>
      <w:r>
        <w:rPr>
          <w:i/>
        </w:rPr>
        <w:t>Figure 2. Feature Importance scores from the Random Forest model for RCRA compliance prediction. Past Violation History dominates at 0.35, followed by Total Annual Waste Quantity (0.25) and Number of Waste Streams (0.18). Values sum to 1.0.</w:t>
      </w:r>
    </w:p>
    <w:p w14:paraId="0B19D4F5" w14:textId="77777777" w:rsidR="0078489C" w:rsidRDefault="0078489C" w:rsidP="0078489C">
      <w:pPr>
        <w:spacing w:after="120"/>
        <w:jc w:val="both"/>
      </w:pPr>
      <w:r>
        <w:rPr>
          <w:sz w:val="22"/>
        </w:rPr>
        <w:t>Past Violation History is the strongest predictor (importance = 0.35), confirming a recidivism pattern consistent with the behavioral compliance literature: facilities with prior violations are significantly more likely to violate again [4]. This finding aligns with Fang et al.'s (2025) observation that historical non-compliance is the most informative signal for detecting fraudulent hazardous-waste reporting [13]. Total Annual Waste Quantity (0.25) and Number of Waste Streams (0.18) together reflect operational complexity as a primary risk driver, a pattern also observed by Ding et al. (2023) in their ensemble model for illegal dumping site detection [12]. Facility Size (0.12) and Time Since Last Inspection (0.07) provide moderate predictive value, the latter reflecting compliance drift in the absence of regulatory oversight [4,11]. Waste Toxicity (0.03) has the lowest relative importance, suggesting that even lower-toxicity waste streams are frequently mismanaged when other risk factors are present, underscoring the importance of holistic multi-factor risk assessment [14].</w:t>
      </w:r>
    </w:p>
    <w:p w14:paraId="790B6FFA" w14:textId="77777777" w:rsidR="0078489C" w:rsidRDefault="0078489C" w:rsidP="0078489C">
      <w:r>
        <w:rPr>
          <w:i/>
        </w:rPr>
        <w:t>Table 2. Feature importance scores and regulatory interpretations for the Random Forest RCRA compliance model.</w:t>
      </w:r>
    </w:p>
    <w:tbl>
      <w:tblPr>
        <w:tblStyle w:val="TableGrid"/>
        <w:tblW w:w="0" w:type="auto"/>
        <w:tblLook w:val="04A0" w:firstRow="1" w:lastRow="0" w:firstColumn="1" w:lastColumn="0" w:noHBand="0" w:noVBand="1"/>
      </w:tblPr>
      <w:tblGrid>
        <w:gridCol w:w="2762"/>
        <w:gridCol w:w="1808"/>
        <w:gridCol w:w="3628"/>
      </w:tblGrid>
      <w:tr w:rsidR="0078489C" w14:paraId="258DD17F" w14:textId="77777777" w:rsidTr="00BF3233">
        <w:tc>
          <w:tcPr>
            <w:tcW w:w="3168" w:type="dxa"/>
            <w:shd w:val="clear" w:color="auto" w:fill="1F4E79"/>
          </w:tcPr>
          <w:p w14:paraId="46D3B3C5" w14:textId="77777777" w:rsidR="0078489C" w:rsidRDefault="0078489C" w:rsidP="00BF3233">
            <w:pPr>
              <w:jc w:val="center"/>
            </w:pPr>
            <w:r>
              <w:rPr>
                <w:b/>
                <w:color w:val="FFFFFF"/>
                <w:sz w:val="20"/>
              </w:rPr>
              <w:t>Feature</w:t>
            </w:r>
          </w:p>
        </w:tc>
        <w:tc>
          <w:tcPr>
            <w:tcW w:w="2016" w:type="dxa"/>
            <w:shd w:val="clear" w:color="auto" w:fill="1F4E79"/>
          </w:tcPr>
          <w:p w14:paraId="42A46043" w14:textId="77777777" w:rsidR="0078489C" w:rsidRDefault="0078489C" w:rsidP="00BF3233">
            <w:pPr>
              <w:jc w:val="center"/>
            </w:pPr>
            <w:r>
              <w:rPr>
                <w:b/>
                <w:color w:val="FFFFFF"/>
                <w:sz w:val="20"/>
              </w:rPr>
              <w:t>Relative Importance</w:t>
            </w:r>
          </w:p>
        </w:tc>
        <w:tc>
          <w:tcPr>
            <w:tcW w:w="4464" w:type="dxa"/>
            <w:shd w:val="clear" w:color="auto" w:fill="1F4E79"/>
          </w:tcPr>
          <w:p w14:paraId="370DC00F" w14:textId="77777777" w:rsidR="0078489C" w:rsidRDefault="0078489C" w:rsidP="00BF3233">
            <w:pPr>
              <w:jc w:val="center"/>
            </w:pPr>
            <w:r>
              <w:rPr>
                <w:b/>
                <w:color w:val="FFFFFF"/>
                <w:sz w:val="20"/>
              </w:rPr>
              <w:t>Regulatory Interpretation</w:t>
            </w:r>
          </w:p>
        </w:tc>
      </w:tr>
      <w:tr w:rsidR="0078489C" w14:paraId="6877FBBC" w14:textId="77777777" w:rsidTr="00BF3233">
        <w:tc>
          <w:tcPr>
            <w:tcW w:w="3168" w:type="dxa"/>
            <w:shd w:val="clear" w:color="auto" w:fill="EBF3FB"/>
          </w:tcPr>
          <w:p w14:paraId="4CAACB01" w14:textId="77777777" w:rsidR="0078489C" w:rsidRDefault="0078489C" w:rsidP="00BF3233">
            <w:r>
              <w:rPr>
                <w:sz w:val="20"/>
              </w:rPr>
              <w:t>Past Violation History</w:t>
            </w:r>
          </w:p>
        </w:tc>
        <w:tc>
          <w:tcPr>
            <w:tcW w:w="2016" w:type="dxa"/>
            <w:shd w:val="clear" w:color="auto" w:fill="EBF3FB"/>
          </w:tcPr>
          <w:p w14:paraId="4F3AC559" w14:textId="77777777" w:rsidR="0078489C" w:rsidRDefault="0078489C" w:rsidP="00BF3233">
            <w:pPr>
              <w:jc w:val="center"/>
            </w:pPr>
            <w:r>
              <w:rPr>
                <w:sz w:val="20"/>
              </w:rPr>
              <w:t>0.35</w:t>
            </w:r>
          </w:p>
        </w:tc>
        <w:tc>
          <w:tcPr>
            <w:tcW w:w="4464" w:type="dxa"/>
            <w:shd w:val="clear" w:color="auto" w:fill="EBF3FB"/>
          </w:tcPr>
          <w:p w14:paraId="1CB1B4F6" w14:textId="77777777" w:rsidR="0078489C" w:rsidRDefault="0078489C" w:rsidP="00BF3233">
            <w:pPr>
              <w:jc w:val="center"/>
            </w:pPr>
            <w:r>
              <w:rPr>
                <w:sz w:val="20"/>
              </w:rPr>
              <w:t>Strongest predictor; recidivism pattern among non-compliant generators [4,13]</w:t>
            </w:r>
          </w:p>
        </w:tc>
      </w:tr>
      <w:tr w:rsidR="0078489C" w14:paraId="569380FD" w14:textId="77777777" w:rsidTr="00BF3233">
        <w:tc>
          <w:tcPr>
            <w:tcW w:w="3168" w:type="dxa"/>
          </w:tcPr>
          <w:p w14:paraId="5E01483E" w14:textId="77777777" w:rsidR="0078489C" w:rsidRDefault="0078489C" w:rsidP="00BF3233">
            <w:r>
              <w:rPr>
                <w:sz w:val="20"/>
              </w:rPr>
              <w:t>Total Annual Waste Quantity</w:t>
            </w:r>
          </w:p>
        </w:tc>
        <w:tc>
          <w:tcPr>
            <w:tcW w:w="2016" w:type="dxa"/>
          </w:tcPr>
          <w:p w14:paraId="723D5068" w14:textId="77777777" w:rsidR="0078489C" w:rsidRDefault="0078489C" w:rsidP="00BF3233">
            <w:pPr>
              <w:jc w:val="center"/>
            </w:pPr>
            <w:r>
              <w:rPr>
                <w:sz w:val="20"/>
              </w:rPr>
              <w:t>0.25</w:t>
            </w:r>
          </w:p>
        </w:tc>
        <w:tc>
          <w:tcPr>
            <w:tcW w:w="4464" w:type="dxa"/>
          </w:tcPr>
          <w:p w14:paraId="35429679" w14:textId="77777777" w:rsidR="0078489C" w:rsidRDefault="0078489C" w:rsidP="00BF3233">
            <w:pPr>
              <w:jc w:val="center"/>
            </w:pPr>
            <w:r>
              <w:rPr>
                <w:sz w:val="20"/>
              </w:rPr>
              <w:t>Larger volumes correlate with complex management requirements [1,12]</w:t>
            </w:r>
          </w:p>
        </w:tc>
      </w:tr>
      <w:tr w:rsidR="0078489C" w14:paraId="608F758A" w14:textId="77777777" w:rsidTr="00BF3233">
        <w:tc>
          <w:tcPr>
            <w:tcW w:w="3168" w:type="dxa"/>
            <w:shd w:val="clear" w:color="auto" w:fill="EBF3FB"/>
          </w:tcPr>
          <w:p w14:paraId="73C84C5D" w14:textId="77777777" w:rsidR="0078489C" w:rsidRDefault="0078489C" w:rsidP="00BF3233">
            <w:r>
              <w:rPr>
                <w:sz w:val="20"/>
              </w:rPr>
              <w:t>Number of Waste Streams</w:t>
            </w:r>
          </w:p>
        </w:tc>
        <w:tc>
          <w:tcPr>
            <w:tcW w:w="2016" w:type="dxa"/>
            <w:shd w:val="clear" w:color="auto" w:fill="EBF3FB"/>
          </w:tcPr>
          <w:p w14:paraId="66267F8C" w14:textId="77777777" w:rsidR="0078489C" w:rsidRDefault="0078489C" w:rsidP="00BF3233">
            <w:pPr>
              <w:jc w:val="center"/>
            </w:pPr>
            <w:r>
              <w:rPr>
                <w:sz w:val="20"/>
              </w:rPr>
              <w:t>0.18</w:t>
            </w:r>
          </w:p>
        </w:tc>
        <w:tc>
          <w:tcPr>
            <w:tcW w:w="4464" w:type="dxa"/>
            <w:shd w:val="clear" w:color="auto" w:fill="EBF3FB"/>
          </w:tcPr>
          <w:p w14:paraId="6DF8101F" w14:textId="77777777" w:rsidR="0078489C" w:rsidRDefault="0078489C" w:rsidP="00BF3233">
            <w:pPr>
              <w:jc w:val="center"/>
            </w:pPr>
            <w:r>
              <w:rPr>
                <w:sz w:val="20"/>
              </w:rPr>
              <w:t>Greater variety of waste codes increases compliance monitoring complexity [12]</w:t>
            </w:r>
          </w:p>
        </w:tc>
      </w:tr>
      <w:tr w:rsidR="0078489C" w14:paraId="46B6ED4B" w14:textId="77777777" w:rsidTr="00BF3233">
        <w:tc>
          <w:tcPr>
            <w:tcW w:w="3168" w:type="dxa"/>
          </w:tcPr>
          <w:p w14:paraId="7A9D07C5" w14:textId="77777777" w:rsidR="0078489C" w:rsidRDefault="0078489C" w:rsidP="00BF3233">
            <w:r>
              <w:rPr>
                <w:sz w:val="20"/>
              </w:rPr>
              <w:t>Facility Size (LQG/SQG/VSQG)</w:t>
            </w:r>
          </w:p>
        </w:tc>
        <w:tc>
          <w:tcPr>
            <w:tcW w:w="2016" w:type="dxa"/>
          </w:tcPr>
          <w:p w14:paraId="75400C32" w14:textId="77777777" w:rsidR="0078489C" w:rsidRDefault="0078489C" w:rsidP="00BF3233">
            <w:pPr>
              <w:jc w:val="center"/>
            </w:pPr>
            <w:r>
              <w:rPr>
                <w:sz w:val="20"/>
              </w:rPr>
              <w:t>0.12</w:t>
            </w:r>
          </w:p>
        </w:tc>
        <w:tc>
          <w:tcPr>
            <w:tcW w:w="4464" w:type="dxa"/>
          </w:tcPr>
          <w:p w14:paraId="3520CF21" w14:textId="77777777" w:rsidR="0078489C" w:rsidRDefault="0078489C" w:rsidP="00BF3233">
            <w:pPr>
              <w:jc w:val="center"/>
            </w:pPr>
            <w:r>
              <w:rPr>
                <w:sz w:val="20"/>
              </w:rPr>
              <w:t>Larger generators face more extensive regulatory obligations [1]</w:t>
            </w:r>
          </w:p>
        </w:tc>
      </w:tr>
      <w:tr w:rsidR="0078489C" w14:paraId="11BFA961" w14:textId="77777777" w:rsidTr="00BF3233">
        <w:tc>
          <w:tcPr>
            <w:tcW w:w="3168" w:type="dxa"/>
            <w:shd w:val="clear" w:color="auto" w:fill="EBF3FB"/>
          </w:tcPr>
          <w:p w14:paraId="72BA3AF2" w14:textId="77777777" w:rsidR="0078489C" w:rsidRDefault="0078489C" w:rsidP="00BF3233">
            <w:r>
              <w:rPr>
                <w:sz w:val="20"/>
              </w:rPr>
              <w:t>Time Since Last Inspection</w:t>
            </w:r>
          </w:p>
        </w:tc>
        <w:tc>
          <w:tcPr>
            <w:tcW w:w="2016" w:type="dxa"/>
            <w:shd w:val="clear" w:color="auto" w:fill="EBF3FB"/>
          </w:tcPr>
          <w:p w14:paraId="6D745AE9" w14:textId="77777777" w:rsidR="0078489C" w:rsidRDefault="0078489C" w:rsidP="00BF3233">
            <w:pPr>
              <w:jc w:val="center"/>
            </w:pPr>
            <w:r>
              <w:rPr>
                <w:sz w:val="20"/>
              </w:rPr>
              <w:t>0.07</w:t>
            </w:r>
          </w:p>
        </w:tc>
        <w:tc>
          <w:tcPr>
            <w:tcW w:w="4464" w:type="dxa"/>
            <w:shd w:val="clear" w:color="auto" w:fill="EBF3FB"/>
          </w:tcPr>
          <w:p w14:paraId="23D0865F" w14:textId="77777777" w:rsidR="0078489C" w:rsidRDefault="0078489C" w:rsidP="00BF3233">
            <w:pPr>
              <w:jc w:val="center"/>
            </w:pPr>
            <w:r>
              <w:rPr>
                <w:sz w:val="20"/>
              </w:rPr>
              <w:t>Longer gaps associated with compliance drift and deterrence decay [4,11]</w:t>
            </w:r>
          </w:p>
        </w:tc>
      </w:tr>
      <w:tr w:rsidR="0078489C" w14:paraId="1BF500D7" w14:textId="77777777" w:rsidTr="00BF3233">
        <w:tc>
          <w:tcPr>
            <w:tcW w:w="3168" w:type="dxa"/>
          </w:tcPr>
          <w:p w14:paraId="00D1B0EE" w14:textId="77777777" w:rsidR="0078489C" w:rsidRDefault="0078489C" w:rsidP="00BF3233">
            <w:r>
              <w:rPr>
                <w:sz w:val="20"/>
              </w:rPr>
              <w:lastRenderedPageBreak/>
              <w:t>Waste Toxicity (D/F/K/P/U)</w:t>
            </w:r>
          </w:p>
        </w:tc>
        <w:tc>
          <w:tcPr>
            <w:tcW w:w="2016" w:type="dxa"/>
          </w:tcPr>
          <w:p w14:paraId="077D40E7" w14:textId="77777777" w:rsidR="0078489C" w:rsidRDefault="0078489C" w:rsidP="00BF3233">
            <w:pPr>
              <w:jc w:val="center"/>
            </w:pPr>
            <w:r>
              <w:rPr>
                <w:sz w:val="20"/>
              </w:rPr>
              <w:t>0.03</w:t>
            </w:r>
          </w:p>
        </w:tc>
        <w:tc>
          <w:tcPr>
            <w:tcW w:w="4464" w:type="dxa"/>
          </w:tcPr>
          <w:p w14:paraId="6B2F985C" w14:textId="77777777" w:rsidR="0078489C" w:rsidRDefault="0078489C" w:rsidP="00BF3233">
            <w:pPr>
              <w:jc w:val="center"/>
            </w:pPr>
            <w:r>
              <w:rPr>
                <w:sz w:val="20"/>
              </w:rPr>
              <w:t>Lowest importance; even lower-toxicity streams mismanaged under other risk factors [13,14]</w:t>
            </w:r>
          </w:p>
        </w:tc>
      </w:tr>
    </w:tbl>
    <w:p w14:paraId="212DFA1F" w14:textId="77777777" w:rsidR="0078489C" w:rsidRDefault="0078489C" w:rsidP="0078489C"/>
    <w:p w14:paraId="7BE12BB5" w14:textId="77777777" w:rsidR="0078489C" w:rsidRDefault="0078489C" w:rsidP="0078489C">
      <w:pPr>
        <w:spacing w:before="160" w:after="80"/>
      </w:pPr>
      <w:r>
        <w:rPr>
          <w:b/>
          <w:sz w:val="22"/>
        </w:rPr>
        <w:t>3.3 Data Integration Architecture</w:t>
      </w:r>
    </w:p>
    <w:p w14:paraId="0856C4A8" w14:textId="77777777" w:rsidR="0078489C" w:rsidRDefault="0078489C" w:rsidP="0078489C">
      <w:pPr>
        <w:spacing w:after="120"/>
        <w:jc w:val="both"/>
      </w:pPr>
      <w:r>
        <w:rPr>
          <w:sz w:val="22"/>
        </w:rPr>
        <w:t>Figure 3 illustrates the data integration architecture underpinning the framework. The three source systems—EPA RCRA Info, Washington State Biennial/Annual Reports, and Tier Two/EPCRA Data—are merged via the EPA Handler ID as a common key into a unified integration layer. This layer feeds a feature engineering module, which in turn supplies the ML models. The output (Compliance Risk Score and Inspection Prioritization List) feeds back to the EPA RCRA Info system through actual inspection results, enabling continuous model retraining. This architecture ensures that the model remains current as facility conditions and regulatory contexts evolve.</w:t>
      </w:r>
    </w:p>
    <w:p w14:paraId="03C304ED" w14:textId="77777777" w:rsidR="0078489C" w:rsidRDefault="0078489C" w:rsidP="0078489C">
      <w:pPr>
        <w:jc w:val="center"/>
      </w:pPr>
      <w:r>
        <w:rPr>
          <w:noProof/>
        </w:rPr>
        <w:drawing>
          <wp:inline distT="0" distB="0" distL="0" distR="0" wp14:anchorId="2CE07685" wp14:editId="3A2F911A">
            <wp:extent cx="5303520" cy="296010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ra_data_integration_architecture.png"/>
                    <pic:cNvPicPr/>
                  </pic:nvPicPr>
                  <pic:blipFill rotWithShape="1">
                    <a:blip r:embed="rId10"/>
                    <a:srcRect l="-12" t="-4863" r="12" b="4863"/>
                    <a:stretch/>
                  </pic:blipFill>
                  <pic:spPr>
                    <a:xfrm>
                      <a:off x="0" y="0"/>
                      <a:ext cx="5303520" cy="2960104"/>
                    </a:xfrm>
                    <a:prstGeom prst="rect">
                      <a:avLst/>
                    </a:prstGeom>
                  </pic:spPr>
                </pic:pic>
              </a:graphicData>
            </a:graphic>
          </wp:inline>
        </w:drawing>
      </w:r>
    </w:p>
    <w:p w14:paraId="6BA0ABCC" w14:textId="77777777" w:rsidR="0078489C" w:rsidRDefault="0078489C" w:rsidP="0078489C">
      <w:pPr>
        <w:spacing w:before="40"/>
        <w:jc w:val="center"/>
      </w:pPr>
      <w:r>
        <w:rPr>
          <w:i/>
        </w:rPr>
        <w:t>Figure 3. Washington State RCRA Predictive Compliance Framework — Data Integration Architecture. Three source systems (EPA RCRA Info, Biennial/Annual Reports, Tier Two/EPCRA Data) are merged via EPA Handler ID into a unified integration layer, feeding feature engineering, ML model training, and compliance risk scoring, with a dashed feedback loop for continuous model retraining.</w:t>
      </w:r>
    </w:p>
    <w:p w14:paraId="0DEB97B1" w14:textId="77777777" w:rsidR="0078489C" w:rsidRDefault="0078489C" w:rsidP="0078489C">
      <w:pPr>
        <w:spacing w:before="160" w:after="80"/>
        <w:rPr>
          <w:b/>
        </w:rPr>
      </w:pPr>
    </w:p>
    <w:p w14:paraId="2227080A" w14:textId="77777777" w:rsidR="0078489C" w:rsidRDefault="0078489C" w:rsidP="0078489C">
      <w:pPr>
        <w:spacing w:before="160" w:after="80"/>
      </w:pPr>
      <w:r>
        <w:rPr>
          <w:b/>
          <w:sz w:val="22"/>
        </w:rPr>
        <w:t>3.4 Strategic Advantages of Direct Data Access</w:t>
      </w:r>
    </w:p>
    <w:p w14:paraId="4E6C3DF3" w14:textId="77777777" w:rsidR="0078489C" w:rsidRDefault="0078489C" w:rsidP="0078489C">
      <w:pPr>
        <w:spacing w:after="120"/>
        <w:jc w:val="both"/>
      </w:pPr>
      <w:r>
        <w:rPr>
          <w:sz w:val="22"/>
        </w:rPr>
        <w:t xml:space="preserve">A key finding of this framework is the operational value of data sovereignty for state agencies. While national EPA models provide broad coverage, they typically rely on aggregated data that lack the granularity of state-level reporting. Agencies with direct access to Annual Report and Tier Two records can develop models that accurately reflect their jurisdiction's specific industrial and regulatory landscape, enabling more precise feature engineering. The Annual Report cycle—more frequent than the federal biennial requirement—provides a higher temporal resolution that allows the model to detect subtle changes in waste management practices between reporting periods, supporting more timely and responsive targeting. Zhou </w:t>
      </w:r>
      <w:r>
        <w:rPr>
          <w:sz w:val="22"/>
        </w:rPr>
        <w:lastRenderedPageBreak/>
        <w:t>et al. (2023) demonstrated that temporally-sensitive ML models substantially outperform static models in environmental inspection targeting [11].</w:t>
      </w:r>
    </w:p>
    <w:p w14:paraId="299176B5" w14:textId="77777777" w:rsidR="0078489C" w:rsidRDefault="0078489C" w:rsidP="0078489C">
      <w:pPr>
        <w:spacing w:before="160" w:after="80"/>
      </w:pPr>
      <w:r>
        <w:rPr>
          <w:b/>
          <w:sz w:val="22"/>
        </w:rPr>
        <w:t>3.5 Regulatory Implications</w:t>
      </w:r>
    </w:p>
    <w:p w14:paraId="4C83D904" w14:textId="77777777" w:rsidR="0078489C" w:rsidRDefault="0078489C" w:rsidP="0078489C">
      <w:pPr>
        <w:spacing w:after="120"/>
        <w:jc w:val="both"/>
      </w:pPr>
      <w:r>
        <w:rPr>
          <w:sz w:val="22"/>
        </w:rPr>
        <w:t>The use of predictive modeling directly enhances risk-based regulatory enforcement. By more accurately identifying high-risk facilities, agencies can ensure that regulations are not merely codified but actively and equitably enforced. The transparency provided by feature importance analysis (Figure 2, Table 2) allows regulators to communicate with stakeholders about the basis for inspection prioritization, promoting a culture of risk-based compliance. This approach supports published calls for increased adoption of data-driven inspection targeting to improve public safety and environmental outcomes [5,10]. Furthermore, the probabilistic risk-scoring output enables agencies to implement graduated enforcement responses—reserving full inspections for the highest-risk facilities while directing compliance-assistance resources to moderate-risk generators.</w:t>
      </w:r>
    </w:p>
    <w:p w14:paraId="7929516E" w14:textId="77777777" w:rsidR="0078489C" w:rsidRDefault="0078489C" w:rsidP="0078489C">
      <w:pPr>
        <w:spacing w:before="160" w:after="80"/>
      </w:pPr>
      <w:r>
        <w:rPr>
          <w:b/>
          <w:sz w:val="22"/>
        </w:rPr>
        <w:t>3.6 Model Interpretability and Transparency</w:t>
      </w:r>
    </w:p>
    <w:p w14:paraId="4125E724" w14:textId="77777777" w:rsidR="0078489C" w:rsidRDefault="0078489C" w:rsidP="0078489C">
      <w:pPr>
        <w:spacing w:after="120"/>
        <w:jc w:val="both"/>
      </w:pPr>
      <w:r>
        <w:rPr>
          <w:sz w:val="22"/>
        </w:rPr>
        <w:t>One challenge of deploying Gradient Boosting in a regulatory environment is the algorithm's inherent complexity. To address this, the framework emphasizes feature-importance summaries (Figure 2) and incorporates rule-extraction techniques such as Forest-ORE, which mines optimal rule ensembles to provide human-readable explanations for individual facility risk scores [15]. This interpretability layer is crucial for building trust with inspection staff, facility managers, and the regulated community, enabling inspection decisions to be justified on clear, auditable, data-driven grounds [5,10,16].</w:t>
      </w:r>
    </w:p>
    <w:p w14:paraId="6621256B" w14:textId="77777777" w:rsidR="0078489C" w:rsidRDefault="0078489C" w:rsidP="0078489C">
      <w:pPr>
        <w:spacing w:before="160" w:after="80"/>
      </w:pPr>
      <w:r>
        <w:rPr>
          <w:b/>
          <w:sz w:val="22"/>
        </w:rPr>
        <w:t>3.7 Limitations</w:t>
      </w:r>
    </w:p>
    <w:p w14:paraId="20A575CE" w14:textId="77777777" w:rsidR="0078489C" w:rsidRDefault="0078489C" w:rsidP="0078489C">
      <w:pPr>
        <w:spacing w:after="120"/>
        <w:jc w:val="both"/>
      </w:pPr>
      <w:r>
        <w:rPr>
          <w:sz w:val="22"/>
        </w:rPr>
        <w:t>Several limitations must be acknowledged. First, the models depend on the accuracy of self-reported facility data; systematic bias or errors in Biennial or Annual Reports could propagate through the model and distort risk scores. Fang et al. (2025) identified underreporting of hazardous-waste quantities as a significant challenge precisely because it corrupts the training signal [13]. Second, the feedback loop (Stage 5, Figure 1) is essential for maintaining model relevance; as facilities adapt their behavior in response to increased inspection pressure, the model must be periodically retrained to prevent score drift [4]. Third, the performance benchmarks cited are derived from independent published studies (Greenstone et al., 2021; Potash et al., 2018) rather than a live deployment of this specific framework; actual performance will vary depending on data quality, regional facility characteristics, and violation type distribution.</w:t>
      </w:r>
    </w:p>
    <w:p w14:paraId="06A523F3" w14:textId="77777777" w:rsidR="0078489C" w:rsidRDefault="0078489C" w:rsidP="0078489C">
      <w:pPr>
        <w:spacing w:before="160" w:after="80"/>
      </w:pPr>
      <w:r>
        <w:rPr>
          <w:b/>
          <w:sz w:val="22"/>
        </w:rPr>
        <w:t>3.8 Future Directions</w:t>
      </w:r>
    </w:p>
    <w:p w14:paraId="0860D907" w14:textId="77777777" w:rsidR="0078489C" w:rsidRDefault="0078489C" w:rsidP="0078489C">
      <w:pPr>
        <w:spacing w:after="120"/>
        <w:jc w:val="both"/>
      </w:pPr>
      <w:r>
        <w:rPr>
          <w:sz w:val="22"/>
        </w:rPr>
        <w:t>Future research should concentrate on four key areas. First, live empirical piloting using actual state-level Annual Report and Tier Two data with ground-truth inspection outcome labels is essential for validating and refining projected performance gains. Second, sliding-window temporal modeling should be implemented to account for seasonal fluctuations in waste generation and to enable rolling model updates as new reporting data become available [11]. Third, causal AI techniques should be explored to understand the causal effects of enforcement actions on facility behavior, supporting optimization of intervention type for different facility risk profiles [6]. Fourth, real-time data integration via IoT sensors at waste treatment facilities could enable anomaly detection as incidents occur, rather than only during annual reporting periods.</w:t>
      </w:r>
    </w:p>
    <w:p w14:paraId="06729A6B" w14:textId="77777777" w:rsidR="0078489C" w:rsidRDefault="0078489C" w:rsidP="0078489C"/>
    <w:p w14:paraId="759AA92D" w14:textId="77777777" w:rsidR="0078489C" w:rsidRDefault="0078489C" w:rsidP="0078489C">
      <w:pPr>
        <w:spacing w:before="160" w:after="80"/>
      </w:pPr>
      <w:r>
        <w:rPr>
          <w:b/>
          <w:sz w:val="24"/>
        </w:rPr>
        <w:t>4. CONCLUSION</w:t>
      </w:r>
    </w:p>
    <w:p w14:paraId="495906ED" w14:textId="77777777" w:rsidR="0078489C" w:rsidRDefault="0078489C" w:rsidP="0078489C">
      <w:pPr>
        <w:spacing w:after="120"/>
        <w:jc w:val="both"/>
      </w:pPr>
      <w:r>
        <w:rPr>
          <w:sz w:val="22"/>
        </w:rPr>
        <w:t>This study demonstrates that a data-driven predictive compliance modeling framework can significantly enhance the efficiency of RCRA hazardous waste enforcement. By integrating multi-source regulatory datasets—EPA RCRA Info, Biennial Reports, Annual Reports, and Tier Two data—and employing ensemble machine learning algorithms, environmental agencies can achieve a simulated 46–79% improvement in inspection hit rates over conventional targeting strategies. Feature importance analysis identifies past violation history and operational complexity as the dominant predictors of non-compliance, providing actionable intelligence for agencies even before full model deployment. The framework's portability across jurisdictions, combined with its emphasis on model interpretability through feature importance summaries (Figure 2) and rule-extraction techniques, makes it a practical and auditable tool for risk-based regulatory targeting. Future empirical validation using live state-level data will be essential for confirming and refining the projected performance gains and for establishing the framework as a standard component of modern environmental enforcement practice.</w:t>
      </w:r>
    </w:p>
    <w:p w14:paraId="776B9B5E" w14:textId="77777777" w:rsidR="0078489C" w:rsidRDefault="0078489C" w:rsidP="0078489C"/>
    <w:p w14:paraId="76346D37" w14:textId="77777777" w:rsidR="0078489C" w:rsidRDefault="0078489C" w:rsidP="0078489C">
      <w:pPr>
        <w:spacing w:before="160" w:after="80"/>
      </w:pPr>
      <w:r>
        <w:rPr>
          <w:b/>
          <w:sz w:val="22"/>
        </w:rPr>
        <w:t>COMPETING INTERESTS DISCLAIMER</w:t>
      </w:r>
    </w:p>
    <w:p w14:paraId="544ED1C9" w14:textId="77777777" w:rsidR="0078489C" w:rsidRDefault="0078489C" w:rsidP="0078489C">
      <w:pPr>
        <w:spacing w:after="120"/>
        <w:jc w:val="both"/>
      </w:pPr>
      <w:r>
        <w:rPr>
          <w:sz w:val="22"/>
        </w:rPr>
        <w:t>Authors have declared that they have no known competing financial interests or non-financial interests or personal relationships that could have appeared to influence the work reported in this paper.</w:t>
      </w:r>
    </w:p>
    <w:p w14:paraId="6ED30121" w14:textId="77777777" w:rsidR="0078489C" w:rsidRPr="00080FE4" w:rsidRDefault="0078489C" w:rsidP="0078489C">
      <w:pPr>
        <w:spacing w:before="160" w:after="80"/>
        <w:rPr>
          <w:highlight w:val="yellow"/>
        </w:rPr>
      </w:pPr>
      <w:r w:rsidRPr="00080FE4">
        <w:rPr>
          <w:b/>
          <w:sz w:val="22"/>
          <w:highlight w:val="yellow"/>
        </w:rPr>
        <w:t>DISCLAIMER (ARTIFICIAL INTELLIGENCE)</w:t>
      </w:r>
    </w:p>
    <w:p w14:paraId="2FDF4B85" w14:textId="77777777" w:rsidR="0078489C" w:rsidRDefault="0078489C" w:rsidP="0078489C">
      <w:pPr>
        <w:spacing w:after="120"/>
        <w:jc w:val="both"/>
      </w:pPr>
      <w:r w:rsidRPr="00080FE4">
        <w:rPr>
          <w:sz w:val="22"/>
          <w:highlight w:val="yellow"/>
        </w:rPr>
        <w:t>Author(s) hereby declare that NO generative AI technologies such as Large Language Models (</w:t>
      </w:r>
      <w:proofErr w:type="spellStart"/>
      <w:r w:rsidRPr="00080FE4">
        <w:rPr>
          <w:sz w:val="22"/>
          <w:highlight w:val="yellow"/>
        </w:rPr>
        <w:t>ChatGPT</w:t>
      </w:r>
      <w:proofErr w:type="spellEnd"/>
      <w:r w:rsidRPr="00080FE4">
        <w:rPr>
          <w:sz w:val="22"/>
          <w:highlight w:val="yellow"/>
        </w:rPr>
        <w:t>, COPILOT, etc.) and text-to-image generators have been used during the writing or editing of this manuscript.</w:t>
      </w:r>
    </w:p>
    <w:p w14:paraId="246102D0" w14:textId="77777777" w:rsidR="0078489C" w:rsidRDefault="0078489C" w:rsidP="0078489C"/>
    <w:p w14:paraId="38B5A2B4" w14:textId="77777777" w:rsidR="0078489C" w:rsidRDefault="0078489C" w:rsidP="0078489C">
      <w:pPr>
        <w:spacing w:before="160" w:after="80"/>
      </w:pPr>
      <w:r>
        <w:rPr>
          <w:b/>
          <w:sz w:val="24"/>
        </w:rPr>
        <w:t>REFERENCES</w:t>
      </w:r>
    </w:p>
    <w:p w14:paraId="2B2FB5A0" w14:textId="77777777" w:rsidR="0078489C" w:rsidRDefault="0078489C" w:rsidP="0078489C">
      <w:pPr>
        <w:spacing w:after="80"/>
        <w:ind w:left="432" w:hanging="432"/>
      </w:pPr>
      <w:r>
        <w:t>[1</w:t>
      </w:r>
      <w:proofErr w:type="gramStart"/>
      <w:r>
        <w:t>]  Potash</w:t>
      </w:r>
      <w:proofErr w:type="gramEnd"/>
      <w:r>
        <w:t xml:space="preserve">, E., </w:t>
      </w:r>
      <w:proofErr w:type="spellStart"/>
      <w:r>
        <w:t>Jin</w:t>
      </w:r>
      <w:proofErr w:type="spellEnd"/>
      <w:r>
        <w:t xml:space="preserve">, J., </w:t>
      </w:r>
      <w:proofErr w:type="spellStart"/>
      <w:r>
        <w:t>Kamenetsky</w:t>
      </w:r>
      <w:proofErr w:type="spellEnd"/>
      <w:r>
        <w:t>, M., Magee, D., van der Boor, P., &amp; Ghani, R. (2018). Predictive modeling for environmental protection: Hazardous waste management. Journal of Environmental Management, 223, 1–10. https://doi.org/10.1016/j.jenvman.2018.06.012</w:t>
      </w:r>
    </w:p>
    <w:p w14:paraId="6057739F" w14:textId="77777777" w:rsidR="0078489C" w:rsidRDefault="0078489C" w:rsidP="0078489C">
      <w:pPr>
        <w:spacing w:after="80"/>
        <w:ind w:left="432" w:hanging="432"/>
      </w:pPr>
      <w:r>
        <w:t>[2</w:t>
      </w:r>
      <w:proofErr w:type="gramStart"/>
      <w:r>
        <w:t>]  Greenstone</w:t>
      </w:r>
      <w:proofErr w:type="gramEnd"/>
      <w:r>
        <w:t>, M., Nath, I., &amp; Sudarshan, A. (2021). Can machine learning improve the environment? Evidence from a national field test targeting hazardous waste inspections. NBER Working Paper No. 29543. https://doi.org/10.3386/w29543</w:t>
      </w:r>
    </w:p>
    <w:p w14:paraId="15FB72F5" w14:textId="77777777" w:rsidR="0078489C" w:rsidRDefault="0078489C" w:rsidP="0078489C">
      <w:pPr>
        <w:spacing w:after="80"/>
        <w:ind w:left="432" w:hanging="432"/>
      </w:pPr>
      <w:r>
        <w:t>[3</w:t>
      </w:r>
      <w:proofErr w:type="gramStart"/>
      <w:r>
        <w:t>]  Washington</w:t>
      </w:r>
      <w:proofErr w:type="gramEnd"/>
      <w:r>
        <w:t xml:space="preserve"> Administrative Code (WAC) 173-303. Dangerous Waste Regulations. Washington State Department of Ecology. https://ecology.wa.gov/regulations-permits/laws-rules/ecology-rules/dangerous-waste-regulations</w:t>
      </w:r>
    </w:p>
    <w:p w14:paraId="6A75CC76" w14:textId="77777777" w:rsidR="0078489C" w:rsidRDefault="0078489C" w:rsidP="0078489C">
      <w:pPr>
        <w:spacing w:after="80"/>
        <w:ind w:left="432" w:hanging="432"/>
      </w:pPr>
      <w:r>
        <w:t>[4</w:t>
      </w:r>
      <w:proofErr w:type="gramStart"/>
      <w:r>
        <w:t>]  Stafford</w:t>
      </w:r>
      <w:proofErr w:type="gramEnd"/>
      <w:r>
        <w:t>, S. (2013). How predictable are environmental compliance inspections? Journal of Regulatory Economics, 44(1), 47–71. https://doi.org/10.1007/S11149-013-9234-7</w:t>
      </w:r>
    </w:p>
    <w:p w14:paraId="4431B232" w14:textId="77777777" w:rsidR="0078489C" w:rsidRDefault="0078489C" w:rsidP="0078489C">
      <w:pPr>
        <w:spacing w:after="80"/>
        <w:ind w:left="432" w:hanging="432"/>
      </w:pPr>
      <w:r>
        <w:t>[5</w:t>
      </w:r>
      <w:proofErr w:type="gramStart"/>
      <w:r>
        <w:t xml:space="preserve">]  </w:t>
      </w:r>
      <w:proofErr w:type="spellStart"/>
      <w:r>
        <w:t>Ribas</w:t>
      </w:r>
      <w:proofErr w:type="spellEnd"/>
      <w:proofErr w:type="gramEnd"/>
      <w:r>
        <w:t xml:space="preserve">, G., Nunes, J., &amp; </w:t>
      </w:r>
      <w:proofErr w:type="spellStart"/>
      <w:r>
        <w:t>Meira</w:t>
      </w:r>
      <w:proofErr w:type="spellEnd"/>
      <w:r>
        <w:t xml:space="preserve">, W. (2022). Risk-based regulation for all: The need and a method for a wide adoption solution for data-driven inspection targeting. </w:t>
      </w:r>
      <w:proofErr w:type="spellStart"/>
      <w:r>
        <w:t>arXiv</w:t>
      </w:r>
      <w:proofErr w:type="spellEnd"/>
      <w:r>
        <w:t xml:space="preserve"> preprint arXiv:2204.03583. https://doi.org/10.48550/arXiv.2204.03583</w:t>
      </w:r>
    </w:p>
    <w:p w14:paraId="418DEE26" w14:textId="77777777" w:rsidR="0078489C" w:rsidRDefault="0078489C" w:rsidP="0078489C">
      <w:pPr>
        <w:spacing w:after="80"/>
        <w:ind w:left="432" w:hanging="432"/>
      </w:pPr>
      <w:r>
        <w:t>[6</w:t>
      </w:r>
      <w:proofErr w:type="gramStart"/>
      <w:r>
        <w:t>]  Wang</w:t>
      </w:r>
      <w:proofErr w:type="gramEnd"/>
      <w:r>
        <w:t>, L., Peng, Y., &amp; Liu, Z. (2024). Quantifying water effluent violations and enforcement impacts using causal AI. Policy &amp; Internet, 16(2), 1–20. https://doi.org/10.1002/poi3.402</w:t>
      </w:r>
    </w:p>
    <w:p w14:paraId="7CF5F44E" w14:textId="77777777" w:rsidR="0078489C" w:rsidRDefault="0078489C" w:rsidP="0078489C">
      <w:pPr>
        <w:spacing w:after="80"/>
        <w:ind w:left="432" w:hanging="432"/>
      </w:pPr>
      <w:r>
        <w:lastRenderedPageBreak/>
        <w:t>[7</w:t>
      </w:r>
      <w:proofErr w:type="gramStart"/>
      <w:r>
        <w:t>]  Xia</w:t>
      </w:r>
      <w:proofErr w:type="gramEnd"/>
      <w:r>
        <w:t>, X., Li, Y., &amp; Zhang, H. (2020). Soft measuring method of dioxin emission concentration for MSWI process based on RF and GBDT. In Proceedings of Chinese Control and Decision Conference (pp. 124–129). https://doi.org/10.1109/CCDC49329.2020.9164125</w:t>
      </w:r>
    </w:p>
    <w:p w14:paraId="02AA3FA3" w14:textId="77777777" w:rsidR="0078489C" w:rsidRDefault="0078489C" w:rsidP="0078489C">
      <w:pPr>
        <w:spacing w:after="80"/>
        <w:ind w:left="432" w:hanging="432"/>
      </w:pPr>
      <w:r>
        <w:t>[8</w:t>
      </w:r>
      <w:proofErr w:type="gramStart"/>
      <w:r>
        <w:t>]  Zhu</w:t>
      </w:r>
      <w:proofErr w:type="gramEnd"/>
      <w:r>
        <w:t>, H., Chen, M., &amp; Wang, F. (2025). Policy-sensitive feature-driven machine learning for urban air quality prediction and environmental governance applications. Research Square. https://doi.org/10.21203/rs.3.rs-7437937/v1</w:t>
      </w:r>
    </w:p>
    <w:p w14:paraId="585807E3" w14:textId="77777777" w:rsidR="0078489C" w:rsidRDefault="0078489C" w:rsidP="0078489C">
      <w:pPr>
        <w:spacing w:after="80"/>
        <w:ind w:left="432" w:hanging="432"/>
      </w:pPr>
      <w:r>
        <w:t>[9</w:t>
      </w:r>
      <w:proofErr w:type="gramStart"/>
      <w:r>
        <w:t xml:space="preserve">]  </w:t>
      </w:r>
      <w:proofErr w:type="spellStart"/>
      <w:r>
        <w:t>Maissae</w:t>
      </w:r>
      <w:proofErr w:type="spellEnd"/>
      <w:proofErr w:type="gramEnd"/>
      <w:r>
        <w:t xml:space="preserve">, S., </w:t>
      </w:r>
      <w:proofErr w:type="spellStart"/>
      <w:r>
        <w:t>Bendimerad</w:t>
      </w:r>
      <w:proofErr w:type="spellEnd"/>
      <w:r>
        <w:t xml:space="preserve">, F., &amp; </w:t>
      </w:r>
      <w:proofErr w:type="spellStart"/>
      <w:r>
        <w:t>Chalal</w:t>
      </w:r>
      <w:proofErr w:type="spellEnd"/>
      <w:r>
        <w:t xml:space="preserve">, R. (2024). Forest-ORE: Mining optimal rule ensemble to interpret Random Forest models. </w:t>
      </w:r>
      <w:proofErr w:type="spellStart"/>
      <w:r>
        <w:t>arXiv</w:t>
      </w:r>
      <w:proofErr w:type="spellEnd"/>
      <w:r>
        <w:t xml:space="preserve"> preprint arXiv:2403.17588. https://doi.org/10.48550/arxiv.2403.17588</w:t>
      </w:r>
    </w:p>
    <w:p w14:paraId="443367BC" w14:textId="77777777" w:rsidR="0078489C" w:rsidRDefault="0078489C" w:rsidP="0078489C">
      <w:pPr>
        <w:spacing w:after="80"/>
        <w:ind w:left="432" w:hanging="432"/>
      </w:pPr>
      <w:r>
        <w:t xml:space="preserve">[10] </w:t>
      </w:r>
      <w:proofErr w:type="spellStart"/>
      <w:r>
        <w:t>Ahanor</w:t>
      </w:r>
      <w:proofErr w:type="spellEnd"/>
      <w:r>
        <w:t>, E., Momoh, P. O., &amp; Ayeni, C. O. (2025). Leveraging machine learning for regulatory intelligence: A predictive assessment of enforcement gaps in Nigeria's e-waste legal framework. European Journal of Information and Social Sciences, 1(5), 12. https://doi.org/10.59324/ejiss.2025.1(5).12</w:t>
      </w:r>
    </w:p>
    <w:p w14:paraId="031F60BB" w14:textId="77777777" w:rsidR="0078489C" w:rsidRDefault="0078489C" w:rsidP="0078489C">
      <w:pPr>
        <w:spacing w:after="80"/>
        <w:ind w:left="432" w:hanging="432"/>
      </w:pPr>
      <w:r>
        <w:t>[11] Zhou, Q., Qu, S., Wang, Q., She, Y., &amp; Yu, Y. (2023). Sliding window-based machine learning for environmental inspection resource allocation. Environmental Science &amp; Technology, 57(23), 8594–8603. https://doi.org/10.1021/acs.est.3c05088</w:t>
      </w:r>
    </w:p>
    <w:p w14:paraId="65CE99B5" w14:textId="77777777" w:rsidR="0078489C" w:rsidRDefault="0078489C" w:rsidP="0078489C">
      <w:pPr>
        <w:spacing w:after="80"/>
        <w:ind w:left="432" w:hanging="432"/>
      </w:pPr>
      <w:r>
        <w:t xml:space="preserve">[12] Ding, Y., </w:t>
      </w:r>
      <w:proofErr w:type="spellStart"/>
      <w:r>
        <w:t>Xie</w:t>
      </w:r>
      <w:proofErr w:type="spellEnd"/>
      <w:r>
        <w:t>, W., Fang, W., Liu, M., &amp; Ma, Z. (2023). An ensemble machine learning model to uncover potential sites of hazardous waste illegal dumping based on limited supervision experience. Fundamental Research. https://doi.org/10.1016/j.fmre.2023.06.010</w:t>
      </w:r>
    </w:p>
    <w:p w14:paraId="41EBA24D" w14:textId="77777777" w:rsidR="0078489C" w:rsidRDefault="0078489C" w:rsidP="0078489C">
      <w:pPr>
        <w:spacing w:after="80"/>
        <w:ind w:left="432" w:hanging="432"/>
      </w:pPr>
      <w:r>
        <w:t xml:space="preserve">[13] Fang, W., Yu, Q., </w:t>
      </w:r>
      <w:proofErr w:type="spellStart"/>
      <w:r>
        <w:t>Xie</w:t>
      </w:r>
      <w:proofErr w:type="spellEnd"/>
      <w:r>
        <w:t>, W., Yang, J., &amp; Ma, Z. (2025). Probabilistic evaluation of enterprises' fraudulent report in pollutant levels based on machine learning: a case of hazardous waste generation quantity. Resources, Conservation and Recycling, 108407. https://doi.org/10.1016/j.resconrec.2025.108407</w:t>
      </w:r>
    </w:p>
    <w:p w14:paraId="07BE43E2" w14:textId="77777777" w:rsidR="0078489C" w:rsidRDefault="0078489C" w:rsidP="0078489C">
      <w:pPr>
        <w:spacing w:after="80"/>
        <w:ind w:left="432" w:hanging="432"/>
      </w:pPr>
      <w:r>
        <w:t>[14] Abu El-</w:t>
      </w:r>
      <w:proofErr w:type="spellStart"/>
      <w:r>
        <w:t>Magd</w:t>
      </w:r>
      <w:proofErr w:type="spellEnd"/>
      <w:r>
        <w:t xml:space="preserve">, S. A., Soliman, G. F., </w:t>
      </w:r>
      <w:proofErr w:type="spellStart"/>
      <w:r>
        <w:t>Morsy</w:t>
      </w:r>
      <w:proofErr w:type="spellEnd"/>
      <w:r>
        <w:t xml:space="preserve">, M., &amp; </w:t>
      </w:r>
      <w:proofErr w:type="spellStart"/>
      <w:r>
        <w:t>Kharbish</w:t>
      </w:r>
      <w:proofErr w:type="spellEnd"/>
      <w:r>
        <w:t>, S. (2022). Environmental hazard assessment and monitoring for air pollution using machine learning and remote sensing. International Journal of Environmental Science and Technology. https://doi.org/10.1007/s13762-022-04367-6</w:t>
      </w:r>
    </w:p>
    <w:p w14:paraId="293EFBC3" w14:textId="77777777" w:rsidR="0078489C" w:rsidRDefault="0078489C" w:rsidP="0078489C">
      <w:pPr>
        <w:spacing w:after="80"/>
        <w:ind w:left="432" w:hanging="432"/>
      </w:pPr>
      <w:r>
        <w:t xml:space="preserve">[15] Wang, Z., </w:t>
      </w:r>
      <w:proofErr w:type="spellStart"/>
      <w:r>
        <w:t>Su</w:t>
      </w:r>
      <w:proofErr w:type="spellEnd"/>
      <w:r>
        <w:t>, J., Feng, Y., Xu, Q., &amp; Wang, H. (2024). Conversion of hazardous waste into thermal conductive polymer: A prediction and guidance from machine learning. Journal of Environmental Management, 122864. https://doi.org/10.1016/j.jenvman.2024.122864</w:t>
      </w:r>
    </w:p>
    <w:p w14:paraId="704D2654" w14:textId="77777777" w:rsidR="0078489C" w:rsidRDefault="0078489C" w:rsidP="0078489C">
      <w:pPr>
        <w:spacing w:after="80"/>
        <w:ind w:left="432" w:hanging="432"/>
      </w:pPr>
      <w:r>
        <w:t>[16] Bui, T. A., &amp; Nguyen, V. H. (2024). Improving detection of pollution fee declarations for environmental policy compliance through metaheuristic-optimized ensemble learning. Engineering, Construction and Architectural Management. https://doi.org/10.1108/ecam-08-2024-1113</w:t>
      </w:r>
    </w:p>
    <w:p w14:paraId="778EB8C3" w14:textId="77777777" w:rsidR="0078489C" w:rsidRPr="00996B73" w:rsidRDefault="0078489C">
      <w:pPr>
        <w:spacing w:after="160"/>
        <w:rPr>
          <w:rFonts w:ascii="Arial" w:eastAsia="Arial" w:hAnsi="Arial" w:cs="Arial"/>
          <w:b/>
          <w:bCs/>
          <w:sz w:val="36"/>
          <w:szCs w:val="36"/>
          <w:u w:val="single"/>
        </w:rPr>
      </w:pPr>
    </w:p>
    <w:sectPr w:rsidR="0078489C" w:rsidRPr="00996B73">
      <w:headerReference w:type="even" r:id="rId11"/>
      <w:headerReference w:type="default" r:id="rId12"/>
      <w:footerReference w:type="even" r:id="rId13"/>
      <w:footerReference w:type="default" r:id="rId14"/>
      <w:headerReference w:type="first" r:id="rId15"/>
      <w:footerReference w:type="first" r:id="rId16"/>
      <w:pgSz w:w="12240" w:h="15840"/>
      <w:pgMar w:top="1440" w:right="2016" w:bottom="2016" w:left="201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42A30" w14:textId="77777777" w:rsidR="009B0C7A" w:rsidRDefault="009B0C7A" w:rsidP="00F85090">
      <w:r>
        <w:separator/>
      </w:r>
    </w:p>
  </w:endnote>
  <w:endnote w:type="continuationSeparator" w:id="0">
    <w:p w14:paraId="23DD3B9A" w14:textId="77777777" w:rsidR="009B0C7A" w:rsidRDefault="009B0C7A" w:rsidP="00F85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9C18203-3BB5-4976-A5D1-044A49C8EB23}"/>
  </w:font>
  <w:font w:name="Cambria">
    <w:panose1 w:val="02040503050406030204"/>
    <w:charset w:val="00"/>
    <w:family w:val="roman"/>
    <w:pitch w:val="variable"/>
    <w:sig w:usb0="E00006FF" w:usb1="420024FF" w:usb2="02000000" w:usb3="00000000" w:csb0="0000019F" w:csb1="00000000"/>
    <w:embedRegular r:id="rId2" w:fontKey="{FB7C2DCA-6C22-4B5E-A0F0-1EE96724FB89}"/>
    <w:embedBold r:id="rId3" w:fontKey="{F9C936BC-468B-4EAD-B515-B3EF7133AD6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32B51B7-9CC8-4F6F-A83C-CDFF7D05BB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BA995" w14:textId="77777777" w:rsidR="00F85090" w:rsidRDefault="00F850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1D72" w14:textId="77777777" w:rsidR="00F85090" w:rsidRDefault="00F850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45BEC" w14:textId="77777777" w:rsidR="00F85090" w:rsidRDefault="00F85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F7FEB" w14:textId="77777777" w:rsidR="009B0C7A" w:rsidRDefault="009B0C7A" w:rsidP="00F85090">
      <w:r>
        <w:separator/>
      </w:r>
    </w:p>
  </w:footnote>
  <w:footnote w:type="continuationSeparator" w:id="0">
    <w:p w14:paraId="6CB5E735" w14:textId="77777777" w:rsidR="009B0C7A" w:rsidRDefault="009B0C7A" w:rsidP="00F85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63595" w14:textId="16E60106" w:rsidR="00F85090" w:rsidRDefault="009B0C7A">
    <w:pPr>
      <w:pStyle w:val="Header"/>
    </w:pPr>
    <w:r>
      <w:rPr>
        <w:noProof/>
      </w:rPr>
      <w:pict w14:anchorId="3D7D9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31297" o:spid="_x0000_s2051"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36CFF" w14:textId="15257890" w:rsidR="00F85090" w:rsidRDefault="009B0C7A">
    <w:pPr>
      <w:pStyle w:val="Header"/>
    </w:pPr>
    <w:r>
      <w:rPr>
        <w:noProof/>
      </w:rPr>
      <w:pict w14:anchorId="70660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31298" o:spid="_x0000_s2050"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6710B" w14:textId="63F1BA01" w:rsidR="00F85090" w:rsidRDefault="009B0C7A">
    <w:pPr>
      <w:pStyle w:val="Header"/>
    </w:pPr>
    <w:r>
      <w:rPr>
        <w:noProof/>
      </w:rPr>
      <w:pict w14:anchorId="56C52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131296" o:spid="_x0000_s2049" type="#_x0000_t136" alt="" style="position:absolute;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ED231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572026D9"/>
    <w:multiLevelType w:val="multilevel"/>
    <w:tmpl w:val="32987134"/>
    <w:lvl w:ilvl="0">
      <w:start w:val="1"/>
      <w:numFmt w:val="bullet"/>
      <w:lvlText w:val="•"/>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E11"/>
    <w:rsid w:val="00080FE4"/>
    <w:rsid w:val="001304AD"/>
    <w:rsid w:val="00302680"/>
    <w:rsid w:val="00393137"/>
    <w:rsid w:val="00476426"/>
    <w:rsid w:val="0054569F"/>
    <w:rsid w:val="006E22DD"/>
    <w:rsid w:val="0078489C"/>
    <w:rsid w:val="00996B73"/>
    <w:rsid w:val="009B0C7A"/>
    <w:rsid w:val="00A72E90"/>
    <w:rsid w:val="00A8208C"/>
    <w:rsid w:val="00B35426"/>
    <w:rsid w:val="00B51E11"/>
    <w:rsid w:val="00C2650F"/>
    <w:rsid w:val="00CA1FA8"/>
    <w:rsid w:val="00E33BCC"/>
    <w:rsid w:val="00F37BB1"/>
    <w:rsid w:val="00F85090"/>
    <w:rsid w:val="00FE2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1993D7"/>
  <w15:docId w15:val="{F5205DAF-834D-1243-B120-2EE1B68E0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character" w:styleId="Hyperlink">
    <w:name w:val="Hyperlink"/>
    <w:basedOn w:val="DefaultParagraphFont"/>
    <w:uiPriority w:val="99"/>
    <w:unhideWhenUsed/>
    <w:rsid w:val="00996B73"/>
    <w:rPr>
      <w:color w:val="0000FF" w:themeColor="hyperlink"/>
      <w:u w:val="single"/>
    </w:rPr>
  </w:style>
  <w:style w:type="character" w:styleId="UnresolvedMention">
    <w:name w:val="Unresolved Mention"/>
    <w:basedOn w:val="DefaultParagraphFont"/>
    <w:uiPriority w:val="99"/>
    <w:semiHidden/>
    <w:unhideWhenUsed/>
    <w:rsid w:val="00996B73"/>
    <w:rPr>
      <w:color w:val="605E5C"/>
      <w:shd w:val="clear" w:color="auto" w:fill="E1DFDD"/>
    </w:rPr>
  </w:style>
  <w:style w:type="paragraph" w:styleId="Header">
    <w:name w:val="header"/>
    <w:basedOn w:val="Normal"/>
    <w:link w:val="HeaderChar"/>
    <w:uiPriority w:val="99"/>
    <w:unhideWhenUsed/>
    <w:rsid w:val="00F85090"/>
    <w:pPr>
      <w:tabs>
        <w:tab w:val="center" w:pos="4513"/>
        <w:tab w:val="right" w:pos="9026"/>
      </w:tabs>
    </w:pPr>
  </w:style>
  <w:style w:type="character" w:customStyle="1" w:styleId="HeaderChar">
    <w:name w:val="Header Char"/>
    <w:basedOn w:val="DefaultParagraphFont"/>
    <w:link w:val="Header"/>
    <w:uiPriority w:val="99"/>
    <w:rsid w:val="00F85090"/>
  </w:style>
  <w:style w:type="paragraph" w:styleId="Footer">
    <w:name w:val="footer"/>
    <w:basedOn w:val="Normal"/>
    <w:link w:val="FooterChar"/>
    <w:uiPriority w:val="99"/>
    <w:unhideWhenUsed/>
    <w:rsid w:val="00F85090"/>
    <w:pPr>
      <w:tabs>
        <w:tab w:val="center" w:pos="4513"/>
        <w:tab w:val="right" w:pos="9026"/>
      </w:tabs>
    </w:pPr>
  </w:style>
  <w:style w:type="character" w:customStyle="1" w:styleId="FooterChar">
    <w:name w:val="Footer Char"/>
    <w:basedOn w:val="DefaultParagraphFont"/>
    <w:link w:val="Footer"/>
    <w:uiPriority w:val="99"/>
    <w:rsid w:val="00F85090"/>
  </w:style>
  <w:style w:type="paragraph" w:styleId="NoSpacing">
    <w:name w:val="No Spacing"/>
    <w:uiPriority w:val="1"/>
    <w:qFormat/>
    <w:rsid w:val="006E22DD"/>
    <w:rPr>
      <w:rFonts w:asciiTheme="minorHAnsi" w:eastAsiaTheme="minorHAnsi" w:hAnsiTheme="minorHAnsi" w:cstheme="minorBidi"/>
      <w:kern w:val="2"/>
      <w:sz w:val="22"/>
      <w:szCs w:val="22"/>
      <w:lang w:val="en-US"/>
      <w14:ligatures w14:val="standardContextual"/>
    </w:rPr>
  </w:style>
  <w:style w:type="paragraph" w:styleId="ListBullet">
    <w:name w:val="List Bullet"/>
    <w:basedOn w:val="Normal"/>
    <w:uiPriority w:val="99"/>
    <w:unhideWhenUsed/>
    <w:rsid w:val="0078489C"/>
    <w:pPr>
      <w:numPr>
        <w:numId w:val="2"/>
      </w:numPr>
      <w:spacing w:after="200" w:line="276" w:lineRule="auto"/>
      <w:contextualSpacing/>
    </w:pPr>
    <w:rPr>
      <w:rFonts w:asciiTheme="minorHAnsi" w:eastAsiaTheme="minorEastAsia" w:hAnsiTheme="minorHAnsi" w:cstheme="minorBidi"/>
      <w:sz w:val="22"/>
      <w:szCs w:val="22"/>
      <w:lang w:val="en-US"/>
    </w:rPr>
  </w:style>
  <w:style w:type="table" w:styleId="TableGrid">
    <w:name w:val="Table Grid"/>
    <w:basedOn w:val="TableNormal"/>
    <w:uiPriority w:val="59"/>
    <w:rsid w:val="0078489C"/>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0ubZHd5WfNoBa7TQ7I+/rTrExg==">CgMxLjA4AHIhMW9lX2l2d1ZxT0NDSXBqa0dDWW5hWjV4akY4U1IxaVpY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4042</Words>
  <Characters>23045</Characters>
  <Application>Microsoft Office Word</Application>
  <DocSecurity>0</DocSecurity>
  <Lines>192</Lines>
  <Paragraphs>54</Paragraphs>
  <ScaleCrop>false</ScaleCrop>
  <Company/>
  <LinksUpToDate>false</LinksUpToDate>
  <CharactersWithSpaces>27033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24</cp:revision>
  <dcterms:created xsi:type="dcterms:W3CDTF">2026-04-08T03:00:00Z</dcterms:created>
  <dcterms:modified xsi:type="dcterms:W3CDTF">2026-04-14T07:32:00Z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29d85164-8aa3-4a2a-b854-a81f65d742ba</vt:lpwstr>
  </property>
</Properties>
</file>