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82072" w14:textId="2F3A0B38" w:rsidR="00344431" w:rsidRPr="00344431" w:rsidRDefault="0027577F" w:rsidP="0034443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9942BE">
        <w:rPr>
          <w:rFonts w:ascii="Times New Roman" w:hAnsi="Times New Roman" w:cs="Times New Roman"/>
          <w:b/>
          <w:sz w:val="24"/>
          <w:szCs w:val="24"/>
        </w:rPr>
        <w:t xml:space="preserve">Material Modification and </w:t>
      </w:r>
      <w:r w:rsidR="00344431" w:rsidRPr="00344431">
        <w:rPr>
          <w:rFonts w:ascii="Times New Roman" w:hAnsi="Times New Roman" w:cs="Times New Roman"/>
          <w:b/>
          <w:sz w:val="24"/>
          <w:szCs w:val="24"/>
        </w:rPr>
        <w:t>Performance evaluation of cold mix asphalt (</w:t>
      </w:r>
      <w:r w:rsidR="009F7F55">
        <w:rPr>
          <w:rFonts w:ascii="Times New Roman" w:hAnsi="Times New Roman" w:cs="Times New Roman"/>
          <w:b/>
          <w:sz w:val="24"/>
          <w:szCs w:val="24"/>
        </w:rPr>
        <w:t>CMA</w:t>
      </w:r>
      <w:r w:rsidR="00344431" w:rsidRPr="00344431">
        <w:rPr>
          <w:rFonts w:ascii="Times New Roman" w:hAnsi="Times New Roman" w:cs="Times New Roman"/>
          <w:b/>
          <w:sz w:val="24"/>
          <w:szCs w:val="24"/>
        </w:rPr>
        <w:t>) pr</w:t>
      </w:r>
      <w:r w:rsidR="00753185">
        <w:rPr>
          <w:rFonts w:ascii="Times New Roman" w:hAnsi="Times New Roman" w:cs="Times New Roman"/>
          <w:b/>
          <w:sz w:val="24"/>
          <w:szCs w:val="24"/>
        </w:rPr>
        <w:t xml:space="preserve">oduced with dissolved waste </w:t>
      </w:r>
      <w:r w:rsidR="009942BE">
        <w:rPr>
          <w:rFonts w:ascii="Times New Roman" w:hAnsi="Times New Roman" w:cs="Times New Roman"/>
          <w:b/>
          <w:sz w:val="24"/>
          <w:szCs w:val="24"/>
        </w:rPr>
        <w:t>polythene</w:t>
      </w:r>
      <w:r w:rsidR="004F57F8">
        <w:rPr>
          <w:rFonts w:ascii="Times New Roman" w:hAnsi="Times New Roman" w:cs="Times New Roman"/>
          <w:b/>
          <w:sz w:val="24"/>
          <w:szCs w:val="24"/>
        </w:rPr>
        <w:t xml:space="preserve"> as partial replacement of bitumen</w:t>
      </w:r>
    </w:p>
    <w:p w14:paraId="1F28AC38" w14:textId="60CD371D" w:rsidR="00062E7F" w:rsidRPr="00F93636" w:rsidRDefault="00034B5F" w:rsidP="00034B5F">
      <w:pPr>
        <w:tabs>
          <w:tab w:val="left" w:pos="2344"/>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8250E9">
        <w:rPr>
          <w:rFonts w:ascii="Times New Roman" w:hAnsi="Times New Roman" w:cs="Times New Roman"/>
          <w:sz w:val="24"/>
          <w:szCs w:val="24"/>
        </w:rPr>
        <w:t>Type of Article:</w:t>
      </w:r>
      <w:r w:rsidR="00931317" w:rsidRPr="00931317">
        <w:rPr>
          <w:rFonts w:ascii="Times New Roman" w:hAnsi="Times New Roman" w:cs="Times New Roman"/>
          <w:sz w:val="24"/>
          <w:szCs w:val="24"/>
        </w:rPr>
        <w:t xml:space="preserve"> </w:t>
      </w:r>
      <w:r w:rsidR="00931317" w:rsidRPr="008250E9">
        <w:rPr>
          <w:rFonts w:ascii="Times New Roman" w:hAnsi="Times New Roman" w:cs="Times New Roman"/>
          <w:sz w:val="24"/>
          <w:szCs w:val="24"/>
          <w:u w:val="single"/>
        </w:rPr>
        <w:t>Original Research Article</w:t>
      </w:r>
    </w:p>
    <w:p w14:paraId="76639996" w14:textId="77777777" w:rsidR="00F30288" w:rsidRPr="00941DE3" w:rsidRDefault="00F30288" w:rsidP="00F93636">
      <w:pPr>
        <w:spacing w:line="240" w:lineRule="auto"/>
        <w:jc w:val="both"/>
        <w:rPr>
          <w:rFonts w:ascii="Times New Roman" w:hAnsi="Times New Roman" w:cs="Times New Roman"/>
          <w:b/>
          <w:sz w:val="24"/>
          <w:szCs w:val="24"/>
        </w:rPr>
      </w:pPr>
      <w:r w:rsidRPr="00941DE3">
        <w:rPr>
          <w:rFonts w:ascii="Times New Roman" w:hAnsi="Times New Roman" w:cs="Times New Roman"/>
          <w:b/>
          <w:sz w:val="24"/>
          <w:szCs w:val="24"/>
        </w:rPr>
        <w:t>Abstract</w:t>
      </w:r>
    </w:p>
    <w:p w14:paraId="4811F35E" w14:textId="77777777" w:rsidR="00B01DF5" w:rsidRPr="00B01DF5" w:rsidRDefault="00B01DF5" w:rsidP="00B01DF5">
      <w:pPr>
        <w:spacing w:line="240" w:lineRule="auto"/>
        <w:jc w:val="both"/>
        <w:rPr>
          <w:rFonts w:ascii="Times New Roman" w:hAnsi="Times New Roman" w:cs="Times New Roman"/>
          <w:sz w:val="24"/>
          <w:szCs w:val="24"/>
        </w:rPr>
      </w:pPr>
    </w:p>
    <w:p w14:paraId="69FC9A7E" w14:textId="77777777" w:rsidR="00B01DF5" w:rsidRDefault="00B01DF5" w:rsidP="00B01DF5">
      <w:pPr>
        <w:spacing w:line="240" w:lineRule="auto"/>
        <w:jc w:val="right"/>
        <w:rPr>
          <w:rFonts w:ascii="Times New Roman" w:hAnsi="Times New Roman" w:cs="Times New Roman"/>
          <w:sz w:val="24"/>
          <w:szCs w:val="24"/>
        </w:rPr>
      </w:pPr>
    </w:p>
    <w:p w14:paraId="1DA82E30" w14:textId="1B655BC5" w:rsidR="00EA6A6F" w:rsidRPr="009F7F55" w:rsidRDefault="009F7F55" w:rsidP="009F7F55">
      <w:pPr>
        <w:pStyle w:val="NormalWeb"/>
        <w:jc w:val="both"/>
      </w:pPr>
      <w:r>
        <w:t>Road surfacing repairs are conventionally undertaken using hot mix asphalt, a process associated with significant challenges, including fire hazards and contributions to global warming due to the elevated temperatures required to ensure adequate fluidity of the viscous binder during the production of bituminous materials. As an alternative, cold mix asphalt presents a more environmentally sustainable option, particularly when produced using non-biodegradable polythene packaging waste, which is commonly discarded in open environments across both rural and urban areas in developing countries. The incorporation of such waste materials offers multiple advantages, including the reduction of environmental pollution caused by dispersed polyethylene debris, decreased reliance on bitumen, and mitigation of bitumen oxidation.</w:t>
      </w:r>
      <w:r>
        <w:t xml:space="preserve"> </w:t>
      </w:r>
      <w:r>
        <w:t xml:space="preserve">In this study, the cold mix asphalt binder was prepared by modifying bitumen with 5% dissolved polythene by weight, across varying binder contents. The asphalt mixture was formulated in accordance with a specified design mix comprising 25% coarse aggregates, 5% fine aggregates, and 70% quarry dust. The results demonstrated that plastic modification at an optimum binder content of 6% produced </w:t>
      </w:r>
      <w:r w:rsidRPr="009F7F55">
        <w:rPr>
          <w:sz w:val="28"/>
        </w:rPr>
        <w:t>the</w:t>
      </w:r>
      <w:r>
        <w:t xml:space="preserve"> highest Marshall stability, with all volumetric parameters remaining within acceptable specification limits. Additionally, the modified mixture exhibited notable resistance to moisture-induced damage, with stability values of 7.4 </w:t>
      </w:r>
      <w:proofErr w:type="spellStart"/>
      <w:r>
        <w:t>kN</w:t>
      </w:r>
      <w:proofErr w:type="spellEnd"/>
      <w:r>
        <w:t xml:space="preserve"> and 7.24 </w:t>
      </w:r>
      <w:proofErr w:type="spellStart"/>
      <w:r>
        <w:t>kN</w:t>
      </w:r>
      <w:proofErr w:type="spellEnd"/>
      <w:r>
        <w:t xml:space="preserve"> recorded for mixtures with and without dissolved polythene, respectively, both exceeding the minimum requirement of 3 </w:t>
      </w:r>
      <w:proofErr w:type="spellStart"/>
      <w:r>
        <w:t>kN.</w:t>
      </w:r>
      <w:proofErr w:type="spellEnd"/>
      <w:r>
        <w:t xml:space="preserve"> </w:t>
      </w:r>
      <w:r>
        <w:t xml:space="preserve">Overall, the findings indicate that the incorporation of dissolved polythene into asphalt mixtures is both technically feasible and beneficial, enhancing mechanical performance and durability. This approach represents a promising and sustainable strategy for large-scale plastic waste </w:t>
      </w:r>
      <w:proofErr w:type="spellStart"/>
      <w:r>
        <w:t>utilisation</w:t>
      </w:r>
      <w:proofErr w:type="spellEnd"/>
      <w:r>
        <w:t xml:space="preserve"> in infrastructure development.</w:t>
      </w:r>
    </w:p>
    <w:p w14:paraId="5800AC72" w14:textId="60CB9882" w:rsidR="00DB48F1" w:rsidRDefault="00941DE3" w:rsidP="00F93636">
      <w:pPr>
        <w:spacing w:line="240" w:lineRule="auto"/>
        <w:jc w:val="both"/>
        <w:rPr>
          <w:rFonts w:ascii="Times New Roman" w:hAnsi="Times New Roman" w:cs="Times New Roman"/>
          <w:sz w:val="24"/>
          <w:szCs w:val="24"/>
        </w:rPr>
      </w:pPr>
      <w:r w:rsidRPr="00941DE3">
        <w:rPr>
          <w:rFonts w:ascii="Times New Roman" w:hAnsi="Times New Roman" w:cs="Times New Roman"/>
          <w:b/>
          <w:sz w:val="24"/>
          <w:szCs w:val="24"/>
        </w:rPr>
        <w:t>Keywords:</w:t>
      </w:r>
      <w:r>
        <w:rPr>
          <w:rFonts w:ascii="Times New Roman" w:hAnsi="Times New Roman" w:cs="Times New Roman"/>
          <w:sz w:val="24"/>
          <w:szCs w:val="24"/>
        </w:rPr>
        <w:t xml:space="preserve"> </w:t>
      </w:r>
      <w:r w:rsidR="00DB48F1" w:rsidRPr="00DB48F1">
        <w:rPr>
          <w:rFonts w:ascii="Times New Roman" w:hAnsi="Times New Roman" w:cs="Times New Roman"/>
          <w:sz w:val="24"/>
          <w:szCs w:val="24"/>
        </w:rPr>
        <w:t>Bitumen</w:t>
      </w:r>
      <w:r w:rsidR="00CF569C" w:rsidRPr="00F93636">
        <w:rPr>
          <w:rFonts w:ascii="Times New Roman" w:hAnsi="Times New Roman" w:cs="Times New Roman"/>
          <w:sz w:val="24"/>
          <w:szCs w:val="24"/>
        </w:rPr>
        <w:t>,</w:t>
      </w:r>
      <w:r w:rsidR="00CF569C" w:rsidRPr="00F93636">
        <w:rPr>
          <w:rFonts w:ascii="Times New Roman" w:hAnsi="Times New Roman" w:cs="Times New Roman"/>
          <w:i/>
          <w:sz w:val="24"/>
          <w:szCs w:val="24"/>
        </w:rPr>
        <w:t xml:space="preserve"> </w:t>
      </w:r>
      <w:r w:rsidR="004537CF">
        <w:rPr>
          <w:rFonts w:ascii="Times New Roman" w:hAnsi="Times New Roman" w:cs="Times New Roman"/>
          <w:sz w:val="24"/>
          <w:szCs w:val="24"/>
        </w:rPr>
        <w:t xml:space="preserve">Cold mix </w:t>
      </w:r>
      <w:r w:rsidR="00E247C0">
        <w:rPr>
          <w:rFonts w:ascii="Times New Roman" w:hAnsi="Times New Roman" w:cs="Times New Roman"/>
          <w:sz w:val="24"/>
          <w:szCs w:val="24"/>
        </w:rPr>
        <w:t>a</w:t>
      </w:r>
      <w:r w:rsidR="004537CF">
        <w:rPr>
          <w:rFonts w:ascii="Times New Roman" w:hAnsi="Times New Roman" w:cs="Times New Roman"/>
          <w:sz w:val="24"/>
          <w:szCs w:val="24"/>
        </w:rPr>
        <w:t>sphalt</w:t>
      </w:r>
      <w:r w:rsidR="00CF569C" w:rsidRPr="00F93636">
        <w:rPr>
          <w:rFonts w:ascii="Times New Roman" w:hAnsi="Times New Roman" w:cs="Times New Roman"/>
          <w:sz w:val="24"/>
          <w:szCs w:val="24"/>
        </w:rPr>
        <w:t>,</w:t>
      </w:r>
      <w:r w:rsidR="00DB48F1">
        <w:rPr>
          <w:rFonts w:ascii="Times New Roman" w:hAnsi="Times New Roman" w:cs="Times New Roman"/>
          <w:sz w:val="24"/>
          <w:szCs w:val="24"/>
        </w:rPr>
        <w:t xml:space="preserve"> pavement, polythene and aggregate</w:t>
      </w:r>
      <w:r w:rsidR="00CA3974">
        <w:rPr>
          <w:rFonts w:ascii="Times New Roman" w:hAnsi="Times New Roman" w:cs="Times New Roman"/>
          <w:sz w:val="24"/>
          <w:szCs w:val="24"/>
        </w:rPr>
        <w:t>.</w:t>
      </w:r>
    </w:p>
    <w:p w14:paraId="2CE4766B" w14:textId="77777777" w:rsidR="00DB48F1" w:rsidRDefault="00DB48F1" w:rsidP="00F93636">
      <w:pPr>
        <w:spacing w:line="240" w:lineRule="auto"/>
        <w:jc w:val="both"/>
        <w:rPr>
          <w:rFonts w:ascii="Times New Roman" w:hAnsi="Times New Roman" w:cs="Times New Roman"/>
          <w:sz w:val="24"/>
          <w:szCs w:val="24"/>
        </w:rPr>
      </w:pPr>
    </w:p>
    <w:p w14:paraId="539FBB04" w14:textId="77777777" w:rsidR="00DB48F1" w:rsidRDefault="00DB48F1" w:rsidP="00F93636">
      <w:pPr>
        <w:spacing w:line="240" w:lineRule="auto"/>
        <w:jc w:val="both"/>
        <w:rPr>
          <w:rFonts w:ascii="Times New Roman" w:hAnsi="Times New Roman" w:cs="Times New Roman"/>
          <w:sz w:val="24"/>
          <w:szCs w:val="24"/>
        </w:rPr>
      </w:pPr>
    </w:p>
    <w:p w14:paraId="31D6619E" w14:textId="77777777" w:rsidR="00055A92" w:rsidRDefault="00055A92" w:rsidP="00F93636">
      <w:pPr>
        <w:spacing w:line="240" w:lineRule="auto"/>
        <w:jc w:val="both"/>
        <w:rPr>
          <w:rFonts w:ascii="Times New Roman" w:hAnsi="Times New Roman" w:cs="Times New Roman"/>
          <w:sz w:val="24"/>
          <w:szCs w:val="24"/>
        </w:rPr>
      </w:pPr>
    </w:p>
    <w:p w14:paraId="086BCA16" w14:textId="77777777" w:rsidR="00F30288" w:rsidRDefault="00F30288" w:rsidP="00F93636">
      <w:pPr>
        <w:spacing w:line="240" w:lineRule="auto"/>
        <w:jc w:val="both"/>
        <w:rPr>
          <w:rFonts w:ascii="Times New Roman" w:hAnsi="Times New Roman" w:cs="Times New Roman"/>
          <w:sz w:val="24"/>
          <w:szCs w:val="24"/>
        </w:rPr>
      </w:pPr>
    </w:p>
    <w:p w14:paraId="471E8E09" w14:textId="77777777" w:rsidR="000A2CE3" w:rsidRDefault="000A2CE3" w:rsidP="00F93636">
      <w:pPr>
        <w:spacing w:line="240" w:lineRule="auto"/>
        <w:jc w:val="both"/>
        <w:rPr>
          <w:rFonts w:ascii="Times New Roman" w:hAnsi="Times New Roman" w:cs="Times New Roman"/>
          <w:sz w:val="24"/>
          <w:szCs w:val="24"/>
        </w:rPr>
      </w:pPr>
    </w:p>
    <w:p w14:paraId="7A3BD877" w14:textId="77777777" w:rsidR="000A2CE3" w:rsidRPr="00F93636" w:rsidRDefault="000A2CE3" w:rsidP="00F93636">
      <w:pPr>
        <w:spacing w:line="240" w:lineRule="auto"/>
        <w:jc w:val="both"/>
        <w:rPr>
          <w:rFonts w:ascii="Times New Roman" w:hAnsi="Times New Roman" w:cs="Times New Roman"/>
          <w:sz w:val="24"/>
          <w:szCs w:val="24"/>
        </w:rPr>
      </w:pPr>
    </w:p>
    <w:p w14:paraId="2A345FBF" w14:textId="77777777" w:rsidR="002A2D0A" w:rsidRDefault="00412C2D" w:rsidP="00F93636">
      <w:pPr>
        <w:spacing w:line="240" w:lineRule="auto"/>
        <w:jc w:val="both"/>
        <w:rPr>
          <w:rFonts w:ascii="Times New Roman" w:hAnsi="Times New Roman" w:cs="Times New Roman"/>
          <w:b/>
          <w:sz w:val="24"/>
          <w:szCs w:val="24"/>
        </w:rPr>
      </w:pPr>
      <w:r w:rsidRPr="00941DE3">
        <w:rPr>
          <w:rFonts w:ascii="Times New Roman" w:hAnsi="Times New Roman" w:cs="Times New Roman"/>
          <w:b/>
          <w:sz w:val="24"/>
          <w:szCs w:val="24"/>
        </w:rPr>
        <w:lastRenderedPageBreak/>
        <w:t>INTRODUCTION</w:t>
      </w:r>
    </w:p>
    <w:p w14:paraId="7EB35E46" w14:textId="77777777" w:rsidR="009F7F55" w:rsidRDefault="009F7F55" w:rsidP="009F7F55">
      <w:pPr>
        <w:pStyle w:val="NormalWeb"/>
        <w:jc w:val="both"/>
      </w:pPr>
      <w:r>
        <w:t>The quality of constituent materials and adherence to technical standards during implementation are critical determinants of asphalt mixture performance. In this regard, regulatory frameworks established by the Ministry of Public Works and Public Housing prescribe specific requirements governing both material quality and technical standards for asphalt mixtures [1]. Deficiencies in material quality and substandard construction practices have been identified as primary contributors to pavement deterioration [2]. Additional factors include excessive traffic loading and adverse climatic conditions, particularly high rainfall, which promotes water accumulation on road surfaces [3]. The ingress of water weakens the adhesive bond between asphalt and aggregates, and, when combined with repeated loading from heavy vehicles, accelerates the degradation of pavement integrity [4]. Despite these challenges, flexible pavements remain the most economically viable option, although approximately 75% of the asphalt required to meet domestic demand continues to be imported [5].</w:t>
      </w:r>
    </w:p>
    <w:p w14:paraId="423499F7" w14:textId="77777777" w:rsidR="009F7F55" w:rsidRDefault="009F7F55" w:rsidP="009F7F55">
      <w:pPr>
        <w:pStyle w:val="NormalWeb"/>
        <w:jc w:val="both"/>
      </w:pPr>
      <w:r>
        <w:t xml:space="preserve">Concurrently, plastic waste has emerged as a significant environmental concern in Nigeria. Recent evidence indicates that the country is among the leading contributors to global plastic pollution, ranking second worldwide after India, with an estimated annual generation of approximately 3.5 million </w:t>
      </w:r>
      <w:proofErr w:type="spellStart"/>
      <w:r>
        <w:t>tonnes</w:t>
      </w:r>
      <w:proofErr w:type="spellEnd"/>
      <w:r>
        <w:t xml:space="preserve"> of plastic waste. Lagos, in particular, has been identified as a major global hotspot for plastic pollution. Current waste management practices remain inadequate, with less than 12% of plastic waste being recycled, while over 80% is disposed of in landfills and open dumps. Studies further indicate that 20% of marine plastic debris originates from sea-based activities, whereas 80% is derived from land-based sources; of this proportion, 75% is attributed to uncollected waste and 25% to formal urban waste management systems. Recycling alone has proven insufficient to significantly reduce plastic leakage into marine environments [7, 8]. Moreover, only a small fraction (approximately 12%) of plastic materials possesses high recycling value, while the majority (around 88%), including Low-Density Polyethylene (LDPE), Polystyrene (PS), and Polypropylene (PP), are classified as medium- to low-value plastics and are more likely to accumulate in terrestrial and marine ecosystems. These materials are highly persistent, often requiring several centuries to degrade, thereby exacerbating environmental pollution. Addressing plastic waste pollution, particularly in marine environments, necessitates coordinated local-level interventions alongside broader global strategies.</w:t>
      </w:r>
    </w:p>
    <w:p w14:paraId="7703805A" w14:textId="77777777" w:rsidR="009F7F55" w:rsidRDefault="009F7F55" w:rsidP="009F7F55">
      <w:pPr>
        <w:pStyle w:val="NormalWeb"/>
        <w:jc w:val="both"/>
      </w:pPr>
      <w:r>
        <w:t>Polythene exhibits distinct thermal characteristics that make it suitable for incorporation into asphalt mixtures. Upon heating, it softens at temperatures ranging between 100°C and 160°C without significant gas emission. Thermal decomposition occurs between 270°C and 350°C, resulting in the release of methane and ethane gases, while temperatures exceeding 700°C lead to combustion and the emission of carbon monoxide and carbon dioxide. Two principal methods are employed for incorporating plastic waste into asphalt mixtures. The wet process involves the direct blending of plastic waste with hot bitumen to achieve a homogeneous mixture, whereas the dry process entails mixing plastic waste with preheated aggregates prior to the addition of hot bitumen [9, 10]. In the dry process, plastic is introduced to aggregates heated to temperatures between 140°C and 160°C, forming a thin coating over the aggregate surface. Subsequently, hot bitumen at approximately 160°C is added, allowing partial diffusion through the plastic layer and facilitating effective binding with the aggregates [11].</w:t>
      </w:r>
    </w:p>
    <w:p w14:paraId="5C6004EA" w14:textId="77777777" w:rsidR="009F7F55" w:rsidRDefault="009F7F55" w:rsidP="009F7F55">
      <w:pPr>
        <w:pStyle w:val="NormalWeb"/>
        <w:jc w:val="both"/>
      </w:pPr>
      <w:r>
        <w:lastRenderedPageBreak/>
        <w:t>Ongoing research efforts have focused on modifying pavement materials through the incorporation of plastic waste to enhance performance characteristics. Common sources of polypropylene (PP) waste include packaging materials such as instant noodle wrappers, coffee sachets, snack packaging, and sachet water bags, while polystyrene (PS) waste is typically derived from Styrofoam food and beverage containers [12].</w:t>
      </w:r>
    </w:p>
    <w:p w14:paraId="6AA96789" w14:textId="77777777" w:rsidR="009F7F55" w:rsidRDefault="009F7F55" w:rsidP="009F7F55">
      <w:pPr>
        <w:pStyle w:val="NormalWeb"/>
        <w:jc w:val="both"/>
      </w:pPr>
      <w:r>
        <w:t>In light of the aforementioned challenges and the potential utility of plastic waste, it is both relevant and technically feasible to investigate the modification of asphalt mixtures using low-value plastic materials. The present study specifically evaluates the performance of cold mix asphalt incorporating polypropylene waste, with particular emphasis on sachet water packaging. This research addresses a notable gap in the existing literature, as previous studies have predominantly examined mixed polymer systems, including LDPE, PP, and PS. By focusing exclusively on PP waste, this study aims to better reflect real-world waste streams and enhance the practical scalability of such applications, thereby contributing to sustainable infrastructure development and effective waste management strategies [6–8].</w:t>
      </w:r>
    </w:p>
    <w:p w14:paraId="1E2F2582" w14:textId="77777777" w:rsidR="004A1B2E" w:rsidRPr="004A1B2E" w:rsidRDefault="004A1B2E" w:rsidP="004A1B2E">
      <w:pPr>
        <w:spacing w:line="240" w:lineRule="auto"/>
        <w:jc w:val="both"/>
        <w:rPr>
          <w:rFonts w:ascii="Times New Roman" w:hAnsi="Times New Roman" w:cs="Times New Roman"/>
          <w:sz w:val="24"/>
          <w:szCs w:val="24"/>
          <w:lang w:val="en-GB"/>
        </w:rPr>
      </w:pPr>
      <w:r w:rsidRPr="004A1B2E">
        <w:rPr>
          <w:rFonts w:ascii="Times New Roman" w:hAnsi="Times New Roman" w:cs="Times New Roman"/>
          <w:sz w:val="24"/>
          <w:szCs w:val="24"/>
          <w:lang w:val="en-GB"/>
        </w:rPr>
        <w:t>The following are the objective of the study;</w:t>
      </w:r>
    </w:p>
    <w:p w14:paraId="11BEA866" w14:textId="77777777" w:rsidR="004A1B2E" w:rsidRPr="004A1B2E" w:rsidRDefault="004A1B2E" w:rsidP="004A1B2E">
      <w:pPr>
        <w:numPr>
          <w:ilvl w:val="0"/>
          <w:numId w:val="9"/>
        </w:numPr>
        <w:spacing w:line="240" w:lineRule="auto"/>
        <w:jc w:val="both"/>
        <w:rPr>
          <w:rFonts w:ascii="Times New Roman" w:hAnsi="Times New Roman" w:cs="Times New Roman"/>
          <w:sz w:val="24"/>
          <w:szCs w:val="24"/>
          <w:lang w:val="en-GB"/>
        </w:rPr>
      </w:pPr>
      <w:r w:rsidRPr="004A1B2E">
        <w:rPr>
          <w:rFonts w:ascii="Times New Roman" w:hAnsi="Times New Roman" w:cs="Times New Roman"/>
          <w:sz w:val="24"/>
          <w:szCs w:val="24"/>
          <w:lang w:val="en-GB"/>
        </w:rPr>
        <w:t>To produce cold asphalt that can be easily applied anytime of the year under any weather condition.</w:t>
      </w:r>
    </w:p>
    <w:p w14:paraId="5A4EFF0F" w14:textId="77777777" w:rsidR="004A1B2E" w:rsidRPr="004A1B2E" w:rsidRDefault="004A1B2E" w:rsidP="004A1B2E">
      <w:pPr>
        <w:numPr>
          <w:ilvl w:val="0"/>
          <w:numId w:val="9"/>
        </w:numPr>
        <w:spacing w:line="240" w:lineRule="auto"/>
        <w:jc w:val="both"/>
        <w:rPr>
          <w:rFonts w:ascii="Times New Roman" w:hAnsi="Times New Roman" w:cs="Times New Roman"/>
          <w:sz w:val="24"/>
          <w:szCs w:val="24"/>
          <w:lang w:val="en-GB"/>
        </w:rPr>
      </w:pPr>
      <w:r w:rsidRPr="004A1B2E">
        <w:rPr>
          <w:rFonts w:ascii="Times New Roman" w:hAnsi="Times New Roman" w:cs="Times New Roman"/>
          <w:sz w:val="24"/>
          <w:szCs w:val="24"/>
          <w:lang w:val="en-GB"/>
        </w:rPr>
        <w:t>To improve the performance of cold asphalt.</w:t>
      </w:r>
    </w:p>
    <w:p w14:paraId="239BD085" w14:textId="77777777" w:rsidR="004A1B2E" w:rsidRPr="004A1B2E" w:rsidRDefault="004A1B2E" w:rsidP="004A1B2E">
      <w:pPr>
        <w:numPr>
          <w:ilvl w:val="0"/>
          <w:numId w:val="9"/>
        </w:numPr>
        <w:spacing w:line="240" w:lineRule="auto"/>
        <w:jc w:val="both"/>
        <w:rPr>
          <w:rFonts w:ascii="Times New Roman" w:hAnsi="Times New Roman" w:cs="Times New Roman"/>
          <w:sz w:val="24"/>
          <w:szCs w:val="24"/>
          <w:lang w:val="en-GB"/>
        </w:rPr>
      </w:pPr>
      <w:r w:rsidRPr="004A1B2E">
        <w:rPr>
          <w:rFonts w:ascii="Times New Roman" w:hAnsi="Times New Roman" w:cs="Times New Roman"/>
          <w:sz w:val="24"/>
          <w:szCs w:val="24"/>
          <w:lang w:val="en-GB"/>
        </w:rPr>
        <w:t>To produce cold asphalt that will be more economical in road construction and maintenance.</w:t>
      </w:r>
    </w:p>
    <w:p w14:paraId="2B9B51A3" w14:textId="77777777" w:rsidR="004A1B2E" w:rsidRPr="004A1B2E" w:rsidRDefault="004A1B2E" w:rsidP="004A1B2E">
      <w:pPr>
        <w:numPr>
          <w:ilvl w:val="0"/>
          <w:numId w:val="9"/>
        </w:numPr>
        <w:spacing w:line="240" w:lineRule="auto"/>
        <w:jc w:val="both"/>
        <w:rPr>
          <w:rFonts w:ascii="Times New Roman" w:hAnsi="Times New Roman" w:cs="Times New Roman"/>
          <w:sz w:val="24"/>
          <w:szCs w:val="24"/>
          <w:lang w:val="en-GB"/>
        </w:rPr>
      </w:pPr>
      <w:r w:rsidRPr="004A1B2E">
        <w:rPr>
          <w:rFonts w:ascii="Times New Roman" w:hAnsi="Times New Roman" w:cs="Times New Roman"/>
          <w:sz w:val="24"/>
          <w:szCs w:val="24"/>
          <w:lang w:val="en-GB"/>
        </w:rPr>
        <w:t>To obtain a strong, trafficable, long lasting and skid resistance waterproof surface after applying cold asphalt.</w:t>
      </w:r>
    </w:p>
    <w:p w14:paraId="0097B375" w14:textId="77777777" w:rsidR="004A1B2E" w:rsidRPr="004A1B2E" w:rsidRDefault="004A1B2E" w:rsidP="004A1B2E">
      <w:pPr>
        <w:numPr>
          <w:ilvl w:val="0"/>
          <w:numId w:val="9"/>
        </w:numPr>
        <w:spacing w:line="240" w:lineRule="auto"/>
        <w:jc w:val="both"/>
        <w:rPr>
          <w:rFonts w:ascii="Times New Roman" w:hAnsi="Times New Roman" w:cs="Times New Roman"/>
          <w:sz w:val="24"/>
          <w:szCs w:val="24"/>
          <w:lang w:val="en-GB"/>
        </w:rPr>
      </w:pPr>
      <w:r w:rsidRPr="004A1B2E">
        <w:rPr>
          <w:rFonts w:ascii="Times New Roman" w:hAnsi="Times New Roman" w:cs="Times New Roman"/>
          <w:sz w:val="24"/>
          <w:szCs w:val="24"/>
          <w:lang w:val="en-GB"/>
        </w:rPr>
        <w:t xml:space="preserve">To compare the strength of ordinary cold asphalt to the strength of that produced with dissolved pure water sachet. </w:t>
      </w:r>
    </w:p>
    <w:p w14:paraId="255B6E48" w14:textId="77777777" w:rsidR="00DB6FE6" w:rsidRPr="00DB6FE6" w:rsidRDefault="00DB6FE6" w:rsidP="00F93636">
      <w:pPr>
        <w:spacing w:line="240" w:lineRule="auto"/>
        <w:jc w:val="both"/>
        <w:rPr>
          <w:rFonts w:ascii="Times New Roman" w:hAnsi="Times New Roman" w:cs="Times New Roman"/>
          <w:sz w:val="24"/>
          <w:szCs w:val="24"/>
        </w:rPr>
      </w:pPr>
    </w:p>
    <w:p w14:paraId="3FA28BE9" w14:textId="77777777" w:rsidR="00ED6311" w:rsidRDefault="00412C2D" w:rsidP="00A465C6">
      <w:pPr>
        <w:spacing w:line="240" w:lineRule="auto"/>
        <w:jc w:val="both"/>
        <w:rPr>
          <w:rFonts w:ascii="Times New Roman" w:hAnsi="Times New Roman" w:cs="Times New Roman"/>
          <w:b/>
          <w:sz w:val="24"/>
          <w:szCs w:val="24"/>
        </w:rPr>
      </w:pPr>
      <w:r w:rsidRPr="00412C2D">
        <w:rPr>
          <w:rFonts w:ascii="Times New Roman" w:hAnsi="Times New Roman" w:cs="Times New Roman"/>
          <w:b/>
          <w:sz w:val="24"/>
          <w:szCs w:val="24"/>
        </w:rPr>
        <w:t>MATERIALS AND METHODS</w:t>
      </w:r>
    </w:p>
    <w:p w14:paraId="59DE359F" w14:textId="5661C0FC" w:rsidR="002325BD" w:rsidRDefault="002325BD" w:rsidP="002325BD">
      <w:pPr>
        <w:spacing w:line="240" w:lineRule="auto"/>
        <w:jc w:val="both"/>
        <w:rPr>
          <w:rFonts w:ascii="Times New Roman" w:hAnsi="Times New Roman" w:cs="Times New Roman"/>
          <w:sz w:val="24"/>
          <w:szCs w:val="24"/>
          <w:lang w:val="en-GB"/>
        </w:rPr>
      </w:pPr>
      <w:r w:rsidRPr="002325BD">
        <w:rPr>
          <w:rFonts w:ascii="Times New Roman" w:hAnsi="Times New Roman" w:cs="Times New Roman"/>
          <w:sz w:val="24"/>
          <w:szCs w:val="24"/>
          <w:lang w:val="en-GB"/>
        </w:rPr>
        <w:t>The</w:t>
      </w:r>
      <w:r>
        <w:rPr>
          <w:rFonts w:ascii="Times New Roman" w:hAnsi="Times New Roman" w:cs="Times New Roman"/>
          <w:sz w:val="24"/>
          <w:szCs w:val="24"/>
          <w:lang w:val="en-GB"/>
        </w:rPr>
        <w:t xml:space="preserve"> </w:t>
      </w:r>
      <w:r w:rsidRPr="002325BD">
        <w:rPr>
          <w:rFonts w:ascii="Times New Roman" w:hAnsi="Times New Roman" w:cs="Times New Roman"/>
          <w:sz w:val="24"/>
          <w:szCs w:val="24"/>
          <w:lang w:val="en-GB"/>
        </w:rPr>
        <w:t xml:space="preserve">apparatus and </w:t>
      </w:r>
      <w:r>
        <w:rPr>
          <w:rFonts w:ascii="Times New Roman" w:hAnsi="Times New Roman" w:cs="Times New Roman"/>
          <w:sz w:val="24"/>
          <w:szCs w:val="24"/>
          <w:lang w:val="en-GB"/>
        </w:rPr>
        <w:t xml:space="preserve">equipment </w:t>
      </w:r>
      <w:r w:rsidRPr="002325BD">
        <w:rPr>
          <w:rFonts w:ascii="Times New Roman" w:hAnsi="Times New Roman" w:cs="Times New Roman"/>
          <w:sz w:val="24"/>
          <w:szCs w:val="24"/>
          <w:lang w:val="en-GB"/>
        </w:rPr>
        <w:t xml:space="preserve">used to </w:t>
      </w:r>
      <w:r>
        <w:rPr>
          <w:rFonts w:ascii="Times New Roman" w:hAnsi="Times New Roman" w:cs="Times New Roman"/>
          <w:sz w:val="24"/>
          <w:szCs w:val="24"/>
          <w:lang w:val="en-GB"/>
        </w:rPr>
        <w:t>carry out this research work w</w:t>
      </w:r>
      <w:r w:rsidR="006963EB">
        <w:rPr>
          <w:rFonts w:ascii="Times New Roman" w:hAnsi="Times New Roman" w:cs="Times New Roman"/>
          <w:sz w:val="24"/>
          <w:szCs w:val="24"/>
          <w:lang w:val="en-GB"/>
        </w:rPr>
        <w:t>as</w:t>
      </w:r>
      <w:r>
        <w:rPr>
          <w:rFonts w:ascii="Times New Roman" w:hAnsi="Times New Roman" w:cs="Times New Roman"/>
          <w:sz w:val="24"/>
          <w:szCs w:val="24"/>
          <w:lang w:val="en-GB"/>
        </w:rPr>
        <w:t xml:space="preserve"> </w:t>
      </w:r>
      <w:r w:rsidRPr="002325BD">
        <w:rPr>
          <w:rFonts w:ascii="Times New Roman" w:hAnsi="Times New Roman" w:cs="Times New Roman"/>
          <w:sz w:val="24"/>
          <w:szCs w:val="24"/>
          <w:lang w:val="en-GB"/>
        </w:rPr>
        <w:t xml:space="preserve">found in civil engineering department, </w:t>
      </w:r>
      <w:r>
        <w:rPr>
          <w:rFonts w:ascii="Times New Roman" w:hAnsi="Times New Roman" w:cs="Times New Roman"/>
          <w:sz w:val="24"/>
          <w:szCs w:val="24"/>
          <w:lang w:val="en-GB"/>
        </w:rPr>
        <w:t xml:space="preserve">Waziri Umaru Federal polytechnic </w:t>
      </w:r>
      <w:proofErr w:type="spellStart"/>
      <w:r>
        <w:rPr>
          <w:rFonts w:ascii="Times New Roman" w:hAnsi="Times New Roman" w:cs="Times New Roman"/>
          <w:sz w:val="24"/>
          <w:szCs w:val="24"/>
          <w:lang w:val="en-GB"/>
        </w:rPr>
        <w:t>Birnin</w:t>
      </w:r>
      <w:proofErr w:type="spellEnd"/>
      <w:r>
        <w:rPr>
          <w:rFonts w:ascii="Times New Roman" w:hAnsi="Times New Roman" w:cs="Times New Roman"/>
          <w:sz w:val="24"/>
          <w:szCs w:val="24"/>
          <w:lang w:val="en-GB"/>
        </w:rPr>
        <w:t xml:space="preserve"> Kebbi, Kebbi state</w:t>
      </w:r>
      <w:r w:rsidRPr="002325BD">
        <w:rPr>
          <w:rFonts w:ascii="Times New Roman" w:hAnsi="Times New Roman" w:cs="Times New Roman"/>
          <w:sz w:val="24"/>
          <w:szCs w:val="24"/>
          <w:lang w:val="en-GB"/>
        </w:rPr>
        <w:t>, Nigeria.</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E,g</w:t>
      </w:r>
      <w:proofErr w:type="spellEnd"/>
      <w:r>
        <w:rPr>
          <w:rFonts w:ascii="Times New Roman" w:hAnsi="Times New Roman" w:cs="Times New Roman"/>
          <w:sz w:val="24"/>
          <w:szCs w:val="24"/>
          <w:lang w:val="en-GB"/>
        </w:rPr>
        <w:t xml:space="preserve"> </w:t>
      </w:r>
      <w:r w:rsidRPr="002325BD">
        <w:rPr>
          <w:rFonts w:ascii="Times New Roman" w:hAnsi="Times New Roman" w:cs="Times New Roman"/>
          <w:sz w:val="24"/>
          <w:szCs w:val="24"/>
          <w:lang w:val="en-GB"/>
        </w:rPr>
        <w:t>Electronic and Manual weighing balance</w:t>
      </w:r>
      <w:r>
        <w:rPr>
          <w:rFonts w:ascii="Times New Roman" w:hAnsi="Times New Roman" w:cs="Times New Roman"/>
          <w:sz w:val="24"/>
          <w:szCs w:val="24"/>
          <w:lang w:val="en-GB"/>
        </w:rPr>
        <w:t xml:space="preserve">, </w:t>
      </w:r>
      <w:r w:rsidRPr="002325BD">
        <w:rPr>
          <w:rFonts w:ascii="Times New Roman" w:hAnsi="Times New Roman" w:cs="Times New Roman"/>
          <w:sz w:val="24"/>
          <w:szCs w:val="24"/>
          <w:lang w:val="en-GB"/>
        </w:rPr>
        <w:t>Sets of sieves</w:t>
      </w:r>
      <w:r>
        <w:rPr>
          <w:rFonts w:ascii="Times New Roman" w:hAnsi="Times New Roman" w:cs="Times New Roman"/>
          <w:sz w:val="24"/>
          <w:szCs w:val="24"/>
          <w:lang w:val="en-GB"/>
        </w:rPr>
        <w:t xml:space="preserve">, Sample tray, </w:t>
      </w:r>
      <w:r w:rsidRPr="002325BD">
        <w:rPr>
          <w:rFonts w:ascii="Times New Roman" w:hAnsi="Times New Roman" w:cs="Times New Roman"/>
          <w:sz w:val="24"/>
          <w:szCs w:val="24"/>
          <w:lang w:val="en-GB"/>
        </w:rPr>
        <w:t>Spatula</w:t>
      </w:r>
      <w:r>
        <w:rPr>
          <w:rFonts w:ascii="Times New Roman" w:hAnsi="Times New Roman" w:cs="Times New Roman"/>
          <w:sz w:val="24"/>
          <w:szCs w:val="24"/>
          <w:lang w:val="en-GB"/>
        </w:rPr>
        <w:t xml:space="preserve">, </w:t>
      </w:r>
      <w:r w:rsidRPr="002325BD">
        <w:rPr>
          <w:rFonts w:ascii="Times New Roman" w:hAnsi="Times New Roman" w:cs="Times New Roman"/>
          <w:sz w:val="24"/>
          <w:szCs w:val="24"/>
          <w:lang w:val="en-GB"/>
        </w:rPr>
        <w:t>Cans</w:t>
      </w:r>
      <w:r>
        <w:rPr>
          <w:rFonts w:ascii="Times New Roman" w:hAnsi="Times New Roman" w:cs="Times New Roman"/>
          <w:sz w:val="24"/>
          <w:szCs w:val="24"/>
          <w:lang w:val="en-GB"/>
        </w:rPr>
        <w:t xml:space="preserve">, </w:t>
      </w:r>
      <w:r w:rsidRPr="002325BD">
        <w:rPr>
          <w:rFonts w:ascii="Times New Roman" w:hAnsi="Times New Roman" w:cs="Times New Roman"/>
          <w:sz w:val="24"/>
          <w:szCs w:val="24"/>
          <w:lang w:val="en-GB"/>
        </w:rPr>
        <w:t>Moulds</w:t>
      </w:r>
      <w:r>
        <w:rPr>
          <w:rFonts w:ascii="Times New Roman" w:hAnsi="Times New Roman" w:cs="Times New Roman"/>
          <w:sz w:val="24"/>
          <w:szCs w:val="24"/>
          <w:lang w:val="en-GB"/>
        </w:rPr>
        <w:t xml:space="preserve">, </w:t>
      </w:r>
      <w:r w:rsidRPr="002325BD">
        <w:rPr>
          <w:rFonts w:ascii="Times New Roman" w:hAnsi="Times New Roman" w:cs="Times New Roman"/>
          <w:sz w:val="24"/>
          <w:szCs w:val="24"/>
          <w:lang w:val="en-GB"/>
        </w:rPr>
        <w:t>Scoop</w:t>
      </w:r>
      <w:r>
        <w:rPr>
          <w:rFonts w:ascii="Times New Roman" w:hAnsi="Times New Roman" w:cs="Times New Roman"/>
          <w:sz w:val="24"/>
          <w:szCs w:val="24"/>
          <w:lang w:val="en-GB"/>
        </w:rPr>
        <w:t xml:space="preserve">, </w:t>
      </w:r>
      <w:r w:rsidRPr="002325BD">
        <w:rPr>
          <w:rFonts w:ascii="Times New Roman" w:hAnsi="Times New Roman" w:cs="Times New Roman"/>
          <w:sz w:val="24"/>
          <w:szCs w:val="24"/>
          <w:lang w:val="en-GB"/>
        </w:rPr>
        <w:t>Extruder</w:t>
      </w:r>
      <w:r>
        <w:rPr>
          <w:rFonts w:ascii="Times New Roman" w:hAnsi="Times New Roman" w:cs="Times New Roman"/>
          <w:sz w:val="24"/>
          <w:szCs w:val="24"/>
          <w:lang w:val="en-GB"/>
        </w:rPr>
        <w:t xml:space="preserve">, </w:t>
      </w:r>
      <w:r w:rsidRPr="002325BD">
        <w:rPr>
          <w:rFonts w:ascii="Times New Roman" w:hAnsi="Times New Roman" w:cs="Times New Roman"/>
          <w:sz w:val="24"/>
          <w:szCs w:val="24"/>
          <w:lang w:val="en-GB"/>
        </w:rPr>
        <w:t>Chisel</w:t>
      </w:r>
      <w:r>
        <w:rPr>
          <w:rFonts w:ascii="Times New Roman" w:hAnsi="Times New Roman" w:cs="Times New Roman"/>
          <w:sz w:val="24"/>
          <w:szCs w:val="24"/>
          <w:lang w:val="en-GB"/>
        </w:rPr>
        <w:t xml:space="preserve">, </w:t>
      </w:r>
      <w:r w:rsidRPr="002325BD">
        <w:rPr>
          <w:rFonts w:ascii="Times New Roman" w:hAnsi="Times New Roman" w:cs="Times New Roman"/>
          <w:sz w:val="24"/>
          <w:szCs w:val="24"/>
          <w:lang w:val="en-GB"/>
        </w:rPr>
        <w:t>Asphalt compacting apparatus</w:t>
      </w:r>
      <w:r>
        <w:rPr>
          <w:rFonts w:ascii="Times New Roman" w:hAnsi="Times New Roman" w:cs="Times New Roman"/>
          <w:sz w:val="24"/>
          <w:szCs w:val="24"/>
          <w:lang w:val="en-GB"/>
        </w:rPr>
        <w:t xml:space="preserve">, </w:t>
      </w:r>
      <w:r w:rsidRPr="002325BD">
        <w:rPr>
          <w:rFonts w:ascii="Times New Roman" w:hAnsi="Times New Roman" w:cs="Times New Roman"/>
          <w:sz w:val="24"/>
          <w:szCs w:val="24"/>
          <w:lang w:val="en-GB"/>
        </w:rPr>
        <w:t>Oven</w:t>
      </w:r>
      <w:r>
        <w:rPr>
          <w:rFonts w:ascii="Times New Roman" w:hAnsi="Times New Roman" w:cs="Times New Roman"/>
          <w:sz w:val="24"/>
          <w:szCs w:val="24"/>
          <w:lang w:val="en-GB"/>
        </w:rPr>
        <w:t xml:space="preserve">, </w:t>
      </w:r>
      <w:r w:rsidRPr="002325BD">
        <w:rPr>
          <w:rFonts w:ascii="Times New Roman" w:hAnsi="Times New Roman" w:cs="Times New Roman"/>
          <w:sz w:val="24"/>
          <w:szCs w:val="24"/>
          <w:lang w:val="en-GB"/>
        </w:rPr>
        <w:t>Filter paper</w:t>
      </w:r>
      <w:r>
        <w:rPr>
          <w:rFonts w:ascii="Times New Roman" w:hAnsi="Times New Roman" w:cs="Times New Roman"/>
          <w:sz w:val="24"/>
          <w:szCs w:val="24"/>
          <w:lang w:val="en-GB"/>
        </w:rPr>
        <w:t xml:space="preserve">, </w:t>
      </w:r>
      <w:r w:rsidRPr="002325BD">
        <w:rPr>
          <w:rFonts w:ascii="Times New Roman" w:hAnsi="Times New Roman" w:cs="Times New Roman"/>
          <w:sz w:val="24"/>
          <w:szCs w:val="24"/>
          <w:lang w:val="en-GB"/>
        </w:rPr>
        <w:t>Marshal stability and flow machine</w:t>
      </w:r>
      <w:r>
        <w:rPr>
          <w:rFonts w:ascii="Times New Roman" w:hAnsi="Times New Roman" w:cs="Times New Roman"/>
          <w:sz w:val="24"/>
          <w:szCs w:val="24"/>
          <w:lang w:val="en-GB"/>
        </w:rPr>
        <w:t>.</w:t>
      </w:r>
      <w:r w:rsidR="00A73E28">
        <w:rPr>
          <w:rFonts w:ascii="Times New Roman" w:hAnsi="Times New Roman" w:cs="Times New Roman"/>
          <w:sz w:val="24"/>
          <w:szCs w:val="24"/>
          <w:lang w:val="en-GB"/>
        </w:rPr>
        <w:t xml:space="preserve"> Other material description and sources are also stated in the table below:</w:t>
      </w:r>
    </w:p>
    <w:p w14:paraId="7628E723" w14:textId="4D62F25E" w:rsidR="00720A6F" w:rsidRDefault="00720A6F" w:rsidP="002325BD">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Table 1.</w:t>
      </w:r>
      <w:r w:rsidR="00FD2F94">
        <w:rPr>
          <w:rFonts w:ascii="Times New Roman" w:hAnsi="Times New Roman" w:cs="Times New Roman"/>
          <w:sz w:val="24"/>
          <w:szCs w:val="24"/>
          <w:lang w:val="en-GB"/>
        </w:rPr>
        <w:t xml:space="preserve"> Materials collected from different sources</w:t>
      </w:r>
    </w:p>
    <w:tbl>
      <w:tblPr>
        <w:tblStyle w:val="TableGrid"/>
        <w:tblW w:w="0" w:type="auto"/>
        <w:tblLook w:val="04A0" w:firstRow="1" w:lastRow="0" w:firstColumn="1" w:lastColumn="0" w:noHBand="0" w:noVBand="1"/>
      </w:tblPr>
      <w:tblGrid>
        <w:gridCol w:w="817"/>
        <w:gridCol w:w="1418"/>
        <w:gridCol w:w="3543"/>
        <w:gridCol w:w="3464"/>
      </w:tblGrid>
      <w:tr w:rsidR="006963EB" w:rsidRPr="006963EB" w14:paraId="5211251C" w14:textId="77777777" w:rsidTr="009C2B5C">
        <w:trPr>
          <w:trHeight w:val="20"/>
        </w:trPr>
        <w:tc>
          <w:tcPr>
            <w:tcW w:w="817" w:type="dxa"/>
          </w:tcPr>
          <w:p w14:paraId="3CBBF5A5" w14:textId="77777777" w:rsidR="006963EB" w:rsidRPr="006963EB" w:rsidRDefault="006963EB" w:rsidP="006963EB">
            <w:pPr>
              <w:spacing w:after="200"/>
              <w:jc w:val="both"/>
              <w:rPr>
                <w:rFonts w:ascii="Times New Roman" w:hAnsi="Times New Roman" w:cs="Times New Roman"/>
                <w:b/>
                <w:sz w:val="24"/>
                <w:szCs w:val="24"/>
                <w:lang w:val="en-GB"/>
              </w:rPr>
            </w:pPr>
            <w:r w:rsidRPr="006963EB">
              <w:rPr>
                <w:rFonts w:ascii="Times New Roman" w:hAnsi="Times New Roman" w:cs="Times New Roman"/>
                <w:b/>
                <w:sz w:val="24"/>
                <w:szCs w:val="24"/>
                <w:lang w:val="en-GB"/>
              </w:rPr>
              <w:t>S/No</w:t>
            </w:r>
          </w:p>
        </w:tc>
        <w:tc>
          <w:tcPr>
            <w:tcW w:w="1418" w:type="dxa"/>
          </w:tcPr>
          <w:p w14:paraId="11CB8F77" w14:textId="77777777" w:rsidR="006963EB" w:rsidRPr="006963EB" w:rsidRDefault="006963EB" w:rsidP="006963EB">
            <w:pPr>
              <w:spacing w:after="200"/>
              <w:jc w:val="both"/>
              <w:rPr>
                <w:rFonts w:ascii="Times New Roman" w:hAnsi="Times New Roman" w:cs="Times New Roman"/>
                <w:b/>
                <w:sz w:val="24"/>
                <w:szCs w:val="24"/>
                <w:lang w:val="en-GB"/>
              </w:rPr>
            </w:pPr>
            <w:r w:rsidRPr="006963EB">
              <w:rPr>
                <w:rFonts w:ascii="Times New Roman" w:hAnsi="Times New Roman" w:cs="Times New Roman"/>
                <w:b/>
                <w:sz w:val="24"/>
                <w:szCs w:val="24"/>
                <w:lang w:val="en-GB"/>
              </w:rPr>
              <w:t>Material</w:t>
            </w:r>
          </w:p>
        </w:tc>
        <w:tc>
          <w:tcPr>
            <w:tcW w:w="3543" w:type="dxa"/>
          </w:tcPr>
          <w:p w14:paraId="494B7783" w14:textId="77777777" w:rsidR="006963EB" w:rsidRPr="006963EB" w:rsidRDefault="006963EB" w:rsidP="006963EB">
            <w:pPr>
              <w:spacing w:after="200"/>
              <w:jc w:val="both"/>
              <w:rPr>
                <w:rFonts w:ascii="Times New Roman" w:hAnsi="Times New Roman" w:cs="Times New Roman"/>
                <w:b/>
                <w:sz w:val="24"/>
                <w:szCs w:val="24"/>
                <w:lang w:val="en-GB"/>
              </w:rPr>
            </w:pPr>
            <w:r w:rsidRPr="006963EB">
              <w:rPr>
                <w:rFonts w:ascii="Times New Roman" w:hAnsi="Times New Roman" w:cs="Times New Roman"/>
                <w:b/>
                <w:sz w:val="24"/>
                <w:szCs w:val="24"/>
                <w:lang w:val="en-GB"/>
              </w:rPr>
              <w:t>Description/ characteristics</w:t>
            </w:r>
          </w:p>
        </w:tc>
        <w:tc>
          <w:tcPr>
            <w:tcW w:w="3464" w:type="dxa"/>
          </w:tcPr>
          <w:p w14:paraId="6F34A7AA" w14:textId="77777777" w:rsidR="006963EB" w:rsidRPr="006963EB" w:rsidRDefault="006963EB" w:rsidP="006963EB">
            <w:pPr>
              <w:spacing w:after="200"/>
              <w:jc w:val="both"/>
              <w:rPr>
                <w:rFonts w:ascii="Times New Roman" w:hAnsi="Times New Roman" w:cs="Times New Roman"/>
                <w:b/>
                <w:sz w:val="24"/>
                <w:szCs w:val="24"/>
                <w:lang w:val="en-GB"/>
              </w:rPr>
            </w:pPr>
            <w:r w:rsidRPr="006963EB">
              <w:rPr>
                <w:rFonts w:ascii="Times New Roman" w:hAnsi="Times New Roman" w:cs="Times New Roman"/>
                <w:b/>
                <w:sz w:val="24"/>
                <w:szCs w:val="24"/>
                <w:lang w:val="en-GB"/>
              </w:rPr>
              <w:t>Sources</w:t>
            </w:r>
          </w:p>
        </w:tc>
      </w:tr>
      <w:tr w:rsidR="006963EB" w:rsidRPr="006963EB" w14:paraId="1B0131EE" w14:textId="77777777" w:rsidTr="009C2B5C">
        <w:trPr>
          <w:trHeight w:val="1463"/>
        </w:trPr>
        <w:tc>
          <w:tcPr>
            <w:tcW w:w="817" w:type="dxa"/>
          </w:tcPr>
          <w:p w14:paraId="76C982DA"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lastRenderedPageBreak/>
              <w:t>1</w:t>
            </w:r>
          </w:p>
        </w:tc>
        <w:tc>
          <w:tcPr>
            <w:tcW w:w="1418" w:type="dxa"/>
          </w:tcPr>
          <w:p w14:paraId="2BADE3AD"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Bitumen (60/70)</w:t>
            </w:r>
          </w:p>
        </w:tc>
        <w:tc>
          <w:tcPr>
            <w:tcW w:w="3543" w:type="dxa"/>
          </w:tcPr>
          <w:p w14:paraId="49042EB3"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It is black in colour</w:t>
            </w:r>
          </w:p>
        </w:tc>
        <w:tc>
          <w:tcPr>
            <w:tcW w:w="3464" w:type="dxa"/>
          </w:tcPr>
          <w:p w14:paraId="4080747A" w14:textId="77777777" w:rsidR="006963EB" w:rsidRPr="006963EB" w:rsidRDefault="007F3527" w:rsidP="006963EB">
            <w:pPr>
              <w:spacing w:after="20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Civil </w:t>
            </w:r>
            <w:r w:rsidR="006963EB" w:rsidRPr="006963EB">
              <w:rPr>
                <w:rFonts w:ascii="Times New Roman" w:hAnsi="Times New Roman" w:cs="Times New Roman"/>
                <w:sz w:val="24"/>
                <w:szCs w:val="24"/>
                <w:lang w:val="en-GB"/>
              </w:rPr>
              <w:t>engine</w:t>
            </w:r>
            <w:r>
              <w:rPr>
                <w:rFonts w:ascii="Times New Roman" w:hAnsi="Times New Roman" w:cs="Times New Roman"/>
                <w:sz w:val="24"/>
                <w:szCs w:val="24"/>
                <w:lang w:val="en-GB"/>
              </w:rPr>
              <w:t xml:space="preserve">ering laboratory, </w:t>
            </w:r>
            <w:proofErr w:type="spellStart"/>
            <w:r>
              <w:rPr>
                <w:rFonts w:ascii="Times New Roman" w:hAnsi="Times New Roman" w:cs="Times New Roman"/>
                <w:sz w:val="24"/>
                <w:szCs w:val="24"/>
                <w:lang w:val="en-GB"/>
              </w:rPr>
              <w:t>waziri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umaru</w:t>
            </w:r>
            <w:proofErr w:type="spellEnd"/>
            <w:r>
              <w:rPr>
                <w:rFonts w:ascii="Times New Roman" w:hAnsi="Times New Roman" w:cs="Times New Roman"/>
                <w:sz w:val="24"/>
                <w:szCs w:val="24"/>
                <w:lang w:val="en-GB"/>
              </w:rPr>
              <w:t xml:space="preserve"> federal polytechnic </w:t>
            </w:r>
            <w:proofErr w:type="spellStart"/>
            <w:r>
              <w:rPr>
                <w:rFonts w:ascii="Times New Roman" w:hAnsi="Times New Roman" w:cs="Times New Roman"/>
                <w:sz w:val="24"/>
                <w:szCs w:val="24"/>
                <w:lang w:val="en-GB"/>
              </w:rPr>
              <w:t>Birnin</w:t>
            </w:r>
            <w:proofErr w:type="spellEnd"/>
            <w:r>
              <w:rPr>
                <w:rFonts w:ascii="Times New Roman" w:hAnsi="Times New Roman" w:cs="Times New Roman"/>
                <w:sz w:val="24"/>
                <w:szCs w:val="24"/>
                <w:lang w:val="en-GB"/>
              </w:rPr>
              <w:t xml:space="preserve"> Kebbi.</w:t>
            </w:r>
          </w:p>
        </w:tc>
      </w:tr>
      <w:tr w:rsidR="006963EB" w:rsidRPr="006963EB" w14:paraId="0A13743A" w14:textId="77777777" w:rsidTr="009C2B5C">
        <w:trPr>
          <w:trHeight w:val="1148"/>
        </w:trPr>
        <w:tc>
          <w:tcPr>
            <w:tcW w:w="817" w:type="dxa"/>
            <w:tcBorders>
              <w:top w:val="single" w:sz="4" w:space="0" w:color="auto"/>
            </w:tcBorders>
          </w:tcPr>
          <w:p w14:paraId="17E5477D"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2</w:t>
            </w:r>
          </w:p>
        </w:tc>
        <w:tc>
          <w:tcPr>
            <w:tcW w:w="1418" w:type="dxa"/>
            <w:tcBorders>
              <w:top w:val="single" w:sz="4" w:space="0" w:color="auto"/>
            </w:tcBorders>
          </w:tcPr>
          <w:p w14:paraId="51F43996"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 xml:space="preserve">Aggregate </w:t>
            </w:r>
          </w:p>
        </w:tc>
        <w:tc>
          <w:tcPr>
            <w:tcW w:w="3543" w:type="dxa"/>
            <w:tcBorders>
              <w:top w:val="single" w:sz="4" w:space="0" w:color="auto"/>
            </w:tcBorders>
          </w:tcPr>
          <w:p w14:paraId="21520BA8"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It must be hard enough to withstand abrasion and aggressive exposure</w:t>
            </w:r>
          </w:p>
        </w:tc>
        <w:tc>
          <w:tcPr>
            <w:tcW w:w="3464" w:type="dxa"/>
            <w:tcBorders>
              <w:top w:val="single" w:sz="4" w:space="0" w:color="auto"/>
            </w:tcBorders>
          </w:tcPr>
          <w:p w14:paraId="6395EF8A" w14:textId="77777777" w:rsidR="006963EB" w:rsidRPr="006963EB" w:rsidRDefault="007F3527" w:rsidP="006963EB">
            <w:pPr>
              <w:spacing w:after="200"/>
              <w:jc w:val="both"/>
              <w:rPr>
                <w:rFonts w:ascii="Times New Roman" w:hAnsi="Times New Roman" w:cs="Times New Roman"/>
                <w:sz w:val="24"/>
                <w:szCs w:val="24"/>
                <w:lang w:val="en-GB"/>
              </w:rPr>
            </w:pPr>
            <w:r w:rsidRPr="007F3527">
              <w:rPr>
                <w:rFonts w:ascii="Times New Roman" w:hAnsi="Times New Roman" w:cs="Times New Roman"/>
                <w:sz w:val="24"/>
                <w:szCs w:val="24"/>
                <w:lang w:val="en-GB"/>
              </w:rPr>
              <w:t xml:space="preserve">Civil engineering laboratory, </w:t>
            </w:r>
            <w:proofErr w:type="spellStart"/>
            <w:r w:rsidRPr="007F3527">
              <w:rPr>
                <w:rFonts w:ascii="Times New Roman" w:hAnsi="Times New Roman" w:cs="Times New Roman"/>
                <w:sz w:val="24"/>
                <w:szCs w:val="24"/>
                <w:lang w:val="en-GB"/>
              </w:rPr>
              <w:t>waziri</w:t>
            </w:r>
            <w:proofErr w:type="spellEnd"/>
            <w:r w:rsidRPr="007F3527">
              <w:rPr>
                <w:rFonts w:ascii="Times New Roman" w:hAnsi="Times New Roman" w:cs="Times New Roman"/>
                <w:sz w:val="24"/>
                <w:szCs w:val="24"/>
                <w:lang w:val="en-GB"/>
              </w:rPr>
              <w:t xml:space="preserve"> </w:t>
            </w:r>
            <w:proofErr w:type="spellStart"/>
            <w:r w:rsidRPr="007F3527">
              <w:rPr>
                <w:rFonts w:ascii="Times New Roman" w:hAnsi="Times New Roman" w:cs="Times New Roman"/>
                <w:sz w:val="24"/>
                <w:szCs w:val="24"/>
                <w:lang w:val="en-GB"/>
              </w:rPr>
              <w:t>umaru</w:t>
            </w:r>
            <w:proofErr w:type="spellEnd"/>
            <w:r w:rsidRPr="007F3527">
              <w:rPr>
                <w:rFonts w:ascii="Times New Roman" w:hAnsi="Times New Roman" w:cs="Times New Roman"/>
                <w:sz w:val="24"/>
                <w:szCs w:val="24"/>
                <w:lang w:val="en-GB"/>
              </w:rPr>
              <w:t xml:space="preserve"> federal polytechnic </w:t>
            </w:r>
            <w:proofErr w:type="spellStart"/>
            <w:r w:rsidRPr="007F3527">
              <w:rPr>
                <w:rFonts w:ascii="Times New Roman" w:hAnsi="Times New Roman" w:cs="Times New Roman"/>
                <w:sz w:val="24"/>
                <w:szCs w:val="24"/>
                <w:lang w:val="en-GB"/>
              </w:rPr>
              <w:t>Birnin</w:t>
            </w:r>
            <w:proofErr w:type="spellEnd"/>
            <w:r w:rsidRPr="007F3527">
              <w:rPr>
                <w:rFonts w:ascii="Times New Roman" w:hAnsi="Times New Roman" w:cs="Times New Roman"/>
                <w:sz w:val="24"/>
                <w:szCs w:val="24"/>
                <w:lang w:val="en-GB"/>
              </w:rPr>
              <w:t xml:space="preserve"> Kebbi.</w:t>
            </w:r>
          </w:p>
        </w:tc>
      </w:tr>
      <w:tr w:rsidR="006963EB" w:rsidRPr="006963EB" w14:paraId="44F4FCDE" w14:textId="77777777" w:rsidTr="009C2B5C">
        <w:trPr>
          <w:trHeight w:val="20"/>
        </w:trPr>
        <w:tc>
          <w:tcPr>
            <w:tcW w:w="817" w:type="dxa"/>
            <w:tcBorders>
              <w:top w:val="single" w:sz="4" w:space="0" w:color="auto"/>
              <w:bottom w:val="single" w:sz="4" w:space="0" w:color="auto"/>
            </w:tcBorders>
          </w:tcPr>
          <w:p w14:paraId="275E888C"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3</w:t>
            </w:r>
          </w:p>
        </w:tc>
        <w:tc>
          <w:tcPr>
            <w:tcW w:w="1418" w:type="dxa"/>
            <w:tcBorders>
              <w:bottom w:val="single" w:sz="4" w:space="0" w:color="auto"/>
            </w:tcBorders>
          </w:tcPr>
          <w:p w14:paraId="70A93487"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 xml:space="preserve">Filler </w:t>
            </w:r>
          </w:p>
        </w:tc>
        <w:tc>
          <w:tcPr>
            <w:tcW w:w="3543" w:type="dxa"/>
            <w:tcBorders>
              <w:bottom w:val="single" w:sz="4" w:space="0" w:color="auto"/>
            </w:tcBorders>
          </w:tcPr>
          <w:p w14:paraId="26511ECC"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It must be well graded to fill the pores of coarse aggregate</w:t>
            </w:r>
          </w:p>
        </w:tc>
        <w:tc>
          <w:tcPr>
            <w:tcW w:w="3464" w:type="dxa"/>
            <w:tcBorders>
              <w:bottom w:val="single" w:sz="4" w:space="0" w:color="auto"/>
            </w:tcBorders>
          </w:tcPr>
          <w:p w14:paraId="1117466A" w14:textId="77777777" w:rsidR="006963EB" w:rsidRPr="006963EB" w:rsidRDefault="007F3527" w:rsidP="006963EB">
            <w:pPr>
              <w:spacing w:after="200"/>
              <w:jc w:val="both"/>
              <w:rPr>
                <w:rFonts w:ascii="Times New Roman" w:hAnsi="Times New Roman" w:cs="Times New Roman"/>
                <w:sz w:val="24"/>
                <w:szCs w:val="24"/>
                <w:lang w:val="en-GB"/>
              </w:rPr>
            </w:pPr>
            <w:r w:rsidRPr="007F3527">
              <w:rPr>
                <w:rFonts w:ascii="Times New Roman" w:hAnsi="Times New Roman" w:cs="Times New Roman"/>
                <w:sz w:val="24"/>
                <w:szCs w:val="24"/>
                <w:lang w:val="en-GB"/>
              </w:rPr>
              <w:t xml:space="preserve">Civil engineering laboratory, </w:t>
            </w:r>
            <w:proofErr w:type="spellStart"/>
            <w:r w:rsidRPr="007F3527">
              <w:rPr>
                <w:rFonts w:ascii="Times New Roman" w:hAnsi="Times New Roman" w:cs="Times New Roman"/>
                <w:sz w:val="24"/>
                <w:szCs w:val="24"/>
                <w:lang w:val="en-GB"/>
              </w:rPr>
              <w:t>waziri</w:t>
            </w:r>
            <w:proofErr w:type="spellEnd"/>
            <w:r w:rsidRPr="007F3527">
              <w:rPr>
                <w:rFonts w:ascii="Times New Roman" w:hAnsi="Times New Roman" w:cs="Times New Roman"/>
                <w:sz w:val="24"/>
                <w:szCs w:val="24"/>
                <w:lang w:val="en-GB"/>
              </w:rPr>
              <w:t xml:space="preserve"> </w:t>
            </w:r>
            <w:proofErr w:type="spellStart"/>
            <w:r w:rsidRPr="007F3527">
              <w:rPr>
                <w:rFonts w:ascii="Times New Roman" w:hAnsi="Times New Roman" w:cs="Times New Roman"/>
                <w:sz w:val="24"/>
                <w:szCs w:val="24"/>
                <w:lang w:val="en-GB"/>
              </w:rPr>
              <w:t>umaru</w:t>
            </w:r>
            <w:proofErr w:type="spellEnd"/>
            <w:r w:rsidRPr="007F3527">
              <w:rPr>
                <w:rFonts w:ascii="Times New Roman" w:hAnsi="Times New Roman" w:cs="Times New Roman"/>
                <w:sz w:val="24"/>
                <w:szCs w:val="24"/>
                <w:lang w:val="en-GB"/>
              </w:rPr>
              <w:t xml:space="preserve"> federal polytechnic </w:t>
            </w:r>
            <w:proofErr w:type="spellStart"/>
            <w:r w:rsidRPr="007F3527">
              <w:rPr>
                <w:rFonts w:ascii="Times New Roman" w:hAnsi="Times New Roman" w:cs="Times New Roman"/>
                <w:sz w:val="24"/>
                <w:szCs w:val="24"/>
                <w:lang w:val="en-GB"/>
              </w:rPr>
              <w:t>Birnin</w:t>
            </w:r>
            <w:proofErr w:type="spellEnd"/>
            <w:r w:rsidRPr="007F3527">
              <w:rPr>
                <w:rFonts w:ascii="Times New Roman" w:hAnsi="Times New Roman" w:cs="Times New Roman"/>
                <w:sz w:val="24"/>
                <w:szCs w:val="24"/>
                <w:lang w:val="en-GB"/>
              </w:rPr>
              <w:t xml:space="preserve"> Kebbi.</w:t>
            </w:r>
          </w:p>
        </w:tc>
      </w:tr>
      <w:tr w:rsidR="006963EB" w:rsidRPr="006963EB" w14:paraId="3035DD2F" w14:textId="77777777" w:rsidTr="009C2B5C">
        <w:trPr>
          <w:trHeight w:val="20"/>
        </w:trPr>
        <w:tc>
          <w:tcPr>
            <w:tcW w:w="817" w:type="dxa"/>
            <w:tcBorders>
              <w:top w:val="single" w:sz="4" w:space="0" w:color="auto"/>
              <w:bottom w:val="single" w:sz="4" w:space="0" w:color="auto"/>
            </w:tcBorders>
          </w:tcPr>
          <w:p w14:paraId="05959882"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4</w:t>
            </w:r>
          </w:p>
          <w:p w14:paraId="57086E1E" w14:textId="77777777" w:rsidR="006963EB" w:rsidRPr="006963EB" w:rsidRDefault="006963EB" w:rsidP="006963EB">
            <w:pPr>
              <w:spacing w:after="200"/>
              <w:jc w:val="both"/>
              <w:rPr>
                <w:rFonts w:ascii="Times New Roman" w:hAnsi="Times New Roman" w:cs="Times New Roman"/>
                <w:sz w:val="24"/>
                <w:szCs w:val="24"/>
                <w:lang w:val="en-GB"/>
              </w:rPr>
            </w:pPr>
          </w:p>
        </w:tc>
        <w:tc>
          <w:tcPr>
            <w:tcW w:w="1418" w:type="dxa"/>
            <w:tcBorders>
              <w:top w:val="single" w:sz="4" w:space="0" w:color="auto"/>
              <w:bottom w:val="single" w:sz="4" w:space="0" w:color="auto"/>
            </w:tcBorders>
          </w:tcPr>
          <w:p w14:paraId="79756C42"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Pave-192</w:t>
            </w:r>
          </w:p>
        </w:tc>
        <w:tc>
          <w:tcPr>
            <w:tcW w:w="3543" w:type="dxa"/>
            <w:tcBorders>
              <w:top w:val="single" w:sz="4" w:space="0" w:color="auto"/>
              <w:bottom w:val="single" w:sz="4" w:space="0" w:color="auto"/>
            </w:tcBorders>
          </w:tcPr>
          <w:p w14:paraId="28C70761" w14:textId="6C01AF3E" w:rsidR="006963EB" w:rsidRPr="006963EB" w:rsidRDefault="00F5611C" w:rsidP="006963EB">
            <w:pPr>
              <w:spacing w:after="200"/>
              <w:jc w:val="both"/>
              <w:rPr>
                <w:rFonts w:ascii="Times New Roman" w:hAnsi="Times New Roman" w:cs="Times New Roman"/>
                <w:sz w:val="24"/>
                <w:szCs w:val="24"/>
                <w:lang w:val="en-GB"/>
              </w:rPr>
            </w:pPr>
            <w:r>
              <w:rPr>
                <w:rFonts w:ascii="Times New Roman" w:hAnsi="Times New Roman" w:cs="Times New Roman"/>
                <w:sz w:val="24"/>
                <w:szCs w:val="24"/>
                <w:lang w:val="en-GB"/>
              </w:rPr>
              <w:t>A highly effective adhesion promoter</w:t>
            </w:r>
            <w:r w:rsidR="006F19E2">
              <w:rPr>
                <w:rFonts w:ascii="Times New Roman" w:hAnsi="Times New Roman" w:cs="Times New Roman"/>
                <w:sz w:val="24"/>
                <w:szCs w:val="24"/>
                <w:lang w:val="en-GB"/>
              </w:rPr>
              <w:t xml:space="preserve"> </w:t>
            </w:r>
            <w:r w:rsidR="005C40D8">
              <w:rPr>
                <w:rFonts w:ascii="Times New Roman" w:hAnsi="Times New Roman" w:cs="Times New Roman"/>
                <w:sz w:val="24"/>
                <w:szCs w:val="24"/>
                <w:lang w:val="en-GB"/>
              </w:rPr>
              <w:t>used</w:t>
            </w:r>
            <w:r w:rsidR="005033B6">
              <w:rPr>
                <w:rFonts w:ascii="Times New Roman" w:hAnsi="Times New Roman" w:cs="Times New Roman"/>
                <w:sz w:val="24"/>
                <w:szCs w:val="24"/>
                <w:lang w:val="en-GB"/>
              </w:rPr>
              <w:t xml:space="preserve"> in asphalt production. Which distinguishes CMA from HMA</w:t>
            </w:r>
          </w:p>
        </w:tc>
        <w:tc>
          <w:tcPr>
            <w:tcW w:w="3464" w:type="dxa"/>
            <w:tcBorders>
              <w:top w:val="single" w:sz="4" w:space="0" w:color="auto"/>
              <w:bottom w:val="single" w:sz="4" w:space="0" w:color="auto"/>
            </w:tcBorders>
          </w:tcPr>
          <w:p w14:paraId="7672E130" w14:textId="77777777" w:rsidR="006963EB" w:rsidRPr="006963EB" w:rsidRDefault="007F3527" w:rsidP="007F3527">
            <w:pPr>
              <w:spacing w:after="200"/>
              <w:jc w:val="both"/>
              <w:rPr>
                <w:rFonts w:ascii="Times New Roman" w:hAnsi="Times New Roman" w:cs="Times New Roman"/>
                <w:sz w:val="24"/>
                <w:szCs w:val="24"/>
                <w:lang w:val="en-GB"/>
              </w:rPr>
            </w:pPr>
            <w:r w:rsidRPr="007F3527">
              <w:rPr>
                <w:rFonts w:ascii="Times New Roman" w:hAnsi="Times New Roman" w:cs="Times New Roman"/>
                <w:sz w:val="24"/>
                <w:szCs w:val="24"/>
                <w:lang w:val="en-GB"/>
              </w:rPr>
              <w:t xml:space="preserve">federal road maintenance agency </w:t>
            </w:r>
            <w:r>
              <w:rPr>
                <w:rFonts w:ascii="Times New Roman" w:hAnsi="Times New Roman" w:cs="Times New Roman"/>
                <w:sz w:val="24"/>
                <w:szCs w:val="24"/>
                <w:lang w:val="en-GB"/>
              </w:rPr>
              <w:t>(FERMA)</w:t>
            </w:r>
          </w:p>
        </w:tc>
      </w:tr>
      <w:tr w:rsidR="006963EB" w:rsidRPr="006963EB" w14:paraId="1A311C5F" w14:textId="77777777" w:rsidTr="009C2B5C">
        <w:trPr>
          <w:trHeight w:val="20"/>
        </w:trPr>
        <w:tc>
          <w:tcPr>
            <w:tcW w:w="817" w:type="dxa"/>
            <w:tcBorders>
              <w:top w:val="single" w:sz="4" w:space="0" w:color="auto"/>
            </w:tcBorders>
          </w:tcPr>
          <w:p w14:paraId="1D731989"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5</w:t>
            </w:r>
          </w:p>
        </w:tc>
        <w:tc>
          <w:tcPr>
            <w:tcW w:w="1418" w:type="dxa"/>
            <w:tcBorders>
              <w:top w:val="single" w:sz="4" w:space="0" w:color="auto"/>
            </w:tcBorders>
          </w:tcPr>
          <w:p w14:paraId="63A75EDB"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DPK</w:t>
            </w:r>
          </w:p>
        </w:tc>
        <w:tc>
          <w:tcPr>
            <w:tcW w:w="3543" w:type="dxa"/>
            <w:tcBorders>
              <w:top w:val="single" w:sz="4" w:space="0" w:color="auto"/>
            </w:tcBorders>
          </w:tcPr>
          <w:p w14:paraId="26EED958"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Petroleum product</w:t>
            </w:r>
          </w:p>
        </w:tc>
        <w:tc>
          <w:tcPr>
            <w:tcW w:w="3464" w:type="dxa"/>
            <w:tcBorders>
              <w:top w:val="single" w:sz="4" w:space="0" w:color="auto"/>
            </w:tcBorders>
          </w:tcPr>
          <w:p w14:paraId="3414BA05"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Local source</w:t>
            </w:r>
          </w:p>
        </w:tc>
      </w:tr>
    </w:tbl>
    <w:p w14:paraId="691A3815" w14:textId="77777777" w:rsidR="006963EB" w:rsidRPr="002325BD" w:rsidRDefault="006963EB" w:rsidP="002325BD">
      <w:pPr>
        <w:spacing w:line="240" w:lineRule="auto"/>
        <w:jc w:val="both"/>
        <w:rPr>
          <w:rFonts w:ascii="Times New Roman" w:hAnsi="Times New Roman" w:cs="Times New Roman"/>
          <w:sz w:val="24"/>
          <w:szCs w:val="24"/>
          <w:lang w:val="en-GB"/>
        </w:rPr>
      </w:pPr>
    </w:p>
    <w:p w14:paraId="2DE67A16" w14:textId="77777777" w:rsidR="006963EB" w:rsidRPr="006963EB" w:rsidRDefault="006963EB" w:rsidP="006963EB">
      <w:pPr>
        <w:spacing w:line="240" w:lineRule="auto"/>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The following are the procedures and method adopted to achieve the desired aims and objective;</w:t>
      </w:r>
    </w:p>
    <w:p w14:paraId="7DE66C83" w14:textId="77777777" w:rsidR="006963EB" w:rsidRPr="006963EB" w:rsidRDefault="006963EB" w:rsidP="006963EB">
      <w:pPr>
        <w:numPr>
          <w:ilvl w:val="0"/>
          <w:numId w:val="2"/>
        </w:numPr>
        <w:spacing w:line="240" w:lineRule="auto"/>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Material sourcing</w:t>
      </w:r>
    </w:p>
    <w:p w14:paraId="0BDDEB95" w14:textId="77777777" w:rsidR="006963EB" w:rsidRPr="006963EB" w:rsidRDefault="006963EB" w:rsidP="006963EB">
      <w:pPr>
        <w:numPr>
          <w:ilvl w:val="0"/>
          <w:numId w:val="2"/>
        </w:numPr>
        <w:spacing w:line="240" w:lineRule="auto"/>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Determination of specific gravity</w:t>
      </w:r>
    </w:p>
    <w:p w14:paraId="5BA36EB2" w14:textId="77777777" w:rsidR="006963EB" w:rsidRPr="006963EB" w:rsidRDefault="006963EB" w:rsidP="006963EB">
      <w:pPr>
        <w:numPr>
          <w:ilvl w:val="0"/>
          <w:numId w:val="2"/>
        </w:numPr>
        <w:spacing w:line="240" w:lineRule="auto"/>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Sieve analysis</w:t>
      </w:r>
    </w:p>
    <w:p w14:paraId="27DA8C04" w14:textId="77777777" w:rsidR="006963EB" w:rsidRPr="006963EB" w:rsidRDefault="006963EB" w:rsidP="006963EB">
      <w:pPr>
        <w:numPr>
          <w:ilvl w:val="0"/>
          <w:numId w:val="2"/>
        </w:numPr>
        <w:spacing w:line="240" w:lineRule="auto"/>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Mix design</w:t>
      </w:r>
    </w:p>
    <w:p w14:paraId="063A37C5" w14:textId="77777777" w:rsidR="006963EB" w:rsidRPr="006963EB" w:rsidRDefault="006963EB" w:rsidP="006963EB">
      <w:pPr>
        <w:numPr>
          <w:ilvl w:val="0"/>
          <w:numId w:val="2"/>
        </w:numPr>
        <w:spacing w:line="240" w:lineRule="auto"/>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Asphalt production</w:t>
      </w:r>
    </w:p>
    <w:p w14:paraId="027A2A88" w14:textId="77777777" w:rsidR="006963EB" w:rsidRPr="006963EB" w:rsidRDefault="006963EB" w:rsidP="006963EB">
      <w:pPr>
        <w:numPr>
          <w:ilvl w:val="0"/>
          <w:numId w:val="2"/>
        </w:numPr>
        <w:spacing w:line="240" w:lineRule="auto"/>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Laboratory tests</w:t>
      </w:r>
    </w:p>
    <w:p w14:paraId="23BE4C18" w14:textId="77777777" w:rsidR="002325BD" w:rsidRDefault="002325BD" w:rsidP="00A465C6">
      <w:pPr>
        <w:spacing w:line="240" w:lineRule="auto"/>
        <w:jc w:val="both"/>
        <w:rPr>
          <w:rFonts w:ascii="Times New Roman" w:hAnsi="Times New Roman" w:cs="Times New Roman"/>
          <w:sz w:val="24"/>
          <w:szCs w:val="24"/>
        </w:rPr>
      </w:pPr>
    </w:p>
    <w:p w14:paraId="567A0066" w14:textId="77777777" w:rsidR="00623929" w:rsidRPr="00623929" w:rsidRDefault="00623929" w:rsidP="00623929">
      <w:pPr>
        <w:spacing w:line="240" w:lineRule="auto"/>
        <w:jc w:val="both"/>
        <w:rPr>
          <w:rFonts w:ascii="Times New Roman" w:hAnsi="Times New Roman" w:cs="Times New Roman"/>
          <w:b/>
          <w:sz w:val="24"/>
          <w:szCs w:val="24"/>
          <w:lang w:val="en-GB"/>
        </w:rPr>
      </w:pPr>
      <w:r w:rsidRPr="00623929">
        <w:rPr>
          <w:rFonts w:ascii="Times New Roman" w:hAnsi="Times New Roman" w:cs="Times New Roman"/>
          <w:b/>
          <w:sz w:val="24"/>
          <w:szCs w:val="24"/>
          <w:lang w:val="en-GB"/>
        </w:rPr>
        <w:t>Specific gravity of Aggregate</w:t>
      </w:r>
    </w:p>
    <w:p w14:paraId="216E2512" w14:textId="77777777" w:rsidR="00623929" w:rsidRPr="00623929" w:rsidRDefault="00623929" w:rsidP="00623929">
      <w:pPr>
        <w:spacing w:line="240" w:lineRule="auto"/>
        <w:jc w:val="both"/>
        <w:rPr>
          <w:rFonts w:ascii="Times New Roman" w:hAnsi="Times New Roman" w:cs="Times New Roman"/>
          <w:sz w:val="24"/>
          <w:szCs w:val="24"/>
          <w:lang w:val="en-GB"/>
        </w:rPr>
      </w:pPr>
      <w:r w:rsidRPr="00623929">
        <w:rPr>
          <w:rFonts w:ascii="Times New Roman" w:hAnsi="Times New Roman" w:cs="Times New Roman"/>
          <w:sz w:val="24"/>
          <w:szCs w:val="24"/>
          <w:lang w:val="en-GB"/>
        </w:rPr>
        <w:t>The specific gravity of the aggregate was determined by soaking the sample in distilled water in a container. It is later surface dried and weighed in air, and then the sample is oven dried for 24hrs and weighed in air again. The specific gravity is determined by dividing the weight of the oven dried sample in air by the difference between the saturated sample weights in air and water.</w:t>
      </w:r>
    </w:p>
    <w:p w14:paraId="1990D91E" w14:textId="77777777" w:rsidR="00623929" w:rsidRDefault="00623929" w:rsidP="00A465C6">
      <w:pPr>
        <w:spacing w:line="240" w:lineRule="auto"/>
        <w:jc w:val="both"/>
        <w:rPr>
          <w:rFonts w:ascii="Times New Roman" w:hAnsi="Times New Roman" w:cs="Times New Roman"/>
          <w:sz w:val="24"/>
          <w:szCs w:val="24"/>
        </w:rPr>
      </w:pPr>
    </w:p>
    <w:p w14:paraId="64E60280" w14:textId="77777777" w:rsidR="004217C2" w:rsidRPr="004217C2" w:rsidRDefault="004217C2" w:rsidP="004217C2">
      <w:pPr>
        <w:spacing w:line="240" w:lineRule="auto"/>
        <w:jc w:val="both"/>
        <w:rPr>
          <w:rFonts w:ascii="Times New Roman" w:hAnsi="Times New Roman" w:cs="Times New Roman"/>
          <w:b/>
          <w:sz w:val="24"/>
          <w:szCs w:val="24"/>
          <w:lang w:val="en-GB"/>
        </w:rPr>
      </w:pPr>
      <w:r w:rsidRPr="004217C2">
        <w:rPr>
          <w:rFonts w:ascii="Times New Roman" w:hAnsi="Times New Roman" w:cs="Times New Roman"/>
          <w:b/>
          <w:sz w:val="24"/>
          <w:szCs w:val="24"/>
          <w:lang w:val="en-GB"/>
        </w:rPr>
        <w:t>Sieve analysis</w:t>
      </w:r>
    </w:p>
    <w:p w14:paraId="182F3424" w14:textId="77777777" w:rsidR="009F7F55" w:rsidRDefault="009F7F55" w:rsidP="004217C2">
      <w:pPr>
        <w:spacing w:line="240" w:lineRule="auto"/>
        <w:jc w:val="both"/>
      </w:pPr>
      <w:r>
        <w:lastRenderedPageBreak/>
        <w:t>In sieve analysis, a representative dry aggregate sample of known mass is passed through a series of sieves arranged in decreasing order of aperture size. Following separation, the mass of material retained on each sieve is determined and related to the total sample mass. The particle size distribution is subsequently expressed as the percentage by weight retained on each sieve. The results are typically presented in either tabular or graphical form for ease of interpretation.</w:t>
      </w:r>
    </w:p>
    <w:p w14:paraId="42A1545B" w14:textId="6BCC503D" w:rsidR="004217C2" w:rsidRPr="004217C2" w:rsidRDefault="004217C2" w:rsidP="004217C2">
      <w:pPr>
        <w:spacing w:line="240" w:lineRule="auto"/>
        <w:jc w:val="both"/>
        <w:rPr>
          <w:rFonts w:ascii="Times New Roman" w:hAnsi="Times New Roman" w:cs="Times New Roman"/>
          <w:sz w:val="24"/>
          <w:szCs w:val="24"/>
          <w:lang w:val="en-GB"/>
        </w:rPr>
      </w:pPr>
      <w:r w:rsidRPr="004217C2">
        <w:rPr>
          <w:rFonts w:ascii="Times New Roman" w:hAnsi="Times New Roman" w:cs="Times New Roman"/>
          <w:sz w:val="24"/>
          <w:szCs w:val="24"/>
          <w:lang w:val="en-GB"/>
        </w:rPr>
        <w:t xml:space="preserve">In carrying out the sieve analysis, four different samples </w:t>
      </w:r>
      <w:proofErr w:type="gramStart"/>
      <w:r w:rsidRPr="004217C2">
        <w:rPr>
          <w:rFonts w:ascii="Times New Roman" w:hAnsi="Times New Roman" w:cs="Times New Roman"/>
          <w:sz w:val="24"/>
          <w:szCs w:val="24"/>
          <w:lang w:val="en-GB"/>
        </w:rPr>
        <w:t>was</w:t>
      </w:r>
      <w:proofErr w:type="gramEnd"/>
      <w:r w:rsidRPr="004217C2">
        <w:rPr>
          <w:rFonts w:ascii="Times New Roman" w:hAnsi="Times New Roman" w:cs="Times New Roman"/>
          <w:sz w:val="24"/>
          <w:szCs w:val="24"/>
          <w:lang w:val="en-GB"/>
        </w:rPr>
        <w:t xml:space="preserve"> tested, this include, Quarry dust, 1/2", 3/8", </w:t>
      </w:r>
      <w:r>
        <w:rPr>
          <w:rFonts w:ascii="Times New Roman" w:hAnsi="Times New Roman" w:cs="Times New Roman"/>
          <w:sz w:val="24"/>
          <w:szCs w:val="24"/>
          <w:lang w:val="en-GB"/>
        </w:rPr>
        <w:t>and Filler.</w:t>
      </w:r>
    </w:p>
    <w:p w14:paraId="422E034C" w14:textId="77777777" w:rsidR="004217C2" w:rsidRPr="004217C2" w:rsidRDefault="004217C2" w:rsidP="004217C2">
      <w:pPr>
        <w:numPr>
          <w:ilvl w:val="0"/>
          <w:numId w:val="3"/>
        </w:numPr>
        <w:spacing w:line="240" w:lineRule="auto"/>
        <w:jc w:val="both"/>
        <w:rPr>
          <w:rFonts w:ascii="Times New Roman" w:hAnsi="Times New Roman" w:cs="Times New Roman"/>
          <w:sz w:val="24"/>
          <w:szCs w:val="24"/>
          <w:u w:val="single"/>
          <w:lang w:val="en-GB"/>
        </w:rPr>
      </w:pPr>
      <w:r w:rsidRPr="004217C2">
        <w:rPr>
          <w:rFonts w:ascii="Times New Roman" w:hAnsi="Times New Roman" w:cs="Times New Roman"/>
          <w:sz w:val="24"/>
          <w:szCs w:val="24"/>
          <w:lang w:val="en-GB"/>
        </w:rPr>
        <w:t>Percentage retained on any sieve=</w:t>
      </w:r>
      <m:oMath>
        <m:r>
          <w:rPr>
            <w:rFonts w:ascii="Cambria Math" w:hAnsi="Cambria Math" w:cs="Times New Roman"/>
            <w:sz w:val="24"/>
            <w:szCs w:val="24"/>
            <w:lang w:val="en-GB"/>
          </w:rPr>
          <m:t xml:space="preserve"> </m:t>
        </m:r>
        <m:f>
          <m:fPr>
            <m:ctrlPr>
              <w:rPr>
                <w:rFonts w:ascii="Cambria Math" w:hAnsi="Cambria Math" w:cs="Times New Roman"/>
                <w:sz w:val="24"/>
                <w:szCs w:val="24"/>
                <w:lang w:val="en-GB"/>
              </w:rPr>
            </m:ctrlPr>
          </m:fPr>
          <m:num>
            <m:r>
              <m:rPr>
                <m:sty m:val="p"/>
              </m:rPr>
              <w:rPr>
                <w:rFonts w:ascii="Cambria Math" w:hAnsi="Cambria Math" w:cs="Times New Roman"/>
                <w:sz w:val="24"/>
                <w:szCs w:val="24"/>
                <w:lang w:val="en-GB"/>
              </w:rPr>
              <m:t>weight of aggregate retained</m:t>
            </m:r>
          </m:num>
          <m:den>
            <m:r>
              <m:rPr>
                <m:sty m:val="p"/>
              </m:rPr>
              <w:rPr>
                <w:rFonts w:ascii="Cambria Math" w:hAnsi="Cambria Math" w:cs="Times New Roman"/>
                <w:sz w:val="24"/>
                <w:szCs w:val="24"/>
                <w:lang w:val="en-GB"/>
              </w:rPr>
              <m:t>total aggregate weight</m:t>
            </m:r>
          </m:den>
        </m:f>
        <m:r>
          <m:rPr>
            <m:sty m:val="p"/>
          </m:rPr>
          <w:rPr>
            <w:rFonts w:ascii="Cambria Math" w:hAnsi="Cambria Math" w:cs="Times New Roman"/>
            <w:sz w:val="24"/>
            <w:szCs w:val="24"/>
            <w:lang w:val="en-GB"/>
          </w:rPr>
          <m:t xml:space="preserve"> x 100</m:t>
        </m:r>
      </m:oMath>
    </w:p>
    <w:p w14:paraId="7A414516" w14:textId="77777777" w:rsidR="004217C2" w:rsidRDefault="004217C2" w:rsidP="00A465C6">
      <w:pPr>
        <w:numPr>
          <w:ilvl w:val="0"/>
          <w:numId w:val="3"/>
        </w:numPr>
        <w:spacing w:line="240" w:lineRule="auto"/>
        <w:jc w:val="both"/>
        <w:rPr>
          <w:rFonts w:ascii="Times New Roman" w:hAnsi="Times New Roman" w:cs="Times New Roman"/>
          <w:sz w:val="24"/>
          <w:szCs w:val="24"/>
          <w:lang w:val="en-GB"/>
        </w:rPr>
      </w:pPr>
      <w:r w:rsidRPr="004217C2">
        <w:rPr>
          <w:rFonts w:ascii="Times New Roman" w:hAnsi="Times New Roman" w:cs="Times New Roman"/>
          <w:sz w:val="24"/>
          <w:szCs w:val="24"/>
          <w:lang w:val="en-GB"/>
        </w:rPr>
        <w:t>Cumulative percentage retained on any sieve= sum of percentage retained on all coarser sieves</w:t>
      </w:r>
    </w:p>
    <w:p w14:paraId="35044BF6" w14:textId="77777777" w:rsidR="00A5085A" w:rsidRPr="00A5085A" w:rsidRDefault="00A5085A" w:rsidP="00A5085A">
      <w:pPr>
        <w:spacing w:line="240" w:lineRule="auto"/>
        <w:ind w:left="720"/>
        <w:jc w:val="both"/>
        <w:rPr>
          <w:rFonts w:ascii="Times New Roman" w:hAnsi="Times New Roman" w:cs="Times New Roman"/>
          <w:sz w:val="24"/>
          <w:szCs w:val="24"/>
          <w:lang w:val="en-GB"/>
        </w:rPr>
      </w:pPr>
    </w:p>
    <w:p w14:paraId="00E2F6A9" w14:textId="77777777" w:rsidR="00A5085A" w:rsidRPr="00A5085A" w:rsidRDefault="00A5085A" w:rsidP="00A5085A">
      <w:pPr>
        <w:spacing w:line="240" w:lineRule="auto"/>
        <w:jc w:val="both"/>
        <w:rPr>
          <w:rFonts w:ascii="Times New Roman" w:hAnsi="Times New Roman" w:cs="Times New Roman"/>
          <w:b/>
          <w:sz w:val="24"/>
          <w:szCs w:val="24"/>
          <w:lang w:val="en-GB"/>
        </w:rPr>
      </w:pPr>
      <w:r w:rsidRPr="00A5085A">
        <w:rPr>
          <w:rFonts w:ascii="Times New Roman" w:hAnsi="Times New Roman" w:cs="Times New Roman"/>
          <w:b/>
          <w:sz w:val="24"/>
          <w:szCs w:val="24"/>
          <w:lang w:val="en-GB"/>
        </w:rPr>
        <w:t>Material blending</w:t>
      </w:r>
    </w:p>
    <w:p w14:paraId="13D23D8E" w14:textId="77777777" w:rsidR="009F7F55" w:rsidRDefault="009F7F55" w:rsidP="009F7F55">
      <w:pPr>
        <w:pStyle w:val="NormalWeb"/>
        <w:jc w:val="both"/>
      </w:pPr>
      <w:r>
        <w:t xml:space="preserve">The ability to proportion and combine aggregates to achieve a specified target gradation is a critical factor in the production of high-quality asphalt concrete pavements. Aggregate blending involves the systematic combination of materials with different particle size distributions in defined proportions to obtain the desired overall gradation. In asphalt concrete production, this typically requires the integration of two or more aggregate sources, each </w:t>
      </w:r>
      <w:proofErr w:type="spellStart"/>
      <w:r>
        <w:t>characterised</w:t>
      </w:r>
      <w:proofErr w:type="spellEnd"/>
      <w:r>
        <w:t xml:space="preserve"> by distinct gradations, to produce a composite blend that conforms to the specified grading requirements for a given asphalt mixture.</w:t>
      </w:r>
    </w:p>
    <w:p w14:paraId="67FE78D5" w14:textId="77777777" w:rsidR="00466343" w:rsidRPr="009D5A87" w:rsidRDefault="00466343" w:rsidP="00466343">
      <w:pPr>
        <w:spacing w:line="240" w:lineRule="auto"/>
        <w:jc w:val="both"/>
        <w:rPr>
          <w:rFonts w:ascii="Times New Roman" w:hAnsi="Times New Roman" w:cs="Times New Roman"/>
          <w:sz w:val="24"/>
          <w:szCs w:val="24"/>
          <w:lang w:val="en-GB"/>
        </w:rPr>
      </w:pPr>
      <w:r w:rsidRPr="00466343">
        <w:rPr>
          <w:rFonts w:ascii="Times New Roman" w:hAnsi="Times New Roman" w:cs="Times New Roman"/>
          <w:b/>
          <w:sz w:val="24"/>
          <w:szCs w:val="24"/>
          <w:lang w:val="en-GB"/>
        </w:rPr>
        <w:t>Bitumen modification</w:t>
      </w:r>
    </w:p>
    <w:p w14:paraId="286E5F5B" w14:textId="3BDA6EFB" w:rsidR="00466343" w:rsidRPr="00466343" w:rsidRDefault="00466343" w:rsidP="00466343">
      <w:pPr>
        <w:spacing w:line="240" w:lineRule="auto"/>
        <w:jc w:val="both"/>
        <w:rPr>
          <w:rFonts w:ascii="Times New Roman" w:hAnsi="Times New Roman" w:cs="Times New Roman"/>
          <w:sz w:val="24"/>
          <w:szCs w:val="24"/>
          <w:lang w:val="en-GB"/>
        </w:rPr>
      </w:pPr>
      <w:r w:rsidRPr="00466343">
        <w:rPr>
          <w:rFonts w:ascii="Times New Roman" w:hAnsi="Times New Roman" w:cs="Times New Roman"/>
          <w:sz w:val="24"/>
          <w:szCs w:val="24"/>
          <w:lang w:val="en-GB"/>
        </w:rPr>
        <w:t>The addition of small quantity of plastic (polythene) vastly changes the properti</w:t>
      </w:r>
      <w:r w:rsidR="00DF3C78">
        <w:rPr>
          <w:rFonts w:ascii="Times New Roman" w:hAnsi="Times New Roman" w:cs="Times New Roman"/>
          <w:sz w:val="24"/>
          <w:szCs w:val="24"/>
          <w:lang w:val="en-GB"/>
        </w:rPr>
        <w:t>es of bitumen</w:t>
      </w:r>
      <w:r w:rsidRPr="00466343">
        <w:rPr>
          <w:rFonts w:ascii="Times New Roman" w:hAnsi="Times New Roman" w:cs="Times New Roman"/>
          <w:sz w:val="24"/>
          <w:szCs w:val="24"/>
          <w:lang w:val="en-GB"/>
        </w:rPr>
        <w:t xml:space="preserve">. In this project a certain quantity of pure water </w:t>
      </w:r>
      <w:proofErr w:type="spellStart"/>
      <w:r w:rsidRPr="00466343">
        <w:rPr>
          <w:rFonts w:ascii="Times New Roman" w:hAnsi="Times New Roman" w:cs="Times New Roman"/>
          <w:sz w:val="24"/>
          <w:szCs w:val="24"/>
          <w:lang w:val="en-GB"/>
        </w:rPr>
        <w:t>satchets</w:t>
      </w:r>
      <w:proofErr w:type="spellEnd"/>
      <w:r w:rsidRPr="00466343">
        <w:rPr>
          <w:rFonts w:ascii="Times New Roman" w:hAnsi="Times New Roman" w:cs="Times New Roman"/>
          <w:sz w:val="24"/>
          <w:szCs w:val="24"/>
          <w:lang w:val="en-GB"/>
        </w:rPr>
        <w:t xml:space="preserve"> was used. A small quantity of kerosene was poured into a pot and heated (with a stove), the pure water </w:t>
      </w:r>
      <w:proofErr w:type="spellStart"/>
      <w:r w:rsidRPr="00466343">
        <w:rPr>
          <w:rFonts w:ascii="Times New Roman" w:hAnsi="Times New Roman" w:cs="Times New Roman"/>
          <w:sz w:val="24"/>
          <w:szCs w:val="24"/>
          <w:lang w:val="en-GB"/>
        </w:rPr>
        <w:t>satchets</w:t>
      </w:r>
      <w:proofErr w:type="spellEnd"/>
      <w:r w:rsidRPr="00466343">
        <w:rPr>
          <w:rFonts w:ascii="Times New Roman" w:hAnsi="Times New Roman" w:cs="Times New Roman"/>
          <w:sz w:val="24"/>
          <w:szCs w:val="24"/>
          <w:lang w:val="en-GB"/>
        </w:rPr>
        <w:t xml:space="preserve"> were added to the kerosene gradually, which melted and mixed with the kerosene. More pure water sachets was added and mixed thoroughly till the resulting sample becomes sticky. The final sample was measured and added to the bitumen.</w:t>
      </w:r>
    </w:p>
    <w:p w14:paraId="2D4CEB4B" w14:textId="77777777" w:rsidR="00466343" w:rsidRPr="00A5085A" w:rsidRDefault="00466343" w:rsidP="00A5085A">
      <w:pPr>
        <w:spacing w:line="240" w:lineRule="auto"/>
        <w:jc w:val="both"/>
        <w:rPr>
          <w:rFonts w:ascii="Times New Roman" w:hAnsi="Times New Roman" w:cs="Times New Roman"/>
          <w:sz w:val="24"/>
          <w:szCs w:val="24"/>
          <w:lang w:val="en-GB"/>
        </w:rPr>
      </w:pPr>
    </w:p>
    <w:p w14:paraId="7AEB6FCA" w14:textId="77777777" w:rsidR="00A31EA2" w:rsidRPr="00A31EA2" w:rsidRDefault="00A31EA2" w:rsidP="00A31EA2">
      <w:pPr>
        <w:spacing w:line="240" w:lineRule="auto"/>
        <w:jc w:val="both"/>
        <w:rPr>
          <w:rFonts w:ascii="Times New Roman" w:hAnsi="Times New Roman" w:cs="Times New Roman"/>
          <w:b/>
          <w:sz w:val="24"/>
          <w:szCs w:val="24"/>
          <w:lang w:val="en-GB"/>
        </w:rPr>
      </w:pPr>
      <w:r w:rsidRPr="00A31EA2">
        <w:rPr>
          <w:rFonts w:ascii="Times New Roman" w:hAnsi="Times New Roman" w:cs="Times New Roman"/>
          <w:b/>
          <w:sz w:val="24"/>
          <w:szCs w:val="24"/>
          <w:lang w:val="en-GB"/>
        </w:rPr>
        <w:t>Cold bitumen production</w:t>
      </w:r>
    </w:p>
    <w:p w14:paraId="352C8687" w14:textId="66E7FAF2" w:rsidR="00A31EA2" w:rsidRPr="00A31EA2" w:rsidRDefault="00A31EA2" w:rsidP="00A31EA2">
      <w:pPr>
        <w:spacing w:line="240" w:lineRule="auto"/>
        <w:jc w:val="both"/>
        <w:rPr>
          <w:rFonts w:ascii="Times New Roman" w:hAnsi="Times New Roman" w:cs="Times New Roman"/>
          <w:sz w:val="24"/>
          <w:szCs w:val="24"/>
          <w:lang w:val="en-GB"/>
        </w:rPr>
      </w:pPr>
      <w:r w:rsidRPr="00A31EA2">
        <w:rPr>
          <w:rFonts w:ascii="Times New Roman" w:hAnsi="Times New Roman" w:cs="Times New Roman"/>
          <w:sz w:val="24"/>
          <w:szCs w:val="24"/>
          <w:lang w:val="en-GB"/>
        </w:rPr>
        <w:t xml:space="preserve">The production of cold bitumen was done by heating the bitumen (60/70) a little, which was already solidified so as to allow it to flow and to make it easier to measure. The measured bitumen was poured into the container along with the measured pure water </w:t>
      </w:r>
      <w:proofErr w:type="spellStart"/>
      <w:r w:rsidRPr="00A31EA2">
        <w:rPr>
          <w:rFonts w:ascii="Times New Roman" w:hAnsi="Times New Roman" w:cs="Times New Roman"/>
          <w:sz w:val="24"/>
          <w:szCs w:val="24"/>
          <w:lang w:val="en-GB"/>
        </w:rPr>
        <w:t>satchets</w:t>
      </w:r>
      <w:proofErr w:type="spellEnd"/>
      <w:r w:rsidRPr="00A31EA2">
        <w:rPr>
          <w:rFonts w:ascii="Times New Roman" w:hAnsi="Times New Roman" w:cs="Times New Roman"/>
          <w:sz w:val="24"/>
          <w:szCs w:val="24"/>
          <w:lang w:val="en-GB"/>
        </w:rPr>
        <w:t xml:space="preserve"> and certain percentage of kerosene was added so as to reduce the viscosity. The sample was heated to about 150</w:t>
      </w:r>
      <w:r w:rsidRPr="00A31EA2">
        <w:rPr>
          <w:rFonts w:ascii="Times New Roman" w:hAnsi="Times New Roman" w:cs="Times New Roman"/>
          <w:sz w:val="24"/>
          <w:szCs w:val="24"/>
          <w:vertAlign w:val="superscript"/>
          <w:lang w:val="en-GB"/>
        </w:rPr>
        <w:t>0</w:t>
      </w:r>
      <w:r w:rsidRPr="00A31EA2">
        <w:rPr>
          <w:rFonts w:ascii="Times New Roman" w:hAnsi="Times New Roman" w:cs="Times New Roman"/>
          <w:sz w:val="24"/>
          <w:szCs w:val="24"/>
          <w:lang w:val="en-GB"/>
        </w:rPr>
        <w:t>C and allowed to cool, and the pave 192 was added to the sample to allow the sample to flow throughout the entire production process and for a very long time (a substance which distinguishes it from Hot Asphalt production which solidifies after 24hrs). The resulting sample was mixed thoroughly together at normal temperature. The percentage of the materials used and their correspond</w:t>
      </w:r>
      <w:r w:rsidR="001361E6">
        <w:rPr>
          <w:rFonts w:ascii="Times New Roman" w:hAnsi="Times New Roman" w:cs="Times New Roman"/>
          <w:sz w:val="24"/>
          <w:szCs w:val="24"/>
          <w:lang w:val="en-GB"/>
        </w:rPr>
        <w:t xml:space="preserve">ing weights was obtained. </w:t>
      </w:r>
    </w:p>
    <w:p w14:paraId="299F1D94" w14:textId="77777777" w:rsidR="00A5085A" w:rsidRDefault="00AB052D" w:rsidP="00AB052D">
      <w:pPr>
        <w:tabs>
          <w:tab w:val="left" w:pos="1875"/>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
    <w:p w14:paraId="583E81C5" w14:textId="77777777" w:rsidR="00AB052D" w:rsidRPr="00AB052D" w:rsidRDefault="00AB052D" w:rsidP="00AB052D">
      <w:pPr>
        <w:spacing w:line="240" w:lineRule="auto"/>
        <w:jc w:val="both"/>
        <w:rPr>
          <w:rFonts w:ascii="Times New Roman" w:hAnsi="Times New Roman" w:cs="Times New Roman"/>
          <w:b/>
          <w:sz w:val="24"/>
          <w:szCs w:val="24"/>
          <w:lang w:val="en-GB"/>
        </w:rPr>
      </w:pPr>
      <w:r w:rsidRPr="00AB052D">
        <w:rPr>
          <w:rFonts w:ascii="Times New Roman" w:hAnsi="Times New Roman" w:cs="Times New Roman"/>
          <w:b/>
          <w:sz w:val="24"/>
          <w:szCs w:val="24"/>
          <w:lang w:val="en-GB"/>
        </w:rPr>
        <w:t xml:space="preserve">Cold Asphalt production </w:t>
      </w:r>
    </w:p>
    <w:p w14:paraId="71053596" w14:textId="4E55ED0A" w:rsidR="00AB052D" w:rsidRPr="00AB052D" w:rsidRDefault="00AB052D" w:rsidP="00AB052D">
      <w:pPr>
        <w:spacing w:line="240" w:lineRule="auto"/>
        <w:jc w:val="both"/>
        <w:rPr>
          <w:rFonts w:ascii="Times New Roman" w:hAnsi="Times New Roman" w:cs="Times New Roman"/>
          <w:sz w:val="24"/>
          <w:szCs w:val="24"/>
          <w:lang w:val="en-GB"/>
        </w:rPr>
      </w:pPr>
      <w:r w:rsidRPr="00AB052D">
        <w:rPr>
          <w:rFonts w:ascii="Times New Roman" w:hAnsi="Times New Roman" w:cs="Times New Roman"/>
          <w:sz w:val="24"/>
          <w:szCs w:val="24"/>
          <w:lang w:val="en-GB"/>
        </w:rPr>
        <w:t>The various percentages of the aggregates and fillers were determined by the job mix formula for the required grading as obtained in the sieve analysis. The percentages and weights of the aggregates and filler used in t</w:t>
      </w:r>
      <w:r w:rsidR="003A74F3">
        <w:rPr>
          <w:rFonts w:ascii="Times New Roman" w:hAnsi="Times New Roman" w:cs="Times New Roman"/>
          <w:sz w:val="24"/>
          <w:szCs w:val="24"/>
          <w:lang w:val="en-GB"/>
        </w:rPr>
        <w:t>he aggregate mix are were obtained</w:t>
      </w:r>
      <w:r w:rsidRPr="00AB052D">
        <w:rPr>
          <w:rFonts w:ascii="Times New Roman" w:hAnsi="Times New Roman" w:cs="Times New Roman"/>
          <w:sz w:val="24"/>
          <w:szCs w:val="24"/>
          <w:lang w:val="en-GB"/>
        </w:rPr>
        <w:t>;</w:t>
      </w:r>
    </w:p>
    <w:p w14:paraId="01FF47EC" w14:textId="530811D3" w:rsidR="00AB052D" w:rsidRPr="00AB052D" w:rsidRDefault="00AB052D" w:rsidP="00AB052D">
      <w:pPr>
        <w:spacing w:line="240" w:lineRule="auto"/>
        <w:jc w:val="both"/>
        <w:rPr>
          <w:rFonts w:ascii="Times New Roman" w:hAnsi="Times New Roman" w:cs="Times New Roman"/>
          <w:sz w:val="24"/>
          <w:szCs w:val="24"/>
          <w:lang w:val="en-GB"/>
        </w:rPr>
      </w:pPr>
      <w:r w:rsidRPr="00AB052D">
        <w:rPr>
          <w:rFonts w:ascii="Times New Roman" w:hAnsi="Times New Roman" w:cs="Times New Roman"/>
          <w:sz w:val="24"/>
          <w:szCs w:val="24"/>
          <w:lang w:val="en-GB"/>
        </w:rPr>
        <w:t xml:space="preserve">The resulting aggregates mix and bitumen were poured into a container and mixed thoroughly at ambient temperature. The aggregate mix was heated a little before the mixing was done. The percentages and weights </w:t>
      </w:r>
      <w:r w:rsidR="003A74F3">
        <w:rPr>
          <w:rFonts w:ascii="Times New Roman" w:hAnsi="Times New Roman" w:cs="Times New Roman"/>
          <w:sz w:val="24"/>
          <w:szCs w:val="24"/>
          <w:lang w:val="en-GB"/>
        </w:rPr>
        <w:t>of the final mix were obtained</w:t>
      </w:r>
      <w:r w:rsidRPr="00AB052D">
        <w:rPr>
          <w:rFonts w:ascii="Times New Roman" w:hAnsi="Times New Roman" w:cs="Times New Roman"/>
          <w:sz w:val="24"/>
          <w:szCs w:val="24"/>
          <w:lang w:val="en-GB"/>
        </w:rPr>
        <w:t xml:space="preserve">; </w:t>
      </w:r>
    </w:p>
    <w:p w14:paraId="464BFBC8" w14:textId="77777777" w:rsidR="007A5151" w:rsidRPr="007A5151" w:rsidRDefault="007A5151" w:rsidP="007A5151">
      <w:pPr>
        <w:spacing w:line="240" w:lineRule="auto"/>
        <w:jc w:val="both"/>
        <w:rPr>
          <w:rFonts w:ascii="Times New Roman" w:hAnsi="Times New Roman" w:cs="Times New Roman"/>
          <w:b/>
          <w:sz w:val="24"/>
          <w:szCs w:val="24"/>
          <w:lang w:val="en-GB"/>
        </w:rPr>
      </w:pPr>
      <w:r w:rsidRPr="007A5151">
        <w:rPr>
          <w:rFonts w:ascii="Times New Roman" w:hAnsi="Times New Roman" w:cs="Times New Roman"/>
          <w:b/>
          <w:sz w:val="24"/>
          <w:szCs w:val="24"/>
          <w:lang w:val="en-GB"/>
        </w:rPr>
        <w:t>Compaction</w:t>
      </w:r>
    </w:p>
    <w:p w14:paraId="6C06F31B" w14:textId="77777777" w:rsidR="007A5151" w:rsidRPr="007A5151" w:rsidRDefault="007A5151" w:rsidP="007A5151">
      <w:pPr>
        <w:spacing w:line="240" w:lineRule="auto"/>
        <w:jc w:val="both"/>
        <w:rPr>
          <w:rFonts w:ascii="Times New Roman" w:hAnsi="Times New Roman" w:cs="Times New Roman"/>
          <w:sz w:val="24"/>
          <w:szCs w:val="24"/>
          <w:lang w:val="en-GB"/>
        </w:rPr>
      </w:pPr>
      <w:r w:rsidRPr="007A5151">
        <w:rPr>
          <w:rFonts w:ascii="Times New Roman" w:hAnsi="Times New Roman" w:cs="Times New Roman"/>
          <w:sz w:val="24"/>
          <w:szCs w:val="24"/>
          <w:lang w:val="en-GB"/>
        </w:rPr>
        <w:t>1200g of the aggregate mix was measured and 5% bitumen of 1200g was taken and mixed thoroughly at ambient temperature to produce the overall mix and some amount not less than 1000g is placed on the mould and compacted using the compaction apparatus at 75 blows for each side. In doing this, the round end of the rammer is lifted up and allowed to fall freely until the required amount of blows is given; the same is done to the other side of the specimen. The mould containing the material was removed from the compactor and extruded using the extruder to remove the material from the mould. The resulting material is known as asphalt concrete. The resulting material was labelled and the procedure was repeated for varying values of the bitumen percentages (5.5%, 6%, 6.5%, and 7%).</w:t>
      </w:r>
    </w:p>
    <w:p w14:paraId="61A94FA3" w14:textId="77777777" w:rsidR="007A5151" w:rsidRPr="007A5151" w:rsidRDefault="007A5151" w:rsidP="007A5151">
      <w:pPr>
        <w:spacing w:line="240" w:lineRule="auto"/>
        <w:jc w:val="both"/>
        <w:rPr>
          <w:rFonts w:ascii="Times New Roman" w:hAnsi="Times New Roman" w:cs="Times New Roman"/>
          <w:b/>
          <w:sz w:val="24"/>
          <w:szCs w:val="24"/>
          <w:lang w:val="en-GB"/>
        </w:rPr>
      </w:pPr>
      <w:r w:rsidRPr="007A5151">
        <w:rPr>
          <w:rFonts w:ascii="Times New Roman" w:hAnsi="Times New Roman" w:cs="Times New Roman"/>
          <w:b/>
          <w:sz w:val="24"/>
          <w:szCs w:val="24"/>
          <w:lang w:val="en-GB"/>
        </w:rPr>
        <w:t xml:space="preserve">Marshal stability test </w:t>
      </w:r>
    </w:p>
    <w:p w14:paraId="376111BB" w14:textId="77777777" w:rsidR="007A5151" w:rsidRPr="007A5151" w:rsidRDefault="007A5151" w:rsidP="007A5151">
      <w:pPr>
        <w:spacing w:line="240" w:lineRule="auto"/>
        <w:jc w:val="both"/>
        <w:rPr>
          <w:rFonts w:ascii="Times New Roman" w:hAnsi="Times New Roman" w:cs="Times New Roman"/>
          <w:sz w:val="24"/>
          <w:szCs w:val="24"/>
          <w:lang w:val="en-GB"/>
        </w:rPr>
      </w:pPr>
      <w:r w:rsidRPr="007A5151">
        <w:rPr>
          <w:rFonts w:ascii="Times New Roman" w:hAnsi="Times New Roman" w:cs="Times New Roman"/>
          <w:sz w:val="24"/>
          <w:szCs w:val="24"/>
          <w:lang w:val="en-GB"/>
        </w:rPr>
        <w:t>This test is carried out to determine the properties of the produced cold asphalt mix. It helps in determining the ability to withstand vehicular deformation. It can also be used to determine the optimum bitumen content that can provide maximum stability, maximum density, minimum void percentage and flow deflection of the produced cold asphalt. This test can be achieved through the following steps stated below;</w:t>
      </w:r>
    </w:p>
    <w:p w14:paraId="21F213E5" w14:textId="77777777" w:rsidR="007A5151" w:rsidRPr="007A5151" w:rsidRDefault="007A5151" w:rsidP="007A5151">
      <w:pPr>
        <w:numPr>
          <w:ilvl w:val="0"/>
          <w:numId w:val="5"/>
        </w:numPr>
        <w:spacing w:line="240" w:lineRule="auto"/>
        <w:jc w:val="both"/>
        <w:rPr>
          <w:rFonts w:ascii="Times New Roman" w:hAnsi="Times New Roman" w:cs="Times New Roman"/>
          <w:sz w:val="24"/>
          <w:szCs w:val="24"/>
          <w:lang w:val="en-GB"/>
        </w:rPr>
      </w:pPr>
      <w:r w:rsidRPr="007A5151">
        <w:rPr>
          <w:rFonts w:ascii="Times New Roman" w:hAnsi="Times New Roman" w:cs="Times New Roman"/>
          <w:sz w:val="24"/>
          <w:szCs w:val="24"/>
          <w:lang w:val="en-GB"/>
        </w:rPr>
        <w:t>Thoroughly mix the various sizes of aggregate together with the filler at room temperature.</w:t>
      </w:r>
    </w:p>
    <w:p w14:paraId="5EF1ED50" w14:textId="77777777" w:rsidR="007A5151" w:rsidRPr="007A5151" w:rsidRDefault="007A5151" w:rsidP="007A5151">
      <w:pPr>
        <w:numPr>
          <w:ilvl w:val="0"/>
          <w:numId w:val="5"/>
        </w:numPr>
        <w:spacing w:line="240" w:lineRule="auto"/>
        <w:jc w:val="both"/>
        <w:rPr>
          <w:rFonts w:ascii="Times New Roman" w:hAnsi="Times New Roman" w:cs="Times New Roman"/>
          <w:sz w:val="24"/>
          <w:szCs w:val="24"/>
          <w:lang w:val="en-GB"/>
        </w:rPr>
      </w:pPr>
      <w:r w:rsidRPr="007A5151">
        <w:rPr>
          <w:rFonts w:ascii="Times New Roman" w:hAnsi="Times New Roman" w:cs="Times New Roman"/>
          <w:sz w:val="24"/>
          <w:szCs w:val="24"/>
          <w:lang w:val="en-GB"/>
        </w:rPr>
        <w:t>Add initial liquid mix content of 5% to the mix.</w:t>
      </w:r>
    </w:p>
    <w:p w14:paraId="022A0DF4" w14:textId="77777777" w:rsidR="007A5151" w:rsidRPr="007A5151" w:rsidRDefault="007A5151" w:rsidP="007A5151">
      <w:pPr>
        <w:numPr>
          <w:ilvl w:val="0"/>
          <w:numId w:val="5"/>
        </w:numPr>
        <w:spacing w:line="240" w:lineRule="auto"/>
        <w:jc w:val="both"/>
        <w:rPr>
          <w:rFonts w:ascii="Times New Roman" w:hAnsi="Times New Roman" w:cs="Times New Roman"/>
          <w:sz w:val="24"/>
          <w:szCs w:val="24"/>
          <w:lang w:val="en-GB"/>
        </w:rPr>
      </w:pPr>
      <w:r w:rsidRPr="007A5151">
        <w:rPr>
          <w:rFonts w:ascii="Times New Roman" w:hAnsi="Times New Roman" w:cs="Times New Roman"/>
          <w:sz w:val="24"/>
          <w:szCs w:val="24"/>
          <w:lang w:val="en-GB"/>
        </w:rPr>
        <w:t>Mix resulting sample together.</w:t>
      </w:r>
    </w:p>
    <w:p w14:paraId="2265EEBB" w14:textId="77777777" w:rsidR="007A5151" w:rsidRPr="007A5151" w:rsidRDefault="007A5151" w:rsidP="007A5151">
      <w:pPr>
        <w:numPr>
          <w:ilvl w:val="0"/>
          <w:numId w:val="5"/>
        </w:numPr>
        <w:spacing w:line="240" w:lineRule="auto"/>
        <w:jc w:val="both"/>
        <w:rPr>
          <w:rFonts w:ascii="Times New Roman" w:hAnsi="Times New Roman" w:cs="Times New Roman"/>
          <w:sz w:val="24"/>
          <w:szCs w:val="24"/>
          <w:lang w:val="en-GB"/>
        </w:rPr>
      </w:pPr>
      <w:r w:rsidRPr="007A5151">
        <w:rPr>
          <w:rFonts w:ascii="Times New Roman" w:hAnsi="Times New Roman" w:cs="Times New Roman"/>
          <w:sz w:val="24"/>
          <w:szCs w:val="24"/>
          <w:lang w:val="en-GB"/>
        </w:rPr>
        <w:t>Oil the mould and place filter paper into the mould.</w:t>
      </w:r>
    </w:p>
    <w:p w14:paraId="3B845267" w14:textId="77777777" w:rsidR="007A5151" w:rsidRPr="007A5151" w:rsidRDefault="007A5151" w:rsidP="007A5151">
      <w:pPr>
        <w:numPr>
          <w:ilvl w:val="0"/>
          <w:numId w:val="5"/>
        </w:numPr>
        <w:spacing w:line="240" w:lineRule="auto"/>
        <w:jc w:val="both"/>
        <w:rPr>
          <w:rFonts w:ascii="Times New Roman" w:hAnsi="Times New Roman" w:cs="Times New Roman"/>
          <w:sz w:val="24"/>
          <w:szCs w:val="24"/>
          <w:lang w:val="en-GB"/>
        </w:rPr>
      </w:pPr>
      <w:r w:rsidRPr="007A5151">
        <w:rPr>
          <w:rFonts w:ascii="Times New Roman" w:hAnsi="Times New Roman" w:cs="Times New Roman"/>
          <w:sz w:val="24"/>
          <w:szCs w:val="24"/>
          <w:lang w:val="en-GB"/>
        </w:rPr>
        <w:t>Fill in the sample inside the mould and poke it with spatula.</w:t>
      </w:r>
    </w:p>
    <w:p w14:paraId="5E5A1B6C" w14:textId="77777777" w:rsidR="007A5151" w:rsidRPr="007A5151" w:rsidRDefault="007A5151" w:rsidP="007A5151">
      <w:pPr>
        <w:numPr>
          <w:ilvl w:val="0"/>
          <w:numId w:val="5"/>
        </w:numPr>
        <w:spacing w:line="240" w:lineRule="auto"/>
        <w:jc w:val="both"/>
        <w:rPr>
          <w:rFonts w:ascii="Times New Roman" w:hAnsi="Times New Roman" w:cs="Times New Roman"/>
          <w:sz w:val="24"/>
          <w:szCs w:val="24"/>
          <w:lang w:val="en-GB"/>
        </w:rPr>
      </w:pPr>
      <w:r w:rsidRPr="007A5151">
        <w:rPr>
          <w:rFonts w:ascii="Times New Roman" w:hAnsi="Times New Roman" w:cs="Times New Roman"/>
          <w:sz w:val="24"/>
          <w:szCs w:val="24"/>
          <w:lang w:val="en-GB"/>
        </w:rPr>
        <w:t xml:space="preserve"> Compact the sample in one layer for 75 blows.</w:t>
      </w:r>
    </w:p>
    <w:p w14:paraId="41DAEE8D" w14:textId="77777777" w:rsidR="007A5151" w:rsidRPr="007A5151" w:rsidRDefault="007A5151" w:rsidP="007A5151">
      <w:pPr>
        <w:numPr>
          <w:ilvl w:val="0"/>
          <w:numId w:val="5"/>
        </w:numPr>
        <w:spacing w:line="240" w:lineRule="auto"/>
        <w:jc w:val="both"/>
        <w:rPr>
          <w:rFonts w:ascii="Times New Roman" w:hAnsi="Times New Roman" w:cs="Times New Roman"/>
          <w:sz w:val="24"/>
          <w:szCs w:val="24"/>
          <w:lang w:val="en-GB"/>
        </w:rPr>
      </w:pPr>
      <w:r w:rsidRPr="007A5151">
        <w:rPr>
          <w:rFonts w:ascii="Times New Roman" w:hAnsi="Times New Roman" w:cs="Times New Roman"/>
          <w:sz w:val="24"/>
          <w:szCs w:val="24"/>
          <w:lang w:val="en-GB"/>
        </w:rPr>
        <w:t>Turn the compacted sample to the other side and repeat 75 blows.</w:t>
      </w:r>
    </w:p>
    <w:p w14:paraId="06FE7BC8" w14:textId="77777777" w:rsidR="007A5151" w:rsidRPr="007A5151" w:rsidRDefault="007A5151" w:rsidP="007A5151">
      <w:pPr>
        <w:numPr>
          <w:ilvl w:val="0"/>
          <w:numId w:val="5"/>
        </w:numPr>
        <w:spacing w:line="240" w:lineRule="auto"/>
        <w:jc w:val="both"/>
        <w:rPr>
          <w:rFonts w:ascii="Times New Roman" w:hAnsi="Times New Roman" w:cs="Times New Roman"/>
          <w:sz w:val="24"/>
          <w:szCs w:val="24"/>
          <w:lang w:val="en-GB"/>
        </w:rPr>
      </w:pPr>
      <w:r w:rsidRPr="007A5151">
        <w:rPr>
          <w:rFonts w:ascii="Times New Roman" w:hAnsi="Times New Roman" w:cs="Times New Roman"/>
          <w:sz w:val="24"/>
          <w:szCs w:val="24"/>
          <w:lang w:val="en-GB"/>
        </w:rPr>
        <w:t>Extrude the sample from the mould using the extruder.</w:t>
      </w:r>
    </w:p>
    <w:p w14:paraId="6BDF51FD" w14:textId="77777777" w:rsidR="007A5151" w:rsidRPr="007A5151" w:rsidRDefault="007A5151" w:rsidP="007A5151">
      <w:pPr>
        <w:numPr>
          <w:ilvl w:val="0"/>
          <w:numId w:val="5"/>
        </w:numPr>
        <w:spacing w:line="240" w:lineRule="auto"/>
        <w:jc w:val="both"/>
        <w:rPr>
          <w:rFonts w:ascii="Times New Roman" w:hAnsi="Times New Roman" w:cs="Times New Roman"/>
          <w:sz w:val="24"/>
          <w:szCs w:val="24"/>
          <w:lang w:val="en-GB"/>
        </w:rPr>
      </w:pPr>
      <w:r w:rsidRPr="007A5151">
        <w:rPr>
          <w:rFonts w:ascii="Times New Roman" w:hAnsi="Times New Roman" w:cs="Times New Roman"/>
          <w:sz w:val="24"/>
          <w:szCs w:val="24"/>
          <w:lang w:val="en-GB"/>
        </w:rPr>
        <w:t>Determine the weight of the asphalt in air and also the weight in water.</w:t>
      </w:r>
    </w:p>
    <w:p w14:paraId="715948CC" w14:textId="77777777" w:rsidR="007A5151" w:rsidRPr="007A5151" w:rsidRDefault="007A5151" w:rsidP="007A5151">
      <w:pPr>
        <w:numPr>
          <w:ilvl w:val="0"/>
          <w:numId w:val="5"/>
        </w:numPr>
        <w:spacing w:line="240" w:lineRule="auto"/>
        <w:jc w:val="both"/>
        <w:rPr>
          <w:rFonts w:ascii="Times New Roman" w:hAnsi="Times New Roman" w:cs="Times New Roman"/>
          <w:sz w:val="24"/>
          <w:szCs w:val="24"/>
          <w:lang w:val="en-GB"/>
        </w:rPr>
      </w:pPr>
      <w:r w:rsidRPr="007A5151">
        <w:rPr>
          <w:rFonts w:ascii="Times New Roman" w:hAnsi="Times New Roman" w:cs="Times New Roman"/>
          <w:sz w:val="24"/>
          <w:szCs w:val="24"/>
          <w:lang w:val="en-GB"/>
        </w:rPr>
        <w:lastRenderedPageBreak/>
        <w:t>Place the samples in water for 30min at 60</w:t>
      </w:r>
      <w:r w:rsidRPr="007A5151">
        <w:rPr>
          <w:rFonts w:ascii="Times New Roman" w:hAnsi="Times New Roman" w:cs="Times New Roman"/>
          <w:sz w:val="24"/>
          <w:szCs w:val="24"/>
          <w:vertAlign w:val="superscript"/>
          <w:lang w:val="en-GB"/>
        </w:rPr>
        <w:t>0</w:t>
      </w:r>
      <w:r w:rsidRPr="007A5151">
        <w:rPr>
          <w:rFonts w:ascii="Times New Roman" w:hAnsi="Times New Roman" w:cs="Times New Roman"/>
          <w:sz w:val="24"/>
          <w:szCs w:val="24"/>
          <w:lang w:val="en-GB"/>
        </w:rPr>
        <w:t>C</w:t>
      </w:r>
    </w:p>
    <w:p w14:paraId="094ABDE9" w14:textId="77777777" w:rsidR="007A5151" w:rsidRPr="007A5151" w:rsidRDefault="007A5151" w:rsidP="007A5151">
      <w:pPr>
        <w:numPr>
          <w:ilvl w:val="0"/>
          <w:numId w:val="5"/>
        </w:numPr>
        <w:spacing w:line="240" w:lineRule="auto"/>
        <w:jc w:val="both"/>
        <w:rPr>
          <w:rFonts w:ascii="Times New Roman" w:hAnsi="Times New Roman" w:cs="Times New Roman"/>
          <w:sz w:val="24"/>
          <w:szCs w:val="24"/>
          <w:lang w:val="en-GB"/>
        </w:rPr>
      </w:pPr>
      <w:r w:rsidRPr="007A5151">
        <w:rPr>
          <w:rFonts w:ascii="Times New Roman" w:hAnsi="Times New Roman" w:cs="Times New Roman"/>
          <w:sz w:val="24"/>
          <w:szCs w:val="24"/>
          <w:lang w:val="en-GB"/>
        </w:rPr>
        <w:t>Crush the sample in the stability machine and determine the stability and flow.</w:t>
      </w:r>
    </w:p>
    <w:p w14:paraId="13645A9B" w14:textId="77777777" w:rsidR="007A5151" w:rsidRPr="007A5151" w:rsidRDefault="007A5151" w:rsidP="007A5151">
      <w:pPr>
        <w:numPr>
          <w:ilvl w:val="0"/>
          <w:numId w:val="5"/>
        </w:numPr>
        <w:spacing w:line="240" w:lineRule="auto"/>
        <w:jc w:val="both"/>
        <w:rPr>
          <w:rFonts w:ascii="Times New Roman" w:hAnsi="Times New Roman" w:cs="Times New Roman"/>
          <w:sz w:val="24"/>
          <w:szCs w:val="24"/>
          <w:lang w:val="en-GB"/>
        </w:rPr>
      </w:pPr>
      <w:r w:rsidRPr="007A5151">
        <w:rPr>
          <w:rFonts w:ascii="Times New Roman" w:hAnsi="Times New Roman" w:cs="Times New Roman"/>
          <w:sz w:val="24"/>
          <w:szCs w:val="24"/>
          <w:lang w:val="en-GB"/>
        </w:rPr>
        <w:t>Repeat the procedure at increase liquid mix content of (5.5%, 6%, 6.5%, and 7%) respectively.</w:t>
      </w:r>
    </w:p>
    <w:p w14:paraId="0BF4A050" w14:textId="77777777" w:rsidR="007A5151" w:rsidRPr="007A5151" w:rsidRDefault="007A5151" w:rsidP="007A5151">
      <w:pPr>
        <w:numPr>
          <w:ilvl w:val="0"/>
          <w:numId w:val="5"/>
        </w:numPr>
        <w:spacing w:line="240" w:lineRule="auto"/>
        <w:jc w:val="both"/>
        <w:rPr>
          <w:rFonts w:ascii="Times New Roman" w:hAnsi="Times New Roman" w:cs="Times New Roman"/>
          <w:sz w:val="24"/>
          <w:szCs w:val="24"/>
          <w:lang w:val="en-GB"/>
        </w:rPr>
      </w:pPr>
      <w:r w:rsidRPr="007A5151">
        <w:rPr>
          <w:rFonts w:ascii="Times New Roman" w:hAnsi="Times New Roman" w:cs="Times New Roman"/>
          <w:sz w:val="24"/>
          <w:szCs w:val="24"/>
          <w:lang w:val="en-GB"/>
        </w:rPr>
        <w:t>Compute and plot the graph of density, void in bitumen, marshal stability, void in mix, and flow against percentage of bitumen by weight in it.</w:t>
      </w:r>
    </w:p>
    <w:p w14:paraId="42B6D2C9" w14:textId="77777777" w:rsidR="00ED55CC" w:rsidRPr="002325BD" w:rsidRDefault="00ED55CC" w:rsidP="00A465C6">
      <w:pPr>
        <w:spacing w:line="240" w:lineRule="auto"/>
        <w:jc w:val="both"/>
        <w:rPr>
          <w:rFonts w:ascii="Times New Roman" w:hAnsi="Times New Roman" w:cs="Times New Roman"/>
          <w:sz w:val="24"/>
          <w:szCs w:val="24"/>
        </w:rPr>
      </w:pPr>
    </w:p>
    <w:p w14:paraId="7AC14BEC" w14:textId="77777777" w:rsidR="00ED55CC" w:rsidRDefault="00EC2036" w:rsidP="00F93636">
      <w:pPr>
        <w:spacing w:line="240" w:lineRule="auto"/>
        <w:jc w:val="both"/>
        <w:rPr>
          <w:rFonts w:ascii="Times New Roman" w:hAnsi="Times New Roman" w:cs="Times New Roman"/>
          <w:b/>
          <w:sz w:val="24"/>
          <w:szCs w:val="24"/>
        </w:rPr>
      </w:pPr>
      <w:r w:rsidRPr="00EC2036">
        <w:rPr>
          <w:rFonts w:ascii="Times New Roman" w:hAnsi="Times New Roman" w:cs="Times New Roman"/>
          <w:b/>
          <w:sz w:val="24"/>
          <w:szCs w:val="24"/>
        </w:rPr>
        <w:t>RESULTS</w:t>
      </w:r>
    </w:p>
    <w:p w14:paraId="648A93F2" w14:textId="77777777" w:rsidR="00ED55CC" w:rsidRPr="00ED55CC" w:rsidRDefault="00ED55CC" w:rsidP="00ED55CC">
      <w:pPr>
        <w:spacing w:line="240" w:lineRule="auto"/>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 xml:space="preserve">Marshal stability graph sheet   </w:t>
      </w:r>
    </w:p>
    <w:p w14:paraId="335A8474" w14:textId="77777777" w:rsidR="00ED55CC" w:rsidRPr="00ED55CC" w:rsidRDefault="00ED55CC" w:rsidP="00ED55CC">
      <w:pPr>
        <w:spacing w:line="240" w:lineRule="auto"/>
        <w:jc w:val="both"/>
        <w:rPr>
          <w:rFonts w:ascii="Times New Roman" w:hAnsi="Times New Roman" w:cs="Times New Roman"/>
          <w:sz w:val="24"/>
          <w:szCs w:val="24"/>
          <w:lang w:val="en-GB"/>
        </w:rPr>
      </w:pPr>
      <w:r w:rsidRPr="00ED55CC">
        <w:rPr>
          <w:rFonts w:ascii="Times New Roman" w:hAnsi="Times New Roman" w:cs="Times New Roman"/>
          <w:sz w:val="24"/>
          <w:szCs w:val="24"/>
          <w:lang w:val="en-GB"/>
        </w:rPr>
        <w:t>This is a sheet showing the graphical representation of the data obtained in the marshal stability table. From the graphs the following parameters can be obtained; maximum density, maximum stability, void in mix, void filled with bitumen, and optimum bitumen content.</w:t>
      </w:r>
    </w:p>
    <w:p w14:paraId="3298324E" w14:textId="77777777" w:rsidR="00ED55CC" w:rsidRPr="00ED55CC" w:rsidRDefault="00ED55CC" w:rsidP="00ED55CC">
      <w:pPr>
        <w:numPr>
          <w:ilvl w:val="0"/>
          <w:numId w:val="6"/>
        </w:numPr>
        <w:spacing w:line="240" w:lineRule="auto"/>
        <w:jc w:val="both"/>
        <w:rPr>
          <w:rFonts w:ascii="Times New Roman" w:hAnsi="Times New Roman" w:cs="Times New Roman"/>
          <w:sz w:val="24"/>
          <w:szCs w:val="24"/>
          <w:lang w:val="en-GB"/>
        </w:rPr>
      </w:pPr>
      <w:r w:rsidRPr="00ED55CC">
        <w:rPr>
          <w:rFonts w:ascii="Times New Roman" w:hAnsi="Times New Roman" w:cs="Times New Roman"/>
          <w:sz w:val="24"/>
          <w:szCs w:val="24"/>
          <w:lang w:val="en-GB"/>
        </w:rPr>
        <w:t>Bulk density; this is a graph showing the relation between the bulk density and percentage binder content of the samples. The graph shows an increase in weight with increase bitumen content until it reaches the optimum bulk density, then decreases and the maximum densities occurs at 2.17 and 2.115 respectively. The figure further shows that at binder content of 6.10, the one with bitumen has a weight of 2.17, but that with polythene has a weight of 2.115, showing that the one produced with polythene is lighter than that without polythene.</w:t>
      </w:r>
    </w:p>
    <w:p w14:paraId="13CE9DD9" w14:textId="77777777" w:rsidR="00ED55CC" w:rsidRDefault="00ED55CC" w:rsidP="00ED55CC">
      <w:pPr>
        <w:spacing w:line="240" w:lineRule="auto"/>
        <w:jc w:val="both"/>
        <w:rPr>
          <w:rFonts w:ascii="Times New Roman" w:hAnsi="Times New Roman" w:cs="Times New Roman"/>
          <w:sz w:val="24"/>
          <w:szCs w:val="24"/>
          <w:lang w:val="en-GB"/>
        </w:rPr>
      </w:pPr>
      <w:r w:rsidRPr="00ED55CC">
        <w:rPr>
          <w:rFonts w:ascii="Times New Roman" w:hAnsi="Times New Roman" w:cs="Times New Roman"/>
          <w:noProof/>
          <w:sz w:val="24"/>
          <w:szCs w:val="24"/>
        </w:rPr>
        <w:lastRenderedPageBreak/>
        <w:drawing>
          <wp:inline distT="0" distB="0" distL="0" distR="0" wp14:anchorId="2D70EBE7" wp14:editId="784C3F56">
            <wp:extent cx="4526573" cy="3798276"/>
            <wp:effectExtent l="0" t="0" r="762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ED55CC">
        <w:rPr>
          <w:rFonts w:ascii="Times New Roman" w:hAnsi="Times New Roman" w:cs="Times New Roman"/>
          <w:sz w:val="24"/>
          <w:szCs w:val="24"/>
          <w:lang w:val="en-GB"/>
        </w:rPr>
        <w:t xml:space="preserve"> </w:t>
      </w:r>
    </w:p>
    <w:p w14:paraId="788A5A8E" w14:textId="77777777" w:rsidR="0063157F" w:rsidRPr="00ED55CC" w:rsidRDefault="0063157F" w:rsidP="00ED55CC">
      <w:pPr>
        <w:spacing w:line="240" w:lineRule="auto"/>
        <w:jc w:val="both"/>
        <w:rPr>
          <w:rFonts w:ascii="Times New Roman" w:hAnsi="Times New Roman" w:cs="Times New Roman"/>
          <w:sz w:val="24"/>
          <w:szCs w:val="24"/>
          <w:lang w:val="en-GB"/>
        </w:rPr>
      </w:pPr>
    </w:p>
    <w:p w14:paraId="6EC0F9C9" w14:textId="77777777" w:rsidR="00ED55CC" w:rsidRPr="00ED55CC" w:rsidRDefault="00ED55CC" w:rsidP="00ED55CC">
      <w:pPr>
        <w:numPr>
          <w:ilvl w:val="0"/>
          <w:numId w:val="6"/>
        </w:numPr>
        <w:spacing w:line="240" w:lineRule="auto"/>
        <w:jc w:val="both"/>
        <w:rPr>
          <w:rFonts w:ascii="Times New Roman" w:hAnsi="Times New Roman" w:cs="Times New Roman"/>
          <w:sz w:val="24"/>
          <w:szCs w:val="24"/>
          <w:lang w:val="en-GB"/>
        </w:rPr>
      </w:pPr>
      <w:r w:rsidRPr="00ED55CC">
        <w:rPr>
          <w:rFonts w:ascii="Times New Roman" w:hAnsi="Times New Roman" w:cs="Times New Roman"/>
          <w:sz w:val="24"/>
          <w:szCs w:val="24"/>
          <w:lang w:val="en-GB"/>
        </w:rPr>
        <w:t>Void in total mix; this is a graph showing the relationship between the void in total mix and the binder content. This graph shows a decreasing percentage air void with increasing bitumen content till the minimum obtainable void value is reached then shows a slight increase, which means the aggregate can no longer accept bitumen any further, increment will lead to bleeding and shifting of the asphalt. The point where this occurs is at 6.5% binder content for both productions.</w:t>
      </w:r>
    </w:p>
    <w:p w14:paraId="7C3B8C20" w14:textId="77777777" w:rsidR="0063157F" w:rsidRPr="00ED55CC" w:rsidRDefault="00ED55CC" w:rsidP="00ED55CC">
      <w:pPr>
        <w:spacing w:line="240" w:lineRule="auto"/>
        <w:jc w:val="both"/>
        <w:rPr>
          <w:rFonts w:ascii="Times New Roman" w:hAnsi="Times New Roman" w:cs="Times New Roman"/>
          <w:sz w:val="24"/>
          <w:szCs w:val="24"/>
          <w:lang w:val="en-GB"/>
        </w:rPr>
      </w:pPr>
      <w:r w:rsidRPr="00ED55CC">
        <w:rPr>
          <w:rFonts w:ascii="Times New Roman" w:hAnsi="Times New Roman" w:cs="Times New Roman"/>
          <w:noProof/>
          <w:sz w:val="24"/>
          <w:szCs w:val="24"/>
        </w:rPr>
        <w:drawing>
          <wp:anchor distT="0" distB="0" distL="114300" distR="114300" simplePos="0" relativeHeight="251658240" behindDoc="0" locked="0" layoutInCell="1" allowOverlap="1" wp14:anchorId="6730EDCC" wp14:editId="122C1C33">
            <wp:simplePos x="0" y="0"/>
            <wp:positionH relativeFrom="column">
              <wp:align>left</wp:align>
            </wp:positionH>
            <wp:positionV relativeFrom="paragraph">
              <wp:align>top</wp:align>
            </wp:positionV>
            <wp:extent cx="4550410" cy="3019425"/>
            <wp:effectExtent l="0" t="0" r="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DE3921">
        <w:rPr>
          <w:rFonts w:ascii="Times New Roman" w:hAnsi="Times New Roman" w:cs="Times New Roman"/>
          <w:sz w:val="24"/>
          <w:szCs w:val="24"/>
          <w:lang w:val="en-GB"/>
        </w:rPr>
        <w:br w:type="textWrapping" w:clear="all"/>
      </w:r>
    </w:p>
    <w:p w14:paraId="137BAE6D" w14:textId="77777777" w:rsidR="00ED55CC" w:rsidRPr="00ED55CC" w:rsidRDefault="00ED55CC" w:rsidP="00ED55CC">
      <w:pPr>
        <w:numPr>
          <w:ilvl w:val="0"/>
          <w:numId w:val="6"/>
        </w:numPr>
        <w:spacing w:line="240" w:lineRule="auto"/>
        <w:jc w:val="both"/>
        <w:rPr>
          <w:rFonts w:ascii="Times New Roman" w:hAnsi="Times New Roman" w:cs="Times New Roman"/>
          <w:sz w:val="24"/>
          <w:szCs w:val="24"/>
          <w:lang w:val="en-GB"/>
        </w:rPr>
      </w:pPr>
      <w:r w:rsidRPr="00ED55CC">
        <w:rPr>
          <w:rFonts w:ascii="Times New Roman" w:hAnsi="Times New Roman" w:cs="Times New Roman"/>
          <w:sz w:val="24"/>
          <w:szCs w:val="24"/>
          <w:lang w:val="en-GB"/>
        </w:rPr>
        <w:t>Void in mix aggregate; this is a graph showing the relation between the void in mix aggregate and the bitumen composition of the samples. This graph on the other hand shows an increase as the bitumen content increases, which means the more you increase the bitumen, the lesser the void in the aggregate.</w:t>
      </w:r>
    </w:p>
    <w:p w14:paraId="0ADF3663" w14:textId="77777777" w:rsidR="00DE3921" w:rsidRPr="00ED55CC" w:rsidRDefault="00ED55CC" w:rsidP="00ED55CC">
      <w:pPr>
        <w:spacing w:line="240" w:lineRule="auto"/>
        <w:jc w:val="both"/>
        <w:rPr>
          <w:rFonts w:ascii="Times New Roman" w:hAnsi="Times New Roman" w:cs="Times New Roman"/>
          <w:sz w:val="24"/>
          <w:szCs w:val="24"/>
          <w:lang w:val="en-GB"/>
        </w:rPr>
      </w:pPr>
      <w:r w:rsidRPr="00ED55CC">
        <w:rPr>
          <w:rFonts w:ascii="Times New Roman" w:hAnsi="Times New Roman" w:cs="Times New Roman"/>
          <w:noProof/>
          <w:sz w:val="24"/>
          <w:szCs w:val="24"/>
        </w:rPr>
        <w:drawing>
          <wp:inline distT="0" distB="0" distL="0" distR="0" wp14:anchorId="627C8F59" wp14:editId="7AB40F94">
            <wp:extent cx="4593265" cy="2615609"/>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361C94" w14:textId="77777777" w:rsidR="00ED55CC" w:rsidRPr="00ED55CC" w:rsidRDefault="00ED55CC" w:rsidP="00ED55CC">
      <w:pPr>
        <w:numPr>
          <w:ilvl w:val="0"/>
          <w:numId w:val="6"/>
        </w:numPr>
        <w:spacing w:line="240" w:lineRule="auto"/>
        <w:jc w:val="both"/>
        <w:rPr>
          <w:rFonts w:ascii="Times New Roman" w:hAnsi="Times New Roman" w:cs="Times New Roman"/>
          <w:sz w:val="24"/>
          <w:szCs w:val="24"/>
          <w:lang w:val="en-GB"/>
        </w:rPr>
      </w:pPr>
      <w:r w:rsidRPr="00ED55CC">
        <w:rPr>
          <w:rFonts w:ascii="Times New Roman" w:hAnsi="Times New Roman" w:cs="Times New Roman"/>
          <w:sz w:val="24"/>
          <w:szCs w:val="24"/>
          <w:lang w:val="en-GB"/>
        </w:rPr>
        <w:t>Void filled with bitumen; this graph shows the relation between the percentages of the total mixture filled with bitumen at relative bitumen content. The graph shows a curve of steady increase as the bitumen content increases. The more you increase the bitumen, the higher the void filled with bitumen.</w:t>
      </w:r>
    </w:p>
    <w:p w14:paraId="26F31E7A" w14:textId="77777777" w:rsidR="00ED55CC" w:rsidRPr="00ED55CC" w:rsidRDefault="00ED55CC" w:rsidP="00ED55CC">
      <w:pPr>
        <w:spacing w:line="240" w:lineRule="auto"/>
        <w:jc w:val="both"/>
        <w:rPr>
          <w:rFonts w:ascii="Times New Roman" w:hAnsi="Times New Roman" w:cs="Times New Roman"/>
          <w:sz w:val="24"/>
          <w:szCs w:val="24"/>
          <w:lang w:val="en-GB"/>
        </w:rPr>
      </w:pPr>
      <w:r w:rsidRPr="00ED55CC">
        <w:rPr>
          <w:rFonts w:ascii="Times New Roman" w:hAnsi="Times New Roman" w:cs="Times New Roman"/>
          <w:noProof/>
          <w:sz w:val="24"/>
          <w:szCs w:val="24"/>
        </w:rPr>
        <w:drawing>
          <wp:inline distT="0" distB="0" distL="0" distR="0" wp14:anchorId="2093104D" wp14:editId="3FCE2928">
            <wp:extent cx="4540102" cy="2977116"/>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E4F773" w14:textId="77777777" w:rsidR="00ED55CC" w:rsidRPr="00ED55CC" w:rsidRDefault="00ED55CC" w:rsidP="00ED55CC">
      <w:pPr>
        <w:spacing w:line="240" w:lineRule="auto"/>
        <w:jc w:val="both"/>
        <w:rPr>
          <w:rFonts w:ascii="Times New Roman" w:hAnsi="Times New Roman" w:cs="Times New Roman"/>
          <w:sz w:val="24"/>
          <w:szCs w:val="24"/>
          <w:lang w:val="en-GB"/>
        </w:rPr>
      </w:pPr>
    </w:p>
    <w:p w14:paraId="05F5DB69" w14:textId="77777777" w:rsidR="00ED55CC" w:rsidRPr="00ED55CC" w:rsidRDefault="00ED55CC" w:rsidP="00ED55CC">
      <w:pPr>
        <w:numPr>
          <w:ilvl w:val="0"/>
          <w:numId w:val="6"/>
        </w:numPr>
        <w:spacing w:line="240" w:lineRule="auto"/>
        <w:jc w:val="both"/>
        <w:rPr>
          <w:rFonts w:ascii="Times New Roman" w:hAnsi="Times New Roman" w:cs="Times New Roman"/>
          <w:sz w:val="24"/>
          <w:szCs w:val="24"/>
          <w:lang w:val="en-GB"/>
        </w:rPr>
      </w:pPr>
      <w:r w:rsidRPr="00ED55CC">
        <w:rPr>
          <w:rFonts w:ascii="Times New Roman" w:hAnsi="Times New Roman" w:cs="Times New Roman"/>
          <w:sz w:val="24"/>
          <w:szCs w:val="24"/>
          <w:lang w:val="en-GB"/>
        </w:rPr>
        <w:lastRenderedPageBreak/>
        <w:t>Stability; this is a graph showing the relation between the corrected stability and the bitumen content of the sample. This graph shows an increase in stability as the bitumen content increases, reaches its peak and then decreases. The figure also shows that at binder content of 6.0%, the one with polythene has a higher stability of 740kg than that with bitumen with a stability of 725kg</w:t>
      </w:r>
    </w:p>
    <w:p w14:paraId="43EEFC73" w14:textId="77777777" w:rsidR="00ED55CC" w:rsidRPr="00ED55CC" w:rsidRDefault="00ED55CC" w:rsidP="00ED55CC">
      <w:pPr>
        <w:spacing w:line="240" w:lineRule="auto"/>
        <w:jc w:val="both"/>
        <w:rPr>
          <w:rFonts w:ascii="Times New Roman" w:hAnsi="Times New Roman" w:cs="Times New Roman"/>
          <w:sz w:val="24"/>
          <w:szCs w:val="24"/>
          <w:lang w:val="en-GB"/>
        </w:rPr>
      </w:pPr>
      <w:r w:rsidRPr="00ED55CC">
        <w:rPr>
          <w:rFonts w:ascii="Times New Roman" w:hAnsi="Times New Roman" w:cs="Times New Roman"/>
          <w:noProof/>
          <w:sz w:val="24"/>
          <w:szCs w:val="24"/>
        </w:rPr>
        <w:drawing>
          <wp:inline distT="0" distB="0" distL="0" distR="0" wp14:anchorId="2D6BA7F2" wp14:editId="7E4B5636">
            <wp:extent cx="4593265" cy="2806995"/>
            <wp:effectExtent l="0" t="0" r="0" b="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2578F2F" w14:textId="77777777" w:rsidR="00ED55CC" w:rsidRPr="00ED55CC" w:rsidRDefault="00ED55CC" w:rsidP="00ED55CC">
      <w:pPr>
        <w:spacing w:line="240" w:lineRule="auto"/>
        <w:jc w:val="both"/>
        <w:rPr>
          <w:rFonts w:ascii="Times New Roman" w:hAnsi="Times New Roman" w:cs="Times New Roman"/>
          <w:sz w:val="24"/>
          <w:szCs w:val="24"/>
          <w:lang w:val="en-GB"/>
        </w:rPr>
      </w:pPr>
    </w:p>
    <w:p w14:paraId="341CDBE3" w14:textId="77777777" w:rsidR="00ED55CC" w:rsidRPr="00ED55CC" w:rsidRDefault="00ED55CC" w:rsidP="00ED55CC">
      <w:pPr>
        <w:numPr>
          <w:ilvl w:val="0"/>
          <w:numId w:val="6"/>
        </w:numPr>
        <w:spacing w:line="240" w:lineRule="auto"/>
        <w:jc w:val="both"/>
        <w:rPr>
          <w:rFonts w:ascii="Times New Roman" w:hAnsi="Times New Roman" w:cs="Times New Roman"/>
          <w:sz w:val="24"/>
          <w:szCs w:val="24"/>
          <w:lang w:val="en-GB"/>
        </w:rPr>
      </w:pPr>
      <w:r w:rsidRPr="00ED55CC">
        <w:rPr>
          <w:rFonts w:ascii="Times New Roman" w:hAnsi="Times New Roman" w:cs="Times New Roman"/>
          <w:sz w:val="24"/>
          <w:szCs w:val="24"/>
          <w:lang w:val="en-GB"/>
        </w:rPr>
        <w:t>Flow; this is the measure of the deformation of the sample. The graph shows the relation between the flow of the sample and the bitumen composition. It determines the bitumen content that correspond with the required air void.</w:t>
      </w:r>
    </w:p>
    <w:p w14:paraId="522C56D3" w14:textId="77777777" w:rsidR="00ED55CC" w:rsidRPr="00ED55CC" w:rsidRDefault="00ED55CC" w:rsidP="00ED55CC">
      <w:pPr>
        <w:spacing w:line="240" w:lineRule="auto"/>
        <w:jc w:val="both"/>
        <w:rPr>
          <w:rFonts w:ascii="Times New Roman" w:hAnsi="Times New Roman" w:cs="Times New Roman"/>
          <w:sz w:val="24"/>
          <w:szCs w:val="24"/>
          <w:lang w:val="en-GB"/>
        </w:rPr>
      </w:pPr>
      <w:r w:rsidRPr="00ED55CC">
        <w:rPr>
          <w:rFonts w:ascii="Times New Roman" w:hAnsi="Times New Roman" w:cs="Times New Roman"/>
          <w:noProof/>
          <w:sz w:val="24"/>
          <w:szCs w:val="24"/>
        </w:rPr>
        <w:drawing>
          <wp:inline distT="0" distB="0" distL="0" distR="0" wp14:anchorId="603D2640" wp14:editId="7F44A06C">
            <wp:extent cx="4572000" cy="2615610"/>
            <wp:effectExtent l="0" t="0" r="0" b="0"/>
            <wp:docPr id="1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0BC1CF" w14:textId="77777777" w:rsidR="00ED55CC" w:rsidRPr="00ED55CC" w:rsidRDefault="00ED55CC" w:rsidP="00ED55CC">
      <w:pPr>
        <w:spacing w:line="240" w:lineRule="auto"/>
        <w:jc w:val="both"/>
        <w:rPr>
          <w:rFonts w:ascii="Times New Roman" w:hAnsi="Times New Roman" w:cs="Times New Roman"/>
          <w:sz w:val="24"/>
          <w:szCs w:val="24"/>
          <w:lang w:val="en-GB"/>
        </w:rPr>
      </w:pPr>
    </w:p>
    <w:p w14:paraId="0016DDEC" w14:textId="77777777" w:rsidR="00ED55CC" w:rsidRPr="00ED55CC" w:rsidRDefault="005D23CE" w:rsidP="00ED55CC">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VII.</w:t>
      </w:r>
      <w:r w:rsidR="00ED55CC" w:rsidRPr="00ED55CC">
        <w:rPr>
          <w:rFonts w:ascii="Times New Roman" w:hAnsi="Times New Roman" w:cs="Times New Roman"/>
          <w:sz w:val="24"/>
          <w:szCs w:val="24"/>
          <w:lang w:val="en-GB"/>
        </w:rPr>
        <w:t xml:space="preserve">   Sieve analysis</w:t>
      </w:r>
    </w:p>
    <w:p w14:paraId="084C514C" w14:textId="3DFB4B5B" w:rsidR="00ED55CC" w:rsidRPr="00ED55CC" w:rsidRDefault="00ED55CC" w:rsidP="00ED55CC">
      <w:pPr>
        <w:spacing w:line="240" w:lineRule="auto"/>
        <w:jc w:val="both"/>
        <w:rPr>
          <w:rFonts w:ascii="Times New Roman" w:hAnsi="Times New Roman" w:cs="Times New Roman"/>
          <w:sz w:val="24"/>
          <w:szCs w:val="24"/>
          <w:lang w:val="en-GB"/>
        </w:rPr>
      </w:pPr>
      <w:r w:rsidRPr="00ED55CC">
        <w:rPr>
          <w:rFonts w:ascii="Times New Roman" w:hAnsi="Times New Roman" w:cs="Times New Roman"/>
          <w:sz w:val="24"/>
          <w:szCs w:val="24"/>
          <w:lang w:val="en-GB"/>
        </w:rPr>
        <w:lastRenderedPageBreak/>
        <w:t xml:space="preserve">This is a graph showing the relation between </w:t>
      </w:r>
      <w:r w:rsidR="0004071A" w:rsidRPr="00ED55CC">
        <w:rPr>
          <w:rFonts w:ascii="Times New Roman" w:hAnsi="Times New Roman" w:cs="Times New Roman"/>
          <w:sz w:val="24"/>
          <w:szCs w:val="24"/>
          <w:lang w:val="en-GB"/>
        </w:rPr>
        <w:t>percentages</w:t>
      </w:r>
      <w:r w:rsidRPr="00ED55CC">
        <w:rPr>
          <w:rFonts w:ascii="Times New Roman" w:hAnsi="Times New Roman" w:cs="Times New Roman"/>
          <w:sz w:val="24"/>
          <w:szCs w:val="24"/>
          <w:lang w:val="en-GB"/>
        </w:rPr>
        <w:t xml:space="preserve"> passing against sieve sizes. From the result obtained in the laboratory (see table </w:t>
      </w:r>
      <w:r w:rsidR="002F4BDA">
        <w:rPr>
          <w:rFonts w:ascii="Times New Roman" w:hAnsi="Times New Roman" w:cs="Times New Roman"/>
          <w:sz w:val="24"/>
          <w:szCs w:val="24"/>
          <w:lang w:val="en-GB"/>
        </w:rPr>
        <w:t>2</w:t>
      </w:r>
      <w:r w:rsidRPr="00ED55CC">
        <w:rPr>
          <w:rFonts w:ascii="Times New Roman" w:hAnsi="Times New Roman" w:cs="Times New Roman"/>
          <w:sz w:val="24"/>
          <w:szCs w:val="24"/>
          <w:lang w:val="en-GB"/>
        </w:rPr>
        <w:t xml:space="preserve">), the graph falls between the gradation specification. The specification will ensure that the percentage retained by weight on particular sieve sizes falls between a certain range. </w:t>
      </w:r>
    </w:p>
    <w:p w14:paraId="72D78AAD" w14:textId="77777777" w:rsidR="00ED55CC" w:rsidRPr="00ED55CC" w:rsidRDefault="00ED55CC" w:rsidP="00ED55CC">
      <w:pPr>
        <w:spacing w:line="240" w:lineRule="auto"/>
        <w:jc w:val="both"/>
        <w:rPr>
          <w:rFonts w:ascii="Times New Roman" w:hAnsi="Times New Roman" w:cs="Times New Roman"/>
          <w:sz w:val="24"/>
          <w:szCs w:val="24"/>
          <w:lang w:val="en-GB"/>
        </w:rPr>
      </w:pPr>
      <w:r w:rsidRPr="00ED55CC">
        <w:rPr>
          <w:rFonts w:ascii="Times New Roman" w:hAnsi="Times New Roman" w:cs="Times New Roman"/>
          <w:noProof/>
          <w:sz w:val="24"/>
          <w:szCs w:val="24"/>
        </w:rPr>
        <w:drawing>
          <wp:inline distT="0" distB="0" distL="0" distR="0" wp14:anchorId="202BE377" wp14:editId="4EC21908">
            <wp:extent cx="4572000" cy="2647507"/>
            <wp:effectExtent l="0" t="0" r="0" b="635"/>
            <wp:docPr id="39"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F013F0" w14:textId="32B7F3D7" w:rsidR="00ED55CC" w:rsidRPr="0063157F" w:rsidRDefault="00ED55CC" w:rsidP="0063157F">
      <w:pPr>
        <w:spacing w:line="240" w:lineRule="auto"/>
        <w:rPr>
          <w:rFonts w:ascii="Times New Roman" w:hAnsi="Times New Roman" w:cs="Times New Roman"/>
          <w:b/>
          <w:sz w:val="24"/>
          <w:szCs w:val="24"/>
          <w:lang w:val="en-GB"/>
        </w:rPr>
      </w:pPr>
      <w:r w:rsidRPr="0063157F">
        <w:rPr>
          <w:rFonts w:ascii="Times New Roman" w:hAnsi="Times New Roman" w:cs="Times New Roman"/>
          <w:b/>
          <w:sz w:val="24"/>
          <w:szCs w:val="24"/>
          <w:lang w:val="en-GB"/>
        </w:rPr>
        <w:t xml:space="preserve">Fig </w:t>
      </w:r>
      <w:r w:rsidR="00CA0970">
        <w:rPr>
          <w:rFonts w:ascii="Times New Roman" w:hAnsi="Times New Roman" w:cs="Times New Roman"/>
          <w:b/>
          <w:sz w:val="24"/>
          <w:szCs w:val="24"/>
          <w:lang w:val="en-GB"/>
        </w:rPr>
        <w:t>7</w:t>
      </w:r>
      <w:r w:rsidRPr="0063157F">
        <w:rPr>
          <w:rFonts w:ascii="Times New Roman" w:hAnsi="Times New Roman" w:cs="Times New Roman"/>
          <w:b/>
          <w:sz w:val="24"/>
          <w:szCs w:val="24"/>
          <w:lang w:val="en-GB"/>
        </w:rPr>
        <w:t xml:space="preserve"> Graph of sieve analysis</w:t>
      </w:r>
    </w:p>
    <w:p w14:paraId="0239C704" w14:textId="533A1232" w:rsidR="00ED55CC" w:rsidRPr="0063157F" w:rsidRDefault="00720A6F" w:rsidP="00ED55CC">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Table 2. </w:t>
      </w:r>
      <w:r w:rsidR="00C23BDE">
        <w:rPr>
          <w:rFonts w:ascii="Times New Roman" w:hAnsi="Times New Roman" w:cs="Times New Roman"/>
          <w:b/>
          <w:sz w:val="24"/>
          <w:szCs w:val="24"/>
          <w:lang w:val="en-GB"/>
        </w:rPr>
        <w:t>Summary of the</w:t>
      </w:r>
      <w:r w:rsidR="00CA0970" w:rsidRPr="00CA0970">
        <w:rPr>
          <w:rFonts w:ascii="Times New Roman" w:hAnsi="Times New Roman" w:cs="Times New Roman"/>
          <w:b/>
          <w:sz w:val="24"/>
          <w:szCs w:val="24"/>
          <w:lang w:val="en-GB"/>
        </w:rPr>
        <w:t xml:space="preserve"> result</w:t>
      </w:r>
    </w:p>
    <w:tbl>
      <w:tblPr>
        <w:tblStyle w:val="TableGrid"/>
        <w:tblW w:w="9828" w:type="dxa"/>
        <w:tblLook w:val="04A0" w:firstRow="1" w:lastRow="0" w:firstColumn="1" w:lastColumn="0" w:noHBand="0" w:noVBand="1"/>
      </w:tblPr>
      <w:tblGrid>
        <w:gridCol w:w="2021"/>
        <w:gridCol w:w="1906"/>
        <w:gridCol w:w="2021"/>
        <w:gridCol w:w="1906"/>
        <w:gridCol w:w="1974"/>
      </w:tblGrid>
      <w:tr w:rsidR="00B52AD4" w:rsidRPr="00ED55CC" w14:paraId="0E770B4C" w14:textId="7AE193CE" w:rsidTr="00D448BD">
        <w:trPr>
          <w:trHeight w:val="510"/>
        </w:trPr>
        <w:tc>
          <w:tcPr>
            <w:tcW w:w="3927" w:type="dxa"/>
            <w:gridSpan w:val="2"/>
          </w:tcPr>
          <w:p w14:paraId="7D949C59" w14:textId="77777777" w:rsidR="00B52AD4" w:rsidRPr="00ED55CC" w:rsidRDefault="00B52AD4"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Production without polythene</w:t>
            </w:r>
          </w:p>
        </w:tc>
        <w:tc>
          <w:tcPr>
            <w:tcW w:w="3927" w:type="dxa"/>
            <w:gridSpan w:val="2"/>
          </w:tcPr>
          <w:p w14:paraId="493EEF81" w14:textId="77777777" w:rsidR="00B52AD4" w:rsidRPr="00ED55CC" w:rsidRDefault="00B52AD4"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Production with polythene</w:t>
            </w:r>
          </w:p>
        </w:tc>
        <w:tc>
          <w:tcPr>
            <w:tcW w:w="1974" w:type="dxa"/>
          </w:tcPr>
          <w:p w14:paraId="3AF0424B" w14:textId="085E47B0" w:rsidR="00B52AD4" w:rsidRPr="00ED55CC" w:rsidRDefault="00B52AD4" w:rsidP="00ED55CC">
            <w:pPr>
              <w:jc w:val="both"/>
              <w:rPr>
                <w:rFonts w:ascii="Times New Roman" w:hAnsi="Times New Roman" w:cs="Times New Roman"/>
                <w:b/>
                <w:sz w:val="24"/>
                <w:szCs w:val="24"/>
                <w:lang w:val="en-GB"/>
              </w:rPr>
            </w:pPr>
            <w:r>
              <w:rPr>
                <w:rFonts w:ascii="Times New Roman" w:hAnsi="Times New Roman" w:cs="Times New Roman"/>
                <w:b/>
                <w:sz w:val="24"/>
                <w:szCs w:val="24"/>
                <w:lang w:val="en-GB"/>
              </w:rPr>
              <w:t>Specification</w:t>
            </w:r>
          </w:p>
        </w:tc>
      </w:tr>
      <w:tr w:rsidR="00B52AD4" w:rsidRPr="00ED55CC" w14:paraId="36422CAC" w14:textId="2E2C05D9" w:rsidTr="00D448BD">
        <w:trPr>
          <w:trHeight w:val="510"/>
        </w:trPr>
        <w:tc>
          <w:tcPr>
            <w:tcW w:w="2021" w:type="dxa"/>
          </w:tcPr>
          <w:p w14:paraId="07F91783" w14:textId="344187A0" w:rsidR="00B52AD4" w:rsidRPr="00ED55CC" w:rsidRDefault="00B52AD4"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 xml:space="preserve">Optimum bitumen </w:t>
            </w:r>
            <w:r w:rsidR="0054388E" w:rsidRPr="00ED55CC">
              <w:rPr>
                <w:rFonts w:ascii="Times New Roman" w:hAnsi="Times New Roman" w:cs="Times New Roman"/>
                <w:b/>
                <w:sz w:val="24"/>
                <w:szCs w:val="24"/>
                <w:lang w:val="en-GB"/>
              </w:rPr>
              <w:t>content</w:t>
            </w:r>
            <w:r w:rsidR="0054388E">
              <w:rPr>
                <w:rFonts w:ascii="Times New Roman" w:hAnsi="Times New Roman" w:cs="Times New Roman"/>
                <w:b/>
                <w:sz w:val="24"/>
                <w:szCs w:val="24"/>
                <w:lang w:val="en-GB"/>
              </w:rPr>
              <w:t xml:space="preserve"> (</w:t>
            </w:r>
            <w:r w:rsidR="005C5382">
              <w:rPr>
                <w:rFonts w:ascii="Times New Roman" w:hAnsi="Times New Roman" w:cs="Times New Roman"/>
                <w:b/>
                <w:sz w:val="24"/>
                <w:szCs w:val="24"/>
                <w:lang w:val="en-GB"/>
              </w:rPr>
              <w:t>%)</w:t>
            </w:r>
          </w:p>
        </w:tc>
        <w:tc>
          <w:tcPr>
            <w:tcW w:w="1906" w:type="dxa"/>
          </w:tcPr>
          <w:p w14:paraId="7A07B934" w14:textId="29874A55" w:rsidR="00B52AD4" w:rsidRPr="00ED55CC" w:rsidRDefault="005C5382" w:rsidP="00ED55CC">
            <w:pPr>
              <w:spacing w:after="200"/>
              <w:jc w:val="both"/>
              <w:rPr>
                <w:rFonts w:ascii="Times New Roman" w:hAnsi="Times New Roman" w:cs="Times New Roman"/>
                <w:b/>
                <w:sz w:val="24"/>
                <w:szCs w:val="24"/>
                <w:lang w:val="en-GB"/>
              </w:rPr>
            </w:pPr>
            <w:r>
              <w:rPr>
                <w:rFonts w:ascii="Times New Roman" w:hAnsi="Times New Roman" w:cs="Times New Roman"/>
                <w:b/>
                <w:sz w:val="24"/>
                <w:szCs w:val="24"/>
                <w:lang w:val="en-GB"/>
              </w:rPr>
              <w:t>6.0</w:t>
            </w:r>
          </w:p>
        </w:tc>
        <w:tc>
          <w:tcPr>
            <w:tcW w:w="2021" w:type="dxa"/>
          </w:tcPr>
          <w:p w14:paraId="1558FE13" w14:textId="77777777" w:rsidR="00B52AD4" w:rsidRPr="00ED55CC" w:rsidRDefault="00B52AD4"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Optimum binder content</w:t>
            </w:r>
          </w:p>
        </w:tc>
        <w:tc>
          <w:tcPr>
            <w:tcW w:w="1906" w:type="dxa"/>
          </w:tcPr>
          <w:p w14:paraId="1217CDE3" w14:textId="6D885695" w:rsidR="00B52AD4" w:rsidRPr="00ED55CC" w:rsidRDefault="005C5382" w:rsidP="00ED55CC">
            <w:pPr>
              <w:spacing w:after="200"/>
              <w:jc w:val="both"/>
              <w:rPr>
                <w:rFonts w:ascii="Times New Roman" w:hAnsi="Times New Roman" w:cs="Times New Roman"/>
                <w:b/>
                <w:sz w:val="24"/>
                <w:szCs w:val="24"/>
                <w:lang w:val="en-GB"/>
              </w:rPr>
            </w:pPr>
            <w:r>
              <w:rPr>
                <w:rFonts w:ascii="Times New Roman" w:hAnsi="Times New Roman" w:cs="Times New Roman"/>
                <w:b/>
                <w:sz w:val="24"/>
                <w:szCs w:val="24"/>
                <w:lang w:val="en-GB"/>
              </w:rPr>
              <w:t>6.0</w:t>
            </w:r>
          </w:p>
        </w:tc>
        <w:tc>
          <w:tcPr>
            <w:tcW w:w="1974" w:type="dxa"/>
          </w:tcPr>
          <w:p w14:paraId="69E91E10" w14:textId="10E9A05C" w:rsidR="00B52AD4" w:rsidRPr="00ED55CC" w:rsidRDefault="00186C18" w:rsidP="00D448BD">
            <w:pPr>
              <w:rPr>
                <w:rFonts w:ascii="Times New Roman" w:hAnsi="Times New Roman" w:cs="Times New Roman"/>
                <w:b/>
                <w:sz w:val="24"/>
                <w:szCs w:val="24"/>
                <w:lang w:val="en-GB"/>
              </w:rPr>
            </w:pPr>
            <w:r>
              <w:rPr>
                <w:rFonts w:ascii="Times New Roman" w:hAnsi="Times New Roman" w:cs="Times New Roman"/>
                <w:b/>
                <w:sz w:val="24"/>
                <w:szCs w:val="24"/>
                <w:lang w:val="en-GB"/>
              </w:rPr>
              <w:t>6</w:t>
            </w:r>
            <w:r w:rsidR="00D448BD">
              <w:rPr>
                <w:rFonts w:ascii="Times New Roman" w:hAnsi="Times New Roman" w:cs="Times New Roman"/>
                <w:b/>
                <w:sz w:val="24"/>
                <w:szCs w:val="24"/>
                <w:lang w:val="en-GB"/>
              </w:rPr>
              <w:t xml:space="preserve"> </w:t>
            </w:r>
            <w:r w:rsidR="00E04F68">
              <w:rPr>
                <w:rFonts w:ascii="Times New Roman" w:hAnsi="Times New Roman" w:cs="Times New Roman"/>
                <w:b/>
                <w:sz w:val="24"/>
                <w:szCs w:val="24"/>
                <w:lang w:val="en-GB"/>
              </w:rPr>
              <w:t>–</w:t>
            </w:r>
            <w:r w:rsidR="005C5382">
              <w:rPr>
                <w:rFonts w:ascii="Times New Roman" w:hAnsi="Times New Roman" w:cs="Times New Roman"/>
                <w:b/>
                <w:sz w:val="24"/>
                <w:szCs w:val="24"/>
                <w:lang w:val="en-GB"/>
              </w:rPr>
              <w:t xml:space="preserve"> 7</w:t>
            </w:r>
          </w:p>
        </w:tc>
      </w:tr>
      <w:tr w:rsidR="00B52AD4" w:rsidRPr="00ED55CC" w14:paraId="0AA03A54" w14:textId="2F33298D" w:rsidTr="00D448BD">
        <w:trPr>
          <w:trHeight w:val="510"/>
        </w:trPr>
        <w:tc>
          <w:tcPr>
            <w:tcW w:w="2021" w:type="dxa"/>
          </w:tcPr>
          <w:p w14:paraId="23B88699" w14:textId="1736B4AC" w:rsidR="00B52AD4" w:rsidRPr="005C5382" w:rsidRDefault="00B52AD4"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Optimum bulk density</w:t>
            </w:r>
            <w:r w:rsidR="005C5382">
              <w:rPr>
                <w:rFonts w:ascii="Times New Roman" w:hAnsi="Times New Roman" w:cs="Times New Roman"/>
                <w:b/>
                <w:sz w:val="24"/>
                <w:szCs w:val="24"/>
                <w:lang w:val="en-GB"/>
              </w:rPr>
              <w:t>(g/cm</w:t>
            </w:r>
            <w:r w:rsidR="005C5382">
              <w:rPr>
                <w:rFonts w:ascii="Times New Roman" w:hAnsi="Times New Roman" w:cs="Times New Roman"/>
                <w:b/>
                <w:sz w:val="24"/>
                <w:szCs w:val="24"/>
                <w:vertAlign w:val="superscript"/>
                <w:lang w:val="en-GB"/>
              </w:rPr>
              <w:t>3</w:t>
            </w:r>
            <w:r w:rsidR="005C5382">
              <w:rPr>
                <w:rFonts w:ascii="Times New Roman" w:hAnsi="Times New Roman" w:cs="Times New Roman"/>
                <w:b/>
                <w:sz w:val="24"/>
                <w:szCs w:val="24"/>
                <w:lang w:val="en-GB"/>
              </w:rPr>
              <w:t>)</w:t>
            </w:r>
          </w:p>
        </w:tc>
        <w:tc>
          <w:tcPr>
            <w:tcW w:w="1906" w:type="dxa"/>
          </w:tcPr>
          <w:p w14:paraId="79105353" w14:textId="0AC6E15B" w:rsidR="00B52AD4" w:rsidRPr="00C23BDE" w:rsidRDefault="00B52AD4" w:rsidP="005C5382">
            <w:pPr>
              <w:spacing w:after="200"/>
              <w:jc w:val="both"/>
              <w:rPr>
                <w:rFonts w:ascii="Times New Roman" w:hAnsi="Times New Roman" w:cs="Times New Roman"/>
                <w:b/>
                <w:sz w:val="24"/>
                <w:szCs w:val="24"/>
                <w:vertAlign w:val="superscript"/>
                <w:lang w:val="en-GB"/>
              </w:rPr>
            </w:pPr>
            <w:r w:rsidRPr="00ED55CC">
              <w:rPr>
                <w:rFonts w:ascii="Times New Roman" w:hAnsi="Times New Roman" w:cs="Times New Roman"/>
                <w:b/>
                <w:sz w:val="24"/>
                <w:szCs w:val="24"/>
                <w:lang w:val="en-GB"/>
              </w:rPr>
              <w:t>2.17</w:t>
            </w:r>
          </w:p>
        </w:tc>
        <w:tc>
          <w:tcPr>
            <w:tcW w:w="2021" w:type="dxa"/>
          </w:tcPr>
          <w:p w14:paraId="02599CC1" w14:textId="77777777" w:rsidR="00B52AD4" w:rsidRPr="00ED55CC" w:rsidRDefault="00B52AD4"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Optimum bulk density</w:t>
            </w:r>
          </w:p>
        </w:tc>
        <w:tc>
          <w:tcPr>
            <w:tcW w:w="1906" w:type="dxa"/>
          </w:tcPr>
          <w:p w14:paraId="42DF467E" w14:textId="59DCF431" w:rsidR="00B52AD4" w:rsidRPr="00C23BDE" w:rsidRDefault="00B52AD4" w:rsidP="00ED55CC">
            <w:pPr>
              <w:spacing w:after="200"/>
              <w:jc w:val="both"/>
              <w:rPr>
                <w:rFonts w:ascii="Times New Roman" w:hAnsi="Times New Roman" w:cs="Times New Roman"/>
                <w:b/>
                <w:sz w:val="24"/>
                <w:szCs w:val="24"/>
                <w:vertAlign w:val="superscript"/>
                <w:lang w:val="en-GB"/>
              </w:rPr>
            </w:pPr>
            <w:r w:rsidRPr="00ED55CC">
              <w:rPr>
                <w:rFonts w:ascii="Times New Roman" w:hAnsi="Times New Roman" w:cs="Times New Roman"/>
                <w:b/>
                <w:sz w:val="24"/>
                <w:szCs w:val="24"/>
                <w:lang w:val="en-GB"/>
              </w:rPr>
              <w:t>2.115</w:t>
            </w:r>
          </w:p>
        </w:tc>
        <w:tc>
          <w:tcPr>
            <w:tcW w:w="1974" w:type="dxa"/>
          </w:tcPr>
          <w:p w14:paraId="58CDC29D" w14:textId="01553B74" w:rsidR="00B52AD4" w:rsidRPr="00C23BDE" w:rsidRDefault="00C23BDE" w:rsidP="00ED55CC">
            <w:pPr>
              <w:jc w:val="both"/>
              <w:rPr>
                <w:rFonts w:ascii="Times New Roman" w:hAnsi="Times New Roman" w:cs="Times New Roman"/>
                <w:b/>
                <w:sz w:val="24"/>
                <w:szCs w:val="24"/>
                <w:vertAlign w:val="superscript"/>
                <w:lang w:val="en-GB"/>
              </w:rPr>
            </w:pPr>
            <w:r>
              <w:rPr>
                <w:rFonts w:ascii="Times New Roman" w:hAnsi="Times New Roman" w:cs="Times New Roman"/>
                <w:b/>
                <w:sz w:val="24"/>
                <w:szCs w:val="24"/>
                <w:lang w:val="en-GB"/>
              </w:rPr>
              <w:t>1.92 – 2.2</w:t>
            </w:r>
          </w:p>
        </w:tc>
      </w:tr>
      <w:tr w:rsidR="00B52AD4" w:rsidRPr="00ED55CC" w14:paraId="1B90272C" w14:textId="68AFEA4F" w:rsidTr="00D448BD">
        <w:trPr>
          <w:trHeight w:val="486"/>
        </w:trPr>
        <w:tc>
          <w:tcPr>
            <w:tcW w:w="2021" w:type="dxa"/>
            <w:tcBorders>
              <w:bottom w:val="single" w:sz="4" w:space="0" w:color="auto"/>
            </w:tcBorders>
          </w:tcPr>
          <w:p w14:paraId="3FEA57DF" w14:textId="5FF474CE" w:rsidR="00B52AD4" w:rsidRPr="00ED55CC" w:rsidRDefault="00B52AD4"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 xml:space="preserve">Void filled with </w:t>
            </w:r>
            <w:r w:rsidR="007557C5" w:rsidRPr="00ED55CC">
              <w:rPr>
                <w:rFonts w:ascii="Times New Roman" w:hAnsi="Times New Roman" w:cs="Times New Roman"/>
                <w:b/>
                <w:sz w:val="24"/>
                <w:szCs w:val="24"/>
                <w:lang w:val="en-GB"/>
              </w:rPr>
              <w:t>bitumen</w:t>
            </w:r>
            <w:r w:rsidR="007557C5">
              <w:rPr>
                <w:rFonts w:ascii="Times New Roman" w:hAnsi="Times New Roman" w:cs="Times New Roman"/>
                <w:b/>
                <w:sz w:val="24"/>
                <w:szCs w:val="24"/>
                <w:lang w:val="en-GB"/>
              </w:rPr>
              <w:t xml:space="preserve"> (</w:t>
            </w:r>
            <w:r w:rsidR="00E04F68">
              <w:rPr>
                <w:rFonts w:ascii="Times New Roman" w:hAnsi="Times New Roman" w:cs="Times New Roman"/>
                <w:b/>
                <w:sz w:val="24"/>
                <w:szCs w:val="24"/>
                <w:lang w:val="en-GB"/>
              </w:rPr>
              <w:t>%)</w:t>
            </w:r>
          </w:p>
        </w:tc>
        <w:tc>
          <w:tcPr>
            <w:tcW w:w="1906" w:type="dxa"/>
            <w:tcBorders>
              <w:bottom w:val="single" w:sz="4" w:space="0" w:color="auto"/>
            </w:tcBorders>
          </w:tcPr>
          <w:p w14:paraId="1C39D810" w14:textId="77777777" w:rsidR="00B52AD4" w:rsidRPr="00ED55CC" w:rsidRDefault="00B52AD4"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55.6</w:t>
            </w:r>
          </w:p>
        </w:tc>
        <w:tc>
          <w:tcPr>
            <w:tcW w:w="2021" w:type="dxa"/>
            <w:tcBorders>
              <w:bottom w:val="single" w:sz="4" w:space="0" w:color="auto"/>
            </w:tcBorders>
          </w:tcPr>
          <w:p w14:paraId="72228D50" w14:textId="77777777" w:rsidR="00B52AD4" w:rsidRPr="00ED55CC" w:rsidRDefault="00B52AD4"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Void filled with bitumen</w:t>
            </w:r>
          </w:p>
        </w:tc>
        <w:tc>
          <w:tcPr>
            <w:tcW w:w="1906" w:type="dxa"/>
            <w:tcBorders>
              <w:bottom w:val="single" w:sz="4" w:space="0" w:color="auto"/>
            </w:tcBorders>
          </w:tcPr>
          <w:p w14:paraId="32943C69" w14:textId="77777777" w:rsidR="00B52AD4" w:rsidRPr="00ED55CC" w:rsidRDefault="00B52AD4"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56.0</w:t>
            </w:r>
          </w:p>
          <w:p w14:paraId="7BDE55D8" w14:textId="77777777" w:rsidR="00B52AD4" w:rsidRPr="00ED55CC" w:rsidRDefault="00B52AD4" w:rsidP="00ED55CC">
            <w:pPr>
              <w:spacing w:after="200"/>
              <w:jc w:val="both"/>
              <w:rPr>
                <w:rFonts w:ascii="Times New Roman" w:hAnsi="Times New Roman" w:cs="Times New Roman"/>
                <w:b/>
                <w:sz w:val="24"/>
                <w:szCs w:val="24"/>
                <w:lang w:val="en-GB"/>
              </w:rPr>
            </w:pPr>
          </w:p>
        </w:tc>
        <w:tc>
          <w:tcPr>
            <w:tcW w:w="1974" w:type="dxa"/>
            <w:tcBorders>
              <w:bottom w:val="single" w:sz="4" w:space="0" w:color="auto"/>
            </w:tcBorders>
          </w:tcPr>
          <w:p w14:paraId="3FBCBA68" w14:textId="12D3DDDB" w:rsidR="00B52AD4" w:rsidRPr="00ED55CC" w:rsidRDefault="00E04F68" w:rsidP="00ED55CC">
            <w:pPr>
              <w:jc w:val="both"/>
              <w:rPr>
                <w:rFonts w:ascii="Times New Roman" w:hAnsi="Times New Roman" w:cs="Times New Roman"/>
                <w:b/>
                <w:sz w:val="24"/>
                <w:szCs w:val="24"/>
                <w:lang w:val="en-GB"/>
              </w:rPr>
            </w:pPr>
            <w:r>
              <w:rPr>
                <w:rFonts w:ascii="Times New Roman" w:hAnsi="Times New Roman" w:cs="Times New Roman"/>
                <w:b/>
                <w:sz w:val="24"/>
                <w:szCs w:val="24"/>
                <w:lang w:val="en-GB"/>
              </w:rPr>
              <w:t>50 – 7</w:t>
            </w:r>
            <w:r w:rsidR="008E7D07">
              <w:rPr>
                <w:rFonts w:ascii="Times New Roman" w:hAnsi="Times New Roman" w:cs="Times New Roman"/>
                <w:b/>
                <w:sz w:val="24"/>
                <w:szCs w:val="24"/>
                <w:lang w:val="en-GB"/>
              </w:rPr>
              <w:t>5</w:t>
            </w:r>
          </w:p>
        </w:tc>
      </w:tr>
      <w:tr w:rsidR="00B52AD4" w:rsidRPr="00ED55CC" w14:paraId="6BC5F76C" w14:textId="4647FC3A" w:rsidTr="00D448BD">
        <w:trPr>
          <w:trHeight w:val="388"/>
        </w:trPr>
        <w:tc>
          <w:tcPr>
            <w:tcW w:w="2021" w:type="dxa"/>
            <w:tcBorders>
              <w:top w:val="single" w:sz="4" w:space="0" w:color="auto"/>
              <w:left w:val="single" w:sz="4" w:space="0" w:color="auto"/>
              <w:bottom w:val="single" w:sz="4" w:space="0" w:color="auto"/>
            </w:tcBorders>
          </w:tcPr>
          <w:p w14:paraId="043B8573" w14:textId="3FF64128" w:rsidR="00B52AD4" w:rsidRPr="00ED55CC" w:rsidRDefault="00B52AD4"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Maximum stability</w:t>
            </w:r>
            <w:r w:rsidR="00180517">
              <w:rPr>
                <w:rFonts w:ascii="Times New Roman" w:hAnsi="Times New Roman" w:cs="Times New Roman"/>
                <w:b/>
                <w:sz w:val="24"/>
                <w:szCs w:val="24"/>
                <w:lang w:val="en-GB"/>
              </w:rPr>
              <w:t>(KN)</w:t>
            </w:r>
          </w:p>
        </w:tc>
        <w:tc>
          <w:tcPr>
            <w:tcW w:w="1906" w:type="dxa"/>
            <w:tcBorders>
              <w:top w:val="single" w:sz="4" w:space="0" w:color="auto"/>
              <w:bottom w:val="single" w:sz="4" w:space="0" w:color="auto"/>
            </w:tcBorders>
          </w:tcPr>
          <w:p w14:paraId="7A7B44AC" w14:textId="4032DB02" w:rsidR="00B52AD4" w:rsidRPr="00ED55CC" w:rsidRDefault="00B52AD4"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7</w:t>
            </w:r>
            <w:r w:rsidR="00FB14A8">
              <w:rPr>
                <w:rFonts w:ascii="Times New Roman" w:hAnsi="Times New Roman" w:cs="Times New Roman"/>
                <w:b/>
                <w:sz w:val="24"/>
                <w:szCs w:val="24"/>
                <w:lang w:val="en-GB"/>
              </w:rPr>
              <w:t>.</w:t>
            </w:r>
            <w:r w:rsidRPr="00ED55CC">
              <w:rPr>
                <w:rFonts w:ascii="Times New Roman" w:hAnsi="Times New Roman" w:cs="Times New Roman"/>
                <w:b/>
                <w:sz w:val="24"/>
                <w:szCs w:val="24"/>
                <w:lang w:val="en-GB"/>
              </w:rPr>
              <w:t>25</w:t>
            </w:r>
          </w:p>
        </w:tc>
        <w:tc>
          <w:tcPr>
            <w:tcW w:w="2021" w:type="dxa"/>
            <w:tcBorders>
              <w:top w:val="single" w:sz="4" w:space="0" w:color="auto"/>
              <w:bottom w:val="single" w:sz="4" w:space="0" w:color="auto"/>
            </w:tcBorders>
          </w:tcPr>
          <w:p w14:paraId="660667A7" w14:textId="77777777" w:rsidR="00B52AD4" w:rsidRPr="00ED55CC" w:rsidRDefault="00B52AD4"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Maximum stability</w:t>
            </w:r>
          </w:p>
        </w:tc>
        <w:tc>
          <w:tcPr>
            <w:tcW w:w="1906" w:type="dxa"/>
            <w:tcBorders>
              <w:top w:val="single" w:sz="4" w:space="0" w:color="auto"/>
              <w:bottom w:val="single" w:sz="4" w:space="0" w:color="auto"/>
            </w:tcBorders>
          </w:tcPr>
          <w:p w14:paraId="1EC36489" w14:textId="77EC7EBB" w:rsidR="00B52AD4" w:rsidRPr="00ED55CC" w:rsidRDefault="00B52AD4"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7</w:t>
            </w:r>
            <w:r w:rsidR="00FB14A8">
              <w:rPr>
                <w:rFonts w:ascii="Times New Roman" w:hAnsi="Times New Roman" w:cs="Times New Roman"/>
                <w:b/>
                <w:sz w:val="24"/>
                <w:szCs w:val="24"/>
                <w:lang w:val="en-GB"/>
              </w:rPr>
              <w:t>.</w:t>
            </w:r>
            <w:r w:rsidRPr="00ED55CC">
              <w:rPr>
                <w:rFonts w:ascii="Times New Roman" w:hAnsi="Times New Roman" w:cs="Times New Roman"/>
                <w:b/>
                <w:sz w:val="24"/>
                <w:szCs w:val="24"/>
                <w:lang w:val="en-GB"/>
              </w:rPr>
              <w:t>40</w:t>
            </w:r>
          </w:p>
          <w:p w14:paraId="48F4A0B4" w14:textId="77777777" w:rsidR="00B52AD4" w:rsidRPr="00ED55CC" w:rsidRDefault="00B52AD4" w:rsidP="00ED55CC">
            <w:pPr>
              <w:spacing w:after="200"/>
              <w:jc w:val="both"/>
              <w:rPr>
                <w:rFonts w:ascii="Times New Roman" w:hAnsi="Times New Roman" w:cs="Times New Roman"/>
                <w:b/>
                <w:sz w:val="24"/>
                <w:szCs w:val="24"/>
                <w:lang w:val="en-GB"/>
              </w:rPr>
            </w:pPr>
          </w:p>
        </w:tc>
        <w:tc>
          <w:tcPr>
            <w:tcW w:w="1974" w:type="dxa"/>
            <w:tcBorders>
              <w:top w:val="single" w:sz="4" w:space="0" w:color="auto"/>
              <w:bottom w:val="single" w:sz="4" w:space="0" w:color="auto"/>
            </w:tcBorders>
          </w:tcPr>
          <w:p w14:paraId="52A40BBF" w14:textId="40800882" w:rsidR="00B52AD4" w:rsidRPr="00395B6C" w:rsidRDefault="00395B6C" w:rsidP="00ED55CC">
            <w:pPr>
              <w:jc w:val="both"/>
              <w:rPr>
                <w:rFonts w:ascii="Times New Roman" w:hAnsi="Times New Roman" w:cs="Times New Roman"/>
                <w:b/>
                <w:sz w:val="24"/>
                <w:szCs w:val="24"/>
                <w:lang w:val="en-GB"/>
              </w:rPr>
            </w:pPr>
            <w:r>
              <w:rPr>
                <w:rFonts w:ascii="CommercialScript BT" w:hAnsi="CommercialScript BT" w:cs="Times New Roman"/>
                <w:b/>
                <w:sz w:val="24"/>
                <w:szCs w:val="24"/>
                <w:lang w:val="en-GB"/>
              </w:rPr>
              <w:t xml:space="preserve">≥ </w:t>
            </w:r>
            <w:r>
              <w:rPr>
                <w:rFonts w:ascii="Times New Roman" w:hAnsi="Times New Roman" w:cs="Times New Roman"/>
                <w:b/>
                <w:sz w:val="24"/>
                <w:szCs w:val="24"/>
                <w:lang w:val="en-GB"/>
              </w:rPr>
              <w:t>3</w:t>
            </w:r>
          </w:p>
        </w:tc>
      </w:tr>
      <w:tr w:rsidR="00B52AD4" w:rsidRPr="00ED55CC" w14:paraId="2C4EB9CB" w14:textId="7A636D95" w:rsidTr="00D448BD">
        <w:trPr>
          <w:trHeight w:val="421"/>
        </w:trPr>
        <w:tc>
          <w:tcPr>
            <w:tcW w:w="2021" w:type="dxa"/>
            <w:tcBorders>
              <w:top w:val="single" w:sz="4" w:space="0" w:color="auto"/>
              <w:left w:val="single" w:sz="4" w:space="0" w:color="auto"/>
            </w:tcBorders>
          </w:tcPr>
          <w:p w14:paraId="24B1E8DD" w14:textId="796D3FB4" w:rsidR="00B52AD4" w:rsidRPr="00ED55CC" w:rsidRDefault="00B52AD4"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 xml:space="preserve">Void in total </w:t>
            </w:r>
            <w:r w:rsidR="001308B8" w:rsidRPr="00ED55CC">
              <w:rPr>
                <w:rFonts w:ascii="Times New Roman" w:hAnsi="Times New Roman" w:cs="Times New Roman"/>
                <w:b/>
                <w:sz w:val="24"/>
                <w:szCs w:val="24"/>
                <w:lang w:val="en-GB"/>
              </w:rPr>
              <w:t>mix</w:t>
            </w:r>
            <w:r w:rsidR="001308B8">
              <w:rPr>
                <w:rFonts w:ascii="Times New Roman" w:hAnsi="Times New Roman" w:cs="Times New Roman"/>
                <w:b/>
                <w:sz w:val="24"/>
                <w:szCs w:val="24"/>
                <w:lang w:val="en-GB"/>
              </w:rPr>
              <w:t xml:space="preserve"> (</w:t>
            </w:r>
            <w:r w:rsidR="00B11814">
              <w:rPr>
                <w:rFonts w:ascii="Times New Roman" w:hAnsi="Times New Roman" w:cs="Times New Roman"/>
                <w:b/>
                <w:sz w:val="24"/>
                <w:szCs w:val="24"/>
                <w:lang w:val="en-GB"/>
              </w:rPr>
              <w:t>%)</w:t>
            </w:r>
          </w:p>
        </w:tc>
        <w:tc>
          <w:tcPr>
            <w:tcW w:w="1906" w:type="dxa"/>
            <w:tcBorders>
              <w:top w:val="single" w:sz="4" w:space="0" w:color="auto"/>
            </w:tcBorders>
          </w:tcPr>
          <w:p w14:paraId="583F3F39" w14:textId="6A19204F" w:rsidR="00B52AD4" w:rsidRPr="00ED55CC" w:rsidRDefault="004F23C3" w:rsidP="00ED55CC">
            <w:pPr>
              <w:spacing w:after="200"/>
              <w:jc w:val="both"/>
              <w:rPr>
                <w:rFonts w:ascii="Times New Roman" w:hAnsi="Times New Roman" w:cs="Times New Roman"/>
                <w:b/>
                <w:sz w:val="24"/>
                <w:szCs w:val="24"/>
                <w:lang w:val="en-GB"/>
              </w:rPr>
            </w:pPr>
            <w:r>
              <w:rPr>
                <w:rFonts w:ascii="Times New Roman" w:hAnsi="Times New Roman" w:cs="Times New Roman"/>
                <w:b/>
                <w:sz w:val="24"/>
                <w:szCs w:val="24"/>
                <w:lang w:val="en-GB"/>
              </w:rPr>
              <w:t>11.3</w:t>
            </w:r>
          </w:p>
        </w:tc>
        <w:tc>
          <w:tcPr>
            <w:tcW w:w="2021" w:type="dxa"/>
            <w:tcBorders>
              <w:top w:val="single" w:sz="4" w:space="0" w:color="auto"/>
            </w:tcBorders>
          </w:tcPr>
          <w:p w14:paraId="0D695EDA" w14:textId="77777777" w:rsidR="00B52AD4" w:rsidRPr="00ED55CC" w:rsidRDefault="00B52AD4"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Void in total mix</w:t>
            </w:r>
          </w:p>
        </w:tc>
        <w:tc>
          <w:tcPr>
            <w:tcW w:w="1906" w:type="dxa"/>
            <w:tcBorders>
              <w:top w:val="single" w:sz="4" w:space="0" w:color="auto"/>
            </w:tcBorders>
          </w:tcPr>
          <w:p w14:paraId="1E688F50" w14:textId="59E974E7" w:rsidR="00B52AD4" w:rsidRPr="00ED55CC" w:rsidRDefault="004F23C3" w:rsidP="00ED55CC">
            <w:pPr>
              <w:spacing w:after="200"/>
              <w:jc w:val="both"/>
              <w:rPr>
                <w:rFonts w:ascii="Times New Roman" w:hAnsi="Times New Roman" w:cs="Times New Roman"/>
                <w:b/>
                <w:sz w:val="24"/>
                <w:szCs w:val="24"/>
                <w:lang w:val="en-GB"/>
              </w:rPr>
            </w:pPr>
            <w:r>
              <w:rPr>
                <w:rFonts w:ascii="Times New Roman" w:hAnsi="Times New Roman" w:cs="Times New Roman"/>
                <w:b/>
                <w:sz w:val="24"/>
                <w:szCs w:val="24"/>
                <w:lang w:val="en-GB"/>
              </w:rPr>
              <w:t>12.1</w:t>
            </w:r>
          </w:p>
        </w:tc>
        <w:tc>
          <w:tcPr>
            <w:tcW w:w="1974" w:type="dxa"/>
            <w:tcBorders>
              <w:top w:val="single" w:sz="4" w:space="0" w:color="auto"/>
            </w:tcBorders>
          </w:tcPr>
          <w:p w14:paraId="536FED1B" w14:textId="16E3B8F5" w:rsidR="00B52AD4" w:rsidRPr="00ED55CC" w:rsidRDefault="006A289B" w:rsidP="00ED55CC">
            <w:p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12 </w:t>
            </w:r>
            <w:r w:rsidR="00A71B71">
              <w:rPr>
                <w:rFonts w:ascii="Times New Roman" w:hAnsi="Times New Roman" w:cs="Times New Roman"/>
                <w:b/>
                <w:sz w:val="24"/>
                <w:szCs w:val="24"/>
                <w:lang w:val="en-GB"/>
              </w:rPr>
              <w:t>–</w:t>
            </w:r>
            <w:r>
              <w:rPr>
                <w:rFonts w:ascii="Times New Roman" w:hAnsi="Times New Roman" w:cs="Times New Roman"/>
                <w:b/>
                <w:sz w:val="24"/>
                <w:szCs w:val="24"/>
                <w:lang w:val="en-GB"/>
              </w:rPr>
              <w:t xml:space="preserve"> 15</w:t>
            </w:r>
          </w:p>
        </w:tc>
      </w:tr>
    </w:tbl>
    <w:p w14:paraId="633A7065" w14:textId="77777777" w:rsidR="0063157F" w:rsidRDefault="0063157F" w:rsidP="00ED55CC">
      <w:pPr>
        <w:spacing w:line="240" w:lineRule="auto"/>
        <w:jc w:val="both"/>
        <w:rPr>
          <w:rFonts w:ascii="Times New Roman" w:hAnsi="Times New Roman" w:cs="Times New Roman"/>
          <w:sz w:val="24"/>
          <w:szCs w:val="24"/>
          <w:lang w:val="en-GB"/>
        </w:rPr>
      </w:pPr>
    </w:p>
    <w:p w14:paraId="39C14985" w14:textId="77777777" w:rsidR="00523968" w:rsidRDefault="00523968" w:rsidP="00F93636">
      <w:pPr>
        <w:spacing w:line="240" w:lineRule="auto"/>
        <w:jc w:val="both"/>
        <w:rPr>
          <w:rFonts w:ascii="Times New Roman" w:hAnsi="Times New Roman" w:cs="Times New Roman"/>
          <w:sz w:val="24"/>
          <w:szCs w:val="24"/>
        </w:rPr>
      </w:pPr>
    </w:p>
    <w:p w14:paraId="3AD12B3C" w14:textId="77777777" w:rsidR="009E29EA" w:rsidRPr="00523968" w:rsidRDefault="009E29EA" w:rsidP="00F93636">
      <w:pPr>
        <w:spacing w:line="240" w:lineRule="auto"/>
        <w:jc w:val="both"/>
        <w:rPr>
          <w:rFonts w:ascii="Times New Roman" w:hAnsi="Times New Roman" w:cs="Times New Roman"/>
          <w:sz w:val="24"/>
          <w:szCs w:val="24"/>
        </w:rPr>
      </w:pPr>
    </w:p>
    <w:p w14:paraId="472E34F4" w14:textId="77777777" w:rsidR="00831A25" w:rsidRPr="00954AB1" w:rsidRDefault="00954AB1" w:rsidP="00F93636">
      <w:pPr>
        <w:spacing w:line="240" w:lineRule="auto"/>
        <w:jc w:val="both"/>
        <w:rPr>
          <w:rFonts w:ascii="Times New Roman" w:hAnsi="Times New Roman" w:cs="Times New Roman"/>
          <w:b/>
          <w:sz w:val="24"/>
          <w:szCs w:val="24"/>
        </w:rPr>
      </w:pPr>
      <w:r w:rsidRPr="00954AB1">
        <w:rPr>
          <w:rFonts w:ascii="Times New Roman" w:hAnsi="Times New Roman" w:cs="Times New Roman"/>
          <w:b/>
          <w:sz w:val="24"/>
          <w:szCs w:val="24"/>
        </w:rPr>
        <w:lastRenderedPageBreak/>
        <w:t>DISCUSSION</w:t>
      </w:r>
    </w:p>
    <w:p w14:paraId="3E8974A2" w14:textId="77777777" w:rsidR="009F7F55" w:rsidRDefault="009F7F55" w:rsidP="009F7F55">
      <w:pPr>
        <w:pStyle w:val="NormalWeb"/>
        <w:jc w:val="both"/>
      </w:pPr>
      <w:r>
        <w:t>The optimum bitumen content for ready-mix asphalt generally ranges between 4% and 7% by weight, depending on the mix type, aggregate gradation, and specific design requirements [7]. Accordingly, the binder content of 6% determined for both conventional asphalt and polythene-modified asphalt falls within the acceptable range. The study further established the relationship between bulk density and binder content. The results indicate that bulk density increases with increasing bitumen content up to an optimum level, beyond which it declines. Maximum bulk densities of 2.17 and 2.115 were recorded for the conventional and polythene-modified mixtures, respectively. At a binder content of 6.1%, the conventional asphalt exhibited a higher density (2.17) compared to the polythene-modified mixture (2.115), indicating that the latter is relatively lighter.</w:t>
      </w:r>
    </w:p>
    <w:p w14:paraId="3A4C4717" w14:textId="77777777" w:rsidR="009F7F55" w:rsidRDefault="009F7F55" w:rsidP="009F7F55">
      <w:pPr>
        <w:pStyle w:val="NormalWeb"/>
        <w:jc w:val="both"/>
      </w:pPr>
      <w:r>
        <w:t>The analysis also demonstrated the relationship between air voids in the total mix and binder content. The percentage of air voids decreases with increasing bitumen content until a minimum value is attained, after which a slight increase is observed. This trend suggests that beyond a certain point, the aggregate structure becomes saturated and can no longer accommodate additional binder, leading to potential issues such as bleeding and instability. In this study, this threshold was observed at a binder content of 6.5% for both mixtures.</w:t>
      </w:r>
    </w:p>
    <w:p w14:paraId="1B5007D6" w14:textId="77777777" w:rsidR="009F7F55" w:rsidRDefault="009F7F55" w:rsidP="009F7F55">
      <w:pPr>
        <w:pStyle w:val="NormalWeb"/>
        <w:jc w:val="both"/>
      </w:pPr>
      <w:r>
        <w:t xml:space="preserve">As noted by Brown et al. (2021), the void content of an asphalt mixture is intrinsically linked to its density, necessitating careful control to ensure that void levels remain within acceptable limits. Previous studies have indicated that in-place air voids should initially not exceed approximately 15% and should not fall below 12% throughout the service life of the pavement [11]. Excessive void content increases permeability, facilitating the ingress of water and air, which can result in moisture damage, oxidation, </w:t>
      </w:r>
      <w:proofErr w:type="spellStart"/>
      <w:r>
        <w:t>ravelling</w:t>
      </w:r>
      <w:proofErr w:type="spellEnd"/>
      <w:r>
        <w:t>, and cracking. Conversely, insufficient voids may lead to rutting and shoving under traffic loads.</w:t>
      </w:r>
    </w:p>
    <w:p w14:paraId="68496558" w14:textId="77777777" w:rsidR="009F7F55" w:rsidRDefault="009F7F55" w:rsidP="009F7F55">
      <w:pPr>
        <w:pStyle w:val="NormalWeb"/>
        <w:jc w:val="both"/>
      </w:pPr>
      <w:r>
        <w:t>The stability results further illustrate the relationship between corrected Marshall stability and binder content. Stability values increase with increasing bitumen content until a peak is reached, after which they decline. At an optimum binder content of 6.0%, the polythene-modified mixture exhibited a higher stability value (740 kg) compared to the conventional mixture (725 kg). This indicates that the modified asphalt satisfies the relevant specifications for road construction and demonstrates improved performance characteristics [6].</w:t>
      </w:r>
    </w:p>
    <w:p w14:paraId="040C5842" w14:textId="77777777" w:rsidR="00706B39" w:rsidRPr="00706B39" w:rsidRDefault="00706B39" w:rsidP="00F93636">
      <w:pPr>
        <w:spacing w:line="240" w:lineRule="auto"/>
        <w:jc w:val="both"/>
        <w:rPr>
          <w:rFonts w:ascii="Times New Roman" w:hAnsi="Times New Roman" w:cs="Times New Roman"/>
          <w:sz w:val="24"/>
          <w:szCs w:val="24"/>
          <w:lang w:val="en-GB"/>
        </w:rPr>
      </w:pPr>
    </w:p>
    <w:p w14:paraId="68A29F56" w14:textId="77777777" w:rsidR="00825779" w:rsidRPr="008104B6" w:rsidRDefault="008104B6" w:rsidP="00F93636">
      <w:pPr>
        <w:spacing w:line="240" w:lineRule="auto"/>
        <w:jc w:val="both"/>
        <w:rPr>
          <w:rFonts w:ascii="Times New Roman" w:hAnsi="Times New Roman" w:cs="Times New Roman"/>
          <w:b/>
          <w:sz w:val="24"/>
          <w:szCs w:val="24"/>
        </w:rPr>
      </w:pPr>
      <w:r w:rsidRPr="008104B6">
        <w:rPr>
          <w:rFonts w:ascii="Times New Roman" w:hAnsi="Times New Roman" w:cs="Times New Roman"/>
          <w:b/>
          <w:sz w:val="24"/>
          <w:szCs w:val="24"/>
        </w:rPr>
        <w:t>CONCLUSION</w:t>
      </w:r>
    </w:p>
    <w:p w14:paraId="4E325F99" w14:textId="77777777" w:rsidR="009F7F55" w:rsidRDefault="009F7F55" w:rsidP="009F7F55">
      <w:pPr>
        <w:pStyle w:val="NormalWeb"/>
        <w:jc w:val="both"/>
      </w:pPr>
      <w:r>
        <w:t>Based on the findings of this study, several conclusions can be drawn. The results indicate that the modification of bitumen in cold mix asphalt through the incorporation of 5% waste polythene leads to an improvement in Marshall stability values. However, the study is limited to laboratory-scale experimentation with a relatively small sample size. Further research is therefore recommended, including full-scale field trials, comprehensive life-cycle cost assessments, environmental impact analyses, and statistical validation using larger datasets. Notwithstanding these limitations, the findings provide significant insights for the development of sustainable road construction policies and large-scale polythene waste management strategies.</w:t>
      </w:r>
    </w:p>
    <w:p w14:paraId="7D8A410D" w14:textId="77777777" w:rsidR="009F7F55" w:rsidRDefault="009F7F55" w:rsidP="009F7F55">
      <w:pPr>
        <w:pStyle w:val="NormalWeb"/>
        <w:jc w:val="both"/>
      </w:pPr>
      <w:r>
        <w:lastRenderedPageBreak/>
        <w:t>At an optimum binder content of 6.0%, the inclusion of 5% dissolved waste polythene produced the highest stability values, while key Marshall parameters—such as stability, bulk density, and air voids—remained within acceptable specif</w:t>
      </w:r>
      <w:bookmarkStart w:id="0" w:name="_GoBack"/>
      <w:bookmarkEnd w:id="0"/>
      <w:r>
        <w:t>ication limits.</w:t>
      </w:r>
    </w:p>
    <w:p w14:paraId="3BEE9313" w14:textId="77777777" w:rsidR="009F7F55" w:rsidRDefault="009F7F55" w:rsidP="009F7F55">
      <w:pPr>
        <w:pStyle w:val="NormalWeb"/>
        <w:jc w:val="both"/>
      </w:pPr>
      <w:r>
        <w:t>Overall, the study demonstrates that waste polythene can be effectively incorporated into the production of cold mix asphalt using the dry process method. This approach not only enhances Marshall stability but also improves the durability of the asphalt mixture, thereby offering a viable and sustainable alternative for pavement construction.</w:t>
      </w:r>
    </w:p>
    <w:p w14:paraId="10E14C7C" w14:textId="77777777" w:rsidR="0042172E" w:rsidRPr="0042172E" w:rsidRDefault="0042172E" w:rsidP="00726273">
      <w:pPr>
        <w:spacing w:line="240" w:lineRule="auto"/>
        <w:jc w:val="both"/>
        <w:rPr>
          <w:rFonts w:ascii="Times New Roman" w:hAnsi="Times New Roman" w:cs="Times New Roman"/>
          <w:sz w:val="24"/>
          <w:szCs w:val="24"/>
        </w:rPr>
      </w:pPr>
    </w:p>
    <w:p w14:paraId="5C5373E0" w14:textId="77777777" w:rsidR="00720A6F" w:rsidRPr="00720A6F" w:rsidRDefault="00720A6F" w:rsidP="00720A6F">
      <w:pPr>
        <w:rPr>
          <w:rFonts w:ascii="Arial" w:eastAsiaTheme="minorEastAsia" w:hAnsi="Arial" w:cs="Arial"/>
          <w:b/>
          <w:bCs/>
          <w:lang w:val="en-GB" w:eastAsia="en-GB"/>
        </w:rPr>
      </w:pPr>
      <w:r w:rsidRPr="00720A6F">
        <w:rPr>
          <w:rFonts w:ascii="Arial" w:eastAsiaTheme="minorEastAsia" w:hAnsi="Arial" w:cs="Arial"/>
          <w:b/>
          <w:bCs/>
          <w:lang w:val="en-GB" w:eastAsia="en-GB"/>
        </w:rPr>
        <w:t>COMPETING INTERESTS DISCLAIMER:</w:t>
      </w:r>
    </w:p>
    <w:p w14:paraId="08914FF7" w14:textId="77777777" w:rsidR="00720A6F" w:rsidRPr="00720A6F" w:rsidRDefault="00720A6F" w:rsidP="00720A6F">
      <w:pPr>
        <w:rPr>
          <w:rFonts w:eastAsiaTheme="minorEastAsia"/>
          <w:lang w:val="en-GB" w:eastAsia="en-GB"/>
        </w:rPr>
      </w:pPr>
      <w:r w:rsidRPr="00720A6F">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14:paraId="4F47FDE0" w14:textId="77777777" w:rsidR="00AA0677" w:rsidRPr="00CA3906" w:rsidRDefault="00AA0677" w:rsidP="00AA0677">
      <w:pPr>
        <w:rPr>
          <w:b/>
          <w:highlight w:val="yellow"/>
        </w:rPr>
      </w:pPr>
      <w:r w:rsidRPr="00CA3906">
        <w:rPr>
          <w:b/>
          <w:highlight w:val="yellow"/>
        </w:rPr>
        <w:t>Disclaimer (Artificial intelligence)</w:t>
      </w:r>
    </w:p>
    <w:p w14:paraId="1F3B83C6" w14:textId="64C31A22" w:rsidR="00847C2F" w:rsidRDefault="00AA0677" w:rsidP="0081717C">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BCE6E3C" w14:textId="77777777" w:rsidR="0081717C" w:rsidRPr="0081717C" w:rsidRDefault="0081717C" w:rsidP="0081717C">
      <w:pPr>
        <w:rPr>
          <w:highlight w:val="yellow"/>
        </w:rPr>
      </w:pPr>
    </w:p>
    <w:p w14:paraId="493B13DA" w14:textId="77777777" w:rsidR="00831A25" w:rsidRPr="008104B6" w:rsidRDefault="008104B6" w:rsidP="00F93636">
      <w:pPr>
        <w:spacing w:line="240" w:lineRule="auto"/>
        <w:jc w:val="both"/>
        <w:rPr>
          <w:rFonts w:ascii="Times New Roman" w:hAnsi="Times New Roman" w:cs="Times New Roman"/>
          <w:b/>
          <w:sz w:val="24"/>
          <w:szCs w:val="24"/>
        </w:rPr>
      </w:pPr>
      <w:r w:rsidRPr="008104B6">
        <w:rPr>
          <w:rFonts w:ascii="Times New Roman" w:hAnsi="Times New Roman" w:cs="Times New Roman"/>
          <w:b/>
          <w:sz w:val="24"/>
          <w:szCs w:val="24"/>
        </w:rPr>
        <w:t>REFERENCES</w:t>
      </w:r>
    </w:p>
    <w:p w14:paraId="66A1E8B2" w14:textId="6B64DD14" w:rsidR="008D1D43" w:rsidRPr="008D1D43" w:rsidRDefault="008D1D43" w:rsidP="008D1D43">
      <w:pPr>
        <w:spacing w:line="240" w:lineRule="auto"/>
        <w:ind w:left="720" w:hanging="720"/>
        <w:jc w:val="both"/>
        <w:rPr>
          <w:rFonts w:ascii="Times New Roman" w:hAnsi="Times New Roman" w:cs="Times New Roman"/>
          <w:i/>
          <w:iCs/>
          <w:sz w:val="24"/>
          <w:szCs w:val="24"/>
        </w:rPr>
      </w:pPr>
      <w:r w:rsidRPr="008D1D43">
        <w:rPr>
          <w:rFonts w:ascii="Times New Roman" w:hAnsi="Times New Roman" w:cs="Times New Roman"/>
          <w:sz w:val="24"/>
          <w:szCs w:val="24"/>
        </w:rPr>
        <w:t xml:space="preserve">[1] O. </w:t>
      </w:r>
      <w:proofErr w:type="spellStart"/>
      <w:r w:rsidRPr="008D1D43">
        <w:rPr>
          <w:rFonts w:ascii="Times New Roman" w:hAnsi="Times New Roman" w:cs="Times New Roman"/>
          <w:sz w:val="24"/>
          <w:szCs w:val="24"/>
        </w:rPr>
        <w:t>Opukenigara</w:t>
      </w:r>
      <w:proofErr w:type="spellEnd"/>
      <w:r w:rsidRPr="008D1D43">
        <w:rPr>
          <w:rFonts w:ascii="Times New Roman" w:hAnsi="Times New Roman" w:cs="Times New Roman"/>
          <w:sz w:val="24"/>
          <w:szCs w:val="24"/>
        </w:rPr>
        <w:t xml:space="preserve">, E. E. Putri, B. M. </w:t>
      </w:r>
      <w:proofErr w:type="spellStart"/>
      <w:r w:rsidRPr="008D1D43">
        <w:rPr>
          <w:rFonts w:ascii="Times New Roman" w:hAnsi="Times New Roman" w:cs="Times New Roman"/>
          <w:sz w:val="24"/>
          <w:szCs w:val="24"/>
        </w:rPr>
        <w:t>Adji</w:t>
      </w:r>
      <w:proofErr w:type="spellEnd"/>
      <w:r w:rsidRPr="008D1D43">
        <w:rPr>
          <w:rFonts w:ascii="Times New Roman" w:hAnsi="Times New Roman" w:cs="Times New Roman"/>
          <w:sz w:val="24"/>
          <w:szCs w:val="24"/>
        </w:rPr>
        <w:t xml:space="preserve">, and A. Hakam, </w:t>
      </w:r>
      <w:r w:rsidRPr="008D1D43">
        <w:rPr>
          <w:rFonts w:ascii="Times New Roman" w:hAnsi="Times New Roman" w:cs="Times New Roman" w:hint="eastAsia"/>
          <w:sz w:val="24"/>
          <w:szCs w:val="24"/>
        </w:rPr>
        <w:t>“</w:t>
      </w:r>
      <w:r w:rsidRPr="008D1D43">
        <w:rPr>
          <w:rFonts w:ascii="Times New Roman" w:hAnsi="Times New Roman" w:cs="Times New Roman"/>
          <w:sz w:val="24"/>
          <w:szCs w:val="24"/>
        </w:rPr>
        <w:t>High temperat</w:t>
      </w:r>
      <w:r>
        <w:rPr>
          <w:rFonts w:ascii="Times New Roman" w:hAnsi="Times New Roman" w:cs="Times New Roman"/>
          <w:sz w:val="24"/>
          <w:szCs w:val="24"/>
        </w:rPr>
        <w:t xml:space="preserve">ure resistant rubber </w:t>
      </w:r>
      <w:r w:rsidRPr="008D1D43">
        <w:rPr>
          <w:rFonts w:ascii="Times New Roman" w:hAnsi="Times New Roman" w:cs="Times New Roman"/>
          <w:sz w:val="24"/>
          <w:szCs w:val="24"/>
        </w:rPr>
        <w:t>asphalt,</w:t>
      </w:r>
      <w:r w:rsidRPr="008D1D43">
        <w:rPr>
          <w:rFonts w:ascii="Times New Roman" w:hAnsi="Times New Roman" w:cs="Times New Roman" w:hint="eastAsia"/>
          <w:sz w:val="24"/>
          <w:szCs w:val="24"/>
        </w:rPr>
        <w:t>”</w:t>
      </w:r>
      <w:r w:rsidRPr="008D1D43">
        <w:rPr>
          <w:rFonts w:ascii="Times New Roman" w:hAnsi="Times New Roman" w:cs="Times New Roman"/>
          <w:sz w:val="24"/>
          <w:szCs w:val="24"/>
        </w:rPr>
        <w:t xml:space="preserve"> </w:t>
      </w:r>
      <w:r w:rsidRPr="008D1D43">
        <w:rPr>
          <w:rFonts w:ascii="Times New Roman" w:hAnsi="Times New Roman" w:cs="Times New Roman"/>
          <w:i/>
          <w:iCs/>
          <w:sz w:val="24"/>
          <w:szCs w:val="24"/>
        </w:rPr>
        <w:t>E3S Web</w:t>
      </w:r>
      <w:r>
        <w:rPr>
          <w:rFonts w:ascii="Times New Roman" w:hAnsi="Times New Roman" w:cs="Times New Roman"/>
          <w:i/>
          <w:iCs/>
          <w:sz w:val="24"/>
          <w:szCs w:val="24"/>
        </w:rPr>
        <w:t xml:space="preserve"> </w:t>
      </w:r>
      <w:r w:rsidRPr="008D1D43">
        <w:rPr>
          <w:rFonts w:ascii="Times New Roman" w:hAnsi="Times New Roman" w:cs="Times New Roman"/>
          <w:i/>
          <w:iCs/>
          <w:sz w:val="24"/>
          <w:szCs w:val="24"/>
        </w:rPr>
        <w:t>Conf.</w:t>
      </w:r>
      <w:r>
        <w:rPr>
          <w:rFonts w:ascii="Times New Roman" w:hAnsi="Times New Roman" w:cs="Times New Roman"/>
          <w:sz w:val="24"/>
          <w:szCs w:val="24"/>
        </w:rPr>
        <w:t xml:space="preserve">, vol. 402, p. 12014, 2023. </w:t>
      </w:r>
      <w:r w:rsidRPr="008D1D43">
        <w:rPr>
          <w:rFonts w:ascii="Times New Roman" w:hAnsi="Times New Roman" w:cs="Times New Roman"/>
          <w:sz w:val="24"/>
          <w:szCs w:val="24"/>
        </w:rPr>
        <w:t>https://doi.org/10.1051/e3sconf/202340212014</w:t>
      </w:r>
    </w:p>
    <w:p w14:paraId="287C22A3" w14:textId="746660A6" w:rsidR="008D1D43" w:rsidRPr="008D1D43" w:rsidRDefault="008D1D43" w:rsidP="008D1D43">
      <w:pPr>
        <w:spacing w:line="240" w:lineRule="auto"/>
        <w:ind w:left="720" w:hanging="720"/>
        <w:jc w:val="both"/>
        <w:rPr>
          <w:rFonts w:ascii="Times New Roman" w:hAnsi="Times New Roman" w:cs="Times New Roman"/>
          <w:sz w:val="24"/>
          <w:szCs w:val="24"/>
        </w:rPr>
      </w:pPr>
      <w:r w:rsidRPr="008D1D43">
        <w:rPr>
          <w:rFonts w:ascii="Times New Roman" w:hAnsi="Times New Roman" w:cs="Times New Roman"/>
          <w:sz w:val="24"/>
          <w:szCs w:val="24"/>
        </w:rPr>
        <w:t xml:space="preserve">[2] L. </w:t>
      </w:r>
      <w:proofErr w:type="spellStart"/>
      <w:r w:rsidRPr="008D1D43">
        <w:rPr>
          <w:rFonts w:ascii="Times New Roman" w:hAnsi="Times New Roman" w:cs="Times New Roman"/>
          <w:sz w:val="24"/>
          <w:szCs w:val="24"/>
        </w:rPr>
        <w:t>Gungat</w:t>
      </w:r>
      <w:proofErr w:type="spellEnd"/>
      <w:r w:rsidRPr="008D1D43">
        <w:rPr>
          <w:rFonts w:ascii="Times New Roman" w:hAnsi="Times New Roman" w:cs="Times New Roman"/>
          <w:sz w:val="24"/>
          <w:szCs w:val="24"/>
        </w:rPr>
        <w:t xml:space="preserve">, M. D. </w:t>
      </w:r>
      <w:proofErr w:type="spellStart"/>
      <w:r w:rsidRPr="008D1D43">
        <w:rPr>
          <w:rFonts w:ascii="Times New Roman" w:hAnsi="Times New Roman" w:cs="Times New Roman"/>
          <w:sz w:val="24"/>
          <w:szCs w:val="24"/>
        </w:rPr>
        <w:t>Dagul</w:t>
      </w:r>
      <w:proofErr w:type="spellEnd"/>
      <w:r w:rsidRPr="008D1D43">
        <w:rPr>
          <w:rFonts w:ascii="Times New Roman" w:hAnsi="Times New Roman" w:cs="Times New Roman"/>
          <w:sz w:val="24"/>
          <w:szCs w:val="24"/>
        </w:rPr>
        <w:t xml:space="preserve">, and E. E. Putri, </w:t>
      </w:r>
      <w:r w:rsidRPr="008D1D43">
        <w:rPr>
          <w:rFonts w:ascii="Times New Roman" w:hAnsi="Times New Roman" w:cs="Times New Roman" w:hint="eastAsia"/>
          <w:sz w:val="24"/>
          <w:szCs w:val="24"/>
        </w:rPr>
        <w:t>“</w:t>
      </w:r>
      <w:r w:rsidRPr="008D1D43">
        <w:rPr>
          <w:rFonts w:ascii="Times New Roman" w:hAnsi="Times New Roman" w:cs="Times New Roman"/>
          <w:sz w:val="24"/>
          <w:szCs w:val="24"/>
        </w:rPr>
        <w:t>Investigation on the barriers of crumb rubber usage for roads</w:t>
      </w:r>
      <w:r>
        <w:rPr>
          <w:rFonts w:ascii="Times New Roman" w:hAnsi="Times New Roman" w:cs="Times New Roman"/>
          <w:sz w:val="24"/>
          <w:szCs w:val="24"/>
        </w:rPr>
        <w:t xml:space="preserve"> </w:t>
      </w:r>
      <w:r w:rsidRPr="008D1D43">
        <w:rPr>
          <w:rFonts w:ascii="Times New Roman" w:hAnsi="Times New Roman" w:cs="Times New Roman"/>
          <w:sz w:val="24"/>
          <w:szCs w:val="24"/>
        </w:rPr>
        <w:t>construction: Case study at Sabah,</w:t>
      </w:r>
      <w:r w:rsidRPr="008D1D43">
        <w:rPr>
          <w:rFonts w:ascii="Times New Roman" w:hAnsi="Times New Roman" w:cs="Times New Roman" w:hint="eastAsia"/>
          <w:sz w:val="24"/>
          <w:szCs w:val="24"/>
        </w:rPr>
        <w:t>”</w:t>
      </w:r>
      <w:r w:rsidRPr="008D1D43">
        <w:rPr>
          <w:rFonts w:ascii="Times New Roman" w:hAnsi="Times New Roman" w:cs="Times New Roman"/>
          <w:sz w:val="24"/>
          <w:szCs w:val="24"/>
        </w:rPr>
        <w:t xml:space="preserve"> </w:t>
      </w:r>
      <w:r w:rsidRPr="008D1D43">
        <w:rPr>
          <w:rFonts w:ascii="Times New Roman" w:hAnsi="Times New Roman" w:cs="Times New Roman"/>
          <w:i/>
          <w:iCs/>
          <w:sz w:val="24"/>
          <w:szCs w:val="24"/>
        </w:rPr>
        <w:t xml:space="preserve">J. </w:t>
      </w:r>
      <w:proofErr w:type="spellStart"/>
      <w:r w:rsidRPr="008D1D43">
        <w:rPr>
          <w:rFonts w:ascii="Times New Roman" w:hAnsi="Times New Roman" w:cs="Times New Roman"/>
          <w:i/>
          <w:iCs/>
          <w:sz w:val="24"/>
          <w:szCs w:val="24"/>
        </w:rPr>
        <w:t>Teknol</w:t>
      </w:r>
      <w:proofErr w:type="spellEnd"/>
      <w:r w:rsidRPr="008D1D43">
        <w:rPr>
          <w:rFonts w:ascii="Times New Roman" w:hAnsi="Times New Roman" w:cs="Times New Roman"/>
          <w:i/>
          <w:iCs/>
          <w:sz w:val="24"/>
          <w:szCs w:val="24"/>
        </w:rPr>
        <w:t>.</w:t>
      </w:r>
      <w:r w:rsidRPr="008D1D43">
        <w:rPr>
          <w:rFonts w:ascii="Times New Roman" w:hAnsi="Times New Roman" w:cs="Times New Roman"/>
          <w:sz w:val="24"/>
          <w:szCs w:val="24"/>
        </w:rPr>
        <w:t>, vol. 84, no. 2, pp. 1</w:t>
      </w:r>
      <w:r w:rsidRPr="008D1D43">
        <w:rPr>
          <w:rFonts w:ascii="Times New Roman" w:hAnsi="Times New Roman" w:cs="Times New Roman" w:hint="eastAsia"/>
          <w:sz w:val="24"/>
          <w:szCs w:val="24"/>
        </w:rPr>
        <w:t>–</w:t>
      </w:r>
      <w:r w:rsidRPr="008D1D43">
        <w:rPr>
          <w:rFonts w:ascii="Times New Roman" w:hAnsi="Times New Roman" w:cs="Times New Roman"/>
          <w:sz w:val="24"/>
          <w:szCs w:val="24"/>
        </w:rPr>
        <w:t>7, 2022. https://doi.org/10.11113/jurnalteknologi.v84.17210</w:t>
      </w:r>
    </w:p>
    <w:p w14:paraId="66601325" w14:textId="6F7B4848" w:rsidR="008D1D43" w:rsidRPr="008D1D43" w:rsidRDefault="00AF0453" w:rsidP="008D1D43">
      <w:pPr>
        <w:spacing w:line="240" w:lineRule="auto"/>
        <w:ind w:left="720" w:hanging="720"/>
        <w:jc w:val="both"/>
        <w:rPr>
          <w:rFonts w:ascii="Times New Roman" w:hAnsi="Times New Roman" w:cs="Times New Roman"/>
          <w:sz w:val="24"/>
          <w:szCs w:val="24"/>
        </w:rPr>
      </w:pPr>
      <w:r w:rsidRPr="008D1D43">
        <w:rPr>
          <w:rFonts w:ascii="Times New Roman" w:hAnsi="Times New Roman" w:cs="Times New Roman"/>
          <w:sz w:val="24"/>
          <w:szCs w:val="24"/>
        </w:rPr>
        <w:t xml:space="preserve"> </w:t>
      </w:r>
      <w:r w:rsidR="00907136">
        <w:rPr>
          <w:rFonts w:ascii="Times New Roman" w:hAnsi="Times New Roman" w:cs="Times New Roman"/>
          <w:sz w:val="24"/>
          <w:szCs w:val="24"/>
        </w:rPr>
        <w:t>[3</w:t>
      </w:r>
      <w:r w:rsidR="008D1D43" w:rsidRPr="008D1D43">
        <w:rPr>
          <w:rFonts w:ascii="Times New Roman" w:hAnsi="Times New Roman" w:cs="Times New Roman"/>
          <w:sz w:val="24"/>
          <w:szCs w:val="24"/>
        </w:rPr>
        <w:t xml:space="preserve">] E. E. Putri and R. R. Sari, </w:t>
      </w:r>
      <w:r w:rsidR="008D1D43" w:rsidRPr="008D1D43">
        <w:rPr>
          <w:rFonts w:ascii="Times New Roman" w:hAnsi="Times New Roman" w:cs="Times New Roman" w:hint="eastAsia"/>
          <w:sz w:val="24"/>
          <w:szCs w:val="24"/>
        </w:rPr>
        <w:t>“</w:t>
      </w:r>
      <w:r w:rsidR="008D1D43" w:rsidRPr="008D1D43">
        <w:rPr>
          <w:rFonts w:ascii="Times New Roman" w:hAnsi="Times New Roman" w:cs="Times New Roman"/>
          <w:sz w:val="24"/>
          <w:szCs w:val="24"/>
        </w:rPr>
        <w:t xml:space="preserve">The study of split mastic asphalt pavement with latex addition for flooded </w:t>
      </w:r>
      <w:proofErr w:type="spellStart"/>
      <w:r w:rsidR="008D1D43" w:rsidRPr="008D1D43">
        <w:rPr>
          <w:rFonts w:ascii="Times New Roman" w:hAnsi="Times New Roman" w:cs="Times New Roman"/>
          <w:sz w:val="24"/>
          <w:szCs w:val="24"/>
        </w:rPr>
        <w:t>road,</w:t>
      </w:r>
      <w:r w:rsidR="008D1D43" w:rsidRPr="008D1D43">
        <w:rPr>
          <w:rFonts w:ascii="Times New Roman" w:hAnsi="Times New Roman" w:cs="Times New Roman" w:hint="eastAsia"/>
          <w:sz w:val="24"/>
          <w:szCs w:val="24"/>
        </w:rPr>
        <w:t>”</w:t>
      </w:r>
      <w:r w:rsidR="008D1D43" w:rsidRPr="008D1D43">
        <w:rPr>
          <w:rFonts w:ascii="Times New Roman" w:hAnsi="Times New Roman" w:cs="Times New Roman"/>
          <w:i/>
          <w:iCs/>
          <w:sz w:val="24"/>
          <w:szCs w:val="24"/>
        </w:rPr>
        <w:t>IOP</w:t>
      </w:r>
      <w:proofErr w:type="spellEnd"/>
      <w:r w:rsidR="008D1D43" w:rsidRPr="008D1D43">
        <w:rPr>
          <w:rFonts w:ascii="Times New Roman" w:hAnsi="Times New Roman" w:cs="Times New Roman"/>
          <w:i/>
          <w:iCs/>
          <w:sz w:val="24"/>
          <w:szCs w:val="24"/>
        </w:rPr>
        <w:t xml:space="preserve"> Conf. Ser.: Earth Environ. Sci.</w:t>
      </w:r>
      <w:r w:rsidR="008D1D43" w:rsidRPr="008D1D43">
        <w:rPr>
          <w:rFonts w:ascii="Times New Roman" w:hAnsi="Times New Roman" w:cs="Times New Roman"/>
          <w:sz w:val="24"/>
          <w:szCs w:val="24"/>
        </w:rPr>
        <w:t>, vol. 708, no. 1, p. 012046, 2021. https://doi.org/10.1088/1755-1315/708/1/012046</w:t>
      </w:r>
    </w:p>
    <w:p w14:paraId="5449749D" w14:textId="403BDB88" w:rsidR="008D1D43" w:rsidRPr="008D1D43" w:rsidRDefault="00AF0453" w:rsidP="008A266B">
      <w:pPr>
        <w:spacing w:line="240" w:lineRule="auto"/>
        <w:ind w:left="720" w:hanging="720"/>
        <w:jc w:val="both"/>
        <w:rPr>
          <w:rFonts w:ascii="Times New Roman" w:hAnsi="Times New Roman" w:cs="Times New Roman"/>
          <w:sz w:val="24"/>
          <w:szCs w:val="24"/>
        </w:rPr>
      </w:pPr>
      <w:r w:rsidRPr="008D1D43">
        <w:rPr>
          <w:rFonts w:ascii="Times New Roman" w:hAnsi="Times New Roman" w:cs="Times New Roman"/>
          <w:sz w:val="24"/>
          <w:szCs w:val="24"/>
        </w:rPr>
        <w:t xml:space="preserve"> </w:t>
      </w:r>
      <w:r w:rsidR="00907136">
        <w:rPr>
          <w:rFonts w:ascii="Times New Roman" w:hAnsi="Times New Roman" w:cs="Times New Roman"/>
          <w:sz w:val="24"/>
          <w:szCs w:val="24"/>
        </w:rPr>
        <w:t>[4</w:t>
      </w:r>
      <w:r w:rsidR="008D1D43" w:rsidRPr="008D1D43">
        <w:rPr>
          <w:rFonts w:ascii="Times New Roman" w:hAnsi="Times New Roman" w:cs="Times New Roman"/>
          <w:sz w:val="24"/>
          <w:szCs w:val="24"/>
        </w:rPr>
        <w:t xml:space="preserve">] United Nations Environment </w:t>
      </w:r>
      <w:proofErr w:type="spellStart"/>
      <w:r w:rsidR="008D1D43" w:rsidRPr="008D1D43">
        <w:rPr>
          <w:rFonts w:ascii="Times New Roman" w:hAnsi="Times New Roman" w:cs="Times New Roman"/>
          <w:sz w:val="24"/>
          <w:szCs w:val="24"/>
        </w:rPr>
        <w:t>Programme</w:t>
      </w:r>
      <w:proofErr w:type="spellEnd"/>
      <w:r w:rsidR="008D1D43" w:rsidRPr="008D1D43">
        <w:rPr>
          <w:rFonts w:ascii="Times New Roman" w:hAnsi="Times New Roman" w:cs="Times New Roman"/>
          <w:sz w:val="24"/>
          <w:szCs w:val="24"/>
        </w:rPr>
        <w:t xml:space="preserve">, </w:t>
      </w:r>
      <w:r w:rsidR="008D1D43" w:rsidRPr="008D1D43">
        <w:rPr>
          <w:rFonts w:ascii="Times New Roman" w:hAnsi="Times New Roman" w:cs="Times New Roman" w:hint="eastAsia"/>
          <w:sz w:val="24"/>
          <w:szCs w:val="24"/>
        </w:rPr>
        <w:t>“</w:t>
      </w:r>
      <w:r w:rsidR="008D1D43" w:rsidRPr="008D1D43">
        <w:rPr>
          <w:rFonts w:ascii="Times New Roman" w:hAnsi="Times New Roman" w:cs="Times New Roman"/>
          <w:sz w:val="24"/>
          <w:szCs w:val="24"/>
        </w:rPr>
        <w:t>National plastic waste red</w:t>
      </w:r>
      <w:r w:rsidR="008A266B">
        <w:rPr>
          <w:rFonts w:ascii="Times New Roman" w:hAnsi="Times New Roman" w:cs="Times New Roman"/>
          <w:sz w:val="24"/>
          <w:szCs w:val="24"/>
        </w:rPr>
        <w:t xml:space="preserve">uction strategic actions </w:t>
      </w:r>
      <w:r w:rsidR="008D1D43" w:rsidRPr="008D1D43">
        <w:rPr>
          <w:rFonts w:ascii="Times New Roman" w:hAnsi="Times New Roman" w:cs="Times New Roman"/>
          <w:sz w:val="24"/>
          <w:szCs w:val="24"/>
        </w:rPr>
        <w:t>for Indonesia,</w:t>
      </w:r>
      <w:r w:rsidR="008D1D43" w:rsidRPr="008D1D43">
        <w:rPr>
          <w:rFonts w:ascii="Times New Roman" w:hAnsi="Times New Roman" w:cs="Times New Roman" w:hint="eastAsia"/>
          <w:sz w:val="24"/>
          <w:szCs w:val="24"/>
        </w:rPr>
        <w:t>”</w:t>
      </w:r>
      <w:r w:rsidR="008D1D43" w:rsidRPr="008D1D43">
        <w:rPr>
          <w:rFonts w:ascii="Times New Roman" w:hAnsi="Times New Roman" w:cs="Times New Roman"/>
          <w:sz w:val="24"/>
          <w:szCs w:val="24"/>
        </w:rPr>
        <w:t>2020. https://wedocs.unep.org/handle/20.500.11822/32898</w:t>
      </w:r>
    </w:p>
    <w:p w14:paraId="537696CA" w14:textId="71BDE607" w:rsidR="008D1D43" w:rsidRPr="008D1D43" w:rsidRDefault="00907136" w:rsidP="008A266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[5</w:t>
      </w:r>
      <w:r w:rsidR="008D1D43" w:rsidRPr="008D1D43">
        <w:rPr>
          <w:rFonts w:ascii="Times New Roman" w:hAnsi="Times New Roman" w:cs="Times New Roman"/>
          <w:sz w:val="24"/>
          <w:szCs w:val="24"/>
        </w:rPr>
        <w:t>] R. Castro-</w:t>
      </w:r>
      <w:proofErr w:type="spellStart"/>
      <w:r w:rsidR="008D1D43" w:rsidRPr="008D1D43">
        <w:rPr>
          <w:rFonts w:ascii="Times New Roman" w:hAnsi="Times New Roman" w:cs="Times New Roman"/>
          <w:sz w:val="24"/>
          <w:szCs w:val="24"/>
        </w:rPr>
        <w:t>Amoedo</w:t>
      </w:r>
      <w:proofErr w:type="spellEnd"/>
      <w:r w:rsidR="008D1D43" w:rsidRPr="008D1D43">
        <w:rPr>
          <w:rFonts w:ascii="Times New Roman" w:hAnsi="Times New Roman" w:cs="Times New Roman"/>
          <w:sz w:val="24"/>
          <w:szCs w:val="24"/>
        </w:rPr>
        <w:t xml:space="preserve">, J. </w:t>
      </w:r>
      <w:proofErr w:type="spellStart"/>
      <w:r w:rsidR="008D1D43" w:rsidRPr="008D1D43">
        <w:rPr>
          <w:rFonts w:ascii="Times New Roman" w:hAnsi="Times New Roman" w:cs="Times New Roman"/>
          <w:sz w:val="24"/>
          <w:szCs w:val="24"/>
        </w:rPr>
        <w:t>Granacher</w:t>
      </w:r>
      <w:proofErr w:type="spellEnd"/>
      <w:r w:rsidR="008D1D43" w:rsidRPr="008D1D43">
        <w:rPr>
          <w:rFonts w:ascii="Times New Roman" w:hAnsi="Times New Roman" w:cs="Times New Roman"/>
          <w:sz w:val="24"/>
          <w:szCs w:val="24"/>
        </w:rPr>
        <w:t xml:space="preserve">, I. Kantor, A. </w:t>
      </w:r>
      <w:proofErr w:type="spellStart"/>
      <w:r w:rsidR="008D1D43" w:rsidRPr="008D1D43">
        <w:rPr>
          <w:rFonts w:ascii="Times New Roman" w:hAnsi="Times New Roman" w:cs="Times New Roman"/>
          <w:sz w:val="24"/>
          <w:szCs w:val="24"/>
        </w:rPr>
        <w:t>D</w:t>
      </w:r>
      <w:r w:rsidR="008A266B">
        <w:rPr>
          <w:rFonts w:ascii="Times New Roman" w:hAnsi="Times New Roman" w:cs="Times New Roman"/>
          <w:sz w:val="24"/>
          <w:szCs w:val="24"/>
        </w:rPr>
        <w:t>ahmen</w:t>
      </w:r>
      <w:proofErr w:type="spellEnd"/>
      <w:r w:rsidR="008A266B">
        <w:rPr>
          <w:rFonts w:ascii="Times New Roman" w:hAnsi="Times New Roman" w:cs="Times New Roman"/>
          <w:sz w:val="24"/>
          <w:szCs w:val="24"/>
        </w:rPr>
        <w:t>, A. Barbosa-</w:t>
      </w:r>
      <w:proofErr w:type="spellStart"/>
      <w:r w:rsidR="008A266B">
        <w:rPr>
          <w:rFonts w:ascii="Times New Roman" w:hAnsi="Times New Roman" w:cs="Times New Roman"/>
          <w:sz w:val="24"/>
          <w:szCs w:val="24"/>
        </w:rPr>
        <w:t>Povoa</w:t>
      </w:r>
      <w:proofErr w:type="spellEnd"/>
      <w:r w:rsidR="008A266B">
        <w:rPr>
          <w:rFonts w:ascii="Times New Roman" w:hAnsi="Times New Roman" w:cs="Times New Roman"/>
          <w:sz w:val="24"/>
          <w:szCs w:val="24"/>
        </w:rPr>
        <w:t xml:space="preserve">, and F. </w:t>
      </w:r>
      <w:proofErr w:type="spellStart"/>
      <w:r w:rsidR="008D1D43" w:rsidRPr="008D1D43">
        <w:rPr>
          <w:rFonts w:ascii="Times New Roman" w:hAnsi="Times New Roman" w:cs="Times New Roman"/>
          <w:sz w:val="24"/>
          <w:szCs w:val="24"/>
        </w:rPr>
        <w:t>Mar´echal</w:t>
      </w:r>
      <w:proofErr w:type="spellEnd"/>
      <w:r w:rsidR="008D1D43" w:rsidRPr="008D1D43">
        <w:rPr>
          <w:rFonts w:ascii="Times New Roman" w:hAnsi="Times New Roman" w:cs="Times New Roman"/>
          <w:sz w:val="24"/>
          <w:szCs w:val="24"/>
        </w:rPr>
        <w:t xml:space="preserve">, </w:t>
      </w:r>
      <w:r w:rsidR="008D1D43" w:rsidRPr="008D1D43">
        <w:rPr>
          <w:rFonts w:ascii="Times New Roman" w:hAnsi="Times New Roman" w:cs="Times New Roman" w:hint="eastAsia"/>
          <w:sz w:val="24"/>
          <w:szCs w:val="24"/>
        </w:rPr>
        <w:t>“</w:t>
      </w:r>
      <w:r w:rsidR="008D1D43" w:rsidRPr="008D1D43">
        <w:rPr>
          <w:rFonts w:ascii="Times New Roman" w:hAnsi="Times New Roman" w:cs="Times New Roman"/>
          <w:sz w:val="24"/>
          <w:szCs w:val="24"/>
        </w:rPr>
        <w:t>On the role</w:t>
      </w:r>
      <w:r w:rsidR="008A266B">
        <w:rPr>
          <w:rFonts w:ascii="Times New Roman" w:hAnsi="Times New Roman" w:cs="Times New Roman"/>
          <w:sz w:val="24"/>
          <w:szCs w:val="24"/>
        </w:rPr>
        <w:t xml:space="preserve"> </w:t>
      </w:r>
      <w:r w:rsidR="008D1D43" w:rsidRPr="008D1D43">
        <w:rPr>
          <w:rFonts w:ascii="Times New Roman" w:hAnsi="Times New Roman" w:cs="Times New Roman"/>
          <w:sz w:val="24"/>
          <w:szCs w:val="24"/>
        </w:rPr>
        <w:t>of system integration in plastic waste management,</w:t>
      </w:r>
      <w:r w:rsidR="008D1D43" w:rsidRPr="008D1D43">
        <w:rPr>
          <w:rFonts w:ascii="Times New Roman" w:hAnsi="Times New Roman" w:cs="Times New Roman" w:hint="eastAsia"/>
          <w:sz w:val="24"/>
          <w:szCs w:val="24"/>
        </w:rPr>
        <w:t>”</w:t>
      </w:r>
      <w:r w:rsidR="008D1D43" w:rsidRPr="008D1D43">
        <w:rPr>
          <w:rFonts w:ascii="Times New Roman" w:hAnsi="Times New Roman" w:cs="Times New Roman"/>
          <w:sz w:val="24"/>
          <w:szCs w:val="24"/>
        </w:rPr>
        <w:t xml:space="preserve"> </w:t>
      </w:r>
      <w:r w:rsidR="008A266B">
        <w:rPr>
          <w:rFonts w:ascii="Times New Roman" w:hAnsi="Times New Roman" w:cs="Times New Roman"/>
          <w:i/>
          <w:iCs/>
          <w:sz w:val="24"/>
          <w:szCs w:val="24"/>
        </w:rPr>
        <w:t>Resour.Conserv.</w:t>
      </w:r>
      <w:r w:rsidR="008D1D43" w:rsidRPr="008D1D43">
        <w:rPr>
          <w:rFonts w:ascii="Times New Roman" w:hAnsi="Times New Roman" w:cs="Times New Roman"/>
          <w:i/>
          <w:iCs/>
          <w:sz w:val="24"/>
          <w:szCs w:val="24"/>
        </w:rPr>
        <w:t>Recycl.</w:t>
      </w:r>
      <w:r w:rsidR="008A266B">
        <w:rPr>
          <w:rFonts w:ascii="Times New Roman" w:hAnsi="Times New Roman" w:cs="Times New Roman"/>
          <w:sz w:val="24"/>
          <w:szCs w:val="24"/>
        </w:rPr>
        <w:t>,vol.201,p.107295,</w:t>
      </w:r>
      <w:r w:rsidR="008D1D43" w:rsidRPr="008D1D43">
        <w:rPr>
          <w:rFonts w:ascii="Times New Roman" w:hAnsi="Times New Roman" w:cs="Times New Roman"/>
          <w:sz w:val="24"/>
          <w:szCs w:val="24"/>
        </w:rPr>
        <w:t>2024.https://doi.org/10.1016/j.resconrec.2023.107295</w:t>
      </w:r>
    </w:p>
    <w:p w14:paraId="184E14BF" w14:textId="66FEC1E2" w:rsidR="008D1D43" w:rsidRPr="008D1D43" w:rsidRDefault="00907136" w:rsidP="00DA71E9">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 [6</w:t>
      </w:r>
      <w:r w:rsidR="008D1D43" w:rsidRPr="008D1D43">
        <w:rPr>
          <w:rFonts w:ascii="Times New Roman" w:hAnsi="Times New Roman" w:cs="Times New Roman"/>
          <w:sz w:val="24"/>
          <w:szCs w:val="24"/>
        </w:rPr>
        <w:t xml:space="preserve">] G. Hao, M. He, S. M. Lim, G. P. Ong, A. </w:t>
      </w:r>
      <w:proofErr w:type="spellStart"/>
      <w:r w:rsidR="008D1D43" w:rsidRPr="008D1D43">
        <w:rPr>
          <w:rFonts w:ascii="Times New Roman" w:hAnsi="Times New Roman" w:cs="Times New Roman"/>
          <w:sz w:val="24"/>
          <w:szCs w:val="24"/>
        </w:rPr>
        <w:t>Zulkati</w:t>
      </w:r>
      <w:proofErr w:type="spellEnd"/>
      <w:r w:rsidR="008D1D43" w:rsidRPr="008D1D43">
        <w:rPr>
          <w:rFonts w:ascii="Times New Roman" w:hAnsi="Times New Roman" w:cs="Times New Roman"/>
          <w:sz w:val="24"/>
          <w:szCs w:val="24"/>
        </w:rPr>
        <w:t xml:space="preserve">, and S. </w:t>
      </w:r>
      <w:proofErr w:type="spellStart"/>
      <w:r w:rsidR="008D1D43" w:rsidRPr="008D1D43">
        <w:rPr>
          <w:rFonts w:ascii="Times New Roman" w:hAnsi="Times New Roman" w:cs="Times New Roman"/>
          <w:sz w:val="24"/>
          <w:szCs w:val="24"/>
        </w:rPr>
        <w:t>Kapilan</w:t>
      </w:r>
      <w:proofErr w:type="spellEnd"/>
      <w:r w:rsidR="008D1D43" w:rsidRPr="008D1D43">
        <w:rPr>
          <w:rFonts w:ascii="Times New Roman" w:hAnsi="Times New Roman" w:cs="Times New Roman"/>
          <w:sz w:val="24"/>
          <w:szCs w:val="24"/>
        </w:rPr>
        <w:t xml:space="preserve">, </w:t>
      </w:r>
      <w:r w:rsidR="008D1D43" w:rsidRPr="008D1D43">
        <w:rPr>
          <w:rFonts w:ascii="Times New Roman" w:hAnsi="Times New Roman" w:cs="Times New Roman" w:hint="eastAsia"/>
          <w:sz w:val="24"/>
          <w:szCs w:val="24"/>
        </w:rPr>
        <w:t>“</w:t>
      </w:r>
      <w:r w:rsidR="00DA71E9">
        <w:rPr>
          <w:rFonts w:ascii="Times New Roman" w:hAnsi="Times New Roman" w:cs="Times New Roman"/>
          <w:sz w:val="24"/>
          <w:szCs w:val="24"/>
        </w:rPr>
        <w:t xml:space="preserve">Recycling of plastic </w:t>
      </w:r>
      <w:r w:rsidR="008D1D43" w:rsidRPr="008D1D43">
        <w:rPr>
          <w:rFonts w:ascii="Times New Roman" w:hAnsi="Times New Roman" w:cs="Times New Roman"/>
          <w:sz w:val="24"/>
          <w:szCs w:val="24"/>
        </w:rPr>
        <w:t>waste in porous asphalt</w:t>
      </w:r>
      <w:r w:rsidR="00DA71E9">
        <w:rPr>
          <w:rFonts w:ascii="Times New Roman" w:hAnsi="Times New Roman" w:cs="Times New Roman"/>
          <w:sz w:val="24"/>
          <w:szCs w:val="24"/>
        </w:rPr>
        <w:t xml:space="preserve"> </w:t>
      </w:r>
      <w:r w:rsidR="008D1D43" w:rsidRPr="008D1D43">
        <w:rPr>
          <w:rFonts w:ascii="Times New Roman" w:hAnsi="Times New Roman" w:cs="Times New Roman"/>
          <w:sz w:val="24"/>
          <w:szCs w:val="24"/>
        </w:rPr>
        <w:t>pavement: Engineering, environmental, and economic</w:t>
      </w:r>
      <w:r w:rsidR="00DA71E9">
        <w:rPr>
          <w:rFonts w:ascii="Times New Roman" w:hAnsi="Times New Roman" w:cs="Times New Roman"/>
          <w:sz w:val="24"/>
          <w:szCs w:val="24"/>
        </w:rPr>
        <w:t xml:space="preserve"> </w:t>
      </w:r>
      <w:r w:rsidR="008D1D43" w:rsidRPr="008D1D43">
        <w:rPr>
          <w:rFonts w:ascii="Times New Roman" w:hAnsi="Times New Roman" w:cs="Times New Roman"/>
          <w:sz w:val="24"/>
          <w:szCs w:val="24"/>
        </w:rPr>
        <w:t>implications,</w:t>
      </w:r>
      <w:r w:rsidR="008D1D43" w:rsidRPr="008D1D43">
        <w:rPr>
          <w:rFonts w:ascii="Times New Roman" w:hAnsi="Times New Roman" w:cs="Times New Roman" w:hint="eastAsia"/>
          <w:sz w:val="24"/>
          <w:szCs w:val="24"/>
        </w:rPr>
        <w:t>”</w:t>
      </w:r>
      <w:r w:rsidR="00DA71E9">
        <w:rPr>
          <w:rFonts w:ascii="Times New Roman" w:hAnsi="Times New Roman" w:cs="Times New Roman"/>
          <w:i/>
          <w:iCs/>
          <w:sz w:val="24"/>
          <w:szCs w:val="24"/>
        </w:rPr>
        <w:t>J.Clean.</w:t>
      </w:r>
      <w:r w:rsidR="008D1D43" w:rsidRPr="008D1D43">
        <w:rPr>
          <w:rFonts w:ascii="Times New Roman" w:hAnsi="Times New Roman" w:cs="Times New Roman"/>
          <w:i/>
          <w:iCs/>
          <w:sz w:val="24"/>
          <w:szCs w:val="24"/>
        </w:rPr>
        <w:t>Prod.</w:t>
      </w:r>
      <w:r w:rsidR="00DA71E9">
        <w:rPr>
          <w:rFonts w:ascii="Times New Roman" w:hAnsi="Times New Roman" w:cs="Times New Roman"/>
          <w:sz w:val="24"/>
          <w:szCs w:val="24"/>
        </w:rPr>
        <w:t>vol.440,p.</w:t>
      </w:r>
      <w:r w:rsidR="008D1D43" w:rsidRPr="008D1D43">
        <w:rPr>
          <w:rFonts w:ascii="Times New Roman" w:hAnsi="Times New Roman" w:cs="Times New Roman"/>
          <w:sz w:val="24"/>
          <w:szCs w:val="24"/>
        </w:rPr>
        <w:t>140865,</w:t>
      </w:r>
      <w:r w:rsidR="00DA71E9">
        <w:rPr>
          <w:rFonts w:ascii="Times New Roman" w:hAnsi="Times New Roman" w:cs="Times New Roman"/>
          <w:sz w:val="24"/>
          <w:szCs w:val="24"/>
        </w:rPr>
        <w:t>2024.</w:t>
      </w:r>
      <w:r w:rsidR="008D1D43" w:rsidRPr="008D1D43">
        <w:rPr>
          <w:rFonts w:ascii="Times New Roman" w:hAnsi="Times New Roman" w:cs="Times New Roman"/>
          <w:sz w:val="24"/>
          <w:szCs w:val="24"/>
        </w:rPr>
        <w:t>https</w:t>
      </w:r>
      <w:r w:rsidR="00DA71E9">
        <w:rPr>
          <w:rFonts w:ascii="Times New Roman" w:hAnsi="Times New Roman" w:cs="Times New Roman"/>
          <w:sz w:val="24"/>
          <w:szCs w:val="24"/>
        </w:rPr>
        <w:t xml:space="preserve">://doi.org/10.1016/j.jclepro.20 </w:t>
      </w:r>
      <w:r w:rsidR="008D1D43" w:rsidRPr="008D1D43">
        <w:rPr>
          <w:rFonts w:ascii="Times New Roman" w:hAnsi="Times New Roman" w:cs="Times New Roman"/>
          <w:sz w:val="24"/>
          <w:szCs w:val="24"/>
        </w:rPr>
        <w:t>4.140865</w:t>
      </w:r>
    </w:p>
    <w:p w14:paraId="53B449E7" w14:textId="02E50808" w:rsidR="008D1D43" w:rsidRPr="008D1D43" w:rsidRDefault="00907136" w:rsidP="00DA71E9">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[7</w:t>
      </w:r>
      <w:r w:rsidR="008D1D43" w:rsidRPr="008D1D43">
        <w:rPr>
          <w:rFonts w:ascii="Times New Roman" w:hAnsi="Times New Roman" w:cs="Times New Roman"/>
          <w:sz w:val="24"/>
          <w:szCs w:val="24"/>
        </w:rPr>
        <w:t xml:space="preserve">] H. M. Mahan, H. K. K. Ajam, and H. S. H. </w:t>
      </w:r>
      <w:proofErr w:type="spellStart"/>
      <w:r w:rsidR="008D1D43" w:rsidRPr="008D1D43">
        <w:rPr>
          <w:rFonts w:ascii="Times New Roman" w:hAnsi="Times New Roman" w:cs="Times New Roman"/>
          <w:sz w:val="24"/>
          <w:szCs w:val="24"/>
        </w:rPr>
        <w:t>Jassim</w:t>
      </w:r>
      <w:proofErr w:type="spellEnd"/>
      <w:r w:rsidR="008D1D43" w:rsidRPr="008D1D43">
        <w:rPr>
          <w:rFonts w:ascii="Times New Roman" w:hAnsi="Times New Roman" w:cs="Times New Roman"/>
          <w:sz w:val="24"/>
          <w:szCs w:val="24"/>
        </w:rPr>
        <w:t xml:space="preserve">, </w:t>
      </w:r>
      <w:r w:rsidR="008D1D43" w:rsidRPr="008D1D43">
        <w:rPr>
          <w:rFonts w:ascii="Times New Roman" w:hAnsi="Times New Roman" w:cs="Times New Roman" w:hint="eastAsia"/>
          <w:sz w:val="24"/>
          <w:szCs w:val="24"/>
        </w:rPr>
        <w:t>“</w:t>
      </w:r>
      <w:r w:rsidR="008D1D43" w:rsidRPr="008D1D43">
        <w:rPr>
          <w:rFonts w:ascii="Times New Roman" w:hAnsi="Times New Roman" w:cs="Times New Roman"/>
          <w:sz w:val="24"/>
          <w:szCs w:val="24"/>
        </w:rPr>
        <w:t xml:space="preserve">Enhancing </w:t>
      </w:r>
      <w:r w:rsidR="00AF0453" w:rsidRPr="008D1D43">
        <w:rPr>
          <w:rFonts w:ascii="Times New Roman" w:hAnsi="Times New Roman" w:cs="Times New Roman"/>
          <w:sz w:val="24"/>
          <w:szCs w:val="24"/>
        </w:rPr>
        <w:t>marshal</w:t>
      </w:r>
      <w:r w:rsidR="008D1D43" w:rsidRPr="008D1D43">
        <w:rPr>
          <w:rFonts w:ascii="Times New Roman" w:hAnsi="Times New Roman" w:cs="Times New Roman"/>
          <w:sz w:val="24"/>
          <w:szCs w:val="24"/>
        </w:rPr>
        <w:t xml:space="preserve"> properties through the integration of</w:t>
      </w:r>
      <w:r w:rsidR="00DA71E9">
        <w:rPr>
          <w:rFonts w:ascii="Times New Roman" w:hAnsi="Times New Roman" w:cs="Times New Roman"/>
          <w:sz w:val="24"/>
          <w:szCs w:val="24"/>
        </w:rPr>
        <w:t xml:space="preserve"> </w:t>
      </w:r>
      <w:r w:rsidR="008D1D43" w:rsidRPr="008D1D43">
        <w:rPr>
          <w:rFonts w:ascii="Times New Roman" w:hAnsi="Times New Roman" w:cs="Times New Roman"/>
          <w:sz w:val="24"/>
          <w:szCs w:val="24"/>
        </w:rPr>
        <w:t>waste plastic water bottles in dry process asphalt production,</w:t>
      </w:r>
      <w:r w:rsidR="008D1D43" w:rsidRPr="008D1D43">
        <w:rPr>
          <w:rFonts w:ascii="Times New Roman" w:hAnsi="Times New Roman" w:cs="Times New Roman" w:hint="eastAsia"/>
          <w:sz w:val="24"/>
          <w:szCs w:val="24"/>
        </w:rPr>
        <w:t>”</w:t>
      </w:r>
      <w:r w:rsidR="008D1D43" w:rsidRPr="008D1D43">
        <w:rPr>
          <w:rFonts w:ascii="Times New Roman" w:hAnsi="Times New Roman" w:cs="Times New Roman"/>
          <w:sz w:val="24"/>
          <w:szCs w:val="24"/>
        </w:rPr>
        <w:t xml:space="preserve"> </w:t>
      </w:r>
      <w:r w:rsidR="00DA71E9">
        <w:rPr>
          <w:rFonts w:ascii="Times New Roman" w:hAnsi="Times New Roman" w:cs="Times New Roman"/>
          <w:i/>
          <w:iCs/>
          <w:sz w:val="24"/>
          <w:szCs w:val="24"/>
        </w:rPr>
        <w:t xml:space="preserve">Math. </w:t>
      </w:r>
      <w:r w:rsidR="008D1D43" w:rsidRPr="008D1D43">
        <w:rPr>
          <w:rFonts w:ascii="Times New Roman" w:hAnsi="Times New Roman" w:cs="Times New Roman"/>
          <w:i/>
          <w:iCs/>
          <w:sz w:val="24"/>
          <w:szCs w:val="24"/>
        </w:rPr>
        <w:t xml:space="preserve">Model. Eng. </w:t>
      </w:r>
      <w:proofErr w:type="spellStart"/>
      <w:r w:rsidR="008D1D43" w:rsidRPr="008D1D43">
        <w:rPr>
          <w:rFonts w:ascii="Times New Roman" w:hAnsi="Times New Roman" w:cs="Times New Roman"/>
          <w:i/>
          <w:iCs/>
          <w:sz w:val="24"/>
          <w:szCs w:val="24"/>
        </w:rPr>
        <w:t>Probl</w:t>
      </w:r>
      <w:proofErr w:type="spellEnd"/>
      <w:r w:rsidR="008D1D43" w:rsidRPr="008D1D43">
        <w:rPr>
          <w:rFonts w:ascii="Times New Roman" w:hAnsi="Times New Roman" w:cs="Times New Roman"/>
          <w:i/>
          <w:iCs/>
          <w:sz w:val="24"/>
          <w:szCs w:val="24"/>
        </w:rPr>
        <w:t>.</w:t>
      </w:r>
      <w:r w:rsidR="008D1D43" w:rsidRPr="008D1D43">
        <w:rPr>
          <w:rFonts w:ascii="Times New Roman" w:hAnsi="Times New Roman" w:cs="Times New Roman"/>
          <w:sz w:val="24"/>
          <w:szCs w:val="24"/>
        </w:rPr>
        <w:t>, vol. 10, no. 5, pp.1817</w:t>
      </w:r>
      <w:r w:rsidR="008D1D43" w:rsidRPr="008D1D43">
        <w:rPr>
          <w:rFonts w:ascii="Times New Roman" w:hAnsi="Times New Roman" w:cs="Times New Roman" w:hint="eastAsia"/>
          <w:sz w:val="24"/>
          <w:szCs w:val="24"/>
        </w:rPr>
        <w:t>–</w:t>
      </w:r>
      <w:r w:rsidR="00DA71E9">
        <w:rPr>
          <w:rFonts w:ascii="Times New Roman" w:hAnsi="Times New Roman" w:cs="Times New Roman"/>
          <w:sz w:val="24"/>
          <w:szCs w:val="24"/>
        </w:rPr>
        <w:t xml:space="preserve">1823, 2023. </w:t>
      </w:r>
      <w:r w:rsidR="008D1D43" w:rsidRPr="008D1D43">
        <w:rPr>
          <w:rFonts w:ascii="Times New Roman" w:hAnsi="Times New Roman" w:cs="Times New Roman"/>
          <w:sz w:val="24"/>
          <w:szCs w:val="24"/>
        </w:rPr>
        <w:t>https://doi.org/10.18280/mmep.100534</w:t>
      </w:r>
    </w:p>
    <w:p w14:paraId="5372AE65" w14:textId="1010CB0F" w:rsidR="008D1D43" w:rsidRPr="008D1D43" w:rsidRDefault="00CF6C2C" w:rsidP="00DA71E9">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sidR="008D1D43" w:rsidRPr="008D1D43">
        <w:rPr>
          <w:rFonts w:ascii="Times New Roman" w:hAnsi="Times New Roman" w:cs="Times New Roman"/>
          <w:sz w:val="24"/>
          <w:szCs w:val="24"/>
        </w:rPr>
        <w:t xml:space="preserve">] K. A. Mohammed, A. I. Mansi, </w:t>
      </w:r>
      <w:proofErr w:type="spellStart"/>
      <w:r w:rsidR="008D1D43" w:rsidRPr="008D1D43">
        <w:rPr>
          <w:rFonts w:ascii="Times New Roman" w:hAnsi="Times New Roman" w:cs="Times New Roman"/>
          <w:sz w:val="24"/>
          <w:szCs w:val="24"/>
        </w:rPr>
        <w:t>andY</w:t>
      </w:r>
      <w:proofErr w:type="spellEnd"/>
      <w:r w:rsidR="008D1D43" w:rsidRPr="008D1D43">
        <w:rPr>
          <w:rFonts w:ascii="Times New Roman" w:hAnsi="Times New Roman" w:cs="Times New Roman"/>
          <w:sz w:val="24"/>
          <w:szCs w:val="24"/>
        </w:rPr>
        <w:t xml:space="preserve">. R. Hussein, </w:t>
      </w:r>
      <w:r w:rsidR="008D1D43" w:rsidRPr="008D1D43">
        <w:rPr>
          <w:rFonts w:ascii="Times New Roman" w:hAnsi="Times New Roman" w:cs="Times New Roman" w:hint="eastAsia"/>
          <w:sz w:val="24"/>
          <w:szCs w:val="24"/>
        </w:rPr>
        <w:t>“</w:t>
      </w:r>
      <w:r w:rsidR="008D1D43" w:rsidRPr="008D1D43">
        <w:rPr>
          <w:rFonts w:ascii="Times New Roman" w:hAnsi="Times New Roman" w:cs="Times New Roman"/>
          <w:sz w:val="24"/>
          <w:szCs w:val="24"/>
        </w:rPr>
        <w:t>Performance evaluation of asphalt binder modified by natural</w:t>
      </w:r>
      <w:r w:rsidR="00DA71E9">
        <w:rPr>
          <w:rFonts w:ascii="Times New Roman" w:hAnsi="Times New Roman" w:cs="Times New Roman"/>
          <w:sz w:val="24"/>
          <w:szCs w:val="24"/>
        </w:rPr>
        <w:t xml:space="preserve"> </w:t>
      </w:r>
      <w:r w:rsidR="008D1D43" w:rsidRPr="008D1D43">
        <w:rPr>
          <w:rFonts w:ascii="Times New Roman" w:hAnsi="Times New Roman" w:cs="Times New Roman"/>
          <w:sz w:val="24"/>
          <w:szCs w:val="24"/>
        </w:rPr>
        <w:t>rock asphalt,</w:t>
      </w:r>
      <w:r w:rsidR="008D1D43" w:rsidRPr="008D1D43">
        <w:rPr>
          <w:rFonts w:ascii="Times New Roman" w:hAnsi="Times New Roman" w:cs="Times New Roman" w:hint="eastAsia"/>
          <w:sz w:val="24"/>
          <w:szCs w:val="24"/>
        </w:rPr>
        <w:t>”</w:t>
      </w:r>
      <w:r w:rsidR="008D1D43" w:rsidRPr="008D1D43">
        <w:rPr>
          <w:rFonts w:ascii="Times New Roman" w:hAnsi="Times New Roman" w:cs="Times New Roman"/>
          <w:sz w:val="24"/>
          <w:szCs w:val="24"/>
        </w:rPr>
        <w:t xml:space="preserve"> </w:t>
      </w:r>
      <w:r w:rsidR="008D1D43" w:rsidRPr="008D1D43">
        <w:rPr>
          <w:rFonts w:ascii="Times New Roman" w:hAnsi="Times New Roman" w:cs="Times New Roman"/>
          <w:i/>
          <w:iCs/>
          <w:sz w:val="24"/>
          <w:szCs w:val="24"/>
        </w:rPr>
        <w:t>Rev. Compos. Mater. Av.</w:t>
      </w:r>
      <w:r w:rsidR="00DA71E9">
        <w:rPr>
          <w:rFonts w:ascii="Times New Roman" w:hAnsi="Times New Roman" w:cs="Times New Roman"/>
          <w:sz w:val="24"/>
          <w:szCs w:val="24"/>
        </w:rPr>
        <w:t>, vol. 31, no. 5, pp.</w:t>
      </w:r>
      <w:r w:rsidR="008D1D43" w:rsidRPr="008D1D43">
        <w:rPr>
          <w:rFonts w:ascii="Times New Roman" w:hAnsi="Times New Roman" w:cs="Times New Roman"/>
          <w:sz w:val="24"/>
          <w:szCs w:val="24"/>
        </w:rPr>
        <w:t>291</w:t>
      </w:r>
      <w:r w:rsidR="008D1D43" w:rsidRPr="008D1D43">
        <w:rPr>
          <w:rFonts w:ascii="Times New Roman" w:hAnsi="Times New Roman" w:cs="Times New Roman" w:hint="eastAsia"/>
          <w:sz w:val="24"/>
          <w:szCs w:val="24"/>
        </w:rPr>
        <w:t>–</w:t>
      </w:r>
      <w:r w:rsidR="008D1D43" w:rsidRPr="008D1D43">
        <w:rPr>
          <w:rFonts w:ascii="Times New Roman" w:hAnsi="Times New Roman" w:cs="Times New Roman"/>
          <w:sz w:val="24"/>
          <w:szCs w:val="24"/>
        </w:rPr>
        <w:t>295, 2021. https://doi.org/10.18280/rcma.310504</w:t>
      </w:r>
    </w:p>
    <w:p w14:paraId="38034A77" w14:textId="6A169FA7" w:rsidR="008D1D43" w:rsidRPr="008D1D43" w:rsidRDefault="00CF6C2C" w:rsidP="00DA71E9">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sidR="008D1D43" w:rsidRPr="008D1D43">
        <w:rPr>
          <w:rFonts w:ascii="Times New Roman" w:hAnsi="Times New Roman" w:cs="Times New Roman"/>
          <w:sz w:val="24"/>
          <w:szCs w:val="24"/>
        </w:rPr>
        <w:t xml:space="preserve">] N. Naresh and P. V. </w:t>
      </w:r>
      <w:proofErr w:type="spellStart"/>
      <w:r w:rsidR="008D1D43" w:rsidRPr="008D1D43">
        <w:rPr>
          <w:rFonts w:ascii="Times New Roman" w:hAnsi="Times New Roman" w:cs="Times New Roman"/>
          <w:sz w:val="24"/>
          <w:szCs w:val="24"/>
        </w:rPr>
        <w:t>Suryaprakash</w:t>
      </w:r>
      <w:proofErr w:type="spellEnd"/>
      <w:r w:rsidR="008D1D43" w:rsidRPr="008D1D43">
        <w:rPr>
          <w:rFonts w:ascii="Times New Roman" w:hAnsi="Times New Roman" w:cs="Times New Roman"/>
          <w:sz w:val="24"/>
          <w:szCs w:val="24"/>
        </w:rPr>
        <w:t xml:space="preserve">, </w:t>
      </w:r>
      <w:r w:rsidR="008D1D43" w:rsidRPr="008D1D43">
        <w:rPr>
          <w:rFonts w:ascii="Times New Roman" w:hAnsi="Times New Roman" w:cs="Times New Roman" w:hint="eastAsia"/>
          <w:sz w:val="24"/>
          <w:szCs w:val="24"/>
        </w:rPr>
        <w:t>“</w:t>
      </w:r>
      <w:r w:rsidR="008D1D43" w:rsidRPr="008D1D43">
        <w:rPr>
          <w:rFonts w:ascii="Times New Roman" w:hAnsi="Times New Roman" w:cs="Times New Roman"/>
          <w:sz w:val="24"/>
          <w:szCs w:val="24"/>
        </w:rPr>
        <w:t xml:space="preserve">Polymer modified bitumen in flexible pavement and its </w:t>
      </w:r>
      <w:proofErr w:type="spellStart"/>
      <w:r w:rsidR="008D1D43" w:rsidRPr="008D1D43">
        <w:rPr>
          <w:rFonts w:ascii="Times New Roman" w:hAnsi="Times New Roman" w:cs="Times New Roman"/>
          <w:sz w:val="24"/>
          <w:szCs w:val="24"/>
        </w:rPr>
        <w:t>characterization,</w:t>
      </w:r>
      <w:r w:rsidR="008D1D43" w:rsidRPr="008D1D43">
        <w:rPr>
          <w:rFonts w:ascii="Times New Roman" w:hAnsi="Times New Roman" w:cs="Times New Roman" w:hint="eastAsia"/>
          <w:sz w:val="24"/>
          <w:szCs w:val="24"/>
        </w:rPr>
        <w:t>”</w:t>
      </w:r>
      <w:r w:rsidR="008D1D43" w:rsidRPr="008D1D43">
        <w:rPr>
          <w:rFonts w:ascii="Times New Roman" w:hAnsi="Times New Roman" w:cs="Times New Roman"/>
          <w:i/>
          <w:iCs/>
          <w:sz w:val="24"/>
          <w:szCs w:val="24"/>
        </w:rPr>
        <w:t>Int</w:t>
      </w:r>
      <w:proofErr w:type="spellEnd"/>
      <w:r w:rsidR="008D1D43" w:rsidRPr="008D1D43">
        <w:rPr>
          <w:rFonts w:ascii="Times New Roman" w:hAnsi="Times New Roman" w:cs="Times New Roman"/>
          <w:i/>
          <w:iCs/>
          <w:sz w:val="24"/>
          <w:szCs w:val="24"/>
        </w:rPr>
        <w:t>. Res. J. Eng. Technol.</w:t>
      </w:r>
      <w:r w:rsidR="008D1D43" w:rsidRPr="008D1D43">
        <w:rPr>
          <w:rFonts w:ascii="Times New Roman" w:hAnsi="Times New Roman" w:cs="Times New Roman"/>
          <w:sz w:val="24"/>
          <w:szCs w:val="24"/>
        </w:rPr>
        <w:t>, vol. 7, no. 7, pp. 4817</w:t>
      </w:r>
      <w:r w:rsidR="008D1D43" w:rsidRPr="008D1D43">
        <w:rPr>
          <w:rFonts w:ascii="Times New Roman" w:hAnsi="Times New Roman" w:cs="Times New Roman" w:hint="eastAsia"/>
          <w:sz w:val="24"/>
          <w:szCs w:val="24"/>
        </w:rPr>
        <w:t>–</w:t>
      </w:r>
      <w:r w:rsidR="008D1D43" w:rsidRPr="008D1D43">
        <w:rPr>
          <w:rFonts w:ascii="Times New Roman" w:hAnsi="Times New Roman" w:cs="Times New Roman"/>
          <w:sz w:val="24"/>
          <w:szCs w:val="24"/>
        </w:rPr>
        <w:t>4823, 2020. https://www.irjet.net/archives/V7/i7/IRJET-V7I7837.pdf</w:t>
      </w:r>
    </w:p>
    <w:p w14:paraId="1F4CA966" w14:textId="6201179F" w:rsidR="008D1D43" w:rsidRPr="008D1D43" w:rsidRDefault="00CF6C2C" w:rsidP="00DA71E9">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sidR="008D1D43" w:rsidRPr="008D1D43">
        <w:rPr>
          <w:rFonts w:ascii="Times New Roman" w:hAnsi="Times New Roman" w:cs="Times New Roman"/>
          <w:sz w:val="24"/>
          <w:szCs w:val="24"/>
        </w:rPr>
        <w:t xml:space="preserve">] E. E. Putri and A. </w:t>
      </w:r>
      <w:proofErr w:type="spellStart"/>
      <w:r w:rsidR="008D1D43" w:rsidRPr="008D1D43">
        <w:rPr>
          <w:rFonts w:ascii="Times New Roman" w:hAnsi="Times New Roman" w:cs="Times New Roman"/>
          <w:sz w:val="24"/>
          <w:szCs w:val="24"/>
        </w:rPr>
        <w:t>Dwinanda</w:t>
      </w:r>
      <w:proofErr w:type="spellEnd"/>
      <w:r w:rsidR="008D1D43" w:rsidRPr="008D1D43">
        <w:rPr>
          <w:rFonts w:ascii="Times New Roman" w:hAnsi="Times New Roman" w:cs="Times New Roman"/>
          <w:sz w:val="24"/>
          <w:szCs w:val="24"/>
        </w:rPr>
        <w:t xml:space="preserve">, </w:t>
      </w:r>
      <w:r w:rsidR="008D1D43" w:rsidRPr="008D1D43">
        <w:rPr>
          <w:rFonts w:ascii="Times New Roman" w:hAnsi="Times New Roman" w:cs="Times New Roman" w:hint="eastAsia"/>
          <w:sz w:val="24"/>
          <w:szCs w:val="24"/>
        </w:rPr>
        <w:t>“</w:t>
      </w:r>
      <w:r w:rsidR="008D1D43" w:rsidRPr="008D1D43">
        <w:rPr>
          <w:rFonts w:ascii="Times New Roman" w:hAnsi="Times New Roman" w:cs="Times New Roman"/>
          <w:sz w:val="24"/>
          <w:szCs w:val="24"/>
        </w:rPr>
        <w:t xml:space="preserve">The effect of </w:t>
      </w:r>
      <w:proofErr w:type="spellStart"/>
      <w:r w:rsidR="008D1D43" w:rsidRPr="008D1D43">
        <w:rPr>
          <w:rFonts w:ascii="Times New Roman" w:hAnsi="Times New Roman" w:cs="Times New Roman"/>
          <w:sz w:val="24"/>
          <w:szCs w:val="24"/>
        </w:rPr>
        <w:t>styr</w:t>
      </w:r>
      <w:r w:rsidR="00DA71E9">
        <w:rPr>
          <w:rFonts w:ascii="Times New Roman" w:hAnsi="Times New Roman" w:cs="Times New Roman"/>
          <w:sz w:val="24"/>
          <w:szCs w:val="24"/>
        </w:rPr>
        <w:t>ofoam</w:t>
      </w:r>
      <w:proofErr w:type="spellEnd"/>
      <w:r w:rsidR="00DA71E9">
        <w:rPr>
          <w:rFonts w:ascii="Times New Roman" w:hAnsi="Times New Roman" w:cs="Times New Roman"/>
          <w:sz w:val="24"/>
          <w:szCs w:val="24"/>
        </w:rPr>
        <w:t xml:space="preserve"> addition into HRS-base on </w:t>
      </w:r>
      <w:r w:rsidR="008D1D43" w:rsidRPr="008D1D43">
        <w:rPr>
          <w:rFonts w:ascii="Times New Roman" w:hAnsi="Times New Roman" w:cs="Times New Roman"/>
          <w:sz w:val="24"/>
          <w:szCs w:val="24"/>
        </w:rPr>
        <w:t xml:space="preserve">Marshall </w:t>
      </w:r>
      <w:proofErr w:type="spellStart"/>
      <w:r w:rsidR="008D1D43" w:rsidRPr="008D1D43">
        <w:rPr>
          <w:rFonts w:ascii="Times New Roman" w:hAnsi="Times New Roman" w:cs="Times New Roman"/>
          <w:sz w:val="24"/>
          <w:szCs w:val="24"/>
        </w:rPr>
        <w:t>characteristics,</w:t>
      </w:r>
      <w:r w:rsidR="008D1D43" w:rsidRPr="008D1D43">
        <w:rPr>
          <w:rFonts w:ascii="Times New Roman" w:hAnsi="Times New Roman" w:cs="Times New Roman" w:hint="eastAsia"/>
          <w:sz w:val="24"/>
          <w:szCs w:val="24"/>
        </w:rPr>
        <w:t>”</w:t>
      </w:r>
      <w:r w:rsidR="008D1D43" w:rsidRPr="008D1D43">
        <w:rPr>
          <w:rFonts w:ascii="Times New Roman" w:hAnsi="Times New Roman" w:cs="Times New Roman"/>
          <w:i/>
          <w:iCs/>
          <w:sz w:val="24"/>
          <w:szCs w:val="24"/>
        </w:rPr>
        <w:t>Int</w:t>
      </w:r>
      <w:proofErr w:type="spellEnd"/>
      <w:r w:rsidR="008D1D43" w:rsidRPr="008D1D43">
        <w:rPr>
          <w:rFonts w:ascii="Times New Roman" w:hAnsi="Times New Roman" w:cs="Times New Roman"/>
          <w:i/>
          <w:iCs/>
          <w:sz w:val="24"/>
          <w:szCs w:val="24"/>
        </w:rPr>
        <w:t>. J. Adv. Sci. Eng. Inf. Technol.</w:t>
      </w:r>
      <w:r w:rsidR="008D1D43" w:rsidRPr="008D1D43">
        <w:rPr>
          <w:rFonts w:ascii="Times New Roman" w:hAnsi="Times New Roman" w:cs="Times New Roman"/>
          <w:sz w:val="24"/>
          <w:szCs w:val="24"/>
        </w:rPr>
        <w:t>, vol. 8, no. 5, pp. 2182</w:t>
      </w:r>
      <w:r w:rsidR="008D1D43" w:rsidRPr="008D1D43">
        <w:rPr>
          <w:rFonts w:ascii="Times New Roman" w:hAnsi="Times New Roman" w:cs="Times New Roman" w:hint="eastAsia"/>
          <w:sz w:val="24"/>
          <w:szCs w:val="24"/>
        </w:rPr>
        <w:t>–</w:t>
      </w:r>
      <w:r w:rsidR="008D1D43" w:rsidRPr="008D1D43">
        <w:rPr>
          <w:rFonts w:ascii="Times New Roman" w:hAnsi="Times New Roman" w:cs="Times New Roman"/>
          <w:sz w:val="24"/>
          <w:szCs w:val="24"/>
        </w:rPr>
        <w:t>2188, 2018. https://doi.org/10.18517/ijaseit.8.5.3944</w:t>
      </w:r>
    </w:p>
    <w:p w14:paraId="46FE4D7D" w14:textId="3777525F" w:rsidR="008D1D43" w:rsidRPr="008D1D43" w:rsidRDefault="0049174F" w:rsidP="00DA71E9">
      <w:pPr>
        <w:spacing w:line="240" w:lineRule="auto"/>
        <w:ind w:left="720" w:hanging="720"/>
        <w:jc w:val="both"/>
        <w:rPr>
          <w:rFonts w:ascii="Times New Roman" w:hAnsi="Times New Roman" w:cs="Times New Roman"/>
          <w:sz w:val="24"/>
          <w:szCs w:val="24"/>
        </w:rPr>
      </w:pPr>
      <w:r w:rsidRPr="008D1D43">
        <w:rPr>
          <w:rFonts w:ascii="Times New Roman" w:hAnsi="Times New Roman" w:cs="Times New Roman"/>
          <w:sz w:val="24"/>
          <w:szCs w:val="24"/>
        </w:rPr>
        <w:t xml:space="preserve"> </w:t>
      </w:r>
      <w:r w:rsidR="00CF6C2C">
        <w:rPr>
          <w:rFonts w:ascii="Times New Roman" w:hAnsi="Times New Roman" w:cs="Times New Roman"/>
          <w:sz w:val="24"/>
          <w:szCs w:val="24"/>
        </w:rPr>
        <w:t>[11</w:t>
      </w:r>
      <w:r w:rsidR="008D1D43" w:rsidRPr="008D1D43">
        <w:rPr>
          <w:rFonts w:ascii="Times New Roman" w:hAnsi="Times New Roman" w:cs="Times New Roman"/>
          <w:sz w:val="24"/>
          <w:szCs w:val="24"/>
        </w:rPr>
        <w:t xml:space="preserve">] A. </w:t>
      </w:r>
      <w:proofErr w:type="spellStart"/>
      <w:r w:rsidR="008D1D43" w:rsidRPr="008D1D43">
        <w:rPr>
          <w:rFonts w:ascii="Times New Roman" w:hAnsi="Times New Roman" w:cs="Times New Roman"/>
          <w:sz w:val="24"/>
          <w:szCs w:val="24"/>
        </w:rPr>
        <w:t>Setyawan</w:t>
      </w:r>
      <w:proofErr w:type="spellEnd"/>
      <w:r w:rsidR="008D1D43" w:rsidRPr="008D1D43">
        <w:rPr>
          <w:rFonts w:ascii="Times New Roman" w:hAnsi="Times New Roman" w:cs="Times New Roman"/>
          <w:sz w:val="24"/>
          <w:szCs w:val="24"/>
        </w:rPr>
        <w:t xml:space="preserve">, M. D. Sistra, D. </w:t>
      </w:r>
      <w:proofErr w:type="spellStart"/>
      <w:r w:rsidR="008D1D43" w:rsidRPr="008D1D43">
        <w:rPr>
          <w:rFonts w:ascii="Times New Roman" w:hAnsi="Times New Roman" w:cs="Times New Roman"/>
          <w:sz w:val="24"/>
          <w:szCs w:val="24"/>
        </w:rPr>
        <w:t>Sarwono</w:t>
      </w:r>
      <w:proofErr w:type="spellEnd"/>
      <w:r w:rsidR="008D1D43" w:rsidRPr="008D1D43">
        <w:rPr>
          <w:rFonts w:ascii="Times New Roman" w:hAnsi="Times New Roman" w:cs="Times New Roman"/>
          <w:sz w:val="24"/>
          <w:szCs w:val="24"/>
        </w:rPr>
        <w:t xml:space="preserve">, </w:t>
      </w:r>
      <w:proofErr w:type="spellStart"/>
      <w:r w:rsidR="008D1D43" w:rsidRPr="008D1D43">
        <w:rPr>
          <w:rFonts w:ascii="Times New Roman" w:hAnsi="Times New Roman" w:cs="Times New Roman"/>
          <w:sz w:val="24"/>
          <w:szCs w:val="24"/>
        </w:rPr>
        <w:t>Djumari</w:t>
      </w:r>
      <w:proofErr w:type="spellEnd"/>
      <w:r w:rsidR="008D1D43" w:rsidRPr="008D1D43">
        <w:rPr>
          <w:rFonts w:ascii="Times New Roman" w:hAnsi="Times New Roman" w:cs="Times New Roman"/>
          <w:sz w:val="24"/>
          <w:szCs w:val="24"/>
        </w:rPr>
        <w:t xml:space="preserve">, and </w:t>
      </w:r>
      <w:proofErr w:type="spellStart"/>
      <w:r w:rsidR="008D1D43" w:rsidRPr="008D1D43">
        <w:rPr>
          <w:rFonts w:ascii="Times New Roman" w:hAnsi="Times New Roman" w:cs="Times New Roman"/>
          <w:sz w:val="24"/>
          <w:szCs w:val="24"/>
        </w:rPr>
        <w:t>Zulfadly</w:t>
      </w:r>
      <w:proofErr w:type="spellEnd"/>
      <w:r w:rsidR="008D1D43" w:rsidRPr="008D1D43">
        <w:rPr>
          <w:rFonts w:ascii="Times New Roman" w:hAnsi="Times New Roman" w:cs="Times New Roman"/>
          <w:sz w:val="24"/>
          <w:szCs w:val="24"/>
        </w:rPr>
        <w:t xml:space="preserve">, </w:t>
      </w:r>
      <w:r w:rsidR="008D1D43" w:rsidRPr="008D1D43">
        <w:rPr>
          <w:rFonts w:ascii="Times New Roman" w:hAnsi="Times New Roman" w:cs="Times New Roman" w:hint="eastAsia"/>
          <w:sz w:val="24"/>
          <w:szCs w:val="24"/>
        </w:rPr>
        <w:t>“</w:t>
      </w:r>
      <w:r w:rsidR="00DA71E9">
        <w:rPr>
          <w:rFonts w:ascii="Times New Roman" w:hAnsi="Times New Roman" w:cs="Times New Roman"/>
          <w:sz w:val="24"/>
          <w:szCs w:val="24"/>
        </w:rPr>
        <w:t xml:space="preserve">The physical and </w:t>
      </w:r>
      <w:r w:rsidR="008D1D43" w:rsidRPr="008D1D43">
        <w:rPr>
          <w:rFonts w:ascii="Times New Roman" w:hAnsi="Times New Roman" w:cs="Times New Roman"/>
          <w:sz w:val="24"/>
          <w:szCs w:val="24"/>
        </w:rPr>
        <w:t>mechanical properties of</w:t>
      </w:r>
      <w:r w:rsidR="00DA71E9">
        <w:rPr>
          <w:rFonts w:ascii="Times New Roman" w:hAnsi="Times New Roman" w:cs="Times New Roman"/>
          <w:sz w:val="24"/>
          <w:szCs w:val="24"/>
        </w:rPr>
        <w:t xml:space="preserve"> </w:t>
      </w:r>
      <w:r w:rsidR="008D1D43" w:rsidRPr="008D1D43">
        <w:rPr>
          <w:rFonts w:ascii="Times New Roman" w:hAnsi="Times New Roman" w:cs="Times New Roman"/>
          <w:sz w:val="24"/>
          <w:szCs w:val="24"/>
        </w:rPr>
        <w:t>ethylene vinyl acetate modified binder,</w:t>
      </w:r>
      <w:r w:rsidR="008D1D43" w:rsidRPr="008D1D43">
        <w:rPr>
          <w:rFonts w:ascii="Times New Roman" w:hAnsi="Times New Roman" w:cs="Times New Roman" w:hint="eastAsia"/>
          <w:sz w:val="24"/>
          <w:szCs w:val="24"/>
        </w:rPr>
        <w:t>”</w:t>
      </w:r>
      <w:r w:rsidR="008D1D43" w:rsidRPr="008D1D43">
        <w:rPr>
          <w:rFonts w:ascii="Times New Roman" w:hAnsi="Times New Roman" w:cs="Times New Roman"/>
          <w:sz w:val="24"/>
          <w:szCs w:val="24"/>
        </w:rPr>
        <w:t xml:space="preserve"> </w:t>
      </w:r>
      <w:r w:rsidR="008D1D43" w:rsidRPr="008D1D43">
        <w:rPr>
          <w:rFonts w:ascii="Times New Roman" w:hAnsi="Times New Roman" w:cs="Times New Roman"/>
          <w:i/>
          <w:iCs/>
          <w:sz w:val="24"/>
          <w:szCs w:val="24"/>
        </w:rPr>
        <w:t>IOP Conf. Ser.: Mater. Sci. Eng.</w:t>
      </w:r>
      <w:r w:rsidR="008D1D43" w:rsidRPr="008D1D43">
        <w:rPr>
          <w:rFonts w:ascii="Times New Roman" w:hAnsi="Times New Roman" w:cs="Times New Roman"/>
          <w:sz w:val="24"/>
          <w:szCs w:val="24"/>
        </w:rPr>
        <w:t>, vol. 578, no. 1, p. 012080, 2019.</w:t>
      </w:r>
      <w:r w:rsidR="00DA71E9">
        <w:rPr>
          <w:rFonts w:ascii="Times New Roman" w:hAnsi="Times New Roman" w:cs="Times New Roman"/>
          <w:sz w:val="24"/>
          <w:szCs w:val="24"/>
        </w:rPr>
        <w:t xml:space="preserve"> </w:t>
      </w:r>
      <w:r w:rsidR="008D1D43" w:rsidRPr="008D1D43">
        <w:rPr>
          <w:rFonts w:ascii="Times New Roman" w:hAnsi="Times New Roman" w:cs="Times New Roman"/>
          <w:sz w:val="24"/>
          <w:szCs w:val="24"/>
        </w:rPr>
        <w:t>https://doi.org/10.1088/1757-899X/578/1/012080</w:t>
      </w:r>
    </w:p>
    <w:p w14:paraId="1DC5A71A" w14:textId="4C8F96E7" w:rsidR="008D1D43" w:rsidRPr="00DA71E9" w:rsidRDefault="0049174F" w:rsidP="00DA71E9">
      <w:pPr>
        <w:spacing w:line="240" w:lineRule="auto"/>
        <w:ind w:left="720" w:hanging="720"/>
        <w:jc w:val="both"/>
        <w:rPr>
          <w:rFonts w:ascii="Times New Roman" w:hAnsi="Times New Roman" w:cs="Times New Roman"/>
          <w:i/>
          <w:iCs/>
          <w:sz w:val="24"/>
          <w:szCs w:val="24"/>
        </w:rPr>
      </w:pPr>
      <w:r w:rsidRPr="008D1D43">
        <w:rPr>
          <w:rFonts w:ascii="Times New Roman" w:hAnsi="Times New Roman" w:cs="Times New Roman"/>
          <w:sz w:val="24"/>
          <w:szCs w:val="24"/>
        </w:rPr>
        <w:t xml:space="preserve"> </w:t>
      </w:r>
      <w:r w:rsidR="00CF6C2C">
        <w:rPr>
          <w:rFonts w:ascii="Times New Roman" w:hAnsi="Times New Roman" w:cs="Times New Roman"/>
          <w:sz w:val="24"/>
          <w:szCs w:val="24"/>
        </w:rPr>
        <w:t>[12</w:t>
      </w:r>
      <w:proofErr w:type="gramStart"/>
      <w:r w:rsidR="008D1D43" w:rsidRPr="008D1D43">
        <w:rPr>
          <w:rFonts w:ascii="Times New Roman" w:hAnsi="Times New Roman" w:cs="Times New Roman"/>
          <w:sz w:val="24"/>
          <w:szCs w:val="24"/>
        </w:rPr>
        <w:t>]</w:t>
      </w:r>
      <w:r w:rsidR="00CF6C2C">
        <w:rPr>
          <w:rFonts w:ascii="Times New Roman" w:hAnsi="Times New Roman" w:cs="Times New Roman"/>
          <w:sz w:val="24"/>
          <w:szCs w:val="24"/>
        </w:rPr>
        <w:t xml:space="preserve"> </w:t>
      </w:r>
      <w:r w:rsidR="008D1D43" w:rsidRPr="008D1D43">
        <w:rPr>
          <w:rFonts w:ascii="Times New Roman" w:hAnsi="Times New Roman" w:cs="Times New Roman"/>
          <w:sz w:val="24"/>
          <w:szCs w:val="24"/>
        </w:rPr>
        <w:t xml:space="preserve"> F.</w:t>
      </w:r>
      <w:proofErr w:type="gramEnd"/>
      <w:r w:rsidR="008D1D43" w:rsidRPr="008D1D43">
        <w:rPr>
          <w:rFonts w:ascii="Times New Roman" w:hAnsi="Times New Roman" w:cs="Times New Roman"/>
          <w:sz w:val="24"/>
          <w:szCs w:val="24"/>
        </w:rPr>
        <w:t xml:space="preserve"> Chairuddin, </w:t>
      </w:r>
      <w:r w:rsidR="008D1D43" w:rsidRPr="008D1D43">
        <w:rPr>
          <w:rFonts w:ascii="Times New Roman" w:hAnsi="Times New Roman" w:cs="Times New Roman" w:hint="eastAsia"/>
          <w:sz w:val="24"/>
          <w:szCs w:val="24"/>
        </w:rPr>
        <w:t>“</w:t>
      </w:r>
      <w:r w:rsidR="008D1D43" w:rsidRPr="008D1D43">
        <w:rPr>
          <w:rFonts w:ascii="Times New Roman" w:hAnsi="Times New Roman" w:cs="Times New Roman"/>
          <w:sz w:val="24"/>
          <w:szCs w:val="24"/>
        </w:rPr>
        <w:t>Experimental study on the impact of rain water puddle of asphalt pavement structure,</w:t>
      </w:r>
      <w:r w:rsidR="008D1D43" w:rsidRPr="008D1D43">
        <w:rPr>
          <w:rFonts w:ascii="Times New Roman" w:hAnsi="Times New Roman" w:cs="Times New Roman" w:hint="eastAsia"/>
          <w:sz w:val="24"/>
          <w:szCs w:val="24"/>
        </w:rPr>
        <w:t>”</w:t>
      </w:r>
      <w:r w:rsidR="008D1D43" w:rsidRPr="008D1D43">
        <w:rPr>
          <w:rFonts w:ascii="Times New Roman" w:hAnsi="Times New Roman" w:cs="Times New Roman"/>
          <w:sz w:val="24"/>
          <w:szCs w:val="24"/>
        </w:rPr>
        <w:t xml:space="preserve"> </w:t>
      </w:r>
      <w:r w:rsidR="008D1D43" w:rsidRPr="008D1D43">
        <w:rPr>
          <w:rFonts w:ascii="Times New Roman" w:hAnsi="Times New Roman" w:cs="Times New Roman"/>
          <w:i/>
          <w:iCs/>
          <w:sz w:val="24"/>
          <w:szCs w:val="24"/>
        </w:rPr>
        <w:t>AIP</w:t>
      </w:r>
      <w:r w:rsidR="00DA71E9">
        <w:rPr>
          <w:rFonts w:ascii="Times New Roman" w:hAnsi="Times New Roman" w:cs="Times New Roman"/>
          <w:i/>
          <w:iCs/>
          <w:sz w:val="24"/>
          <w:szCs w:val="24"/>
        </w:rPr>
        <w:t xml:space="preserve"> </w:t>
      </w:r>
      <w:r w:rsidR="008D1D43" w:rsidRPr="008D1D43">
        <w:rPr>
          <w:rFonts w:ascii="Times New Roman" w:hAnsi="Times New Roman" w:cs="Times New Roman"/>
          <w:i/>
          <w:iCs/>
          <w:sz w:val="24"/>
          <w:szCs w:val="24"/>
        </w:rPr>
        <w:t>Conf. Proc.</w:t>
      </w:r>
      <w:r w:rsidR="008D1D43" w:rsidRPr="008D1D43">
        <w:rPr>
          <w:rFonts w:ascii="Times New Roman" w:hAnsi="Times New Roman" w:cs="Times New Roman"/>
          <w:sz w:val="24"/>
          <w:szCs w:val="24"/>
        </w:rPr>
        <w:t>, vol. 1903, p. 020001, 2017. https://doi.org/10.1063/1.5011481</w:t>
      </w:r>
    </w:p>
    <w:p w14:paraId="4D7338B2" w14:textId="0C3AF3FD" w:rsidR="008D1D43" w:rsidRPr="008D1D43" w:rsidRDefault="00CF6C2C" w:rsidP="00DA71E9">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[13</w:t>
      </w:r>
      <w:r w:rsidR="008D1D43" w:rsidRPr="008D1D43">
        <w:rPr>
          <w:rFonts w:ascii="Times New Roman" w:hAnsi="Times New Roman" w:cs="Times New Roman"/>
          <w:sz w:val="24"/>
          <w:szCs w:val="24"/>
        </w:rPr>
        <w:t xml:space="preserve">] J. </w:t>
      </w:r>
      <w:proofErr w:type="spellStart"/>
      <w:r w:rsidR="008D1D43" w:rsidRPr="008D1D43">
        <w:rPr>
          <w:rFonts w:ascii="Times New Roman" w:hAnsi="Times New Roman" w:cs="Times New Roman"/>
          <w:sz w:val="24"/>
          <w:szCs w:val="24"/>
        </w:rPr>
        <w:t>Craus</w:t>
      </w:r>
      <w:proofErr w:type="spellEnd"/>
      <w:r w:rsidR="008D1D43" w:rsidRPr="008D1D43">
        <w:rPr>
          <w:rFonts w:ascii="Times New Roman" w:hAnsi="Times New Roman" w:cs="Times New Roman"/>
          <w:sz w:val="24"/>
          <w:szCs w:val="24"/>
        </w:rPr>
        <w:t xml:space="preserve">, I. </w:t>
      </w:r>
      <w:proofErr w:type="spellStart"/>
      <w:r w:rsidR="008D1D43" w:rsidRPr="008D1D43">
        <w:rPr>
          <w:rFonts w:ascii="Times New Roman" w:hAnsi="Times New Roman" w:cs="Times New Roman"/>
          <w:sz w:val="24"/>
          <w:szCs w:val="24"/>
        </w:rPr>
        <w:t>Ishai</w:t>
      </w:r>
      <w:proofErr w:type="spellEnd"/>
      <w:r w:rsidR="008D1D43" w:rsidRPr="008D1D43">
        <w:rPr>
          <w:rFonts w:ascii="Times New Roman" w:hAnsi="Times New Roman" w:cs="Times New Roman"/>
          <w:sz w:val="24"/>
          <w:szCs w:val="24"/>
        </w:rPr>
        <w:t xml:space="preserve">, and A. Sides, </w:t>
      </w:r>
      <w:r w:rsidR="008D1D43" w:rsidRPr="008D1D43">
        <w:rPr>
          <w:rFonts w:ascii="Times New Roman" w:hAnsi="Times New Roman" w:cs="Times New Roman" w:hint="eastAsia"/>
          <w:sz w:val="24"/>
          <w:szCs w:val="24"/>
        </w:rPr>
        <w:t>“</w:t>
      </w:r>
      <w:r w:rsidR="008D1D43" w:rsidRPr="008D1D43">
        <w:rPr>
          <w:rFonts w:ascii="Times New Roman" w:hAnsi="Times New Roman" w:cs="Times New Roman"/>
          <w:sz w:val="24"/>
          <w:szCs w:val="24"/>
        </w:rPr>
        <w:t>Durability of bituminous paving mixtures as related to filler type and properties</w:t>
      </w:r>
      <w:r w:rsidR="00DA71E9">
        <w:rPr>
          <w:rFonts w:ascii="Times New Roman" w:hAnsi="Times New Roman" w:cs="Times New Roman"/>
          <w:sz w:val="24"/>
          <w:szCs w:val="24"/>
        </w:rPr>
        <w:t xml:space="preserve"> </w:t>
      </w:r>
      <w:r w:rsidR="008D1D43" w:rsidRPr="008D1D43">
        <w:rPr>
          <w:rFonts w:ascii="Times New Roman" w:hAnsi="Times New Roman" w:cs="Times New Roman"/>
          <w:sz w:val="24"/>
          <w:szCs w:val="24"/>
        </w:rPr>
        <w:t>(with discussion),</w:t>
      </w:r>
      <w:r w:rsidR="008D1D43" w:rsidRPr="008D1D43">
        <w:rPr>
          <w:rFonts w:ascii="Times New Roman" w:hAnsi="Times New Roman" w:cs="Times New Roman" w:hint="eastAsia"/>
          <w:sz w:val="24"/>
          <w:szCs w:val="24"/>
        </w:rPr>
        <w:t>”</w:t>
      </w:r>
      <w:r w:rsidR="008D1D43" w:rsidRPr="008D1D43">
        <w:rPr>
          <w:rFonts w:ascii="Times New Roman" w:hAnsi="Times New Roman" w:cs="Times New Roman"/>
          <w:sz w:val="24"/>
          <w:szCs w:val="24"/>
        </w:rPr>
        <w:t xml:space="preserve"> </w:t>
      </w:r>
      <w:r w:rsidR="008D1D43" w:rsidRPr="008D1D43">
        <w:rPr>
          <w:rFonts w:ascii="Times New Roman" w:hAnsi="Times New Roman" w:cs="Times New Roman"/>
          <w:i/>
          <w:iCs/>
          <w:sz w:val="24"/>
          <w:szCs w:val="24"/>
        </w:rPr>
        <w:t xml:space="preserve">Assoc. </w:t>
      </w:r>
      <w:proofErr w:type="spellStart"/>
      <w:r w:rsidR="008D1D43" w:rsidRPr="008D1D43">
        <w:rPr>
          <w:rFonts w:ascii="Times New Roman" w:hAnsi="Times New Roman" w:cs="Times New Roman"/>
          <w:i/>
          <w:iCs/>
          <w:sz w:val="24"/>
          <w:szCs w:val="24"/>
        </w:rPr>
        <w:t>Asph</w:t>
      </w:r>
      <w:proofErr w:type="spellEnd"/>
      <w:r w:rsidR="008D1D43" w:rsidRPr="008D1D43">
        <w:rPr>
          <w:rFonts w:ascii="Times New Roman" w:hAnsi="Times New Roman" w:cs="Times New Roman"/>
          <w:i/>
          <w:iCs/>
          <w:sz w:val="24"/>
          <w:szCs w:val="24"/>
        </w:rPr>
        <w:t>. Paving Technol. Proc.</w:t>
      </w:r>
      <w:r w:rsidR="008D1D43" w:rsidRPr="008D1D43">
        <w:rPr>
          <w:rFonts w:ascii="Times New Roman" w:hAnsi="Times New Roman" w:cs="Times New Roman"/>
          <w:sz w:val="24"/>
          <w:szCs w:val="24"/>
        </w:rPr>
        <w:t>, vol. 50, pp. 291</w:t>
      </w:r>
      <w:r w:rsidR="008D1D43" w:rsidRPr="008D1D43">
        <w:rPr>
          <w:rFonts w:ascii="Times New Roman" w:hAnsi="Times New Roman" w:cs="Times New Roman" w:hint="eastAsia"/>
          <w:sz w:val="24"/>
          <w:szCs w:val="24"/>
        </w:rPr>
        <w:t>–</w:t>
      </w:r>
      <w:r w:rsidR="008D1D43" w:rsidRPr="008D1D43">
        <w:rPr>
          <w:rFonts w:ascii="Times New Roman" w:hAnsi="Times New Roman" w:cs="Times New Roman"/>
          <w:sz w:val="24"/>
          <w:szCs w:val="24"/>
        </w:rPr>
        <w:t>318, 1981.</w:t>
      </w:r>
    </w:p>
    <w:p w14:paraId="1120E37D" w14:textId="2A0C0967" w:rsidR="008D1D43" w:rsidRPr="008D1D43" w:rsidRDefault="00CF6C2C" w:rsidP="00DA71E9">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sidR="008D1D43" w:rsidRPr="008D1D43">
        <w:rPr>
          <w:rFonts w:ascii="Times New Roman" w:hAnsi="Times New Roman" w:cs="Times New Roman"/>
          <w:sz w:val="24"/>
          <w:szCs w:val="24"/>
        </w:rPr>
        <w:t xml:space="preserve">] California Department of Transportation, </w:t>
      </w:r>
      <w:r w:rsidR="008D1D43" w:rsidRPr="008D1D43">
        <w:rPr>
          <w:rFonts w:ascii="Times New Roman" w:hAnsi="Times New Roman" w:cs="Times New Roman" w:hint="eastAsia"/>
          <w:sz w:val="24"/>
          <w:szCs w:val="24"/>
        </w:rPr>
        <w:t>“</w:t>
      </w:r>
      <w:r w:rsidR="008D1D43" w:rsidRPr="008D1D43">
        <w:rPr>
          <w:rFonts w:ascii="Times New Roman" w:hAnsi="Times New Roman" w:cs="Times New Roman"/>
          <w:sz w:val="24"/>
          <w:szCs w:val="24"/>
        </w:rPr>
        <w:t>California Test 229: Metho</w:t>
      </w:r>
      <w:r w:rsidR="00DA71E9">
        <w:rPr>
          <w:rFonts w:ascii="Times New Roman" w:hAnsi="Times New Roman" w:cs="Times New Roman"/>
          <w:sz w:val="24"/>
          <w:szCs w:val="24"/>
        </w:rPr>
        <w:t>d of Test for Durability</w:t>
      </w:r>
      <w:r w:rsidR="00907136">
        <w:rPr>
          <w:rFonts w:ascii="Times New Roman" w:hAnsi="Times New Roman" w:cs="Times New Roman"/>
          <w:sz w:val="24"/>
          <w:szCs w:val="24"/>
        </w:rPr>
        <w:t xml:space="preserve"> </w:t>
      </w:r>
      <w:r w:rsidR="008D1D43" w:rsidRPr="008D1D43">
        <w:rPr>
          <w:rFonts w:ascii="Times New Roman" w:hAnsi="Times New Roman" w:cs="Times New Roman"/>
          <w:sz w:val="24"/>
          <w:szCs w:val="24"/>
        </w:rPr>
        <w:t>Index,</w:t>
      </w:r>
      <w:r w:rsidR="008D1D43" w:rsidRPr="008D1D43">
        <w:rPr>
          <w:rFonts w:ascii="Times New Roman" w:hAnsi="Times New Roman" w:cs="Times New Roman" w:hint="eastAsia"/>
          <w:sz w:val="24"/>
          <w:szCs w:val="24"/>
        </w:rPr>
        <w:t>”</w:t>
      </w:r>
      <w:r w:rsidR="00DA71E9">
        <w:rPr>
          <w:rFonts w:ascii="Times New Roman" w:hAnsi="Times New Roman" w:cs="Times New Roman"/>
          <w:sz w:val="24"/>
          <w:szCs w:val="24"/>
        </w:rPr>
        <w:t xml:space="preserve">2011. </w:t>
      </w:r>
      <w:r w:rsidR="008D1D43" w:rsidRPr="008D1D43">
        <w:rPr>
          <w:rFonts w:ascii="Times New Roman" w:hAnsi="Times New Roman" w:cs="Times New Roman"/>
          <w:sz w:val="24"/>
          <w:szCs w:val="24"/>
        </w:rPr>
        <w:t>https://dot.ca.gov/-/media/dot-media/programs/engineering/documents/californiatestmethods-ctm/ctm-229-a11y.pdf</w:t>
      </w:r>
    </w:p>
    <w:p w14:paraId="16EA69CE" w14:textId="58E437A2" w:rsidR="008D1D43" w:rsidRPr="008D1D43" w:rsidRDefault="006C140C" w:rsidP="00DA71E9">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sidR="008D1D43" w:rsidRPr="008D1D43">
        <w:rPr>
          <w:rFonts w:ascii="Times New Roman" w:hAnsi="Times New Roman" w:cs="Times New Roman"/>
          <w:sz w:val="24"/>
          <w:szCs w:val="24"/>
        </w:rPr>
        <w:t xml:space="preserve">] S. M. Lim, M. He, G. Hao, T. C. A. Ng, and G. P. Ong, </w:t>
      </w:r>
      <w:r w:rsidR="008D1D43" w:rsidRPr="008D1D43">
        <w:rPr>
          <w:rFonts w:ascii="Times New Roman" w:hAnsi="Times New Roman" w:cs="Times New Roman" w:hint="eastAsia"/>
          <w:sz w:val="24"/>
          <w:szCs w:val="24"/>
        </w:rPr>
        <w:t>“</w:t>
      </w:r>
      <w:r w:rsidR="008D1D43" w:rsidRPr="008D1D43">
        <w:rPr>
          <w:rFonts w:ascii="Times New Roman" w:hAnsi="Times New Roman" w:cs="Times New Roman"/>
          <w:sz w:val="24"/>
          <w:szCs w:val="24"/>
        </w:rPr>
        <w:t>Recyclability potential of waste plastic-modified</w:t>
      </w:r>
      <w:r w:rsidR="00DA71E9">
        <w:rPr>
          <w:rFonts w:ascii="Times New Roman" w:hAnsi="Times New Roman" w:cs="Times New Roman"/>
          <w:sz w:val="24"/>
          <w:szCs w:val="24"/>
        </w:rPr>
        <w:t xml:space="preserve"> </w:t>
      </w:r>
      <w:r w:rsidR="008D1D43" w:rsidRPr="008D1D43">
        <w:rPr>
          <w:rFonts w:ascii="Times New Roman" w:hAnsi="Times New Roman" w:cs="Times New Roman"/>
          <w:sz w:val="24"/>
          <w:szCs w:val="24"/>
        </w:rPr>
        <w:t>asphalt concrete with consideration to its environmental impact,</w:t>
      </w:r>
      <w:r w:rsidR="008D1D43" w:rsidRPr="008D1D43">
        <w:rPr>
          <w:rFonts w:ascii="Times New Roman" w:hAnsi="Times New Roman" w:cs="Times New Roman" w:hint="eastAsia"/>
          <w:sz w:val="24"/>
          <w:szCs w:val="24"/>
        </w:rPr>
        <w:t>”</w:t>
      </w:r>
      <w:r w:rsidR="008D1D43" w:rsidRPr="008D1D43">
        <w:rPr>
          <w:rFonts w:ascii="Times New Roman" w:hAnsi="Times New Roman" w:cs="Times New Roman"/>
          <w:sz w:val="24"/>
          <w:szCs w:val="24"/>
        </w:rPr>
        <w:t xml:space="preserve"> </w:t>
      </w:r>
      <w:r w:rsidR="008D1D43" w:rsidRPr="008D1D43">
        <w:rPr>
          <w:rFonts w:ascii="Times New Roman" w:hAnsi="Times New Roman" w:cs="Times New Roman"/>
          <w:i/>
          <w:iCs/>
          <w:sz w:val="24"/>
          <w:szCs w:val="24"/>
        </w:rPr>
        <w:t>Constr. Build. Mater.</w:t>
      </w:r>
      <w:r w:rsidR="008D1D43" w:rsidRPr="008D1D43">
        <w:rPr>
          <w:rFonts w:ascii="Times New Roman" w:hAnsi="Times New Roman" w:cs="Times New Roman"/>
          <w:sz w:val="24"/>
          <w:szCs w:val="24"/>
        </w:rPr>
        <w:t>, vol. 439, p. 137299,</w:t>
      </w:r>
      <w:r w:rsidR="00DA71E9">
        <w:rPr>
          <w:rFonts w:ascii="Times New Roman" w:hAnsi="Times New Roman" w:cs="Times New Roman"/>
          <w:sz w:val="24"/>
          <w:szCs w:val="24"/>
        </w:rPr>
        <w:t xml:space="preserve"> </w:t>
      </w:r>
      <w:r w:rsidR="008D1D43" w:rsidRPr="008D1D43">
        <w:rPr>
          <w:rFonts w:ascii="Times New Roman" w:hAnsi="Times New Roman" w:cs="Times New Roman"/>
          <w:sz w:val="24"/>
          <w:szCs w:val="24"/>
        </w:rPr>
        <w:t>2024. https://doi.org/10.1016/j.conbuildmat.2024.137299</w:t>
      </w:r>
    </w:p>
    <w:p w14:paraId="6A9A5086" w14:textId="0406C25A" w:rsidR="008D1D43" w:rsidRPr="008D1D43" w:rsidRDefault="006C140C" w:rsidP="001A66A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sidR="008D1D43" w:rsidRPr="008D1D43">
        <w:rPr>
          <w:rFonts w:ascii="Times New Roman" w:hAnsi="Times New Roman" w:cs="Times New Roman"/>
          <w:sz w:val="24"/>
          <w:szCs w:val="24"/>
        </w:rPr>
        <w:t xml:space="preserve">] G. Hao, M. He, S. M. Lim, G. P. Ong, A. </w:t>
      </w:r>
      <w:proofErr w:type="spellStart"/>
      <w:r w:rsidR="008D1D43" w:rsidRPr="008D1D43">
        <w:rPr>
          <w:rFonts w:ascii="Times New Roman" w:hAnsi="Times New Roman" w:cs="Times New Roman"/>
          <w:sz w:val="24"/>
          <w:szCs w:val="24"/>
        </w:rPr>
        <w:t>Zulkati</w:t>
      </w:r>
      <w:proofErr w:type="spellEnd"/>
      <w:r w:rsidR="008D1D43" w:rsidRPr="008D1D43">
        <w:rPr>
          <w:rFonts w:ascii="Times New Roman" w:hAnsi="Times New Roman" w:cs="Times New Roman"/>
          <w:sz w:val="24"/>
          <w:szCs w:val="24"/>
        </w:rPr>
        <w:t xml:space="preserve">, and S. </w:t>
      </w:r>
      <w:proofErr w:type="spellStart"/>
      <w:r w:rsidR="008D1D43" w:rsidRPr="008D1D43">
        <w:rPr>
          <w:rFonts w:ascii="Times New Roman" w:hAnsi="Times New Roman" w:cs="Times New Roman"/>
          <w:sz w:val="24"/>
          <w:szCs w:val="24"/>
        </w:rPr>
        <w:t>Kapilan</w:t>
      </w:r>
      <w:proofErr w:type="spellEnd"/>
      <w:r w:rsidR="008D1D43" w:rsidRPr="008D1D43">
        <w:rPr>
          <w:rFonts w:ascii="Times New Roman" w:hAnsi="Times New Roman" w:cs="Times New Roman"/>
          <w:sz w:val="24"/>
          <w:szCs w:val="24"/>
        </w:rPr>
        <w:t xml:space="preserve">, </w:t>
      </w:r>
      <w:r w:rsidR="008D1D43" w:rsidRPr="008D1D43">
        <w:rPr>
          <w:rFonts w:ascii="Times New Roman" w:hAnsi="Times New Roman" w:cs="Times New Roman" w:hint="eastAsia"/>
          <w:sz w:val="24"/>
          <w:szCs w:val="24"/>
        </w:rPr>
        <w:t>“</w:t>
      </w:r>
      <w:r w:rsidR="008D1D43" w:rsidRPr="008D1D43">
        <w:rPr>
          <w:rFonts w:ascii="Times New Roman" w:hAnsi="Times New Roman" w:cs="Times New Roman"/>
          <w:sz w:val="24"/>
          <w:szCs w:val="24"/>
        </w:rPr>
        <w:t xml:space="preserve">Recycling of </w:t>
      </w:r>
      <w:r w:rsidR="00DA71E9">
        <w:rPr>
          <w:rFonts w:ascii="Times New Roman" w:hAnsi="Times New Roman" w:cs="Times New Roman"/>
          <w:sz w:val="24"/>
          <w:szCs w:val="24"/>
        </w:rPr>
        <w:t xml:space="preserve">plastic </w:t>
      </w:r>
      <w:r w:rsidR="008D1D43" w:rsidRPr="008D1D43">
        <w:rPr>
          <w:rFonts w:ascii="Times New Roman" w:hAnsi="Times New Roman" w:cs="Times New Roman"/>
          <w:sz w:val="24"/>
          <w:szCs w:val="24"/>
        </w:rPr>
        <w:t>waste in porous asphalt</w:t>
      </w:r>
      <w:r w:rsidR="00DA71E9">
        <w:rPr>
          <w:rFonts w:ascii="Times New Roman" w:hAnsi="Times New Roman" w:cs="Times New Roman"/>
          <w:sz w:val="24"/>
          <w:szCs w:val="24"/>
        </w:rPr>
        <w:t xml:space="preserve"> </w:t>
      </w:r>
      <w:r w:rsidR="008D1D43" w:rsidRPr="008D1D43">
        <w:rPr>
          <w:rFonts w:ascii="Times New Roman" w:hAnsi="Times New Roman" w:cs="Times New Roman"/>
          <w:sz w:val="24"/>
          <w:szCs w:val="24"/>
        </w:rPr>
        <w:t xml:space="preserve">pavement: Engineering, environmental, and economic </w:t>
      </w:r>
      <w:r w:rsidR="008D1D43" w:rsidRPr="008D1D43">
        <w:rPr>
          <w:rFonts w:ascii="Times New Roman" w:hAnsi="Times New Roman" w:cs="Times New Roman"/>
          <w:sz w:val="24"/>
          <w:szCs w:val="24"/>
        </w:rPr>
        <w:lastRenderedPageBreak/>
        <w:t>implications,</w:t>
      </w:r>
      <w:r w:rsidR="008D1D43" w:rsidRPr="008D1D43">
        <w:rPr>
          <w:rFonts w:ascii="Times New Roman" w:hAnsi="Times New Roman" w:cs="Times New Roman" w:hint="eastAsia"/>
          <w:sz w:val="24"/>
          <w:szCs w:val="24"/>
        </w:rPr>
        <w:t>”</w:t>
      </w:r>
      <w:r w:rsidR="008D1D43" w:rsidRPr="008D1D43">
        <w:rPr>
          <w:rFonts w:ascii="Times New Roman" w:hAnsi="Times New Roman" w:cs="Times New Roman"/>
          <w:sz w:val="24"/>
          <w:szCs w:val="24"/>
        </w:rPr>
        <w:t xml:space="preserve"> </w:t>
      </w:r>
      <w:r w:rsidR="008D1D43" w:rsidRPr="008D1D43">
        <w:rPr>
          <w:rFonts w:ascii="Times New Roman" w:hAnsi="Times New Roman" w:cs="Times New Roman"/>
          <w:i/>
          <w:iCs/>
          <w:sz w:val="24"/>
          <w:szCs w:val="24"/>
        </w:rPr>
        <w:t>J. Clean. Prod.</w:t>
      </w:r>
      <w:r w:rsidR="008D1D43" w:rsidRPr="008D1D43">
        <w:rPr>
          <w:rFonts w:ascii="Times New Roman" w:hAnsi="Times New Roman" w:cs="Times New Roman"/>
          <w:sz w:val="24"/>
          <w:szCs w:val="24"/>
        </w:rPr>
        <w:t>, vol. 440, p. 140865,2024. https://doi.org/10.1016/J.JCLEPRO.2024.140865</w:t>
      </w:r>
    </w:p>
    <w:p w14:paraId="06058D8A" w14:textId="72C5DA59" w:rsidR="008D1D43" w:rsidRDefault="008D1D43" w:rsidP="003C37C0">
      <w:pPr>
        <w:spacing w:line="240" w:lineRule="auto"/>
        <w:jc w:val="both"/>
        <w:rPr>
          <w:rFonts w:ascii="Times New Roman" w:hAnsi="Times New Roman" w:cs="Times New Roman"/>
          <w:sz w:val="24"/>
          <w:szCs w:val="24"/>
        </w:rPr>
      </w:pPr>
    </w:p>
    <w:p w14:paraId="1E13A660" w14:textId="77777777" w:rsidR="008D1D43" w:rsidRDefault="008D1D43" w:rsidP="0069529A">
      <w:pPr>
        <w:spacing w:line="240" w:lineRule="auto"/>
        <w:ind w:left="720" w:hanging="720"/>
        <w:jc w:val="both"/>
        <w:rPr>
          <w:rFonts w:ascii="Times New Roman" w:hAnsi="Times New Roman" w:cs="Times New Roman"/>
          <w:sz w:val="24"/>
          <w:szCs w:val="24"/>
        </w:rPr>
      </w:pPr>
    </w:p>
    <w:p w14:paraId="72E27009" w14:textId="77777777" w:rsidR="008D1D43" w:rsidRDefault="008D1D43" w:rsidP="0069529A">
      <w:pPr>
        <w:spacing w:line="240" w:lineRule="auto"/>
        <w:ind w:left="720" w:hanging="720"/>
        <w:jc w:val="both"/>
        <w:rPr>
          <w:rFonts w:ascii="Times New Roman" w:hAnsi="Times New Roman" w:cs="Times New Roman"/>
          <w:sz w:val="24"/>
          <w:szCs w:val="24"/>
        </w:rPr>
      </w:pPr>
    </w:p>
    <w:p w14:paraId="73F10E31" w14:textId="77777777" w:rsidR="008D1D43" w:rsidRDefault="008D1D43" w:rsidP="0069529A">
      <w:pPr>
        <w:spacing w:line="240" w:lineRule="auto"/>
        <w:ind w:left="720" w:hanging="720"/>
        <w:jc w:val="both"/>
        <w:rPr>
          <w:rFonts w:ascii="Times New Roman" w:hAnsi="Times New Roman" w:cs="Times New Roman"/>
          <w:sz w:val="24"/>
          <w:szCs w:val="24"/>
        </w:rPr>
      </w:pPr>
    </w:p>
    <w:sectPr w:rsidR="008D1D43" w:rsidSect="00497DF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D62F3" w14:textId="77777777" w:rsidR="00D133A7" w:rsidRDefault="00D133A7" w:rsidP="00847C2F">
      <w:pPr>
        <w:spacing w:after="0" w:line="240" w:lineRule="auto"/>
      </w:pPr>
      <w:r>
        <w:separator/>
      </w:r>
    </w:p>
  </w:endnote>
  <w:endnote w:type="continuationSeparator" w:id="0">
    <w:p w14:paraId="7EDBC3D1" w14:textId="77777777" w:rsidR="00D133A7" w:rsidRDefault="00D133A7" w:rsidP="00847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mmercialScript BT">
    <w:altName w:val="Calibri"/>
    <w:charset w:val="00"/>
    <w:family w:val="script"/>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B4907" w14:textId="77777777" w:rsidR="00592E0E" w:rsidRDefault="00592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650329"/>
      <w:docPartObj>
        <w:docPartGallery w:val="Page Numbers (Bottom of Page)"/>
        <w:docPartUnique/>
      </w:docPartObj>
    </w:sdtPr>
    <w:sdtEndPr/>
    <w:sdtContent>
      <w:p w14:paraId="498F7EAC" w14:textId="77777777" w:rsidR="009C2B5C" w:rsidRDefault="009C2B5C">
        <w:pPr>
          <w:pStyle w:val="Footer"/>
          <w:jc w:val="center"/>
        </w:pPr>
        <w:r>
          <w:fldChar w:fldCharType="begin"/>
        </w:r>
        <w:r>
          <w:instrText xml:space="preserve"> PAGE   \* MERGEFORMAT </w:instrText>
        </w:r>
        <w:r>
          <w:fldChar w:fldCharType="separate"/>
        </w:r>
        <w:r w:rsidR="008250E9">
          <w:rPr>
            <w:noProof/>
          </w:rPr>
          <w:t>1</w:t>
        </w:r>
        <w:r>
          <w:rPr>
            <w:noProof/>
          </w:rPr>
          <w:fldChar w:fldCharType="end"/>
        </w:r>
      </w:p>
    </w:sdtContent>
  </w:sdt>
  <w:p w14:paraId="20FB55EB" w14:textId="77777777" w:rsidR="009C2B5C" w:rsidRDefault="009C2B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1FAA3" w14:textId="77777777" w:rsidR="00592E0E" w:rsidRDefault="00592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C4394" w14:textId="77777777" w:rsidR="00D133A7" w:rsidRDefault="00D133A7" w:rsidP="00847C2F">
      <w:pPr>
        <w:spacing w:after="0" w:line="240" w:lineRule="auto"/>
      </w:pPr>
      <w:r>
        <w:separator/>
      </w:r>
    </w:p>
  </w:footnote>
  <w:footnote w:type="continuationSeparator" w:id="0">
    <w:p w14:paraId="481E798A" w14:textId="77777777" w:rsidR="00D133A7" w:rsidRDefault="00D133A7" w:rsidP="00847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3DE47" w14:textId="6F443474" w:rsidR="00592E0E" w:rsidRDefault="009F7F55">
    <w:pPr>
      <w:pStyle w:val="Header"/>
    </w:pPr>
    <w:r>
      <w:rPr>
        <w:noProof/>
      </w:rPr>
      <w:pict w14:anchorId="0E731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19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C5B5E" w14:textId="2E52BA28" w:rsidR="00592E0E" w:rsidRDefault="009F7F55">
    <w:pPr>
      <w:pStyle w:val="Header"/>
    </w:pPr>
    <w:r>
      <w:rPr>
        <w:noProof/>
      </w:rPr>
      <w:pict w14:anchorId="6451B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19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050B3" w14:textId="6C8233B2" w:rsidR="00592E0E" w:rsidRDefault="009F7F55">
    <w:pPr>
      <w:pStyle w:val="Header"/>
    </w:pPr>
    <w:r>
      <w:rPr>
        <w:noProof/>
      </w:rPr>
      <w:pict w14:anchorId="4EE61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19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21DDD"/>
    <w:multiLevelType w:val="hybridMultilevel"/>
    <w:tmpl w:val="27462800"/>
    <w:lvl w:ilvl="0" w:tplc="08090013">
      <w:start w:val="1"/>
      <w:numFmt w:val="upperRoman"/>
      <w:lvlText w:val="%1."/>
      <w:lvlJc w:val="righ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 w15:restartNumberingAfterBreak="0">
    <w:nsid w:val="11E23DC3"/>
    <w:multiLevelType w:val="hybridMultilevel"/>
    <w:tmpl w:val="44B8ADC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3762B6"/>
    <w:multiLevelType w:val="hybridMultilevel"/>
    <w:tmpl w:val="319EE1B4"/>
    <w:lvl w:ilvl="0" w:tplc="0809001B">
      <w:start w:val="1"/>
      <w:numFmt w:val="lowerRoman"/>
      <w:lvlText w:val="%1."/>
      <w:lvlJc w:val="right"/>
      <w:pPr>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71A073D"/>
    <w:multiLevelType w:val="hybridMultilevel"/>
    <w:tmpl w:val="27462800"/>
    <w:lvl w:ilvl="0" w:tplc="08090013">
      <w:start w:val="1"/>
      <w:numFmt w:val="upperRoman"/>
      <w:lvlText w:val="%1."/>
      <w:lvlJc w:val="righ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4" w15:restartNumberingAfterBreak="0">
    <w:nsid w:val="22066E9E"/>
    <w:multiLevelType w:val="hybridMultilevel"/>
    <w:tmpl w:val="27462800"/>
    <w:lvl w:ilvl="0" w:tplc="08090013">
      <w:start w:val="1"/>
      <w:numFmt w:val="upperRoman"/>
      <w:lvlText w:val="%1."/>
      <w:lvlJc w:val="righ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5" w15:restartNumberingAfterBreak="0">
    <w:nsid w:val="4AC229A2"/>
    <w:multiLevelType w:val="hybridMultilevel"/>
    <w:tmpl w:val="CA8E2FD2"/>
    <w:lvl w:ilvl="0" w:tplc="0809000F">
      <w:start w:val="1"/>
      <w:numFmt w:val="decimal"/>
      <w:lvlText w:val="%1."/>
      <w:lvlJc w:val="left"/>
      <w:pPr>
        <w:ind w:left="886" w:hanging="360"/>
      </w:pPr>
    </w:lvl>
    <w:lvl w:ilvl="1" w:tplc="08090019" w:tentative="1">
      <w:start w:val="1"/>
      <w:numFmt w:val="lowerLetter"/>
      <w:lvlText w:val="%2."/>
      <w:lvlJc w:val="left"/>
      <w:pPr>
        <w:ind w:left="1606" w:hanging="360"/>
      </w:pPr>
    </w:lvl>
    <w:lvl w:ilvl="2" w:tplc="0809001B" w:tentative="1">
      <w:start w:val="1"/>
      <w:numFmt w:val="lowerRoman"/>
      <w:lvlText w:val="%3."/>
      <w:lvlJc w:val="right"/>
      <w:pPr>
        <w:ind w:left="2326" w:hanging="180"/>
      </w:pPr>
    </w:lvl>
    <w:lvl w:ilvl="3" w:tplc="0809000F" w:tentative="1">
      <w:start w:val="1"/>
      <w:numFmt w:val="decimal"/>
      <w:lvlText w:val="%4."/>
      <w:lvlJc w:val="left"/>
      <w:pPr>
        <w:ind w:left="3046" w:hanging="360"/>
      </w:pPr>
    </w:lvl>
    <w:lvl w:ilvl="4" w:tplc="08090019" w:tentative="1">
      <w:start w:val="1"/>
      <w:numFmt w:val="lowerLetter"/>
      <w:lvlText w:val="%5."/>
      <w:lvlJc w:val="left"/>
      <w:pPr>
        <w:ind w:left="3766" w:hanging="360"/>
      </w:pPr>
    </w:lvl>
    <w:lvl w:ilvl="5" w:tplc="0809001B" w:tentative="1">
      <w:start w:val="1"/>
      <w:numFmt w:val="lowerRoman"/>
      <w:lvlText w:val="%6."/>
      <w:lvlJc w:val="right"/>
      <w:pPr>
        <w:ind w:left="4486" w:hanging="180"/>
      </w:pPr>
    </w:lvl>
    <w:lvl w:ilvl="6" w:tplc="0809000F" w:tentative="1">
      <w:start w:val="1"/>
      <w:numFmt w:val="decimal"/>
      <w:lvlText w:val="%7."/>
      <w:lvlJc w:val="left"/>
      <w:pPr>
        <w:ind w:left="5206" w:hanging="360"/>
      </w:pPr>
    </w:lvl>
    <w:lvl w:ilvl="7" w:tplc="08090019" w:tentative="1">
      <w:start w:val="1"/>
      <w:numFmt w:val="lowerLetter"/>
      <w:lvlText w:val="%8."/>
      <w:lvlJc w:val="left"/>
      <w:pPr>
        <w:ind w:left="5926" w:hanging="360"/>
      </w:pPr>
    </w:lvl>
    <w:lvl w:ilvl="8" w:tplc="0809001B" w:tentative="1">
      <w:start w:val="1"/>
      <w:numFmt w:val="lowerRoman"/>
      <w:lvlText w:val="%9."/>
      <w:lvlJc w:val="right"/>
      <w:pPr>
        <w:ind w:left="6646" w:hanging="180"/>
      </w:pPr>
    </w:lvl>
  </w:abstractNum>
  <w:abstractNum w:abstractNumId="6" w15:restartNumberingAfterBreak="0">
    <w:nsid w:val="4B553ED7"/>
    <w:multiLevelType w:val="hybridMultilevel"/>
    <w:tmpl w:val="C4A6B3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B03451"/>
    <w:multiLevelType w:val="hybridMultilevel"/>
    <w:tmpl w:val="9EDCF3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E658A8"/>
    <w:multiLevelType w:val="hybridMultilevel"/>
    <w:tmpl w:val="D3227AC6"/>
    <w:lvl w:ilvl="0" w:tplc="0809000F">
      <w:start w:val="1"/>
      <w:numFmt w:val="decimal"/>
      <w:lvlText w:val="%1."/>
      <w:lvlJc w:val="left"/>
      <w:pPr>
        <w:ind w:left="762" w:hanging="360"/>
      </w:pPr>
    </w:lvl>
    <w:lvl w:ilvl="1" w:tplc="08090019" w:tentative="1">
      <w:start w:val="1"/>
      <w:numFmt w:val="lowerLetter"/>
      <w:lvlText w:val="%2."/>
      <w:lvlJc w:val="left"/>
      <w:pPr>
        <w:ind w:left="1482" w:hanging="360"/>
      </w:pPr>
    </w:lvl>
    <w:lvl w:ilvl="2" w:tplc="0809001B" w:tentative="1">
      <w:start w:val="1"/>
      <w:numFmt w:val="lowerRoman"/>
      <w:lvlText w:val="%3."/>
      <w:lvlJc w:val="right"/>
      <w:pPr>
        <w:ind w:left="2202" w:hanging="180"/>
      </w:pPr>
    </w:lvl>
    <w:lvl w:ilvl="3" w:tplc="0809000F" w:tentative="1">
      <w:start w:val="1"/>
      <w:numFmt w:val="decimal"/>
      <w:lvlText w:val="%4."/>
      <w:lvlJc w:val="left"/>
      <w:pPr>
        <w:ind w:left="2922" w:hanging="360"/>
      </w:pPr>
    </w:lvl>
    <w:lvl w:ilvl="4" w:tplc="08090019" w:tentative="1">
      <w:start w:val="1"/>
      <w:numFmt w:val="lowerLetter"/>
      <w:lvlText w:val="%5."/>
      <w:lvlJc w:val="left"/>
      <w:pPr>
        <w:ind w:left="3642" w:hanging="360"/>
      </w:pPr>
    </w:lvl>
    <w:lvl w:ilvl="5" w:tplc="0809001B" w:tentative="1">
      <w:start w:val="1"/>
      <w:numFmt w:val="lowerRoman"/>
      <w:lvlText w:val="%6."/>
      <w:lvlJc w:val="right"/>
      <w:pPr>
        <w:ind w:left="4362" w:hanging="180"/>
      </w:pPr>
    </w:lvl>
    <w:lvl w:ilvl="6" w:tplc="0809000F" w:tentative="1">
      <w:start w:val="1"/>
      <w:numFmt w:val="decimal"/>
      <w:lvlText w:val="%7."/>
      <w:lvlJc w:val="left"/>
      <w:pPr>
        <w:ind w:left="5082" w:hanging="360"/>
      </w:pPr>
    </w:lvl>
    <w:lvl w:ilvl="7" w:tplc="08090019" w:tentative="1">
      <w:start w:val="1"/>
      <w:numFmt w:val="lowerLetter"/>
      <w:lvlText w:val="%8."/>
      <w:lvlJc w:val="left"/>
      <w:pPr>
        <w:ind w:left="5802" w:hanging="360"/>
      </w:pPr>
    </w:lvl>
    <w:lvl w:ilvl="8" w:tplc="0809001B" w:tentative="1">
      <w:start w:val="1"/>
      <w:numFmt w:val="lowerRoman"/>
      <w:lvlText w:val="%9."/>
      <w:lvlJc w:val="right"/>
      <w:pPr>
        <w:ind w:left="6522" w:hanging="180"/>
      </w:pPr>
    </w:lvl>
  </w:abstractNum>
  <w:num w:numId="1">
    <w:abstractNumId w:val="7"/>
  </w:num>
  <w:num w:numId="2">
    <w:abstractNumId w:val="1"/>
  </w:num>
  <w:num w:numId="3">
    <w:abstractNumId w:val="6"/>
  </w:num>
  <w:num w:numId="4">
    <w:abstractNumId w:val="5"/>
  </w:num>
  <w:num w:numId="5">
    <w:abstractNumId w:val="8"/>
  </w:num>
  <w:num w:numId="6">
    <w:abstractNumId w:val="4"/>
  </w:num>
  <w:num w:numId="7">
    <w:abstractNumId w:val="3"/>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3MzU2MzQyNrA0MjNT0lEKTi0uzszPAykwqgUA9WXAsiwAAAA="/>
  </w:docVars>
  <w:rsids>
    <w:rsidRoot w:val="00F221E3"/>
    <w:rsid w:val="00020834"/>
    <w:rsid w:val="0002381D"/>
    <w:rsid w:val="00024E4D"/>
    <w:rsid w:val="000253BA"/>
    <w:rsid w:val="00027207"/>
    <w:rsid w:val="0003029C"/>
    <w:rsid w:val="00034B5F"/>
    <w:rsid w:val="0004071A"/>
    <w:rsid w:val="00042B42"/>
    <w:rsid w:val="000446CE"/>
    <w:rsid w:val="00055A92"/>
    <w:rsid w:val="0006036C"/>
    <w:rsid w:val="00062E7F"/>
    <w:rsid w:val="00066E01"/>
    <w:rsid w:val="00067B66"/>
    <w:rsid w:val="00071FB9"/>
    <w:rsid w:val="0007269C"/>
    <w:rsid w:val="00072DC3"/>
    <w:rsid w:val="000746ED"/>
    <w:rsid w:val="00076A04"/>
    <w:rsid w:val="00095F53"/>
    <w:rsid w:val="00097326"/>
    <w:rsid w:val="00097673"/>
    <w:rsid w:val="000A122B"/>
    <w:rsid w:val="000A2CE3"/>
    <w:rsid w:val="000A50E3"/>
    <w:rsid w:val="000A51A5"/>
    <w:rsid w:val="000B24CD"/>
    <w:rsid w:val="000B5BE6"/>
    <w:rsid w:val="000C0A98"/>
    <w:rsid w:val="000C120C"/>
    <w:rsid w:val="000C5EA6"/>
    <w:rsid w:val="000D0071"/>
    <w:rsid w:val="000D03EA"/>
    <w:rsid w:val="000D7148"/>
    <w:rsid w:val="000E2A4B"/>
    <w:rsid w:val="000E4793"/>
    <w:rsid w:val="000E6519"/>
    <w:rsid w:val="000F0F55"/>
    <w:rsid w:val="000F19C7"/>
    <w:rsid w:val="000F3F96"/>
    <w:rsid w:val="000F570F"/>
    <w:rsid w:val="000F7719"/>
    <w:rsid w:val="00116C9C"/>
    <w:rsid w:val="0012012E"/>
    <w:rsid w:val="00122CD5"/>
    <w:rsid w:val="0012484B"/>
    <w:rsid w:val="00126540"/>
    <w:rsid w:val="001308B8"/>
    <w:rsid w:val="00130F45"/>
    <w:rsid w:val="001312D1"/>
    <w:rsid w:val="001361E6"/>
    <w:rsid w:val="00137620"/>
    <w:rsid w:val="0017320B"/>
    <w:rsid w:val="00174EA8"/>
    <w:rsid w:val="00180517"/>
    <w:rsid w:val="00186C18"/>
    <w:rsid w:val="00190BBE"/>
    <w:rsid w:val="0019799E"/>
    <w:rsid w:val="001A4071"/>
    <w:rsid w:val="001A50A0"/>
    <w:rsid w:val="001A66AE"/>
    <w:rsid w:val="001B1364"/>
    <w:rsid w:val="001B2746"/>
    <w:rsid w:val="001B59F7"/>
    <w:rsid w:val="001B6045"/>
    <w:rsid w:val="001C0DF2"/>
    <w:rsid w:val="001D16BD"/>
    <w:rsid w:val="001D2CA2"/>
    <w:rsid w:val="001D4C46"/>
    <w:rsid w:val="001E2246"/>
    <w:rsid w:val="001E23CB"/>
    <w:rsid w:val="001E3223"/>
    <w:rsid w:val="001F6E38"/>
    <w:rsid w:val="00200741"/>
    <w:rsid w:val="00201C88"/>
    <w:rsid w:val="00203A34"/>
    <w:rsid w:val="002072F9"/>
    <w:rsid w:val="00210B4F"/>
    <w:rsid w:val="00213E48"/>
    <w:rsid w:val="00221715"/>
    <w:rsid w:val="002235E6"/>
    <w:rsid w:val="00223AFB"/>
    <w:rsid w:val="00223BF9"/>
    <w:rsid w:val="002325BD"/>
    <w:rsid w:val="00240815"/>
    <w:rsid w:val="002430D8"/>
    <w:rsid w:val="0024367A"/>
    <w:rsid w:val="00246E42"/>
    <w:rsid w:val="00247659"/>
    <w:rsid w:val="002541B2"/>
    <w:rsid w:val="002558DB"/>
    <w:rsid w:val="00266A2B"/>
    <w:rsid w:val="0027577F"/>
    <w:rsid w:val="00276B5C"/>
    <w:rsid w:val="00283637"/>
    <w:rsid w:val="00295A9A"/>
    <w:rsid w:val="002A0BF8"/>
    <w:rsid w:val="002A2D0A"/>
    <w:rsid w:val="002A4F92"/>
    <w:rsid w:val="002B4F41"/>
    <w:rsid w:val="002D5069"/>
    <w:rsid w:val="002E08FA"/>
    <w:rsid w:val="002E6549"/>
    <w:rsid w:val="002E7C93"/>
    <w:rsid w:val="002F1E2B"/>
    <w:rsid w:val="002F4BDA"/>
    <w:rsid w:val="002F78F4"/>
    <w:rsid w:val="00303C3E"/>
    <w:rsid w:val="003141E4"/>
    <w:rsid w:val="00315CF3"/>
    <w:rsid w:val="00316CD0"/>
    <w:rsid w:val="00332260"/>
    <w:rsid w:val="00335750"/>
    <w:rsid w:val="003428F8"/>
    <w:rsid w:val="00344431"/>
    <w:rsid w:val="00350B78"/>
    <w:rsid w:val="00350F7D"/>
    <w:rsid w:val="00351A32"/>
    <w:rsid w:val="00354F92"/>
    <w:rsid w:val="003630FB"/>
    <w:rsid w:val="00363725"/>
    <w:rsid w:val="00364786"/>
    <w:rsid w:val="00364BC0"/>
    <w:rsid w:val="00381707"/>
    <w:rsid w:val="003840A2"/>
    <w:rsid w:val="00387EF1"/>
    <w:rsid w:val="00390510"/>
    <w:rsid w:val="00391070"/>
    <w:rsid w:val="00392E02"/>
    <w:rsid w:val="00395B6C"/>
    <w:rsid w:val="00396CC2"/>
    <w:rsid w:val="003A0A86"/>
    <w:rsid w:val="003A1376"/>
    <w:rsid w:val="003A6F91"/>
    <w:rsid w:val="003A74F3"/>
    <w:rsid w:val="003B1DB3"/>
    <w:rsid w:val="003B2455"/>
    <w:rsid w:val="003C24F3"/>
    <w:rsid w:val="003C37C0"/>
    <w:rsid w:val="003C456F"/>
    <w:rsid w:val="003C5D5C"/>
    <w:rsid w:val="003D7851"/>
    <w:rsid w:val="003E0CDC"/>
    <w:rsid w:val="003F2033"/>
    <w:rsid w:val="003F5121"/>
    <w:rsid w:val="003F6624"/>
    <w:rsid w:val="004004A9"/>
    <w:rsid w:val="00402C14"/>
    <w:rsid w:val="00404DC8"/>
    <w:rsid w:val="00406A19"/>
    <w:rsid w:val="00412C2D"/>
    <w:rsid w:val="00415A00"/>
    <w:rsid w:val="00415B5B"/>
    <w:rsid w:val="0042172E"/>
    <w:rsid w:val="004217C2"/>
    <w:rsid w:val="00424508"/>
    <w:rsid w:val="00430060"/>
    <w:rsid w:val="00436BFC"/>
    <w:rsid w:val="00441B8D"/>
    <w:rsid w:val="00442566"/>
    <w:rsid w:val="00444074"/>
    <w:rsid w:val="0044461C"/>
    <w:rsid w:val="00447727"/>
    <w:rsid w:val="004506CF"/>
    <w:rsid w:val="004537CF"/>
    <w:rsid w:val="00456E0C"/>
    <w:rsid w:val="004572BE"/>
    <w:rsid w:val="0045789E"/>
    <w:rsid w:val="00460129"/>
    <w:rsid w:val="004626E8"/>
    <w:rsid w:val="00466343"/>
    <w:rsid w:val="004673A6"/>
    <w:rsid w:val="00470666"/>
    <w:rsid w:val="00472F85"/>
    <w:rsid w:val="00480ADA"/>
    <w:rsid w:val="004862B9"/>
    <w:rsid w:val="00487BCC"/>
    <w:rsid w:val="00490EEE"/>
    <w:rsid w:val="0049143A"/>
    <w:rsid w:val="0049174F"/>
    <w:rsid w:val="0049279C"/>
    <w:rsid w:val="00492A24"/>
    <w:rsid w:val="00493F5E"/>
    <w:rsid w:val="0049405D"/>
    <w:rsid w:val="00495740"/>
    <w:rsid w:val="00497DF6"/>
    <w:rsid w:val="004A11CE"/>
    <w:rsid w:val="004A1B2E"/>
    <w:rsid w:val="004A69BE"/>
    <w:rsid w:val="004A7E6B"/>
    <w:rsid w:val="004B1D7A"/>
    <w:rsid w:val="004B1E95"/>
    <w:rsid w:val="004C6CFD"/>
    <w:rsid w:val="004C7163"/>
    <w:rsid w:val="004D3844"/>
    <w:rsid w:val="004D3D18"/>
    <w:rsid w:val="004D62A6"/>
    <w:rsid w:val="004E0C1F"/>
    <w:rsid w:val="004E561E"/>
    <w:rsid w:val="004E5E09"/>
    <w:rsid w:val="004E6E4E"/>
    <w:rsid w:val="004E79A2"/>
    <w:rsid w:val="004F0481"/>
    <w:rsid w:val="004F0A62"/>
    <w:rsid w:val="004F23C3"/>
    <w:rsid w:val="004F2810"/>
    <w:rsid w:val="004F4018"/>
    <w:rsid w:val="004F57F8"/>
    <w:rsid w:val="004F6F20"/>
    <w:rsid w:val="00500303"/>
    <w:rsid w:val="005017B3"/>
    <w:rsid w:val="005033B6"/>
    <w:rsid w:val="00510A26"/>
    <w:rsid w:val="00516E3B"/>
    <w:rsid w:val="00523968"/>
    <w:rsid w:val="005256EA"/>
    <w:rsid w:val="0052599E"/>
    <w:rsid w:val="00526F1B"/>
    <w:rsid w:val="0053122D"/>
    <w:rsid w:val="00531A7D"/>
    <w:rsid w:val="00532D87"/>
    <w:rsid w:val="00535358"/>
    <w:rsid w:val="00536C25"/>
    <w:rsid w:val="00542075"/>
    <w:rsid w:val="0054388E"/>
    <w:rsid w:val="0054444C"/>
    <w:rsid w:val="005471EF"/>
    <w:rsid w:val="00555189"/>
    <w:rsid w:val="0057242F"/>
    <w:rsid w:val="0058370A"/>
    <w:rsid w:val="0058442F"/>
    <w:rsid w:val="00592E0E"/>
    <w:rsid w:val="00594CF4"/>
    <w:rsid w:val="005976A2"/>
    <w:rsid w:val="005A437F"/>
    <w:rsid w:val="005B0595"/>
    <w:rsid w:val="005B28A3"/>
    <w:rsid w:val="005B7309"/>
    <w:rsid w:val="005C3791"/>
    <w:rsid w:val="005C38F3"/>
    <w:rsid w:val="005C40D8"/>
    <w:rsid w:val="005C5382"/>
    <w:rsid w:val="005D23CE"/>
    <w:rsid w:val="005D47EC"/>
    <w:rsid w:val="005D76B1"/>
    <w:rsid w:val="005E09F0"/>
    <w:rsid w:val="005E3928"/>
    <w:rsid w:val="005E752C"/>
    <w:rsid w:val="005F4478"/>
    <w:rsid w:val="005F4D79"/>
    <w:rsid w:val="00607113"/>
    <w:rsid w:val="00610FE0"/>
    <w:rsid w:val="00611469"/>
    <w:rsid w:val="006209F9"/>
    <w:rsid w:val="006221CC"/>
    <w:rsid w:val="00623929"/>
    <w:rsid w:val="00624C8C"/>
    <w:rsid w:val="00630FB8"/>
    <w:rsid w:val="0063157F"/>
    <w:rsid w:val="006329D4"/>
    <w:rsid w:val="00632C5D"/>
    <w:rsid w:val="006350B5"/>
    <w:rsid w:val="0064144C"/>
    <w:rsid w:val="006421C6"/>
    <w:rsid w:val="00645500"/>
    <w:rsid w:val="00666F5D"/>
    <w:rsid w:val="00667B42"/>
    <w:rsid w:val="00672B81"/>
    <w:rsid w:val="00674747"/>
    <w:rsid w:val="00682C14"/>
    <w:rsid w:val="00683B43"/>
    <w:rsid w:val="00686795"/>
    <w:rsid w:val="0069529A"/>
    <w:rsid w:val="006963EB"/>
    <w:rsid w:val="006A289B"/>
    <w:rsid w:val="006A7478"/>
    <w:rsid w:val="006B015B"/>
    <w:rsid w:val="006C140C"/>
    <w:rsid w:val="006C6B56"/>
    <w:rsid w:val="006D2DF0"/>
    <w:rsid w:val="006D4E7A"/>
    <w:rsid w:val="006F19E2"/>
    <w:rsid w:val="006F4D30"/>
    <w:rsid w:val="00700AE2"/>
    <w:rsid w:val="00706B39"/>
    <w:rsid w:val="00711EDF"/>
    <w:rsid w:val="00717CDA"/>
    <w:rsid w:val="00720A6F"/>
    <w:rsid w:val="0072258E"/>
    <w:rsid w:val="00723328"/>
    <w:rsid w:val="00724F4A"/>
    <w:rsid w:val="00726273"/>
    <w:rsid w:val="0073086A"/>
    <w:rsid w:val="00736D98"/>
    <w:rsid w:val="007370FC"/>
    <w:rsid w:val="007414D1"/>
    <w:rsid w:val="00742038"/>
    <w:rsid w:val="00747A57"/>
    <w:rsid w:val="00747DD0"/>
    <w:rsid w:val="00753185"/>
    <w:rsid w:val="007540B5"/>
    <w:rsid w:val="007550DD"/>
    <w:rsid w:val="007557C5"/>
    <w:rsid w:val="007561E3"/>
    <w:rsid w:val="0075677D"/>
    <w:rsid w:val="007574F7"/>
    <w:rsid w:val="007622DF"/>
    <w:rsid w:val="00765D6B"/>
    <w:rsid w:val="007662BC"/>
    <w:rsid w:val="007715F7"/>
    <w:rsid w:val="007839AA"/>
    <w:rsid w:val="0079406F"/>
    <w:rsid w:val="00797875"/>
    <w:rsid w:val="007A0DE1"/>
    <w:rsid w:val="007A440D"/>
    <w:rsid w:val="007A5151"/>
    <w:rsid w:val="007A72E4"/>
    <w:rsid w:val="007B0C3B"/>
    <w:rsid w:val="007B1A04"/>
    <w:rsid w:val="007B43B9"/>
    <w:rsid w:val="007B54A9"/>
    <w:rsid w:val="007B62F1"/>
    <w:rsid w:val="007C0EB9"/>
    <w:rsid w:val="007C28B5"/>
    <w:rsid w:val="007D1725"/>
    <w:rsid w:val="007D1CED"/>
    <w:rsid w:val="007D69B6"/>
    <w:rsid w:val="007E0C97"/>
    <w:rsid w:val="007F2A0E"/>
    <w:rsid w:val="007F3527"/>
    <w:rsid w:val="007F3554"/>
    <w:rsid w:val="007F40E2"/>
    <w:rsid w:val="007F600B"/>
    <w:rsid w:val="007F7506"/>
    <w:rsid w:val="00801F09"/>
    <w:rsid w:val="00804C01"/>
    <w:rsid w:val="008104B6"/>
    <w:rsid w:val="00815DCC"/>
    <w:rsid w:val="0081717C"/>
    <w:rsid w:val="0082455D"/>
    <w:rsid w:val="008250E9"/>
    <w:rsid w:val="00825779"/>
    <w:rsid w:val="00825A1B"/>
    <w:rsid w:val="0082723A"/>
    <w:rsid w:val="00831A25"/>
    <w:rsid w:val="00834FCE"/>
    <w:rsid w:val="00840ECC"/>
    <w:rsid w:val="00841A5D"/>
    <w:rsid w:val="008441B0"/>
    <w:rsid w:val="00847C2F"/>
    <w:rsid w:val="00855249"/>
    <w:rsid w:val="00855ADB"/>
    <w:rsid w:val="00856208"/>
    <w:rsid w:val="00856BBE"/>
    <w:rsid w:val="008579B8"/>
    <w:rsid w:val="008611D4"/>
    <w:rsid w:val="00863317"/>
    <w:rsid w:val="00880953"/>
    <w:rsid w:val="008860AB"/>
    <w:rsid w:val="0088740E"/>
    <w:rsid w:val="008900CF"/>
    <w:rsid w:val="008924EB"/>
    <w:rsid w:val="008966B9"/>
    <w:rsid w:val="008A266B"/>
    <w:rsid w:val="008B3BA6"/>
    <w:rsid w:val="008B6DDC"/>
    <w:rsid w:val="008C4250"/>
    <w:rsid w:val="008C7364"/>
    <w:rsid w:val="008D08E9"/>
    <w:rsid w:val="008D12A2"/>
    <w:rsid w:val="008D1D43"/>
    <w:rsid w:val="008D3501"/>
    <w:rsid w:val="008E10D0"/>
    <w:rsid w:val="008E76C5"/>
    <w:rsid w:val="008E7D07"/>
    <w:rsid w:val="008F06F4"/>
    <w:rsid w:val="008F2907"/>
    <w:rsid w:val="008F5DF9"/>
    <w:rsid w:val="008F725D"/>
    <w:rsid w:val="00901A78"/>
    <w:rsid w:val="009031C2"/>
    <w:rsid w:val="009043B0"/>
    <w:rsid w:val="00907136"/>
    <w:rsid w:val="009078F3"/>
    <w:rsid w:val="00913029"/>
    <w:rsid w:val="00914102"/>
    <w:rsid w:val="00914716"/>
    <w:rsid w:val="00920609"/>
    <w:rsid w:val="00924D97"/>
    <w:rsid w:val="00926257"/>
    <w:rsid w:val="00927102"/>
    <w:rsid w:val="00931317"/>
    <w:rsid w:val="00935ECC"/>
    <w:rsid w:val="00936D73"/>
    <w:rsid w:val="00937532"/>
    <w:rsid w:val="00941DE3"/>
    <w:rsid w:val="00954AB1"/>
    <w:rsid w:val="00962D0B"/>
    <w:rsid w:val="009648A9"/>
    <w:rsid w:val="0096791F"/>
    <w:rsid w:val="00975EBF"/>
    <w:rsid w:val="0098066F"/>
    <w:rsid w:val="009831CF"/>
    <w:rsid w:val="009841D9"/>
    <w:rsid w:val="009942BE"/>
    <w:rsid w:val="00994716"/>
    <w:rsid w:val="009962DB"/>
    <w:rsid w:val="00997823"/>
    <w:rsid w:val="009A6449"/>
    <w:rsid w:val="009A655C"/>
    <w:rsid w:val="009B3AC5"/>
    <w:rsid w:val="009B6A77"/>
    <w:rsid w:val="009C1C3F"/>
    <w:rsid w:val="009C2B5C"/>
    <w:rsid w:val="009C3BF8"/>
    <w:rsid w:val="009C44D8"/>
    <w:rsid w:val="009D21C0"/>
    <w:rsid w:val="009D2381"/>
    <w:rsid w:val="009D2BAF"/>
    <w:rsid w:val="009D5A87"/>
    <w:rsid w:val="009D7862"/>
    <w:rsid w:val="009E0551"/>
    <w:rsid w:val="009E29EA"/>
    <w:rsid w:val="009E4F2C"/>
    <w:rsid w:val="009E5526"/>
    <w:rsid w:val="009E5E1E"/>
    <w:rsid w:val="009E776C"/>
    <w:rsid w:val="009E7CB8"/>
    <w:rsid w:val="009F1765"/>
    <w:rsid w:val="009F7F55"/>
    <w:rsid w:val="00A01BF5"/>
    <w:rsid w:val="00A01C76"/>
    <w:rsid w:val="00A15B46"/>
    <w:rsid w:val="00A15FD8"/>
    <w:rsid w:val="00A25EFA"/>
    <w:rsid w:val="00A26344"/>
    <w:rsid w:val="00A27EC1"/>
    <w:rsid w:val="00A3031C"/>
    <w:rsid w:val="00A31EA2"/>
    <w:rsid w:val="00A32636"/>
    <w:rsid w:val="00A32B5E"/>
    <w:rsid w:val="00A33640"/>
    <w:rsid w:val="00A33AAA"/>
    <w:rsid w:val="00A42A79"/>
    <w:rsid w:val="00A45965"/>
    <w:rsid w:val="00A465C6"/>
    <w:rsid w:val="00A5085A"/>
    <w:rsid w:val="00A52B72"/>
    <w:rsid w:val="00A63DC2"/>
    <w:rsid w:val="00A71B71"/>
    <w:rsid w:val="00A73E28"/>
    <w:rsid w:val="00A75F80"/>
    <w:rsid w:val="00A763B8"/>
    <w:rsid w:val="00A81476"/>
    <w:rsid w:val="00A90ADC"/>
    <w:rsid w:val="00A92C44"/>
    <w:rsid w:val="00A974B3"/>
    <w:rsid w:val="00A9797D"/>
    <w:rsid w:val="00AA0677"/>
    <w:rsid w:val="00AB052D"/>
    <w:rsid w:val="00AB2969"/>
    <w:rsid w:val="00AB478B"/>
    <w:rsid w:val="00AB7F38"/>
    <w:rsid w:val="00AC3384"/>
    <w:rsid w:val="00AC4267"/>
    <w:rsid w:val="00AC77EC"/>
    <w:rsid w:val="00AC7E9F"/>
    <w:rsid w:val="00AD0D5D"/>
    <w:rsid w:val="00AD7433"/>
    <w:rsid w:val="00AE03BF"/>
    <w:rsid w:val="00AE3677"/>
    <w:rsid w:val="00AE5331"/>
    <w:rsid w:val="00AF0453"/>
    <w:rsid w:val="00AF234C"/>
    <w:rsid w:val="00B00AF3"/>
    <w:rsid w:val="00B01DF5"/>
    <w:rsid w:val="00B03095"/>
    <w:rsid w:val="00B049C0"/>
    <w:rsid w:val="00B059FB"/>
    <w:rsid w:val="00B11814"/>
    <w:rsid w:val="00B15BFD"/>
    <w:rsid w:val="00B16025"/>
    <w:rsid w:val="00B243AA"/>
    <w:rsid w:val="00B35730"/>
    <w:rsid w:val="00B36116"/>
    <w:rsid w:val="00B416AA"/>
    <w:rsid w:val="00B41C4C"/>
    <w:rsid w:val="00B477A5"/>
    <w:rsid w:val="00B51FE6"/>
    <w:rsid w:val="00B52AD4"/>
    <w:rsid w:val="00B56A1F"/>
    <w:rsid w:val="00B65097"/>
    <w:rsid w:val="00B743AA"/>
    <w:rsid w:val="00B75C8C"/>
    <w:rsid w:val="00B7687A"/>
    <w:rsid w:val="00B83E95"/>
    <w:rsid w:val="00B86E98"/>
    <w:rsid w:val="00B905FE"/>
    <w:rsid w:val="00B954AF"/>
    <w:rsid w:val="00BA3D1C"/>
    <w:rsid w:val="00BA64C0"/>
    <w:rsid w:val="00BB0D0A"/>
    <w:rsid w:val="00BB0E9B"/>
    <w:rsid w:val="00BB5596"/>
    <w:rsid w:val="00BB6F57"/>
    <w:rsid w:val="00BC02DB"/>
    <w:rsid w:val="00BC0FFC"/>
    <w:rsid w:val="00BD0ABE"/>
    <w:rsid w:val="00BE3A3B"/>
    <w:rsid w:val="00BE7D02"/>
    <w:rsid w:val="00BF0977"/>
    <w:rsid w:val="00BF2D44"/>
    <w:rsid w:val="00C0135E"/>
    <w:rsid w:val="00C02042"/>
    <w:rsid w:val="00C02632"/>
    <w:rsid w:val="00C02A02"/>
    <w:rsid w:val="00C12CC3"/>
    <w:rsid w:val="00C141C0"/>
    <w:rsid w:val="00C14A04"/>
    <w:rsid w:val="00C20EAE"/>
    <w:rsid w:val="00C23081"/>
    <w:rsid w:val="00C23BDE"/>
    <w:rsid w:val="00C2435A"/>
    <w:rsid w:val="00C245A7"/>
    <w:rsid w:val="00C247A7"/>
    <w:rsid w:val="00C27D92"/>
    <w:rsid w:val="00C31AD7"/>
    <w:rsid w:val="00C40062"/>
    <w:rsid w:val="00C42A55"/>
    <w:rsid w:val="00C439CB"/>
    <w:rsid w:val="00C44589"/>
    <w:rsid w:val="00C46760"/>
    <w:rsid w:val="00C526DA"/>
    <w:rsid w:val="00C5516D"/>
    <w:rsid w:val="00C65735"/>
    <w:rsid w:val="00C70062"/>
    <w:rsid w:val="00C756F1"/>
    <w:rsid w:val="00C7715D"/>
    <w:rsid w:val="00C772E5"/>
    <w:rsid w:val="00C83D35"/>
    <w:rsid w:val="00C85137"/>
    <w:rsid w:val="00C87A49"/>
    <w:rsid w:val="00C919CC"/>
    <w:rsid w:val="00C91F08"/>
    <w:rsid w:val="00CA0970"/>
    <w:rsid w:val="00CA10C5"/>
    <w:rsid w:val="00CA1CDC"/>
    <w:rsid w:val="00CA3974"/>
    <w:rsid w:val="00CA4760"/>
    <w:rsid w:val="00CA4FC5"/>
    <w:rsid w:val="00CA729F"/>
    <w:rsid w:val="00CB33CC"/>
    <w:rsid w:val="00CB35D9"/>
    <w:rsid w:val="00CC5C38"/>
    <w:rsid w:val="00CC7E32"/>
    <w:rsid w:val="00CD08BA"/>
    <w:rsid w:val="00CD1600"/>
    <w:rsid w:val="00CD59E1"/>
    <w:rsid w:val="00CE0433"/>
    <w:rsid w:val="00CE49D9"/>
    <w:rsid w:val="00CE5DE9"/>
    <w:rsid w:val="00CE61AB"/>
    <w:rsid w:val="00CF04EF"/>
    <w:rsid w:val="00CF569C"/>
    <w:rsid w:val="00CF6A3F"/>
    <w:rsid w:val="00CF6BE4"/>
    <w:rsid w:val="00CF6C2C"/>
    <w:rsid w:val="00D058EF"/>
    <w:rsid w:val="00D070E7"/>
    <w:rsid w:val="00D074F1"/>
    <w:rsid w:val="00D11E5E"/>
    <w:rsid w:val="00D13032"/>
    <w:rsid w:val="00D133A7"/>
    <w:rsid w:val="00D1510C"/>
    <w:rsid w:val="00D221DE"/>
    <w:rsid w:val="00D26425"/>
    <w:rsid w:val="00D40AC2"/>
    <w:rsid w:val="00D43D3D"/>
    <w:rsid w:val="00D448BD"/>
    <w:rsid w:val="00D4700B"/>
    <w:rsid w:val="00D47023"/>
    <w:rsid w:val="00D51615"/>
    <w:rsid w:val="00D52C5A"/>
    <w:rsid w:val="00D65FF0"/>
    <w:rsid w:val="00D822D0"/>
    <w:rsid w:val="00D8320E"/>
    <w:rsid w:val="00D83D2D"/>
    <w:rsid w:val="00D84024"/>
    <w:rsid w:val="00D8713B"/>
    <w:rsid w:val="00D932BB"/>
    <w:rsid w:val="00D940A3"/>
    <w:rsid w:val="00D94BED"/>
    <w:rsid w:val="00DA548B"/>
    <w:rsid w:val="00DA71E9"/>
    <w:rsid w:val="00DB3B20"/>
    <w:rsid w:val="00DB48F1"/>
    <w:rsid w:val="00DB6FE6"/>
    <w:rsid w:val="00DC1EAC"/>
    <w:rsid w:val="00DC29FF"/>
    <w:rsid w:val="00DC46F9"/>
    <w:rsid w:val="00DD18AB"/>
    <w:rsid w:val="00DD4077"/>
    <w:rsid w:val="00DD5216"/>
    <w:rsid w:val="00DD5E56"/>
    <w:rsid w:val="00DD660D"/>
    <w:rsid w:val="00DE05B5"/>
    <w:rsid w:val="00DE3921"/>
    <w:rsid w:val="00DF0932"/>
    <w:rsid w:val="00DF15EE"/>
    <w:rsid w:val="00DF1F90"/>
    <w:rsid w:val="00DF3C6D"/>
    <w:rsid w:val="00DF3C78"/>
    <w:rsid w:val="00DF5EC9"/>
    <w:rsid w:val="00E04941"/>
    <w:rsid w:val="00E04F68"/>
    <w:rsid w:val="00E15C12"/>
    <w:rsid w:val="00E201DE"/>
    <w:rsid w:val="00E23756"/>
    <w:rsid w:val="00E247C0"/>
    <w:rsid w:val="00E30C98"/>
    <w:rsid w:val="00E310DF"/>
    <w:rsid w:val="00E31936"/>
    <w:rsid w:val="00E31C1A"/>
    <w:rsid w:val="00E34A77"/>
    <w:rsid w:val="00E36F97"/>
    <w:rsid w:val="00E40B9F"/>
    <w:rsid w:val="00E42131"/>
    <w:rsid w:val="00E4726A"/>
    <w:rsid w:val="00E55C82"/>
    <w:rsid w:val="00E603D9"/>
    <w:rsid w:val="00E62A80"/>
    <w:rsid w:val="00E7012E"/>
    <w:rsid w:val="00E778D8"/>
    <w:rsid w:val="00E82A7F"/>
    <w:rsid w:val="00E84B53"/>
    <w:rsid w:val="00E875CE"/>
    <w:rsid w:val="00E92B5D"/>
    <w:rsid w:val="00E95C89"/>
    <w:rsid w:val="00E978C4"/>
    <w:rsid w:val="00EA0CFF"/>
    <w:rsid w:val="00EA37AF"/>
    <w:rsid w:val="00EA6A6F"/>
    <w:rsid w:val="00EA7A28"/>
    <w:rsid w:val="00EB19BD"/>
    <w:rsid w:val="00EB3EF2"/>
    <w:rsid w:val="00EB4016"/>
    <w:rsid w:val="00EB65AE"/>
    <w:rsid w:val="00EB73B6"/>
    <w:rsid w:val="00EC2036"/>
    <w:rsid w:val="00EC246D"/>
    <w:rsid w:val="00EC28B8"/>
    <w:rsid w:val="00EC2A39"/>
    <w:rsid w:val="00ED0657"/>
    <w:rsid w:val="00ED2EF3"/>
    <w:rsid w:val="00ED5173"/>
    <w:rsid w:val="00ED55CC"/>
    <w:rsid w:val="00ED6311"/>
    <w:rsid w:val="00ED736E"/>
    <w:rsid w:val="00ED75B6"/>
    <w:rsid w:val="00EE4274"/>
    <w:rsid w:val="00EE76A1"/>
    <w:rsid w:val="00F04E1A"/>
    <w:rsid w:val="00F05BBA"/>
    <w:rsid w:val="00F148EE"/>
    <w:rsid w:val="00F2012A"/>
    <w:rsid w:val="00F221E3"/>
    <w:rsid w:val="00F221EA"/>
    <w:rsid w:val="00F238B1"/>
    <w:rsid w:val="00F240DC"/>
    <w:rsid w:val="00F30288"/>
    <w:rsid w:val="00F329AC"/>
    <w:rsid w:val="00F32A60"/>
    <w:rsid w:val="00F35864"/>
    <w:rsid w:val="00F37659"/>
    <w:rsid w:val="00F4184F"/>
    <w:rsid w:val="00F53394"/>
    <w:rsid w:val="00F534F9"/>
    <w:rsid w:val="00F5611C"/>
    <w:rsid w:val="00F65470"/>
    <w:rsid w:val="00F71813"/>
    <w:rsid w:val="00F71F98"/>
    <w:rsid w:val="00F736DC"/>
    <w:rsid w:val="00F75803"/>
    <w:rsid w:val="00F82BBF"/>
    <w:rsid w:val="00F83AC4"/>
    <w:rsid w:val="00F85B8B"/>
    <w:rsid w:val="00F90C29"/>
    <w:rsid w:val="00F93636"/>
    <w:rsid w:val="00F97079"/>
    <w:rsid w:val="00FA163C"/>
    <w:rsid w:val="00FB14A8"/>
    <w:rsid w:val="00FB5F0D"/>
    <w:rsid w:val="00FC602E"/>
    <w:rsid w:val="00FC6A68"/>
    <w:rsid w:val="00FC7229"/>
    <w:rsid w:val="00FD177A"/>
    <w:rsid w:val="00FD2F94"/>
    <w:rsid w:val="00FD2F9C"/>
    <w:rsid w:val="00FE44AC"/>
    <w:rsid w:val="00FF2000"/>
    <w:rsid w:val="00FF2C9A"/>
    <w:rsid w:val="00FF52AD"/>
    <w:rsid w:val="00FF6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527D56"/>
  <w15:docId w15:val="{63D55F9E-C016-4946-A74C-29D683B7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1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F221E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2A0BF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DF5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EC9"/>
    <w:rPr>
      <w:rFonts w:ascii="Tahoma" w:hAnsi="Tahoma" w:cs="Tahoma"/>
      <w:sz w:val="16"/>
      <w:szCs w:val="16"/>
    </w:rPr>
  </w:style>
  <w:style w:type="character" w:customStyle="1" w:styleId="markedcontent">
    <w:name w:val="markedcontent"/>
    <w:basedOn w:val="DefaultParagraphFont"/>
    <w:rsid w:val="00A763B8"/>
  </w:style>
  <w:style w:type="character" w:styleId="Strong">
    <w:name w:val="Strong"/>
    <w:basedOn w:val="DefaultParagraphFont"/>
    <w:uiPriority w:val="22"/>
    <w:qFormat/>
    <w:rsid w:val="002A2D0A"/>
    <w:rPr>
      <w:b/>
    </w:rPr>
  </w:style>
  <w:style w:type="character" w:customStyle="1" w:styleId="active">
    <w:name w:val="active"/>
    <w:basedOn w:val="DefaultParagraphFont"/>
    <w:rsid w:val="002A2D0A"/>
  </w:style>
  <w:style w:type="paragraph" w:styleId="Header">
    <w:name w:val="header"/>
    <w:basedOn w:val="Normal"/>
    <w:link w:val="HeaderChar"/>
    <w:uiPriority w:val="99"/>
    <w:unhideWhenUsed/>
    <w:rsid w:val="00847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C2F"/>
  </w:style>
  <w:style w:type="paragraph" w:styleId="Footer">
    <w:name w:val="footer"/>
    <w:basedOn w:val="Normal"/>
    <w:link w:val="FooterChar"/>
    <w:uiPriority w:val="99"/>
    <w:unhideWhenUsed/>
    <w:rsid w:val="00847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C2F"/>
  </w:style>
  <w:style w:type="paragraph" w:styleId="ListParagraph">
    <w:name w:val="List Paragraph"/>
    <w:basedOn w:val="Normal"/>
    <w:uiPriority w:val="34"/>
    <w:qFormat/>
    <w:rsid w:val="00200741"/>
    <w:pPr>
      <w:ind w:left="720"/>
      <w:contextualSpacing/>
    </w:pPr>
  </w:style>
  <w:style w:type="table" w:styleId="TableGrid">
    <w:name w:val="Table Grid"/>
    <w:basedOn w:val="TableNormal"/>
    <w:uiPriority w:val="59"/>
    <w:rsid w:val="00696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529A"/>
    <w:rPr>
      <w:color w:val="0000FF" w:themeColor="hyperlink"/>
      <w:u w:val="single"/>
    </w:rPr>
  </w:style>
  <w:style w:type="character" w:customStyle="1" w:styleId="UnresolvedMention1">
    <w:name w:val="Unresolved Mention1"/>
    <w:basedOn w:val="DefaultParagraphFont"/>
    <w:uiPriority w:val="99"/>
    <w:semiHidden/>
    <w:unhideWhenUsed/>
    <w:rsid w:val="000746ED"/>
    <w:rPr>
      <w:color w:val="605E5C"/>
      <w:shd w:val="clear" w:color="auto" w:fill="E1DFDD"/>
    </w:rPr>
  </w:style>
  <w:style w:type="paragraph" w:styleId="NormalWeb">
    <w:name w:val="Normal (Web)"/>
    <w:basedOn w:val="Normal"/>
    <w:uiPriority w:val="99"/>
    <w:unhideWhenUsed/>
    <w:rsid w:val="009F7F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84235">
      <w:bodyDiv w:val="1"/>
      <w:marLeft w:val="0"/>
      <w:marRight w:val="0"/>
      <w:marTop w:val="0"/>
      <w:marBottom w:val="0"/>
      <w:divBdr>
        <w:top w:val="none" w:sz="0" w:space="0" w:color="auto"/>
        <w:left w:val="none" w:sz="0" w:space="0" w:color="auto"/>
        <w:bottom w:val="none" w:sz="0" w:space="0" w:color="auto"/>
        <w:right w:val="none" w:sz="0" w:space="0" w:color="auto"/>
      </w:divBdr>
    </w:div>
    <w:div w:id="535384726">
      <w:bodyDiv w:val="1"/>
      <w:marLeft w:val="0"/>
      <w:marRight w:val="0"/>
      <w:marTop w:val="0"/>
      <w:marBottom w:val="0"/>
      <w:divBdr>
        <w:top w:val="none" w:sz="0" w:space="0" w:color="auto"/>
        <w:left w:val="none" w:sz="0" w:space="0" w:color="auto"/>
        <w:bottom w:val="none" w:sz="0" w:space="0" w:color="auto"/>
        <w:right w:val="none" w:sz="0" w:space="0" w:color="auto"/>
      </w:divBdr>
    </w:div>
    <w:div w:id="907153835">
      <w:bodyDiv w:val="1"/>
      <w:marLeft w:val="0"/>
      <w:marRight w:val="0"/>
      <w:marTop w:val="0"/>
      <w:marBottom w:val="0"/>
      <w:divBdr>
        <w:top w:val="none" w:sz="0" w:space="0" w:color="auto"/>
        <w:left w:val="none" w:sz="0" w:space="0" w:color="auto"/>
        <w:bottom w:val="none" w:sz="0" w:space="0" w:color="auto"/>
        <w:right w:val="none" w:sz="0" w:space="0" w:color="auto"/>
      </w:divBdr>
    </w:div>
    <w:div w:id="1789467266">
      <w:bodyDiv w:val="1"/>
      <w:marLeft w:val="0"/>
      <w:marRight w:val="0"/>
      <w:marTop w:val="0"/>
      <w:marBottom w:val="0"/>
      <w:divBdr>
        <w:top w:val="none" w:sz="0" w:space="0" w:color="auto"/>
        <w:left w:val="none" w:sz="0" w:space="0" w:color="auto"/>
        <w:bottom w:val="none" w:sz="0" w:space="0" w:color="auto"/>
        <w:right w:val="none" w:sz="0" w:space="0" w:color="auto"/>
      </w:divBdr>
    </w:div>
    <w:div w:id="2050297874">
      <w:bodyDiv w:val="1"/>
      <w:marLeft w:val="0"/>
      <w:marRight w:val="0"/>
      <w:marTop w:val="0"/>
      <w:marBottom w:val="0"/>
      <w:divBdr>
        <w:top w:val="none" w:sz="0" w:space="0" w:color="auto"/>
        <w:left w:val="none" w:sz="0" w:space="0" w:color="auto"/>
        <w:bottom w:val="none" w:sz="0" w:space="0" w:color="auto"/>
        <w:right w:val="none" w:sz="0" w:space="0" w:color="auto"/>
      </w:divBdr>
      <w:divsChild>
        <w:div w:id="1657536638">
          <w:marLeft w:val="0"/>
          <w:marRight w:val="0"/>
          <w:marTop w:val="0"/>
          <w:marBottom w:val="0"/>
          <w:divBdr>
            <w:top w:val="none" w:sz="0" w:space="0" w:color="auto"/>
            <w:left w:val="none" w:sz="0" w:space="0" w:color="auto"/>
            <w:bottom w:val="none" w:sz="0" w:space="0" w:color="auto"/>
            <w:right w:val="none" w:sz="0" w:space="0" w:color="auto"/>
          </w:divBdr>
          <w:divsChild>
            <w:div w:id="1210413987">
              <w:marLeft w:val="0"/>
              <w:marRight w:val="0"/>
              <w:marTop w:val="0"/>
              <w:marBottom w:val="0"/>
              <w:divBdr>
                <w:top w:val="none" w:sz="0" w:space="0" w:color="auto"/>
                <w:left w:val="none" w:sz="0" w:space="0" w:color="auto"/>
                <w:bottom w:val="none" w:sz="0" w:space="0" w:color="auto"/>
                <w:right w:val="none" w:sz="0" w:space="0" w:color="auto"/>
              </w:divBdr>
              <w:divsChild>
                <w:div w:id="1330868757">
                  <w:marLeft w:val="0"/>
                  <w:marRight w:val="0"/>
                  <w:marTop w:val="0"/>
                  <w:marBottom w:val="0"/>
                  <w:divBdr>
                    <w:top w:val="none" w:sz="0" w:space="0" w:color="auto"/>
                    <w:left w:val="none" w:sz="0" w:space="0" w:color="auto"/>
                    <w:bottom w:val="none" w:sz="0" w:space="0" w:color="auto"/>
                    <w:right w:val="none" w:sz="0" w:space="0" w:color="auto"/>
                  </w:divBdr>
                  <w:divsChild>
                    <w:div w:id="1811559726">
                      <w:marLeft w:val="0"/>
                      <w:marRight w:val="0"/>
                      <w:marTop w:val="0"/>
                      <w:marBottom w:val="0"/>
                      <w:divBdr>
                        <w:top w:val="none" w:sz="0" w:space="0" w:color="auto"/>
                        <w:left w:val="none" w:sz="0" w:space="0" w:color="auto"/>
                        <w:bottom w:val="none" w:sz="0" w:space="0" w:color="auto"/>
                        <w:right w:val="none" w:sz="0" w:space="0" w:color="auto"/>
                      </w:divBdr>
                      <w:divsChild>
                        <w:div w:id="1399665490">
                          <w:marLeft w:val="0"/>
                          <w:marRight w:val="0"/>
                          <w:marTop w:val="0"/>
                          <w:marBottom w:val="0"/>
                          <w:divBdr>
                            <w:top w:val="none" w:sz="0" w:space="0" w:color="auto"/>
                            <w:left w:val="none" w:sz="0" w:space="0" w:color="auto"/>
                            <w:bottom w:val="none" w:sz="0" w:space="0" w:color="auto"/>
                            <w:right w:val="none" w:sz="0" w:space="0" w:color="auto"/>
                          </w:divBdr>
                          <w:divsChild>
                            <w:div w:id="424158760">
                              <w:marLeft w:val="0"/>
                              <w:marRight w:val="0"/>
                              <w:marTop w:val="0"/>
                              <w:marBottom w:val="0"/>
                              <w:divBdr>
                                <w:top w:val="none" w:sz="0" w:space="0" w:color="auto"/>
                                <w:left w:val="none" w:sz="0" w:space="0" w:color="auto"/>
                                <w:bottom w:val="none" w:sz="0" w:space="0" w:color="auto"/>
                                <w:right w:val="none" w:sz="0" w:space="0" w:color="auto"/>
                              </w:divBdr>
                              <w:divsChild>
                                <w:div w:id="118320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4.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B%20DUL\Documents\My%20Project\MY%20PROJECT%20AB\CHAPTER%20FOUR%20(NEW)\production%20without%20polythen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B%20DUL\Documents\My%20Project\MY%20PROJECT%20AB\CHAPTER%20FOUR%20(NEW)\production%20without%20polythen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B%20DUL\Documents\My%20Project\MY%20PROJECT%20AB\CHAPTER%20FOUR%20(NEW)\production%20without%20polythen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B%20DUL\Documents\My%20Project\MY%20PROJECT%20AB\CHAPTER%20FOUR%20(NEW)\production%20without%20polythen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B%20DUL\Documents\My%20Project\MY%20PROJECT%20AB\CHAPTER%20FOUR%20(NEW)\production%20without%20polythen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B%20DUL\Documents\My%20Project\MY%20PROJECT%20AB\CHAPTER%20FOUR%20(NEW)\production%20without%20polythen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B%20DUL\Documents\My%20Project\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Fig</a:t>
            </a:r>
            <a:r>
              <a:rPr lang="en-GB" sz="1400" baseline="0"/>
              <a:t> 1 Bulk Density </a:t>
            </a:r>
            <a:endParaRPr lang="en-GB" sz="1400"/>
          </a:p>
        </c:rich>
      </c:tx>
      <c:layout>
        <c:manualLayout>
          <c:xMode val="edge"/>
          <c:yMode val="edge"/>
          <c:x val="0.27835208317169841"/>
          <c:y val="0.84994309270465063"/>
        </c:manualLayout>
      </c:layout>
      <c:overlay val="0"/>
    </c:title>
    <c:autoTitleDeleted val="0"/>
    <c:plotArea>
      <c:layout>
        <c:manualLayout>
          <c:layoutTarget val="inner"/>
          <c:xMode val="edge"/>
          <c:yMode val="edge"/>
          <c:x val="0.14099649308542531"/>
          <c:y val="8.496273642531818E-2"/>
          <c:w val="0.57192648831687964"/>
          <c:h val="0.58754779595536222"/>
        </c:manualLayout>
      </c:layout>
      <c:scatterChart>
        <c:scatterStyle val="lineMarker"/>
        <c:varyColors val="0"/>
        <c:ser>
          <c:idx val="0"/>
          <c:order val="0"/>
          <c:tx>
            <c:strRef>
              <c:f>Sheet6!$C$6</c:f>
              <c:strCache>
                <c:ptCount val="1"/>
                <c:pt idx="0">
                  <c:v>production without polythene</c:v>
                </c:pt>
              </c:strCache>
            </c:strRef>
          </c:tx>
          <c:spPr>
            <a:ln w="28575">
              <a:noFill/>
            </a:ln>
          </c:spPr>
          <c:trendline>
            <c:trendlineType val="poly"/>
            <c:order val="3"/>
            <c:dispRSqr val="0"/>
            <c:dispEq val="0"/>
          </c:trendline>
          <c:xVal>
            <c:numRef>
              <c:f>Sheet6!$B$7:$B$11</c:f>
              <c:numCache>
                <c:formatCode>General</c:formatCode>
                <c:ptCount val="5"/>
                <c:pt idx="0">
                  <c:v>5</c:v>
                </c:pt>
                <c:pt idx="1">
                  <c:v>5.5</c:v>
                </c:pt>
                <c:pt idx="2">
                  <c:v>6</c:v>
                </c:pt>
                <c:pt idx="3">
                  <c:v>6.5</c:v>
                </c:pt>
                <c:pt idx="4">
                  <c:v>7</c:v>
                </c:pt>
              </c:numCache>
            </c:numRef>
          </c:xVal>
          <c:yVal>
            <c:numRef>
              <c:f>Sheet6!$C$7:$C$11</c:f>
              <c:numCache>
                <c:formatCode>General</c:formatCode>
                <c:ptCount val="5"/>
                <c:pt idx="0">
                  <c:v>2.15</c:v>
                </c:pt>
                <c:pt idx="1">
                  <c:v>2.16</c:v>
                </c:pt>
                <c:pt idx="2">
                  <c:v>2.17</c:v>
                </c:pt>
                <c:pt idx="3">
                  <c:v>2.165</c:v>
                </c:pt>
                <c:pt idx="4">
                  <c:v>2.14</c:v>
                </c:pt>
              </c:numCache>
            </c:numRef>
          </c:yVal>
          <c:smooth val="0"/>
          <c:extLst>
            <c:ext xmlns:c16="http://schemas.microsoft.com/office/drawing/2014/chart" uri="{C3380CC4-5D6E-409C-BE32-E72D297353CC}">
              <c16:uniqueId val="{00000001-FD1C-47DE-B09B-F259881EDAE9}"/>
            </c:ext>
          </c:extLst>
        </c:ser>
        <c:ser>
          <c:idx val="1"/>
          <c:order val="1"/>
          <c:tx>
            <c:strRef>
              <c:f>Sheet6!$D$6</c:f>
              <c:strCache>
                <c:ptCount val="1"/>
                <c:pt idx="0">
                  <c:v>production with polythene</c:v>
                </c:pt>
              </c:strCache>
            </c:strRef>
          </c:tx>
          <c:spPr>
            <a:ln w="28575">
              <a:noFill/>
            </a:ln>
          </c:spPr>
          <c:trendline>
            <c:trendlineType val="poly"/>
            <c:order val="4"/>
            <c:dispRSqr val="0"/>
            <c:dispEq val="0"/>
          </c:trendline>
          <c:xVal>
            <c:numRef>
              <c:f>Sheet6!$B$7:$B$11</c:f>
              <c:numCache>
                <c:formatCode>General</c:formatCode>
                <c:ptCount val="5"/>
                <c:pt idx="0">
                  <c:v>5</c:v>
                </c:pt>
                <c:pt idx="1">
                  <c:v>5.5</c:v>
                </c:pt>
                <c:pt idx="2">
                  <c:v>6</c:v>
                </c:pt>
                <c:pt idx="3">
                  <c:v>6.5</c:v>
                </c:pt>
                <c:pt idx="4">
                  <c:v>7</c:v>
                </c:pt>
              </c:numCache>
            </c:numRef>
          </c:xVal>
          <c:yVal>
            <c:numRef>
              <c:f>Sheet6!$D$7:$D$11</c:f>
              <c:numCache>
                <c:formatCode>General</c:formatCode>
                <c:ptCount val="5"/>
                <c:pt idx="0">
                  <c:v>2.1</c:v>
                </c:pt>
                <c:pt idx="1">
                  <c:v>2.105</c:v>
                </c:pt>
                <c:pt idx="2">
                  <c:v>2.1149999999999998</c:v>
                </c:pt>
                <c:pt idx="3">
                  <c:v>2.11</c:v>
                </c:pt>
                <c:pt idx="4">
                  <c:v>2.09</c:v>
                </c:pt>
              </c:numCache>
            </c:numRef>
          </c:yVal>
          <c:smooth val="0"/>
          <c:extLst>
            <c:ext xmlns:c16="http://schemas.microsoft.com/office/drawing/2014/chart" uri="{C3380CC4-5D6E-409C-BE32-E72D297353CC}">
              <c16:uniqueId val="{00000003-FD1C-47DE-B09B-F259881EDAE9}"/>
            </c:ext>
          </c:extLst>
        </c:ser>
        <c:dLbls>
          <c:showLegendKey val="0"/>
          <c:showVal val="0"/>
          <c:showCatName val="0"/>
          <c:showSerName val="0"/>
          <c:showPercent val="0"/>
          <c:showBubbleSize val="0"/>
        </c:dLbls>
        <c:axId val="198781568"/>
        <c:axId val="144916864"/>
      </c:scatterChart>
      <c:valAx>
        <c:axId val="198781568"/>
        <c:scaling>
          <c:orientation val="minMax"/>
          <c:max val="7.5"/>
          <c:min val="4.5"/>
        </c:scaling>
        <c:delete val="0"/>
        <c:axPos val="b"/>
        <c:title>
          <c:tx>
            <c:rich>
              <a:bodyPr/>
              <a:lstStyle/>
              <a:p>
                <a:pPr>
                  <a:defRPr/>
                </a:pPr>
                <a:r>
                  <a:rPr lang="en-GB" sz="1100"/>
                  <a:t>Binder</a:t>
                </a:r>
                <a:r>
                  <a:rPr lang="en-GB" sz="1100" baseline="0"/>
                  <a:t> content (%)</a:t>
                </a:r>
                <a:endParaRPr lang="en-GB" sz="1100"/>
              </a:p>
            </c:rich>
          </c:tx>
          <c:layout>
            <c:manualLayout>
              <c:xMode val="edge"/>
              <c:yMode val="edge"/>
              <c:x val="0.31977613986086612"/>
              <c:y val="0.77085574230464615"/>
            </c:manualLayout>
          </c:layout>
          <c:overlay val="0"/>
        </c:title>
        <c:numFmt formatCode="General" sourceLinked="1"/>
        <c:majorTickMark val="out"/>
        <c:minorTickMark val="none"/>
        <c:tickLblPos val="nextTo"/>
        <c:crossAx val="144916864"/>
        <c:crosses val="autoZero"/>
        <c:crossBetween val="midCat"/>
      </c:valAx>
      <c:valAx>
        <c:axId val="144916864"/>
        <c:scaling>
          <c:orientation val="minMax"/>
        </c:scaling>
        <c:delete val="0"/>
        <c:axPos val="l"/>
        <c:majorGridlines/>
        <c:title>
          <c:tx>
            <c:rich>
              <a:bodyPr rot="-5400000" vert="horz"/>
              <a:lstStyle/>
              <a:p>
                <a:pPr>
                  <a:defRPr/>
                </a:pPr>
                <a:r>
                  <a:rPr lang="en-GB" sz="1100"/>
                  <a:t>Bulk</a:t>
                </a:r>
                <a:r>
                  <a:rPr lang="en-GB" sz="1100" baseline="0"/>
                  <a:t> density  (g/cm3)</a:t>
                </a:r>
                <a:endParaRPr lang="en-GB" sz="1100"/>
              </a:p>
            </c:rich>
          </c:tx>
          <c:overlay val="0"/>
        </c:title>
        <c:numFmt formatCode="General" sourceLinked="1"/>
        <c:majorTickMark val="out"/>
        <c:minorTickMark val="none"/>
        <c:tickLblPos val="nextTo"/>
        <c:crossAx val="198781568"/>
        <c:crosses val="autoZero"/>
        <c:crossBetween val="midCat"/>
      </c:valAx>
    </c:plotArea>
    <c:legend>
      <c:legendPos val="r"/>
      <c:legendEntry>
        <c:idx val="2"/>
        <c:delete val="1"/>
      </c:legendEntry>
      <c:legendEntry>
        <c:idx val="3"/>
        <c:delete val="1"/>
      </c:legendEntry>
      <c:layout>
        <c:manualLayout>
          <c:xMode val="edge"/>
          <c:yMode val="edge"/>
          <c:x val="0.71747942648887586"/>
          <c:y val="0.27548402585828891"/>
          <c:w val="0.26848191777753388"/>
          <c:h val="0.21764223200942837"/>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Fig</a:t>
            </a:r>
            <a:r>
              <a:rPr lang="en-GB" sz="1400" baseline="0"/>
              <a:t> 2 Void in total mix</a:t>
            </a:r>
            <a:endParaRPr lang="en-GB" sz="1400"/>
          </a:p>
        </c:rich>
      </c:tx>
      <c:layout>
        <c:manualLayout>
          <c:xMode val="edge"/>
          <c:yMode val="edge"/>
          <c:x val="0.24961113124457771"/>
          <c:y val="0.85169074445272264"/>
        </c:manualLayout>
      </c:layout>
      <c:overlay val="0"/>
    </c:title>
    <c:autoTitleDeleted val="0"/>
    <c:plotArea>
      <c:layout>
        <c:manualLayout>
          <c:layoutTarget val="inner"/>
          <c:xMode val="edge"/>
          <c:yMode val="edge"/>
          <c:x val="0.14434948769479258"/>
          <c:y val="6.8952822143667603E-2"/>
          <c:w val="0.59808058511514195"/>
          <c:h val="0.62495917255723465"/>
        </c:manualLayout>
      </c:layout>
      <c:scatterChart>
        <c:scatterStyle val="lineMarker"/>
        <c:varyColors val="0"/>
        <c:ser>
          <c:idx val="0"/>
          <c:order val="0"/>
          <c:tx>
            <c:strRef>
              <c:f>Sheet1!$F$7</c:f>
              <c:strCache>
                <c:ptCount val="1"/>
                <c:pt idx="0">
                  <c:v>production without polythene</c:v>
                </c:pt>
              </c:strCache>
            </c:strRef>
          </c:tx>
          <c:spPr>
            <a:ln w="28575">
              <a:noFill/>
            </a:ln>
          </c:spPr>
          <c:trendline>
            <c:trendlineType val="poly"/>
            <c:order val="3"/>
            <c:dispRSqr val="0"/>
            <c:dispEq val="0"/>
          </c:trendline>
          <c:xVal>
            <c:numRef>
              <c:f>Sheet1!$E$8:$E$12</c:f>
              <c:numCache>
                <c:formatCode>General</c:formatCode>
                <c:ptCount val="5"/>
                <c:pt idx="0">
                  <c:v>5</c:v>
                </c:pt>
                <c:pt idx="1">
                  <c:v>5.5</c:v>
                </c:pt>
                <c:pt idx="2">
                  <c:v>6</c:v>
                </c:pt>
                <c:pt idx="3">
                  <c:v>6.5</c:v>
                </c:pt>
                <c:pt idx="4">
                  <c:v>7</c:v>
                </c:pt>
              </c:numCache>
            </c:numRef>
          </c:xVal>
          <c:yVal>
            <c:numRef>
              <c:f>Sheet1!$F$8:$F$12</c:f>
              <c:numCache>
                <c:formatCode>General</c:formatCode>
                <c:ptCount val="5"/>
                <c:pt idx="0">
                  <c:v>13.8</c:v>
                </c:pt>
                <c:pt idx="1">
                  <c:v>12.9</c:v>
                </c:pt>
                <c:pt idx="2">
                  <c:v>11.79</c:v>
                </c:pt>
                <c:pt idx="3">
                  <c:v>11.275</c:v>
                </c:pt>
                <c:pt idx="4">
                  <c:v>11.57</c:v>
                </c:pt>
              </c:numCache>
            </c:numRef>
          </c:yVal>
          <c:smooth val="0"/>
          <c:extLst>
            <c:ext xmlns:c16="http://schemas.microsoft.com/office/drawing/2014/chart" uri="{C3380CC4-5D6E-409C-BE32-E72D297353CC}">
              <c16:uniqueId val="{00000001-74FE-415A-BC0E-256D75E13721}"/>
            </c:ext>
          </c:extLst>
        </c:ser>
        <c:ser>
          <c:idx val="1"/>
          <c:order val="1"/>
          <c:tx>
            <c:strRef>
              <c:f>Sheet1!$G$7</c:f>
              <c:strCache>
                <c:ptCount val="1"/>
                <c:pt idx="0">
                  <c:v>production with polythene</c:v>
                </c:pt>
              </c:strCache>
            </c:strRef>
          </c:tx>
          <c:spPr>
            <a:ln w="28575">
              <a:noFill/>
            </a:ln>
          </c:spPr>
          <c:trendline>
            <c:trendlineType val="poly"/>
            <c:order val="3"/>
            <c:dispRSqr val="0"/>
            <c:dispEq val="0"/>
          </c:trendline>
          <c:xVal>
            <c:numRef>
              <c:f>Sheet1!$E$8:$E$12</c:f>
              <c:numCache>
                <c:formatCode>General</c:formatCode>
                <c:ptCount val="5"/>
                <c:pt idx="0">
                  <c:v>5</c:v>
                </c:pt>
                <c:pt idx="1">
                  <c:v>5.5</c:v>
                </c:pt>
                <c:pt idx="2">
                  <c:v>6</c:v>
                </c:pt>
                <c:pt idx="3">
                  <c:v>6.5</c:v>
                </c:pt>
                <c:pt idx="4">
                  <c:v>7</c:v>
                </c:pt>
              </c:numCache>
            </c:numRef>
          </c:xVal>
          <c:yVal>
            <c:numRef>
              <c:f>Sheet1!$G$8:$G$12</c:f>
              <c:numCache>
                <c:formatCode>General</c:formatCode>
                <c:ptCount val="5"/>
                <c:pt idx="0">
                  <c:v>14.635</c:v>
                </c:pt>
                <c:pt idx="1">
                  <c:v>13.725</c:v>
                </c:pt>
                <c:pt idx="2">
                  <c:v>12.6</c:v>
                </c:pt>
                <c:pt idx="3">
                  <c:v>12.085000000000004</c:v>
                </c:pt>
                <c:pt idx="4">
                  <c:v>12.18</c:v>
                </c:pt>
              </c:numCache>
            </c:numRef>
          </c:yVal>
          <c:smooth val="0"/>
          <c:extLst>
            <c:ext xmlns:c16="http://schemas.microsoft.com/office/drawing/2014/chart" uri="{C3380CC4-5D6E-409C-BE32-E72D297353CC}">
              <c16:uniqueId val="{00000003-74FE-415A-BC0E-256D75E13721}"/>
            </c:ext>
          </c:extLst>
        </c:ser>
        <c:dLbls>
          <c:showLegendKey val="0"/>
          <c:showVal val="0"/>
          <c:showCatName val="0"/>
          <c:showSerName val="0"/>
          <c:showPercent val="0"/>
          <c:showBubbleSize val="0"/>
        </c:dLbls>
        <c:axId val="144958208"/>
        <c:axId val="144960128"/>
      </c:scatterChart>
      <c:valAx>
        <c:axId val="144958208"/>
        <c:scaling>
          <c:orientation val="minMax"/>
          <c:max val="7.5"/>
          <c:min val="4.5"/>
        </c:scaling>
        <c:delete val="0"/>
        <c:axPos val="b"/>
        <c:title>
          <c:tx>
            <c:rich>
              <a:bodyPr/>
              <a:lstStyle/>
              <a:p>
                <a:pPr>
                  <a:defRPr/>
                </a:pPr>
                <a:r>
                  <a:rPr lang="en-GB" sz="1100"/>
                  <a:t>Binder</a:t>
                </a:r>
                <a:r>
                  <a:rPr lang="en-GB" sz="1100" baseline="0"/>
                  <a:t> content (%)</a:t>
                </a:r>
                <a:endParaRPr lang="en-GB" sz="1100"/>
              </a:p>
            </c:rich>
          </c:tx>
          <c:layout>
            <c:manualLayout>
              <c:xMode val="edge"/>
              <c:yMode val="edge"/>
              <c:x val="0.30911920384952107"/>
              <c:y val="0.78608778069407992"/>
            </c:manualLayout>
          </c:layout>
          <c:overlay val="0"/>
        </c:title>
        <c:numFmt formatCode="General" sourceLinked="1"/>
        <c:majorTickMark val="none"/>
        <c:minorTickMark val="none"/>
        <c:tickLblPos val="nextTo"/>
        <c:crossAx val="144960128"/>
        <c:crosses val="autoZero"/>
        <c:crossBetween val="midCat"/>
      </c:valAx>
      <c:valAx>
        <c:axId val="144960128"/>
        <c:scaling>
          <c:orientation val="minMax"/>
          <c:max val="15"/>
          <c:min val="10"/>
        </c:scaling>
        <c:delete val="0"/>
        <c:axPos val="l"/>
        <c:majorGridlines/>
        <c:title>
          <c:tx>
            <c:rich>
              <a:bodyPr/>
              <a:lstStyle/>
              <a:p>
                <a:pPr>
                  <a:defRPr/>
                </a:pPr>
                <a:r>
                  <a:rPr lang="en-GB" sz="1100"/>
                  <a:t>Void</a:t>
                </a:r>
                <a:r>
                  <a:rPr lang="en-GB" sz="1100" baseline="0"/>
                  <a:t> in total mix (%)</a:t>
                </a:r>
                <a:endParaRPr lang="en-GB" sz="1100"/>
              </a:p>
            </c:rich>
          </c:tx>
          <c:overlay val="0"/>
        </c:title>
        <c:numFmt formatCode="General" sourceLinked="1"/>
        <c:majorTickMark val="none"/>
        <c:minorTickMark val="none"/>
        <c:tickLblPos val="nextTo"/>
        <c:crossAx val="144958208"/>
        <c:crosses val="autoZero"/>
        <c:crossBetween val="midCat"/>
      </c:valAx>
    </c:plotArea>
    <c:legend>
      <c:legendPos val="r"/>
      <c:legendEntry>
        <c:idx val="2"/>
        <c:delete val="1"/>
      </c:legendEntry>
      <c:legendEntry>
        <c:idx val="3"/>
        <c:delete val="1"/>
      </c:legendEntry>
      <c:layout>
        <c:manualLayout>
          <c:xMode val="edge"/>
          <c:yMode val="edge"/>
          <c:x val="0.73857762549555783"/>
          <c:y val="0.34154390411973312"/>
          <c:w val="0.25697720392968848"/>
          <c:h val="0.18927972499012843"/>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Fig</a:t>
            </a:r>
            <a:r>
              <a:rPr lang="en-GB" sz="1400" baseline="0"/>
              <a:t> 3. Void in mix aggregate</a:t>
            </a:r>
            <a:endParaRPr lang="en-GB" sz="1400"/>
          </a:p>
        </c:rich>
      </c:tx>
      <c:layout>
        <c:manualLayout>
          <c:xMode val="edge"/>
          <c:yMode val="edge"/>
          <c:x val="0.20443846378003827"/>
          <c:y val="0.78308669827643596"/>
        </c:manualLayout>
      </c:layout>
      <c:overlay val="0"/>
    </c:title>
    <c:autoTitleDeleted val="0"/>
    <c:plotArea>
      <c:layout>
        <c:manualLayout>
          <c:layoutTarget val="inner"/>
          <c:xMode val="edge"/>
          <c:yMode val="edge"/>
          <c:x val="0.16504765461675647"/>
          <c:y val="6.9864962531857436E-2"/>
          <c:w val="0.56601399371072558"/>
          <c:h val="0.56719449199284877"/>
        </c:manualLayout>
      </c:layout>
      <c:scatterChart>
        <c:scatterStyle val="lineMarker"/>
        <c:varyColors val="0"/>
        <c:ser>
          <c:idx val="0"/>
          <c:order val="0"/>
          <c:tx>
            <c:strRef>
              <c:f>Sheet2!$D$6</c:f>
              <c:strCache>
                <c:ptCount val="1"/>
                <c:pt idx="0">
                  <c:v>production without polythene</c:v>
                </c:pt>
              </c:strCache>
            </c:strRef>
          </c:tx>
          <c:spPr>
            <a:ln w="28575">
              <a:noFill/>
            </a:ln>
          </c:spPr>
          <c:trendline>
            <c:trendlineType val="poly"/>
            <c:order val="3"/>
            <c:dispRSqr val="0"/>
            <c:dispEq val="0"/>
          </c:trendline>
          <c:xVal>
            <c:numRef>
              <c:f>Sheet2!$C$7:$C$11</c:f>
              <c:numCache>
                <c:formatCode>General</c:formatCode>
                <c:ptCount val="5"/>
                <c:pt idx="0">
                  <c:v>5</c:v>
                </c:pt>
                <c:pt idx="1">
                  <c:v>5.5</c:v>
                </c:pt>
                <c:pt idx="2">
                  <c:v>6</c:v>
                </c:pt>
                <c:pt idx="3">
                  <c:v>6.5</c:v>
                </c:pt>
                <c:pt idx="4">
                  <c:v>7</c:v>
                </c:pt>
              </c:numCache>
            </c:numRef>
          </c:xVal>
          <c:yVal>
            <c:numRef>
              <c:f>Sheet2!$D$7:$D$11</c:f>
              <c:numCache>
                <c:formatCode>General</c:formatCode>
                <c:ptCount val="5"/>
                <c:pt idx="0">
                  <c:v>24.454999999999988</c:v>
                </c:pt>
                <c:pt idx="1">
                  <c:v>24.68</c:v>
                </c:pt>
                <c:pt idx="2">
                  <c:v>24.73</c:v>
                </c:pt>
                <c:pt idx="3">
                  <c:v>25.305</c:v>
                </c:pt>
                <c:pt idx="4">
                  <c:v>26.56</c:v>
                </c:pt>
              </c:numCache>
            </c:numRef>
          </c:yVal>
          <c:smooth val="0"/>
          <c:extLst>
            <c:ext xmlns:c16="http://schemas.microsoft.com/office/drawing/2014/chart" uri="{C3380CC4-5D6E-409C-BE32-E72D297353CC}">
              <c16:uniqueId val="{00000001-1EE1-4928-97BF-C5D5639D0C5C}"/>
            </c:ext>
          </c:extLst>
        </c:ser>
        <c:ser>
          <c:idx val="1"/>
          <c:order val="1"/>
          <c:tx>
            <c:strRef>
              <c:f>Sheet2!$E$6</c:f>
              <c:strCache>
                <c:ptCount val="1"/>
                <c:pt idx="0">
                  <c:v>production with polythene</c:v>
                </c:pt>
              </c:strCache>
            </c:strRef>
          </c:tx>
          <c:spPr>
            <a:ln w="28575">
              <a:noFill/>
            </a:ln>
          </c:spPr>
          <c:trendline>
            <c:trendlineType val="poly"/>
            <c:order val="3"/>
            <c:dispRSqr val="0"/>
            <c:dispEq val="0"/>
          </c:trendline>
          <c:xVal>
            <c:numRef>
              <c:f>Sheet2!$C$7:$C$11</c:f>
              <c:numCache>
                <c:formatCode>General</c:formatCode>
                <c:ptCount val="5"/>
                <c:pt idx="0">
                  <c:v>5</c:v>
                </c:pt>
                <c:pt idx="1">
                  <c:v>5.5</c:v>
                </c:pt>
                <c:pt idx="2">
                  <c:v>6</c:v>
                </c:pt>
                <c:pt idx="3">
                  <c:v>6.5</c:v>
                </c:pt>
                <c:pt idx="4">
                  <c:v>7</c:v>
                </c:pt>
              </c:numCache>
            </c:numRef>
          </c:xVal>
          <c:yVal>
            <c:numRef>
              <c:f>Sheet2!$E$7:$E$11</c:f>
              <c:numCache>
                <c:formatCode>General</c:formatCode>
                <c:ptCount val="5"/>
                <c:pt idx="0">
                  <c:v>26.38</c:v>
                </c:pt>
                <c:pt idx="1">
                  <c:v>26.594999999999999</c:v>
                </c:pt>
                <c:pt idx="2">
                  <c:v>26.64</c:v>
                </c:pt>
                <c:pt idx="3">
                  <c:v>27.204999999999988</c:v>
                </c:pt>
                <c:pt idx="4">
                  <c:v>28.279999999999987</c:v>
                </c:pt>
              </c:numCache>
            </c:numRef>
          </c:yVal>
          <c:smooth val="0"/>
          <c:extLst>
            <c:ext xmlns:c16="http://schemas.microsoft.com/office/drawing/2014/chart" uri="{C3380CC4-5D6E-409C-BE32-E72D297353CC}">
              <c16:uniqueId val="{00000003-1EE1-4928-97BF-C5D5639D0C5C}"/>
            </c:ext>
          </c:extLst>
        </c:ser>
        <c:dLbls>
          <c:showLegendKey val="0"/>
          <c:showVal val="0"/>
          <c:showCatName val="0"/>
          <c:showSerName val="0"/>
          <c:showPercent val="0"/>
          <c:showBubbleSize val="0"/>
        </c:dLbls>
        <c:axId val="145197696"/>
        <c:axId val="145208064"/>
      </c:scatterChart>
      <c:valAx>
        <c:axId val="145197696"/>
        <c:scaling>
          <c:orientation val="minMax"/>
          <c:max val="7.5"/>
          <c:min val="4.5"/>
        </c:scaling>
        <c:delete val="1"/>
        <c:axPos val="b"/>
        <c:title>
          <c:tx>
            <c:rich>
              <a:bodyPr/>
              <a:lstStyle/>
              <a:p>
                <a:pPr>
                  <a:defRPr/>
                </a:pPr>
                <a:r>
                  <a:rPr lang="en-GB" sz="1100"/>
                  <a:t>Binder</a:t>
                </a:r>
                <a:r>
                  <a:rPr lang="en-GB" sz="1100" baseline="0"/>
                  <a:t> content (%)</a:t>
                </a:r>
                <a:endParaRPr lang="en-GB" sz="1100"/>
              </a:p>
            </c:rich>
          </c:tx>
          <c:overlay val="0"/>
        </c:title>
        <c:numFmt formatCode="General" sourceLinked="1"/>
        <c:majorTickMark val="none"/>
        <c:minorTickMark val="none"/>
        <c:tickLblPos val="nextTo"/>
        <c:crossAx val="145208064"/>
        <c:crosses val="autoZero"/>
        <c:crossBetween val="midCat"/>
      </c:valAx>
      <c:valAx>
        <c:axId val="145208064"/>
        <c:scaling>
          <c:orientation val="minMax"/>
        </c:scaling>
        <c:delete val="0"/>
        <c:axPos val="l"/>
        <c:majorGridlines/>
        <c:title>
          <c:tx>
            <c:rich>
              <a:bodyPr/>
              <a:lstStyle/>
              <a:p>
                <a:pPr>
                  <a:defRPr/>
                </a:pPr>
                <a:r>
                  <a:rPr lang="en-GB" sz="1100"/>
                  <a:t>Void</a:t>
                </a:r>
                <a:r>
                  <a:rPr lang="en-GB" sz="1100" baseline="0"/>
                  <a:t> in mix aggregate (%)</a:t>
                </a:r>
                <a:endParaRPr lang="en-GB" sz="1100"/>
              </a:p>
            </c:rich>
          </c:tx>
          <c:layout>
            <c:manualLayout>
              <c:xMode val="edge"/>
              <c:yMode val="edge"/>
              <c:x val="3.5372364168764651E-2"/>
              <c:y val="0.16707702633061267"/>
            </c:manualLayout>
          </c:layout>
          <c:overlay val="0"/>
        </c:title>
        <c:numFmt formatCode="General" sourceLinked="1"/>
        <c:majorTickMark val="none"/>
        <c:minorTickMark val="none"/>
        <c:tickLblPos val="nextTo"/>
        <c:crossAx val="145197696"/>
        <c:crosses val="autoZero"/>
        <c:crossBetween val="midCat"/>
      </c:valAx>
    </c:plotArea>
    <c:legend>
      <c:legendPos val="r"/>
      <c:legendEntry>
        <c:idx val="2"/>
        <c:delete val="1"/>
      </c:legendEntry>
      <c:legendEntry>
        <c:idx val="3"/>
        <c:delete val="1"/>
      </c:legendEntry>
      <c:layout>
        <c:manualLayout>
          <c:xMode val="edge"/>
          <c:yMode val="edge"/>
          <c:x val="0.72080769991240612"/>
          <c:y val="0.30557700173111818"/>
          <c:w val="0.27556573285482305"/>
          <c:h val="0.18315320174019417"/>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Fig </a:t>
            </a:r>
            <a:r>
              <a:rPr lang="en-GB" sz="1400" baseline="0"/>
              <a:t>4 Void filled with bitumen</a:t>
            </a:r>
            <a:endParaRPr lang="en-GB" sz="1400"/>
          </a:p>
        </c:rich>
      </c:tx>
      <c:layout>
        <c:manualLayout>
          <c:xMode val="edge"/>
          <c:yMode val="edge"/>
          <c:x val="0.28341815682080435"/>
          <c:y val="0.85398242883386155"/>
        </c:manualLayout>
      </c:layout>
      <c:overlay val="0"/>
    </c:title>
    <c:autoTitleDeleted val="0"/>
    <c:plotArea>
      <c:layout>
        <c:manualLayout>
          <c:layoutTarget val="inner"/>
          <c:xMode val="edge"/>
          <c:yMode val="edge"/>
          <c:x val="0.13446410412316379"/>
          <c:y val="7.4335596702950854E-2"/>
          <c:w val="0.58621434074570411"/>
          <c:h val="0.65700259698422903"/>
        </c:manualLayout>
      </c:layout>
      <c:scatterChart>
        <c:scatterStyle val="lineMarker"/>
        <c:varyColors val="0"/>
        <c:ser>
          <c:idx val="0"/>
          <c:order val="0"/>
          <c:tx>
            <c:strRef>
              <c:f>Sheet3!$D$6</c:f>
              <c:strCache>
                <c:ptCount val="1"/>
                <c:pt idx="0">
                  <c:v>production without polythene</c:v>
                </c:pt>
              </c:strCache>
            </c:strRef>
          </c:tx>
          <c:spPr>
            <a:ln w="28575">
              <a:noFill/>
            </a:ln>
          </c:spPr>
          <c:trendline>
            <c:trendlineType val="poly"/>
            <c:order val="3"/>
            <c:dispRSqr val="0"/>
            <c:dispEq val="0"/>
          </c:trendline>
          <c:xVal>
            <c:numRef>
              <c:f>Sheet3!$C$7:$C$11</c:f>
              <c:numCache>
                <c:formatCode>General</c:formatCode>
                <c:ptCount val="5"/>
                <c:pt idx="0">
                  <c:v>5</c:v>
                </c:pt>
                <c:pt idx="1">
                  <c:v>5.5</c:v>
                </c:pt>
                <c:pt idx="2">
                  <c:v>6</c:v>
                </c:pt>
                <c:pt idx="3">
                  <c:v>6.5</c:v>
                </c:pt>
                <c:pt idx="4">
                  <c:v>7</c:v>
                </c:pt>
              </c:numCache>
            </c:numRef>
          </c:xVal>
          <c:yVal>
            <c:numRef>
              <c:f>Sheet3!$D$7:$D$11</c:f>
              <c:numCache>
                <c:formatCode>General</c:formatCode>
                <c:ptCount val="5"/>
                <c:pt idx="0">
                  <c:v>44.085000000000001</c:v>
                </c:pt>
                <c:pt idx="1">
                  <c:v>48.14</c:v>
                </c:pt>
                <c:pt idx="2">
                  <c:v>52.705000000000013</c:v>
                </c:pt>
                <c:pt idx="3">
                  <c:v>55.65</c:v>
                </c:pt>
                <c:pt idx="4">
                  <c:v>56.414999999999999</c:v>
                </c:pt>
              </c:numCache>
            </c:numRef>
          </c:yVal>
          <c:smooth val="0"/>
          <c:extLst>
            <c:ext xmlns:c16="http://schemas.microsoft.com/office/drawing/2014/chart" uri="{C3380CC4-5D6E-409C-BE32-E72D297353CC}">
              <c16:uniqueId val="{00000001-F754-4751-98F9-67267222657A}"/>
            </c:ext>
          </c:extLst>
        </c:ser>
        <c:ser>
          <c:idx val="1"/>
          <c:order val="1"/>
          <c:tx>
            <c:strRef>
              <c:f>Sheet3!$E$6</c:f>
              <c:strCache>
                <c:ptCount val="1"/>
                <c:pt idx="0">
                  <c:v>production with polythene</c:v>
                </c:pt>
              </c:strCache>
            </c:strRef>
          </c:tx>
          <c:spPr>
            <a:ln w="28575">
              <a:noFill/>
            </a:ln>
          </c:spPr>
          <c:trendline>
            <c:trendlineType val="poly"/>
            <c:order val="3"/>
            <c:dispRSqr val="0"/>
            <c:dispEq val="0"/>
          </c:trendline>
          <c:xVal>
            <c:numRef>
              <c:f>Sheet3!$C$7:$C$11</c:f>
              <c:numCache>
                <c:formatCode>General</c:formatCode>
                <c:ptCount val="5"/>
                <c:pt idx="0">
                  <c:v>5</c:v>
                </c:pt>
                <c:pt idx="1">
                  <c:v>5.5</c:v>
                </c:pt>
                <c:pt idx="2">
                  <c:v>6</c:v>
                </c:pt>
                <c:pt idx="3">
                  <c:v>6.5</c:v>
                </c:pt>
                <c:pt idx="4">
                  <c:v>7</c:v>
                </c:pt>
              </c:numCache>
            </c:numRef>
          </c:xVal>
          <c:yVal>
            <c:numRef>
              <c:f>Sheet3!$E$7:$E$11</c:f>
              <c:numCache>
                <c:formatCode>General</c:formatCode>
                <c:ptCount val="5"/>
                <c:pt idx="0">
                  <c:v>44.225000000000186</c:v>
                </c:pt>
                <c:pt idx="1">
                  <c:v>48.36</c:v>
                </c:pt>
                <c:pt idx="2">
                  <c:v>52.954999999999998</c:v>
                </c:pt>
                <c:pt idx="3">
                  <c:v>56.03</c:v>
                </c:pt>
                <c:pt idx="4">
                  <c:v>57.5</c:v>
                </c:pt>
              </c:numCache>
            </c:numRef>
          </c:yVal>
          <c:smooth val="0"/>
          <c:extLst>
            <c:ext xmlns:c16="http://schemas.microsoft.com/office/drawing/2014/chart" uri="{C3380CC4-5D6E-409C-BE32-E72D297353CC}">
              <c16:uniqueId val="{00000003-F754-4751-98F9-67267222657A}"/>
            </c:ext>
          </c:extLst>
        </c:ser>
        <c:dLbls>
          <c:showLegendKey val="0"/>
          <c:showVal val="0"/>
          <c:showCatName val="0"/>
          <c:showSerName val="0"/>
          <c:showPercent val="0"/>
          <c:showBubbleSize val="0"/>
        </c:dLbls>
        <c:axId val="145249408"/>
        <c:axId val="145251328"/>
      </c:scatterChart>
      <c:valAx>
        <c:axId val="145249408"/>
        <c:scaling>
          <c:orientation val="minMax"/>
          <c:max val="7.5"/>
          <c:min val="4.5"/>
        </c:scaling>
        <c:delete val="0"/>
        <c:axPos val="b"/>
        <c:title>
          <c:tx>
            <c:rich>
              <a:bodyPr/>
              <a:lstStyle/>
              <a:p>
                <a:pPr>
                  <a:defRPr/>
                </a:pPr>
                <a:r>
                  <a:rPr lang="en-GB" sz="1100"/>
                  <a:t>Binder</a:t>
                </a:r>
                <a:r>
                  <a:rPr lang="en-GB" sz="1100" baseline="0"/>
                  <a:t> content (%)</a:t>
                </a:r>
                <a:endParaRPr lang="en-GB" sz="1100"/>
              </a:p>
            </c:rich>
          </c:tx>
          <c:layout>
            <c:manualLayout>
              <c:xMode val="edge"/>
              <c:yMode val="edge"/>
              <c:x val="0.3981064732499886"/>
              <c:y val="0.80788055964549488"/>
            </c:manualLayout>
          </c:layout>
          <c:overlay val="0"/>
        </c:title>
        <c:numFmt formatCode="General" sourceLinked="1"/>
        <c:majorTickMark val="none"/>
        <c:minorTickMark val="none"/>
        <c:tickLblPos val="nextTo"/>
        <c:crossAx val="145251328"/>
        <c:crosses val="autoZero"/>
        <c:crossBetween val="midCat"/>
      </c:valAx>
      <c:valAx>
        <c:axId val="145251328"/>
        <c:scaling>
          <c:orientation val="minMax"/>
          <c:max val="58"/>
          <c:min val="43"/>
        </c:scaling>
        <c:delete val="0"/>
        <c:axPos val="l"/>
        <c:majorGridlines/>
        <c:title>
          <c:tx>
            <c:rich>
              <a:bodyPr/>
              <a:lstStyle/>
              <a:p>
                <a:pPr>
                  <a:defRPr/>
                </a:pPr>
                <a:r>
                  <a:rPr lang="en-GB" sz="1100"/>
                  <a:t>Void</a:t>
                </a:r>
                <a:r>
                  <a:rPr lang="en-GB" sz="1100" baseline="0"/>
                  <a:t> filled with botumen (%)</a:t>
                </a:r>
                <a:endParaRPr lang="en-GB" sz="1100"/>
              </a:p>
            </c:rich>
          </c:tx>
          <c:layout>
            <c:manualLayout>
              <c:xMode val="edge"/>
              <c:yMode val="edge"/>
              <c:x val="2.3551031730789748E-2"/>
              <c:y val="0.15216620310520976"/>
            </c:manualLayout>
          </c:layout>
          <c:overlay val="0"/>
        </c:title>
        <c:numFmt formatCode="General" sourceLinked="1"/>
        <c:majorTickMark val="none"/>
        <c:minorTickMark val="none"/>
        <c:tickLblPos val="nextTo"/>
        <c:crossAx val="145249408"/>
        <c:crosses val="autoZero"/>
        <c:crossBetween val="midCat"/>
      </c:valAx>
    </c:plotArea>
    <c:legend>
      <c:legendPos val="r"/>
      <c:legendEntry>
        <c:idx val="2"/>
        <c:delete val="1"/>
      </c:legendEntry>
      <c:legendEntry>
        <c:idx val="3"/>
        <c:delete val="1"/>
      </c:legendEntry>
      <c:layout>
        <c:manualLayout>
          <c:xMode val="edge"/>
          <c:yMode val="edge"/>
          <c:x val="0.70432491659069374"/>
          <c:y val="0.40256197211195338"/>
          <c:w val="0.29567508340931031"/>
          <c:h val="0.17113234678044051"/>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Fig</a:t>
            </a:r>
            <a:r>
              <a:rPr lang="en-GB" sz="1400" baseline="0"/>
              <a:t> 5. Stability</a:t>
            </a:r>
            <a:endParaRPr lang="en-GB" sz="1400"/>
          </a:p>
        </c:rich>
      </c:tx>
      <c:layout>
        <c:manualLayout>
          <c:xMode val="edge"/>
          <c:yMode val="edge"/>
          <c:x val="0.30049178676724625"/>
          <c:y val="0.78822484888272759"/>
        </c:manualLayout>
      </c:layout>
      <c:overlay val="0"/>
    </c:title>
    <c:autoTitleDeleted val="0"/>
    <c:plotArea>
      <c:layout>
        <c:manualLayout>
          <c:layoutTarget val="inner"/>
          <c:xMode val="edge"/>
          <c:yMode val="edge"/>
          <c:x val="0.13048740773967571"/>
          <c:y val="8.6099784445610186E-2"/>
          <c:w val="0.60579528296284468"/>
          <c:h val="0.53561982006663666"/>
        </c:manualLayout>
      </c:layout>
      <c:scatterChart>
        <c:scatterStyle val="lineMarker"/>
        <c:varyColors val="0"/>
        <c:ser>
          <c:idx val="0"/>
          <c:order val="0"/>
          <c:tx>
            <c:strRef>
              <c:f>Sheet4!$D$6</c:f>
              <c:strCache>
                <c:ptCount val="1"/>
                <c:pt idx="0">
                  <c:v>production without polythene</c:v>
                </c:pt>
              </c:strCache>
            </c:strRef>
          </c:tx>
          <c:spPr>
            <a:ln w="28575">
              <a:noFill/>
            </a:ln>
          </c:spPr>
          <c:trendline>
            <c:trendlineType val="poly"/>
            <c:order val="4"/>
            <c:dispRSqr val="0"/>
            <c:dispEq val="0"/>
          </c:trendline>
          <c:trendline>
            <c:trendlineType val="poly"/>
            <c:order val="4"/>
            <c:dispRSqr val="0"/>
            <c:dispEq val="0"/>
          </c:trendline>
          <c:xVal>
            <c:numRef>
              <c:f>Sheet4!$C$7:$C$12</c:f>
              <c:numCache>
                <c:formatCode>General</c:formatCode>
                <c:ptCount val="6"/>
                <c:pt idx="0">
                  <c:v>5</c:v>
                </c:pt>
                <c:pt idx="1">
                  <c:v>5.5</c:v>
                </c:pt>
                <c:pt idx="2">
                  <c:v>6</c:v>
                </c:pt>
                <c:pt idx="3">
                  <c:v>6.5</c:v>
                </c:pt>
                <c:pt idx="4">
                  <c:v>7</c:v>
                </c:pt>
              </c:numCache>
            </c:numRef>
          </c:xVal>
          <c:yVal>
            <c:numRef>
              <c:f>Sheet4!$D$7:$D$12</c:f>
              <c:numCache>
                <c:formatCode>General</c:formatCode>
                <c:ptCount val="6"/>
                <c:pt idx="0">
                  <c:v>359</c:v>
                </c:pt>
                <c:pt idx="1">
                  <c:v>662</c:v>
                </c:pt>
                <c:pt idx="2">
                  <c:v>697.5</c:v>
                </c:pt>
                <c:pt idx="3">
                  <c:v>432</c:v>
                </c:pt>
                <c:pt idx="4">
                  <c:v>361.5</c:v>
                </c:pt>
              </c:numCache>
            </c:numRef>
          </c:yVal>
          <c:smooth val="0"/>
          <c:extLst>
            <c:ext xmlns:c16="http://schemas.microsoft.com/office/drawing/2014/chart" uri="{C3380CC4-5D6E-409C-BE32-E72D297353CC}">
              <c16:uniqueId val="{00000002-756E-4EA8-9413-1ABACA4CBB7F}"/>
            </c:ext>
          </c:extLst>
        </c:ser>
        <c:ser>
          <c:idx val="1"/>
          <c:order val="1"/>
          <c:tx>
            <c:strRef>
              <c:f>Sheet4!$E$6</c:f>
              <c:strCache>
                <c:ptCount val="1"/>
                <c:pt idx="0">
                  <c:v>production with polythene</c:v>
                </c:pt>
              </c:strCache>
            </c:strRef>
          </c:tx>
          <c:spPr>
            <a:ln w="28575">
              <a:noFill/>
            </a:ln>
          </c:spPr>
          <c:trendline>
            <c:trendlineType val="poly"/>
            <c:order val="4"/>
            <c:dispRSqr val="0"/>
            <c:dispEq val="0"/>
          </c:trendline>
          <c:xVal>
            <c:numRef>
              <c:f>Sheet4!$C$7:$C$12</c:f>
              <c:numCache>
                <c:formatCode>General</c:formatCode>
                <c:ptCount val="6"/>
                <c:pt idx="0">
                  <c:v>5</c:v>
                </c:pt>
                <c:pt idx="1">
                  <c:v>5.5</c:v>
                </c:pt>
                <c:pt idx="2">
                  <c:v>6</c:v>
                </c:pt>
                <c:pt idx="3">
                  <c:v>6.5</c:v>
                </c:pt>
                <c:pt idx="4">
                  <c:v>7</c:v>
                </c:pt>
              </c:numCache>
            </c:numRef>
          </c:xVal>
          <c:yVal>
            <c:numRef>
              <c:f>Sheet4!$E$7:$E$12</c:f>
              <c:numCache>
                <c:formatCode>General</c:formatCode>
                <c:ptCount val="6"/>
                <c:pt idx="0">
                  <c:v>370</c:v>
                </c:pt>
                <c:pt idx="1">
                  <c:v>677</c:v>
                </c:pt>
                <c:pt idx="2">
                  <c:v>711</c:v>
                </c:pt>
                <c:pt idx="3">
                  <c:v>448.5</c:v>
                </c:pt>
                <c:pt idx="4">
                  <c:v>373.5</c:v>
                </c:pt>
              </c:numCache>
            </c:numRef>
          </c:yVal>
          <c:smooth val="0"/>
          <c:extLst>
            <c:ext xmlns:c16="http://schemas.microsoft.com/office/drawing/2014/chart" uri="{C3380CC4-5D6E-409C-BE32-E72D297353CC}">
              <c16:uniqueId val="{00000004-756E-4EA8-9413-1ABACA4CBB7F}"/>
            </c:ext>
          </c:extLst>
        </c:ser>
        <c:dLbls>
          <c:showLegendKey val="0"/>
          <c:showVal val="0"/>
          <c:showCatName val="0"/>
          <c:showSerName val="0"/>
          <c:showPercent val="0"/>
          <c:showBubbleSize val="0"/>
        </c:dLbls>
        <c:axId val="168153472"/>
        <c:axId val="168155392"/>
      </c:scatterChart>
      <c:valAx>
        <c:axId val="168153472"/>
        <c:scaling>
          <c:orientation val="minMax"/>
          <c:max val="7.5"/>
          <c:min val="4.5"/>
        </c:scaling>
        <c:delete val="0"/>
        <c:axPos val="b"/>
        <c:title>
          <c:tx>
            <c:rich>
              <a:bodyPr/>
              <a:lstStyle/>
              <a:p>
                <a:pPr>
                  <a:defRPr/>
                </a:pPr>
                <a:r>
                  <a:rPr lang="en-GB" sz="1100"/>
                  <a:t>Binder</a:t>
                </a:r>
                <a:r>
                  <a:rPr lang="en-GB" sz="1100" baseline="0"/>
                  <a:t> Content</a:t>
                </a:r>
                <a:endParaRPr lang="en-GB" sz="1100"/>
              </a:p>
            </c:rich>
          </c:tx>
          <c:layout>
            <c:manualLayout>
              <c:xMode val="edge"/>
              <c:yMode val="edge"/>
              <c:x val="0.31295776663938191"/>
              <c:y val="0.70165969642243431"/>
            </c:manualLayout>
          </c:layout>
          <c:overlay val="0"/>
        </c:title>
        <c:numFmt formatCode="General" sourceLinked="1"/>
        <c:majorTickMark val="none"/>
        <c:minorTickMark val="none"/>
        <c:tickLblPos val="nextTo"/>
        <c:crossAx val="168155392"/>
        <c:crosses val="autoZero"/>
        <c:crossBetween val="midCat"/>
      </c:valAx>
      <c:valAx>
        <c:axId val="168155392"/>
        <c:scaling>
          <c:orientation val="minMax"/>
          <c:max val="750"/>
          <c:min val="300"/>
        </c:scaling>
        <c:delete val="0"/>
        <c:axPos val="l"/>
        <c:majorGridlines/>
        <c:title>
          <c:tx>
            <c:rich>
              <a:bodyPr/>
              <a:lstStyle/>
              <a:p>
                <a:pPr>
                  <a:defRPr/>
                </a:pPr>
                <a:r>
                  <a:rPr lang="en-GB" sz="1100"/>
                  <a:t>Adjusted</a:t>
                </a:r>
                <a:r>
                  <a:rPr lang="en-GB" sz="1100" baseline="0"/>
                  <a:t> Stability (kg)</a:t>
                </a:r>
                <a:endParaRPr lang="en-GB" sz="1100"/>
              </a:p>
            </c:rich>
          </c:tx>
          <c:layout>
            <c:manualLayout>
              <c:xMode val="edge"/>
              <c:yMode val="edge"/>
              <c:x val="1.468551381569058E-2"/>
              <c:y val="0.16542921487108223"/>
            </c:manualLayout>
          </c:layout>
          <c:overlay val="0"/>
        </c:title>
        <c:numFmt formatCode="General" sourceLinked="1"/>
        <c:majorTickMark val="none"/>
        <c:minorTickMark val="none"/>
        <c:tickLblPos val="nextTo"/>
        <c:crossAx val="168153472"/>
        <c:crosses val="autoZero"/>
        <c:crossBetween val="midCat"/>
      </c:valAx>
    </c:plotArea>
    <c:legend>
      <c:legendPos val="r"/>
      <c:legendEntry>
        <c:idx val="2"/>
        <c:delete val="1"/>
      </c:legendEntry>
      <c:legendEntry>
        <c:idx val="3"/>
        <c:delete val="1"/>
      </c:legendEntry>
      <c:legendEntry>
        <c:idx val="4"/>
        <c:delete val="1"/>
      </c:legendEntry>
      <c:layout>
        <c:manualLayout>
          <c:xMode val="edge"/>
          <c:yMode val="edge"/>
          <c:x val="0.72505319332917628"/>
          <c:y val="0.31223647128805576"/>
          <c:w val="0.27151254396702623"/>
          <c:h val="0.18187442502238221"/>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Fig</a:t>
            </a:r>
            <a:r>
              <a:rPr lang="en-GB" sz="1400" baseline="0"/>
              <a:t> 6. Flow</a:t>
            </a:r>
            <a:endParaRPr lang="en-GB" sz="1400"/>
          </a:p>
        </c:rich>
      </c:tx>
      <c:layout>
        <c:manualLayout>
          <c:xMode val="edge"/>
          <c:yMode val="edge"/>
          <c:x val="0.29775450843513629"/>
          <c:y val="0.89736603088101363"/>
        </c:manualLayout>
      </c:layout>
      <c:overlay val="0"/>
    </c:title>
    <c:autoTitleDeleted val="0"/>
    <c:plotArea>
      <c:layout>
        <c:manualLayout>
          <c:layoutTarget val="inner"/>
          <c:xMode val="edge"/>
          <c:yMode val="edge"/>
          <c:x val="0.11388217834027292"/>
          <c:y val="7.3033677329843824E-2"/>
          <c:w val="0.60599045975809784"/>
          <c:h val="0.66363892524333934"/>
        </c:manualLayout>
      </c:layout>
      <c:scatterChart>
        <c:scatterStyle val="lineMarker"/>
        <c:varyColors val="0"/>
        <c:ser>
          <c:idx val="0"/>
          <c:order val="0"/>
          <c:tx>
            <c:strRef>
              <c:f>Sheet5!$C$5</c:f>
              <c:strCache>
                <c:ptCount val="1"/>
                <c:pt idx="0">
                  <c:v>production without polythene</c:v>
                </c:pt>
              </c:strCache>
            </c:strRef>
          </c:tx>
          <c:spPr>
            <a:ln w="28575">
              <a:noFill/>
            </a:ln>
          </c:spPr>
          <c:trendline>
            <c:trendlineType val="poly"/>
            <c:order val="3"/>
            <c:dispRSqr val="0"/>
            <c:dispEq val="0"/>
          </c:trendline>
          <c:xVal>
            <c:numRef>
              <c:f>Sheet5!$B$6:$B$10</c:f>
              <c:numCache>
                <c:formatCode>General</c:formatCode>
                <c:ptCount val="5"/>
                <c:pt idx="0">
                  <c:v>5</c:v>
                </c:pt>
                <c:pt idx="1">
                  <c:v>5.5</c:v>
                </c:pt>
                <c:pt idx="2">
                  <c:v>6</c:v>
                </c:pt>
                <c:pt idx="3">
                  <c:v>6.5</c:v>
                </c:pt>
                <c:pt idx="4">
                  <c:v>7</c:v>
                </c:pt>
              </c:numCache>
            </c:numRef>
          </c:xVal>
          <c:yVal>
            <c:numRef>
              <c:f>Sheet5!$C$6:$C$10</c:f>
              <c:numCache>
                <c:formatCode>General</c:formatCode>
                <c:ptCount val="5"/>
                <c:pt idx="0">
                  <c:v>2.2749999999999999</c:v>
                </c:pt>
                <c:pt idx="1">
                  <c:v>2.2999999999999998</c:v>
                </c:pt>
                <c:pt idx="2">
                  <c:v>2.4</c:v>
                </c:pt>
                <c:pt idx="3">
                  <c:v>2.65</c:v>
                </c:pt>
                <c:pt idx="4">
                  <c:v>2.75</c:v>
                </c:pt>
              </c:numCache>
            </c:numRef>
          </c:yVal>
          <c:smooth val="0"/>
          <c:extLst>
            <c:ext xmlns:c16="http://schemas.microsoft.com/office/drawing/2014/chart" uri="{C3380CC4-5D6E-409C-BE32-E72D297353CC}">
              <c16:uniqueId val="{00000001-0872-4BA0-AFC8-D7959340E2BF}"/>
            </c:ext>
          </c:extLst>
        </c:ser>
        <c:ser>
          <c:idx val="1"/>
          <c:order val="1"/>
          <c:tx>
            <c:strRef>
              <c:f>Sheet5!$D$5</c:f>
              <c:strCache>
                <c:ptCount val="1"/>
                <c:pt idx="0">
                  <c:v>production with polythene</c:v>
                </c:pt>
              </c:strCache>
            </c:strRef>
          </c:tx>
          <c:spPr>
            <a:ln w="28575">
              <a:noFill/>
            </a:ln>
          </c:spPr>
          <c:trendline>
            <c:trendlineType val="poly"/>
            <c:order val="3"/>
            <c:dispRSqr val="0"/>
            <c:dispEq val="0"/>
          </c:trendline>
          <c:xVal>
            <c:numRef>
              <c:f>Sheet5!$B$6:$B$10</c:f>
              <c:numCache>
                <c:formatCode>General</c:formatCode>
                <c:ptCount val="5"/>
                <c:pt idx="0">
                  <c:v>5</c:v>
                </c:pt>
                <c:pt idx="1">
                  <c:v>5.5</c:v>
                </c:pt>
                <c:pt idx="2">
                  <c:v>6</c:v>
                </c:pt>
                <c:pt idx="3">
                  <c:v>6.5</c:v>
                </c:pt>
                <c:pt idx="4">
                  <c:v>7</c:v>
                </c:pt>
              </c:numCache>
            </c:numRef>
          </c:xVal>
          <c:yVal>
            <c:numRef>
              <c:f>Sheet5!$D$6:$D$10</c:f>
              <c:numCache>
                <c:formatCode>General</c:formatCode>
                <c:ptCount val="5"/>
                <c:pt idx="0">
                  <c:v>3.1749999999999998</c:v>
                </c:pt>
                <c:pt idx="1">
                  <c:v>3.2</c:v>
                </c:pt>
                <c:pt idx="2">
                  <c:v>3.3</c:v>
                </c:pt>
                <c:pt idx="3">
                  <c:v>3.55</c:v>
                </c:pt>
                <c:pt idx="4">
                  <c:v>3.65</c:v>
                </c:pt>
              </c:numCache>
            </c:numRef>
          </c:yVal>
          <c:smooth val="0"/>
          <c:extLst>
            <c:ext xmlns:c16="http://schemas.microsoft.com/office/drawing/2014/chart" uri="{C3380CC4-5D6E-409C-BE32-E72D297353CC}">
              <c16:uniqueId val="{00000003-0872-4BA0-AFC8-D7959340E2BF}"/>
            </c:ext>
          </c:extLst>
        </c:ser>
        <c:dLbls>
          <c:showLegendKey val="0"/>
          <c:showVal val="0"/>
          <c:showCatName val="0"/>
          <c:showSerName val="0"/>
          <c:showPercent val="0"/>
          <c:showBubbleSize val="0"/>
        </c:dLbls>
        <c:axId val="15813632"/>
        <c:axId val="15824000"/>
      </c:scatterChart>
      <c:valAx>
        <c:axId val="15813632"/>
        <c:scaling>
          <c:orientation val="minMax"/>
          <c:max val="7.5"/>
          <c:min val="4.5"/>
        </c:scaling>
        <c:delete val="0"/>
        <c:axPos val="b"/>
        <c:title>
          <c:tx>
            <c:rich>
              <a:bodyPr/>
              <a:lstStyle/>
              <a:p>
                <a:pPr>
                  <a:defRPr/>
                </a:pPr>
                <a:r>
                  <a:rPr lang="en-GB" sz="1100"/>
                  <a:t>Binder</a:t>
                </a:r>
                <a:r>
                  <a:rPr lang="en-GB" sz="1100" baseline="0"/>
                  <a:t> content (%)</a:t>
                </a:r>
                <a:endParaRPr lang="en-GB" sz="1100"/>
              </a:p>
            </c:rich>
          </c:tx>
          <c:overlay val="0"/>
        </c:title>
        <c:numFmt formatCode="General" sourceLinked="1"/>
        <c:majorTickMark val="out"/>
        <c:minorTickMark val="none"/>
        <c:tickLblPos val="nextTo"/>
        <c:crossAx val="15824000"/>
        <c:crosses val="autoZero"/>
        <c:crossBetween val="midCat"/>
      </c:valAx>
      <c:valAx>
        <c:axId val="15824000"/>
        <c:scaling>
          <c:orientation val="minMax"/>
          <c:max val="3.8"/>
          <c:min val="2"/>
        </c:scaling>
        <c:delete val="0"/>
        <c:axPos val="l"/>
        <c:majorGridlines/>
        <c:title>
          <c:tx>
            <c:rich>
              <a:bodyPr rot="-5400000" vert="horz"/>
              <a:lstStyle/>
              <a:p>
                <a:pPr>
                  <a:defRPr/>
                </a:pPr>
                <a:r>
                  <a:rPr lang="en-GB" sz="1100"/>
                  <a:t>Flow</a:t>
                </a:r>
                <a:r>
                  <a:rPr lang="en-GB" sz="1100" baseline="0"/>
                  <a:t> (mm)</a:t>
                </a:r>
                <a:endParaRPr lang="en-GB" sz="1100"/>
              </a:p>
            </c:rich>
          </c:tx>
          <c:overlay val="0"/>
        </c:title>
        <c:numFmt formatCode="General" sourceLinked="1"/>
        <c:majorTickMark val="out"/>
        <c:minorTickMark val="none"/>
        <c:tickLblPos val="nextTo"/>
        <c:crossAx val="15813632"/>
        <c:crosses val="autoZero"/>
        <c:crossBetween val="midCat"/>
      </c:valAx>
    </c:plotArea>
    <c:legend>
      <c:legendPos val="r"/>
      <c:legendEntry>
        <c:idx val="2"/>
        <c:delete val="1"/>
      </c:legendEntry>
      <c:legendEntry>
        <c:idx val="3"/>
        <c:delete val="1"/>
      </c:legendEntry>
      <c:layout>
        <c:manualLayout>
          <c:xMode val="edge"/>
          <c:yMode val="edge"/>
          <c:x val="0.72206398639633751"/>
          <c:y val="0.34349211193660201"/>
          <c:w val="0.27793601360366232"/>
          <c:h val="0.22581413970299627"/>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Sheet1!$I$5</c:f>
              <c:strCache>
                <c:ptCount val="1"/>
                <c:pt idx="0">
                  <c:v>Lower Limit of Specication</c:v>
                </c:pt>
              </c:strCache>
            </c:strRef>
          </c:tx>
          <c:xVal>
            <c:numRef>
              <c:f>Sheet1!$H$7:$H$16</c:f>
              <c:numCache>
                <c:formatCode>General</c:formatCode>
                <c:ptCount val="10"/>
                <c:pt idx="0">
                  <c:v>14</c:v>
                </c:pt>
                <c:pt idx="1">
                  <c:v>10</c:v>
                </c:pt>
                <c:pt idx="2">
                  <c:v>6.3</c:v>
                </c:pt>
                <c:pt idx="3">
                  <c:v>2.36</c:v>
                </c:pt>
                <c:pt idx="4">
                  <c:v>1.1800000000000095</c:v>
                </c:pt>
                <c:pt idx="5">
                  <c:v>0.60000000000000064</c:v>
                </c:pt>
                <c:pt idx="6">
                  <c:v>0.30000000000000032</c:v>
                </c:pt>
                <c:pt idx="7">
                  <c:v>0.15000000000000024</c:v>
                </c:pt>
                <c:pt idx="8">
                  <c:v>7.5000000000000011E-2</c:v>
                </c:pt>
              </c:numCache>
            </c:numRef>
          </c:xVal>
          <c:yVal>
            <c:numRef>
              <c:f>Sheet1!$I$7:$I$16</c:f>
              <c:numCache>
                <c:formatCode>General</c:formatCode>
                <c:ptCount val="10"/>
                <c:pt idx="0">
                  <c:v>85</c:v>
                </c:pt>
                <c:pt idx="1">
                  <c:v>75</c:v>
                </c:pt>
                <c:pt idx="2">
                  <c:v>65</c:v>
                </c:pt>
                <c:pt idx="3">
                  <c:v>50</c:v>
                </c:pt>
                <c:pt idx="4">
                  <c:v>36</c:v>
                </c:pt>
                <c:pt idx="5">
                  <c:v>26</c:v>
                </c:pt>
                <c:pt idx="6">
                  <c:v>18</c:v>
                </c:pt>
                <c:pt idx="7">
                  <c:v>13</c:v>
                </c:pt>
                <c:pt idx="8">
                  <c:v>7</c:v>
                </c:pt>
              </c:numCache>
            </c:numRef>
          </c:yVal>
          <c:smooth val="1"/>
          <c:extLst>
            <c:ext xmlns:c16="http://schemas.microsoft.com/office/drawing/2014/chart" uri="{C3380CC4-5D6E-409C-BE32-E72D297353CC}">
              <c16:uniqueId val="{00000000-EC77-4CDB-989F-A2BA122D2119}"/>
            </c:ext>
          </c:extLst>
        </c:ser>
        <c:ser>
          <c:idx val="1"/>
          <c:order val="1"/>
          <c:tx>
            <c:strRef>
              <c:f>Sheet1!$J$5</c:f>
              <c:strCache>
                <c:ptCount val="1"/>
                <c:pt idx="0">
                  <c:v>upper Limit of Specication</c:v>
                </c:pt>
              </c:strCache>
            </c:strRef>
          </c:tx>
          <c:xVal>
            <c:numRef>
              <c:f>Sheet1!$H$7:$H$16</c:f>
              <c:numCache>
                <c:formatCode>General</c:formatCode>
                <c:ptCount val="10"/>
                <c:pt idx="0">
                  <c:v>14</c:v>
                </c:pt>
                <c:pt idx="1">
                  <c:v>10</c:v>
                </c:pt>
                <c:pt idx="2">
                  <c:v>6.3</c:v>
                </c:pt>
                <c:pt idx="3">
                  <c:v>2.36</c:v>
                </c:pt>
                <c:pt idx="4">
                  <c:v>1.1800000000000095</c:v>
                </c:pt>
                <c:pt idx="5">
                  <c:v>0.60000000000000064</c:v>
                </c:pt>
                <c:pt idx="6">
                  <c:v>0.30000000000000032</c:v>
                </c:pt>
                <c:pt idx="7">
                  <c:v>0.15000000000000024</c:v>
                </c:pt>
                <c:pt idx="8">
                  <c:v>7.5000000000000011E-2</c:v>
                </c:pt>
              </c:numCache>
            </c:numRef>
          </c:xVal>
          <c:yVal>
            <c:numRef>
              <c:f>Sheet1!$J$7:$J$16</c:f>
              <c:numCache>
                <c:formatCode>General</c:formatCode>
                <c:ptCount val="10"/>
                <c:pt idx="0">
                  <c:v>100</c:v>
                </c:pt>
                <c:pt idx="1">
                  <c:v>92</c:v>
                </c:pt>
                <c:pt idx="2">
                  <c:v>82</c:v>
                </c:pt>
                <c:pt idx="3">
                  <c:v>65</c:v>
                </c:pt>
                <c:pt idx="4">
                  <c:v>51</c:v>
                </c:pt>
                <c:pt idx="5">
                  <c:v>40</c:v>
                </c:pt>
                <c:pt idx="6">
                  <c:v>30</c:v>
                </c:pt>
                <c:pt idx="7">
                  <c:v>24</c:v>
                </c:pt>
                <c:pt idx="8">
                  <c:v>14</c:v>
                </c:pt>
              </c:numCache>
            </c:numRef>
          </c:yVal>
          <c:smooth val="1"/>
          <c:extLst>
            <c:ext xmlns:c16="http://schemas.microsoft.com/office/drawing/2014/chart" uri="{C3380CC4-5D6E-409C-BE32-E72D297353CC}">
              <c16:uniqueId val="{00000001-EC77-4CDB-989F-A2BA122D2119}"/>
            </c:ext>
          </c:extLst>
        </c:ser>
        <c:ser>
          <c:idx val="2"/>
          <c:order val="2"/>
          <c:tx>
            <c:strRef>
              <c:f>Sheet1!$K$5</c:f>
              <c:strCache>
                <c:ptCount val="1"/>
                <c:pt idx="0">
                  <c:v>material</c:v>
                </c:pt>
              </c:strCache>
            </c:strRef>
          </c:tx>
          <c:xVal>
            <c:numRef>
              <c:f>Sheet1!$H$7:$H$16</c:f>
              <c:numCache>
                <c:formatCode>General</c:formatCode>
                <c:ptCount val="10"/>
                <c:pt idx="0">
                  <c:v>14</c:v>
                </c:pt>
                <c:pt idx="1">
                  <c:v>10</c:v>
                </c:pt>
                <c:pt idx="2">
                  <c:v>6.3</c:v>
                </c:pt>
                <c:pt idx="3">
                  <c:v>2.36</c:v>
                </c:pt>
                <c:pt idx="4">
                  <c:v>1.1800000000000095</c:v>
                </c:pt>
                <c:pt idx="5">
                  <c:v>0.60000000000000064</c:v>
                </c:pt>
                <c:pt idx="6">
                  <c:v>0.30000000000000032</c:v>
                </c:pt>
                <c:pt idx="7">
                  <c:v>0.15000000000000024</c:v>
                </c:pt>
                <c:pt idx="8">
                  <c:v>7.5000000000000011E-2</c:v>
                </c:pt>
              </c:numCache>
            </c:numRef>
          </c:xVal>
          <c:yVal>
            <c:numRef>
              <c:f>Sheet1!$K$7:$K$16</c:f>
              <c:numCache>
                <c:formatCode>General</c:formatCode>
                <c:ptCount val="10"/>
                <c:pt idx="0">
                  <c:v>92.5</c:v>
                </c:pt>
                <c:pt idx="1">
                  <c:v>83.5</c:v>
                </c:pt>
                <c:pt idx="2">
                  <c:v>73.5</c:v>
                </c:pt>
                <c:pt idx="3">
                  <c:v>57.5</c:v>
                </c:pt>
                <c:pt idx="4">
                  <c:v>43.5</c:v>
                </c:pt>
                <c:pt idx="5">
                  <c:v>33</c:v>
                </c:pt>
                <c:pt idx="6">
                  <c:v>24</c:v>
                </c:pt>
                <c:pt idx="7">
                  <c:v>18.5</c:v>
                </c:pt>
                <c:pt idx="8">
                  <c:v>10.5</c:v>
                </c:pt>
              </c:numCache>
            </c:numRef>
          </c:yVal>
          <c:smooth val="1"/>
          <c:extLst>
            <c:ext xmlns:c16="http://schemas.microsoft.com/office/drawing/2014/chart" uri="{C3380CC4-5D6E-409C-BE32-E72D297353CC}">
              <c16:uniqueId val="{00000002-EC77-4CDB-989F-A2BA122D2119}"/>
            </c:ext>
          </c:extLst>
        </c:ser>
        <c:dLbls>
          <c:showLegendKey val="0"/>
          <c:showVal val="0"/>
          <c:showCatName val="0"/>
          <c:showSerName val="0"/>
          <c:showPercent val="0"/>
          <c:showBubbleSize val="0"/>
        </c:dLbls>
        <c:axId val="51582080"/>
        <c:axId val="51584000"/>
      </c:scatterChart>
      <c:valAx>
        <c:axId val="51582080"/>
        <c:scaling>
          <c:logBase val="10"/>
          <c:orientation val="minMax"/>
        </c:scaling>
        <c:delete val="0"/>
        <c:axPos val="b"/>
        <c:minorGridlines/>
        <c:title>
          <c:tx>
            <c:rich>
              <a:bodyPr/>
              <a:lstStyle/>
              <a:p>
                <a:pPr>
                  <a:defRPr/>
                </a:pPr>
                <a:r>
                  <a:rPr lang="en-GB" sz="1050"/>
                  <a:t>Sieve</a:t>
                </a:r>
                <a:r>
                  <a:rPr lang="en-GB" sz="1050" baseline="0"/>
                  <a:t> sizes (mm) </a:t>
                </a:r>
                <a:endParaRPr lang="en-GB" sz="1050"/>
              </a:p>
            </c:rich>
          </c:tx>
          <c:overlay val="0"/>
        </c:title>
        <c:numFmt formatCode="General" sourceLinked="1"/>
        <c:majorTickMark val="none"/>
        <c:minorTickMark val="none"/>
        <c:tickLblPos val="nextTo"/>
        <c:crossAx val="51584000"/>
        <c:crosses val="autoZero"/>
        <c:crossBetween val="midCat"/>
      </c:valAx>
      <c:valAx>
        <c:axId val="51584000"/>
        <c:scaling>
          <c:orientation val="minMax"/>
          <c:max val="100"/>
          <c:min val="0"/>
        </c:scaling>
        <c:delete val="0"/>
        <c:axPos val="l"/>
        <c:majorGridlines/>
        <c:title>
          <c:tx>
            <c:rich>
              <a:bodyPr/>
              <a:lstStyle/>
              <a:p>
                <a:pPr>
                  <a:defRPr/>
                </a:pPr>
                <a:r>
                  <a:rPr lang="en-GB" sz="1050"/>
                  <a:t>Percentage</a:t>
                </a:r>
                <a:r>
                  <a:rPr lang="en-GB" sz="1050" baseline="0"/>
                  <a:t> passing ()%</a:t>
                </a:r>
                <a:endParaRPr lang="en-GB" sz="1050"/>
              </a:p>
            </c:rich>
          </c:tx>
          <c:overlay val="0"/>
        </c:title>
        <c:numFmt formatCode="General" sourceLinked="1"/>
        <c:majorTickMark val="none"/>
        <c:minorTickMark val="none"/>
        <c:tickLblPos val="low"/>
        <c:crossAx val="51582080"/>
        <c:crosses val="autoZero"/>
        <c:crossBetween val="midCat"/>
        <c:minorUnit val="4"/>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2164</TotalTime>
  <Pages>15</Pages>
  <Words>3956</Words>
  <Characters>22552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579</cp:revision>
  <cp:lastPrinted>2026-03-31T10:40:00Z</cp:lastPrinted>
  <dcterms:created xsi:type="dcterms:W3CDTF">2025-04-18T22:11:00Z</dcterms:created>
  <dcterms:modified xsi:type="dcterms:W3CDTF">2026-04-16T08:58:00Z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f85f626e-cc2f-4b09-b4aa-d64a918a96b7</vt:lpwstr>
  </property>
</Properties>
</file>