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02F" w:rsidRDefault="00BF5D4A" w:rsidP="00C87561">
      <w:pPr>
        <w:pStyle w:val="NormalWeb"/>
        <w:jc w:val="both"/>
        <w:rPr>
          <w:b/>
          <w:bCs/>
        </w:rPr>
      </w:pPr>
      <w:r>
        <w:rPr>
          <w:b/>
          <w:bCs/>
          <w:sz w:val="28"/>
          <w:szCs w:val="28"/>
          <w:lang w:val="en-US"/>
        </w:rPr>
        <w:t>Optimization of Biodiesel Production from the transesterification of Rubber seed oil</w:t>
      </w:r>
    </w:p>
    <w:p w:rsidR="005B502F" w:rsidRDefault="005B502F" w:rsidP="00C87561">
      <w:pPr>
        <w:pStyle w:val="NormalWeb"/>
        <w:jc w:val="both"/>
        <w:rPr>
          <w:b/>
          <w:bCs/>
          <w:sz w:val="28"/>
          <w:szCs w:val="28"/>
        </w:rPr>
      </w:pPr>
    </w:p>
    <w:p w:rsidR="005B502F" w:rsidRDefault="00BF5D4A" w:rsidP="00C87561">
      <w:pPr>
        <w:pStyle w:val="NormalWeb"/>
        <w:jc w:val="both"/>
        <w:rPr>
          <w:b/>
          <w:bCs/>
          <w:sz w:val="28"/>
          <w:szCs w:val="28"/>
        </w:rPr>
      </w:pPr>
      <w:r>
        <w:rPr>
          <w:b/>
          <w:bCs/>
          <w:sz w:val="28"/>
          <w:szCs w:val="28"/>
        </w:rPr>
        <w:t>Abstract</w:t>
      </w:r>
    </w:p>
    <w:p w:rsidR="005B502F" w:rsidRDefault="00BF5D4A" w:rsidP="00C87561">
      <w:pPr>
        <w:pStyle w:val="NormalWeb"/>
        <w:jc w:val="both"/>
      </w:pPr>
      <w:r>
        <w:rPr>
          <w:lang w:val="en-US"/>
        </w:rPr>
        <w:t xml:space="preserve">The high cost of feedstock for biodiesel production limits the competitive potential of the fuel as a substitute for the petroleum diesel. The current study </w:t>
      </w:r>
      <w:r>
        <w:t>investigate</w:t>
      </w:r>
      <w:r>
        <w:rPr>
          <w:lang w:val="en-US"/>
        </w:rPr>
        <w:t>d</w:t>
      </w:r>
      <w:r>
        <w:t xml:space="preserve"> </w:t>
      </w:r>
      <w:r>
        <w:rPr>
          <w:lang w:val="en-US"/>
        </w:rPr>
        <w:t xml:space="preserve">the optimization of biodiesel yield from the transesterification of rubber seed oil. The operating parameters such as temperature, reaction time and methanol-to-oil ratio were optimized using Central Composite Design in Design Expert software. The physicochemical properties of the biodiesel produced were analyzed using appropriate ASTM methods and the fatty acid composition was determined with the help of a gas chromatography equipped with mass selective detector. The highest biodiesel yield was 76.6 % obtained at optimum operating conditions of temperature (60 </w:t>
      </w:r>
      <w:proofErr w:type="spellStart"/>
      <w:r>
        <w:rPr>
          <w:vertAlign w:val="superscript"/>
          <w:lang w:val="en-US"/>
        </w:rPr>
        <w:t>o</w:t>
      </w:r>
      <w:r>
        <w:rPr>
          <w:lang w:val="en-US"/>
        </w:rPr>
        <w:t>C</w:t>
      </w:r>
      <w:proofErr w:type="spellEnd"/>
      <w:r>
        <w:rPr>
          <w:lang w:val="en-US"/>
        </w:rPr>
        <w:t xml:space="preserve">), reaction time (75 min), and methanol-to-oil ratio (4:1). The </w:t>
      </w:r>
      <w:proofErr w:type="spellStart"/>
      <w:r>
        <w:rPr>
          <w:lang w:val="en-US"/>
        </w:rPr>
        <w:t>physichochemical</w:t>
      </w:r>
      <w:proofErr w:type="spellEnd"/>
      <w:r>
        <w:rPr>
          <w:lang w:val="en-US"/>
        </w:rPr>
        <w:t xml:space="preserve"> properties of the biodiesel included density (848.4 g/m</w:t>
      </w:r>
      <w:r>
        <w:rPr>
          <w:vertAlign w:val="superscript"/>
          <w:lang w:val="en-US"/>
        </w:rPr>
        <w:t>3</w:t>
      </w:r>
      <w:r>
        <w:rPr>
          <w:lang w:val="en-US"/>
        </w:rPr>
        <w:t xml:space="preserve">), specific gravity (0.8675), viscosity at 40 </w:t>
      </w:r>
      <w:proofErr w:type="spellStart"/>
      <w:r>
        <w:rPr>
          <w:vertAlign w:val="superscript"/>
          <w:lang w:val="en-US"/>
        </w:rPr>
        <w:t>o</w:t>
      </w:r>
      <w:r>
        <w:rPr>
          <w:lang w:val="en-US"/>
        </w:rPr>
        <w:t>C</w:t>
      </w:r>
      <w:proofErr w:type="spellEnd"/>
      <w:r>
        <w:rPr>
          <w:lang w:val="en-US"/>
        </w:rPr>
        <w:t xml:space="preserve"> (2.030), kinematic viscosity (1,722 mm</w:t>
      </w:r>
      <w:r>
        <w:rPr>
          <w:vertAlign w:val="superscript"/>
          <w:lang w:val="en-US"/>
        </w:rPr>
        <w:t>2</w:t>
      </w:r>
      <w:r>
        <w:rPr>
          <w:lang w:val="en-US"/>
        </w:rPr>
        <w:t xml:space="preserve">/s), acid value (1.604 mg KOH/g), free fatty acid (0.802 %), flash point (89.4 </w:t>
      </w:r>
      <w:proofErr w:type="spellStart"/>
      <w:r>
        <w:rPr>
          <w:vertAlign w:val="superscript"/>
          <w:lang w:val="en-US"/>
        </w:rPr>
        <w:t>o</w:t>
      </w:r>
      <w:r>
        <w:rPr>
          <w:lang w:val="en-US"/>
        </w:rPr>
        <w:t>C</w:t>
      </w:r>
      <w:proofErr w:type="spellEnd"/>
      <w:r>
        <w:rPr>
          <w:lang w:val="en-US"/>
        </w:rPr>
        <w:t xml:space="preserve">), pour point (-3.8 </w:t>
      </w:r>
      <w:proofErr w:type="spellStart"/>
      <w:r>
        <w:rPr>
          <w:vertAlign w:val="superscript"/>
          <w:lang w:val="en-US"/>
        </w:rPr>
        <w:t>o</w:t>
      </w:r>
      <w:r>
        <w:rPr>
          <w:lang w:val="en-US"/>
        </w:rPr>
        <w:t>C</w:t>
      </w:r>
      <w:proofErr w:type="spellEnd"/>
      <w:r>
        <w:rPr>
          <w:lang w:val="en-US"/>
        </w:rPr>
        <w:t xml:space="preserve">), cloud point (-5.2 </w:t>
      </w:r>
      <w:proofErr w:type="spellStart"/>
      <w:r>
        <w:rPr>
          <w:vertAlign w:val="superscript"/>
          <w:lang w:val="en-US"/>
        </w:rPr>
        <w:t>o</w:t>
      </w:r>
      <w:r>
        <w:rPr>
          <w:lang w:val="en-US"/>
        </w:rPr>
        <w:t>C</w:t>
      </w:r>
      <w:proofErr w:type="spellEnd"/>
      <w:r>
        <w:rPr>
          <w:lang w:val="en-US"/>
        </w:rPr>
        <w:t>), calorific value (40.1042 MJ/kg), and cetane number (46.9). The predominant fatty acid esters in the biodiesel included m</w:t>
      </w:r>
      <w:r>
        <w:rPr>
          <w:lang w:val="zh-CN" w:eastAsia="zh-CN"/>
        </w:rPr>
        <w:t>ethyl tetradecanoate</w:t>
      </w:r>
      <w:r>
        <w:rPr>
          <w:lang w:val="en-US" w:eastAsia="zh-CN"/>
        </w:rPr>
        <w:t>, h</w:t>
      </w:r>
      <w:r>
        <w:rPr>
          <w:lang w:val="zh-CN" w:eastAsia="zh-CN"/>
        </w:rPr>
        <w:t>exadecanoic acid, methyl ester</w:t>
      </w:r>
      <w:r>
        <w:rPr>
          <w:lang w:val="en-US" w:eastAsia="zh-CN"/>
        </w:rPr>
        <w:t xml:space="preserve">, </w:t>
      </w:r>
      <w:r>
        <w:rPr>
          <w:lang w:val="zh-CN" w:eastAsia="zh-CN"/>
        </w:rPr>
        <w:t>8-Octadecenoic acid, methyl ester</w:t>
      </w:r>
      <w:r>
        <w:rPr>
          <w:lang w:val="en-US" w:eastAsia="zh-CN"/>
        </w:rPr>
        <w:t xml:space="preserve">, </w:t>
      </w:r>
      <w:r>
        <w:rPr>
          <w:lang w:val="zh-CN" w:eastAsia="zh-CN"/>
        </w:rPr>
        <w:t>9-</w:t>
      </w:r>
      <w:r>
        <w:rPr>
          <w:lang w:val="en-US" w:eastAsia="zh-CN"/>
        </w:rPr>
        <w:t>o</w:t>
      </w:r>
      <w:r>
        <w:rPr>
          <w:lang w:val="zh-CN" w:eastAsia="zh-CN"/>
        </w:rPr>
        <w:t>ctadecenoic acid, methyl ester, (E)-</w:t>
      </w:r>
      <w:r>
        <w:rPr>
          <w:lang w:val="en-US" w:eastAsia="zh-CN"/>
        </w:rPr>
        <w:t xml:space="preserve">, </w:t>
      </w:r>
      <w:r>
        <w:rPr>
          <w:lang w:val="zh-CN" w:eastAsia="zh-CN"/>
        </w:rPr>
        <w:t>(E)-11-Octadecenoic acid, methyl ester</w:t>
      </w:r>
      <w:r>
        <w:rPr>
          <w:lang w:val="en-US" w:eastAsia="zh-CN"/>
        </w:rPr>
        <w:t>, and m</w:t>
      </w:r>
      <w:r>
        <w:rPr>
          <w:lang w:val="zh-CN" w:eastAsia="zh-CN"/>
        </w:rPr>
        <w:t>ethyl stearate</w:t>
      </w:r>
      <w:r>
        <w:rPr>
          <w:lang w:val="en-US" w:eastAsia="zh-CN"/>
        </w:rPr>
        <w:t xml:space="preserve">. The result of the physicochemical analysis revealed that the biodiesel produced </w:t>
      </w:r>
      <w:proofErr w:type="gramStart"/>
      <w:r>
        <w:rPr>
          <w:lang w:val="en-US" w:eastAsia="zh-CN"/>
        </w:rPr>
        <w:t>is in agreement</w:t>
      </w:r>
      <w:proofErr w:type="gramEnd"/>
      <w:r>
        <w:rPr>
          <w:lang w:val="en-US" w:eastAsia="zh-CN"/>
        </w:rPr>
        <w:t xml:space="preserve"> with the ASTM standards except that the fuel is slightly acidic. The composition of the fatty acid methyl ester revealed that the biodiesel produced possessed desired properties required for enhancing the performance of engines. </w:t>
      </w:r>
    </w:p>
    <w:p w:rsidR="005B502F" w:rsidRDefault="00BF5D4A" w:rsidP="00C87561">
      <w:pPr>
        <w:pStyle w:val="NormalWeb"/>
        <w:jc w:val="both"/>
      </w:pPr>
      <w:r>
        <w:rPr>
          <w:lang w:val="en-US"/>
        </w:rPr>
        <w:t>Ke</w:t>
      </w:r>
      <w:r w:rsidR="0099778D">
        <w:rPr>
          <w:lang w:val="en-US"/>
        </w:rPr>
        <w:t xml:space="preserve">y </w:t>
      </w:r>
      <w:r>
        <w:rPr>
          <w:lang w:val="en-US"/>
        </w:rPr>
        <w:t xml:space="preserve">words: Rubber seeds oil; optimization; biodiesel; oil extraction; transesterification </w:t>
      </w:r>
    </w:p>
    <w:p w:rsidR="005B502F" w:rsidRDefault="00BF5D4A" w:rsidP="00C87561">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1.0 Introduction </w:t>
      </w:r>
    </w:p>
    <w:p w:rsidR="00C87561" w:rsidRPr="00C87561" w:rsidRDefault="00C87561" w:rsidP="00C87561">
      <w:pPr>
        <w:spacing w:before="100" w:beforeAutospacing="1" w:after="100" w:afterAutospacing="1" w:line="240" w:lineRule="auto"/>
        <w:jc w:val="both"/>
        <w:rPr>
          <w:rFonts w:ascii="Times New Roman" w:eastAsia="Times New Roman" w:hAnsi="Times New Roman" w:cs="Times New Roman"/>
          <w:sz w:val="24"/>
          <w:szCs w:val="24"/>
          <w:lang w:val="en-US" w:eastAsia="en-US"/>
        </w:rPr>
      </w:pPr>
      <w:r w:rsidRPr="00C87561">
        <w:rPr>
          <w:rFonts w:ascii="Times New Roman" w:eastAsia="Times New Roman" w:hAnsi="Times New Roman" w:cs="Times New Roman"/>
          <w:sz w:val="24"/>
          <w:szCs w:val="24"/>
          <w:lang w:val="en-US" w:eastAsia="en-US"/>
        </w:rPr>
        <w:t xml:space="preserve">Plant-derived oils have long been </w:t>
      </w:r>
      <w:proofErr w:type="spellStart"/>
      <w:r w:rsidRPr="00C87561">
        <w:rPr>
          <w:rFonts w:ascii="Times New Roman" w:eastAsia="Times New Roman" w:hAnsi="Times New Roman" w:cs="Times New Roman"/>
          <w:sz w:val="24"/>
          <w:szCs w:val="24"/>
          <w:lang w:val="en-US" w:eastAsia="en-US"/>
        </w:rPr>
        <w:t>utilised</w:t>
      </w:r>
      <w:proofErr w:type="spellEnd"/>
      <w:r w:rsidRPr="00C87561">
        <w:rPr>
          <w:rFonts w:ascii="Times New Roman" w:eastAsia="Times New Roman" w:hAnsi="Times New Roman" w:cs="Times New Roman"/>
          <w:sz w:val="24"/>
          <w:szCs w:val="24"/>
          <w:lang w:val="en-US" w:eastAsia="en-US"/>
        </w:rPr>
        <w:t xml:space="preserve"> in a wide range of industrial and food applications, a practice that spans several centuries (</w:t>
      </w:r>
      <w:proofErr w:type="spellStart"/>
      <w:r w:rsidRPr="00C87561">
        <w:rPr>
          <w:rFonts w:ascii="Times New Roman" w:eastAsia="Times New Roman" w:hAnsi="Times New Roman" w:cs="Times New Roman"/>
          <w:sz w:val="24"/>
          <w:szCs w:val="24"/>
          <w:lang w:val="en-US" w:eastAsia="en-US"/>
        </w:rPr>
        <w:t>Ifijen</w:t>
      </w:r>
      <w:proofErr w:type="spellEnd"/>
      <w:r w:rsidRPr="00C87561">
        <w:rPr>
          <w:rFonts w:ascii="Times New Roman" w:eastAsia="Times New Roman" w:hAnsi="Times New Roman" w:cs="Times New Roman"/>
          <w:sz w:val="24"/>
          <w:szCs w:val="24"/>
          <w:lang w:val="en-US" w:eastAsia="en-US"/>
        </w:rPr>
        <w:t xml:space="preserve"> &amp; </w:t>
      </w:r>
      <w:proofErr w:type="spellStart"/>
      <w:r w:rsidRPr="00C87561">
        <w:rPr>
          <w:rFonts w:ascii="Times New Roman" w:eastAsia="Times New Roman" w:hAnsi="Times New Roman" w:cs="Times New Roman"/>
          <w:sz w:val="24"/>
          <w:szCs w:val="24"/>
          <w:lang w:val="en-US" w:eastAsia="en-US"/>
        </w:rPr>
        <w:t>Nkwor</w:t>
      </w:r>
      <w:proofErr w:type="spellEnd"/>
      <w:r w:rsidRPr="00C87561">
        <w:rPr>
          <w:rFonts w:ascii="Times New Roman" w:eastAsia="Times New Roman" w:hAnsi="Times New Roman" w:cs="Times New Roman"/>
          <w:sz w:val="24"/>
          <w:szCs w:val="24"/>
          <w:lang w:val="en-US" w:eastAsia="en-US"/>
        </w:rPr>
        <w:t xml:space="preserve">, 2020; </w:t>
      </w:r>
      <w:proofErr w:type="spellStart"/>
      <w:r w:rsidRPr="00C87561">
        <w:rPr>
          <w:rFonts w:ascii="Times New Roman" w:eastAsia="Times New Roman" w:hAnsi="Times New Roman" w:cs="Times New Roman"/>
          <w:sz w:val="24"/>
          <w:szCs w:val="24"/>
          <w:lang w:val="en-US" w:eastAsia="en-US"/>
        </w:rPr>
        <w:t>Ifijen</w:t>
      </w:r>
      <w:proofErr w:type="spellEnd"/>
      <w:r w:rsidRPr="00C87561">
        <w:rPr>
          <w:rFonts w:ascii="Times New Roman" w:eastAsia="Times New Roman" w:hAnsi="Times New Roman" w:cs="Times New Roman"/>
          <w:sz w:val="24"/>
          <w:szCs w:val="24"/>
          <w:lang w:val="en-US" w:eastAsia="en-US"/>
        </w:rPr>
        <w:t xml:space="preserve"> et al., 2023; </w:t>
      </w:r>
      <w:proofErr w:type="spellStart"/>
      <w:r w:rsidRPr="00C87561">
        <w:rPr>
          <w:rFonts w:ascii="Times New Roman" w:eastAsia="Times New Roman" w:hAnsi="Times New Roman" w:cs="Times New Roman"/>
          <w:sz w:val="24"/>
          <w:szCs w:val="24"/>
          <w:lang w:val="en-US" w:eastAsia="en-US"/>
        </w:rPr>
        <w:t>Nkwor</w:t>
      </w:r>
      <w:proofErr w:type="spellEnd"/>
      <w:r w:rsidRPr="00C87561">
        <w:rPr>
          <w:rFonts w:ascii="Times New Roman" w:eastAsia="Times New Roman" w:hAnsi="Times New Roman" w:cs="Times New Roman"/>
          <w:sz w:val="24"/>
          <w:szCs w:val="24"/>
          <w:lang w:val="en-US" w:eastAsia="en-US"/>
        </w:rPr>
        <w:t xml:space="preserve"> et al., 2021). Among their diverse industrial uses, the production of biodiesel has emerged as a particularly significant application, requiring a variety of oil-based feedstocks. According to ASTM standards, biodiesel is defined as a liquid fuel composed of fatty acid alkyl esters derived from long-chain fatty acids present in vegetable oils and animal fats (</w:t>
      </w:r>
      <w:proofErr w:type="spellStart"/>
      <w:r w:rsidRPr="00C87561">
        <w:rPr>
          <w:rFonts w:ascii="Times New Roman" w:eastAsia="Times New Roman" w:hAnsi="Times New Roman" w:cs="Times New Roman"/>
          <w:sz w:val="24"/>
          <w:szCs w:val="24"/>
          <w:lang w:val="en-US" w:eastAsia="en-US"/>
        </w:rPr>
        <w:t>Ifijen</w:t>
      </w:r>
      <w:proofErr w:type="spellEnd"/>
      <w:r w:rsidRPr="00C87561">
        <w:rPr>
          <w:rFonts w:ascii="Times New Roman" w:eastAsia="Times New Roman" w:hAnsi="Times New Roman" w:cs="Times New Roman"/>
          <w:sz w:val="24"/>
          <w:szCs w:val="24"/>
          <w:lang w:val="en-US" w:eastAsia="en-US"/>
        </w:rPr>
        <w:t xml:space="preserve"> et al., 2018). Conventionally, biodiesel production relies on four principal categories of feedstocks: oilseeds (vegetable oils), animal fats, algal biomass, and low-quality raw materials such as used cooking oil, grease, and soap stock (Kumar et al., 2022).</w:t>
      </w:r>
      <w:r>
        <w:rPr>
          <w:rFonts w:ascii="Times New Roman" w:eastAsia="Times New Roman" w:hAnsi="Times New Roman" w:cs="Times New Roman"/>
          <w:sz w:val="24"/>
          <w:szCs w:val="24"/>
          <w:lang w:val="en-US" w:eastAsia="en-US"/>
        </w:rPr>
        <w:t xml:space="preserve"> </w:t>
      </w:r>
      <w:r w:rsidRPr="00C87561">
        <w:rPr>
          <w:rFonts w:ascii="Times New Roman" w:eastAsia="Times New Roman" w:hAnsi="Times New Roman" w:cs="Times New Roman"/>
          <w:sz w:val="24"/>
          <w:szCs w:val="24"/>
          <w:lang w:val="en-US" w:eastAsia="en-US"/>
        </w:rPr>
        <w:t xml:space="preserve">At an industrial scale, edible vegetable oils such as soybean, palm, and canola oils have been predominantly employed for biodiesel synthesis. However, their extensive </w:t>
      </w:r>
      <w:proofErr w:type="spellStart"/>
      <w:r w:rsidRPr="00C87561">
        <w:rPr>
          <w:rFonts w:ascii="Times New Roman" w:eastAsia="Times New Roman" w:hAnsi="Times New Roman" w:cs="Times New Roman"/>
          <w:sz w:val="24"/>
          <w:szCs w:val="24"/>
          <w:lang w:val="en-US" w:eastAsia="en-US"/>
        </w:rPr>
        <w:t>utilisation</w:t>
      </w:r>
      <w:proofErr w:type="spellEnd"/>
      <w:r w:rsidRPr="00C87561">
        <w:rPr>
          <w:rFonts w:ascii="Times New Roman" w:eastAsia="Times New Roman" w:hAnsi="Times New Roman" w:cs="Times New Roman"/>
          <w:sz w:val="24"/>
          <w:szCs w:val="24"/>
          <w:lang w:val="en-US" w:eastAsia="en-US"/>
        </w:rPr>
        <w:t xml:space="preserve"> has intensified concerns regarding the food–fuel competition, thereby disrupting the balance between food supply and energy production (Brahma et al., 2022). In addition, the high production cost of biodiesel remains a major constraint to its widespread </w:t>
      </w:r>
      <w:proofErr w:type="spellStart"/>
      <w:r w:rsidRPr="00C87561">
        <w:rPr>
          <w:rFonts w:ascii="Times New Roman" w:eastAsia="Times New Roman" w:hAnsi="Times New Roman" w:cs="Times New Roman"/>
          <w:sz w:val="24"/>
          <w:szCs w:val="24"/>
          <w:lang w:val="en-US" w:eastAsia="en-US"/>
        </w:rPr>
        <w:t>commercialisation</w:t>
      </w:r>
      <w:proofErr w:type="spellEnd"/>
      <w:r w:rsidRPr="00C87561">
        <w:rPr>
          <w:rFonts w:ascii="Times New Roman" w:eastAsia="Times New Roman" w:hAnsi="Times New Roman" w:cs="Times New Roman"/>
          <w:sz w:val="24"/>
          <w:szCs w:val="24"/>
          <w:lang w:val="en-US" w:eastAsia="en-US"/>
        </w:rPr>
        <w:t xml:space="preserve">, with feedstock expenses accounting for approximately 80% or more of the total production cost (Brahma et al., 2022). Comparative economic analyses further indicate that conventional fossil diesel continues to be more cost-effective than biodiesel (Kumar et al., 2022). In response to these </w:t>
      </w:r>
      <w:r w:rsidRPr="00C87561">
        <w:rPr>
          <w:rFonts w:ascii="Times New Roman" w:eastAsia="Times New Roman" w:hAnsi="Times New Roman" w:cs="Times New Roman"/>
          <w:sz w:val="24"/>
          <w:szCs w:val="24"/>
          <w:lang w:val="en-US" w:eastAsia="en-US"/>
        </w:rPr>
        <w:lastRenderedPageBreak/>
        <w:t>challenges, the use of low-cost feedstocks, particularly those with high free fatty acid (FFA) content or derived from non-edible sources, has been widely proposed as a viable strategy to reduce production costs (</w:t>
      </w:r>
      <w:proofErr w:type="spellStart"/>
      <w:r w:rsidRPr="00C87561">
        <w:rPr>
          <w:rFonts w:ascii="Times New Roman" w:eastAsia="Times New Roman" w:hAnsi="Times New Roman" w:cs="Times New Roman"/>
          <w:sz w:val="24"/>
          <w:szCs w:val="24"/>
          <w:lang w:val="en-US" w:eastAsia="en-US"/>
        </w:rPr>
        <w:t>Atabani</w:t>
      </w:r>
      <w:proofErr w:type="spellEnd"/>
      <w:r w:rsidRPr="00C87561">
        <w:rPr>
          <w:rFonts w:ascii="Times New Roman" w:eastAsia="Times New Roman" w:hAnsi="Times New Roman" w:cs="Times New Roman"/>
          <w:sz w:val="24"/>
          <w:szCs w:val="24"/>
          <w:lang w:val="en-US" w:eastAsia="en-US"/>
        </w:rPr>
        <w:t xml:space="preserve"> et al., 2023; </w:t>
      </w:r>
      <w:proofErr w:type="spellStart"/>
      <w:r w:rsidRPr="00C87561">
        <w:rPr>
          <w:rFonts w:ascii="Times New Roman" w:eastAsia="Times New Roman" w:hAnsi="Times New Roman" w:cs="Times New Roman"/>
          <w:sz w:val="24"/>
          <w:szCs w:val="24"/>
          <w:lang w:val="en-US" w:eastAsia="en-US"/>
        </w:rPr>
        <w:t>Ramadhas</w:t>
      </w:r>
      <w:proofErr w:type="spellEnd"/>
      <w:r w:rsidRPr="00C87561">
        <w:rPr>
          <w:rFonts w:ascii="Times New Roman" w:eastAsia="Times New Roman" w:hAnsi="Times New Roman" w:cs="Times New Roman"/>
          <w:sz w:val="24"/>
          <w:szCs w:val="24"/>
          <w:lang w:val="en-US" w:eastAsia="en-US"/>
        </w:rPr>
        <w:t xml:space="preserve"> et al., 2005).</w:t>
      </w:r>
    </w:p>
    <w:p w:rsidR="00C87561" w:rsidRPr="00C87561" w:rsidRDefault="00C87561" w:rsidP="00C87561">
      <w:pPr>
        <w:spacing w:before="100" w:beforeAutospacing="1" w:after="100" w:afterAutospacing="1" w:line="240" w:lineRule="auto"/>
        <w:jc w:val="both"/>
        <w:rPr>
          <w:rFonts w:ascii="Times New Roman" w:eastAsia="Times New Roman" w:hAnsi="Times New Roman" w:cs="Times New Roman"/>
          <w:sz w:val="24"/>
          <w:szCs w:val="24"/>
          <w:lang w:val="en-US" w:eastAsia="en-US"/>
        </w:rPr>
      </w:pPr>
      <w:r w:rsidRPr="00C87561">
        <w:rPr>
          <w:rFonts w:ascii="Times New Roman" w:eastAsia="Times New Roman" w:hAnsi="Times New Roman" w:cs="Times New Roman"/>
          <w:sz w:val="24"/>
          <w:szCs w:val="24"/>
          <w:lang w:val="en-US" w:eastAsia="en-US"/>
        </w:rPr>
        <w:t>Non-edible oils, including those obtained from rubber seeds, have gained considerable attention as promising alternative feedstocks for biodiesel production (Ramos et al., 2019). Their economic advantage lies in their relatively low cost compared with edible oils, whose demand continues to rise due to population growth and increasing food requirements (</w:t>
      </w:r>
      <w:proofErr w:type="spellStart"/>
      <w:r w:rsidRPr="00C87561">
        <w:rPr>
          <w:rFonts w:ascii="Times New Roman" w:eastAsia="Times New Roman" w:hAnsi="Times New Roman" w:cs="Times New Roman"/>
          <w:sz w:val="24"/>
          <w:szCs w:val="24"/>
          <w:lang w:val="en-US" w:eastAsia="en-US"/>
        </w:rPr>
        <w:t>Ifijen</w:t>
      </w:r>
      <w:proofErr w:type="spellEnd"/>
      <w:r w:rsidRPr="00C87561">
        <w:rPr>
          <w:rFonts w:ascii="Times New Roman" w:eastAsia="Times New Roman" w:hAnsi="Times New Roman" w:cs="Times New Roman"/>
          <w:sz w:val="24"/>
          <w:szCs w:val="24"/>
          <w:lang w:val="en-US" w:eastAsia="en-US"/>
        </w:rPr>
        <w:t xml:space="preserve"> et al., 2022; </w:t>
      </w:r>
      <w:proofErr w:type="spellStart"/>
      <w:r w:rsidRPr="00C87561">
        <w:rPr>
          <w:rFonts w:ascii="Times New Roman" w:eastAsia="Times New Roman" w:hAnsi="Times New Roman" w:cs="Times New Roman"/>
          <w:sz w:val="24"/>
          <w:szCs w:val="24"/>
          <w:lang w:val="en-US" w:eastAsia="en-US"/>
        </w:rPr>
        <w:t>Ogbiede</w:t>
      </w:r>
      <w:proofErr w:type="spellEnd"/>
      <w:r w:rsidRPr="00C87561">
        <w:rPr>
          <w:rFonts w:ascii="Times New Roman" w:eastAsia="Times New Roman" w:hAnsi="Times New Roman" w:cs="Times New Roman"/>
          <w:sz w:val="24"/>
          <w:szCs w:val="24"/>
          <w:lang w:val="en-US" w:eastAsia="en-US"/>
        </w:rPr>
        <w:t xml:space="preserve"> et al., 2022; </w:t>
      </w:r>
      <w:proofErr w:type="spellStart"/>
      <w:r w:rsidRPr="00C87561">
        <w:rPr>
          <w:rFonts w:ascii="Times New Roman" w:eastAsia="Times New Roman" w:hAnsi="Times New Roman" w:cs="Times New Roman"/>
          <w:sz w:val="24"/>
          <w:szCs w:val="24"/>
          <w:lang w:val="en-US" w:eastAsia="en-US"/>
        </w:rPr>
        <w:t>Otabor</w:t>
      </w:r>
      <w:proofErr w:type="spellEnd"/>
      <w:r w:rsidRPr="00C87561">
        <w:rPr>
          <w:rFonts w:ascii="Times New Roman" w:eastAsia="Times New Roman" w:hAnsi="Times New Roman" w:cs="Times New Roman"/>
          <w:sz w:val="24"/>
          <w:szCs w:val="24"/>
          <w:lang w:val="en-US" w:eastAsia="en-US"/>
        </w:rPr>
        <w:t xml:space="preserve"> et al., 2019). Several non-edible oil-bearing plants, such as </w:t>
      </w:r>
      <w:r w:rsidRPr="00C87561">
        <w:rPr>
          <w:rFonts w:ascii="Times New Roman" w:eastAsia="Times New Roman" w:hAnsi="Times New Roman" w:cs="Times New Roman"/>
          <w:i/>
          <w:iCs/>
          <w:sz w:val="24"/>
          <w:szCs w:val="24"/>
          <w:lang w:val="en-US" w:eastAsia="en-US"/>
        </w:rPr>
        <w:t xml:space="preserve">Jatropha </w:t>
      </w:r>
      <w:proofErr w:type="spellStart"/>
      <w:r w:rsidRPr="00C87561">
        <w:rPr>
          <w:rFonts w:ascii="Times New Roman" w:eastAsia="Times New Roman" w:hAnsi="Times New Roman" w:cs="Times New Roman"/>
          <w:i/>
          <w:iCs/>
          <w:sz w:val="24"/>
          <w:szCs w:val="24"/>
          <w:lang w:val="en-US" w:eastAsia="en-US"/>
        </w:rPr>
        <w:t>curcas</w:t>
      </w:r>
      <w:proofErr w:type="spellEnd"/>
      <w:r w:rsidRPr="00C87561">
        <w:rPr>
          <w:rFonts w:ascii="Times New Roman" w:eastAsia="Times New Roman" w:hAnsi="Times New Roman" w:cs="Times New Roman"/>
          <w:sz w:val="24"/>
          <w:szCs w:val="24"/>
          <w:lang w:val="en-US" w:eastAsia="en-US"/>
        </w:rPr>
        <w:t xml:space="preserve">, </w:t>
      </w:r>
      <w:r w:rsidRPr="00C87561">
        <w:rPr>
          <w:rFonts w:ascii="Times New Roman" w:eastAsia="Times New Roman" w:hAnsi="Times New Roman" w:cs="Times New Roman"/>
          <w:i/>
          <w:iCs/>
          <w:sz w:val="24"/>
          <w:szCs w:val="24"/>
          <w:lang w:val="en-US" w:eastAsia="en-US"/>
        </w:rPr>
        <w:t>Moringa oleifera</w:t>
      </w:r>
      <w:r w:rsidRPr="00C87561">
        <w:rPr>
          <w:rFonts w:ascii="Times New Roman" w:eastAsia="Times New Roman" w:hAnsi="Times New Roman" w:cs="Times New Roman"/>
          <w:sz w:val="24"/>
          <w:szCs w:val="24"/>
          <w:lang w:val="en-US" w:eastAsia="en-US"/>
        </w:rPr>
        <w:t xml:space="preserve">, </w:t>
      </w:r>
      <w:proofErr w:type="spellStart"/>
      <w:r w:rsidRPr="00C87561">
        <w:rPr>
          <w:rFonts w:ascii="Times New Roman" w:eastAsia="Times New Roman" w:hAnsi="Times New Roman" w:cs="Times New Roman"/>
          <w:i/>
          <w:iCs/>
          <w:sz w:val="24"/>
          <w:szCs w:val="24"/>
          <w:lang w:val="en-US" w:eastAsia="en-US"/>
        </w:rPr>
        <w:t>Pongamia</w:t>
      </w:r>
      <w:proofErr w:type="spellEnd"/>
      <w:r w:rsidRPr="00C87561">
        <w:rPr>
          <w:rFonts w:ascii="Times New Roman" w:eastAsia="Times New Roman" w:hAnsi="Times New Roman" w:cs="Times New Roman"/>
          <w:i/>
          <w:iCs/>
          <w:sz w:val="24"/>
          <w:szCs w:val="24"/>
          <w:lang w:val="en-US" w:eastAsia="en-US"/>
        </w:rPr>
        <w:t xml:space="preserve"> </w:t>
      </w:r>
      <w:proofErr w:type="spellStart"/>
      <w:r w:rsidRPr="00C87561">
        <w:rPr>
          <w:rFonts w:ascii="Times New Roman" w:eastAsia="Times New Roman" w:hAnsi="Times New Roman" w:cs="Times New Roman"/>
          <w:i/>
          <w:iCs/>
          <w:sz w:val="24"/>
          <w:szCs w:val="24"/>
          <w:lang w:val="en-US" w:eastAsia="en-US"/>
        </w:rPr>
        <w:t>pinnata</w:t>
      </w:r>
      <w:proofErr w:type="spellEnd"/>
      <w:r w:rsidRPr="00C87561">
        <w:rPr>
          <w:rFonts w:ascii="Times New Roman" w:eastAsia="Times New Roman" w:hAnsi="Times New Roman" w:cs="Times New Roman"/>
          <w:sz w:val="24"/>
          <w:szCs w:val="24"/>
          <w:lang w:val="en-US" w:eastAsia="en-US"/>
        </w:rPr>
        <w:t xml:space="preserve">, and </w:t>
      </w:r>
      <w:r w:rsidRPr="00C87561">
        <w:rPr>
          <w:rFonts w:ascii="Times New Roman" w:eastAsia="Times New Roman" w:hAnsi="Times New Roman" w:cs="Times New Roman"/>
          <w:i/>
          <w:iCs/>
          <w:sz w:val="24"/>
          <w:szCs w:val="24"/>
          <w:lang w:val="en-US" w:eastAsia="en-US"/>
        </w:rPr>
        <w:t>Camelina sativa</w:t>
      </w:r>
      <w:r w:rsidRPr="00C87561">
        <w:rPr>
          <w:rFonts w:ascii="Times New Roman" w:eastAsia="Times New Roman" w:hAnsi="Times New Roman" w:cs="Times New Roman"/>
          <w:sz w:val="24"/>
          <w:szCs w:val="24"/>
          <w:lang w:val="en-US" w:eastAsia="en-US"/>
        </w:rPr>
        <w:t xml:space="preserve">, have already been investigated for biodiesel production (Islam &amp; </w:t>
      </w:r>
      <w:proofErr w:type="spellStart"/>
      <w:r w:rsidRPr="00C87561">
        <w:rPr>
          <w:rFonts w:ascii="Times New Roman" w:eastAsia="Times New Roman" w:hAnsi="Times New Roman" w:cs="Times New Roman"/>
          <w:sz w:val="24"/>
          <w:szCs w:val="24"/>
          <w:lang w:val="en-US" w:eastAsia="en-US"/>
        </w:rPr>
        <w:t>Yaakob</w:t>
      </w:r>
      <w:proofErr w:type="spellEnd"/>
      <w:r w:rsidRPr="00C87561">
        <w:rPr>
          <w:rFonts w:ascii="Times New Roman" w:eastAsia="Times New Roman" w:hAnsi="Times New Roman" w:cs="Times New Roman"/>
          <w:sz w:val="24"/>
          <w:szCs w:val="24"/>
          <w:lang w:val="en-US" w:eastAsia="en-US"/>
        </w:rPr>
        <w:t xml:space="preserve">, 2018; </w:t>
      </w:r>
      <w:proofErr w:type="spellStart"/>
      <w:r w:rsidRPr="00C87561">
        <w:rPr>
          <w:rFonts w:ascii="Times New Roman" w:eastAsia="Times New Roman" w:hAnsi="Times New Roman" w:cs="Times New Roman"/>
          <w:sz w:val="24"/>
          <w:szCs w:val="24"/>
          <w:lang w:val="en-US" w:eastAsia="en-US"/>
        </w:rPr>
        <w:t>Demirbas</w:t>
      </w:r>
      <w:proofErr w:type="spellEnd"/>
      <w:r w:rsidRPr="00C87561">
        <w:rPr>
          <w:rFonts w:ascii="Times New Roman" w:eastAsia="Times New Roman" w:hAnsi="Times New Roman" w:cs="Times New Roman"/>
          <w:sz w:val="24"/>
          <w:szCs w:val="24"/>
          <w:lang w:val="en-US" w:eastAsia="en-US"/>
        </w:rPr>
        <w:t xml:space="preserve"> et al., 2016). Notably, rubber seeds exhibit a high oil content, typically ranging from 35–45 wt.%, making them a competitive candidate among non-edible feedstocks. Furthermore, biodiesel derived from rubber seed oil (RSO) is renewable, environmentally benign, and amenable to </w:t>
      </w:r>
      <w:proofErr w:type="spellStart"/>
      <w:r w:rsidRPr="00C87561">
        <w:rPr>
          <w:rFonts w:ascii="Times New Roman" w:eastAsia="Times New Roman" w:hAnsi="Times New Roman" w:cs="Times New Roman"/>
          <w:sz w:val="24"/>
          <w:szCs w:val="24"/>
          <w:lang w:val="en-US" w:eastAsia="en-US"/>
        </w:rPr>
        <w:t>localised</w:t>
      </w:r>
      <w:proofErr w:type="spellEnd"/>
      <w:r w:rsidRPr="00C87561">
        <w:rPr>
          <w:rFonts w:ascii="Times New Roman" w:eastAsia="Times New Roman" w:hAnsi="Times New Roman" w:cs="Times New Roman"/>
          <w:sz w:val="24"/>
          <w:szCs w:val="24"/>
          <w:lang w:val="en-US" w:eastAsia="en-US"/>
        </w:rPr>
        <w:t xml:space="preserve"> production, thereby enhancing its practical applicability (Maliki &amp; </w:t>
      </w:r>
      <w:proofErr w:type="spellStart"/>
      <w:r w:rsidRPr="00C87561">
        <w:rPr>
          <w:rFonts w:ascii="Times New Roman" w:eastAsia="Times New Roman" w:hAnsi="Times New Roman" w:cs="Times New Roman"/>
          <w:sz w:val="24"/>
          <w:szCs w:val="24"/>
          <w:lang w:val="en-US" w:eastAsia="en-US"/>
        </w:rPr>
        <w:t>Ifijen</w:t>
      </w:r>
      <w:proofErr w:type="spellEnd"/>
      <w:r w:rsidRPr="00C87561">
        <w:rPr>
          <w:rFonts w:ascii="Times New Roman" w:eastAsia="Times New Roman" w:hAnsi="Times New Roman" w:cs="Times New Roman"/>
          <w:sz w:val="24"/>
          <w:szCs w:val="24"/>
          <w:lang w:val="en-US" w:eastAsia="en-US"/>
        </w:rPr>
        <w:t>, 2020).</w:t>
      </w:r>
      <w:r>
        <w:rPr>
          <w:rFonts w:ascii="Times New Roman" w:eastAsia="Times New Roman" w:hAnsi="Times New Roman" w:cs="Times New Roman"/>
          <w:sz w:val="24"/>
          <w:szCs w:val="24"/>
          <w:lang w:val="en-US" w:eastAsia="en-US"/>
        </w:rPr>
        <w:t xml:space="preserve"> </w:t>
      </w:r>
      <w:bookmarkStart w:id="0" w:name="_GoBack"/>
      <w:bookmarkEnd w:id="0"/>
      <w:r w:rsidRPr="00C87561">
        <w:rPr>
          <w:rFonts w:ascii="Times New Roman" w:eastAsia="Times New Roman" w:hAnsi="Times New Roman" w:cs="Times New Roman"/>
          <w:sz w:val="24"/>
          <w:szCs w:val="24"/>
          <w:lang w:val="en-US" w:eastAsia="en-US"/>
        </w:rPr>
        <w:t xml:space="preserve">In addition to their economic benefits, non-edible vegetable oils possess </w:t>
      </w:r>
      <w:proofErr w:type="spellStart"/>
      <w:r w:rsidRPr="00C87561">
        <w:rPr>
          <w:rFonts w:ascii="Times New Roman" w:eastAsia="Times New Roman" w:hAnsi="Times New Roman" w:cs="Times New Roman"/>
          <w:sz w:val="24"/>
          <w:szCs w:val="24"/>
          <w:lang w:val="en-US" w:eastAsia="en-US"/>
        </w:rPr>
        <w:t>favourable</w:t>
      </w:r>
      <w:proofErr w:type="spellEnd"/>
      <w:r w:rsidRPr="00C87561">
        <w:rPr>
          <w:rFonts w:ascii="Times New Roman" w:eastAsia="Times New Roman" w:hAnsi="Times New Roman" w:cs="Times New Roman"/>
          <w:sz w:val="24"/>
          <w:szCs w:val="24"/>
          <w:lang w:val="en-US" w:eastAsia="en-US"/>
        </w:rPr>
        <w:t xml:space="preserve"> physicochemical properties, including low </w:t>
      </w:r>
      <w:proofErr w:type="spellStart"/>
      <w:r w:rsidRPr="00C87561">
        <w:rPr>
          <w:rFonts w:ascii="Times New Roman" w:eastAsia="Times New Roman" w:hAnsi="Times New Roman" w:cs="Times New Roman"/>
          <w:sz w:val="24"/>
          <w:szCs w:val="24"/>
          <w:lang w:val="en-US" w:eastAsia="en-US"/>
        </w:rPr>
        <w:t>sulphur</w:t>
      </w:r>
      <w:proofErr w:type="spellEnd"/>
      <w:r w:rsidRPr="00C87561">
        <w:rPr>
          <w:rFonts w:ascii="Times New Roman" w:eastAsia="Times New Roman" w:hAnsi="Times New Roman" w:cs="Times New Roman"/>
          <w:sz w:val="24"/>
          <w:szCs w:val="24"/>
          <w:lang w:val="en-US" w:eastAsia="en-US"/>
        </w:rPr>
        <w:t xml:space="preserve"> content, improved lubricity, and minimal storage complications (</w:t>
      </w:r>
      <w:proofErr w:type="spellStart"/>
      <w:r w:rsidRPr="00C87561">
        <w:rPr>
          <w:rFonts w:ascii="Times New Roman" w:eastAsia="Times New Roman" w:hAnsi="Times New Roman" w:cs="Times New Roman"/>
          <w:sz w:val="24"/>
          <w:szCs w:val="24"/>
          <w:lang w:val="en-US" w:eastAsia="en-US"/>
        </w:rPr>
        <w:t>Nkwor</w:t>
      </w:r>
      <w:proofErr w:type="spellEnd"/>
      <w:r w:rsidRPr="00C87561">
        <w:rPr>
          <w:rFonts w:ascii="Times New Roman" w:eastAsia="Times New Roman" w:hAnsi="Times New Roman" w:cs="Times New Roman"/>
          <w:sz w:val="24"/>
          <w:szCs w:val="24"/>
          <w:lang w:val="en-US" w:eastAsia="en-US"/>
        </w:rPr>
        <w:t xml:space="preserve"> et al., 2020). From an environmental perspective, oil-bearing plants contribute to carbon sequestration, as the carbon dioxide absorbed during photosynthesis can offset emissions generated during fuel combustion (</w:t>
      </w:r>
      <w:proofErr w:type="spellStart"/>
      <w:r w:rsidRPr="00C87561">
        <w:rPr>
          <w:rFonts w:ascii="Times New Roman" w:eastAsia="Times New Roman" w:hAnsi="Times New Roman" w:cs="Times New Roman"/>
          <w:sz w:val="24"/>
          <w:szCs w:val="24"/>
          <w:lang w:val="en-US" w:eastAsia="en-US"/>
        </w:rPr>
        <w:t>Manisalidis</w:t>
      </w:r>
      <w:proofErr w:type="spellEnd"/>
      <w:r w:rsidRPr="00C87561">
        <w:rPr>
          <w:rFonts w:ascii="Times New Roman" w:eastAsia="Times New Roman" w:hAnsi="Times New Roman" w:cs="Times New Roman"/>
          <w:sz w:val="24"/>
          <w:szCs w:val="24"/>
          <w:lang w:val="en-US" w:eastAsia="en-US"/>
        </w:rPr>
        <w:t xml:space="preserve"> et al., 2020). Consequently, their </w:t>
      </w:r>
      <w:proofErr w:type="spellStart"/>
      <w:r w:rsidRPr="00C87561">
        <w:rPr>
          <w:rFonts w:ascii="Times New Roman" w:eastAsia="Times New Roman" w:hAnsi="Times New Roman" w:cs="Times New Roman"/>
          <w:sz w:val="24"/>
          <w:szCs w:val="24"/>
          <w:lang w:val="en-US" w:eastAsia="en-US"/>
        </w:rPr>
        <w:t>utilisation</w:t>
      </w:r>
      <w:proofErr w:type="spellEnd"/>
      <w:r w:rsidRPr="00C87561">
        <w:rPr>
          <w:rFonts w:ascii="Times New Roman" w:eastAsia="Times New Roman" w:hAnsi="Times New Roman" w:cs="Times New Roman"/>
          <w:sz w:val="24"/>
          <w:szCs w:val="24"/>
          <w:lang w:val="en-US" w:eastAsia="en-US"/>
        </w:rPr>
        <w:t xml:space="preserve"> plays a role in mitigating rising atmospheric carbon dioxide levels. Moreover, the substitution of fossil diesel with domestically produced renewable fuels can lead to substantial foreign exchange savings, even in major oil-exporting countries (</w:t>
      </w:r>
      <w:proofErr w:type="spellStart"/>
      <w:r w:rsidRPr="00C87561">
        <w:rPr>
          <w:rFonts w:ascii="Times New Roman" w:eastAsia="Times New Roman" w:hAnsi="Times New Roman" w:cs="Times New Roman"/>
          <w:sz w:val="24"/>
          <w:szCs w:val="24"/>
          <w:lang w:val="en-US" w:eastAsia="en-US"/>
        </w:rPr>
        <w:t>Onaifo</w:t>
      </w:r>
      <w:proofErr w:type="spellEnd"/>
      <w:r w:rsidRPr="00C87561">
        <w:rPr>
          <w:rFonts w:ascii="Times New Roman" w:eastAsia="Times New Roman" w:hAnsi="Times New Roman" w:cs="Times New Roman"/>
          <w:sz w:val="24"/>
          <w:szCs w:val="24"/>
          <w:lang w:val="en-US" w:eastAsia="en-US"/>
        </w:rPr>
        <w:t xml:space="preserve"> et al., 2016; </w:t>
      </w:r>
      <w:proofErr w:type="spellStart"/>
      <w:r w:rsidRPr="00C87561">
        <w:rPr>
          <w:rFonts w:ascii="Times New Roman" w:eastAsia="Times New Roman" w:hAnsi="Times New Roman" w:cs="Times New Roman"/>
          <w:sz w:val="24"/>
          <w:szCs w:val="24"/>
          <w:lang w:val="en-US" w:eastAsia="en-US"/>
        </w:rPr>
        <w:t>Onaifo</w:t>
      </w:r>
      <w:proofErr w:type="spellEnd"/>
      <w:r w:rsidRPr="00C87561">
        <w:rPr>
          <w:rFonts w:ascii="Times New Roman" w:eastAsia="Times New Roman" w:hAnsi="Times New Roman" w:cs="Times New Roman"/>
          <w:sz w:val="24"/>
          <w:szCs w:val="24"/>
          <w:lang w:val="en-US" w:eastAsia="en-US"/>
        </w:rPr>
        <w:t xml:space="preserve"> et al., 2022; </w:t>
      </w:r>
      <w:proofErr w:type="spellStart"/>
      <w:r w:rsidRPr="00C87561">
        <w:rPr>
          <w:rFonts w:ascii="Times New Roman" w:eastAsia="Times New Roman" w:hAnsi="Times New Roman" w:cs="Times New Roman"/>
          <w:sz w:val="24"/>
          <w:szCs w:val="24"/>
          <w:lang w:val="en-US" w:eastAsia="en-US"/>
        </w:rPr>
        <w:t>Olugbemide</w:t>
      </w:r>
      <w:proofErr w:type="spellEnd"/>
      <w:r w:rsidRPr="00C87561">
        <w:rPr>
          <w:rFonts w:ascii="Times New Roman" w:eastAsia="Times New Roman" w:hAnsi="Times New Roman" w:cs="Times New Roman"/>
          <w:sz w:val="24"/>
          <w:szCs w:val="24"/>
          <w:lang w:val="en-US" w:eastAsia="en-US"/>
        </w:rPr>
        <w:t xml:space="preserve"> et al., 2020).</w:t>
      </w:r>
    </w:p>
    <w:p w:rsidR="00C87561" w:rsidRPr="00C87561" w:rsidRDefault="00C87561" w:rsidP="00C87561">
      <w:pPr>
        <w:spacing w:before="100" w:beforeAutospacing="1" w:after="100" w:afterAutospacing="1" w:line="240" w:lineRule="auto"/>
        <w:jc w:val="both"/>
        <w:rPr>
          <w:rFonts w:ascii="Times New Roman" w:eastAsia="Times New Roman" w:hAnsi="Times New Roman" w:cs="Times New Roman"/>
          <w:sz w:val="24"/>
          <w:szCs w:val="24"/>
          <w:lang w:val="en-US" w:eastAsia="en-US"/>
        </w:rPr>
      </w:pPr>
      <w:r w:rsidRPr="00C87561">
        <w:rPr>
          <w:rFonts w:ascii="Times New Roman" w:eastAsia="Times New Roman" w:hAnsi="Times New Roman" w:cs="Times New Roman"/>
          <w:sz w:val="24"/>
          <w:szCs w:val="24"/>
          <w:lang w:val="en-US" w:eastAsia="en-US"/>
        </w:rPr>
        <w:t>Overall, the adoption of non-edible vegetable oils for biodiesel production presents a dual advantage: it offers an environmentally sustainable energy alternative while simultaneously contributing to economic development, particularly in developing nations. Given their numerous advantages, vegetable oil-based biofuels hold considerable potential as long-term substitutes for conventional petroleum-derived fuels.</w:t>
      </w:r>
    </w:p>
    <w:p w:rsidR="005B502F" w:rsidRDefault="00C87561" w:rsidP="00C87561">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c</w:t>
      </w:r>
      <w:r w:rsidR="00BF5D4A">
        <w:rPr>
          <w:rFonts w:ascii="Times New Roman" w:hAnsi="Times New Roman" w:cs="Times New Roman"/>
          <w:b/>
          <w:bCs/>
          <w:sz w:val="28"/>
          <w:szCs w:val="28"/>
          <w:lang w:val="en-US"/>
        </w:rPr>
        <w:t>2</w:t>
      </w:r>
      <w:r w:rsidR="00BF5D4A">
        <w:rPr>
          <w:rFonts w:ascii="Times New Roman" w:hAnsi="Times New Roman" w:cs="Times New Roman"/>
          <w:b/>
          <w:bCs/>
          <w:sz w:val="28"/>
          <w:szCs w:val="28"/>
        </w:rPr>
        <w:t>.0 Materials and Methods</w:t>
      </w:r>
    </w:p>
    <w:p w:rsidR="005B502F" w:rsidRDefault="00BF5D4A" w:rsidP="00C8756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2</w:t>
      </w:r>
      <w:r>
        <w:rPr>
          <w:rFonts w:ascii="Times New Roman" w:hAnsi="Times New Roman" w:cs="Times New Roman"/>
          <w:b/>
          <w:bCs/>
          <w:sz w:val="24"/>
          <w:szCs w:val="24"/>
        </w:rPr>
        <w:t>.1 Material</w:t>
      </w:r>
    </w:p>
    <w:p w:rsidR="005B502F" w:rsidRDefault="00BF5D4A" w:rsidP="00C87561">
      <w:pPr>
        <w:spacing w:line="240" w:lineRule="auto"/>
        <w:jc w:val="both"/>
        <w:rPr>
          <w:rFonts w:ascii="Times New Roman" w:hAnsi="Times New Roman" w:cs="Times New Roman"/>
        </w:rPr>
      </w:pPr>
      <w:r>
        <w:rPr>
          <w:rFonts w:ascii="Times New Roman" w:hAnsi="Times New Roman" w:cs="Times New Roman"/>
          <w:sz w:val="24"/>
          <w:szCs w:val="24"/>
          <w:lang w:val="en-US"/>
        </w:rPr>
        <w:t xml:space="preserve">A 5 L of rubber seed oil obtained from previous work using solvent extraction. The rubber seeds </w:t>
      </w:r>
      <w:r>
        <w:rPr>
          <w:rFonts w:ascii="Times New Roman" w:hAnsi="Times New Roman" w:cs="Times New Roman"/>
          <w:sz w:val="24"/>
          <w:szCs w:val="24"/>
        </w:rPr>
        <w:t>(</w:t>
      </w:r>
      <w:proofErr w:type="spellStart"/>
      <w:r>
        <w:rPr>
          <w:rFonts w:ascii="Times New Roman" w:hAnsi="Times New Roman" w:cs="Times New Roman"/>
          <w:sz w:val="24"/>
          <w:szCs w:val="24"/>
        </w:rPr>
        <w:t>Hevea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brasiliensis</w:t>
      </w:r>
      <w:proofErr w:type="spellEnd"/>
      <w:r>
        <w:rPr>
          <w:rFonts w:ascii="Times New Roman" w:hAnsi="Times New Roman" w:cs="Times New Roman"/>
          <w:sz w:val="24"/>
          <w:szCs w:val="24"/>
        </w:rPr>
        <w:t xml:space="preserve">) were collected from the Rubber Research Institute of Nigeria (RRIN), located in </w:t>
      </w:r>
      <w:proofErr w:type="spellStart"/>
      <w:r>
        <w:rPr>
          <w:rFonts w:ascii="Times New Roman" w:hAnsi="Times New Roman" w:cs="Times New Roman"/>
          <w:sz w:val="24"/>
          <w:szCs w:val="24"/>
        </w:rPr>
        <w:t>Iyanomo</w:t>
      </w:r>
      <w:proofErr w:type="spellEnd"/>
      <w:r>
        <w:rPr>
          <w:rFonts w:ascii="Times New Roman" w:hAnsi="Times New Roman" w:cs="Times New Roman"/>
          <w:sz w:val="24"/>
          <w:szCs w:val="24"/>
        </w:rPr>
        <w:t>, Benin City, Nigeria.</w:t>
      </w:r>
      <w:r>
        <w:rPr>
          <w:rFonts w:ascii="Times New Roman" w:hAnsi="Times New Roman" w:cs="Times New Roman"/>
          <w:sz w:val="24"/>
          <w:szCs w:val="24"/>
          <w:lang w:val="en-US"/>
        </w:rPr>
        <w:t xml:space="preserve"> </w:t>
      </w:r>
      <w:r>
        <w:rPr>
          <w:rFonts w:ascii="Times New Roman" w:hAnsi="Times New Roman" w:cs="Times New Roman"/>
          <w:sz w:val="24"/>
          <w:szCs w:val="24"/>
        </w:rPr>
        <w:t>The chemicals used included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(acid catalyst) with </w:t>
      </w:r>
      <w:r>
        <w:rPr>
          <w:rFonts w:ascii="Times New Roman" w:hAnsi="Times New Roman" w:cs="Times New Roman"/>
        </w:rPr>
        <w:t xml:space="preserve">a purity of 98 %, KOH and NaOH (base catalysts) with purities of 96.5 % each, and methanol with a purity of 99 %. These chemicals were purchased from </w:t>
      </w:r>
      <w:proofErr w:type="spellStart"/>
      <w:r>
        <w:rPr>
          <w:rFonts w:ascii="Times New Roman" w:hAnsi="Times New Roman" w:cs="Times New Roman"/>
        </w:rPr>
        <w:t>Wintech</w:t>
      </w:r>
      <w:proofErr w:type="spellEnd"/>
      <w:r>
        <w:rPr>
          <w:rFonts w:ascii="Times New Roman" w:hAnsi="Times New Roman" w:cs="Times New Roman"/>
        </w:rPr>
        <w:t xml:space="preserve"> Chemical Industry, Benin City, Nigeria. Additionally, n-hexane with a purity of 98 % was purchased from </w:t>
      </w:r>
      <w:proofErr w:type="spellStart"/>
      <w:r>
        <w:rPr>
          <w:rFonts w:ascii="Times New Roman" w:hAnsi="Times New Roman" w:cs="Times New Roman"/>
        </w:rPr>
        <w:t>Rovet</w:t>
      </w:r>
      <w:proofErr w:type="spellEnd"/>
      <w:r>
        <w:rPr>
          <w:rFonts w:ascii="Times New Roman" w:hAnsi="Times New Roman" w:cs="Times New Roman"/>
        </w:rPr>
        <w:t xml:space="preserve"> Scientific (NIG) Limited, also based in Benin City, Nigeria. </w:t>
      </w:r>
    </w:p>
    <w:p w:rsidR="005B502F" w:rsidRDefault="00BF5D4A" w:rsidP="00C8756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2</w:t>
      </w:r>
      <w:r>
        <w:rPr>
          <w:rFonts w:ascii="Times New Roman" w:hAnsi="Times New Roman" w:cs="Times New Roman"/>
          <w:b/>
          <w:bCs/>
          <w:sz w:val="24"/>
          <w:szCs w:val="24"/>
        </w:rPr>
        <w:t>.2 Methods</w:t>
      </w:r>
    </w:p>
    <w:p w:rsidR="005B502F" w:rsidRDefault="00BF5D4A" w:rsidP="00C87561">
      <w:pPr>
        <w:spacing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2</w:t>
      </w: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lang w:val="en-US"/>
        </w:rPr>
        <w:t>1</w:t>
      </w:r>
      <w:r>
        <w:rPr>
          <w:rFonts w:ascii="Times New Roman" w:eastAsia="Times New Roman" w:hAnsi="Times New Roman" w:cs="Times New Roman"/>
          <w:b/>
          <w:bCs/>
          <w:sz w:val="24"/>
          <w:szCs w:val="24"/>
        </w:rPr>
        <w:t xml:space="preserve"> </w:t>
      </w:r>
      <w:bookmarkStart w:id="1" w:name="_Hlk165312358"/>
      <w:r>
        <w:rPr>
          <w:rFonts w:ascii="Times New Roman" w:eastAsia="Times New Roman" w:hAnsi="Times New Roman" w:cs="Times New Roman"/>
          <w:b/>
          <w:bCs/>
          <w:sz w:val="24"/>
          <w:szCs w:val="24"/>
          <w:lang w:val="en-US"/>
        </w:rPr>
        <w:t>Analysis of the rubber seed oil</w:t>
      </w:r>
    </w:p>
    <w:bookmarkEnd w:id="1"/>
    <w:p w:rsidR="005B502F" w:rsidRDefault="00BF5D4A" w:rsidP="00C87561">
      <w:pPr>
        <w:spacing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 Acid value (AV) and free fatty acid (FFA)</w:t>
      </w:r>
    </w:p>
    <w:p w:rsidR="005B502F" w:rsidRDefault="00BF5D4A" w:rsidP="00C87561">
      <w:pPr>
        <w:spacing w:before="100" w:beforeAutospacing="1"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lastRenderedPageBreak/>
        <w:t xml:space="preserve">This was determined </w:t>
      </w:r>
      <w:r>
        <w:rPr>
          <w:rFonts w:ascii="Times New Roman" w:eastAsia="Times New Roman" w:hAnsi="Times New Roman" w:cs="Times New Roman"/>
          <w:bCs/>
          <w:sz w:val="24"/>
          <w:szCs w:val="24"/>
        </w:rPr>
        <w:t xml:space="preserve">as </w:t>
      </w:r>
      <w:r>
        <w:rPr>
          <w:rFonts w:ascii="Times New Roman" w:eastAsia="Times New Roman" w:hAnsi="Times New Roman" w:cs="Times New Roman"/>
          <w:bCs/>
          <w:sz w:val="24"/>
          <w:szCs w:val="24"/>
          <w:lang w:val="en-US"/>
        </w:rPr>
        <w:t>pre</w:t>
      </w:r>
      <w:r>
        <w:rPr>
          <w:rFonts w:ascii="Times New Roman" w:eastAsia="Times New Roman" w:hAnsi="Times New Roman" w:cs="Times New Roman"/>
          <w:bCs/>
          <w:sz w:val="24"/>
          <w:szCs w:val="24"/>
        </w:rPr>
        <w:t xml:space="preserve">scribed by </w:t>
      </w:r>
      <w:r>
        <w:rPr>
          <w:rFonts w:ascii="Times New Roman" w:eastAsia="Times New Roman" w:hAnsi="Times New Roman" w:cs="Times New Roman"/>
          <w:lang w:val="zh-CN" w:eastAsia="zh-CN"/>
        </w:rPr>
        <w:t xml:space="preserve">Lestari </w:t>
      </w:r>
      <w:r>
        <w:rPr>
          <w:rFonts w:ascii="Times New Roman" w:eastAsia="Times New Roman" w:hAnsi="Times New Roman" w:cs="Times New Roman"/>
          <w:i/>
          <w:iCs/>
          <w:lang w:val="zh-CN" w:eastAsia="zh-CN"/>
        </w:rPr>
        <w:t>et al.</w:t>
      </w:r>
      <w:r>
        <w:rPr>
          <w:rFonts w:ascii="Times New Roman" w:eastAsia="Times New Roman" w:hAnsi="Times New Roman" w:cs="Times New Roman"/>
          <w:lang w:val="zh-CN" w:eastAsia="zh-CN"/>
        </w:rPr>
        <w:t xml:space="preserve"> (2023)</w:t>
      </w:r>
      <w:r>
        <w:rPr>
          <w:rFonts w:ascii="Times New Roman" w:eastAsia="Times New Roman" w:hAnsi="Times New Roman" w:cs="Times New Roman"/>
          <w:bCs/>
          <w:sz w:val="24"/>
          <w:szCs w:val="24"/>
        </w:rPr>
        <w:t>. 2</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g of the oil sample w</w:t>
      </w:r>
      <w:r>
        <w:rPr>
          <w:rFonts w:ascii="Times New Roman" w:eastAsia="Times New Roman" w:hAnsi="Times New Roman" w:cs="Times New Roman"/>
          <w:bCs/>
          <w:sz w:val="24"/>
          <w:szCs w:val="24"/>
          <w:lang w:val="en-US"/>
        </w:rPr>
        <w:t>as</w:t>
      </w:r>
      <w:r>
        <w:rPr>
          <w:rFonts w:ascii="Times New Roman" w:eastAsia="Times New Roman" w:hAnsi="Times New Roman" w:cs="Times New Roman"/>
          <w:bCs/>
          <w:sz w:val="24"/>
          <w:szCs w:val="24"/>
        </w:rPr>
        <w:t xml:space="preserve"> weighed and transferred into a 250</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m</w:t>
      </w:r>
      <w:r>
        <w:rPr>
          <w:rFonts w:ascii="Times New Roman" w:eastAsia="Times New Roman" w:hAnsi="Times New Roman" w:cs="Times New Roman"/>
          <w:bCs/>
          <w:sz w:val="24"/>
          <w:szCs w:val="24"/>
          <w:lang w:val="en-US"/>
        </w:rPr>
        <w:t>L</w:t>
      </w:r>
      <w:r>
        <w:rPr>
          <w:rFonts w:ascii="Times New Roman" w:eastAsia="Times New Roman" w:hAnsi="Times New Roman" w:cs="Times New Roman"/>
          <w:bCs/>
          <w:sz w:val="24"/>
          <w:szCs w:val="24"/>
        </w:rPr>
        <w:t xml:space="preserve"> conical flask. The sample was then dissolved in 50</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m</w:t>
      </w:r>
      <w:r>
        <w:rPr>
          <w:rFonts w:ascii="Times New Roman" w:eastAsia="Times New Roman" w:hAnsi="Times New Roman" w:cs="Times New Roman"/>
          <w:bCs/>
          <w:sz w:val="24"/>
          <w:szCs w:val="24"/>
          <w:lang w:val="en-US"/>
        </w:rPr>
        <w:t>L</w:t>
      </w:r>
      <w:r>
        <w:rPr>
          <w:rFonts w:ascii="Times New Roman" w:eastAsia="Times New Roman" w:hAnsi="Times New Roman" w:cs="Times New Roman"/>
          <w:bCs/>
          <w:sz w:val="24"/>
          <w:szCs w:val="24"/>
        </w:rPr>
        <w:t xml:space="preserve"> of a mixture consisting of equal volumes of ethanol and toluene. 2-3 drops of phenolphthalein indicator were added</w:t>
      </w:r>
      <w:r>
        <w:rPr>
          <w:rFonts w:ascii="Times New Roman" w:eastAsia="Times New Roman" w:hAnsi="Times New Roman" w:cs="Times New Roman"/>
          <w:bCs/>
          <w:sz w:val="24"/>
          <w:szCs w:val="24"/>
          <w:lang w:val="en-US"/>
        </w:rPr>
        <w:t xml:space="preserve"> to the resulting solution</w:t>
      </w:r>
      <w:r>
        <w:rPr>
          <w:rFonts w:ascii="Times New Roman" w:eastAsia="Times New Roman" w:hAnsi="Times New Roman" w:cs="Times New Roman"/>
          <w:bCs/>
          <w:sz w:val="24"/>
          <w:szCs w:val="24"/>
        </w:rPr>
        <w:t>, causing</w:t>
      </w:r>
      <w:r>
        <w:rPr>
          <w:rFonts w:ascii="Times New Roman" w:eastAsia="Times New Roman" w:hAnsi="Times New Roman" w:cs="Times New Roman"/>
          <w:bCs/>
          <w:sz w:val="24"/>
          <w:szCs w:val="24"/>
          <w:lang w:val="en-US"/>
        </w:rPr>
        <w:t xml:space="preserve"> it </w:t>
      </w:r>
      <w:r>
        <w:rPr>
          <w:rFonts w:ascii="Times New Roman" w:eastAsia="Times New Roman" w:hAnsi="Times New Roman" w:cs="Times New Roman"/>
          <w:bCs/>
          <w:sz w:val="24"/>
          <w:szCs w:val="24"/>
        </w:rPr>
        <w:t xml:space="preserve">to change </w:t>
      </w:r>
      <w:proofErr w:type="spellStart"/>
      <w:r>
        <w:rPr>
          <w:rFonts w:ascii="Times New Roman" w:eastAsia="Times New Roman" w:hAnsi="Times New Roman" w:cs="Times New Roman"/>
          <w:bCs/>
          <w:sz w:val="24"/>
          <w:szCs w:val="24"/>
        </w:rPr>
        <w:t>color</w:t>
      </w:r>
      <w:proofErr w:type="spellEnd"/>
      <w:r>
        <w:rPr>
          <w:rFonts w:ascii="Times New Roman" w:eastAsia="Times New Roman" w:hAnsi="Times New Roman" w:cs="Times New Roman"/>
          <w:bCs/>
          <w:sz w:val="24"/>
          <w:szCs w:val="24"/>
        </w:rPr>
        <w:t xml:space="preserve"> from </w:t>
      </w:r>
      <w:proofErr w:type="spellStart"/>
      <w:r>
        <w:rPr>
          <w:rFonts w:ascii="Times New Roman" w:eastAsia="Times New Roman" w:hAnsi="Times New Roman" w:cs="Times New Roman"/>
          <w:bCs/>
          <w:sz w:val="24"/>
          <w:szCs w:val="24"/>
        </w:rPr>
        <w:t>colorless</w:t>
      </w:r>
      <w:proofErr w:type="spellEnd"/>
      <w:r>
        <w:rPr>
          <w:rFonts w:ascii="Times New Roman" w:eastAsia="Times New Roman" w:hAnsi="Times New Roman" w:cs="Times New Roman"/>
          <w:bCs/>
          <w:sz w:val="24"/>
          <w:szCs w:val="24"/>
        </w:rPr>
        <w:t xml:space="preserve"> to pinkish at the endpoint. Standardized sodium hydroxide solution was titrated with the solution of the equal volume mixture of ethanol and toluene. Throughout the titration, the phenolphthalein indicator was used to detect the </w:t>
      </w:r>
      <w:proofErr w:type="spellStart"/>
      <w:r>
        <w:rPr>
          <w:rFonts w:ascii="Times New Roman" w:eastAsia="Times New Roman" w:hAnsi="Times New Roman" w:cs="Times New Roman"/>
          <w:bCs/>
          <w:sz w:val="24"/>
          <w:szCs w:val="24"/>
        </w:rPr>
        <w:t>color</w:t>
      </w:r>
      <w:proofErr w:type="spellEnd"/>
      <w:r>
        <w:rPr>
          <w:rFonts w:ascii="Times New Roman" w:eastAsia="Times New Roman" w:hAnsi="Times New Roman" w:cs="Times New Roman"/>
          <w:bCs/>
          <w:sz w:val="24"/>
          <w:szCs w:val="24"/>
        </w:rPr>
        <w:t xml:space="preserve"> change at the endpoint, </w:t>
      </w:r>
      <w:proofErr w:type="spellStart"/>
      <w:r>
        <w:rPr>
          <w:rFonts w:ascii="Times New Roman" w:eastAsia="Times New Roman" w:hAnsi="Times New Roman" w:cs="Times New Roman"/>
          <w:bCs/>
          <w:sz w:val="24"/>
          <w:szCs w:val="24"/>
        </w:rPr>
        <w:t>signaling</w:t>
      </w:r>
      <w:proofErr w:type="spellEnd"/>
      <w:r>
        <w:rPr>
          <w:rFonts w:ascii="Times New Roman" w:eastAsia="Times New Roman" w:hAnsi="Times New Roman" w:cs="Times New Roman"/>
          <w:bCs/>
          <w:sz w:val="24"/>
          <w:szCs w:val="24"/>
        </w:rPr>
        <w:t xml:space="preserve"> that all the free fatty acids had been neutralized. The volume of sodium hydroxide required to reach the endpoint was carefully recorded. </w:t>
      </w:r>
      <w:r>
        <w:rPr>
          <w:rFonts w:ascii="Times New Roman" w:eastAsia="Times New Roman" w:hAnsi="Times New Roman" w:cs="Times New Roman"/>
          <w:bCs/>
          <w:sz w:val="24"/>
          <w:szCs w:val="24"/>
          <w:lang w:val="en-US"/>
        </w:rPr>
        <w:t>T</w:t>
      </w:r>
      <w:r>
        <w:rPr>
          <w:rFonts w:ascii="Times New Roman" w:eastAsia="Times New Roman" w:hAnsi="Times New Roman" w:cs="Times New Roman"/>
          <w:bCs/>
          <w:sz w:val="24"/>
          <w:szCs w:val="24"/>
        </w:rPr>
        <w:t>he acid value and the Free Fatty Acid (FFA) value were calculated using Equations 1 and</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 xml:space="preserve">2, respectively. </w:t>
      </w:r>
    </w:p>
    <w:p w:rsidR="005B502F" w:rsidRDefault="00BF5D4A" w:rsidP="00C875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Acid value (mg KOH/g) = </w:t>
      </w:r>
      <m:oMath>
        <m:f>
          <m:fPr>
            <m:ctrlPr>
              <w:rPr>
                <w:rFonts w:ascii="Cambria Math" w:hAnsi="Cambria Math" w:cs="Times New Roman"/>
                <w:i/>
                <w:sz w:val="24"/>
                <w:szCs w:val="24"/>
              </w:rPr>
            </m:ctrlPr>
          </m:fPr>
          <m:num>
            <m:r>
              <m:rPr>
                <m:nor/>
              </m:rPr>
              <w:rPr>
                <w:rFonts w:ascii="Cambria Math" w:hAnsi="Cambria Math" w:cs="Times New Roman"/>
                <w:sz w:val="24"/>
                <w:szCs w:val="24"/>
              </w:rPr>
              <m:t>volume of NAOH used × normality of NAOH ×56.1</m:t>
            </m:r>
          </m:num>
          <m:den>
            <m:r>
              <m:rPr>
                <m:nor/>
              </m:rPr>
              <w:rPr>
                <w:rFonts w:ascii="Cambria Math" w:eastAsiaTheme="majorEastAsia" w:hAnsi="Cambria Math" w:cs="Times New Roman"/>
                <w:sz w:val="24"/>
                <w:szCs w:val="24"/>
              </w:rPr>
              <m:t>Weight of oil</m:t>
            </m:r>
          </m:den>
        </m:f>
      </m:oMath>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1)</w:t>
      </w:r>
    </w:p>
    <w:p w:rsidR="005B502F" w:rsidRDefault="00BF5D4A" w:rsidP="00C875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FFA value (%) = </w:t>
      </w:r>
      <m:oMath>
        <m:f>
          <m:fPr>
            <m:ctrlPr>
              <w:rPr>
                <w:rFonts w:ascii="Cambria Math" w:hAnsi="Cambria Math" w:cs="Times New Roman"/>
                <w:i/>
                <w:sz w:val="24"/>
                <w:szCs w:val="24"/>
              </w:rPr>
            </m:ctrlPr>
          </m:fPr>
          <m:num>
            <m:r>
              <m:rPr>
                <m:nor/>
              </m:rPr>
              <w:rPr>
                <w:rFonts w:ascii="Cambria Math" w:hAnsi="Cambria Math" w:cs="Times New Roman"/>
                <w:sz w:val="24"/>
                <w:szCs w:val="24"/>
              </w:rPr>
              <m:t xml:space="preserve">Acid value × 28.2 </m:t>
            </m:r>
          </m:num>
          <m:den>
            <m:r>
              <m:rPr>
                <m:nor/>
              </m:rPr>
              <w:rPr>
                <w:rFonts w:ascii="Cambria Math" w:hAnsi="Cambria Math" w:cs="Times New Roman"/>
                <w:sz w:val="24"/>
                <w:szCs w:val="24"/>
              </w:rPr>
              <m:t>Weight</m:t>
            </m:r>
            <m:r>
              <m:rPr>
                <m:nor/>
              </m:rPr>
              <w:rPr>
                <w:rFonts w:ascii="Cambria Math" w:hAnsi="Cambria Math" w:cs="Times New Roman"/>
                <w:sz w:val="24"/>
                <w:szCs w:val="24"/>
                <w:lang w:val="en-US"/>
              </w:rPr>
              <m:t xml:space="preserve"> </m:t>
            </m:r>
            <m:r>
              <m:rPr>
                <m:nor/>
              </m:rPr>
              <w:rPr>
                <w:rFonts w:ascii="Cambria Math" w:hAnsi="Cambria Math" w:cs="Times New Roman"/>
                <w:sz w:val="24"/>
                <w:szCs w:val="24"/>
              </w:rPr>
              <m:t>of oil</m:t>
            </m:r>
          </m:den>
        </m:f>
      </m:oMath>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2) </w:t>
      </w:r>
    </w:p>
    <w:p w:rsidR="005B502F" w:rsidRDefault="005B502F" w:rsidP="00C87561">
      <w:pPr>
        <w:spacing w:line="240" w:lineRule="auto"/>
        <w:jc w:val="both"/>
        <w:rPr>
          <w:rFonts w:ascii="Times New Roman" w:hAnsi="Times New Roman" w:cs="Times New Roman"/>
          <w:sz w:val="24"/>
          <w:szCs w:val="24"/>
        </w:rPr>
      </w:pPr>
    </w:p>
    <w:p w:rsidR="005B502F" w:rsidRDefault="00BF5D4A" w:rsidP="00C87561">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b/>
          <w:bCs/>
          <w:sz w:val="24"/>
          <w:szCs w:val="24"/>
          <w:lang w:val="en-US"/>
        </w:rPr>
        <w:t>2</w:t>
      </w: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lang w:val="en-US"/>
        </w:rPr>
        <w:t>2</w:t>
      </w:r>
      <w:r>
        <w:rPr>
          <w:rFonts w:ascii="Times New Roman" w:hAnsi="Times New Roman" w:cs="Times New Roman"/>
          <w:b/>
          <w:sz w:val="24"/>
          <w:szCs w:val="24"/>
        </w:rPr>
        <w:t xml:space="preserve"> </w:t>
      </w:r>
      <w:r>
        <w:rPr>
          <w:rFonts w:ascii="Times New Roman" w:hAnsi="Times New Roman" w:cs="Times New Roman"/>
          <w:b/>
          <w:sz w:val="24"/>
          <w:szCs w:val="24"/>
          <w:lang w:val="en-US"/>
        </w:rPr>
        <w:t>Optimization of biodiesel production from rubber seed oil</w:t>
      </w:r>
    </w:p>
    <w:p w:rsidR="005B502F" w:rsidRDefault="00BF5D4A" w:rsidP="00C87561">
      <w:pPr>
        <w:pStyle w:val="NormalWeb"/>
        <w:jc w:val="both"/>
        <w:rPr>
          <w:lang w:val="en-US"/>
        </w:rPr>
      </w:pPr>
      <w:r>
        <w:rPr>
          <w:lang w:val="en-US"/>
        </w:rPr>
        <w:t xml:space="preserve">This was carried out using the central composite design (CCD) in Design Expert software 11. The experimental conditions were obtained by using temperature (30 - 60 </w:t>
      </w:r>
      <w:proofErr w:type="spellStart"/>
      <w:r>
        <w:rPr>
          <w:vertAlign w:val="superscript"/>
          <w:lang w:val="en-US"/>
        </w:rPr>
        <w:t>o</w:t>
      </w:r>
      <w:r>
        <w:rPr>
          <w:lang w:val="en-US"/>
        </w:rPr>
        <w:t>C</w:t>
      </w:r>
      <w:proofErr w:type="spellEnd"/>
      <w:r>
        <w:rPr>
          <w:lang w:val="en-US"/>
        </w:rPr>
        <w:t xml:space="preserve">), time (30 - 120 min), and methanol/oil ratio (2:1 - 6:1 g/g) (see Table 1). </w:t>
      </w:r>
      <w:r>
        <w:t xml:space="preserve">The biodiesel was prepared as described by </w:t>
      </w:r>
      <w:proofErr w:type="spellStart"/>
      <w:r>
        <w:t>Bokhari</w:t>
      </w:r>
      <w:proofErr w:type="spellEnd"/>
      <w:r>
        <w:t xml:space="preserve"> </w:t>
      </w:r>
      <w:r>
        <w:rPr>
          <w:i/>
          <w:iCs/>
        </w:rPr>
        <w:t>et al.</w:t>
      </w:r>
      <w:r>
        <w:t xml:space="preserve"> (2014). </w:t>
      </w:r>
      <w:r>
        <w:rPr>
          <w:lang w:val="en-US"/>
        </w:rPr>
        <w:t xml:space="preserve">For run 1 in Table 1, the amount of methanol and oil used was obtained using methanol/oil ratio of 6/1. The amount of the </w:t>
      </w:r>
      <w:r>
        <w:t>rubber seed oil</w:t>
      </w:r>
      <w:r>
        <w:rPr>
          <w:lang w:val="en-US"/>
        </w:rPr>
        <w:t xml:space="preserve"> obtained was added</w:t>
      </w:r>
      <w:r>
        <w:t xml:space="preserve"> into a three-necked round-bottom flask. The flask was then positioned in a water bath on a hot plate heater. A condenser was placed in the central neck of the flask to prevent alcohol losses, while a thermometer with a cock was attached to the opposite side to monitor the temperature. The oil was heated to </w:t>
      </w:r>
      <w:r>
        <w:rPr>
          <w:lang w:val="en-US"/>
        </w:rPr>
        <w:t xml:space="preserve">30 </w:t>
      </w:r>
      <w:r>
        <w:t>°C by adjusting the hot plate temperature accordingly.</w:t>
      </w:r>
      <w:r>
        <w:rPr>
          <w:lang w:val="en-US"/>
        </w:rPr>
        <w:t xml:space="preserve"> A predetermined amount of methanol and 0.5 of the catalyst (sulfuric acid) </w:t>
      </w:r>
      <w:r>
        <w:t xml:space="preserve">were added through one neck of the flask. The mixture was stirred using a magnetic stirrer at a constant speed of 200 rpm. The temperature was maintained at </w:t>
      </w:r>
      <w:r>
        <w:rPr>
          <w:lang w:val="en-US"/>
        </w:rPr>
        <w:t xml:space="preserve">30 </w:t>
      </w:r>
      <w:r>
        <w:t xml:space="preserve">°C for </w:t>
      </w:r>
      <w:r>
        <w:rPr>
          <w:lang w:val="en-US"/>
        </w:rPr>
        <w:t>120 min</w:t>
      </w:r>
      <w:r>
        <w:t>. Upon completion of the reaction, the mixture was transferred to a separating funnel and left to settle for 24 h</w:t>
      </w:r>
      <w:r>
        <w:rPr>
          <w:lang w:val="en-US"/>
        </w:rPr>
        <w:t>r</w:t>
      </w:r>
      <w:r>
        <w:t xml:space="preserve"> under gravity. The resulting mixture </w:t>
      </w:r>
      <w:r>
        <w:rPr>
          <w:lang w:val="en-US"/>
        </w:rPr>
        <w:t xml:space="preserve">was </w:t>
      </w:r>
      <w:r>
        <w:t>separated into two distinct layers: the upper layer containing fatty acid methyl ester and the lower layer containing glycerol as a by-product. The upper layer was then separated and washed with warm deionized water to eliminate impurities.</w:t>
      </w:r>
      <w:r>
        <w:rPr>
          <w:lang w:val="en-US"/>
        </w:rPr>
        <w:t xml:space="preserve"> The entire process was repeated for the remaining number of runs in Table 1. </w:t>
      </w:r>
    </w:p>
    <w:p w:rsidR="005B502F" w:rsidRDefault="00BF5D4A" w:rsidP="00C87561">
      <w:pPr>
        <w:pStyle w:val="NormalWeb"/>
        <w:jc w:val="both"/>
        <w:rPr>
          <w:b/>
          <w:bCs/>
        </w:rPr>
      </w:pPr>
      <w:r>
        <w:rPr>
          <w:b/>
          <w:bCs/>
          <w:lang w:val="en-US"/>
        </w:rPr>
        <w:t>2</w:t>
      </w:r>
      <w:r>
        <w:rPr>
          <w:b/>
          <w:bCs/>
        </w:rPr>
        <w:t>.2.</w:t>
      </w:r>
      <w:r>
        <w:rPr>
          <w:b/>
          <w:bCs/>
          <w:lang w:val="en-US"/>
        </w:rPr>
        <w:t>3</w:t>
      </w:r>
      <w:r>
        <w:rPr>
          <w:b/>
          <w:bCs/>
        </w:rPr>
        <w:t xml:space="preserve"> Analysis of </w:t>
      </w:r>
      <w:r>
        <w:rPr>
          <w:b/>
          <w:bCs/>
          <w:lang w:val="en-US"/>
        </w:rPr>
        <w:t>the biodiesel obtained from the transesterification of rubber seed oil</w:t>
      </w:r>
      <w:r>
        <w:rPr>
          <w:b/>
          <w:bCs/>
        </w:rPr>
        <w:t xml:space="preserve"> </w:t>
      </w:r>
    </w:p>
    <w:p w:rsidR="005B502F" w:rsidRDefault="00BF5D4A" w:rsidP="00C87561">
      <w:pPr>
        <w:pStyle w:val="NormalWeb"/>
        <w:ind w:left="600" w:hangingChars="250" w:hanging="600"/>
        <w:jc w:val="both"/>
        <w:rPr>
          <w:lang w:val="en-US"/>
        </w:rPr>
      </w:pPr>
      <w:r>
        <w:rPr>
          <w:lang w:val="en-US"/>
        </w:rPr>
        <w:t>(A). Physicochemical properties of biodiesel produced from the transesterification of rubber seed oil</w:t>
      </w:r>
    </w:p>
    <w:p w:rsidR="005B502F" w:rsidRDefault="00BF5D4A" w:rsidP="00C87561">
      <w:pPr>
        <w:pStyle w:val="NormalWeb"/>
        <w:numPr>
          <w:ilvl w:val="0"/>
          <w:numId w:val="1"/>
        </w:numPr>
        <w:spacing w:before="0" w:beforeAutospacing="0" w:after="0" w:afterAutospacing="0"/>
        <w:jc w:val="both"/>
        <w:rPr>
          <w:bCs/>
        </w:rPr>
      </w:pPr>
      <w:r>
        <w:rPr>
          <w:bCs/>
        </w:rPr>
        <w:t>Cetane number</w:t>
      </w:r>
      <w:r>
        <w:rPr>
          <w:bCs/>
          <w:lang w:val="en-US"/>
        </w:rPr>
        <w:t>:</w:t>
      </w:r>
    </w:p>
    <w:p w:rsidR="005B502F" w:rsidRDefault="00BF5D4A" w:rsidP="00C87561">
      <w:pPr>
        <w:pStyle w:val="NormalWeb"/>
        <w:spacing w:before="0" w:beforeAutospacing="0" w:after="0" w:afterAutospacing="0"/>
        <w:jc w:val="both"/>
        <w:rPr>
          <w:bCs/>
        </w:rPr>
      </w:pPr>
      <w:r>
        <w:rPr>
          <w:bCs/>
          <w:lang w:val="en-US"/>
        </w:rPr>
        <w:t xml:space="preserve">This </w:t>
      </w:r>
      <w:r>
        <w:rPr>
          <w:bCs/>
        </w:rPr>
        <w:t xml:space="preserve">was </w:t>
      </w:r>
      <w:proofErr w:type="spellStart"/>
      <w:r>
        <w:rPr>
          <w:bCs/>
        </w:rPr>
        <w:t>analyzed</w:t>
      </w:r>
      <w:proofErr w:type="spellEnd"/>
      <w:r>
        <w:rPr>
          <w:bCs/>
        </w:rPr>
        <w:t xml:space="preserve"> according to ASTM D975-08a ASTM D6751-12, EN 590:2004 and EN 14214:2012 Standards.</w:t>
      </w:r>
    </w:p>
    <w:p w:rsidR="005B502F" w:rsidRDefault="00BF5D4A" w:rsidP="00C87561">
      <w:pPr>
        <w:pStyle w:val="NormalWeb"/>
        <w:numPr>
          <w:ilvl w:val="0"/>
          <w:numId w:val="1"/>
        </w:numPr>
        <w:spacing w:before="0" w:beforeAutospacing="0" w:after="0" w:afterAutospacing="0"/>
        <w:jc w:val="both"/>
        <w:rPr>
          <w:bCs/>
        </w:rPr>
      </w:pPr>
      <w:r>
        <w:rPr>
          <w:bCs/>
        </w:rPr>
        <w:t>Pour point</w:t>
      </w:r>
    </w:p>
    <w:p w:rsidR="005B502F" w:rsidRDefault="00BF5D4A" w:rsidP="00C87561">
      <w:pPr>
        <w:pStyle w:val="NormalWeb"/>
        <w:spacing w:before="0" w:beforeAutospacing="0" w:after="0" w:afterAutospacing="0"/>
        <w:jc w:val="both"/>
        <w:rPr>
          <w:bCs/>
        </w:rPr>
      </w:pPr>
      <w:r>
        <w:rPr>
          <w:bCs/>
          <w:lang w:val="en-US"/>
        </w:rPr>
        <w:lastRenderedPageBreak/>
        <w:t>The pour point</w:t>
      </w:r>
      <w:r>
        <w:rPr>
          <w:bCs/>
        </w:rPr>
        <w:t xml:space="preserve"> was </w:t>
      </w:r>
      <w:proofErr w:type="spellStart"/>
      <w:r>
        <w:rPr>
          <w:bCs/>
        </w:rPr>
        <w:t>analyzed</w:t>
      </w:r>
      <w:proofErr w:type="spellEnd"/>
      <w:r>
        <w:rPr>
          <w:bCs/>
        </w:rPr>
        <w:t xml:space="preserve"> according to ASTM D975-08a ASTM D6751-12, EN 590:2004 and EN 14214:2012 Standards.</w:t>
      </w:r>
    </w:p>
    <w:p w:rsidR="005B502F" w:rsidRDefault="00BF5D4A" w:rsidP="00C87561">
      <w:pPr>
        <w:pStyle w:val="NormalWeb"/>
        <w:numPr>
          <w:ilvl w:val="0"/>
          <w:numId w:val="1"/>
        </w:numPr>
        <w:spacing w:before="0" w:beforeAutospacing="0" w:after="0" w:afterAutospacing="0"/>
        <w:jc w:val="both"/>
        <w:rPr>
          <w:bCs/>
        </w:rPr>
      </w:pPr>
      <w:r>
        <w:rPr>
          <w:bCs/>
        </w:rPr>
        <w:t>Flash point</w:t>
      </w:r>
    </w:p>
    <w:p w:rsidR="005B502F" w:rsidRDefault="00BF5D4A" w:rsidP="00C87561">
      <w:pPr>
        <w:pStyle w:val="NormalWeb"/>
        <w:spacing w:before="0" w:beforeAutospacing="0" w:after="0" w:afterAutospacing="0"/>
        <w:jc w:val="both"/>
        <w:rPr>
          <w:bCs/>
        </w:rPr>
      </w:pPr>
      <w:r>
        <w:rPr>
          <w:bCs/>
          <w:lang w:val="en-US"/>
        </w:rPr>
        <w:t>This</w:t>
      </w:r>
      <w:r>
        <w:rPr>
          <w:bCs/>
        </w:rPr>
        <w:t xml:space="preserve"> was </w:t>
      </w:r>
      <w:proofErr w:type="spellStart"/>
      <w:r>
        <w:rPr>
          <w:bCs/>
        </w:rPr>
        <w:t>analyzed</w:t>
      </w:r>
      <w:proofErr w:type="spellEnd"/>
      <w:r>
        <w:rPr>
          <w:bCs/>
        </w:rPr>
        <w:t xml:space="preserve"> according to ASTM D975-08a ASTM D6751-12, EN 590:2004 and EN 14214:2012 Standards.</w:t>
      </w:r>
    </w:p>
    <w:p w:rsidR="005B502F" w:rsidRDefault="00BF5D4A" w:rsidP="00C87561">
      <w:pPr>
        <w:pStyle w:val="NormalWeb"/>
        <w:numPr>
          <w:ilvl w:val="0"/>
          <w:numId w:val="1"/>
        </w:numPr>
        <w:spacing w:before="0" w:beforeAutospacing="0" w:after="0" w:afterAutospacing="0"/>
        <w:jc w:val="both"/>
        <w:rPr>
          <w:bCs/>
          <w:lang w:val="en-US"/>
        </w:rPr>
      </w:pPr>
      <w:r>
        <w:rPr>
          <w:bCs/>
        </w:rPr>
        <w:t xml:space="preserve">Acid value </w:t>
      </w:r>
    </w:p>
    <w:p w:rsidR="005B502F" w:rsidRDefault="00BF5D4A" w:rsidP="00C87561">
      <w:pPr>
        <w:pStyle w:val="NormalWeb"/>
        <w:spacing w:before="0" w:beforeAutospacing="0" w:after="0" w:afterAutospacing="0"/>
        <w:jc w:val="both"/>
        <w:rPr>
          <w:lang w:val="en-US"/>
        </w:rPr>
      </w:pPr>
      <w:r>
        <w:rPr>
          <w:bCs/>
          <w:lang w:val="en-US"/>
        </w:rPr>
        <w:t xml:space="preserve">This </w:t>
      </w:r>
      <w:r>
        <w:rPr>
          <w:bCs/>
        </w:rPr>
        <w:t xml:space="preserve">was </w:t>
      </w:r>
      <w:proofErr w:type="spellStart"/>
      <w:r>
        <w:rPr>
          <w:bCs/>
        </w:rPr>
        <w:t>analyzed</w:t>
      </w:r>
      <w:proofErr w:type="spellEnd"/>
      <w:r>
        <w:rPr>
          <w:bCs/>
        </w:rPr>
        <w:t xml:space="preserve"> according to ASTM D975-08a ASTM D6751-12, EN 590:2004 and EN 14214:2012 Standards.</w:t>
      </w:r>
    </w:p>
    <w:p w:rsidR="005B502F" w:rsidRDefault="005B502F" w:rsidP="00C87561">
      <w:pPr>
        <w:pStyle w:val="NormalWeb"/>
        <w:jc w:val="both"/>
        <w:rPr>
          <w:lang w:val="en-US"/>
        </w:rPr>
      </w:pPr>
    </w:p>
    <w:p w:rsidR="005B502F" w:rsidRDefault="00BF5D4A" w:rsidP="00C87561">
      <w:pPr>
        <w:pStyle w:val="NormalWeb"/>
        <w:jc w:val="both"/>
        <w:rPr>
          <w:lang w:val="en-US"/>
        </w:rPr>
      </w:pPr>
      <w:r>
        <w:rPr>
          <w:lang w:val="en-US"/>
        </w:rPr>
        <w:t xml:space="preserve">Table 1. Experimental conditions for the production of biodiesel from rubber seed oil </w:t>
      </w:r>
    </w:p>
    <w:tbl>
      <w:tblPr>
        <w:tblStyle w:val="GridTable31"/>
        <w:tblpPr w:leftFromText="180" w:rightFromText="180" w:vertAnchor="text" w:horzAnchor="page" w:tblpXSpec="center" w:tblpY="260"/>
        <w:tblW w:w="8207" w:type="dxa"/>
        <w:jc w:val="center"/>
        <w:tblLayout w:type="fixed"/>
        <w:tblLook w:val="04A0" w:firstRow="1" w:lastRow="0" w:firstColumn="1" w:lastColumn="0" w:noHBand="0" w:noVBand="1"/>
      </w:tblPr>
      <w:tblGrid>
        <w:gridCol w:w="1438"/>
        <w:gridCol w:w="2093"/>
        <w:gridCol w:w="2387"/>
        <w:gridCol w:w="2289"/>
      </w:tblGrid>
      <w:tr w:rsidR="005B502F" w:rsidTr="005B502F">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100" w:firstRow="0" w:lastRow="0" w:firstColumn="1" w:lastColumn="0" w:oddVBand="0" w:evenVBand="0" w:oddHBand="0" w:evenHBand="0" w:firstRowFirstColumn="1" w:firstRowLastColumn="0" w:lastRowFirstColumn="0" w:lastRowLastColumn="0"/>
            <w:tcW w:w="1438" w:type="dxa"/>
            <w:tcBorders>
              <w:top w:val="single" w:sz="8" w:space="0" w:color="FFFFFF"/>
              <w:left w:val="single" w:sz="8" w:space="0" w:color="FFFFFF"/>
              <w:bottom w:val="nil"/>
            </w:tcBorders>
            <w:shd w:val="clear" w:color="auto" w:fill="000000"/>
          </w:tcPr>
          <w:p w:rsidR="005B502F" w:rsidRDefault="00BF5D4A" w:rsidP="00C87561">
            <w:pPr>
              <w:spacing w:after="0" w:line="276" w:lineRule="auto"/>
              <w:jc w:val="both"/>
              <w:rPr>
                <w:rFonts w:ascii="Times New Roman" w:eastAsia="Times New Roman" w:hAnsi="Times New Roman" w:cs="Times New Roman"/>
                <w:b w:val="0"/>
                <w:bCs w:val="0"/>
                <w:i w:val="0"/>
                <w:iCs w:val="0"/>
                <w:sz w:val="24"/>
                <w:szCs w:val="24"/>
              </w:rPr>
            </w:pPr>
            <w:r>
              <w:rPr>
                <w:rFonts w:ascii="Times New Roman" w:eastAsia="Times New Roman" w:hAnsi="Times New Roman" w:cs="Times New Roman"/>
                <w:sz w:val="24"/>
                <w:szCs w:val="24"/>
              </w:rPr>
              <w:t>Run</w:t>
            </w:r>
          </w:p>
        </w:tc>
        <w:tc>
          <w:tcPr>
            <w:tcW w:w="2093" w:type="dxa"/>
            <w:tcBorders>
              <w:top w:val="single" w:sz="8" w:space="0" w:color="FFFFFF"/>
              <w:left w:val="single" w:sz="8" w:space="0" w:color="FFFFFF"/>
              <w:bottom w:val="single" w:sz="18" w:space="0" w:color="FFFFFF"/>
            </w:tcBorders>
            <w:shd w:val="clear" w:color="auto" w:fill="000000"/>
          </w:tcPr>
          <w:p w:rsidR="005B502F" w:rsidRDefault="00BF5D4A" w:rsidP="00C87561">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Temp (</w:t>
            </w:r>
            <w:proofErr w:type="spellStart"/>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roofErr w:type="spellEnd"/>
            <w:r>
              <w:rPr>
                <w:rFonts w:ascii="Times New Roman" w:eastAsia="Times New Roman" w:hAnsi="Times New Roman" w:cs="Times New Roman"/>
                <w:sz w:val="24"/>
                <w:szCs w:val="24"/>
              </w:rPr>
              <w:t>)</w:t>
            </w:r>
          </w:p>
        </w:tc>
        <w:tc>
          <w:tcPr>
            <w:tcW w:w="2387" w:type="dxa"/>
            <w:tcBorders>
              <w:top w:val="single" w:sz="8" w:space="0" w:color="FFFFFF"/>
              <w:left w:val="single" w:sz="8" w:space="0" w:color="FFFFFF"/>
              <w:bottom w:val="single" w:sz="18" w:space="0" w:color="FFFFFF"/>
            </w:tcBorders>
            <w:shd w:val="clear" w:color="auto" w:fill="000000"/>
          </w:tcPr>
          <w:p w:rsidR="005B502F" w:rsidRDefault="00BF5D4A" w:rsidP="00C87561">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 xml:space="preserve"> Time (min)</w:t>
            </w:r>
          </w:p>
        </w:tc>
        <w:tc>
          <w:tcPr>
            <w:tcW w:w="2289"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Methanol/ Oil ratio</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1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rPr>
            </w:pPr>
            <w:r>
              <w:rPr>
                <w:rFonts w:ascii="Times New Roman" w:eastAsia="Times New Roman" w:hAnsi="Times New Roman" w:cs="Times New Roman"/>
                <w:sz w:val="24"/>
                <w:szCs w:val="24"/>
              </w:rPr>
              <w:t>1</w:t>
            </w:r>
          </w:p>
        </w:tc>
        <w:tc>
          <w:tcPr>
            <w:tcW w:w="2093"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7"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rPr>
            </w:pPr>
            <w:r>
              <w:rPr>
                <w:rFonts w:ascii="Times New Roman" w:eastAsia="Times New Roman" w:hAnsi="Times New Roman" w:cs="Times New Roman"/>
                <w:sz w:val="24"/>
                <w:szCs w:val="24"/>
              </w:rPr>
              <w:t>2</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rPr>
            </w:pPr>
            <w:r>
              <w:rPr>
                <w:rFonts w:ascii="Times New Roman" w:eastAsia="Times New Roman" w:hAnsi="Times New Roman" w:cs="Times New Roman"/>
                <w:sz w:val="24"/>
                <w:szCs w:val="24"/>
              </w:rPr>
              <w:t>3</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4</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5</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6</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7</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8</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9</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0</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1</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5B502F" w:rsidTr="005B502F">
        <w:trPr>
          <w:trHeight w:val="326"/>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2</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3</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4</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5</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6</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7</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8</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5B502F" w:rsidTr="005B502F">
        <w:trPr>
          <w:trHeight w:val="33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19</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r>
    </w:tbl>
    <w:p w:rsidR="005B502F" w:rsidRDefault="005B502F" w:rsidP="00C87561">
      <w:pPr>
        <w:pStyle w:val="NormalWeb"/>
        <w:jc w:val="both"/>
        <w:rPr>
          <w:b/>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5B502F" w:rsidP="00C87561">
      <w:pPr>
        <w:pStyle w:val="NormalWeb"/>
        <w:spacing w:before="0" w:beforeAutospacing="0" w:after="0" w:afterAutospacing="0"/>
        <w:jc w:val="both"/>
        <w:rPr>
          <w:bCs/>
          <w:lang w:val="en-US"/>
        </w:rPr>
      </w:pPr>
    </w:p>
    <w:p w:rsidR="005B502F" w:rsidRDefault="00BF5D4A" w:rsidP="00C87561">
      <w:pPr>
        <w:pStyle w:val="NormalWeb"/>
        <w:spacing w:before="0" w:beforeAutospacing="0" w:after="0" w:afterAutospacing="0"/>
        <w:jc w:val="both"/>
        <w:rPr>
          <w:b/>
          <w:lang w:val="en-US"/>
        </w:rPr>
      </w:pPr>
      <w:r>
        <w:rPr>
          <w:b/>
          <w:lang w:val="en-US"/>
        </w:rPr>
        <w:t>(B).  Determination of the Fatty acid composition of the biodiesel</w:t>
      </w:r>
    </w:p>
    <w:p w:rsidR="005B502F" w:rsidRDefault="005B502F" w:rsidP="00C87561">
      <w:pPr>
        <w:pStyle w:val="NormalWeb"/>
        <w:spacing w:before="0" w:beforeAutospacing="0" w:after="0" w:afterAutospacing="0"/>
        <w:jc w:val="both"/>
        <w:rPr>
          <w:lang w:val="en-US"/>
        </w:rPr>
      </w:pPr>
    </w:p>
    <w:p w:rsidR="005B502F" w:rsidRDefault="00BF5D4A" w:rsidP="00C87561">
      <w:pPr>
        <w:pStyle w:val="NormalWeb"/>
        <w:spacing w:before="0" w:beforeAutospacing="0" w:after="0" w:afterAutospacing="0"/>
        <w:jc w:val="both"/>
      </w:pPr>
      <w:r>
        <w:rPr>
          <w:bCs/>
        </w:rPr>
        <w:t xml:space="preserve">This was carried out using </w:t>
      </w:r>
      <w:r>
        <w:t>Agilent-Technologies 6890N Network GC system equipped with an Agilent-Technologies 5975 inert XL Mass selective detector and an Agilent-Technologies 7683B series auto injector. Separation was conducted on an Agilent Technologies capillary column HP-</w:t>
      </w:r>
      <w:r>
        <w:lastRenderedPageBreak/>
        <w:t xml:space="preserve">5MS (30 m × 0.25 mm; film thickness 0.25 </w:t>
      </w:r>
      <w:proofErr w:type="spellStart"/>
      <w:r>
        <w:t>μm</w:t>
      </w:r>
      <w:proofErr w:type="spellEnd"/>
      <w:r>
        <w:t xml:space="preserve">). A sample volume of 1.0 </w:t>
      </w:r>
      <w:proofErr w:type="spellStart"/>
      <w:r>
        <w:t>μL</w:t>
      </w:r>
      <w:proofErr w:type="spellEnd"/>
      <w:r>
        <w:t xml:space="preserve"> was injected into the column with a split ratio of 100:1. Helium was used as the carrier gas at a flow rate of 1.2 mL min</w:t>
      </w:r>
      <w:r>
        <w:rPr>
          <w:vertAlign w:val="superscript"/>
        </w:rPr>
        <w:t>-1</w:t>
      </w:r>
      <w:r>
        <w:t>.</w:t>
      </w:r>
      <w:r>
        <w:rPr>
          <w:lang w:val="en-US"/>
        </w:rPr>
        <w:t xml:space="preserve"> </w:t>
      </w:r>
      <w:r>
        <w:t>The column temperature was programmed from 150</w:t>
      </w:r>
      <w:r>
        <w:rPr>
          <w:lang w:val="en-US"/>
        </w:rPr>
        <w:t xml:space="preserve"> </w:t>
      </w:r>
      <w:r>
        <w:t>°C to 250</w:t>
      </w:r>
      <w:r>
        <w:rPr>
          <w:lang w:val="en-US"/>
        </w:rPr>
        <w:t xml:space="preserve"> </w:t>
      </w:r>
      <w:r>
        <w:t>°C at a linear ramp rate of 4</w:t>
      </w:r>
      <w:r>
        <w:rPr>
          <w:lang w:val="en-US"/>
        </w:rPr>
        <w:t xml:space="preserve"> </w:t>
      </w:r>
      <w:r>
        <w:t>°C min</w:t>
      </w:r>
      <w:r>
        <w:rPr>
          <w:vertAlign w:val="superscript"/>
        </w:rPr>
        <w:t>-1</w:t>
      </w:r>
      <w:r>
        <w:t>, with initial and final hold-up times of 1 and 5 min, respectively. GC/MS detection was carried out in electron ionization mode with an ionization energy of 70 eV. Injector and MS transfer line temperatures were set at 250</w:t>
      </w:r>
      <w:r>
        <w:rPr>
          <w:lang w:val="en-US"/>
        </w:rPr>
        <w:t xml:space="preserve"> </w:t>
      </w:r>
      <w:r>
        <w:t>°C and 260</w:t>
      </w:r>
      <w:r>
        <w:rPr>
          <w:lang w:val="en-US"/>
        </w:rPr>
        <w:t xml:space="preserve"> </w:t>
      </w:r>
      <w:r>
        <w:t>°C, respectively. The scanning mass range was selected from 30-550 m/z (mass-to-charge ratio).</w:t>
      </w:r>
      <w:r>
        <w:rPr>
          <w:lang w:val="en-US"/>
        </w:rPr>
        <w:t xml:space="preserve"> The </w:t>
      </w:r>
      <w:proofErr w:type="spellStart"/>
      <w:r>
        <w:rPr>
          <w:lang w:val="en-US"/>
        </w:rPr>
        <w:t>i</w:t>
      </w:r>
      <w:proofErr w:type="spellEnd"/>
      <w:r>
        <w:t>dentification of unknown samples was based on the matching of their relative retention times with those of standards obtained from Sigma Chemical Co., St Louis, MO, USA. Furthermore, samples were authenticated through comparison of their mass spectra with those from the NIST mass spectral library of the GC/MS system.</w:t>
      </w:r>
    </w:p>
    <w:p w:rsidR="005B502F" w:rsidRDefault="00BF5D4A" w:rsidP="00C87561">
      <w:pPr>
        <w:pStyle w:val="NormalWeb"/>
        <w:jc w:val="both"/>
        <w:rPr>
          <w:lang w:val="en-US"/>
        </w:rPr>
      </w:pPr>
      <w:r>
        <w:rPr>
          <w:b/>
          <w:bCs/>
          <w:sz w:val="28"/>
          <w:szCs w:val="28"/>
          <w:lang w:val="en-US"/>
        </w:rPr>
        <w:t xml:space="preserve">3.0 </w:t>
      </w:r>
      <w:r>
        <w:rPr>
          <w:b/>
          <w:bCs/>
          <w:sz w:val="28"/>
          <w:szCs w:val="28"/>
        </w:rPr>
        <w:t>Result and Discussions</w:t>
      </w:r>
    </w:p>
    <w:p w:rsidR="005B502F" w:rsidRDefault="00BF5D4A" w:rsidP="00C87561">
      <w:pPr>
        <w:pStyle w:val="NormalWeb"/>
        <w:jc w:val="both"/>
        <w:rPr>
          <w:lang w:val="en-US"/>
        </w:rPr>
      </w:pPr>
      <w:r>
        <w:rPr>
          <w:lang w:val="en-US"/>
        </w:rPr>
        <w:t xml:space="preserve">3.2 Optimization of biodiesel production from rubber seed oil </w:t>
      </w:r>
    </w:p>
    <w:p w:rsidR="005B502F" w:rsidRDefault="00BF5D4A" w:rsidP="00C87561">
      <w:pPr>
        <w:pStyle w:val="NormalWeb"/>
        <w:jc w:val="both"/>
        <w:rPr>
          <w:lang w:val="en-US"/>
        </w:rPr>
      </w:pPr>
      <w:r>
        <w:rPr>
          <w:lang w:val="en-US"/>
        </w:rPr>
        <w:t xml:space="preserve">As has been described earlier, biodiesel was produced at different operating conditions of time, catalyst loading, and methanol-to-oil ratio to determine the optimum condition leading to the highest yield of biodiesel. The result obtained are presented in Table 2. This shows that </w:t>
      </w:r>
      <w:proofErr w:type="gramStart"/>
      <w:r>
        <w:rPr>
          <w:lang w:val="en-US"/>
        </w:rPr>
        <w:t>the  highest</w:t>
      </w:r>
      <w:proofErr w:type="gramEnd"/>
      <w:r>
        <w:rPr>
          <w:lang w:val="en-US"/>
        </w:rPr>
        <w:t xml:space="preserve"> yield of biodiesel was 76.6 % obtained at a temperature (60</w:t>
      </w:r>
      <w:r>
        <w:rPr>
          <w:vertAlign w:val="superscript"/>
          <w:lang w:val="en-US"/>
        </w:rPr>
        <w:t xml:space="preserve"> </w:t>
      </w:r>
      <w:proofErr w:type="spellStart"/>
      <w:r>
        <w:rPr>
          <w:vertAlign w:val="superscript"/>
          <w:lang w:val="en-US"/>
        </w:rPr>
        <w:t>o</w:t>
      </w:r>
      <w:r>
        <w:rPr>
          <w:lang w:val="en-US"/>
        </w:rPr>
        <w:t>C</w:t>
      </w:r>
      <w:proofErr w:type="spellEnd"/>
      <w:r>
        <w:rPr>
          <w:lang w:val="en-US"/>
        </w:rPr>
        <w:t xml:space="preserve">), reaction time (30 min), catalyst loading (0.5 g), and methanol-to-oil ratio (4/1). Comparing this yield with 44.2 wt. % obtained at temperature (45 </w:t>
      </w:r>
      <w:proofErr w:type="spellStart"/>
      <w:r>
        <w:rPr>
          <w:vertAlign w:val="superscript"/>
          <w:lang w:val="en-US"/>
        </w:rPr>
        <w:t>o</w:t>
      </w:r>
      <w:r>
        <w:rPr>
          <w:lang w:val="en-US"/>
        </w:rPr>
        <w:t>C</w:t>
      </w:r>
      <w:proofErr w:type="spellEnd"/>
      <w:r>
        <w:rPr>
          <w:lang w:val="en-US"/>
        </w:rPr>
        <w:t xml:space="preserve">), reaction time (75 min), catalyst loading (0.5 g), and methanol-to-oil ratio (4:1, g/g), reported in our previous work gave an increase of 73.30 %. The increased yield can be attributed to the higher temperature (60 </w:t>
      </w:r>
      <w:proofErr w:type="spellStart"/>
      <w:r>
        <w:rPr>
          <w:vertAlign w:val="superscript"/>
          <w:lang w:val="en-US"/>
        </w:rPr>
        <w:t>o</w:t>
      </w:r>
      <w:r>
        <w:rPr>
          <w:lang w:val="en-US"/>
        </w:rPr>
        <w:t>C</w:t>
      </w:r>
      <w:proofErr w:type="spellEnd"/>
      <w:r>
        <w:rPr>
          <w:lang w:val="en-US"/>
        </w:rPr>
        <w:t xml:space="preserve">). According to </w:t>
      </w:r>
      <w:proofErr w:type="spellStart"/>
      <w:r>
        <w:rPr>
          <w:lang w:val="en-US"/>
        </w:rPr>
        <w:t>Trirahayu</w:t>
      </w:r>
      <w:proofErr w:type="spellEnd"/>
      <w:r>
        <w:rPr>
          <w:lang w:val="en-US"/>
        </w:rPr>
        <w:t xml:space="preserve"> et al. (2022), increase in temperature increases the biodiesel yield as the viscosity of the biodiesel is reduced resulting to enhanced mass transfer between the oil and methanol. </w:t>
      </w:r>
    </w:p>
    <w:p w:rsidR="005B502F" w:rsidRDefault="00BF5D4A" w:rsidP="00C87561">
      <w:pPr>
        <w:pStyle w:val="NormalWeb"/>
        <w:jc w:val="both"/>
        <w:rPr>
          <w:lang w:val="en-US"/>
        </w:rPr>
      </w:pPr>
      <w:r>
        <w:rPr>
          <w:lang w:val="en-US"/>
        </w:rPr>
        <w:t xml:space="preserve">Table 2. Biodiesel yield obtained at different operation conditions from the transesterification of rubber seed oil </w:t>
      </w:r>
    </w:p>
    <w:tbl>
      <w:tblPr>
        <w:tblStyle w:val="GridTable31"/>
        <w:tblpPr w:leftFromText="180" w:rightFromText="180" w:vertAnchor="text" w:horzAnchor="page" w:tblpXSpec="center" w:tblpY="190"/>
        <w:tblW w:w="9232" w:type="dxa"/>
        <w:jc w:val="center"/>
        <w:tblLayout w:type="fixed"/>
        <w:tblLook w:val="04A0" w:firstRow="1" w:lastRow="0" w:firstColumn="1" w:lastColumn="0" w:noHBand="0" w:noVBand="1"/>
      </w:tblPr>
      <w:tblGrid>
        <w:gridCol w:w="847"/>
        <w:gridCol w:w="1470"/>
        <w:gridCol w:w="1590"/>
        <w:gridCol w:w="3030"/>
        <w:gridCol w:w="2295"/>
      </w:tblGrid>
      <w:tr w:rsidR="005B502F" w:rsidTr="005B502F">
        <w:trPr>
          <w:cnfStyle w:val="100000000000" w:firstRow="1" w:lastRow="0" w:firstColumn="0" w:lastColumn="0" w:oddVBand="0" w:evenVBand="0" w:oddHBand="0" w:evenHBand="0" w:firstRowFirstColumn="0" w:firstRowLastColumn="0" w:lastRowFirstColumn="0" w:lastRowLastColumn="0"/>
          <w:trHeight w:val="529"/>
          <w:jc w:val="center"/>
        </w:trPr>
        <w:tc>
          <w:tcPr>
            <w:cnfStyle w:val="001000000100" w:firstRow="0" w:lastRow="0" w:firstColumn="1" w:lastColumn="0" w:oddVBand="0" w:evenVBand="0" w:oddHBand="0" w:evenHBand="0" w:firstRowFirstColumn="1" w:firstRowLastColumn="0" w:lastRowFirstColumn="0" w:lastRowLastColumn="0"/>
            <w:tcW w:w="847" w:type="dxa"/>
            <w:tcBorders>
              <w:top w:val="single" w:sz="8" w:space="0" w:color="FFFFFF"/>
              <w:left w:val="single" w:sz="8" w:space="0" w:color="FFFFFF"/>
              <w:bottom w:val="nil"/>
            </w:tcBorders>
            <w:shd w:val="clear" w:color="auto" w:fill="000000"/>
          </w:tcPr>
          <w:p w:rsidR="005B502F" w:rsidRDefault="00BF5D4A" w:rsidP="00C87561">
            <w:pPr>
              <w:spacing w:after="0" w:line="276" w:lineRule="auto"/>
              <w:jc w:val="both"/>
              <w:rPr>
                <w:rFonts w:ascii="Times New Roman" w:eastAsia="Times New Roman" w:hAnsi="Times New Roman" w:cs="Times New Roman"/>
                <w:b w:val="0"/>
                <w:bCs w:val="0"/>
                <w:i w:val="0"/>
                <w:iCs w:val="0"/>
                <w:sz w:val="24"/>
                <w:szCs w:val="24"/>
              </w:rPr>
            </w:pPr>
            <w:r>
              <w:rPr>
                <w:rFonts w:ascii="Times New Roman" w:eastAsia="Times New Roman" w:hAnsi="Times New Roman" w:cs="Times New Roman"/>
                <w:sz w:val="24"/>
                <w:szCs w:val="24"/>
              </w:rPr>
              <w:t>Run</w:t>
            </w:r>
          </w:p>
        </w:tc>
        <w:tc>
          <w:tcPr>
            <w:tcW w:w="1470" w:type="dxa"/>
            <w:tcBorders>
              <w:top w:val="single" w:sz="8" w:space="0" w:color="FFFFFF"/>
              <w:left w:val="single" w:sz="8" w:space="0" w:color="FFFFFF"/>
              <w:bottom w:val="single" w:sz="18" w:space="0" w:color="FFFFFF"/>
            </w:tcBorders>
            <w:shd w:val="clear" w:color="auto" w:fill="000000"/>
          </w:tcPr>
          <w:p w:rsidR="005B502F" w:rsidRDefault="00BF5D4A" w:rsidP="00C87561">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Temp (</w:t>
            </w:r>
            <w:proofErr w:type="spellStart"/>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roofErr w:type="spellEnd"/>
            <w:r>
              <w:rPr>
                <w:rFonts w:ascii="Times New Roman" w:eastAsia="Times New Roman" w:hAnsi="Times New Roman" w:cs="Times New Roman"/>
                <w:sz w:val="24"/>
                <w:szCs w:val="24"/>
              </w:rPr>
              <w:t>)</w:t>
            </w:r>
          </w:p>
        </w:tc>
        <w:tc>
          <w:tcPr>
            <w:tcW w:w="1590" w:type="dxa"/>
            <w:tcBorders>
              <w:top w:val="single" w:sz="8" w:space="0" w:color="FFFFFF"/>
              <w:left w:val="single" w:sz="8" w:space="0" w:color="FFFFFF"/>
              <w:bottom w:val="single" w:sz="18" w:space="0" w:color="FFFFFF"/>
            </w:tcBorders>
            <w:shd w:val="clear" w:color="auto" w:fill="000000"/>
          </w:tcPr>
          <w:p w:rsidR="005B502F" w:rsidRDefault="00BF5D4A" w:rsidP="00C87561">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 xml:space="preserve"> Time (min)</w:t>
            </w:r>
          </w:p>
        </w:tc>
        <w:tc>
          <w:tcPr>
            <w:tcW w:w="3030" w:type="dxa"/>
            <w:tcBorders>
              <w:top w:val="single" w:sz="8" w:space="0" w:color="FFFFFF"/>
              <w:left w:val="single" w:sz="8" w:space="0" w:color="FFFFFF"/>
              <w:bottom w:val="single" w:sz="18" w:space="0" w:color="FFFFFF"/>
            </w:tcBorders>
            <w:shd w:val="clear" w:color="auto" w:fill="000000"/>
          </w:tcPr>
          <w:p w:rsidR="005B502F" w:rsidRDefault="00BF5D4A" w:rsidP="00C87561">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n-US"/>
              </w:rPr>
            </w:pPr>
            <w:r>
              <w:rPr>
                <w:rFonts w:ascii="Times New Roman" w:eastAsia="Times New Roman" w:hAnsi="Times New Roman" w:cs="Times New Roman"/>
                <w:sz w:val="24"/>
                <w:szCs w:val="24"/>
              </w:rPr>
              <w:t>Methanol</w:t>
            </w:r>
            <w:r>
              <w:rPr>
                <w:rFonts w:ascii="Times New Roman" w:eastAsia="Times New Roman" w:hAnsi="Times New Roman" w:cs="Times New Roman"/>
                <w:sz w:val="24"/>
                <w:szCs w:val="24"/>
                <w:lang w:val="en-US"/>
              </w:rPr>
              <w:t>-to-o</w:t>
            </w:r>
            <w:proofErr w:type="spellStart"/>
            <w:r>
              <w:rPr>
                <w:rFonts w:ascii="Times New Roman" w:eastAsia="Times New Roman" w:hAnsi="Times New Roman" w:cs="Times New Roman"/>
                <w:sz w:val="24"/>
                <w:szCs w:val="24"/>
              </w:rPr>
              <w:t>il</w:t>
            </w:r>
            <w:proofErr w:type="spellEnd"/>
            <w:r>
              <w:rPr>
                <w:rFonts w:ascii="Times New Roman" w:eastAsia="Times New Roman" w:hAnsi="Times New Roman" w:cs="Times New Roman"/>
                <w:sz w:val="24"/>
                <w:szCs w:val="24"/>
              </w:rPr>
              <w:t xml:space="preserve"> ratio</w:t>
            </w:r>
            <w:r>
              <w:rPr>
                <w:rFonts w:ascii="Times New Roman" w:eastAsia="Times New Roman" w:hAnsi="Times New Roman" w:cs="Times New Roman"/>
                <w:sz w:val="24"/>
                <w:szCs w:val="24"/>
                <w:lang w:val="en-US"/>
              </w:rPr>
              <w:t xml:space="preserve"> (g/g)</w:t>
            </w:r>
          </w:p>
        </w:tc>
        <w:tc>
          <w:tcPr>
            <w:tcW w:w="2295"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Biodiesel yield</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1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rPr>
            </w:pPr>
            <w:r>
              <w:rPr>
                <w:rFonts w:ascii="Times New Roman" w:eastAsia="Times New Roman" w:hAnsi="Times New Roman" w:cs="Times New Roman"/>
                <w:sz w:val="24"/>
                <w:szCs w:val="24"/>
              </w:rPr>
              <w:t>1</w:t>
            </w:r>
          </w:p>
        </w:tc>
        <w:tc>
          <w:tcPr>
            <w:tcW w:w="1470"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90"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30"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295"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72.04</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rPr>
            </w:pPr>
            <w:r>
              <w:rPr>
                <w:rFonts w:ascii="Times New Roman" w:eastAsia="Times New Roman" w:hAnsi="Times New Roman" w:cs="Times New Roman"/>
                <w:sz w:val="24"/>
                <w:szCs w:val="24"/>
              </w:rPr>
              <w:t>2</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66.1</w:t>
            </w:r>
          </w:p>
        </w:tc>
      </w:tr>
      <w:tr w:rsidR="005B502F" w:rsidTr="005B502F">
        <w:trPr>
          <w:trHeight w:val="338"/>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rPr>
            </w:pPr>
            <w:r>
              <w:rPr>
                <w:rFonts w:ascii="Times New Roman" w:eastAsia="Times New Roman" w:hAnsi="Times New Roman" w:cs="Times New Roman"/>
                <w:sz w:val="24"/>
                <w:szCs w:val="24"/>
              </w:rPr>
              <w:t>3</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51.3</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4</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72.9</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5</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6</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76.6</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7</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58.2</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8</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52.7</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9</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57.7</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0</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61.5</w:t>
            </w:r>
          </w:p>
        </w:tc>
      </w:tr>
      <w:tr w:rsidR="005B502F" w:rsidTr="005B502F">
        <w:trPr>
          <w:trHeight w:val="330"/>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1</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5B502F" w:rsidTr="005B502F">
        <w:trPr>
          <w:trHeight w:val="326"/>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lang w:val="en-US"/>
              </w:rPr>
              <w:t>2</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60.4</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3</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4</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54.7</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5</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en-US"/>
              </w:rPr>
              <w:t>0</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60.05</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6</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70.12</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7</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r>
      <w:tr w:rsidR="005B502F" w:rsidTr="005B502F">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right w:val="single" w:sz="8" w:space="0" w:color="FFFFFF"/>
            </w:tcBorders>
            <w:shd w:val="clear" w:color="auto" w:fill="CBCBCB"/>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8</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60.83</w:t>
            </w:r>
          </w:p>
        </w:tc>
      </w:tr>
      <w:tr w:rsidR="005B502F" w:rsidTr="005B502F">
        <w:trPr>
          <w:trHeight w:val="33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rPr>
                <w:rFonts w:ascii="Times New Roman" w:eastAsia="Times New Roman" w:hAnsi="Times New Roman" w:cs="Times New Roman"/>
                <w:i w:val="0"/>
                <w:iCs w:val="0"/>
                <w:sz w:val="24"/>
                <w:szCs w:val="24"/>
                <w:lang w:val="en-US"/>
              </w:rPr>
            </w:pPr>
            <w:r>
              <w:rPr>
                <w:rFonts w:ascii="Times New Roman" w:eastAsia="Times New Roman" w:hAnsi="Times New Roman" w:cs="Times New Roman"/>
                <w:i w:val="0"/>
                <w:iCs w:val="0"/>
                <w:sz w:val="24"/>
                <w:szCs w:val="24"/>
                <w:lang w:val="en-US"/>
              </w:rPr>
              <w:t>19</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58.46</w:t>
            </w:r>
          </w:p>
        </w:tc>
      </w:tr>
    </w:tbl>
    <w:p w:rsidR="005B502F" w:rsidRDefault="005B502F" w:rsidP="00C87561">
      <w:pPr>
        <w:spacing w:line="240" w:lineRule="auto"/>
        <w:jc w:val="both"/>
        <w:rPr>
          <w:rFonts w:ascii="Times New Roman" w:hAnsi="Times New Roman" w:cs="Times New Roman"/>
        </w:rPr>
      </w:pPr>
    </w:p>
    <w:p w:rsidR="005B502F" w:rsidRDefault="00BF5D4A" w:rsidP="00C87561">
      <w:pPr>
        <w:pStyle w:val="NormalWeb"/>
        <w:jc w:val="both"/>
        <w:rPr>
          <w:lang w:val="en-US"/>
        </w:rPr>
      </w:pPr>
      <w:r>
        <w:rPr>
          <w:lang w:val="en-US"/>
        </w:rPr>
        <w:t xml:space="preserve">3.2.1 Statistical analysis of the biodiesel yield response </w:t>
      </w:r>
    </w:p>
    <w:p w:rsidR="005B502F" w:rsidRDefault="00BF5D4A" w:rsidP="00C87561">
      <w:pPr>
        <w:pStyle w:val="NormalWeb"/>
        <w:jc w:val="both"/>
        <w:rPr>
          <w:lang w:val="en-US"/>
        </w:rPr>
      </w:pPr>
      <w:r>
        <w:rPr>
          <w:lang w:val="en-US"/>
        </w:rPr>
        <w:t xml:space="preserve">The analysis was carried out to develop a model which shows the relationship between the biodiesel yield and the operating parameters. From Table 3, a linear model was suggested by the Design Expert Software used based on the </w:t>
      </w:r>
      <w:proofErr w:type="spellStart"/>
      <w:r>
        <w:rPr>
          <w:lang w:val="en-US"/>
        </w:rPr>
        <w:t>the</w:t>
      </w:r>
      <w:proofErr w:type="spellEnd"/>
      <w:r>
        <w:rPr>
          <w:lang w:val="en-US"/>
        </w:rPr>
        <w:t xml:space="preserve"> proximity of the adjusted R-Squared (0.5304) and predicted R-Squared (0.4195) values despite having the least R-Squared value (0.6066) compared to the 2FI, quadratic and cube models, respectively. Similarly, the linear model showed the least standard deviation (5.26</w:t>
      </w:r>
      <w:proofErr w:type="gramStart"/>
      <w:r>
        <w:rPr>
          <w:lang w:val="en-US"/>
        </w:rPr>
        <w:t>)  and</w:t>
      </w:r>
      <w:proofErr w:type="gramEnd"/>
      <w:r>
        <w:rPr>
          <w:lang w:val="en-US"/>
        </w:rPr>
        <w:t xml:space="preserve"> PRESS value (616.13) compared to other models. The model equation is presented in Equation 3. </w:t>
      </w:r>
    </w:p>
    <w:p w:rsidR="005B502F" w:rsidRDefault="00BF5D4A" w:rsidP="00C87561">
      <w:pPr>
        <w:pStyle w:val="NormalWeb"/>
        <w:jc w:val="both"/>
        <w:rPr>
          <w:color w:val="0000FF"/>
          <w:lang w:val="en-US"/>
        </w:rPr>
      </w:pPr>
      <m:oMath>
        <m:r>
          <m:rPr>
            <m:sty m:val="p"/>
          </m:rPr>
          <w:rPr>
            <w:rFonts w:ascii="Cambria Math" w:hAnsi="Cambria Math"/>
            <w:color w:val="0000FF"/>
            <w:lang w:val="en-US"/>
          </w:rPr>
          <m:t>Biodiesel yield =  62.27 + 2.50A+7.52B-1.37C-0.76AB-0.54AC+1.92BC</m:t>
        </m:r>
      </m:oMath>
      <w:r>
        <w:rPr>
          <w:rFonts w:hAnsi="Cambria Math"/>
          <w:color w:val="0000FF"/>
          <w:lang w:val="en-US"/>
        </w:rPr>
        <w:t xml:space="preserve">            (3)</w:t>
      </w:r>
    </w:p>
    <w:p w:rsidR="005B502F" w:rsidRDefault="00BF5D4A" w:rsidP="00C87561">
      <w:pPr>
        <w:pStyle w:val="NormalWeb"/>
        <w:jc w:val="both"/>
        <w:rPr>
          <w:color w:val="0000FF"/>
          <w:lang w:val="en-US"/>
        </w:rPr>
      </w:pPr>
      <w:r>
        <w:rPr>
          <w:color w:val="0000FF"/>
          <w:lang w:val="en-US"/>
        </w:rPr>
        <w:t>Where A = temperature (</w:t>
      </w:r>
      <w:proofErr w:type="spellStart"/>
      <w:r>
        <w:rPr>
          <w:color w:val="0000FF"/>
          <w:vertAlign w:val="superscript"/>
          <w:lang w:val="en-US"/>
        </w:rPr>
        <w:t>o</w:t>
      </w:r>
      <w:r>
        <w:rPr>
          <w:color w:val="0000FF"/>
          <w:lang w:val="en-US"/>
        </w:rPr>
        <w:t>C</w:t>
      </w:r>
      <w:proofErr w:type="spellEnd"/>
      <w:r>
        <w:rPr>
          <w:color w:val="0000FF"/>
          <w:lang w:val="en-US"/>
        </w:rPr>
        <w:t xml:space="preserve">), B = time (min) and C = methanol-to-oil ratio </w:t>
      </w:r>
    </w:p>
    <w:p w:rsidR="005B502F" w:rsidRDefault="00BF5D4A" w:rsidP="00C87561">
      <w:pPr>
        <w:pStyle w:val="NormalWeb"/>
        <w:jc w:val="both"/>
        <w:rPr>
          <w:lang w:val="en-US"/>
        </w:rPr>
      </w:pPr>
      <w:r>
        <w:rPr>
          <w:lang w:val="en-US"/>
        </w:rPr>
        <w:t xml:space="preserve">Table 3. Model Summary Statistics </w:t>
      </w:r>
    </w:p>
    <w:tbl>
      <w:tblPr>
        <w:tblStyle w:val="TableGrid"/>
        <w:tblW w:w="0" w:type="auto"/>
        <w:jc w:val="center"/>
        <w:tblLook w:val="04A0" w:firstRow="1" w:lastRow="0" w:firstColumn="1" w:lastColumn="0" w:noHBand="0" w:noVBand="1"/>
      </w:tblPr>
      <w:tblGrid>
        <w:gridCol w:w="1346"/>
        <w:gridCol w:w="1294"/>
        <w:gridCol w:w="1329"/>
        <w:gridCol w:w="1338"/>
        <w:gridCol w:w="1342"/>
        <w:gridCol w:w="1341"/>
        <w:gridCol w:w="1350"/>
      </w:tblGrid>
      <w:tr w:rsidR="005B502F">
        <w:trPr>
          <w:jc w:val="center"/>
        </w:trPr>
        <w:tc>
          <w:tcPr>
            <w:tcW w:w="1368"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Source</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Std. Dev.</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R-Squared</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Adjusted R-Squared</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Predicted R-Squared</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PRESS</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5B502F" w:rsidP="00C87561">
            <w:pPr>
              <w:pStyle w:val="NormalWeb"/>
              <w:jc w:val="both"/>
              <w:rPr>
                <w:lang w:val="en-US"/>
              </w:rPr>
            </w:pPr>
          </w:p>
        </w:tc>
      </w:tr>
      <w:tr w:rsidR="005B502F">
        <w:trPr>
          <w:jc w:val="center"/>
        </w:trPr>
        <w:tc>
          <w:tcPr>
            <w:tcW w:w="1368"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u w:val="single"/>
                <w:lang w:val="en-US"/>
              </w:rPr>
              <w:t>Linear</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u w:val="single"/>
                <w:lang w:val="en-US"/>
              </w:rPr>
              <w:t>5.26</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u w:val="single"/>
                <w:lang w:val="en-US"/>
              </w:rPr>
              <w:t>0.6066</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u w:val="single"/>
                <w:lang w:val="en-US"/>
              </w:rPr>
              <w:t>0.5304</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u w:val="single"/>
                <w:lang w:val="en-US"/>
              </w:rPr>
            </w:pPr>
            <w:r>
              <w:rPr>
                <w:u w:val="single"/>
                <w:lang w:val="en-US"/>
              </w:rPr>
              <w:t>0.4195</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u w:val="single"/>
                <w:lang w:val="en-US"/>
              </w:rPr>
              <w:t>616.13</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u w:val="single"/>
                <w:lang w:val="en-US"/>
              </w:rPr>
              <w:t>Suggested</w:t>
            </w:r>
          </w:p>
        </w:tc>
      </w:tr>
      <w:tr w:rsidR="005B502F">
        <w:trPr>
          <w:jc w:val="center"/>
        </w:trPr>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2FI</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5.62</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0.6429</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0.4644</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0.0007</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1060.66</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r>
      <w:tr w:rsidR="005B502F">
        <w:trPr>
          <w:jc w:val="center"/>
        </w:trPr>
        <w:tc>
          <w:tcPr>
            <w:tcW w:w="1368"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Quadratic</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5.63</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0.7310</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0.4619</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-0.3956</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1481.25</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r>
      <w:tr w:rsidR="005B502F">
        <w:trPr>
          <w:jc w:val="center"/>
        </w:trPr>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Cube</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5.33</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0.9661</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0.5179</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-19.3418</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21590.72</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Aliased</w:t>
            </w:r>
          </w:p>
        </w:tc>
      </w:tr>
    </w:tbl>
    <w:p w:rsidR="005B502F" w:rsidRDefault="00BF5D4A" w:rsidP="00C87561">
      <w:pPr>
        <w:pStyle w:val="NormalWeb"/>
        <w:jc w:val="both"/>
        <w:rPr>
          <w:lang w:val="en-US"/>
        </w:rPr>
      </w:pPr>
      <w:r>
        <w:rPr>
          <w:lang w:val="en-US"/>
        </w:rPr>
        <w:t xml:space="preserve"> The fitness of the model to the experimental data was assessed with the help of the analysis of variance (ANOVA) (Table 4). The model F-value of 3.60 implies that the model is significant. The reaction time (B) with prob &gt; F of 0.0012 is a significant model term since any model term was “Prob &gt; F” less than 0.0500 is </w:t>
      </w:r>
      <w:proofErr w:type="gramStart"/>
      <w:r>
        <w:rPr>
          <w:lang w:val="en-US"/>
        </w:rPr>
        <w:t>a  significant</w:t>
      </w:r>
      <w:proofErr w:type="gramEnd"/>
      <w:r>
        <w:rPr>
          <w:lang w:val="en-US"/>
        </w:rPr>
        <w:t xml:space="preserve"> model term. Based on this reason, other model terms in Equation 3 are not significant. The “Lack of Fit F-value” of 1.01 implies that the Lack of Fit is not significant. The normal plot of residues is presented in Figure 1. As can be seen from this figure, the points align closely to the straight diagonal line. This shows that the residuals are normally distributed indicating valid model assumptions.</w:t>
      </w:r>
    </w:p>
    <w:p w:rsidR="005B502F" w:rsidRDefault="00BF5D4A" w:rsidP="00C87561">
      <w:pPr>
        <w:pStyle w:val="NormalWeb"/>
        <w:jc w:val="both"/>
        <w:rPr>
          <w:lang w:val="en-US"/>
        </w:rPr>
      </w:pPr>
      <w:r>
        <w:rPr>
          <w:lang w:val="en-US"/>
        </w:rPr>
        <w:t xml:space="preserve">Table 4. Analysis of variance for biodiesel yield linear model </w:t>
      </w:r>
    </w:p>
    <w:tbl>
      <w:tblPr>
        <w:tblStyle w:val="TableGrid"/>
        <w:tblpPr w:leftFromText="180" w:rightFromText="180" w:vertAnchor="text" w:horzAnchor="page" w:tblpXSpec="center" w:tblpY="144"/>
        <w:tblOverlap w:val="never"/>
        <w:tblW w:w="0" w:type="auto"/>
        <w:jc w:val="center"/>
        <w:tblLook w:val="04A0" w:firstRow="1" w:lastRow="0" w:firstColumn="1" w:lastColumn="0" w:noHBand="0" w:noVBand="1"/>
      </w:tblPr>
      <w:tblGrid>
        <w:gridCol w:w="1890"/>
        <w:gridCol w:w="1094"/>
        <w:gridCol w:w="1223"/>
        <w:gridCol w:w="1293"/>
        <w:gridCol w:w="1278"/>
        <w:gridCol w:w="1290"/>
        <w:gridCol w:w="1272"/>
      </w:tblGrid>
      <w:tr w:rsidR="005B502F">
        <w:trPr>
          <w:jc w:val="center"/>
        </w:trPr>
        <w:tc>
          <w:tcPr>
            <w:tcW w:w="1929"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lastRenderedPageBreak/>
              <w:t>Source</w:t>
            </w:r>
          </w:p>
        </w:tc>
        <w:tc>
          <w:tcPr>
            <w:tcW w:w="1103"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Sum of Squares</w:t>
            </w:r>
          </w:p>
        </w:tc>
        <w:tc>
          <w:tcPr>
            <w:tcW w:w="1291"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df</w:t>
            </w:r>
          </w:p>
        </w:tc>
        <w:tc>
          <w:tcPr>
            <w:tcW w:w="1329"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Mean Square</w:t>
            </w:r>
          </w:p>
        </w:tc>
        <w:tc>
          <w:tcPr>
            <w:tcW w:w="1321"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F Value</w:t>
            </w:r>
          </w:p>
        </w:tc>
        <w:tc>
          <w:tcPr>
            <w:tcW w:w="1327"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 xml:space="preserve">P-value </w:t>
            </w:r>
            <w:r>
              <w:rPr>
                <w:lang w:val="en-US"/>
              </w:rPr>
              <w:br/>
              <w:t>Prob &gt; F</w:t>
            </w:r>
          </w:p>
        </w:tc>
        <w:tc>
          <w:tcPr>
            <w:tcW w:w="1276"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5B502F" w:rsidP="00C87561">
            <w:pPr>
              <w:pStyle w:val="NormalWeb"/>
              <w:jc w:val="both"/>
              <w:rPr>
                <w:lang w:val="en-US"/>
              </w:rPr>
            </w:pPr>
          </w:p>
        </w:tc>
      </w:tr>
      <w:tr w:rsidR="005B502F">
        <w:trPr>
          <w:jc w:val="center"/>
        </w:trPr>
        <w:tc>
          <w:tcPr>
            <w:tcW w:w="1929"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Model</w:t>
            </w:r>
          </w:p>
        </w:tc>
        <w:tc>
          <w:tcPr>
            <w:tcW w:w="1103"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682.41</w:t>
            </w:r>
          </w:p>
        </w:tc>
        <w:tc>
          <w:tcPr>
            <w:tcW w:w="1291"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68</w:t>
            </w:r>
          </w:p>
        </w:tc>
        <w:tc>
          <w:tcPr>
            <w:tcW w:w="1329"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113.74</w:t>
            </w:r>
          </w:p>
        </w:tc>
        <w:tc>
          <w:tcPr>
            <w:tcW w:w="1321"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3.60</w:t>
            </w:r>
          </w:p>
        </w:tc>
        <w:tc>
          <w:tcPr>
            <w:tcW w:w="1327"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0.0281</w:t>
            </w:r>
          </w:p>
        </w:tc>
        <w:tc>
          <w:tcPr>
            <w:tcW w:w="1276"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significant</w:t>
            </w:r>
          </w:p>
        </w:tc>
      </w:tr>
      <w:tr w:rsidR="005B502F">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A - Temperature</w:t>
            </w:r>
          </w:p>
        </w:tc>
        <w:tc>
          <w:tcPr>
            <w:tcW w:w="110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62.40</w:t>
            </w:r>
          </w:p>
        </w:tc>
        <w:tc>
          <w:tcPr>
            <w:tcW w:w="129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62.40</w:t>
            </w:r>
          </w:p>
        </w:tc>
        <w:tc>
          <w:tcPr>
            <w:tcW w:w="132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1.98</w:t>
            </w:r>
          </w:p>
        </w:tc>
        <w:tc>
          <w:tcPr>
            <w:tcW w:w="132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0.1852</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r>
      <w:tr w:rsidR="005B502F">
        <w:trPr>
          <w:trHeight w:val="269"/>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numPr>
                <w:ilvl w:val="0"/>
                <w:numId w:val="2"/>
              </w:numPr>
              <w:jc w:val="both"/>
              <w:rPr>
                <w:lang w:val="en-US"/>
              </w:rPr>
            </w:pPr>
            <w:r>
              <w:rPr>
                <w:lang w:val="en-US"/>
              </w:rPr>
              <w:t>Time</w:t>
            </w:r>
          </w:p>
        </w:tc>
        <w:tc>
          <w:tcPr>
            <w:tcW w:w="110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564.90</w:t>
            </w:r>
          </w:p>
        </w:tc>
        <w:tc>
          <w:tcPr>
            <w:tcW w:w="1291"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564.90</w:t>
            </w:r>
          </w:p>
        </w:tc>
        <w:tc>
          <w:tcPr>
            <w:tcW w:w="1321"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17.89</w:t>
            </w:r>
          </w:p>
        </w:tc>
        <w:tc>
          <w:tcPr>
            <w:tcW w:w="132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0.0012</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r>
      <w:tr w:rsidR="005B502F">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C-Methanol/oil ratio</w:t>
            </w:r>
          </w:p>
        </w:tc>
        <w:tc>
          <w:tcPr>
            <w:tcW w:w="110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18.71</w:t>
            </w:r>
          </w:p>
        </w:tc>
        <w:tc>
          <w:tcPr>
            <w:tcW w:w="129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18.71</w:t>
            </w:r>
          </w:p>
        </w:tc>
        <w:tc>
          <w:tcPr>
            <w:tcW w:w="132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0.59</w:t>
            </w:r>
          </w:p>
        </w:tc>
        <w:tc>
          <w:tcPr>
            <w:tcW w:w="132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0.4563</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r>
      <w:tr w:rsidR="005B502F">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AB</w:t>
            </w:r>
          </w:p>
        </w:tc>
        <w:tc>
          <w:tcPr>
            <w:tcW w:w="110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4.68</w:t>
            </w:r>
          </w:p>
        </w:tc>
        <w:tc>
          <w:tcPr>
            <w:tcW w:w="1291"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4.68</w:t>
            </w:r>
          </w:p>
        </w:tc>
        <w:tc>
          <w:tcPr>
            <w:tcW w:w="1321"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0.15</w:t>
            </w:r>
          </w:p>
        </w:tc>
        <w:tc>
          <w:tcPr>
            <w:tcW w:w="132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0.7070</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r>
      <w:tr w:rsidR="005B502F">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AC</w:t>
            </w:r>
          </w:p>
        </w:tc>
        <w:tc>
          <w:tcPr>
            <w:tcW w:w="110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2.38</w:t>
            </w:r>
          </w:p>
        </w:tc>
        <w:tc>
          <w:tcPr>
            <w:tcW w:w="129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2.38</w:t>
            </w:r>
          </w:p>
        </w:tc>
        <w:tc>
          <w:tcPr>
            <w:tcW w:w="132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0.075</w:t>
            </w:r>
          </w:p>
        </w:tc>
        <w:tc>
          <w:tcPr>
            <w:tcW w:w="132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0.7885</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r>
      <w:tr w:rsidR="005B502F">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BC</w:t>
            </w:r>
          </w:p>
        </w:tc>
        <w:tc>
          <w:tcPr>
            <w:tcW w:w="110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29.34</w:t>
            </w:r>
          </w:p>
        </w:tc>
        <w:tc>
          <w:tcPr>
            <w:tcW w:w="1291"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29.34</w:t>
            </w:r>
          </w:p>
        </w:tc>
        <w:tc>
          <w:tcPr>
            <w:tcW w:w="1321"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0.93</w:t>
            </w:r>
          </w:p>
        </w:tc>
        <w:tc>
          <w:tcPr>
            <w:tcW w:w="132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0.3542</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r>
      <w:tr w:rsidR="005B502F">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 xml:space="preserve">Residual </w:t>
            </w:r>
          </w:p>
        </w:tc>
        <w:tc>
          <w:tcPr>
            <w:tcW w:w="110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378.98</w:t>
            </w:r>
          </w:p>
        </w:tc>
        <w:tc>
          <w:tcPr>
            <w:tcW w:w="129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12</w:t>
            </w:r>
          </w:p>
        </w:tc>
        <w:tc>
          <w:tcPr>
            <w:tcW w:w="132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31.58</w:t>
            </w:r>
          </w:p>
        </w:tc>
        <w:tc>
          <w:tcPr>
            <w:tcW w:w="132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32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r>
      <w:tr w:rsidR="005B502F">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proofErr w:type="spellStart"/>
            <w:r>
              <w:rPr>
                <w:lang w:val="en-US"/>
              </w:rPr>
              <w:t>Lact</w:t>
            </w:r>
            <w:proofErr w:type="spellEnd"/>
            <w:r>
              <w:rPr>
                <w:lang w:val="en-US"/>
              </w:rPr>
              <w:t xml:space="preserve"> of Fit</w:t>
            </w:r>
          </w:p>
        </w:tc>
        <w:tc>
          <w:tcPr>
            <w:tcW w:w="110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253.32</w:t>
            </w:r>
          </w:p>
        </w:tc>
        <w:tc>
          <w:tcPr>
            <w:tcW w:w="1291"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8</w:t>
            </w:r>
          </w:p>
        </w:tc>
        <w:tc>
          <w:tcPr>
            <w:tcW w:w="132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31.66</w:t>
            </w:r>
          </w:p>
        </w:tc>
        <w:tc>
          <w:tcPr>
            <w:tcW w:w="1321"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1.01</w:t>
            </w:r>
          </w:p>
        </w:tc>
        <w:tc>
          <w:tcPr>
            <w:tcW w:w="132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0.5356</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Not significant</w:t>
            </w:r>
          </w:p>
        </w:tc>
      </w:tr>
      <w:tr w:rsidR="005B502F">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Pure Error</w:t>
            </w:r>
          </w:p>
        </w:tc>
        <w:tc>
          <w:tcPr>
            <w:tcW w:w="110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125.67</w:t>
            </w:r>
          </w:p>
        </w:tc>
        <w:tc>
          <w:tcPr>
            <w:tcW w:w="129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4</w:t>
            </w:r>
          </w:p>
        </w:tc>
        <w:tc>
          <w:tcPr>
            <w:tcW w:w="1329"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31.42</w:t>
            </w:r>
          </w:p>
        </w:tc>
        <w:tc>
          <w:tcPr>
            <w:tcW w:w="132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32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r>
      <w:tr w:rsidR="005B502F">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Cor Total</w:t>
            </w:r>
          </w:p>
        </w:tc>
        <w:tc>
          <w:tcPr>
            <w:tcW w:w="110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1061.40</w:t>
            </w:r>
          </w:p>
        </w:tc>
        <w:tc>
          <w:tcPr>
            <w:tcW w:w="1291"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18</w:t>
            </w:r>
          </w:p>
        </w:tc>
        <w:tc>
          <w:tcPr>
            <w:tcW w:w="1329"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321"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32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r>
    </w:tbl>
    <w:p w:rsidR="005B502F" w:rsidRDefault="005B502F" w:rsidP="00C87561">
      <w:pPr>
        <w:pStyle w:val="NormalWeb"/>
        <w:jc w:val="both"/>
      </w:pPr>
    </w:p>
    <w:p w:rsidR="005B502F" w:rsidRDefault="005B502F" w:rsidP="00C87561">
      <w:pPr>
        <w:pStyle w:val="NormalWeb"/>
        <w:jc w:val="both"/>
      </w:pPr>
    </w:p>
    <w:p w:rsidR="005B502F" w:rsidRDefault="00BF5D4A" w:rsidP="00C87561">
      <w:pPr>
        <w:pStyle w:val="NormalWeb"/>
        <w:jc w:val="both"/>
        <w:rPr>
          <w:lang w:val="en-US"/>
        </w:rPr>
      </w:pPr>
      <w:r>
        <w:rPr>
          <w:noProof/>
          <w:lang w:val="en-US"/>
        </w:rPr>
        <w:drawing>
          <wp:inline distT="0" distB="0" distL="114300" distR="114300">
            <wp:extent cx="5708650" cy="3879215"/>
            <wp:effectExtent l="0" t="0" r="6350" b="6985"/>
            <wp:docPr id="2" name="Picture 2" descr="Picture1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14000(1)"/>
                    <pic:cNvPicPr>
                      <a:picLocks noChangeAspect="1"/>
                    </pic:cNvPicPr>
                  </pic:nvPicPr>
                  <pic:blipFill>
                    <a:blip r:embed="rId8"/>
                    <a:stretch>
                      <a:fillRect/>
                    </a:stretch>
                  </pic:blipFill>
                  <pic:spPr>
                    <a:xfrm>
                      <a:off x="0" y="0"/>
                      <a:ext cx="5708650" cy="3879215"/>
                    </a:xfrm>
                    <a:prstGeom prst="rect">
                      <a:avLst/>
                    </a:prstGeom>
                  </pic:spPr>
                </pic:pic>
              </a:graphicData>
            </a:graphic>
          </wp:inline>
        </w:drawing>
      </w:r>
    </w:p>
    <w:p w:rsidR="005B502F" w:rsidRDefault="00BF5D4A" w:rsidP="00C87561">
      <w:pPr>
        <w:pStyle w:val="NormalWeb"/>
        <w:jc w:val="both"/>
        <w:rPr>
          <w:b/>
          <w:bCs/>
        </w:rPr>
      </w:pPr>
      <w:r>
        <w:rPr>
          <w:lang w:val="en-US"/>
        </w:rPr>
        <w:t xml:space="preserve">Figure 1. Normal plot of residuals </w:t>
      </w:r>
    </w:p>
    <w:p w:rsidR="005B502F" w:rsidRDefault="00BF5D4A" w:rsidP="00C87561">
      <w:pPr>
        <w:pStyle w:val="NormalWeb"/>
        <w:jc w:val="both"/>
        <w:rPr>
          <w:b/>
          <w:bCs/>
          <w:lang w:val="en-US"/>
        </w:rPr>
      </w:pPr>
      <w:r>
        <w:rPr>
          <w:b/>
          <w:bCs/>
        </w:rPr>
        <w:lastRenderedPageBreak/>
        <w:t xml:space="preserve"> </w:t>
      </w:r>
      <w:r>
        <w:rPr>
          <w:b/>
          <w:bCs/>
          <w:lang w:val="en-US"/>
        </w:rPr>
        <w:t>3.2.1 Factors affecting the yield of biodiesel obtained from the transesterification of rubber seed oil</w:t>
      </w:r>
    </w:p>
    <w:p w:rsidR="005B502F" w:rsidRDefault="00BF5D4A" w:rsidP="00C87561">
      <w:pPr>
        <w:pStyle w:val="NormalWeb"/>
        <w:jc w:val="both"/>
        <w:rPr>
          <w:lang w:val="en-US"/>
        </w:rPr>
      </w:pPr>
      <w:r>
        <w:rPr>
          <w:lang w:val="en-US"/>
        </w:rPr>
        <w:t xml:space="preserve">3.2.1.1 Investigating the effect of temperature on the biodiesel yield </w:t>
      </w:r>
    </w:p>
    <w:p w:rsidR="005B502F" w:rsidRDefault="00BF5D4A" w:rsidP="00C87561">
      <w:pPr>
        <w:pStyle w:val="NormalWeb"/>
        <w:jc w:val="both"/>
        <w:rPr>
          <w:lang w:val="en-US"/>
        </w:rPr>
      </w:pPr>
      <w:r>
        <w:rPr>
          <w:lang w:val="en-US"/>
        </w:rPr>
        <w:t>(A). Effect of single factors on the biodiesel yield</w:t>
      </w:r>
    </w:p>
    <w:p w:rsidR="005B502F" w:rsidRDefault="00BF5D4A" w:rsidP="00C87561">
      <w:pPr>
        <w:pStyle w:val="NormalWeb"/>
        <w:jc w:val="both"/>
        <w:rPr>
          <w:lang w:val="en-US"/>
        </w:rPr>
      </w:pPr>
      <w:r>
        <w:rPr>
          <w:lang w:val="en-US"/>
        </w:rPr>
        <w:t xml:space="preserve">The effect of temperature, time and methanol-to-oil ratio on the biodiesel yield were investigated using Equation 3. The temperature was varied at 30, 45 and 60 </w:t>
      </w:r>
      <w:proofErr w:type="spellStart"/>
      <w:r>
        <w:rPr>
          <w:vertAlign w:val="superscript"/>
          <w:lang w:val="en-US"/>
        </w:rPr>
        <w:t>o</w:t>
      </w:r>
      <w:r>
        <w:rPr>
          <w:lang w:val="en-US"/>
        </w:rPr>
        <w:t>C</w:t>
      </w:r>
      <w:proofErr w:type="spellEnd"/>
      <w:r>
        <w:rPr>
          <w:lang w:val="en-US"/>
        </w:rPr>
        <w:t xml:space="preserve"> while maintaining time (75 min), catalyst loading (0.5 g), and methanol-to-oil ratio (4/1) constant. The result obtained is presented in Figure 2 (</w:t>
      </w:r>
      <w:proofErr w:type="spellStart"/>
      <w:r>
        <w:rPr>
          <w:lang w:val="en-US"/>
        </w:rPr>
        <w:t>i</w:t>
      </w:r>
      <w:proofErr w:type="spellEnd"/>
      <w:r>
        <w:rPr>
          <w:lang w:val="en-US"/>
        </w:rPr>
        <w:t xml:space="preserve">), and it shows a linear proportionality between temperature and biodiesel yields. The minimum and maximum biodiesel yields were 57.7 % and 76.6 </w:t>
      </w:r>
      <w:proofErr w:type="gramStart"/>
      <w:r>
        <w:rPr>
          <w:lang w:val="en-US"/>
        </w:rPr>
        <w:t>%  obtained</w:t>
      </w:r>
      <w:proofErr w:type="gramEnd"/>
      <w:r>
        <w:rPr>
          <w:lang w:val="en-US"/>
        </w:rPr>
        <w:t xml:space="preserve"> at 30 </w:t>
      </w:r>
      <w:proofErr w:type="spellStart"/>
      <w:r>
        <w:rPr>
          <w:vertAlign w:val="superscript"/>
          <w:lang w:val="en-US"/>
        </w:rPr>
        <w:t>o</w:t>
      </w:r>
      <w:r>
        <w:rPr>
          <w:lang w:val="en-US"/>
        </w:rPr>
        <w:t>C</w:t>
      </w:r>
      <w:proofErr w:type="spellEnd"/>
      <w:r>
        <w:rPr>
          <w:lang w:val="en-US"/>
        </w:rPr>
        <w:t xml:space="preserve"> and 60 </w:t>
      </w:r>
      <w:proofErr w:type="spellStart"/>
      <w:r>
        <w:rPr>
          <w:vertAlign w:val="superscript"/>
          <w:lang w:val="en-US"/>
        </w:rPr>
        <w:t>o</w:t>
      </w:r>
      <w:r>
        <w:rPr>
          <w:lang w:val="en-US"/>
        </w:rPr>
        <w:t>C</w:t>
      </w:r>
      <w:proofErr w:type="spellEnd"/>
      <w:r>
        <w:rPr>
          <w:lang w:val="en-US"/>
        </w:rPr>
        <w:t xml:space="preserve">, respectively. </w:t>
      </w:r>
      <w:proofErr w:type="spellStart"/>
      <w:r>
        <w:rPr>
          <w:lang w:val="en-US"/>
        </w:rPr>
        <w:t>Dhawane</w:t>
      </w:r>
      <w:proofErr w:type="spellEnd"/>
      <w:r>
        <w:rPr>
          <w:lang w:val="en-US"/>
        </w:rPr>
        <w:t xml:space="preserve"> (2016) also obtained a maximum biodiesel yield of 90.61 % at 60 </w:t>
      </w:r>
      <w:proofErr w:type="spellStart"/>
      <w:r>
        <w:rPr>
          <w:vertAlign w:val="superscript"/>
          <w:lang w:val="en-US"/>
        </w:rPr>
        <w:t>o</w:t>
      </w:r>
      <w:r>
        <w:rPr>
          <w:lang w:val="en-US"/>
        </w:rPr>
        <w:t>C.</w:t>
      </w:r>
      <w:proofErr w:type="spellEnd"/>
      <w:r>
        <w:rPr>
          <w:lang w:val="en-US"/>
        </w:rPr>
        <w:t xml:space="preserve"> The increase in biodiesel yield at 60 </w:t>
      </w:r>
      <w:proofErr w:type="spellStart"/>
      <w:r>
        <w:rPr>
          <w:vertAlign w:val="superscript"/>
          <w:lang w:val="en-US"/>
        </w:rPr>
        <w:t>o</w:t>
      </w:r>
      <w:r>
        <w:rPr>
          <w:lang w:val="en-US"/>
        </w:rPr>
        <w:t>C</w:t>
      </w:r>
      <w:proofErr w:type="spellEnd"/>
      <w:r>
        <w:rPr>
          <w:lang w:val="en-US"/>
        </w:rPr>
        <w:t xml:space="preserve"> may be attributed to increase in the rate of reaction, and the temperature helps to maintain the methanol-to-oil ratio constant refluxing at a minimum loss by evaporation (</w:t>
      </w:r>
      <w:proofErr w:type="spellStart"/>
      <w:r>
        <w:rPr>
          <w:lang w:val="en-US"/>
        </w:rPr>
        <w:t>Dhawane</w:t>
      </w:r>
      <w:proofErr w:type="spellEnd"/>
      <w:r>
        <w:rPr>
          <w:lang w:val="en-US"/>
        </w:rPr>
        <w:t xml:space="preserve">, 2016) </w:t>
      </w:r>
    </w:p>
    <w:p w:rsidR="005B502F" w:rsidRDefault="00BF5D4A" w:rsidP="00C87561">
      <w:pPr>
        <w:pStyle w:val="NormalWeb"/>
        <w:jc w:val="both"/>
        <w:rPr>
          <w:lang w:val="en-US"/>
        </w:rPr>
      </w:pPr>
      <w:r>
        <w:rPr>
          <w:lang w:val="en-US"/>
        </w:rPr>
        <w:t xml:space="preserve">The effect of reaction time was investigated at 30, </w:t>
      </w:r>
      <w:proofErr w:type="gramStart"/>
      <w:r>
        <w:rPr>
          <w:lang w:val="en-US"/>
        </w:rPr>
        <w:t>75 and 120 min</w:t>
      </w:r>
      <w:proofErr w:type="gramEnd"/>
      <w:r>
        <w:rPr>
          <w:lang w:val="en-US"/>
        </w:rPr>
        <w:t xml:space="preserve"> using Equation 3, while maintaining the temperature (45 </w:t>
      </w:r>
      <w:proofErr w:type="spellStart"/>
      <w:r>
        <w:rPr>
          <w:vertAlign w:val="superscript"/>
          <w:lang w:val="en-US"/>
        </w:rPr>
        <w:t>o</w:t>
      </w:r>
      <w:r>
        <w:rPr>
          <w:lang w:val="en-US"/>
        </w:rPr>
        <w:t>C</w:t>
      </w:r>
      <w:proofErr w:type="spellEnd"/>
      <w:r>
        <w:rPr>
          <w:lang w:val="en-US"/>
        </w:rPr>
        <w:t>), and methanol-to-oil ratio and catalyst loading of 0.5 g constant. The result obtained is presented in Figure 2 (ii), and it shows that the maximum and minimum biodiesel yields of 54.7 % and 76.6 % were obtained after 30 min and 75 min, respectively. However, as the reaction time progressed to 120 min, the biodiesel yield declined to 66.1 %. This decrease in biodiesel yield may be due to the reversible reaction which promotes the backward reaction, and soap formation after a prolong period of time (</w:t>
      </w:r>
      <w:proofErr w:type="spellStart"/>
      <w:r>
        <w:rPr>
          <w:lang w:val="en-US"/>
        </w:rPr>
        <w:t>Demirbas</w:t>
      </w:r>
      <w:proofErr w:type="spellEnd"/>
      <w:r>
        <w:rPr>
          <w:lang w:val="en-US"/>
        </w:rPr>
        <w:t xml:space="preserve"> et al., 2009). </w:t>
      </w:r>
    </w:p>
    <w:p w:rsidR="005B502F" w:rsidRDefault="00BF5D4A" w:rsidP="00C87561">
      <w:pPr>
        <w:pStyle w:val="NormalWeb"/>
        <w:jc w:val="both"/>
        <w:rPr>
          <w:lang w:val="en-US"/>
        </w:rPr>
      </w:pPr>
      <w:r>
        <w:rPr>
          <w:lang w:val="en-US"/>
        </w:rPr>
        <w:t xml:space="preserve">The effect of methanol-to-oil ratio on biodiesel yield was assessed using 2:1, 4:1 and 6:1 (g/g) and Equation 3 at constant temperature (45 </w:t>
      </w:r>
      <w:proofErr w:type="spellStart"/>
      <w:r>
        <w:rPr>
          <w:vertAlign w:val="superscript"/>
          <w:lang w:val="en-US"/>
        </w:rPr>
        <w:t>o</w:t>
      </w:r>
      <w:r>
        <w:rPr>
          <w:lang w:val="en-US"/>
        </w:rPr>
        <w:t>C</w:t>
      </w:r>
      <w:proofErr w:type="spellEnd"/>
      <w:r>
        <w:rPr>
          <w:lang w:val="en-US"/>
        </w:rPr>
        <w:t>), reaction time (75 min) and catalyst loading (0.5 %). The result obtained is presented in Figure 2 (iii), and it shows that the maximum biodiesel yield of 67.0 % and minimum of 58.2 % were obtained using 4:1 and 6:1 (g/g), respectively. The lower biodiesel yield obtained using a high methanol-to-oil ratio (6:1) may be due to the increase in the polarity of the reaction mixture leading to the increase in the solubility of glycerol back into the ester product causing a shift to the backward reaction (</w:t>
      </w:r>
      <w:proofErr w:type="spellStart"/>
      <w:r>
        <w:rPr>
          <w:lang w:val="en-US"/>
        </w:rPr>
        <w:t>Ayetor</w:t>
      </w:r>
      <w:proofErr w:type="spellEnd"/>
      <w:r>
        <w:rPr>
          <w:lang w:val="en-US"/>
        </w:rPr>
        <w:t xml:space="preserve"> et al. (2015). </w:t>
      </w: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BF5D4A" w:rsidP="00C87561">
      <w:pPr>
        <w:pStyle w:val="NormalWeb"/>
        <w:jc w:val="both"/>
        <w:rPr>
          <w:lang w:val="en-US"/>
        </w:rPr>
      </w:pPr>
      <w:r>
        <w:rPr>
          <w:noProof/>
        </w:rPr>
        <mc:AlternateContent>
          <mc:Choice Requires="wps">
            <w:drawing>
              <wp:anchor distT="0" distB="0" distL="114300" distR="114300" simplePos="0" relativeHeight="251659264" behindDoc="0" locked="0" layoutInCell="1" allowOverlap="1">
                <wp:simplePos x="0" y="0"/>
                <wp:positionH relativeFrom="column">
                  <wp:posOffset>-899795</wp:posOffset>
                </wp:positionH>
                <wp:positionV relativeFrom="paragraph">
                  <wp:posOffset>45720</wp:posOffset>
                </wp:positionV>
                <wp:extent cx="7733665" cy="6581775"/>
                <wp:effectExtent l="0" t="0" r="8255" b="1905"/>
                <wp:wrapNone/>
                <wp:docPr id="6" name="Text Box 6"/>
                <wp:cNvGraphicFramePr/>
                <a:graphic xmlns:a="http://schemas.openxmlformats.org/drawingml/2006/main">
                  <a:graphicData uri="http://schemas.microsoft.com/office/word/2010/wordprocessingShape">
                    <wps:wsp>
                      <wps:cNvSpPr txBox="1"/>
                      <wps:spPr>
                        <a:xfrm>
                          <a:off x="605155" y="4454525"/>
                          <a:ext cx="7733665" cy="6581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502F" w:rsidRDefault="00BF5D4A">
                            <w:r>
                              <w:rPr>
                                <w:noProof/>
                                <w:lang w:val="en-US"/>
                              </w:rPr>
                              <w:drawing>
                                <wp:inline distT="0" distB="0" distL="114300" distR="114300">
                                  <wp:extent cx="7727315" cy="6969125"/>
                                  <wp:effectExtent l="0" t="0" r="14605" b="10795"/>
                                  <wp:docPr id="5" name="Picture 5" descr="Picture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26000"/>
                                          <pic:cNvPicPr>
                                            <a:picLocks noChangeAspect="1"/>
                                          </pic:cNvPicPr>
                                        </pic:nvPicPr>
                                        <pic:blipFill>
                                          <a:blip r:embed="rId9"/>
                                          <a:stretch>
                                            <a:fillRect/>
                                          </a:stretch>
                                        </pic:blipFill>
                                        <pic:spPr>
                                          <a:xfrm>
                                            <a:off x="0" y="0"/>
                                            <a:ext cx="7727315" cy="6969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0.85pt;margin-top:3.6pt;width:608.95pt;height:51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" fillcolor="white [3201]" stroked="f" strokeweight=".5pt">
                <v:textbox>
                  <w:txbxContent>
                    <w:p w:rsidR="005B502F" w:rsidRDefault="00BF5D4A">
                      <w:r>
                        <w:rPr>
                          <w:noProof/>
                          <w:lang w:val="en-US"/>
                        </w:rPr>
                        <w:drawing>
                          <wp:inline distT="0" distB="0" distL="114300" distR="114300">
                            <wp:extent cx="7727315" cy="6969125"/>
                            <wp:effectExtent l="0" t="0" r="14605" b="10795"/>
                            <wp:docPr id="5" name="Picture 5" descr="Picture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26000"/>
                                    <pic:cNvPicPr>
                                      <a:picLocks noChangeAspect="1"/>
                                    </pic:cNvPicPr>
                                  </pic:nvPicPr>
                                  <pic:blipFill>
                                    <a:blip r:embed="rId9"/>
                                    <a:stretch>
                                      <a:fillRect/>
                                    </a:stretch>
                                  </pic:blipFill>
                                  <pic:spPr>
                                    <a:xfrm>
                                      <a:off x="0" y="0"/>
                                      <a:ext cx="7727315" cy="6969125"/>
                                    </a:xfrm>
                                    <a:prstGeom prst="rect">
                                      <a:avLst/>
                                    </a:prstGeom>
                                  </pic:spPr>
                                </pic:pic>
                              </a:graphicData>
                            </a:graphic>
                          </wp:inline>
                        </w:drawing>
                      </w:r>
                    </w:p>
                  </w:txbxContent>
                </v:textbox>
              </v:shape>
            </w:pict>
          </mc:Fallback>
        </mc:AlternateContent>
      </w: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BF5D4A" w:rsidP="00C87561">
      <w:pPr>
        <w:pStyle w:val="NormalWeb"/>
        <w:jc w:val="both"/>
        <w:rPr>
          <w:lang w:val="en-US"/>
        </w:rPr>
      </w:pPr>
      <w:r>
        <w:rPr>
          <w:lang w:val="en-US"/>
        </w:rPr>
        <w:t>Figure 2: Effect of single factors on the biodiesel yield ((</w:t>
      </w:r>
      <w:proofErr w:type="spellStart"/>
      <w:r>
        <w:rPr>
          <w:lang w:val="en-US"/>
        </w:rPr>
        <w:t>i</w:t>
      </w:r>
      <w:proofErr w:type="spellEnd"/>
      <w:r>
        <w:rPr>
          <w:lang w:val="en-US"/>
        </w:rPr>
        <w:t>) effect of temperature; (ii) effect of time; and (iii) effect of methanol-to-oil ratio)</w:t>
      </w: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BF5D4A" w:rsidP="00C87561">
      <w:pPr>
        <w:pStyle w:val="NormalWeb"/>
        <w:jc w:val="both"/>
        <w:rPr>
          <w:lang w:val="en-US"/>
        </w:rPr>
      </w:pPr>
      <w:r>
        <w:rPr>
          <w:lang w:val="en-US"/>
        </w:rPr>
        <w:t xml:space="preserve"> (B). Effect of interaction of factors on the biodiesel yield</w:t>
      </w:r>
    </w:p>
    <w:p w:rsidR="005B502F" w:rsidRDefault="00BF5D4A" w:rsidP="00C87561">
      <w:pPr>
        <w:pStyle w:val="NormalWeb"/>
        <w:jc w:val="both"/>
        <w:rPr>
          <w:lang w:val="en-US"/>
        </w:rPr>
      </w:pPr>
      <w:r>
        <w:rPr>
          <w:lang w:val="en-US"/>
        </w:rPr>
        <w:t xml:space="preserve">(1). Investigating the interaction effect of temperature and reaction time on the biodiesel yield </w:t>
      </w:r>
    </w:p>
    <w:p w:rsidR="005B502F" w:rsidRDefault="00BF5D4A" w:rsidP="00C87561">
      <w:pPr>
        <w:pStyle w:val="NormalWeb"/>
        <w:jc w:val="both"/>
        <w:rPr>
          <w:lang w:val="en-US"/>
        </w:rPr>
      </w:pPr>
      <w:r>
        <w:rPr>
          <w:lang w:val="en-US"/>
        </w:rPr>
        <w:t xml:space="preserve">This was assessed using Equation 3, at the varied operating parameters of temperature (30, 45, 60 </w:t>
      </w:r>
      <w:proofErr w:type="spellStart"/>
      <w:r>
        <w:rPr>
          <w:vertAlign w:val="superscript"/>
          <w:lang w:val="en-US"/>
        </w:rPr>
        <w:t>o</w:t>
      </w:r>
      <w:r>
        <w:rPr>
          <w:lang w:val="en-US"/>
        </w:rPr>
        <w:t>C</w:t>
      </w:r>
      <w:proofErr w:type="spellEnd"/>
      <w:r>
        <w:rPr>
          <w:lang w:val="en-US"/>
        </w:rPr>
        <w:t xml:space="preserve">) and reaction time (30, 75, 120 min) at constant methanol-to-oil ratio (4:1, g/g) and catalyst loading (0.5 g). The Central Composite </w:t>
      </w:r>
      <w:proofErr w:type="gramStart"/>
      <w:r>
        <w:rPr>
          <w:lang w:val="en-US"/>
        </w:rPr>
        <w:t>Design(</w:t>
      </w:r>
      <w:proofErr w:type="gramEnd"/>
      <w:r>
        <w:rPr>
          <w:lang w:val="en-US"/>
        </w:rPr>
        <w:t xml:space="preserve">CCD) response surface model graph obtained is presented in Figure 3. The result show that the interaction of temperature (30 </w:t>
      </w:r>
      <w:proofErr w:type="spellStart"/>
      <w:r>
        <w:rPr>
          <w:vertAlign w:val="superscript"/>
          <w:lang w:val="en-US"/>
        </w:rPr>
        <w:t>o</w:t>
      </w:r>
      <w:r>
        <w:rPr>
          <w:lang w:val="en-US"/>
        </w:rPr>
        <w:t>C</w:t>
      </w:r>
      <w:proofErr w:type="spellEnd"/>
      <w:r>
        <w:rPr>
          <w:lang w:val="en-US"/>
        </w:rPr>
        <w:t xml:space="preserve">) and reaction time (30 min) resulted to the highest biodiesel yield of 76.6 </w:t>
      </w:r>
      <w:proofErr w:type="gramStart"/>
      <w:r>
        <w:rPr>
          <w:lang w:val="en-US"/>
        </w:rPr>
        <w:t>%  at</w:t>
      </w:r>
      <w:proofErr w:type="gramEnd"/>
      <w:r>
        <w:rPr>
          <w:lang w:val="en-US"/>
        </w:rPr>
        <w:t xml:space="preserve"> constant methanol-to-oil ratio (4:1, g/g) and catalyst loading (0.5 g). Comparing this result with the biodiesel yields obtained from single effect of the parameters temperature (30 </w:t>
      </w:r>
      <w:proofErr w:type="spellStart"/>
      <w:r>
        <w:rPr>
          <w:vertAlign w:val="superscript"/>
          <w:lang w:val="en-US"/>
        </w:rPr>
        <w:t>o</w:t>
      </w:r>
      <w:r>
        <w:rPr>
          <w:lang w:val="en-US"/>
        </w:rPr>
        <w:t>C</w:t>
      </w:r>
      <w:proofErr w:type="spellEnd"/>
      <w:r>
        <w:rPr>
          <w:lang w:val="en-US"/>
        </w:rPr>
        <w:t xml:space="preserve">), and reaction time (30 min) which were 57.5 % and 54.75 %, respectively showed that the interaction of temperature and time had a positive effect on the biodiesel yield. </w:t>
      </w:r>
    </w:p>
    <w:p w:rsidR="005B502F" w:rsidRDefault="00BF5D4A" w:rsidP="00C87561">
      <w:pPr>
        <w:pStyle w:val="NormalWeb"/>
        <w:jc w:val="both"/>
        <w:rPr>
          <w:lang w:val="en-US"/>
        </w:rPr>
      </w:pPr>
      <w:r>
        <w:rPr>
          <w:noProof/>
          <w:lang w:val="en-US"/>
        </w:rPr>
        <w:lastRenderedPageBreak/>
        <w:drawing>
          <wp:inline distT="0" distB="0" distL="114300" distR="114300">
            <wp:extent cx="5498465" cy="4254500"/>
            <wp:effectExtent l="0" t="0" r="3175" b="12700"/>
            <wp:docPr id="7" name="Picture 7" descr="Picture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36000"/>
                    <pic:cNvPicPr>
                      <a:picLocks noChangeAspect="1"/>
                    </pic:cNvPicPr>
                  </pic:nvPicPr>
                  <pic:blipFill>
                    <a:blip r:embed="rId10"/>
                    <a:stretch>
                      <a:fillRect/>
                    </a:stretch>
                  </pic:blipFill>
                  <pic:spPr>
                    <a:xfrm>
                      <a:off x="0" y="0"/>
                      <a:ext cx="5498465" cy="4254500"/>
                    </a:xfrm>
                    <a:prstGeom prst="rect">
                      <a:avLst/>
                    </a:prstGeom>
                  </pic:spPr>
                </pic:pic>
              </a:graphicData>
            </a:graphic>
          </wp:inline>
        </w:drawing>
      </w:r>
    </w:p>
    <w:p w:rsidR="005B502F" w:rsidRDefault="00BF5D4A" w:rsidP="00C87561">
      <w:pPr>
        <w:pStyle w:val="NormalWeb"/>
        <w:jc w:val="both"/>
        <w:rPr>
          <w:lang w:val="en-US"/>
        </w:rPr>
      </w:pPr>
      <w:r>
        <w:rPr>
          <w:lang w:val="en-US"/>
        </w:rPr>
        <w:t xml:space="preserve">Figure 3. Illustrating the interaction effect of temperature and reaction time on biodiesel yield from the transesterification of rubber seed oil at constant methanol-to-oil ratio (4:1, g/g) and catalyst loading (0.5 g) </w:t>
      </w:r>
    </w:p>
    <w:p w:rsidR="005B502F" w:rsidRDefault="00BF5D4A" w:rsidP="00C87561">
      <w:pPr>
        <w:pStyle w:val="NormalWeb"/>
        <w:jc w:val="both"/>
        <w:rPr>
          <w:lang w:val="en-US"/>
        </w:rPr>
      </w:pPr>
      <w:r>
        <w:rPr>
          <w:lang w:val="en-US"/>
        </w:rPr>
        <w:t xml:space="preserve">The effect of methanol-to-oil ratio and temperature on the biodiesel yield was determined using Equation 2 at the varied operating conditions of methanol-to-oil ratio (2:1, 4:1, 6:1, g/g) and temperature (30, 45, 60 </w:t>
      </w:r>
      <w:proofErr w:type="spellStart"/>
      <w:r>
        <w:rPr>
          <w:vertAlign w:val="superscript"/>
          <w:lang w:val="en-US"/>
        </w:rPr>
        <w:t>o</w:t>
      </w:r>
      <w:r>
        <w:rPr>
          <w:lang w:val="en-US"/>
        </w:rPr>
        <w:t>C</w:t>
      </w:r>
      <w:proofErr w:type="spellEnd"/>
      <w:r>
        <w:rPr>
          <w:lang w:val="en-US"/>
        </w:rPr>
        <w:t xml:space="preserve">) at constant reaction time of 75 min and catalyst loading of 0.5 g. </w:t>
      </w:r>
      <w:proofErr w:type="gramStart"/>
      <w:r>
        <w:rPr>
          <w:lang w:val="en-US"/>
        </w:rPr>
        <w:t>The  CCD</w:t>
      </w:r>
      <w:proofErr w:type="gramEnd"/>
      <w:r>
        <w:rPr>
          <w:lang w:val="en-US"/>
        </w:rPr>
        <w:t xml:space="preserve"> response surface 3D model graph obtained is presented in Figure 4. The result showed that the interaction of methanol-to-oil ratio and temperature contributed to the increase in biodiesel yield from 51.3 - 76.6.</w:t>
      </w:r>
    </w:p>
    <w:p w:rsidR="005B502F" w:rsidRDefault="00BF5D4A" w:rsidP="00C87561">
      <w:pPr>
        <w:pStyle w:val="NormalWeb"/>
        <w:jc w:val="both"/>
        <w:rPr>
          <w:lang w:val="en-US"/>
        </w:rPr>
      </w:pPr>
      <w:r>
        <w:rPr>
          <w:lang w:val="en-US"/>
        </w:rPr>
        <w:t xml:space="preserve">(3). Investigating the interaction effect of methanol-to-oil ratio and reaction time on the biodiesel yield </w:t>
      </w:r>
    </w:p>
    <w:p w:rsidR="005B502F" w:rsidRDefault="00BF5D4A" w:rsidP="00C87561">
      <w:pPr>
        <w:pStyle w:val="NormalWeb"/>
        <w:jc w:val="both"/>
        <w:rPr>
          <w:lang w:val="en-US"/>
        </w:rPr>
      </w:pPr>
      <w:r>
        <w:rPr>
          <w:lang w:val="en-US"/>
        </w:rPr>
        <w:t>This was investigated using Equation 3, at the varied operating parameters of methanol-to-oil ratio (2:1, 4:1, 6:1, g/g) and reaction time (30, 75, 120 min) at constant temperature (45</w:t>
      </w:r>
      <w:r>
        <w:rPr>
          <w:vertAlign w:val="superscript"/>
          <w:lang w:val="en-US"/>
        </w:rPr>
        <w:t xml:space="preserve"> </w:t>
      </w:r>
      <w:proofErr w:type="spellStart"/>
      <w:r>
        <w:rPr>
          <w:vertAlign w:val="superscript"/>
          <w:lang w:val="en-US"/>
        </w:rPr>
        <w:t>o</w:t>
      </w:r>
      <w:r>
        <w:rPr>
          <w:lang w:val="en-US"/>
        </w:rPr>
        <w:t>C</w:t>
      </w:r>
      <w:proofErr w:type="spellEnd"/>
      <w:r>
        <w:rPr>
          <w:lang w:val="en-US"/>
        </w:rPr>
        <w:t xml:space="preserve">) and </w:t>
      </w:r>
    </w:p>
    <w:p w:rsidR="005B502F" w:rsidRDefault="00BF5D4A" w:rsidP="00C87561">
      <w:pPr>
        <w:pStyle w:val="NormalWeb"/>
        <w:jc w:val="both"/>
        <w:rPr>
          <w:lang w:val="en-US"/>
        </w:rPr>
      </w:pPr>
      <w:r>
        <w:rPr>
          <w:noProof/>
          <w:lang w:val="en-US"/>
        </w:rPr>
        <w:lastRenderedPageBreak/>
        <w:drawing>
          <wp:inline distT="0" distB="0" distL="114300" distR="114300">
            <wp:extent cx="5718175" cy="3673475"/>
            <wp:effectExtent l="0" t="0" r="12065" b="14605"/>
            <wp:docPr id="8" name="Picture 8" descr="Picture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46000"/>
                    <pic:cNvPicPr>
                      <a:picLocks noChangeAspect="1"/>
                    </pic:cNvPicPr>
                  </pic:nvPicPr>
                  <pic:blipFill>
                    <a:blip r:embed="rId11"/>
                    <a:stretch>
                      <a:fillRect/>
                    </a:stretch>
                  </pic:blipFill>
                  <pic:spPr>
                    <a:xfrm>
                      <a:off x="0" y="0"/>
                      <a:ext cx="5718175" cy="3673475"/>
                    </a:xfrm>
                    <a:prstGeom prst="rect">
                      <a:avLst/>
                    </a:prstGeom>
                  </pic:spPr>
                </pic:pic>
              </a:graphicData>
            </a:graphic>
          </wp:inline>
        </w:drawing>
      </w:r>
    </w:p>
    <w:p w:rsidR="005B502F" w:rsidRDefault="00BF5D4A" w:rsidP="00C87561">
      <w:pPr>
        <w:pStyle w:val="NormalWeb"/>
        <w:jc w:val="both"/>
        <w:rPr>
          <w:lang w:val="en-US"/>
        </w:rPr>
      </w:pPr>
      <w:r>
        <w:rPr>
          <w:lang w:val="en-US"/>
        </w:rPr>
        <w:t xml:space="preserve">Figure 4. Illustrating the interaction effect of methanol-to-oil and temperature on biodiesel yield from the transesterification of rubber seed oil at constant reaction time (75 min) and catalyst loading (0.5 g) </w:t>
      </w:r>
    </w:p>
    <w:p w:rsidR="005B502F" w:rsidRDefault="00BF5D4A" w:rsidP="00C87561">
      <w:pPr>
        <w:pStyle w:val="NormalWeb"/>
        <w:jc w:val="both"/>
        <w:rPr>
          <w:lang w:val="en-US"/>
        </w:rPr>
      </w:pPr>
      <w:r>
        <w:rPr>
          <w:lang w:val="en-US"/>
        </w:rPr>
        <w:t xml:space="preserve">catalyst loading (0.5 g). The CCD response surface model graph obtained is presented in Figure 5. The result show that the interaction of methanol-to-oil ratio (2:1, g/g) and reaction time (30 min) resulted to the highest biodiesel yield of 67 </w:t>
      </w:r>
      <w:proofErr w:type="gramStart"/>
      <w:r>
        <w:rPr>
          <w:lang w:val="en-US"/>
        </w:rPr>
        <w:t>%  at</w:t>
      </w:r>
      <w:proofErr w:type="gramEnd"/>
      <w:r>
        <w:rPr>
          <w:lang w:val="en-US"/>
        </w:rPr>
        <w:t xml:space="preserve"> constant temperature (45 </w:t>
      </w:r>
      <w:proofErr w:type="spellStart"/>
      <w:r>
        <w:rPr>
          <w:vertAlign w:val="superscript"/>
          <w:lang w:val="en-US"/>
        </w:rPr>
        <w:t>o</w:t>
      </w:r>
      <w:r>
        <w:rPr>
          <w:lang w:val="en-US"/>
        </w:rPr>
        <w:t>C</w:t>
      </w:r>
      <w:proofErr w:type="spellEnd"/>
      <w:r>
        <w:rPr>
          <w:lang w:val="en-US"/>
        </w:rPr>
        <w:t xml:space="preserve">) and catalyst loading (0.5 g). </w:t>
      </w:r>
    </w:p>
    <w:p w:rsidR="005B502F" w:rsidRDefault="00BF5D4A" w:rsidP="00C87561">
      <w:pPr>
        <w:pStyle w:val="NormalWeb"/>
        <w:jc w:val="both"/>
        <w:rPr>
          <w:lang w:val="en-US"/>
        </w:rPr>
      </w:pPr>
      <w:r>
        <w:rPr>
          <w:noProof/>
          <w:lang w:val="en-US"/>
        </w:rPr>
        <w:lastRenderedPageBreak/>
        <w:drawing>
          <wp:inline distT="0" distB="0" distL="114300" distR="114300">
            <wp:extent cx="5219065" cy="3143250"/>
            <wp:effectExtent l="0" t="0" r="8255" b="11430"/>
            <wp:docPr id="9" name="Picture 9" descr="Picture5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56000"/>
                    <pic:cNvPicPr>
                      <a:picLocks noChangeAspect="1"/>
                    </pic:cNvPicPr>
                  </pic:nvPicPr>
                  <pic:blipFill>
                    <a:blip r:embed="rId12"/>
                    <a:stretch>
                      <a:fillRect/>
                    </a:stretch>
                  </pic:blipFill>
                  <pic:spPr>
                    <a:xfrm>
                      <a:off x="0" y="0"/>
                      <a:ext cx="5219065" cy="3143250"/>
                    </a:xfrm>
                    <a:prstGeom prst="rect">
                      <a:avLst/>
                    </a:prstGeom>
                  </pic:spPr>
                </pic:pic>
              </a:graphicData>
            </a:graphic>
          </wp:inline>
        </w:drawing>
      </w:r>
    </w:p>
    <w:p w:rsidR="005B502F" w:rsidRDefault="005B502F" w:rsidP="00C87561">
      <w:pPr>
        <w:pStyle w:val="NormalWeb"/>
        <w:jc w:val="both"/>
      </w:pPr>
    </w:p>
    <w:p w:rsidR="005B502F" w:rsidRDefault="00BF5D4A" w:rsidP="00C87561">
      <w:pPr>
        <w:pStyle w:val="NormalWeb"/>
        <w:jc w:val="both"/>
        <w:rPr>
          <w:lang w:val="en-US"/>
        </w:rPr>
      </w:pPr>
      <w:r>
        <w:rPr>
          <w:lang w:val="en-US"/>
        </w:rPr>
        <w:t xml:space="preserve">Figure 5. Illustrating the interaction effect of methanol-to-oil ratio and temperature on biodiesel yield from the transesterification of rubber seed oil at constant temperature of (45 </w:t>
      </w:r>
      <w:proofErr w:type="spellStart"/>
      <w:r>
        <w:rPr>
          <w:vertAlign w:val="superscript"/>
          <w:lang w:val="en-US"/>
        </w:rPr>
        <w:t>o</w:t>
      </w:r>
      <w:r>
        <w:rPr>
          <w:lang w:val="en-US"/>
        </w:rPr>
        <w:t>C</w:t>
      </w:r>
      <w:proofErr w:type="spellEnd"/>
      <w:r>
        <w:rPr>
          <w:lang w:val="en-US"/>
        </w:rPr>
        <w:t xml:space="preserve">) and catalyst loading (0.5 g) </w:t>
      </w:r>
    </w:p>
    <w:p w:rsidR="005B502F" w:rsidRDefault="00BF5D4A" w:rsidP="00C87561">
      <w:pPr>
        <w:pStyle w:val="NormalWeb"/>
        <w:jc w:val="both"/>
        <w:rPr>
          <w:b/>
          <w:bCs/>
          <w:lang w:val="en-US"/>
        </w:rPr>
      </w:pPr>
      <w:r>
        <w:rPr>
          <w:b/>
          <w:bCs/>
          <w:lang w:val="en-US"/>
        </w:rPr>
        <w:t>3.3 Analysis of the biodiesel produced from the transesterification of rubber seed oil (based US and EU biodiesel specifications)</w:t>
      </w:r>
    </w:p>
    <w:p w:rsidR="005B502F" w:rsidRDefault="00BF5D4A" w:rsidP="00C87561">
      <w:pPr>
        <w:pStyle w:val="NormalWeb"/>
        <w:jc w:val="both"/>
        <w:rPr>
          <w:lang w:val="en-US"/>
        </w:rPr>
      </w:pPr>
      <w:r>
        <w:rPr>
          <w:lang w:val="en-US"/>
        </w:rPr>
        <w:t xml:space="preserve">(A) The physicochemical properties of biodiesel </w:t>
      </w:r>
    </w:p>
    <w:p w:rsidR="005B502F" w:rsidRDefault="00BF5D4A" w:rsidP="00C87561">
      <w:pPr>
        <w:pStyle w:val="NormalWeb"/>
        <w:jc w:val="both"/>
        <w:rPr>
          <w:lang w:val="en-US"/>
        </w:rPr>
      </w:pPr>
      <w:r>
        <w:rPr>
          <w:lang w:val="en-US"/>
        </w:rPr>
        <w:t xml:space="preserve">The properties were </w:t>
      </w:r>
      <w:proofErr w:type="spellStart"/>
      <w:r>
        <w:rPr>
          <w:lang w:val="en-US"/>
        </w:rPr>
        <w:t>analysed</w:t>
      </w:r>
      <w:proofErr w:type="spellEnd"/>
      <w:r>
        <w:rPr>
          <w:lang w:val="en-US"/>
        </w:rPr>
        <w:t xml:space="preserve"> to determine the suitability of the biodiesel produced from the transesterification of rubber seed oil as fuel for automobile engines. The method used had been presented earlier in section 2. The results obtained are presented in Table 5.</w:t>
      </w:r>
    </w:p>
    <w:p w:rsidR="005B502F" w:rsidRDefault="00BF5D4A" w:rsidP="00C87561">
      <w:pPr>
        <w:pStyle w:val="NormalWeb"/>
        <w:jc w:val="both"/>
        <w:rPr>
          <w:lang w:val="en-US"/>
        </w:rPr>
      </w:pPr>
      <w:r>
        <w:rPr>
          <w:lang w:val="en-US"/>
        </w:rPr>
        <w:t>Table 5. The physicochemical properties of biodiesel obtained from the transesterification of rubber seed oil</w:t>
      </w:r>
    </w:p>
    <w:tbl>
      <w:tblPr>
        <w:tblStyle w:val="TableGrid"/>
        <w:tblpPr w:leftFromText="180" w:rightFromText="180" w:vertAnchor="text" w:horzAnchor="page" w:tblpX="259" w:tblpY="274"/>
        <w:tblOverlap w:val="never"/>
        <w:tblW w:w="11502" w:type="dxa"/>
        <w:tblLayout w:type="fixed"/>
        <w:tblLook w:val="04A0" w:firstRow="1" w:lastRow="0" w:firstColumn="1" w:lastColumn="0" w:noHBand="0" w:noVBand="1"/>
      </w:tblPr>
      <w:tblGrid>
        <w:gridCol w:w="582"/>
        <w:gridCol w:w="1880"/>
        <w:gridCol w:w="1160"/>
        <w:gridCol w:w="1253"/>
        <w:gridCol w:w="1134"/>
        <w:gridCol w:w="866"/>
        <w:gridCol w:w="1507"/>
        <w:gridCol w:w="1373"/>
        <w:gridCol w:w="1747"/>
      </w:tblGrid>
      <w:tr w:rsidR="005B502F">
        <w:trPr>
          <w:trHeight w:val="1147"/>
        </w:trPr>
        <w:tc>
          <w:tcPr>
            <w:tcW w:w="582"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S/N</w:t>
            </w:r>
          </w:p>
        </w:tc>
        <w:tc>
          <w:tcPr>
            <w:tcW w:w="1880"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Property</w:t>
            </w:r>
          </w:p>
        </w:tc>
        <w:tc>
          <w:tcPr>
            <w:tcW w:w="1160"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ASTM D975-08a</w:t>
            </w:r>
          </w:p>
        </w:tc>
        <w:tc>
          <w:tcPr>
            <w:tcW w:w="1253"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 xml:space="preserve">ASTM </w:t>
            </w:r>
          </w:p>
        </w:tc>
        <w:tc>
          <w:tcPr>
            <w:tcW w:w="1134"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EN 590:2004</w:t>
            </w:r>
          </w:p>
        </w:tc>
        <w:tc>
          <w:tcPr>
            <w:tcW w:w="866"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EN 14214:2012</w:t>
            </w:r>
          </w:p>
        </w:tc>
        <w:tc>
          <w:tcPr>
            <w:tcW w:w="1507"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Biodiesel from the current work</w:t>
            </w:r>
          </w:p>
        </w:tc>
        <w:tc>
          <w:tcPr>
            <w:tcW w:w="1373"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Biodiesel property from literature</w:t>
            </w:r>
          </w:p>
        </w:tc>
        <w:tc>
          <w:tcPr>
            <w:tcW w:w="1747" w:type="dxa"/>
            <w:tcBorders>
              <w:top w:val="single" w:sz="8" w:space="0" w:color="FFFFFF"/>
              <w:left w:val="single" w:sz="8" w:space="0" w:color="FFFFFF"/>
              <w:bottom w:val="single" w:sz="18" w:space="0" w:color="FFFFFF"/>
              <w:right w:val="single" w:sz="8" w:space="0" w:color="FFFFFF"/>
            </w:tcBorders>
            <w:shd w:val="clear" w:color="auto" w:fill="000000"/>
          </w:tcPr>
          <w:p w:rsidR="005B502F" w:rsidRDefault="00BF5D4A" w:rsidP="00C87561">
            <w:pPr>
              <w:pStyle w:val="NormalWeb"/>
              <w:jc w:val="both"/>
              <w:rPr>
                <w:lang w:val="en-US"/>
              </w:rPr>
            </w:pPr>
            <w:r>
              <w:rPr>
                <w:lang w:val="en-US"/>
              </w:rPr>
              <w:t>Ref.</w:t>
            </w:r>
          </w:p>
        </w:tc>
      </w:tr>
      <w:tr w:rsidR="005B502F">
        <w:trPr>
          <w:trHeight w:val="599"/>
        </w:trPr>
        <w:tc>
          <w:tcPr>
            <w:tcW w:w="582"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w:t>
            </w:r>
          </w:p>
        </w:tc>
        <w:tc>
          <w:tcPr>
            <w:tcW w:w="1880"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Refractive Index</w:t>
            </w:r>
          </w:p>
        </w:tc>
        <w:tc>
          <w:tcPr>
            <w:tcW w:w="1160"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253"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134"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pPr>
          </w:p>
        </w:tc>
        <w:tc>
          <w:tcPr>
            <w:tcW w:w="866"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507"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1.446</w:t>
            </w:r>
          </w:p>
        </w:tc>
        <w:tc>
          <w:tcPr>
            <w:tcW w:w="1373"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747"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r>
      <w:tr w:rsidR="005B502F">
        <w:trPr>
          <w:trHeight w:val="59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lastRenderedPageBreak/>
              <w:t>2.</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Density (g/m</w:t>
            </w:r>
            <w:r>
              <w:rPr>
                <w:vertAlign w:val="superscript"/>
                <w:lang w:val="en-US"/>
              </w:rPr>
              <w:t>3</w:t>
            </w:r>
            <w:r>
              <w:rPr>
                <w:lang w:val="en-US"/>
              </w:rPr>
              <w:t>)</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860-900</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848.4</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860 ±0.015</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proofErr w:type="spellStart"/>
            <w:r>
              <w:rPr>
                <w:lang w:val="en-US"/>
              </w:rPr>
              <w:t>Karmakar</w:t>
            </w:r>
            <w:proofErr w:type="spellEnd"/>
            <w:r>
              <w:rPr>
                <w:lang w:val="en-US"/>
              </w:rPr>
              <w:t xml:space="preserve"> et al. (2022)</w:t>
            </w:r>
          </w:p>
        </w:tc>
      </w:tr>
      <w:tr w:rsidR="005B502F">
        <w:trPr>
          <w:trHeight w:val="599"/>
        </w:trPr>
        <w:tc>
          <w:tcPr>
            <w:tcW w:w="582"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3.</w:t>
            </w:r>
          </w:p>
        </w:tc>
        <w:tc>
          <w:tcPr>
            <w:tcW w:w="188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Specific gravity</w:t>
            </w:r>
          </w:p>
        </w:tc>
        <w:tc>
          <w:tcPr>
            <w:tcW w:w="116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 xml:space="preserve">0.86 - 0.9 (at 40 </w:t>
            </w:r>
            <w:proofErr w:type="spellStart"/>
            <w:r>
              <w:rPr>
                <w:vertAlign w:val="superscript"/>
                <w:lang w:val="en-US"/>
              </w:rPr>
              <w:t>o</w:t>
            </w:r>
            <w:r>
              <w:rPr>
                <w:lang w:val="en-US"/>
              </w:rPr>
              <w:t>C</w:t>
            </w:r>
            <w:proofErr w:type="spellEnd"/>
            <w:r>
              <w:rPr>
                <w:lang w:val="en-US"/>
              </w:rPr>
              <w:t>)</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0.8675</w:t>
            </w:r>
          </w:p>
        </w:tc>
        <w:tc>
          <w:tcPr>
            <w:tcW w:w="137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0.8705</w:t>
            </w:r>
          </w:p>
        </w:tc>
        <w:tc>
          <w:tcPr>
            <w:tcW w:w="174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proofErr w:type="spellStart"/>
            <w:r>
              <w:rPr>
                <w:lang w:val="en-US"/>
              </w:rPr>
              <w:t>Reshad</w:t>
            </w:r>
            <w:proofErr w:type="spellEnd"/>
            <w:r>
              <w:rPr>
                <w:lang w:val="en-US"/>
              </w:rPr>
              <w:t xml:space="preserve"> et al. (2015)</w:t>
            </w:r>
          </w:p>
        </w:tc>
      </w:tr>
      <w:tr w:rsidR="005B502F">
        <w:trPr>
          <w:trHeight w:val="59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4.</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 xml:space="preserve">Viscosity at 40 </w:t>
            </w:r>
            <w:proofErr w:type="spellStart"/>
            <w:r>
              <w:rPr>
                <w:vertAlign w:val="superscript"/>
                <w:lang w:val="en-US"/>
              </w:rPr>
              <w:t>o</w:t>
            </w:r>
            <w:r>
              <w:rPr>
                <w:lang w:val="en-US"/>
              </w:rPr>
              <w:t>C</w:t>
            </w:r>
            <w:proofErr w:type="spellEnd"/>
            <w:r>
              <w:rPr>
                <w:lang w:val="en-US"/>
              </w:rPr>
              <w:t>(mm</w:t>
            </w:r>
            <w:r>
              <w:rPr>
                <w:vertAlign w:val="superscript"/>
                <w:lang w:val="en-US"/>
              </w:rPr>
              <w:t>2</w:t>
            </w:r>
            <w:r>
              <w:rPr>
                <w:lang w:val="en-US"/>
              </w:rPr>
              <w:t>/s)</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1.9 - 6.0</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2.030</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3.82</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Adam et al. (2017)</w:t>
            </w:r>
          </w:p>
        </w:tc>
      </w:tr>
      <w:tr w:rsidR="005B502F">
        <w:trPr>
          <w:trHeight w:val="309"/>
        </w:trPr>
        <w:tc>
          <w:tcPr>
            <w:tcW w:w="582"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5.</w:t>
            </w:r>
          </w:p>
        </w:tc>
        <w:tc>
          <w:tcPr>
            <w:tcW w:w="188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Kinematic viscosity (mm</w:t>
            </w:r>
            <w:r>
              <w:rPr>
                <w:vertAlign w:val="superscript"/>
                <w:lang w:val="en-US"/>
              </w:rPr>
              <w:t>2</w:t>
            </w:r>
            <w:r>
              <w:rPr>
                <w:lang w:val="en-US"/>
              </w:rPr>
              <w:t>/s)</w:t>
            </w:r>
          </w:p>
        </w:tc>
        <w:tc>
          <w:tcPr>
            <w:tcW w:w="116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1.3 - 2.4</w:t>
            </w:r>
          </w:p>
        </w:tc>
        <w:tc>
          <w:tcPr>
            <w:tcW w:w="125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1.9 - 6.0</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2.0 - 4.5</w:t>
            </w:r>
          </w:p>
        </w:tc>
        <w:tc>
          <w:tcPr>
            <w:tcW w:w="866"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3.5 - 5.0</w:t>
            </w:r>
          </w:p>
        </w:tc>
        <w:tc>
          <w:tcPr>
            <w:tcW w:w="150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1.722</w:t>
            </w:r>
          </w:p>
        </w:tc>
        <w:tc>
          <w:tcPr>
            <w:tcW w:w="137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3.89</w:t>
            </w:r>
          </w:p>
        </w:tc>
        <w:tc>
          <w:tcPr>
            <w:tcW w:w="174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Ahmed et al. (2014)</w:t>
            </w:r>
          </w:p>
        </w:tc>
      </w:tr>
      <w:tr w:rsidR="005B502F">
        <w:trPr>
          <w:trHeight w:val="30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6.</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Acid value (mg KOH/g)</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0.5</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0.5</w:t>
            </w: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0.5</w:t>
            </w: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1.604</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proofErr w:type="gramStart"/>
            <w:r>
              <w:rPr>
                <w:lang w:val="en-US"/>
              </w:rPr>
              <w:t>0.58  ±</w:t>
            </w:r>
            <w:proofErr w:type="gramEnd"/>
            <w:r>
              <w:rPr>
                <w:lang w:val="en-US"/>
              </w:rPr>
              <w:t>0.01</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proofErr w:type="spellStart"/>
            <w:r>
              <w:rPr>
                <w:lang w:val="en-US"/>
              </w:rPr>
              <w:t>Karmakar</w:t>
            </w:r>
            <w:proofErr w:type="spellEnd"/>
            <w:r>
              <w:rPr>
                <w:lang w:val="en-US"/>
              </w:rPr>
              <w:t xml:space="preserve"> et al. (2022)</w:t>
            </w:r>
          </w:p>
        </w:tc>
      </w:tr>
      <w:tr w:rsidR="005B502F">
        <w:trPr>
          <w:trHeight w:val="309"/>
        </w:trPr>
        <w:tc>
          <w:tcPr>
            <w:tcW w:w="582"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7.</w:t>
            </w:r>
          </w:p>
        </w:tc>
        <w:tc>
          <w:tcPr>
            <w:tcW w:w="188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Free fatty acid (%)</w:t>
            </w:r>
          </w:p>
        </w:tc>
        <w:tc>
          <w:tcPr>
            <w:tcW w:w="116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134"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0.802</w:t>
            </w:r>
          </w:p>
        </w:tc>
        <w:tc>
          <w:tcPr>
            <w:tcW w:w="137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74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r>
      <w:tr w:rsidR="005B502F">
        <w:trPr>
          <w:trHeight w:val="30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8.</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Flash point, min (</w:t>
            </w:r>
            <w:proofErr w:type="spellStart"/>
            <w:r>
              <w:rPr>
                <w:vertAlign w:val="superscript"/>
                <w:lang w:val="en-US"/>
              </w:rPr>
              <w:t>o</w:t>
            </w:r>
            <w:r>
              <w:rPr>
                <w:lang w:val="en-US"/>
              </w:rPr>
              <w:t>C</w:t>
            </w:r>
            <w:proofErr w:type="spellEnd"/>
            <w:r>
              <w:rPr>
                <w:lang w:val="en-US"/>
              </w:rPr>
              <w:t>)</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 xml:space="preserve">38 </w:t>
            </w: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 xml:space="preserve"> 55 </w:t>
            </w: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101</w:t>
            </w: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 xml:space="preserve">89.4 </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136 ±1.25</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proofErr w:type="spellStart"/>
            <w:r>
              <w:rPr>
                <w:lang w:val="en-US"/>
              </w:rPr>
              <w:t>Karmakar</w:t>
            </w:r>
            <w:proofErr w:type="spellEnd"/>
            <w:r>
              <w:rPr>
                <w:lang w:val="en-US"/>
              </w:rPr>
              <w:t xml:space="preserve"> et al. (2022)</w:t>
            </w:r>
          </w:p>
        </w:tc>
      </w:tr>
      <w:tr w:rsidR="005B502F">
        <w:trPr>
          <w:trHeight w:val="309"/>
        </w:trPr>
        <w:tc>
          <w:tcPr>
            <w:tcW w:w="582"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9.</w:t>
            </w:r>
          </w:p>
        </w:tc>
        <w:tc>
          <w:tcPr>
            <w:tcW w:w="188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Pour Point (</w:t>
            </w:r>
            <w:proofErr w:type="spellStart"/>
            <w:r>
              <w:rPr>
                <w:vertAlign w:val="superscript"/>
                <w:lang w:val="en-US"/>
              </w:rPr>
              <w:t>o</w:t>
            </w:r>
            <w:r>
              <w:rPr>
                <w:lang w:val="en-US"/>
              </w:rPr>
              <w:t>C</w:t>
            </w:r>
            <w:proofErr w:type="spellEnd"/>
            <w:r>
              <w:rPr>
                <w:lang w:val="en-US"/>
              </w:rPr>
              <w:t>)</w:t>
            </w:r>
          </w:p>
        </w:tc>
        <w:tc>
          <w:tcPr>
            <w:tcW w:w="116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134"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-15 to -5</w:t>
            </w:r>
          </w:p>
        </w:tc>
        <w:tc>
          <w:tcPr>
            <w:tcW w:w="866"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 xml:space="preserve">-3.8 </w:t>
            </w:r>
          </w:p>
        </w:tc>
        <w:tc>
          <w:tcPr>
            <w:tcW w:w="137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-3</w:t>
            </w:r>
          </w:p>
          <w:p w:rsidR="005B502F" w:rsidRDefault="005B502F" w:rsidP="00C87561">
            <w:pPr>
              <w:pStyle w:val="NormalWeb"/>
              <w:jc w:val="both"/>
              <w:rPr>
                <w:lang w:val="en-US"/>
              </w:rPr>
            </w:pPr>
          </w:p>
          <w:p w:rsidR="005B502F" w:rsidRDefault="00BF5D4A" w:rsidP="00C87561">
            <w:pPr>
              <w:pStyle w:val="NormalWeb"/>
              <w:jc w:val="both"/>
              <w:rPr>
                <w:lang w:val="en-US"/>
              </w:rPr>
            </w:pPr>
            <w:r>
              <w:rPr>
                <w:lang w:val="en-US"/>
              </w:rPr>
              <w:t>-1.3</w:t>
            </w:r>
          </w:p>
        </w:tc>
        <w:tc>
          <w:tcPr>
            <w:tcW w:w="174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fr-FR"/>
              </w:rPr>
            </w:pPr>
            <w:proofErr w:type="spellStart"/>
            <w:r>
              <w:rPr>
                <w:lang w:val="fr-FR"/>
              </w:rPr>
              <w:t>Reshad</w:t>
            </w:r>
            <w:proofErr w:type="spellEnd"/>
            <w:r>
              <w:rPr>
                <w:lang w:val="fr-FR"/>
              </w:rPr>
              <w:t xml:space="preserve"> et al. (2015)</w:t>
            </w:r>
          </w:p>
          <w:p w:rsidR="005B502F" w:rsidRDefault="00BF5D4A" w:rsidP="00C87561">
            <w:pPr>
              <w:pStyle w:val="NormalWeb"/>
              <w:jc w:val="both"/>
              <w:rPr>
                <w:lang w:val="en-US"/>
              </w:rPr>
            </w:pPr>
            <w:r>
              <w:rPr>
                <w:lang w:val="fr-FR"/>
              </w:rPr>
              <w:t xml:space="preserve">Adam et al. </w:t>
            </w:r>
            <w:r>
              <w:rPr>
                <w:lang w:val="en-US"/>
              </w:rPr>
              <w:t>(2017)</w:t>
            </w:r>
          </w:p>
        </w:tc>
      </w:tr>
      <w:tr w:rsidR="005B502F">
        <w:trPr>
          <w:trHeight w:val="32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10.</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Cloud Point (</w:t>
            </w:r>
            <w:proofErr w:type="spellStart"/>
            <w:r>
              <w:rPr>
                <w:vertAlign w:val="superscript"/>
                <w:lang w:val="en-US"/>
              </w:rPr>
              <w:t>o</w:t>
            </w:r>
            <w:r>
              <w:rPr>
                <w:lang w:val="en-US"/>
              </w:rPr>
              <w:t>C</w:t>
            </w:r>
            <w:proofErr w:type="spellEnd"/>
            <w:r>
              <w:rPr>
                <w:lang w:val="en-US"/>
              </w:rPr>
              <w:t>)</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pP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-35 to -15</w:t>
            </w: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 xml:space="preserve">-5.2 </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3.2</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Ahmed et al. (2014)</w:t>
            </w:r>
          </w:p>
        </w:tc>
      </w:tr>
      <w:tr w:rsidR="005B502F">
        <w:trPr>
          <w:trHeight w:val="329"/>
        </w:trPr>
        <w:tc>
          <w:tcPr>
            <w:tcW w:w="582"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11.</w:t>
            </w:r>
          </w:p>
        </w:tc>
        <w:tc>
          <w:tcPr>
            <w:tcW w:w="188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Calorific value (MJ/kg)</w:t>
            </w:r>
          </w:p>
        </w:tc>
        <w:tc>
          <w:tcPr>
            <w:tcW w:w="1160"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pPr>
          </w:p>
        </w:tc>
        <w:tc>
          <w:tcPr>
            <w:tcW w:w="125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35 min</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5B502F" w:rsidP="00C87561">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40.1042</w:t>
            </w:r>
          </w:p>
        </w:tc>
        <w:tc>
          <w:tcPr>
            <w:tcW w:w="1373"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r>
              <w:rPr>
                <w:lang w:val="en-US"/>
              </w:rPr>
              <w:t>39.53</w:t>
            </w:r>
          </w:p>
        </w:tc>
        <w:tc>
          <w:tcPr>
            <w:tcW w:w="1747"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pStyle w:val="NormalWeb"/>
              <w:jc w:val="both"/>
              <w:rPr>
                <w:lang w:val="en-US"/>
              </w:rPr>
            </w:pPr>
            <w:proofErr w:type="spellStart"/>
            <w:r>
              <w:rPr>
                <w:lang w:val="en-US"/>
              </w:rPr>
              <w:t>Reshad</w:t>
            </w:r>
            <w:proofErr w:type="spellEnd"/>
            <w:r>
              <w:rPr>
                <w:lang w:val="en-US"/>
              </w:rPr>
              <w:t xml:space="preserve"> et al. (2015)</w:t>
            </w:r>
          </w:p>
        </w:tc>
      </w:tr>
      <w:tr w:rsidR="005B502F">
        <w:trPr>
          <w:trHeight w:val="32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12.</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Cetane number</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pP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47 min</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r>
              <w:rPr>
                <w:lang w:val="en-US"/>
              </w:rPr>
              <w:t>46.9</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proofErr w:type="gramStart"/>
            <w:r>
              <w:rPr>
                <w:lang w:val="en-US"/>
              </w:rPr>
              <w:t>49.8  ±</w:t>
            </w:r>
            <w:proofErr w:type="gramEnd"/>
            <w:r>
              <w:rPr>
                <w:lang w:val="en-US"/>
              </w:rPr>
              <w:t>0.3</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pStyle w:val="NormalWeb"/>
              <w:jc w:val="both"/>
              <w:rPr>
                <w:lang w:val="en-US"/>
              </w:rPr>
            </w:pPr>
            <w:proofErr w:type="spellStart"/>
            <w:r>
              <w:rPr>
                <w:lang w:val="en-US"/>
              </w:rPr>
              <w:t>Karmakar</w:t>
            </w:r>
            <w:proofErr w:type="spellEnd"/>
            <w:r>
              <w:rPr>
                <w:lang w:val="en-US"/>
              </w:rPr>
              <w:t xml:space="preserve"> et al. (2022)</w:t>
            </w:r>
          </w:p>
        </w:tc>
      </w:tr>
    </w:tbl>
    <w:p w:rsidR="005B502F" w:rsidRDefault="005B502F" w:rsidP="00C87561">
      <w:pPr>
        <w:pStyle w:val="NormalWeb"/>
        <w:jc w:val="both"/>
        <w:rPr>
          <w:rStyle w:val="Strong"/>
          <w:rFonts w:eastAsiaTheme="majorEastAsia"/>
          <w:lang w:val="en-US"/>
        </w:rPr>
      </w:pPr>
    </w:p>
    <w:p w:rsidR="005B502F" w:rsidRDefault="00BF5D4A" w:rsidP="00C87561">
      <w:pPr>
        <w:pStyle w:val="NormalWeb"/>
        <w:jc w:val="both"/>
        <w:rPr>
          <w:rStyle w:val="Strong"/>
          <w:rFonts w:eastAsiaTheme="majorEastAsia"/>
        </w:rPr>
      </w:pPr>
      <w:r>
        <w:rPr>
          <w:rStyle w:val="Strong"/>
          <w:rFonts w:eastAsiaTheme="majorEastAsia"/>
          <w:lang w:val="en-US"/>
        </w:rPr>
        <w:t>(</w:t>
      </w:r>
      <w:proofErr w:type="spellStart"/>
      <w:r>
        <w:rPr>
          <w:rStyle w:val="Strong"/>
          <w:rFonts w:eastAsiaTheme="majorEastAsia"/>
          <w:lang w:val="en-US"/>
        </w:rPr>
        <w:t>i</w:t>
      </w:r>
      <w:proofErr w:type="spellEnd"/>
      <w:r>
        <w:rPr>
          <w:rStyle w:val="Strong"/>
          <w:rFonts w:eastAsiaTheme="majorEastAsia"/>
          <w:lang w:val="en-US"/>
        </w:rPr>
        <w:t xml:space="preserve">). </w:t>
      </w:r>
      <w:r>
        <w:rPr>
          <w:rStyle w:val="Strong"/>
          <w:rFonts w:eastAsiaTheme="majorEastAsia"/>
        </w:rPr>
        <w:t>Flash Point</w:t>
      </w:r>
    </w:p>
    <w:p w:rsidR="005B502F" w:rsidRDefault="00BF5D4A" w:rsidP="00C87561">
      <w:pPr>
        <w:pStyle w:val="NormalWeb"/>
        <w:jc w:val="both"/>
      </w:pPr>
      <w:r>
        <w:t xml:space="preserve">The flash point of a substance, such as biodiesel, refers to the </w:t>
      </w:r>
      <w:r>
        <w:rPr>
          <w:lang w:val="en-US"/>
        </w:rPr>
        <w:t xml:space="preserve">lowest </w:t>
      </w:r>
      <w:r>
        <w:t xml:space="preserve">temperature at which its </w:t>
      </w:r>
      <w:proofErr w:type="spellStart"/>
      <w:r>
        <w:t>vapors</w:t>
      </w:r>
      <w:proofErr w:type="spellEnd"/>
      <w:r>
        <w:t xml:space="preserve"> can ignite when exposed to an external ignition source (</w:t>
      </w:r>
      <w:proofErr w:type="spellStart"/>
      <w:r>
        <w:rPr>
          <w:lang w:eastAsia="zh-CN"/>
        </w:rPr>
        <w:t>Kaisan</w:t>
      </w:r>
      <w:proofErr w:type="spellEnd"/>
      <w:r>
        <w:rPr>
          <w:lang w:eastAsia="zh-CN"/>
        </w:rPr>
        <w:t xml:space="preserve"> </w:t>
      </w:r>
      <w:r>
        <w:rPr>
          <w:i/>
          <w:iCs/>
          <w:lang w:eastAsia="zh-CN"/>
        </w:rPr>
        <w:t>et al.,</w:t>
      </w:r>
      <w:r>
        <w:rPr>
          <w:lang w:eastAsia="zh-CN"/>
        </w:rPr>
        <w:t xml:space="preserve"> 2020)</w:t>
      </w:r>
      <w:r>
        <w:t>.</w:t>
      </w:r>
      <w:r>
        <w:rPr>
          <w:lang w:val="en-US"/>
        </w:rPr>
        <w:t xml:space="preserve"> </w:t>
      </w:r>
      <w:r>
        <w:t xml:space="preserve">It serves as a crucial safety parameter, delineating the temperature threshold below which the substance's </w:t>
      </w:r>
      <w:proofErr w:type="spellStart"/>
      <w:r>
        <w:t>vapors</w:t>
      </w:r>
      <w:proofErr w:type="spellEnd"/>
      <w:r>
        <w:t xml:space="preserve"> can readily ignite, posing potential fire hazards.</w:t>
      </w:r>
      <w:r>
        <w:rPr>
          <w:lang w:val="en-US"/>
        </w:rPr>
        <w:t xml:space="preserve"> C</w:t>
      </w:r>
      <w:proofErr w:type="spellStart"/>
      <w:r>
        <w:t>omplying</w:t>
      </w:r>
      <w:proofErr w:type="spellEnd"/>
      <w:r>
        <w:t xml:space="preserve"> with specified flash point standards is paramount to ensure safe handling, storage, and transportation (</w:t>
      </w:r>
      <w:proofErr w:type="spellStart"/>
      <w:r>
        <w:rPr>
          <w:lang w:eastAsia="zh-CN"/>
        </w:rPr>
        <w:t>Kaisan</w:t>
      </w:r>
      <w:proofErr w:type="spellEnd"/>
      <w:r>
        <w:rPr>
          <w:lang w:eastAsia="zh-CN"/>
        </w:rPr>
        <w:t xml:space="preserve"> </w:t>
      </w:r>
      <w:r>
        <w:rPr>
          <w:i/>
          <w:iCs/>
          <w:lang w:eastAsia="zh-CN"/>
        </w:rPr>
        <w:t>et al.,</w:t>
      </w:r>
      <w:r>
        <w:rPr>
          <w:lang w:eastAsia="zh-CN"/>
        </w:rPr>
        <w:t xml:space="preserve"> 2020; Fu, 2019)</w:t>
      </w:r>
      <w:r>
        <w:t>.</w:t>
      </w:r>
      <w:r>
        <w:rPr>
          <w:lang w:val="en-US"/>
        </w:rPr>
        <w:t xml:space="preserve"> </w:t>
      </w:r>
      <w:r>
        <w:t xml:space="preserve">The ASTM D975-08a standard stipulates a minimum flash point of 38°C for No. 1 diesel, establishing a baseline for safe operation within the fuel industry. </w:t>
      </w:r>
      <w:r>
        <w:rPr>
          <w:lang w:val="en-US"/>
        </w:rPr>
        <w:t xml:space="preserve">From Table 5, the flash point of the biodiesel obtained from this work was 89.4 </w:t>
      </w:r>
      <w:proofErr w:type="spellStart"/>
      <w:r>
        <w:rPr>
          <w:vertAlign w:val="superscript"/>
          <w:lang w:val="en-US"/>
        </w:rPr>
        <w:t>o</w:t>
      </w:r>
      <w:r>
        <w:rPr>
          <w:lang w:val="en-US"/>
        </w:rPr>
        <w:t>C</w:t>
      </w:r>
      <w:proofErr w:type="spellEnd"/>
      <w:r>
        <w:rPr>
          <w:lang w:val="en-US"/>
        </w:rPr>
        <w:t xml:space="preserve"> which is greater than the minimum of 38 </w:t>
      </w:r>
      <w:proofErr w:type="spellStart"/>
      <w:r>
        <w:rPr>
          <w:vertAlign w:val="superscript"/>
          <w:lang w:val="en-US"/>
        </w:rPr>
        <w:t>o</w:t>
      </w:r>
      <w:r>
        <w:rPr>
          <w:lang w:val="en-US"/>
        </w:rPr>
        <w:t>C</w:t>
      </w:r>
      <w:proofErr w:type="spellEnd"/>
      <w:r>
        <w:rPr>
          <w:lang w:val="en-US"/>
        </w:rPr>
        <w:t xml:space="preserve"> prescribed in the ASTM standard. This shows that the biodiesel may not </w:t>
      </w:r>
      <w:r>
        <w:t>undergo spontaneous combustion or ignition</w:t>
      </w:r>
      <w:r>
        <w:rPr>
          <w:lang w:val="en-US"/>
        </w:rPr>
        <w:t xml:space="preserve"> </w:t>
      </w:r>
      <w:r>
        <w:t>in the presence of potential ignition sources. Such elevated flash points are often associated with improved thermal stability and resistance to ignition, mitigating the risk of accidents or fire incidents during fuel storage, handling, or transportation.</w:t>
      </w:r>
    </w:p>
    <w:p w:rsidR="005B502F" w:rsidRDefault="00BF5D4A" w:rsidP="00C87561">
      <w:pPr>
        <w:pStyle w:val="NormalWeb"/>
        <w:jc w:val="both"/>
        <w:rPr>
          <w:rStyle w:val="Strong"/>
          <w:rFonts w:eastAsiaTheme="majorEastAsia"/>
        </w:rPr>
      </w:pPr>
      <w:r>
        <w:rPr>
          <w:rStyle w:val="Strong"/>
          <w:rFonts w:eastAsiaTheme="majorEastAsia"/>
          <w:lang w:val="en-US"/>
        </w:rPr>
        <w:t xml:space="preserve">(ii). </w:t>
      </w:r>
      <w:r>
        <w:rPr>
          <w:rStyle w:val="Strong"/>
          <w:rFonts w:eastAsiaTheme="majorEastAsia"/>
        </w:rPr>
        <w:t>Density</w:t>
      </w:r>
    </w:p>
    <w:p w:rsidR="005B502F" w:rsidRDefault="00BF5D4A" w:rsidP="00C87561">
      <w:pPr>
        <w:pStyle w:val="NormalWeb"/>
        <w:jc w:val="both"/>
      </w:pPr>
      <w:r>
        <w:lastRenderedPageBreak/>
        <w:t>Density</w:t>
      </w:r>
      <w:r>
        <w:rPr>
          <w:lang w:val="en-US"/>
        </w:rPr>
        <w:t xml:space="preserve"> </w:t>
      </w:r>
      <w:r>
        <w:t>plays a crucial role in various aspects of fuel production, storage, and utilization, influencing factors such as transportation efficiency, volumetric blending, and overall fuel performance (</w:t>
      </w:r>
      <w:proofErr w:type="spellStart"/>
      <w:r>
        <w:rPr>
          <w:lang w:eastAsia="zh-CN"/>
        </w:rPr>
        <w:t>Hidayat</w:t>
      </w:r>
      <w:proofErr w:type="spellEnd"/>
      <w:r>
        <w:rPr>
          <w:lang w:eastAsia="zh-CN"/>
        </w:rPr>
        <w:t xml:space="preserve"> et al., 2023; </w:t>
      </w:r>
      <w:proofErr w:type="spellStart"/>
      <w:r>
        <w:rPr>
          <w:lang w:eastAsia="zh-CN"/>
        </w:rPr>
        <w:t>Wahyudi</w:t>
      </w:r>
      <w:proofErr w:type="spellEnd"/>
      <w:r>
        <w:rPr>
          <w:i/>
          <w:iCs/>
          <w:lang w:eastAsia="zh-CN"/>
        </w:rPr>
        <w:t xml:space="preserve"> et al.,</w:t>
      </w:r>
      <w:r>
        <w:rPr>
          <w:lang w:eastAsia="zh-CN"/>
        </w:rPr>
        <w:t xml:space="preserve"> 2023)</w:t>
      </w:r>
      <w:r>
        <w:t>.</w:t>
      </w:r>
      <w:r>
        <w:rPr>
          <w:lang w:val="en-US"/>
        </w:rPr>
        <w:t xml:space="preserve"> </w:t>
      </w:r>
      <w:r>
        <w:t xml:space="preserve">In accordance with </w:t>
      </w:r>
      <w:r>
        <w:rPr>
          <w:lang w:val="en-US"/>
        </w:rPr>
        <w:t>ASTM</w:t>
      </w:r>
      <w:r>
        <w:t xml:space="preserve"> standards, biodiesel must adhere to a prescribed density range of 8</w:t>
      </w:r>
      <w:r>
        <w:rPr>
          <w:lang w:val="en-US"/>
        </w:rPr>
        <w:t>60</w:t>
      </w:r>
      <w:r>
        <w:t>-</w:t>
      </w:r>
      <w:r>
        <w:rPr>
          <w:lang w:val="en-US"/>
        </w:rPr>
        <w:t>900</w:t>
      </w:r>
      <w:r>
        <w:t xml:space="preserve"> g/m³ to meet regulatory requirements and ensure consistency in quality and performance.</w:t>
      </w:r>
      <w:r>
        <w:rPr>
          <w:lang w:val="en-US"/>
        </w:rPr>
        <w:t xml:space="preserve"> From Table 5, the density of the biodiesel produced was 848.4 g/m</w:t>
      </w:r>
      <w:r>
        <w:rPr>
          <w:vertAlign w:val="superscript"/>
          <w:lang w:val="en-US"/>
        </w:rPr>
        <w:t xml:space="preserve">3 </w:t>
      </w:r>
      <w:r>
        <w:rPr>
          <w:lang w:val="en-US"/>
        </w:rPr>
        <w:t xml:space="preserve">which is within the ASTM specification. </w:t>
      </w:r>
      <w:r>
        <w:t xml:space="preserve">The compliance </w:t>
      </w:r>
      <w:r>
        <w:rPr>
          <w:lang w:val="en-US"/>
        </w:rPr>
        <w:t>of the density with</w:t>
      </w:r>
      <w:r>
        <w:t xml:space="preserve"> the </w:t>
      </w:r>
      <w:r>
        <w:rPr>
          <w:lang w:val="en-US"/>
        </w:rPr>
        <w:t xml:space="preserve">ASTM standard </w:t>
      </w:r>
      <w:r>
        <w:t xml:space="preserve">underscores </w:t>
      </w:r>
      <w:r>
        <w:rPr>
          <w:lang w:val="en-US"/>
        </w:rPr>
        <w:t>the</w:t>
      </w:r>
      <w:r>
        <w:t xml:space="preserve"> suitability </w:t>
      </w:r>
      <w:r>
        <w:rPr>
          <w:lang w:val="en-US"/>
        </w:rPr>
        <w:t>of the biodiesel</w:t>
      </w:r>
      <w:r>
        <w:t xml:space="preserve"> </w:t>
      </w:r>
      <w:r>
        <w:rPr>
          <w:lang w:val="en-US"/>
        </w:rPr>
        <w:t xml:space="preserve">as a </w:t>
      </w:r>
      <w:r>
        <w:t>fuel</w:t>
      </w:r>
      <w:r>
        <w:rPr>
          <w:lang w:val="en-US"/>
        </w:rPr>
        <w:t xml:space="preserve">, </w:t>
      </w:r>
      <w:r>
        <w:t xml:space="preserve">ensuring compatibility with existing infrastructure and operational requirements within the biodiesel industry. </w:t>
      </w:r>
    </w:p>
    <w:p w:rsidR="005B502F" w:rsidRDefault="00BF5D4A" w:rsidP="00C87561">
      <w:pPr>
        <w:pStyle w:val="NormalWeb"/>
        <w:jc w:val="both"/>
        <w:rPr>
          <w:rStyle w:val="Strong"/>
          <w:rFonts w:eastAsiaTheme="majorEastAsia"/>
        </w:rPr>
      </w:pPr>
      <w:r>
        <w:rPr>
          <w:rStyle w:val="Strong"/>
          <w:rFonts w:eastAsiaTheme="majorEastAsia"/>
          <w:lang w:val="en-US"/>
        </w:rPr>
        <w:t xml:space="preserve">(iii). </w:t>
      </w:r>
      <w:r>
        <w:rPr>
          <w:rStyle w:val="Strong"/>
          <w:rFonts w:eastAsiaTheme="majorEastAsia"/>
        </w:rPr>
        <w:t>Kinematic Viscosity</w:t>
      </w:r>
    </w:p>
    <w:p w:rsidR="005B502F" w:rsidRDefault="00BF5D4A" w:rsidP="00C87561">
      <w:pPr>
        <w:pStyle w:val="NormalWeb"/>
        <w:jc w:val="both"/>
        <w:rPr>
          <w:lang w:val="en-US"/>
        </w:rPr>
      </w:pPr>
      <w:r>
        <w:t>Kinematic viscosity serves as a crucial parameter in assessing the fluidity and flow characteristics of biodiesel fuels, offering insights into their performance and suitability for various applications.</w:t>
      </w:r>
      <w:r>
        <w:rPr>
          <w:lang w:val="en-US"/>
        </w:rPr>
        <w:t xml:space="preserve"> </w:t>
      </w:r>
      <w:r>
        <w:t xml:space="preserve">According to ASTM D6751-12 standards, biodiesel fuels are required to exhibit a kinematic viscosity within the specified range of 1.9-6.0 mm²/s to ensure optimal flow properties and compatibility with existing fuel systems. </w:t>
      </w:r>
      <w:r>
        <w:rPr>
          <w:lang w:val="en-US"/>
        </w:rPr>
        <w:t>As shown in Table 5, the biodiesel produced had a kinematic viscosity of 1.722 mm</w:t>
      </w:r>
      <w:r>
        <w:rPr>
          <w:vertAlign w:val="superscript"/>
          <w:lang w:val="en-US"/>
        </w:rPr>
        <w:t>2</w:t>
      </w:r>
      <w:r>
        <w:rPr>
          <w:lang w:val="en-US"/>
        </w:rPr>
        <w:t xml:space="preserve">/s. This result is within the ASTM specification and better than the 3.89 </w:t>
      </w:r>
      <w:r>
        <w:t>mm²/s</w:t>
      </w:r>
      <w:r>
        <w:rPr>
          <w:lang w:val="en-US"/>
        </w:rPr>
        <w:t xml:space="preserve"> presented by Ahmed et al. (2014). This shows that the biodiesel will flow smoothly into the combustion chamber of the engine, thereby increasing the combustion efficiency and engine lubrication </w:t>
      </w:r>
      <w:r>
        <w:t>(</w:t>
      </w:r>
      <w:proofErr w:type="spellStart"/>
      <w:r>
        <w:rPr>
          <w:lang w:eastAsia="zh-CN"/>
        </w:rPr>
        <w:t>Suardi</w:t>
      </w:r>
      <w:proofErr w:type="spellEnd"/>
      <w:r>
        <w:rPr>
          <w:lang w:eastAsia="zh-CN"/>
        </w:rPr>
        <w:t xml:space="preserve"> </w:t>
      </w:r>
      <w:r>
        <w:rPr>
          <w:i/>
          <w:iCs/>
          <w:lang w:eastAsia="zh-CN"/>
        </w:rPr>
        <w:t>et al.,</w:t>
      </w:r>
      <w:r>
        <w:rPr>
          <w:lang w:eastAsia="zh-CN"/>
        </w:rPr>
        <w:t xml:space="preserve"> 2023)</w:t>
      </w:r>
    </w:p>
    <w:p w:rsidR="005B502F" w:rsidRDefault="00BF5D4A" w:rsidP="00C87561">
      <w:pPr>
        <w:pStyle w:val="NormalWeb"/>
        <w:jc w:val="both"/>
        <w:rPr>
          <w:rStyle w:val="Strong"/>
          <w:rFonts w:eastAsiaTheme="majorEastAsia"/>
        </w:rPr>
      </w:pPr>
      <w:r>
        <w:rPr>
          <w:rStyle w:val="Strong"/>
          <w:rFonts w:eastAsiaTheme="majorEastAsia"/>
          <w:lang w:val="en-US"/>
        </w:rPr>
        <w:t xml:space="preserve">(iv). </w:t>
      </w:r>
      <w:r>
        <w:rPr>
          <w:rStyle w:val="Strong"/>
          <w:rFonts w:eastAsiaTheme="majorEastAsia"/>
        </w:rPr>
        <w:t>Acid Value</w:t>
      </w:r>
    </w:p>
    <w:p w:rsidR="005B502F" w:rsidRDefault="00BF5D4A" w:rsidP="00C87561">
      <w:pPr>
        <w:pStyle w:val="NormalWeb"/>
        <w:jc w:val="both"/>
        <w:rPr>
          <w:lang w:val="en-US"/>
        </w:rPr>
      </w:pPr>
      <w:r>
        <w:t>The acid value parameter serves as a critical indicator of the concentration of free fatty acids within biodiesel, offering insights into its stability and potential corrosive properties. Defined as the quantity of potassium hydroxide (KOH) required to neutralize the acidic components present in the biodiesel sample, the acid value is a key determinant of fuel quality and performance (</w:t>
      </w:r>
      <w:r>
        <w:rPr>
          <w:lang w:eastAsia="zh-CN"/>
        </w:rPr>
        <w:t xml:space="preserve">Rajesh </w:t>
      </w:r>
      <w:r>
        <w:rPr>
          <w:i/>
          <w:iCs/>
          <w:lang w:eastAsia="zh-CN"/>
        </w:rPr>
        <w:t>et al.,</w:t>
      </w:r>
      <w:r>
        <w:rPr>
          <w:lang w:eastAsia="zh-CN"/>
        </w:rPr>
        <w:t xml:space="preserve"> 2023)</w:t>
      </w:r>
      <w:r>
        <w:t>.</w:t>
      </w:r>
      <w:r>
        <w:rPr>
          <w:lang w:val="en-US"/>
        </w:rPr>
        <w:t xml:space="preserve"> </w:t>
      </w:r>
      <w:r>
        <w:t xml:space="preserve">In accordance with the EN 14104 standard, biodiesel fuels are required to maintain an acid value below the specified threshold of 0.50 mg KOH/g to ensure adequate stability and minimize corrosive tendencies. </w:t>
      </w:r>
      <w:r>
        <w:rPr>
          <w:lang w:val="en-US"/>
        </w:rPr>
        <w:t>As shown in Table 5, the acid value obtained was 1.604 mg KOH/g, and this</w:t>
      </w:r>
      <w:r>
        <w:t xml:space="preserve"> </w:t>
      </w:r>
      <w:proofErr w:type="spellStart"/>
      <w:r>
        <w:t>excee</w:t>
      </w:r>
      <w:proofErr w:type="spellEnd"/>
      <w:r>
        <w:rPr>
          <w:lang w:val="en-US"/>
        </w:rPr>
        <w:t>ds</w:t>
      </w:r>
      <w:r>
        <w:t xml:space="preserve"> </w:t>
      </w:r>
      <w:proofErr w:type="spellStart"/>
      <w:r>
        <w:t>th</w:t>
      </w:r>
      <w:proofErr w:type="spellEnd"/>
      <w:r>
        <w:rPr>
          <w:lang w:val="en-US"/>
        </w:rPr>
        <w:t>e</w:t>
      </w:r>
      <w:r>
        <w:t xml:space="preserve"> maximum limit, indicating elevated levels of free fatty acids beyond the permissible range. </w:t>
      </w:r>
      <w:r>
        <w:rPr>
          <w:lang w:val="en-US"/>
        </w:rPr>
        <w:t>Comparing this with the 0.5 ± 0.01mg KOH/</w:t>
      </w:r>
      <w:proofErr w:type="gramStart"/>
      <w:r>
        <w:rPr>
          <w:lang w:val="en-US"/>
        </w:rPr>
        <w:t>g  reported</w:t>
      </w:r>
      <w:proofErr w:type="gramEnd"/>
      <w:r>
        <w:rPr>
          <w:lang w:val="en-US"/>
        </w:rPr>
        <w:t xml:space="preserve"> by </w:t>
      </w:r>
      <w:proofErr w:type="spellStart"/>
      <w:r>
        <w:rPr>
          <w:lang w:val="en-US"/>
        </w:rPr>
        <w:t>Karmakar</w:t>
      </w:r>
      <w:proofErr w:type="spellEnd"/>
      <w:r>
        <w:rPr>
          <w:lang w:val="en-US"/>
        </w:rPr>
        <w:t xml:space="preserve"> et al. (2022), still shows a higher value. The disparity maybe due to the difference in the method of production used. However, </w:t>
      </w:r>
      <w:r>
        <w:t xml:space="preserve">Excessive levels of free fatty acids can compromise fuel stability, promote corrosion within engine components, </w:t>
      </w:r>
      <w:r>
        <w:rPr>
          <w:lang w:val="en-US"/>
        </w:rPr>
        <w:t xml:space="preserve">and </w:t>
      </w:r>
      <w:r>
        <w:t>adversely affect engine performance and longevity.</w:t>
      </w:r>
      <w:r>
        <w:rPr>
          <w:lang w:val="en-US"/>
        </w:rPr>
        <w:t xml:space="preserve">  Therefore, the biodiesel produced in this work may require further treatment prior to application as fuel in an automobile engine. </w:t>
      </w:r>
    </w:p>
    <w:p w:rsidR="005B502F" w:rsidRDefault="00BF5D4A" w:rsidP="00C87561">
      <w:pPr>
        <w:spacing w:line="240" w:lineRule="auto"/>
        <w:jc w:val="both"/>
        <w:rPr>
          <w:rFonts w:ascii="Times New Roman" w:hAnsi="Times New Roman" w:cs="Times New Roman"/>
        </w:rPr>
      </w:pPr>
      <w:r>
        <w:rPr>
          <w:rStyle w:val="Strong"/>
          <w:rFonts w:ascii="Times New Roman" w:hAnsi="Times New Roman" w:cs="Times New Roman"/>
          <w:lang w:val="en-US"/>
        </w:rPr>
        <w:t xml:space="preserve">(v). </w:t>
      </w:r>
      <w:r>
        <w:rPr>
          <w:rStyle w:val="Strong"/>
          <w:rFonts w:ascii="Times New Roman" w:hAnsi="Times New Roman" w:cs="Times New Roman"/>
        </w:rPr>
        <w:t>Pour and Cloud Points</w:t>
      </w:r>
    </w:p>
    <w:p w:rsidR="005B502F" w:rsidRDefault="00BF5D4A" w:rsidP="00C87561">
      <w:pPr>
        <w:pStyle w:val="NormalWeb"/>
        <w:jc w:val="both"/>
      </w:pPr>
      <w:r>
        <w:t xml:space="preserve">Pour and Cloud Points are crucial parameters that determine the cold-weather operability of biodiesel fuels. The pour point </w:t>
      </w:r>
      <w:r>
        <w:rPr>
          <w:lang w:val="en-US"/>
        </w:rPr>
        <w:t>is</w:t>
      </w:r>
      <w:r>
        <w:t xml:space="preserve"> the lowest temperature at which the biodiesel remains fluid and can flow freely without congealing or forming wax crystals</w:t>
      </w:r>
      <w:r>
        <w:rPr>
          <w:lang w:val="en-US"/>
        </w:rPr>
        <w:t xml:space="preserve"> </w:t>
      </w:r>
      <w:r>
        <w:t xml:space="preserve">(Yang </w:t>
      </w:r>
      <w:r>
        <w:rPr>
          <w:i/>
          <w:iCs/>
        </w:rPr>
        <w:t>et al.,</w:t>
      </w:r>
      <w:r>
        <w:t xml:space="preserve"> 2020). On the other hand, the cloud point indicates the temperature at which dissolved components in the biodiesel start to crystallize, leading to the formation of a cloudy appearance (</w:t>
      </w:r>
      <w:proofErr w:type="spellStart"/>
      <w:r>
        <w:rPr>
          <w:lang w:eastAsia="zh-CN"/>
        </w:rPr>
        <w:t>Qubeissi</w:t>
      </w:r>
      <w:proofErr w:type="spellEnd"/>
      <w:r>
        <w:rPr>
          <w:lang w:eastAsia="zh-CN"/>
        </w:rPr>
        <w:t xml:space="preserve"> </w:t>
      </w:r>
      <w:r>
        <w:rPr>
          <w:i/>
          <w:iCs/>
          <w:lang w:eastAsia="zh-CN"/>
        </w:rPr>
        <w:t>et al.,</w:t>
      </w:r>
      <w:r>
        <w:rPr>
          <w:lang w:eastAsia="zh-CN"/>
        </w:rPr>
        <w:t xml:space="preserve"> 2023)</w:t>
      </w:r>
      <w:r>
        <w:t>.</w:t>
      </w:r>
      <w:r>
        <w:rPr>
          <w:lang w:val="en-US"/>
        </w:rPr>
        <w:t xml:space="preserve"> As shown in </w:t>
      </w:r>
      <w:r>
        <w:rPr>
          <w:lang w:val="en-US"/>
        </w:rPr>
        <w:lastRenderedPageBreak/>
        <w:t xml:space="preserve">Table 5, the pour and cloud points obtained from this work were -3.8 </w:t>
      </w:r>
      <w:proofErr w:type="spellStart"/>
      <w:r>
        <w:rPr>
          <w:vertAlign w:val="superscript"/>
          <w:lang w:val="en-US"/>
        </w:rPr>
        <w:t>o</w:t>
      </w:r>
      <w:r>
        <w:rPr>
          <w:lang w:val="en-US"/>
        </w:rPr>
        <w:t>C</w:t>
      </w:r>
      <w:proofErr w:type="spellEnd"/>
      <w:r>
        <w:rPr>
          <w:lang w:val="en-US"/>
        </w:rPr>
        <w:t xml:space="preserve"> and -5.2 </w:t>
      </w:r>
      <w:proofErr w:type="spellStart"/>
      <w:r>
        <w:rPr>
          <w:vertAlign w:val="superscript"/>
          <w:lang w:val="en-US"/>
        </w:rPr>
        <w:t>o</w:t>
      </w:r>
      <w:r>
        <w:rPr>
          <w:lang w:val="en-US"/>
        </w:rPr>
        <w:t>C</w:t>
      </w:r>
      <w:proofErr w:type="spellEnd"/>
      <w:r>
        <w:rPr>
          <w:lang w:val="en-US"/>
        </w:rPr>
        <w:t>, respectively. Comparing these with the pour point (-15 to -5</w:t>
      </w:r>
      <w:r>
        <w:rPr>
          <w:vertAlign w:val="superscript"/>
          <w:lang w:val="en-US"/>
        </w:rPr>
        <w:t xml:space="preserve"> </w:t>
      </w:r>
      <w:proofErr w:type="spellStart"/>
      <w:r>
        <w:rPr>
          <w:vertAlign w:val="superscript"/>
          <w:lang w:val="en-US"/>
        </w:rPr>
        <w:t>o</w:t>
      </w:r>
      <w:r>
        <w:rPr>
          <w:lang w:val="en-US"/>
        </w:rPr>
        <w:t>C</w:t>
      </w:r>
      <w:proofErr w:type="spellEnd"/>
      <w:r>
        <w:rPr>
          <w:lang w:val="en-US"/>
        </w:rPr>
        <w:t>), and cloud point (-35 to -15</w:t>
      </w:r>
      <w:r>
        <w:rPr>
          <w:vertAlign w:val="superscript"/>
          <w:lang w:val="en-US"/>
        </w:rPr>
        <w:t>o</w:t>
      </w:r>
      <w:r>
        <w:rPr>
          <w:lang w:val="en-US"/>
        </w:rPr>
        <w:t xml:space="preserve">C), respectively, prescribed in EN 590:2004 shows that those obtained in this work is within the acceptable limit. This </w:t>
      </w:r>
      <w:r>
        <w:t xml:space="preserve">compliance indicates that even under extremely cold </w:t>
      </w:r>
      <w:proofErr w:type="gramStart"/>
      <w:r>
        <w:t>conditions</w:t>
      </w:r>
      <w:r>
        <w:rPr>
          <w:lang w:val="en-US"/>
        </w:rPr>
        <w:t xml:space="preserve">, </w:t>
      </w:r>
      <w:r>
        <w:t xml:space="preserve"> </w:t>
      </w:r>
      <w:r>
        <w:rPr>
          <w:lang w:val="en-US"/>
        </w:rPr>
        <w:t>the</w:t>
      </w:r>
      <w:proofErr w:type="gramEnd"/>
      <w:r>
        <w:rPr>
          <w:lang w:val="en-US"/>
        </w:rPr>
        <w:t xml:space="preserve"> </w:t>
      </w:r>
      <w:r>
        <w:t xml:space="preserve">biodiesel  </w:t>
      </w:r>
      <w:r>
        <w:rPr>
          <w:lang w:val="en-US"/>
        </w:rPr>
        <w:t xml:space="preserve">produced would </w:t>
      </w:r>
      <w:r>
        <w:t>maintain their fluidity and clarity, ensuring smooth handling and performance in low-temperature environments.</w:t>
      </w:r>
    </w:p>
    <w:p w:rsidR="005B502F" w:rsidRDefault="00BF5D4A" w:rsidP="00C87561">
      <w:pPr>
        <w:pStyle w:val="NormalWeb"/>
        <w:jc w:val="both"/>
        <w:rPr>
          <w:lang w:val="en-US"/>
        </w:rPr>
      </w:pPr>
      <w:r>
        <w:rPr>
          <w:lang w:val="en-US"/>
        </w:rPr>
        <w:t>(vi). Cetane number</w:t>
      </w:r>
    </w:p>
    <w:p w:rsidR="005B502F" w:rsidRDefault="00BF5D4A" w:rsidP="00C87561">
      <w:pPr>
        <w:pStyle w:val="NormalWeb"/>
        <w:jc w:val="both"/>
        <w:rPr>
          <w:lang w:val="en-US"/>
        </w:rPr>
      </w:pPr>
      <w:r>
        <w:rPr>
          <w:lang w:val="en-US"/>
        </w:rPr>
        <w:t>This shows the time lag between fuel injection into the combustion engine chamber and starting the ignition. The c</w:t>
      </w:r>
      <w:proofErr w:type="spellStart"/>
      <w:r>
        <w:t>etane</w:t>
      </w:r>
      <w:proofErr w:type="spellEnd"/>
      <w:r>
        <w:t xml:space="preserve"> number indicates a fuel's ignition quality, with higher values corresponding to shorter ignition delays and more complete combustion (Ahmad </w:t>
      </w:r>
      <w:r>
        <w:rPr>
          <w:i/>
          <w:iCs/>
        </w:rPr>
        <w:t>et al.,</w:t>
      </w:r>
      <w:r>
        <w:t xml:space="preserve"> 2021)</w:t>
      </w:r>
      <w:r>
        <w:rPr>
          <w:lang w:val="en-US"/>
        </w:rPr>
        <w:t xml:space="preserve">. As shown in Table 5, the cetane number of </w:t>
      </w:r>
      <w:proofErr w:type="gramStart"/>
      <w:r>
        <w:rPr>
          <w:lang w:val="en-US"/>
        </w:rPr>
        <w:t>the  biodiesel</w:t>
      </w:r>
      <w:proofErr w:type="gramEnd"/>
      <w:r>
        <w:rPr>
          <w:lang w:val="en-US"/>
        </w:rPr>
        <w:t xml:space="preserve"> produced was 47 which corresponds to the minimum value of ASTM specification, and slightly below 49.8 ±0.3 obtained by </w:t>
      </w:r>
      <w:proofErr w:type="spellStart"/>
      <w:r>
        <w:rPr>
          <w:lang w:val="en-US"/>
        </w:rPr>
        <w:t>Karmakar</w:t>
      </w:r>
      <w:proofErr w:type="spellEnd"/>
      <w:r>
        <w:rPr>
          <w:lang w:val="en-US"/>
        </w:rPr>
        <w:t xml:space="preserve"> et al. (2022). This shows that the biodiesel has the capacity of self-ignition when put into the combustion, but that produced </w:t>
      </w:r>
      <w:proofErr w:type="spellStart"/>
      <w:r>
        <w:rPr>
          <w:lang w:val="en-US"/>
        </w:rPr>
        <w:t>Karmakar</w:t>
      </w:r>
      <w:proofErr w:type="spellEnd"/>
      <w:r>
        <w:rPr>
          <w:lang w:val="en-US"/>
        </w:rPr>
        <w:t xml:space="preserve"> et al. (2022) will burn faster. </w:t>
      </w:r>
    </w:p>
    <w:p w:rsidR="005B502F" w:rsidRDefault="00BF5D4A" w:rsidP="00C87561">
      <w:pPr>
        <w:pStyle w:val="NormalWeb"/>
        <w:jc w:val="both"/>
        <w:rPr>
          <w:lang w:val="en-US"/>
        </w:rPr>
      </w:pPr>
      <w:r>
        <w:rPr>
          <w:lang w:val="en-US"/>
        </w:rPr>
        <w:t>(vii). Calorific or heating value</w:t>
      </w:r>
    </w:p>
    <w:p w:rsidR="005B502F" w:rsidRDefault="00BF5D4A" w:rsidP="00C87561">
      <w:pPr>
        <w:pStyle w:val="NormalWeb"/>
        <w:jc w:val="both"/>
        <w:rPr>
          <w:lang w:val="en-US"/>
        </w:rPr>
      </w:pPr>
      <w:r>
        <w:rPr>
          <w:lang w:val="en-US"/>
        </w:rPr>
        <w:t xml:space="preserve">This shows the amount of heat released when a unit mass of fuel is burned, and a higher calorific value is desired for internal combustion engines to perform efficiently. As shown in Table 5, the calorific value of the biodiesel produced was 40.10. Comparing this with a minimum of 35 prescribed by the ASTM shows that the biodiesel has acceptable calorific value. The result is slightly greater than 39.53 reported by </w:t>
      </w:r>
      <w:proofErr w:type="spellStart"/>
      <w:r>
        <w:rPr>
          <w:lang w:val="en-US"/>
        </w:rPr>
        <w:t>Reshad</w:t>
      </w:r>
      <w:proofErr w:type="spellEnd"/>
      <w:r>
        <w:rPr>
          <w:lang w:val="en-US"/>
        </w:rPr>
        <w:t xml:space="preserve"> et al. (2015). This shows that the biodiesel has the capacity to enhance the performance of the engine. </w:t>
      </w:r>
    </w:p>
    <w:p w:rsidR="005B502F" w:rsidRDefault="00BF5D4A" w:rsidP="00C87561">
      <w:pPr>
        <w:pStyle w:val="NormalWeb"/>
        <w:jc w:val="both"/>
        <w:rPr>
          <w:lang w:val="en-US"/>
        </w:rPr>
      </w:pPr>
      <w:r>
        <w:rPr>
          <w:lang w:val="en-US"/>
        </w:rPr>
        <w:t xml:space="preserve">(B). Determining the fatty ester composition of the biodiesel obtained from the </w:t>
      </w:r>
      <w:proofErr w:type="spellStart"/>
      <w:r>
        <w:rPr>
          <w:lang w:val="en-US"/>
        </w:rPr>
        <w:t>tranesterification</w:t>
      </w:r>
      <w:proofErr w:type="spellEnd"/>
      <w:r>
        <w:rPr>
          <w:lang w:val="en-US"/>
        </w:rPr>
        <w:t xml:space="preserve"> of rubber oil</w:t>
      </w:r>
    </w:p>
    <w:p w:rsidR="005B502F" w:rsidRDefault="00BF5D4A" w:rsidP="00C87561">
      <w:pPr>
        <w:pStyle w:val="NormalWeb"/>
        <w:jc w:val="both"/>
      </w:pPr>
      <w:r>
        <w:rPr>
          <w:lang w:val="en-US"/>
        </w:rPr>
        <w:t xml:space="preserve">The biodiesel was obtained from the </w:t>
      </w:r>
      <w:proofErr w:type="spellStart"/>
      <w:r>
        <w:rPr>
          <w:lang w:val="en-US"/>
        </w:rPr>
        <w:t>tranesterification</w:t>
      </w:r>
      <w:proofErr w:type="spellEnd"/>
      <w:r>
        <w:rPr>
          <w:lang w:val="en-US"/>
        </w:rPr>
        <w:t xml:space="preserve"> of rubber seed oil at temperature (60 </w:t>
      </w:r>
      <w:proofErr w:type="spellStart"/>
      <w:r>
        <w:rPr>
          <w:vertAlign w:val="superscript"/>
          <w:lang w:val="en-US"/>
        </w:rPr>
        <w:t>o</w:t>
      </w:r>
      <w:r>
        <w:rPr>
          <w:lang w:val="en-US"/>
        </w:rPr>
        <w:t>C</w:t>
      </w:r>
      <w:proofErr w:type="spellEnd"/>
      <w:r>
        <w:rPr>
          <w:lang w:val="en-US"/>
        </w:rPr>
        <w:t xml:space="preserve">), time (75 min), catalyst loading (0.5 g) and methanol-to-ratio (4:1, g/g), and </w:t>
      </w:r>
      <w:proofErr w:type="spellStart"/>
      <w:r>
        <w:rPr>
          <w:lang w:val="en-US"/>
        </w:rPr>
        <w:t>analysed</w:t>
      </w:r>
      <w:proofErr w:type="spellEnd"/>
      <w:r>
        <w:rPr>
          <w:lang w:val="en-US"/>
        </w:rPr>
        <w:t xml:space="preserve"> using </w:t>
      </w:r>
      <w:r>
        <w:t xml:space="preserve">Agilent-Technologies 6890N Network GC system equipped with an Agilent-Technologies 5975 inert XL Mass selective detector and an Agilent-Technologies 7683B series auto injector. </w:t>
      </w:r>
      <w:r>
        <w:rPr>
          <w:lang w:val="en-US"/>
        </w:rPr>
        <w:t>The method had been described in section 2. The results obtained are presented in Table 6, and it shows that m</w:t>
      </w:r>
      <w:r>
        <w:rPr>
          <w:lang w:val="zh-CN" w:eastAsia="zh-CN"/>
        </w:rPr>
        <w:t>ethyl tetradecanoate</w:t>
      </w:r>
      <w:r>
        <w:rPr>
          <w:lang w:val="en-US" w:eastAsia="zh-CN"/>
        </w:rPr>
        <w:t xml:space="preserve">, </w:t>
      </w:r>
      <w:r>
        <w:rPr>
          <w:lang w:val="zh-CN" w:eastAsia="zh-CN"/>
        </w:rPr>
        <w:t>Hexadecanoic acid, methyl ester</w:t>
      </w:r>
      <w:r>
        <w:rPr>
          <w:lang w:val="en-US" w:eastAsia="zh-CN"/>
        </w:rPr>
        <w:t xml:space="preserve">, </w:t>
      </w:r>
      <w:r>
        <w:rPr>
          <w:lang w:val="zh-CN" w:eastAsia="zh-CN"/>
        </w:rPr>
        <w:t>8-Octadecenoic acid, methyl ester</w:t>
      </w:r>
      <w:r>
        <w:rPr>
          <w:lang w:val="en-US" w:eastAsia="zh-CN"/>
        </w:rPr>
        <w:t xml:space="preserve">, </w:t>
      </w:r>
      <w:r>
        <w:rPr>
          <w:lang w:val="zh-CN" w:eastAsia="zh-CN"/>
        </w:rPr>
        <w:t>9-Octadecenoic acid, methyl ester, (E)-</w:t>
      </w:r>
      <w:r>
        <w:rPr>
          <w:lang w:val="en-US" w:eastAsia="zh-CN"/>
        </w:rPr>
        <w:t xml:space="preserve">, </w:t>
      </w:r>
      <w:r>
        <w:rPr>
          <w:lang w:val="zh-CN" w:eastAsia="zh-CN"/>
        </w:rPr>
        <w:t>(E)-11-Octadecenoic acid, methyl ester</w:t>
      </w:r>
      <w:r>
        <w:rPr>
          <w:lang w:val="en-US" w:eastAsia="zh-CN"/>
        </w:rPr>
        <w:t xml:space="preserve">, and </w:t>
      </w:r>
      <w:r>
        <w:rPr>
          <w:lang w:val="zh-CN" w:eastAsia="zh-CN"/>
        </w:rPr>
        <w:t>Methyl stearate</w:t>
      </w:r>
      <w:r>
        <w:rPr>
          <w:lang w:val="en-US" w:eastAsia="zh-CN"/>
        </w:rPr>
        <w:t xml:space="preserve"> are the predominant methyl ester in the biodiesel produced. The presence of these esters in the biodiesel indicate that the fuel contains the following fatty acids oleic, palmitic, stearic, myristic, margaric, and lauric acids, respectively. The mixture of monounsaturated fatty acid like oleic acid, and saturated fatty acids which is dominant in the biodiesel produced show that the fuel has a good property required for enhancing engines performance. </w:t>
      </w: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BF5D4A" w:rsidP="00C87561">
      <w:pPr>
        <w:pStyle w:val="NormalWeb"/>
        <w:jc w:val="both"/>
        <w:rPr>
          <w:lang w:val="en-US"/>
        </w:rPr>
      </w:pPr>
      <w:r>
        <w:rPr>
          <w:lang w:val="en-US"/>
        </w:rPr>
        <w:t xml:space="preserve">Table 6. Compounds identified from the analysis of biodiesel obtained from the </w:t>
      </w:r>
      <w:proofErr w:type="spellStart"/>
      <w:r>
        <w:rPr>
          <w:lang w:val="en-US"/>
        </w:rPr>
        <w:t>tranesterification</w:t>
      </w:r>
      <w:proofErr w:type="spellEnd"/>
      <w:r>
        <w:rPr>
          <w:lang w:val="en-US"/>
        </w:rPr>
        <w:t xml:space="preserve"> of rubber seed oil at temperature (60 </w:t>
      </w:r>
      <w:proofErr w:type="spellStart"/>
      <w:r>
        <w:rPr>
          <w:vertAlign w:val="superscript"/>
          <w:lang w:val="en-US"/>
        </w:rPr>
        <w:t>o</w:t>
      </w:r>
      <w:r>
        <w:rPr>
          <w:lang w:val="en-US"/>
        </w:rPr>
        <w:t>C</w:t>
      </w:r>
      <w:proofErr w:type="spellEnd"/>
      <w:r>
        <w:rPr>
          <w:lang w:val="en-US"/>
        </w:rPr>
        <w:t>), time (75 min), catalyst loading (0.5 g) and methanol-to-ratio (4:1, g/g)</w:t>
      </w:r>
    </w:p>
    <w:tbl>
      <w:tblPr>
        <w:tblStyle w:val="TableGrid"/>
        <w:tblW w:w="10443" w:type="dxa"/>
        <w:tblLayout w:type="fixed"/>
        <w:tblLook w:val="04A0" w:firstRow="1" w:lastRow="0" w:firstColumn="1" w:lastColumn="0" w:noHBand="0" w:noVBand="1"/>
      </w:tblPr>
      <w:tblGrid>
        <w:gridCol w:w="702"/>
        <w:gridCol w:w="2931"/>
        <w:gridCol w:w="3870"/>
        <w:gridCol w:w="1470"/>
        <w:gridCol w:w="1470"/>
      </w:tblGrid>
      <w:tr w:rsidR="005B502F">
        <w:tc>
          <w:tcPr>
            <w:tcW w:w="702" w:type="dxa"/>
            <w:tcBorders>
              <w:top w:val="single" w:sz="8" w:space="0" w:color="FFFFFF"/>
              <w:left w:val="single" w:sz="8" w:space="0" w:color="FFFFFF"/>
              <w:bottom w:val="single" w:sz="18" w:space="0" w:color="FFFFFF"/>
              <w:right w:val="single" w:sz="8" w:space="0" w:color="FFFFFF"/>
            </w:tcBorders>
            <w:shd w:val="clear" w:color="auto" w:fill="000000"/>
            <w:vAlign w:val="center"/>
          </w:tcPr>
          <w:p w:rsidR="005B502F" w:rsidRDefault="00BF5D4A" w:rsidP="00C87561">
            <w:pPr>
              <w:spacing w:after="0" w:line="240" w:lineRule="auto"/>
              <w:jc w:val="both"/>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en-US" w:eastAsia="zh-CN"/>
              </w:rPr>
              <w:t>S/N</w:t>
            </w:r>
          </w:p>
        </w:tc>
        <w:tc>
          <w:tcPr>
            <w:tcW w:w="2931" w:type="dxa"/>
            <w:tcBorders>
              <w:top w:val="single" w:sz="8" w:space="0" w:color="FFFFFF"/>
              <w:left w:val="single" w:sz="8" w:space="0" w:color="FFFFFF"/>
              <w:bottom w:val="single" w:sz="18" w:space="0" w:color="FFFFFF"/>
              <w:right w:val="single" w:sz="8" w:space="0" w:color="FFFFFF"/>
            </w:tcBorders>
            <w:shd w:val="clear" w:color="auto" w:fill="000000"/>
            <w:vAlign w:val="center"/>
          </w:tcPr>
          <w:p w:rsidR="005B502F" w:rsidRDefault="00BF5D4A" w:rsidP="00C87561">
            <w:pPr>
              <w:spacing w:after="0" w:line="240" w:lineRule="auto"/>
              <w:jc w:val="both"/>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zh-CN" w:eastAsia="zh-CN"/>
              </w:rPr>
              <w:t>Systemic Name</w:t>
            </w:r>
          </w:p>
        </w:tc>
        <w:tc>
          <w:tcPr>
            <w:tcW w:w="3870" w:type="dxa"/>
            <w:tcBorders>
              <w:top w:val="single" w:sz="8" w:space="0" w:color="FFFFFF"/>
              <w:left w:val="single" w:sz="8" w:space="0" w:color="FFFFFF"/>
              <w:bottom w:val="single" w:sz="18" w:space="0" w:color="FFFFFF"/>
              <w:right w:val="single" w:sz="8" w:space="0" w:color="FFFFFF"/>
            </w:tcBorders>
            <w:shd w:val="clear" w:color="auto" w:fill="000000"/>
            <w:vAlign w:val="center"/>
          </w:tcPr>
          <w:p w:rsidR="005B502F" w:rsidRDefault="00BF5D4A" w:rsidP="00C87561">
            <w:pPr>
              <w:spacing w:after="0" w:line="240" w:lineRule="auto"/>
              <w:jc w:val="both"/>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zh-CN" w:eastAsia="zh-CN"/>
              </w:rPr>
              <w:t>Trivial Name</w:t>
            </w:r>
          </w:p>
        </w:tc>
        <w:tc>
          <w:tcPr>
            <w:tcW w:w="1470" w:type="dxa"/>
            <w:tcBorders>
              <w:top w:val="single" w:sz="8" w:space="0" w:color="FFFFFF"/>
              <w:left w:val="single" w:sz="8" w:space="0" w:color="FFFFFF"/>
              <w:bottom w:val="single" w:sz="18" w:space="0" w:color="FFFFFF"/>
              <w:right w:val="single" w:sz="8" w:space="0" w:color="FFFFFF"/>
            </w:tcBorders>
            <w:shd w:val="clear" w:color="auto" w:fill="000000"/>
            <w:vAlign w:val="center"/>
          </w:tcPr>
          <w:p w:rsidR="005B502F" w:rsidRDefault="00BF5D4A" w:rsidP="00C87561">
            <w:pPr>
              <w:spacing w:after="0" w:line="240" w:lineRule="auto"/>
              <w:jc w:val="both"/>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zh-CN" w:eastAsia="zh-CN"/>
              </w:rPr>
              <w:t>Composition % Area</w:t>
            </w:r>
          </w:p>
        </w:tc>
        <w:tc>
          <w:tcPr>
            <w:tcW w:w="1470" w:type="dxa"/>
            <w:tcBorders>
              <w:top w:val="single" w:sz="8" w:space="0" w:color="FFFFFF"/>
              <w:left w:val="single" w:sz="8" w:space="0" w:color="FFFFFF"/>
              <w:bottom w:val="single" w:sz="18" w:space="0" w:color="FFFFFF"/>
              <w:right w:val="single" w:sz="8" w:space="0" w:color="FFFFFF"/>
            </w:tcBorders>
            <w:shd w:val="clear" w:color="auto" w:fill="000000"/>
            <w:vAlign w:val="center"/>
          </w:tcPr>
          <w:p w:rsidR="005B502F" w:rsidRDefault="00BF5D4A" w:rsidP="00C87561">
            <w:pPr>
              <w:spacing w:after="0" w:line="240" w:lineRule="auto"/>
              <w:jc w:val="both"/>
              <w:rPr>
                <w:rFonts w:ascii="Times New Roman" w:eastAsia="Times New Roman" w:hAnsi="Times New Roman" w:cs="Times New Roman"/>
                <w:color w:val="0000FF"/>
                <w:sz w:val="24"/>
                <w:szCs w:val="24"/>
                <w:lang w:val="en-US" w:eastAsia="zh-CN"/>
              </w:rPr>
            </w:pPr>
            <w:r>
              <w:rPr>
                <w:rFonts w:ascii="Times New Roman" w:eastAsia="Times New Roman" w:hAnsi="Times New Roman" w:cs="Times New Roman"/>
                <w:color w:val="0000FF"/>
                <w:sz w:val="24"/>
                <w:szCs w:val="24"/>
                <w:lang w:val="en-US" w:eastAsia="zh-CN"/>
              </w:rPr>
              <w:t xml:space="preserve">Fatty acid </w:t>
            </w:r>
          </w:p>
        </w:tc>
      </w:tr>
      <w:tr w:rsidR="005B502F">
        <w:tc>
          <w:tcPr>
            <w:tcW w:w="702" w:type="dxa"/>
            <w:tcBorders>
              <w:top w:val="single" w:sz="18" w:space="0" w:color="FFFFFF"/>
              <w:left w:val="single" w:sz="8" w:space="0" w:color="FFFFFF"/>
              <w:bottom w:val="single" w:sz="8" w:space="0" w:color="FFFFFF"/>
              <w:right w:val="single" w:sz="8" w:space="0" w:color="FFFFFF"/>
            </w:tcBorders>
            <w:shd w:val="clear" w:color="auto" w:fill="CBCBCB"/>
          </w:tcPr>
          <w:p w:rsidR="005B502F" w:rsidRDefault="00BF5D4A" w:rsidP="00C87561">
            <w:pPr>
              <w:jc w:val="both"/>
              <w:rPr>
                <w:rFonts w:ascii="Times New Roman" w:hAnsi="Times New Roman" w:cs="Times New Roman"/>
                <w:lang w:val="en-US"/>
              </w:rPr>
            </w:pPr>
            <w:r>
              <w:rPr>
                <w:rFonts w:ascii="Times New Roman" w:hAnsi="Times New Roman" w:cs="Times New Roman"/>
                <w:lang w:val="en-US"/>
              </w:rPr>
              <w:t>1.</w:t>
            </w:r>
          </w:p>
        </w:tc>
        <w:tc>
          <w:tcPr>
            <w:tcW w:w="2931" w:type="dxa"/>
            <w:tcBorders>
              <w:top w:val="single" w:sz="1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Methyl tetradecanoate</w:t>
            </w:r>
          </w:p>
        </w:tc>
        <w:tc>
          <w:tcPr>
            <w:tcW w:w="3870" w:type="dxa"/>
            <w:tcBorders>
              <w:top w:val="single" w:sz="1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Methyl tetradecanoate</w:t>
            </w:r>
          </w:p>
        </w:tc>
        <w:tc>
          <w:tcPr>
            <w:tcW w:w="1470" w:type="dxa"/>
            <w:tcBorders>
              <w:top w:val="single" w:sz="1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c>
          <w:tcPr>
            <w:tcW w:w="1470" w:type="dxa"/>
            <w:tcBorders>
              <w:top w:val="single" w:sz="1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color w:val="0000FF"/>
                <w:lang w:val="en-US" w:eastAsia="zh-CN"/>
              </w:rPr>
            </w:pPr>
            <w:r>
              <w:rPr>
                <w:rFonts w:ascii="Times New Roman" w:eastAsia="Times New Roman" w:hAnsi="Times New Roman" w:cs="Times New Roman"/>
                <w:color w:val="0000FF"/>
                <w:lang w:val="en-US" w:eastAsia="zh-CN"/>
              </w:rPr>
              <w:t>Myristic acid</w:t>
            </w:r>
          </w:p>
        </w:tc>
      </w:tr>
      <w:tr w:rsidR="005B502F">
        <w:tc>
          <w:tcPr>
            <w:tcW w:w="70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jc w:val="both"/>
              <w:rPr>
                <w:rFonts w:ascii="Times New Roman" w:hAnsi="Times New Roman" w:cs="Times New Roman"/>
                <w:lang w:val="en-US"/>
              </w:rPr>
            </w:pPr>
            <w:r>
              <w:rPr>
                <w:rFonts w:ascii="Times New Roman" w:hAnsi="Times New Roman" w:cs="Times New Roman"/>
                <w:lang w:val="en-US"/>
              </w:rPr>
              <w:t>2.</w:t>
            </w:r>
          </w:p>
        </w:tc>
        <w:tc>
          <w:tcPr>
            <w:tcW w:w="2931"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Hexadecanoic acid, methyl ester</w:t>
            </w:r>
          </w:p>
        </w:tc>
        <w:tc>
          <w:tcPr>
            <w:tcW w:w="38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Hexadecanoic acid, methyl ester</w:t>
            </w:r>
          </w:p>
        </w:tc>
        <w:tc>
          <w:tcPr>
            <w:tcW w:w="14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c>
          <w:tcPr>
            <w:tcW w:w="14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color w:val="0000FF"/>
                <w:lang w:val="en-US" w:eastAsia="zh-CN"/>
              </w:rPr>
            </w:pPr>
            <w:r>
              <w:rPr>
                <w:rFonts w:ascii="Times New Roman" w:eastAsia="Times New Roman" w:hAnsi="Times New Roman" w:cs="Times New Roman"/>
                <w:color w:val="0000FF"/>
                <w:lang w:val="en-US" w:eastAsia="zh-CN"/>
              </w:rPr>
              <w:t>Palmitic acid</w:t>
            </w:r>
          </w:p>
        </w:tc>
      </w:tr>
      <w:tr w:rsidR="005B502F">
        <w:tc>
          <w:tcPr>
            <w:tcW w:w="702"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jc w:val="both"/>
              <w:rPr>
                <w:rFonts w:ascii="Times New Roman" w:hAnsi="Times New Roman" w:cs="Times New Roman"/>
                <w:lang w:val="en-US"/>
              </w:rPr>
            </w:pPr>
            <w:r>
              <w:rPr>
                <w:rFonts w:ascii="Times New Roman" w:hAnsi="Times New Roman" w:cs="Times New Roman"/>
                <w:lang w:val="en-US"/>
              </w:rPr>
              <w:t>3.</w:t>
            </w:r>
          </w:p>
        </w:tc>
        <w:tc>
          <w:tcPr>
            <w:tcW w:w="2931"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8-Octadecenoic acid, methyl ester</w:t>
            </w:r>
          </w:p>
        </w:tc>
        <w:tc>
          <w:tcPr>
            <w:tcW w:w="38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8-Octadecenoic acid, methyl ester</w:t>
            </w:r>
          </w:p>
        </w:tc>
        <w:tc>
          <w:tcPr>
            <w:tcW w:w="14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c>
          <w:tcPr>
            <w:tcW w:w="14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color w:val="0000FF"/>
                <w:lang w:val="en-US" w:eastAsia="zh-CN"/>
              </w:rPr>
            </w:pPr>
            <w:r>
              <w:rPr>
                <w:rFonts w:ascii="Times New Roman" w:eastAsia="Times New Roman" w:hAnsi="Times New Roman" w:cs="Times New Roman"/>
                <w:color w:val="0000FF"/>
                <w:lang w:val="en-US" w:eastAsia="zh-CN"/>
              </w:rPr>
              <w:t>8-octadecanoic acid</w:t>
            </w:r>
          </w:p>
        </w:tc>
      </w:tr>
      <w:tr w:rsidR="005B502F">
        <w:tc>
          <w:tcPr>
            <w:tcW w:w="70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jc w:val="both"/>
              <w:rPr>
                <w:rFonts w:ascii="Times New Roman" w:hAnsi="Times New Roman" w:cs="Times New Roman"/>
                <w:lang w:val="en-US"/>
              </w:rPr>
            </w:pPr>
            <w:r>
              <w:rPr>
                <w:rFonts w:ascii="Times New Roman" w:hAnsi="Times New Roman" w:cs="Times New Roman"/>
                <w:lang w:val="en-US"/>
              </w:rPr>
              <w:t>4.</w:t>
            </w:r>
          </w:p>
        </w:tc>
        <w:tc>
          <w:tcPr>
            <w:tcW w:w="2931"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5B502F" w:rsidP="00C87561">
            <w:pPr>
              <w:spacing w:after="0" w:line="240" w:lineRule="auto"/>
              <w:jc w:val="both"/>
              <w:rPr>
                <w:rFonts w:ascii="Times New Roman" w:eastAsia="Times New Roman" w:hAnsi="Times New Roman" w:cs="Times New Roman"/>
                <w:lang w:val="en-US" w:eastAsia="zh-CN"/>
              </w:rPr>
            </w:pPr>
          </w:p>
        </w:tc>
        <w:tc>
          <w:tcPr>
            <w:tcW w:w="38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9-Octadecenoic acid, methyl ester, (E)-</w:t>
            </w:r>
          </w:p>
        </w:tc>
        <w:tc>
          <w:tcPr>
            <w:tcW w:w="14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c>
          <w:tcPr>
            <w:tcW w:w="14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color w:val="0000FF"/>
                <w:lang w:val="en-US" w:eastAsia="zh-CN"/>
              </w:rPr>
            </w:pPr>
            <w:r>
              <w:rPr>
                <w:rFonts w:ascii="Times New Roman" w:eastAsia="Times New Roman" w:hAnsi="Times New Roman" w:cs="Times New Roman"/>
                <w:color w:val="0000FF"/>
                <w:lang w:val="en-US" w:eastAsia="zh-CN"/>
              </w:rPr>
              <w:t>Trans-9-octadecenoic acid</w:t>
            </w:r>
          </w:p>
        </w:tc>
      </w:tr>
      <w:tr w:rsidR="005B502F">
        <w:tc>
          <w:tcPr>
            <w:tcW w:w="702"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jc w:val="both"/>
              <w:rPr>
                <w:rFonts w:ascii="Times New Roman" w:hAnsi="Times New Roman" w:cs="Times New Roman"/>
                <w:lang w:val="en-US"/>
              </w:rPr>
            </w:pPr>
            <w:r>
              <w:rPr>
                <w:rFonts w:ascii="Times New Roman" w:hAnsi="Times New Roman" w:cs="Times New Roman"/>
                <w:lang w:val="en-US"/>
              </w:rPr>
              <w:t>5.</w:t>
            </w:r>
          </w:p>
        </w:tc>
        <w:tc>
          <w:tcPr>
            <w:tcW w:w="2931"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5B502F" w:rsidP="00C87561">
            <w:pPr>
              <w:spacing w:after="0" w:line="240" w:lineRule="auto"/>
              <w:jc w:val="both"/>
              <w:rPr>
                <w:rFonts w:ascii="Times New Roman" w:eastAsia="Times New Roman" w:hAnsi="Times New Roman" w:cs="Times New Roman"/>
                <w:lang w:val="en-US" w:eastAsia="zh-CN"/>
              </w:rPr>
            </w:pPr>
          </w:p>
        </w:tc>
        <w:tc>
          <w:tcPr>
            <w:tcW w:w="38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(E)-11-Octadecenoic acid, methyl ester</w:t>
            </w:r>
          </w:p>
        </w:tc>
        <w:tc>
          <w:tcPr>
            <w:tcW w:w="14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c>
          <w:tcPr>
            <w:tcW w:w="14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color w:val="0000FF"/>
                <w:lang w:val="en-US" w:eastAsia="zh-CN"/>
              </w:rPr>
            </w:pPr>
            <w:r>
              <w:rPr>
                <w:rFonts w:ascii="Times New Roman" w:eastAsia="Times New Roman" w:hAnsi="Times New Roman" w:cs="Times New Roman"/>
                <w:color w:val="0000FF"/>
                <w:lang w:val="en-US" w:eastAsia="zh-CN"/>
              </w:rPr>
              <w:t>Trans-11-octadecenoic acid</w:t>
            </w:r>
          </w:p>
        </w:tc>
      </w:tr>
      <w:tr w:rsidR="005B502F">
        <w:tc>
          <w:tcPr>
            <w:tcW w:w="70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jc w:val="both"/>
              <w:rPr>
                <w:rFonts w:ascii="Times New Roman" w:hAnsi="Times New Roman" w:cs="Times New Roman"/>
                <w:lang w:val="en-US"/>
              </w:rPr>
            </w:pPr>
            <w:r>
              <w:rPr>
                <w:rFonts w:ascii="Times New Roman" w:hAnsi="Times New Roman" w:cs="Times New Roman"/>
                <w:lang w:val="en-US"/>
              </w:rPr>
              <w:t>6.</w:t>
            </w:r>
          </w:p>
        </w:tc>
        <w:tc>
          <w:tcPr>
            <w:tcW w:w="2931"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5B502F" w:rsidP="00C87561">
            <w:pPr>
              <w:jc w:val="both"/>
              <w:rPr>
                <w:rFonts w:ascii="Times New Roman" w:hAnsi="Times New Roman" w:cs="Times New Roman"/>
                <w:lang w:val="en-US"/>
              </w:rPr>
            </w:pPr>
          </w:p>
        </w:tc>
        <w:tc>
          <w:tcPr>
            <w:tcW w:w="38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Methyl stearate</w:t>
            </w:r>
          </w:p>
        </w:tc>
        <w:tc>
          <w:tcPr>
            <w:tcW w:w="14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c>
          <w:tcPr>
            <w:tcW w:w="14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color w:val="0000FF"/>
                <w:lang w:val="en-US" w:eastAsia="zh-CN"/>
              </w:rPr>
            </w:pPr>
            <w:r>
              <w:rPr>
                <w:rFonts w:ascii="Times New Roman" w:eastAsia="Times New Roman" w:hAnsi="Times New Roman" w:cs="Times New Roman"/>
                <w:color w:val="0000FF"/>
                <w:lang w:val="en-US" w:eastAsia="zh-CN"/>
              </w:rPr>
              <w:t>Stearic acid</w:t>
            </w:r>
          </w:p>
        </w:tc>
      </w:tr>
      <w:tr w:rsidR="005B502F">
        <w:tc>
          <w:tcPr>
            <w:tcW w:w="702"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jc w:val="both"/>
              <w:rPr>
                <w:rFonts w:ascii="Times New Roman" w:hAnsi="Times New Roman" w:cs="Times New Roman"/>
                <w:lang w:val="en-US"/>
              </w:rPr>
            </w:pPr>
            <w:r>
              <w:rPr>
                <w:rFonts w:ascii="Times New Roman" w:hAnsi="Times New Roman" w:cs="Times New Roman"/>
                <w:lang w:val="en-US"/>
              </w:rPr>
              <w:t>7.</w:t>
            </w:r>
          </w:p>
        </w:tc>
        <w:tc>
          <w:tcPr>
            <w:tcW w:w="2931"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Dodecanoic acid, methyl ester</w:t>
            </w:r>
          </w:p>
        </w:tc>
        <w:tc>
          <w:tcPr>
            <w:tcW w:w="38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Dodecanoic acid, methyl ester</w:t>
            </w:r>
          </w:p>
        </w:tc>
        <w:tc>
          <w:tcPr>
            <w:tcW w:w="14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98</w:t>
            </w:r>
          </w:p>
        </w:tc>
        <w:tc>
          <w:tcPr>
            <w:tcW w:w="14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color w:val="0000FF"/>
                <w:lang w:val="en-US" w:eastAsia="zh-CN"/>
              </w:rPr>
            </w:pPr>
            <w:r>
              <w:rPr>
                <w:rFonts w:ascii="Times New Roman" w:eastAsia="Times New Roman" w:hAnsi="Times New Roman" w:cs="Times New Roman"/>
                <w:color w:val="0000FF"/>
                <w:lang w:val="en-US" w:eastAsia="zh-CN"/>
              </w:rPr>
              <w:t>Lauric acid</w:t>
            </w:r>
          </w:p>
        </w:tc>
      </w:tr>
      <w:tr w:rsidR="005B502F">
        <w:tc>
          <w:tcPr>
            <w:tcW w:w="70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jc w:val="both"/>
              <w:rPr>
                <w:rFonts w:ascii="Times New Roman" w:hAnsi="Times New Roman" w:cs="Times New Roman"/>
                <w:lang w:val="en-US"/>
              </w:rPr>
            </w:pPr>
            <w:r>
              <w:rPr>
                <w:rFonts w:ascii="Times New Roman" w:hAnsi="Times New Roman" w:cs="Times New Roman"/>
                <w:lang w:val="en-US"/>
              </w:rPr>
              <w:t>8.</w:t>
            </w:r>
          </w:p>
        </w:tc>
        <w:tc>
          <w:tcPr>
            <w:tcW w:w="2931"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Pentadecanoic acid, methyl ester</w:t>
            </w:r>
          </w:p>
        </w:tc>
        <w:tc>
          <w:tcPr>
            <w:tcW w:w="38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Pentadecanoic acid, methyl ester</w:t>
            </w:r>
          </w:p>
        </w:tc>
        <w:tc>
          <w:tcPr>
            <w:tcW w:w="14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98</w:t>
            </w:r>
          </w:p>
        </w:tc>
        <w:tc>
          <w:tcPr>
            <w:tcW w:w="14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color w:val="0000FF"/>
                <w:lang w:val="en-US" w:eastAsia="zh-CN"/>
              </w:rPr>
            </w:pPr>
            <w:r>
              <w:rPr>
                <w:rFonts w:ascii="Times New Roman" w:eastAsia="Times New Roman" w:hAnsi="Times New Roman" w:cs="Times New Roman"/>
                <w:color w:val="0000FF"/>
                <w:lang w:val="en-US" w:eastAsia="zh-CN"/>
              </w:rPr>
              <w:t>Pentadecanoic acid</w:t>
            </w:r>
          </w:p>
        </w:tc>
      </w:tr>
      <w:tr w:rsidR="005B502F">
        <w:tc>
          <w:tcPr>
            <w:tcW w:w="702" w:type="dxa"/>
            <w:tcBorders>
              <w:top w:val="single" w:sz="8" w:space="0" w:color="FFFFFF"/>
              <w:left w:val="single" w:sz="8" w:space="0" w:color="FFFFFF"/>
              <w:bottom w:val="single" w:sz="8" w:space="0" w:color="FFFFFF"/>
              <w:right w:val="single" w:sz="8" w:space="0" w:color="FFFFFF"/>
            </w:tcBorders>
            <w:shd w:val="clear" w:color="auto" w:fill="CBCBCB"/>
          </w:tcPr>
          <w:p w:rsidR="005B502F" w:rsidRDefault="00BF5D4A" w:rsidP="00C87561">
            <w:pPr>
              <w:jc w:val="both"/>
              <w:rPr>
                <w:rFonts w:ascii="Times New Roman" w:hAnsi="Times New Roman" w:cs="Times New Roman"/>
                <w:lang w:val="en-US"/>
              </w:rPr>
            </w:pPr>
            <w:r>
              <w:rPr>
                <w:rFonts w:ascii="Times New Roman" w:hAnsi="Times New Roman" w:cs="Times New Roman"/>
                <w:lang w:val="en-US"/>
              </w:rPr>
              <w:t>9.</w:t>
            </w:r>
          </w:p>
        </w:tc>
        <w:tc>
          <w:tcPr>
            <w:tcW w:w="2931"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5B502F" w:rsidP="00C87561">
            <w:pPr>
              <w:spacing w:after="0" w:line="240" w:lineRule="auto"/>
              <w:jc w:val="both"/>
              <w:rPr>
                <w:rFonts w:ascii="Times New Roman" w:eastAsia="Times New Roman" w:hAnsi="Times New Roman" w:cs="Times New Roman"/>
                <w:lang w:val="en-US" w:eastAsia="zh-CN"/>
              </w:rPr>
            </w:pPr>
          </w:p>
        </w:tc>
        <w:tc>
          <w:tcPr>
            <w:tcW w:w="38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Hexadecanoic acid, methyl ester</w:t>
            </w:r>
          </w:p>
        </w:tc>
        <w:tc>
          <w:tcPr>
            <w:tcW w:w="14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98</w:t>
            </w:r>
          </w:p>
        </w:tc>
        <w:tc>
          <w:tcPr>
            <w:tcW w:w="147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5B502F" w:rsidRDefault="00BF5D4A" w:rsidP="00C87561">
            <w:pPr>
              <w:spacing w:after="0" w:line="240" w:lineRule="auto"/>
              <w:jc w:val="both"/>
              <w:rPr>
                <w:rFonts w:ascii="Times New Roman" w:eastAsia="Times New Roman" w:hAnsi="Times New Roman" w:cs="Times New Roman"/>
                <w:color w:val="0000FF"/>
                <w:lang w:val="en-US" w:eastAsia="zh-CN"/>
              </w:rPr>
            </w:pPr>
            <w:r>
              <w:rPr>
                <w:rFonts w:ascii="Times New Roman" w:eastAsia="Times New Roman" w:hAnsi="Times New Roman" w:cs="Times New Roman"/>
                <w:color w:val="0000FF"/>
                <w:lang w:val="en-US" w:eastAsia="zh-CN"/>
              </w:rPr>
              <w:t>Palmitic acid</w:t>
            </w:r>
          </w:p>
        </w:tc>
      </w:tr>
      <w:tr w:rsidR="005B502F">
        <w:tc>
          <w:tcPr>
            <w:tcW w:w="702" w:type="dxa"/>
            <w:tcBorders>
              <w:top w:val="single" w:sz="8" w:space="0" w:color="FFFFFF"/>
              <w:left w:val="single" w:sz="8" w:space="0" w:color="FFFFFF"/>
              <w:bottom w:val="single" w:sz="8" w:space="0" w:color="FFFFFF"/>
              <w:right w:val="single" w:sz="8" w:space="0" w:color="FFFFFF"/>
            </w:tcBorders>
            <w:shd w:val="clear" w:color="auto" w:fill="E7E7E7"/>
          </w:tcPr>
          <w:p w:rsidR="005B502F" w:rsidRDefault="00BF5D4A" w:rsidP="00C87561">
            <w:pPr>
              <w:jc w:val="both"/>
              <w:rPr>
                <w:rFonts w:ascii="Times New Roman" w:hAnsi="Times New Roman" w:cs="Times New Roman"/>
                <w:lang w:val="en-US"/>
              </w:rPr>
            </w:pPr>
            <w:r>
              <w:rPr>
                <w:rFonts w:ascii="Times New Roman" w:hAnsi="Times New Roman" w:cs="Times New Roman"/>
                <w:lang w:val="en-US"/>
              </w:rPr>
              <w:t>10.</w:t>
            </w:r>
          </w:p>
        </w:tc>
        <w:tc>
          <w:tcPr>
            <w:tcW w:w="2931"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5B502F" w:rsidP="00C87561">
            <w:pPr>
              <w:spacing w:after="0" w:line="240" w:lineRule="auto"/>
              <w:jc w:val="both"/>
              <w:rPr>
                <w:rFonts w:ascii="Times New Roman" w:eastAsia="Times New Roman" w:hAnsi="Times New Roman" w:cs="Times New Roman"/>
                <w:lang w:val="en-US" w:eastAsia="zh-CN"/>
              </w:rPr>
            </w:pPr>
          </w:p>
        </w:tc>
        <w:tc>
          <w:tcPr>
            <w:tcW w:w="38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Heptadecanoic acid, methyl ester</w:t>
            </w:r>
          </w:p>
        </w:tc>
        <w:tc>
          <w:tcPr>
            <w:tcW w:w="14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95</w:t>
            </w:r>
          </w:p>
        </w:tc>
        <w:tc>
          <w:tcPr>
            <w:tcW w:w="147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5B502F" w:rsidRDefault="00BF5D4A" w:rsidP="00C87561">
            <w:pPr>
              <w:spacing w:after="0" w:line="240" w:lineRule="auto"/>
              <w:jc w:val="both"/>
              <w:rPr>
                <w:rFonts w:ascii="Times New Roman" w:eastAsia="Times New Roman" w:hAnsi="Times New Roman" w:cs="Times New Roman"/>
                <w:color w:val="0000FF"/>
                <w:lang w:val="zh-CN" w:eastAsia="zh-CN"/>
              </w:rPr>
            </w:pPr>
            <w:r>
              <w:rPr>
                <w:rFonts w:ascii="Times New Roman" w:eastAsia="Times New Roman" w:hAnsi="Times New Roman" w:cs="Times New Roman"/>
                <w:color w:val="0000FF"/>
                <w:lang w:val="en-US" w:eastAsia="zh-CN"/>
              </w:rPr>
              <w:t>Margaric acid</w:t>
            </w:r>
          </w:p>
        </w:tc>
      </w:tr>
    </w:tbl>
    <w:p w:rsidR="005B502F" w:rsidRDefault="005B502F" w:rsidP="00C87561">
      <w:pPr>
        <w:jc w:val="both"/>
        <w:rPr>
          <w:rFonts w:ascii="Times New Roman" w:hAnsi="Times New Roman" w:cs="Times New Roman"/>
        </w:rPr>
      </w:pPr>
    </w:p>
    <w:p w:rsidR="005B502F" w:rsidRDefault="00BF5D4A" w:rsidP="00C87561">
      <w:pPr>
        <w:pStyle w:val="NormalWeb"/>
        <w:jc w:val="both"/>
        <w:rPr>
          <w:b/>
          <w:bCs/>
          <w:sz w:val="28"/>
          <w:szCs w:val="28"/>
        </w:rPr>
      </w:pPr>
      <w:r>
        <w:rPr>
          <w:b/>
          <w:bCs/>
          <w:sz w:val="28"/>
          <w:szCs w:val="28"/>
          <w:lang w:val="en-US"/>
        </w:rPr>
        <w:t>4.</w:t>
      </w:r>
      <w:r>
        <w:rPr>
          <w:b/>
          <w:bCs/>
          <w:sz w:val="28"/>
          <w:szCs w:val="28"/>
        </w:rPr>
        <w:t>Conclusion</w:t>
      </w:r>
    </w:p>
    <w:p w:rsidR="005B502F" w:rsidRDefault="00BF5D4A" w:rsidP="00C87561">
      <w:pPr>
        <w:pStyle w:val="NormalWeb"/>
        <w:jc w:val="both"/>
        <w:rPr>
          <w:color w:val="0000FF"/>
          <w:lang w:val="en-US"/>
        </w:rPr>
      </w:pPr>
      <w:r>
        <w:rPr>
          <w:lang w:val="en-US"/>
        </w:rPr>
        <w:t xml:space="preserve">The optimization of biodiesel yield from the transesterification of rubber seed oil at </w:t>
      </w:r>
      <w:proofErr w:type="gramStart"/>
      <w:r>
        <w:rPr>
          <w:lang w:val="en-US"/>
        </w:rPr>
        <w:t>varied  operating</w:t>
      </w:r>
      <w:proofErr w:type="gramEnd"/>
      <w:r>
        <w:rPr>
          <w:lang w:val="en-US"/>
        </w:rPr>
        <w:t xml:space="preserve"> conditions of temperature, reaction time and methanol-to-oil ratio using central composite design in Design Expert software has been studied. The extraction of the rubber seed oil resulted to a </w:t>
      </w:r>
      <w:proofErr w:type="gramStart"/>
      <w:r>
        <w:rPr>
          <w:lang w:val="en-US"/>
        </w:rPr>
        <w:t>yield  of</w:t>
      </w:r>
      <w:proofErr w:type="gramEnd"/>
      <w:r>
        <w:rPr>
          <w:lang w:val="en-US"/>
        </w:rPr>
        <w:t xml:space="preserve"> 41.05 %  which compared well with those from literature, and commercially used vegetable oils such as rapeseed and palm. This shows that rubber seed oil is a potential commercial feedstock for biodiesel production. The optimization of the biodiesel yield resulted to a maximum yield of 76. 6 % at the optimum operating conditions of temperature (60</w:t>
      </w:r>
      <w:r>
        <w:rPr>
          <w:vertAlign w:val="superscript"/>
          <w:lang w:val="en-US"/>
        </w:rPr>
        <w:t xml:space="preserve"> </w:t>
      </w:r>
      <w:proofErr w:type="spellStart"/>
      <w:r>
        <w:rPr>
          <w:vertAlign w:val="superscript"/>
          <w:lang w:val="en-US"/>
        </w:rPr>
        <w:t>o</w:t>
      </w:r>
      <w:r>
        <w:rPr>
          <w:lang w:val="en-US"/>
        </w:rPr>
        <w:t>C</w:t>
      </w:r>
      <w:proofErr w:type="spellEnd"/>
      <w:r>
        <w:rPr>
          <w:lang w:val="en-US"/>
        </w:rPr>
        <w:t>), reaction time (30 min), catalyst loading (0.5 g), and methanol-to-oil ratio (4:1, g/g). The physicochemical properties of the biodiesel produced such as density (848.4 g/m</w:t>
      </w:r>
      <w:r>
        <w:rPr>
          <w:vertAlign w:val="superscript"/>
          <w:lang w:val="en-US"/>
        </w:rPr>
        <w:t>3</w:t>
      </w:r>
      <w:r>
        <w:rPr>
          <w:lang w:val="en-US"/>
        </w:rPr>
        <w:t xml:space="preserve">), specific gravity (0.8675), viscosity at 40 </w:t>
      </w:r>
      <w:proofErr w:type="spellStart"/>
      <w:r>
        <w:rPr>
          <w:vertAlign w:val="superscript"/>
          <w:lang w:val="en-US"/>
        </w:rPr>
        <w:t>o</w:t>
      </w:r>
      <w:r>
        <w:rPr>
          <w:lang w:val="en-US"/>
        </w:rPr>
        <w:t>C</w:t>
      </w:r>
      <w:proofErr w:type="spellEnd"/>
      <w:r>
        <w:rPr>
          <w:lang w:val="en-US"/>
        </w:rPr>
        <w:t xml:space="preserve"> (2.030), kinematic viscosity (1,722 mm</w:t>
      </w:r>
      <w:r>
        <w:rPr>
          <w:vertAlign w:val="superscript"/>
          <w:lang w:val="en-US"/>
        </w:rPr>
        <w:t>2</w:t>
      </w:r>
      <w:r>
        <w:rPr>
          <w:lang w:val="en-US"/>
        </w:rPr>
        <w:t xml:space="preserve">/s), acid value (1.604 mg KOH/g), free fatty acid (0.802 %), flash point (89.4 </w:t>
      </w:r>
      <w:proofErr w:type="spellStart"/>
      <w:r>
        <w:rPr>
          <w:vertAlign w:val="superscript"/>
          <w:lang w:val="en-US"/>
        </w:rPr>
        <w:t>o</w:t>
      </w:r>
      <w:r>
        <w:rPr>
          <w:lang w:val="en-US"/>
        </w:rPr>
        <w:t>C</w:t>
      </w:r>
      <w:proofErr w:type="spellEnd"/>
      <w:r>
        <w:rPr>
          <w:lang w:val="en-US"/>
        </w:rPr>
        <w:t xml:space="preserve">), pour point (-3.8 </w:t>
      </w:r>
      <w:proofErr w:type="spellStart"/>
      <w:r>
        <w:rPr>
          <w:vertAlign w:val="superscript"/>
          <w:lang w:val="en-US"/>
        </w:rPr>
        <w:t>o</w:t>
      </w:r>
      <w:r>
        <w:rPr>
          <w:lang w:val="en-US"/>
        </w:rPr>
        <w:t>C</w:t>
      </w:r>
      <w:proofErr w:type="spellEnd"/>
      <w:r>
        <w:rPr>
          <w:lang w:val="en-US"/>
        </w:rPr>
        <w:t xml:space="preserve">), cloud point (-5.2 </w:t>
      </w:r>
      <w:proofErr w:type="spellStart"/>
      <w:r>
        <w:rPr>
          <w:vertAlign w:val="superscript"/>
          <w:lang w:val="en-US"/>
        </w:rPr>
        <w:t>o</w:t>
      </w:r>
      <w:r>
        <w:rPr>
          <w:lang w:val="en-US"/>
        </w:rPr>
        <w:t>C</w:t>
      </w:r>
      <w:proofErr w:type="spellEnd"/>
      <w:r>
        <w:rPr>
          <w:lang w:val="en-US"/>
        </w:rPr>
        <w:t xml:space="preserve">), calorific value (40.1042 MJ/kg), and cetane number (46.9), and  its fatty acid composition revealed that the fuel possesses the desired properties required for enhancing the performance of engines. </w:t>
      </w:r>
      <w:r>
        <w:rPr>
          <w:color w:val="0000FF"/>
          <w:lang w:val="en-US"/>
        </w:rPr>
        <w:t xml:space="preserve">In the course of producing the biodiesel, one step method involving direct </w:t>
      </w:r>
      <w:proofErr w:type="spellStart"/>
      <w:r>
        <w:rPr>
          <w:color w:val="0000FF"/>
          <w:lang w:val="en-US"/>
        </w:rPr>
        <w:lastRenderedPageBreak/>
        <w:t>tranesterification</w:t>
      </w:r>
      <w:proofErr w:type="spellEnd"/>
      <w:r>
        <w:rPr>
          <w:color w:val="0000FF"/>
          <w:lang w:val="en-US"/>
        </w:rPr>
        <w:t xml:space="preserve"> of the rubber seed oil was used. The problem of this method is the potential of soap production which can reduce the biodiesel yield. Therefore, two-stage esterification - transesterification is recommended.  </w:t>
      </w:r>
    </w:p>
    <w:p w:rsidR="005B502F" w:rsidRDefault="005B502F" w:rsidP="00C87561">
      <w:pPr>
        <w:pStyle w:val="NormalWeb"/>
        <w:jc w:val="both"/>
        <w:rPr>
          <w:lang w:val="en-US"/>
        </w:rPr>
      </w:pPr>
    </w:p>
    <w:p w:rsidR="005B502F" w:rsidRDefault="00BF5D4A" w:rsidP="00C87561">
      <w:pPr>
        <w:pStyle w:val="NormalWeb"/>
        <w:jc w:val="both"/>
        <w:rPr>
          <w:lang w:val="en-US"/>
        </w:rPr>
      </w:pPr>
      <w:r>
        <w:rPr>
          <w:lang w:val="en-US"/>
        </w:rPr>
        <w:t>COMPETING INTERESTS DISCLAIMER:</w:t>
      </w:r>
    </w:p>
    <w:p w:rsidR="005B502F" w:rsidRDefault="00BF5D4A" w:rsidP="00C87561">
      <w:pPr>
        <w:pStyle w:val="NormalWeb"/>
        <w:jc w:val="both"/>
        <w:rPr>
          <w:lang w:val="en-US"/>
        </w:rPr>
      </w:pPr>
      <w:r>
        <w:rPr>
          <w:lang w:val="en-US"/>
        </w:rPr>
        <w:t>Authors have declared that they have no known competing financial interests OR non-financial interests OR personal relationships that could have appeared to influence the work reported in this paper.</w:t>
      </w:r>
    </w:p>
    <w:p w:rsidR="005B502F" w:rsidRDefault="005B502F" w:rsidP="00C87561">
      <w:pPr>
        <w:pStyle w:val="NormalWeb"/>
        <w:jc w:val="both"/>
        <w:rPr>
          <w:lang w:val="en-US"/>
        </w:rPr>
      </w:pPr>
    </w:p>
    <w:p w:rsidR="005B502F" w:rsidRDefault="00BF5D4A" w:rsidP="00C87561">
      <w:pPr>
        <w:spacing w:after="0" w:line="240" w:lineRule="auto"/>
        <w:jc w:val="both"/>
        <w:rPr>
          <w:rFonts w:ascii="Times New Roman" w:eastAsia="Calibri" w:hAnsi="Times New Roman" w:cs="Times New Roman"/>
          <w:kern w:val="2"/>
          <w:highlight w:val="yellow"/>
          <w:lang w:val="en-US" w:eastAsia="en-US"/>
        </w:rPr>
      </w:pPr>
      <w:bookmarkStart w:id="2" w:name="_Hlk198031404"/>
      <w:bookmarkStart w:id="3" w:name="_Hlk219125673"/>
      <w:r>
        <w:rPr>
          <w:rFonts w:ascii="Times New Roman" w:eastAsia="Calibri" w:hAnsi="Times New Roman" w:cs="Times New Roman"/>
          <w:kern w:val="2"/>
          <w:highlight w:val="yellow"/>
          <w:lang w:val="en-US" w:eastAsia="en-US"/>
        </w:rPr>
        <w:t>Disclaimer (Artificial intelligence)</w:t>
      </w:r>
    </w:p>
    <w:p w:rsidR="005B502F" w:rsidRDefault="005B502F" w:rsidP="00C87561">
      <w:pPr>
        <w:spacing w:after="0" w:line="240" w:lineRule="auto"/>
        <w:jc w:val="both"/>
        <w:rPr>
          <w:rFonts w:ascii="Times New Roman" w:eastAsia="Calibri" w:hAnsi="Times New Roman" w:cs="Times New Roman"/>
          <w:kern w:val="2"/>
          <w:highlight w:val="yellow"/>
          <w:lang w:val="en-US" w:eastAsia="en-US"/>
        </w:rPr>
      </w:pPr>
    </w:p>
    <w:p w:rsidR="005B502F" w:rsidRDefault="00BF5D4A" w:rsidP="00C87561">
      <w:pPr>
        <w:spacing w:after="0" w:line="240" w:lineRule="auto"/>
        <w:jc w:val="both"/>
        <w:rPr>
          <w:rFonts w:ascii="Times New Roman" w:eastAsia="Calibri" w:hAnsi="Times New Roman" w:cs="Times New Roman"/>
          <w:kern w:val="2"/>
          <w:highlight w:val="yellow"/>
          <w:lang w:val="en-US" w:eastAsia="en-US"/>
        </w:rPr>
      </w:pPr>
      <w:r>
        <w:rPr>
          <w:rFonts w:ascii="Times New Roman" w:eastAsia="Calibri" w:hAnsi="Times New Roman" w:cs="Times New Roman"/>
          <w:kern w:val="2"/>
          <w:highlight w:val="yellow"/>
          <w:lang w:val="en-US" w:eastAsia="en-US"/>
        </w:rPr>
        <w:t>Author(s) hereby declare that NO generative AI technologies such as Large Language Models (</w:t>
      </w:r>
      <w:proofErr w:type="spellStart"/>
      <w:r>
        <w:rPr>
          <w:rFonts w:ascii="Times New Roman" w:eastAsia="Calibri" w:hAnsi="Times New Roman" w:cs="Times New Roman"/>
          <w:kern w:val="2"/>
          <w:highlight w:val="yellow"/>
          <w:lang w:val="en-US" w:eastAsia="en-US"/>
        </w:rPr>
        <w:t>ChatGPT</w:t>
      </w:r>
      <w:proofErr w:type="spellEnd"/>
      <w:r>
        <w:rPr>
          <w:rFonts w:ascii="Times New Roman" w:eastAsia="Calibri" w:hAnsi="Times New Roman" w:cs="Times New Roman"/>
          <w:kern w:val="2"/>
          <w:highlight w:val="yellow"/>
          <w:lang w:val="en-US" w:eastAsia="en-US"/>
        </w:rPr>
        <w:t xml:space="preserve">, COPILOT, etc.) and text-to-image generators have been used during the writing or editing of this manuscript. </w:t>
      </w:r>
    </w:p>
    <w:bookmarkEnd w:id="2"/>
    <w:p w:rsidR="005B502F" w:rsidRDefault="005B502F" w:rsidP="00C87561">
      <w:pPr>
        <w:spacing w:after="200" w:line="276" w:lineRule="auto"/>
        <w:jc w:val="both"/>
        <w:rPr>
          <w:rFonts w:ascii="Calibri" w:eastAsia="Calibri" w:hAnsi="Calibri" w:cs="Times New Roman"/>
          <w:sz w:val="28"/>
          <w:lang w:val="en-US" w:eastAsia="en-US"/>
        </w:rPr>
      </w:pPr>
    </w:p>
    <w:bookmarkEnd w:id="3"/>
    <w:p w:rsidR="005B502F" w:rsidRDefault="005B502F" w:rsidP="00C87561">
      <w:pPr>
        <w:pStyle w:val="NormalWeb"/>
        <w:jc w:val="both"/>
        <w:rPr>
          <w:lang w:val="en-US"/>
        </w:rPr>
      </w:pPr>
    </w:p>
    <w:p w:rsidR="005B502F" w:rsidRDefault="005B502F" w:rsidP="00C87561">
      <w:pPr>
        <w:pStyle w:val="NormalWeb"/>
        <w:jc w:val="both"/>
        <w:rPr>
          <w:lang w:val="en-US"/>
        </w:rPr>
      </w:pPr>
    </w:p>
    <w:p w:rsidR="005B502F" w:rsidRDefault="00BF5D4A" w:rsidP="00C87561">
      <w:pPr>
        <w:pStyle w:val="NormalWeb"/>
        <w:jc w:val="both"/>
        <w:rPr>
          <w:b/>
          <w:bCs/>
          <w:sz w:val="28"/>
          <w:szCs w:val="28"/>
          <w:lang w:val="en-US"/>
        </w:rPr>
      </w:pPr>
      <w:r>
        <w:rPr>
          <w:b/>
          <w:bCs/>
          <w:sz w:val="28"/>
          <w:szCs w:val="28"/>
          <w:lang w:val="en-US"/>
        </w:rPr>
        <w:t xml:space="preserve">Reference </w:t>
      </w:r>
    </w:p>
    <w:p w:rsidR="005B502F" w:rsidRDefault="00BF5D4A" w:rsidP="00C87561">
      <w:pPr>
        <w:tabs>
          <w:tab w:val="left" w:pos="826"/>
        </w:tabs>
        <w:spacing w:after="0" w:line="240" w:lineRule="auto"/>
        <w:ind w:right="105"/>
        <w:contextualSpacing/>
        <w:jc w:val="both"/>
        <w:rPr>
          <w:rFonts w:ascii="Times New Roman" w:hAnsi="Times New Roman" w:cs="Times New Roman"/>
          <w:sz w:val="24"/>
          <w:szCs w:val="24"/>
        </w:rPr>
      </w:pPr>
      <w:bookmarkStart w:id="4" w:name="_Hlk128210591"/>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H.I., </w:t>
      </w:r>
      <w:proofErr w:type="spellStart"/>
      <w:r>
        <w:rPr>
          <w:rFonts w:ascii="Times New Roman" w:hAnsi="Times New Roman" w:cs="Times New Roman"/>
          <w:sz w:val="24"/>
          <w:szCs w:val="24"/>
        </w:rPr>
        <w:t>Nkwor</w:t>
      </w:r>
      <w:proofErr w:type="spellEnd"/>
      <w:r>
        <w:rPr>
          <w:rFonts w:ascii="Times New Roman" w:hAnsi="Times New Roman" w:cs="Times New Roman"/>
          <w:sz w:val="24"/>
          <w:szCs w:val="24"/>
        </w:rPr>
        <w:t xml:space="preserve">, A.N.  (2020). </w:t>
      </w:r>
      <w:bookmarkEnd w:id="4"/>
      <w:r>
        <w:rPr>
          <w:rFonts w:ascii="Times New Roman" w:hAnsi="Times New Roman" w:cs="Times New Roman"/>
          <w:sz w:val="24"/>
          <w:szCs w:val="24"/>
        </w:rPr>
        <w:t xml:space="preserve">Selected under-exploited plant oils in </w:t>
      </w:r>
      <w:proofErr w:type="spellStart"/>
      <w:r>
        <w:rPr>
          <w:rFonts w:ascii="Times New Roman" w:hAnsi="Times New Roman" w:cs="Times New Roman"/>
          <w:sz w:val="24"/>
          <w:szCs w:val="24"/>
        </w:rPr>
        <w:t>nigeria</w:t>
      </w:r>
      <w:proofErr w:type="spellEnd"/>
      <w:r>
        <w:rPr>
          <w:rFonts w:ascii="Times New Roman" w:hAnsi="Times New Roman" w:cs="Times New Roman"/>
          <w:sz w:val="24"/>
          <w:szCs w:val="24"/>
        </w:rPr>
        <w:t xml:space="preserve">: a correlative </w:t>
      </w:r>
      <w:r>
        <w:rPr>
          <w:rFonts w:ascii="Times New Roman" w:hAnsi="Times New Roman" w:cs="Times New Roman"/>
          <w:sz w:val="24"/>
          <w:szCs w:val="24"/>
        </w:rPr>
        <w:tab/>
        <w:t xml:space="preserve">study of their physiochemical properties. </w:t>
      </w:r>
      <w:r>
        <w:rPr>
          <w:rFonts w:ascii="Times New Roman" w:hAnsi="Times New Roman" w:cs="Times New Roman"/>
          <w:i/>
          <w:sz w:val="24"/>
          <w:szCs w:val="24"/>
        </w:rPr>
        <w:t xml:space="preserve">Tanzania Journal of Science </w:t>
      </w:r>
      <w:r>
        <w:rPr>
          <w:rFonts w:ascii="Times New Roman" w:hAnsi="Times New Roman" w:cs="Times New Roman"/>
          <w:sz w:val="24"/>
          <w:szCs w:val="24"/>
        </w:rPr>
        <w:t>46(3): 817-827.</w:t>
      </w:r>
      <w:hyperlink r:id="rId13" w:history="1">
        <w:r>
          <w:rPr>
            <w:rStyle w:val="Hyperlink"/>
            <w:rFonts w:ascii="Times New Roman" w:hAnsi="Times New Roman" w:cs="Times New Roman"/>
            <w:color w:val="auto"/>
            <w:sz w:val="24"/>
            <w:szCs w:val="24"/>
          </w:rPr>
          <w:t xml:space="preserve"> </w:t>
        </w:r>
        <w:r>
          <w:rPr>
            <w:rStyle w:val="Hyperlink"/>
            <w:rFonts w:ascii="Times New Roman" w:hAnsi="Times New Roman" w:cs="Times New Roman"/>
            <w:color w:val="auto"/>
            <w:sz w:val="24"/>
            <w:szCs w:val="24"/>
            <w:u w:val="none"/>
          </w:rPr>
          <w:tab/>
        </w:r>
        <w:r>
          <w:rPr>
            <w:rStyle w:val="Hyperlink"/>
            <w:rFonts w:ascii="Times New Roman" w:hAnsi="Times New Roman" w:cs="Times New Roman"/>
            <w:color w:val="auto"/>
            <w:sz w:val="24"/>
            <w:szCs w:val="24"/>
          </w:rPr>
          <w:t>https://www.ajol.info/index.php/tjs/article/view/201129.</w:t>
        </w:r>
      </w:hyperlink>
    </w:p>
    <w:p w:rsidR="005B502F" w:rsidRDefault="00BF5D4A" w:rsidP="00C87561">
      <w:pPr>
        <w:spacing w:line="240" w:lineRule="auto"/>
        <w:ind w:left="720" w:hangingChars="300" w:hanging="720"/>
        <w:jc w:val="both"/>
        <w:rPr>
          <w:rFonts w:ascii="Times New Roman" w:hAnsi="Times New Roman" w:cs="Times New Roman"/>
          <w:i/>
          <w:iCs/>
          <w:sz w:val="24"/>
          <w:szCs w:val="24"/>
        </w:rPr>
      </w:pPr>
      <w:proofErr w:type="spellStart"/>
      <w:r>
        <w:rPr>
          <w:rFonts w:ascii="Times New Roman" w:hAnsi="Times New Roman" w:cs="Times New Roman"/>
          <w:sz w:val="24"/>
          <w:szCs w:val="24"/>
          <w:shd w:val="clear" w:color="auto" w:fill="FFFFFF"/>
        </w:rPr>
        <w:t>Ifijen</w:t>
      </w:r>
      <w:proofErr w:type="spellEnd"/>
      <w:r>
        <w:rPr>
          <w:rFonts w:ascii="Times New Roman" w:hAnsi="Times New Roman" w:cs="Times New Roman"/>
          <w:sz w:val="24"/>
          <w:szCs w:val="24"/>
          <w:shd w:val="clear" w:color="auto" w:fill="FFFFFF"/>
        </w:rPr>
        <w:t xml:space="preserve">, I.H., Bakare, I.O., </w:t>
      </w:r>
      <w:proofErr w:type="spellStart"/>
      <w:r>
        <w:rPr>
          <w:rFonts w:ascii="Times New Roman" w:hAnsi="Times New Roman" w:cs="Times New Roman"/>
          <w:sz w:val="24"/>
          <w:szCs w:val="24"/>
          <w:shd w:val="clear" w:color="auto" w:fill="FFFFFF"/>
        </w:rPr>
        <w:t>Obazee</w:t>
      </w:r>
      <w:proofErr w:type="spellEnd"/>
      <w:r>
        <w:rPr>
          <w:rFonts w:ascii="Times New Roman" w:hAnsi="Times New Roman" w:cs="Times New Roman"/>
          <w:sz w:val="24"/>
          <w:szCs w:val="24"/>
          <w:shd w:val="clear" w:color="auto" w:fill="FFFFFF"/>
        </w:rPr>
        <w:t xml:space="preserve">, E.O., </w:t>
      </w:r>
      <w:proofErr w:type="spellStart"/>
      <w:r>
        <w:rPr>
          <w:rFonts w:ascii="Times New Roman" w:hAnsi="Times New Roman" w:cs="Times New Roman"/>
          <w:sz w:val="24"/>
          <w:szCs w:val="24"/>
          <w:shd w:val="clear" w:color="auto" w:fill="FFFFFF"/>
        </w:rPr>
        <w:t>Ize-Iyamu</w:t>
      </w:r>
      <w:proofErr w:type="spellEnd"/>
      <w:r>
        <w:rPr>
          <w:rFonts w:ascii="Times New Roman" w:hAnsi="Times New Roman" w:cs="Times New Roman"/>
          <w:sz w:val="24"/>
          <w:szCs w:val="24"/>
          <w:shd w:val="clear" w:color="auto" w:fill="FFFFFF"/>
        </w:rPr>
        <w:t xml:space="preserve">, O.C., </w:t>
      </w:r>
      <w:proofErr w:type="spellStart"/>
      <w:r>
        <w:rPr>
          <w:rFonts w:ascii="Times New Roman" w:hAnsi="Times New Roman" w:cs="Times New Roman"/>
          <w:sz w:val="24"/>
          <w:szCs w:val="24"/>
          <w:shd w:val="clear" w:color="auto" w:fill="FFFFFF"/>
        </w:rPr>
        <w:t>Udokpoh</w:t>
      </w:r>
      <w:proofErr w:type="spellEnd"/>
      <w:r>
        <w:rPr>
          <w:rFonts w:ascii="Times New Roman" w:hAnsi="Times New Roman" w:cs="Times New Roman"/>
          <w:sz w:val="24"/>
          <w:szCs w:val="24"/>
          <w:shd w:val="clear" w:color="auto" w:fill="FFFFFF"/>
        </w:rPr>
        <w:t xml:space="preserve">, N.U., </w:t>
      </w:r>
      <w:proofErr w:type="spellStart"/>
      <w:r>
        <w:rPr>
          <w:rFonts w:ascii="Times New Roman" w:hAnsi="Times New Roman" w:cs="Times New Roman"/>
          <w:sz w:val="24"/>
          <w:szCs w:val="24"/>
          <w:shd w:val="clear" w:color="auto" w:fill="FFFFFF"/>
        </w:rPr>
        <w:t>Ohifuemen</w:t>
      </w:r>
      <w:proofErr w:type="spellEnd"/>
      <w:r>
        <w:rPr>
          <w:rFonts w:ascii="Times New Roman" w:hAnsi="Times New Roman" w:cs="Times New Roman"/>
          <w:sz w:val="24"/>
          <w:szCs w:val="24"/>
          <w:shd w:val="clear" w:color="auto" w:fill="FFFFFF"/>
        </w:rPr>
        <w:t xml:space="preserve">, A.O.,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Mohammed, F.U., </w:t>
      </w:r>
      <w:proofErr w:type="spellStart"/>
      <w:r>
        <w:rPr>
          <w:rFonts w:ascii="Times New Roman" w:hAnsi="Times New Roman" w:cs="Times New Roman"/>
          <w:sz w:val="24"/>
          <w:szCs w:val="24"/>
          <w:shd w:val="clear" w:color="auto" w:fill="FFFFFF"/>
        </w:rPr>
        <w:t>Fagbemi</w:t>
      </w:r>
      <w:proofErr w:type="spellEnd"/>
      <w:r>
        <w:rPr>
          <w:rFonts w:ascii="Times New Roman" w:hAnsi="Times New Roman" w:cs="Times New Roman"/>
          <w:sz w:val="24"/>
          <w:szCs w:val="24"/>
          <w:shd w:val="clear" w:color="auto" w:fill="FFFFFF"/>
        </w:rPr>
        <w:t xml:space="preserve">, E. A., </w:t>
      </w:r>
      <w:proofErr w:type="spellStart"/>
      <w:r>
        <w:rPr>
          <w:rFonts w:ascii="Times New Roman" w:hAnsi="Times New Roman" w:cs="Times New Roman"/>
          <w:sz w:val="24"/>
          <w:szCs w:val="24"/>
          <w:shd w:val="clear" w:color="auto" w:fill="FFFFFF"/>
        </w:rPr>
        <w:t>Ayeke</w:t>
      </w:r>
      <w:proofErr w:type="spellEnd"/>
      <w:r>
        <w:rPr>
          <w:rFonts w:ascii="Times New Roman" w:hAnsi="Times New Roman" w:cs="Times New Roman"/>
          <w:sz w:val="24"/>
          <w:szCs w:val="24"/>
          <w:shd w:val="clear" w:color="auto" w:fill="FFFFFF"/>
        </w:rPr>
        <w:t>, P.O.</w:t>
      </w:r>
      <w:r>
        <w:rPr>
          <w:rFonts w:ascii="Times New Roman" w:hAnsi="Times New Roman" w:cs="Times New Roman"/>
          <w:sz w:val="24"/>
          <w:szCs w:val="24"/>
        </w:rPr>
        <w:t xml:space="preserve"> (2023). Utilization of plant oil based-</w:t>
      </w:r>
      <w:proofErr w:type="spellStart"/>
      <w:r>
        <w:rPr>
          <w:rFonts w:ascii="Times New Roman" w:hAnsi="Times New Roman" w:cs="Times New Roman"/>
          <w:sz w:val="24"/>
          <w:szCs w:val="24"/>
        </w:rPr>
        <w:t>fatliquor</w:t>
      </w:r>
      <w:proofErr w:type="spellEnd"/>
      <w:r>
        <w:rPr>
          <w:rFonts w:ascii="Times New Roman" w:hAnsi="Times New Roman" w:cs="Times New Roman"/>
          <w:sz w:val="24"/>
          <w:szCs w:val="24"/>
        </w:rPr>
        <w:t xml:space="preserve"> in the processing of leather. </w:t>
      </w:r>
      <w:r>
        <w:rPr>
          <w:rFonts w:ascii="Times New Roman" w:hAnsi="Times New Roman" w:cs="Times New Roman"/>
          <w:i/>
          <w:iCs/>
          <w:sz w:val="24"/>
          <w:szCs w:val="24"/>
        </w:rPr>
        <w:t xml:space="preserve">The Minerals, Metals &amp; Materials Society (eds) </w:t>
      </w:r>
    </w:p>
    <w:p w:rsidR="005B502F" w:rsidRDefault="00BF5D4A" w:rsidP="00C87561">
      <w:pPr>
        <w:tabs>
          <w:tab w:val="left" w:pos="826"/>
        </w:tabs>
        <w:spacing w:after="0" w:line="240" w:lineRule="auto"/>
        <w:ind w:left="720" w:right="109" w:hangingChars="300" w:hanging="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Nkwor</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Ukoha</w:t>
      </w:r>
      <w:proofErr w:type="spellEnd"/>
      <w:r>
        <w:rPr>
          <w:rFonts w:ascii="Times New Roman" w:hAnsi="Times New Roman" w:cs="Times New Roman"/>
          <w:sz w:val="24"/>
          <w:szCs w:val="24"/>
        </w:rPr>
        <w:t xml:space="preserve">, P.O.,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H.I. (2021). Synthesis of sulfonated sesamum </w:t>
      </w:r>
      <w:proofErr w:type="spellStart"/>
      <w:r>
        <w:rPr>
          <w:rFonts w:ascii="Times New Roman" w:hAnsi="Times New Roman" w:cs="Times New Roman"/>
          <w:sz w:val="24"/>
          <w:szCs w:val="24"/>
        </w:rPr>
        <w:t>indicum</w:t>
      </w:r>
      <w:proofErr w:type="spellEnd"/>
      <w:r>
        <w:rPr>
          <w:rFonts w:ascii="Times New Roman" w:hAnsi="Times New Roman" w:cs="Times New Roman"/>
          <w:sz w:val="24"/>
          <w:szCs w:val="24"/>
        </w:rPr>
        <w:t xml:space="preserve"> L. seed </w:t>
      </w:r>
      <w:r>
        <w:rPr>
          <w:rFonts w:ascii="Times New Roman" w:hAnsi="Times New Roman" w:cs="Times New Roman"/>
          <w:sz w:val="24"/>
          <w:szCs w:val="24"/>
        </w:rPr>
        <w:tab/>
        <w:t xml:space="preserve">oil and its application as a </w:t>
      </w:r>
      <w:proofErr w:type="spellStart"/>
      <w:r>
        <w:rPr>
          <w:rFonts w:ascii="Times New Roman" w:hAnsi="Times New Roman" w:cs="Times New Roman"/>
          <w:sz w:val="24"/>
          <w:szCs w:val="24"/>
        </w:rPr>
        <w:t>fatliquor</w:t>
      </w:r>
      <w:proofErr w:type="spellEnd"/>
      <w:r>
        <w:rPr>
          <w:rFonts w:ascii="Times New Roman" w:hAnsi="Times New Roman" w:cs="Times New Roman"/>
          <w:sz w:val="24"/>
          <w:szCs w:val="24"/>
        </w:rPr>
        <w:t xml:space="preserve"> in leather processing. </w:t>
      </w:r>
      <w:r>
        <w:rPr>
          <w:rFonts w:ascii="Times New Roman" w:hAnsi="Times New Roman" w:cs="Times New Roman"/>
          <w:i/>
          <w:sz w:val="24"/>
          <w:szCs w:val="24"/>
        </w:rPr>
        <w:t xml:space="preserve">Journal of Leather Science </w:t>
      </w:r>
      <w:r>
        <w:rPr>
          <w:rFonts w:ascii="Times New Roman" w:hAnsi="Times New Roman" w:cs="Times New Roman"/>
          <w:i/>
          <w:sz w:val="24"/>
          <w:szCs w:val="24"/>
        </w:rPr>
        <w:tab/>
        <w:t xml:space="preserve">and Engineering </w:t>
      </w:r>
      <w:r>
        <w:rPr>
          <w:rFonts w:ascii="Times New Roman" w:hAnsi="Times New Roman" w:cs="Times New Roman"/>
          <w:sz w:val="24"/>
          <w:szCs w:val="24"/>
        </w:rPr>
        <w:t>3(16): 1-13. DOI:</w:t>
      </w:r>
      <w:r>
        <w:rPr>
          <w:rFonts w:ascii="Times New Roman" w:hAnsi="Times New Roman" w:cs="Times New Roman"/>
          <w:sz w:val="24"/>
          <w:szCs w:val="24"/>
          <w:shd w:val="clear" w:color="auto" w:fill="FBFBFB"/>
        </w:rPr>
        <w:t xml:space="preserve"> </w:t>
      </w:r>
      <w:hyperlink r:id="rId14">
        <w:r>
          <w:rPr>
            <w:rFonts w:ascii="Times New Roman" w:hAnsi="Times New Roman" w:cs="Times New Roman"/>
            <w:sz w:val="24"/>
            <w:szCs w:val="24"/>
          </w:rPr>
          <w:t>https://doi.org/10.1186/s42825-021-00053-4.</w:t>
        </w:r>
      </w:hyperlink>
    </w:p>
    <w:p w:rsidR="005B502F" w:rsidRDefault="00BF5D4A" w:rsidP="00C87561">
      <w:pPr>
        <w:tabs>
          <w:tab w:val="left" w:pos="826"/>
        </w:tabs>
        <w:spacing w:after="0" w:line="240" w:lineRule="auto"/>
        <w:ind w:right="106"/>
        <w:contextualSpacing/>
        <w:jc w:val="both"/>
        <w:rPr>
          <w:rFonts w:ascii="Times New Roman" w:hAnsi="Times New Roman" w:cs="Times New Roman"/>
          <w:sz w:val="24"/>
          <w:szCs w:val="24"/>
        </w:rPr>
      </w:pP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I.H., </w:t>
      </w:r>
      <w:proofErr w:type="spellStart"/>
      <w:r>
        <w:rPr>
          <w:rFonts w:ascii="Times New Roman" w:hAnsi="Times New Roman" w:cs="Times New Roman"/>
          <w:sz w:val="24"/>
          <w:szCs w:val="24"/>
        </w:rPr>
        <w:t>Ikhuoria</w:t>
      </w:r>
      <w:proofErr w:type="spellEnd"/>
      <w:r>
        <w:rPr>
          <w:rFonts w:ascii="Times New Roman" w:hAnsi="Times New Roman" w:cs="Times New Roman"/>
          <w:sz w:val="24"/>
          <w:szCs w:val="24"/>
        </w:rPr>
        <w:t xml:space="preserve">, E.U., </w:t>
      </w:r>
      <w:proofErr w:type="spellStart"/>
      <w:r>
        <w:rPr>
          <w:rFonts w:ascii="Times New Roman" w:hAnsi="Times New Roman" w:cs="Times New Roman"/>
          <w:sz w:val="24"/>
          <w:szCs w:val="24"/>
        </w:rPr>
        <w:t>Omorogbe</w:t>
      </w:r>
      <w:proofErr w:type="spellEnd"/>
      <w:r>
        <w:rPr>
          <w:rFonts w:ascii="Times New Roman" w:hAnsi="Times New Roman" w:cs="Times New Roman"/>
          <w:sz w:val="24"/>
          <w:szCs w:val="24"/>
        </w:rPr>
        <w:t xml:space="preserve">, S.O., Agbonlahor, O.G. (2018). </w:t>
      </w:r>
      <w:hyperlink r:id="rId15" w:history="1">
        <w:r>
          <w:rPr>
            <w:rStyle w:val="Hyperlink"/>
            <w:rFonts w:ascii="Times New Roman" w:hAnsi="Times New Roman" w:cs="Times New Roman"/>
            <w:color w:val="auto"/>
            <w:sz w:val="24"/>
            <w:szCs w:val="24"/>
          </w:rPr>
          <w:t xml:space="preserve">Comparative studies on </w:t>
        </w:r>
        <w:r>
          <w:rPr>
            <w:rStyle w:val="Hyperlink"/>
            <w:rFonts w:ascii="Times New Roman" w:hAnsi="Times New Roman" w:cs="Times New Roman"/>
            <w:color w:val="auto"/>
            <w:sz w:val="24"/>
            <w:szCs w:val="24"/>
            <w:u w:val="none"/>
          </w:rPr>
          <w:tab/>
        </w:r>
        <w:r>
          <w:rPr>
            <w:rStyle w:val="Hyperlink"/>
            <w:rFonts w:ascii="Times New Roman" w:hAnsi="Times New Roman" w:cs="Times New Roman"/>
            <w:color w:val="auto"/>
            <w:sz w:val="24"/>
            <w:szCs w:val="24"/>
          </w:rPr>
          <w:t>the use of palm kernel and</w:t>
        </w:r>
      </w:hyperlink>
      <w:hyperlink r:id="rId16" w:history="1">
        <w:r>
          <w:rPr>
            <w:rStyle w:val="Hyperlink"/>
            <w:rFonts w:ascii="Times New Roman" w:hAnsi="Times New Roman" w:cs="Times New Roman"/>
            <w:color w:val="auto"/>
            <w:sz w:val="24"/>
            <w:szCs w:val="24"/>
          </w:rPr>
          <w:t xml:space="preserve"> coconut oil as biodiesel fuel sources.</w:t>
        </w:r>
      </w:hyperlink>
      <w:r>
        <w:rPr>
          <w:rFonts w:ascii="Times New Roman" w:hAnsi="Times New Roman" w:cs="Times New Roman"/>
          <w:sz w:val="24"/>
          <w:szCs w:val="24"/>
        </w:rPr>
        <w:t xml:space="preserve"> </w:t>
      </w:r>
      <w:r>
        <w:rPr>
          <w:rFonts w:ascii="Times New Roman" w:hAnsi="Times New Roman" w:cs="Times New Roman"/>
          <w:i/>
          <w:sz w:val="24"/>
          <w:szCs w:val="24"/>
        </w:rPr>
        <w:t xml:space="preserve">International Journal </w:t>
      </w:r>
      <w:r>
        <w:rPr>
          <w:rFonts w:ascii="Times New Roman" w:hAnsi="Times New Roman" w:cs="Times New Roman"/>
          <w:i/>
          <w:sz w:val="24"/>
          <w:szCs w:val="24"/>
        </w:rPr>
        <w:tab/>
        <w:t xml:space="preserve">of Green Chemistry </w:t>
      </w:r>
      <w:r>
        <w:rPr>
          <w:rFonts w:ascii="Times New Roman" w:hAnsi="Times New Roman" w:cs="Times New Roman"/>
          <w:sz w:val="24"/>
          <w:szCs w:val="24"/>
        </w:rPr>
        <w:t>4(1): 19-24.</w:t>
      </w:r>
    </w:p>
    <w:p w:rsidR="005B502F" w:rsidRDefault="00BF5D4A" w:rsidP="00C87561">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 xml:space="preserve">Kumar, Y., Das, L., Biswas, K.G. (2022). Biodiesel: Features, potential hurdles, and future </w:t>
      </w:r>
      <w:r>
        <w:rPr>
          <w:rFonts w:ascii="Times New Roman" w:hAnsi="Times New Roman" w:cs="Times New Roman"/>
          <w:sz w:val="24"/>
          <w:szCs w:val="24"/>
        </w:rPr>
        <w:tab/>
        <w:t xml:space="preserve">direction. In: Joshi, J., Sen, R., Sharma, A., Salam, P.A. (eds) Status and Future </w:t>
      </w:r>
      <w:r>
        <w:rPr>
          <w:rFonts w:ascii="Times New Roman" w:hAnsi="Times New Roman" w:cs="Times New Roman"/>
          <w:sz w:val="24"/>
          <w:szCs w:val="24"/>
          <w:lang w:val="en-US"/>
        </w:rPr>
        <w:t xml:space="preserve">          </w:t>
      </w:r>
    </w:p>
    <w:p w:rsidR="005B502F" w:rsidRDefault="00BF5D4A" w:rsidP="00C87561">
      <w:pPr>
        <w:spacing w:after="0" w:line="240" w:lineRule="auto"/>
        <w:ind w:leftChars="436" w:left="959" w:firstLineChars="100" w:firstLine="240"/>
        <w:contextualSpacing/>
        <w:jc w:val="both"/>
        <w:rPr>
          <w:rFonts w:ascii="Times New Roman" w:hAnsi="Times New Roman" w:cs="Times New Roman"/>
          <w:sz w:val="24"/>
          <w:szCs w:val="24"/>
        </w:rPr>
      </w:pPr>
      <w:r>
        <w:rPr>
          <w:rFonts w:ascii="Times New Roman" w:hAnsi="Times New Roman" w:cs="Times New Roman"/>
          <w:sz w:val="24"/>
          <w:szCs w:val="24"/>
        </w:rPr>
        <w:t xml:space="preserve">Challenges </w:t>
      </w:r>
      <w:r>
        <w:rPr>
          <w:rFonts w:ascii="Times New Roman" w:hAnsi="Times New Roman" w:cs="Times New Roman"/>
          <w:sz w:val="24"/>
          <w:szCs w:val="24"/>
        </w:rPr>
        <w:tab/>
        <w:t xml:space="preserve">for Non-conventional Energy Sources 2. </w:t>
      </w:r>
      <w:r>
        <w:rPr>
          <w:rFonts w:ascii="Times New Roman" w:hAnsi="Times New Roman" w:cs="Times New Roman"/>
          <w:i/>
          <w:iCs/>
          <w:sz w:val="24"/>
          <w:szCs w:val="24"/>
        </w:rPr>
        <w:t xml:space="preserve">Clean Energy Production Technologies. Springer, </w:t>
      </w:r>
      <w:r>
        <w:rPr>
          <w:rFonts w:ascii="Times New Roman" w:hAnsi="Times New Roman" w:cs="Times New Roman"/>
          <w:i/>
          <w:iCs/>
          <w:sz w:val="24"/>
          <w:szCs w:val="24"/>
        </w:rPr>
        <w:tab/>
        <w:t>Singapore</w:t>
      </w:r>
      <w:r>
        <w:rPr>
          <w:rFonts w:ascii="Times New Roman" w:hAnsi="Times New Roman" w:cs="Times New Roman"/>
          <w:sz w:val="24"/>
          <w:szCs w:val="24"/>
        </w:rPr>
        <w:t xml:space="preserve">. </w:t>
      </w:r>
      <w:hyperlink r:id="rId17" w:history="1">
        <w:r>
          <w:rPr>
            <w:rStyle w:val="Hyperlink"/>
            <w:rFonts w:ascii="Times New Roman" w:hAnsi="Times New Roman" w:cs="Times New Roman"/>
            <w:color w:val="auto"/>
            <w:sz w:val="24"/>
            <w:szCs w:val="24"/>
          </w:rPr>
          <w:t>https://doi.org/10.1007/978-981-16-4509-9_5</w:t>
        </w:r>
      </w:hyperlink>
      <w:r>
        <w:rPr>
          <w:rFonts w:ascii="Times New Roman" w:hAnsi="Times New Roman" w:cs="Times New Roman"/>
          <w:sz w:val="24"/>
          <w:szCs w:val="24"/>
        </w:rPr>
        <w:t>.</w:t>
      </w:r>
    </w:p>
    <w:p w:rsidR="005B502F" w:rsidRDefault="00BF5D4A" w:rsidP="00C87561">
      <w:pPr>
        <w:tabs>
          <w:tab w:val="left" w:pos="826"/>
        </w:tabs>
        <w:spacing w:after="0" w:line="240" w:lineRule="auto"/>
        <w:ind w:right="106"/>
        <w:contextualSpacing/>
        <w:jc w:val="both"/>
        <w:rPr>
          <w:rStyle w:val="title-text"/>
          <w:rFonts w:ascii="Times New Roman" w:hAnsi="Times New Roman" w:cs="Times New Roman"/>
          <w:sz w:val="24"/>
          <w:szCs w:val="24"/>
          <w:u w:val="single"/>
        </w:rPr>
      </w:pPr>
      <w:r>
        <w:rPr>
          <w:rFonts w:ascii="Times New Roman" w:hAnsi="Times New Roman" w:cs="Times New Roman"/>
          <w:sz w:val="24"/>
          <w:szCs w:val="24"/>
        </w:rPr>
        <w:t xml:space="preserve">Brahma, S., Nath, B., </w:t>
      </w:r>
      <w:proofErr w:type="spellStart"/>
      <w:r>
        <w:rPr>
          <w:rFonts w:ascii="Times New Roman" w:hAnsi="Times New Roman" w:cs="Times New Roman"/>
          <w:sz w:val="24"/>
          <w:szCs w:val="24"/>
        </w:rPr>
        <w:t>Basumatary</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Dasc</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Saikia</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Patire</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Basumatary</w:t>
      </w:r>
      <w:proofErr w:type="spellEnd"/>
      <w:r>
        <w:rPr>
          <w:rFonts w:ascii="Times New Roman" w:hAnsi="Times New Roman" w:cs="Times New Roman"/>
          <w:sz w:val="24"/>
          <w:szCs w:val="24"/>
        </w:rPr>
        <w:t xml:space="preserve">, S. (2022). </w:t>
      </w:r>
      <w:r>
        <w:rPr>
          <w:rFonts w:ascii="Times New Roman" w:hAnsi="Times New Roman" w:cs="Times New Roman"/>
          <w:sz w:val="24"/>
          <w:szCs w:val="24"/>
        </w:rPr>
        <w:tab/>
      </w:r>
      <w:r>
        <w:rPr>
          <w:rStyle w:val="title-text"/>
          <w:rFonts w:ascii="Times New Roman" w:hAnsi="Times New Roman" w:cs="Times New Roman"/>
          <w:sz w:val="24"/>
          <w:szCs w:val="24"/>
        </w:rPr>
        <w:t xml:space="preserve">Biodiesel production from mixed oils: A sustainable approach towards industrial </w:t>
      </w:r>
      <w:r>
        <w:rPr>
          <w:rStyle w:val="title-text"/>
          <w:rFonts w:ascii="Times New Roman" w:hAnsi="Times New Roman" w:cs="Times New Roman"/>
          <w:sz w:val="24"/>
          <w:szCs w:val="24"/>
        </w:rPr>
        <w:lastRenderedPageBreak/>
        <w:tab/>
        <w:t xml:space="preserve">biofuel production. </w:t>
      </w:r>
      <w:r>
        <w:rPr>
          <w:rStyle w:val="title-text"/>
          <w:rFonts w:ascii="Times New Roman" w:hAnsi="Times New Roman" w:cs="Times New Roman"/>
          <w:i/>
          <w:iCs/>
          <w:sz w:val="24"/>
          <w:szCs w:val="24"/>
        </w:rPr>
        <w:t>Chemical Engineering Journal Advances.</w:t>
      </w:r>
      <w:r>
        <w:rPr>
          <w:rStyle w:val="title-text"/>
          <w:rFonts w:ascii="Times New Roman" w:hAnsi="Times New Roman" w:cs="Times New Roman"/>
          <w:sz w:val="24"/>
          <w:szCs w:val="24"/>
        </w:rPr>
        <w:t xml:space="preserve"> 10: 10:100284. DOI: </w:t>
      </w:r>
      <w:r>
        <w:rPr>
          <w:rStyle w:val="title-text"/>
          <w:rFonts w:ascii="Times New Roman" w:hAnsi="Times New Roman" w:cs="Times New Roman"/>
          <w:sz w:val="24"/>
          <w:szCs w:val="24"/>
        </w:rPr>
        <w:tab/>
      </w:r>
      <w:hyperlink r:id="rId18" w:history="1">
        <w:r>
          <w:rPr>
            <w:rStyle w:val="Hyperlink"/>
            <w:rFonts w:ascii="Times New Roman" w:hAnsi="Times New Roman" w:cs="Times New Roman"/>
            <w:color w:val="auto"/>
            <w:sz w:val="24"/>
            <w:szCs w:val="24"/>
          </w:rPr>
          <w:t>https://doi.org/10.1016/j.ceja.2022.100284</w:t>
        </w:r>
      </w:hyperlink>
      <w:r>
        <w:rPr>
          <w:rStyle w:val="title-text"/>
          <w:rFonts w:ascii="Times New Roman" w:hAnsi="Times New Roman" w:cs="Times New Roman"/>
          <w:sz w:val="24"/>
          <w:szCs w:val="24"/>
          <w:u w:val="single"/>
        </w:rPr>
        <w:t>.</w:t>
      </w:r>
    </w:p>
    <w:p w:rsidR="005B502F" w:rsidRDefault="005B502F" w:rsidP="00C87561">
      <w:pPr>
        <w:spacing w:line="240" w:lineRule="auto"/>
        <w:jc w:val="both"/>
        <w:rPr>
          <w:rFonts w:ascii="Times New Roman" w:hAnsi="Times New Roman" w:cs="Times New Roman"/>
          <w:sz w:val="24"/>
          <w:szCs w:val="24"/>
        </w:rPr>
      </w:pPr>
    </w:p>
    <w:p w:rsidR="005B502F" w:rsidRDefault="00BF5D4A" w:rsidP="00C87561">
      <w:pPr>
        <w:spacing w:after="0" w:line="240" w:lineRule="auto"/>
        <w:contextualSpacing/>
        <w:jc w:val="both"/>
        <w:rPr>
          <w:rFonts w:ascii="Times New Roman" w:hAnsi="Times New Roman" w:cs="Times New Roman"/>
          <w:sz w:val="24"/>
          <w:szCs w:val="24"/>
          <w:lang w:val="en-US"/>
        </w:rPr>
      </w:pPr>
      <w:bookmarkStart w:id="5" w:name="_Hlk133208019"/>
      <w:proofErr w:type="spellStart"/>
      <w:r>
        <w:rPr>
          <w:rFonts w:ascii="Times New Roman" w:hAnsi="Times New Roman" w:cs="Times New Roman"/>
          <w:sz w:val="24"/>
          <w:szCs w:val="24"/>
        </w:rPr>
        <w:t>Atabani</w:t>
      </w:r>
      <w:proofErr w:type="spellEnd"/>
      <w:r>
        <w:rPr>
          <w:rFonts w:ascii="Times New Roman" w:hAnsi="Times New Roman" w:cs="Times New Roman"/>
          <w:sz w:val="24"/>
          <w:szCs w:val="24"/>
        </w:rPr>
        <w:t xml:space="preserve"> </w:t>
      </w:r>
      <w:bookmarkEnd w:id="5"/>
      <w:r>
        <w:rPr>
          <w:rFonts w:ascii="Times New Roman" w:hAnsi="Times New Roman" w:cs="Times New Roman"/>
          <w:sz w:val="24"/>
          <w:szCs w:val="24"/>
        </w:rPr>
        <w:t xml:space="preserve">A.E., </w:t>
      </w:r>
      <w:proofErr w:type="spellStart"/>
      <w:r>
        <w:rPr>
          <w:rFonts w:ascii="Times New Roman" w:hAnsi="Times New Roman" w:cs="Times New Roman"/>
          <w:sz w:val="24"/>
          <w:szCs w:val="24"/>
        </w:rPr>
        <w:t>Silitonga</w:t>
      </w:r>
      <w:proofErr w:type="spellEnd"/>
      <w:r>
        <w:rPr>
          <w:rFonts w:ascii="Times New Roman" w:hAnsi="Times New Roman" w:cs="Times New Roman"/>
          <w:sz w:val="24"/>
          <w:szCs w:val="24"/>
        </w:rPr>
        <w:t xml:space="preserve">, A.S., Ong, H.C., </w:t>
      </w:r>
      <w:proofErr w:type="spellStart"/>
      <w:r>
        <w:rPr>
          <w:rFonts w:ascii="Times New Roman" w:hAnsi="Times New Roman" w:cs="Times New Roman"/>
          <w:sz w:val="24"/>
          <w:szCs w:val="24"/>
        </w:rPr>
        <w:t>Mahlia</w:t>
      </w:r>
      <w:proofErr w:type="spellEnd"/>
      <w:r>
        <w:rPr>
          <w:rFonts w:ascii="Times New Roman" w:hAnsi="Times New Roman" w:cs="Times New Roman"/>
          <w:sz w:val="24"/>
          <w:szCs w:val="24"/>
        </w:rPr>
        <w:t xml:space="preserve">, T.M. I., </w:t>
      </w:r>
      <w:proofErr w:type="spellStart"/>
      <w:r>
        <w:rPr>
          <w:rFonts w:ascii="Times New Roman" w:hAnsi="Times New Roman" w:cs="Times New Roman"/>
          <w:sz w:val="24"/>
          <w:szCs w:val="24"/>
        </w:rPr>
        <w:t>Masjuki</w:t>
      </w:r>
      <w:proofErr w:type="spellEnd"/>
      <w:r>
        <w:rPr>
          <w:rFonts w:ascii="Times New Roman" w:hAnsi="Times New Roman" w:cs="Times New Roman"/>
          <w:sz w:val="24"/>
          <w:szCs w:val="24"/>
        </w:rPr>
        <w:t xml:space="preserve">, H.H., Badruddin, I.A., </w:t>
      </w:r>
      <w:proofErr w:type="spellStart"/>
      <w:r>
        <w:rPr>
          <w:rFonts w:ascii="Times New Roman" w:hAnsi="Times New Roman" w:cs="Times New Roman"/>
          <w:sz w:val="24"/>
          <w:szCs w:val="24"/>
        </w:rPr>
        <w:t>Fayaz</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H. (2013). Non-edible vegetable oils: A critical evaluation of oil extraction, fatty acid </w:t>
      </w:r>
      <w:r>
        <w:rPr>
          <w:rFonts w:ascii="Times New Roman" w:hAnsi="Times New Roman" w:cs="Times New Roman"/>
          <w:sz w:val="24"/>
          <w:szCs w:val="24"/>
        </w:rPr>
        <w:tab/>
        <w:t xml:space="preserve">compositions, biodiesel production, characteristics, engine performance and emissions </w:t>
      </w:r>
      <w:r>
        <w:rPr>
          <w:rFonts w:ascii="Times New Roman" w:hAnsi="Times New Roman" w:cs="Times New Roman"/>
          <w:sz w:val="24"/>
          <w:szCs w:val="24"/>
        </w:rPr>
        <w:tab/>
      </w:r>
      <w:r>
        <w:rPr>
          <w:rFonts w:ascii="Times New Roman" w:hAnsi="Times New Roman" w:cs="Times New Roman"/>
          <w:sz w:val="24"/>
          <w:szCs w:val="24"/>
        </w:rPr>
        <w:tab/>
        <w:t xml:space="preserve">production. </w:t>
      </w:r>
      <w:r>
        <w:rPr>
          <w:rFonts w:ascii="Times New Roman" w:hAnsi="Times New Roman" w:cs="Times New Roman"/>
          <w:i/>
          <w:iCs/>
          <w:sz w:val="24"/>
          <w:szCs w:val="24"/>
        </w:rPr>
        <w:t>Renewable and Sustainable Energy Reviews.</w:t>
      </w:r>
      <w:r>
        <w:rPr>
          <w:rFonts w:ascii="Times New Roman" w:hAnsi="Times New Roman" w:cs="Times New Roman"/>
          <w:sz w:val="24"/>
          <w:szCs w:val="24"/>
        </w:rPr>
        <w:t xml:space="preserve"> </w:t>
      </w:r>
      <w:r>
        <w:rPr>
          <w:rFonts w:ascii="Times New Roman" w:hAnsi="Times New Roman" w:cs="Times New Roman"/>
          <w:i/>
          <w:iCs/>
          <w:sz w:val="24"/>
          <w:szCs w:val="24"/>
        </w:rPr>
        <w:t xml:space="preserve">Elsevier </w:t>
      </w:r>
      <w:r>
        <w:rPr>
          <w:rFonts w:ascii="Times New Roman" w:hAnsi="Times New Roman" w:cs="Times New Roman"/>
          <w:sz w:val="24"/>
          <w:szCs w:val="24"/>
        </w:rPr>
        <w:t xml:space="preserve">18(C): 211-24518: </w:t>
      </w:r>
      <w:r>
        <w:rPr>
          <w:rFonts w:ascii="Times New Roman" w:hAnsi="Times New Roman" w:cs="Times New Roman"/>
          <w:sz w:val="24"/>
          <w:szCs w:val="24"/>
          <w:lang w:val="en-US"/>
        </w:rPr>
        <w:t xml:space="preserve">      </w:t>
      </w:r>
    </w:p>
    <w:p w:rsidR="005B502F" w:rsidRDefault="00BF5D4A" w:rsidP="00C87561">
      <w:pPr>
        <w:spacing w:after="0" w:line="240" w:lineRule="auto"/>
        <w:ind w:firstLineChars="30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211-245. DOI: </w:t>
      </w:r>
      <w:r>
        <w:rPr>
          <w:rFonts w:ascii="Times New Roman" w:hAnsi="Times New Roman" w:cs="Times New Roman"/>
          <w:sz w:val="24"/>
          <w:szCs w:val="24"/>
          <w:u w:val="single"/>
        </w:rPr>
        <w:t>10.1016/j.rser.2012.10.013.</w:t>
      </w:r>
    </w:p>
    <w:p w:rsidR="005B502F" w:rsidRDefault="00BF5D4A" w:rsidP="00C87561">
      <w:pPr>
        <w:adjustRightInd w:val="0"/>
        <w:spacing w:after="0" w:line="240" w:lineRule="auto"/>
        <w:ind w:left="240" w:hangingChars="100" w:hanging="240"/>
        <w:contextualSpacing/>
        <w:jc w:val="both"/>
        <w:rPr>
          <w:rFonts w:ascii="Times New Roman" w:hAnsi="Times New Roman" w:cs="Times New Roman"/>
          <w:sz w:val="24"/>
          <w:szCs w:val="24"/>
        </w:rPr>
      </w:pPr>
      <w:proofErr w:type="spellStart"/>
      <w:r>
        <w:rPr>
          <w:rFonts w:ascii="Times New Roman" w:hAnsi="Times New Roman" w:cs="Times New Roman"/>
          <w:sz w:val="24"/>
          <w:szCs w:val="24"/>
          <w:lang w:val="en-IN"/>
        </w:rPr>
        <w:t>Ramadhas</w:t>
      </w:r>
      <w:proofErr w:type="spellEnd"/>
      <w:r>
        <w:rPr>
          <w:rFonts w:ascii="Times New Roman" w:hAnsi="Times New Roman" w:cs="Times New Roman"/>
          <w:sz w:val="24"/>
          <w:szCs w:val="24"/>
          <w:lang w:val="en-IN"/>
        </w:rPr>
        <w:t xml:space="preserve">, A.S., </w:t>
      </w:r>
      <w:proofErr w:type="spellStart"/>
      <w:r>
        <w:rPr>
          <w:rFonts w:ascii="Times New Roman" w:hAnsi="Times New Roman" w:cs="Times New Roman"/>
          <w:sz w:val="24"/>
          <w:szCs w:val="24"/>
          <w:lang w:val="en-IN"/>
        </w:rPr>
        <w:t>Muraleedharan</w:t>
      </w:r>
      <w:proofErr w:type="spellEnd"/>
      <w:r>
        <w:rPr>
          <w:rFonts w:ascii="Times New Roman" w:hAnsi="Times New Roman" w:cs="Times New Roman"/>
          <w:sz w:val="24"/>
          <w:szCs w:val="24"/>
          <w:lang w:val="en-IN"/>
        </w:rPr>
        <w:t xml:space="preserve">, C., </w:t>
      </w:r>
      <w:proofErr w:type="spellStart"/>
      <w:r>
        <w:rPr>
          <w:rFonts w:ascii="Times New Roman" w:hAnsi="Times New Roman" w:cs="Times New Roman"/>
          <w:sz w:val="24"/>
          <w:szCs w:val="24"/>
          <w:lang w:val="en-IN"/>
        </w:rPr>
        <w:t>Jayaraj</w:t>
      </w:r>
      <w:proofErr w:type="spellEnd"/>
      <w:r>
        <w:rPr>
          <w:rFonts w:ascii="Times New Roman" w:hAnsi="Times New Roman" w:cs="Times New Roman"/>
          <w:sz w:val="24"/>
          <w:szCs w:val="24"/>
          <w:lang w:val="en-IN"/>
        </w:rPr>
        <w:t xml:space="preserve">, S. (2005). </w:t>
      </w:r>
      <w:r>
        <w:rPr>
          <w:rFonts w:ascii="Times New Roman" w:hAnsi="Times New Roman" w:cs="Times New Roman"/>
          <w:sz w:val="24"/>
          <w:szCs w:val="24"/>
        </w:rPr>
        <w:t xml:space="preserve">Performance and emission evaluation of </w:t>
      </w:r>
      <w:r>
        <w:rPr>
          <w:rFonts w:ascii="Times New Roman" w:hAnsi="Times New Roman" w:cs="Times New Roman"/>
          <w:sz w:val="24"/>
          <w:szCs w:val="24"/>
        </w:rPr>
        <w:tab/>
        <w:t xml:space="preserve">a diesel engine </w:t>
      </w:r>
      <w:proofErr w:type="spellStart"/>
      <w:r>
        <w:rPr>
          <w:rFonts w:ascii="Times New Roman" w:hAnsi="Times New Roman" w:cs="Times New Roman"/>
          <w:sz w:val="24"/>
          <w:szCs w:val="24"/>
        </w:rPr>
        <w:t>fueled</w:t>
      </w:r>
      <w:proofErr w:type="spellEnd"/>
      <w:r>
        <w:rPr>
          <w:rFonts w:ascii="Times New Roman" w:hAnsi="Times New Roman" w:cs="Times New Roman"/>
          <w:sz w:val="24"/>
          <w:szCs w:val="24"/>
        </w:rPr>
        <w:t xml:space="preserve"> with methyl esters of rubber seed oil. </w:t>
      </w:r>
      <w:r>
        <w:rPr>
          <w:rFonts w:ascii="Times New Roman" w:hAnsi="Times New Roman" w:cs="Times New Roman"/>
          <w:i/>
          <w:iCs/>
          <w:sz w:val="24"/>
          <w:szCs w:val="24"/>
        </w:rPr>
        <w:t>Renewable Energy</w:t>
      </w:r>
      <w:r>
        <w:rPr>
          <w:rFonts w:ascii="Times New Roman" w:hAnsi="Times New Roman" w:cs="Times New Roman"/>
          <w:sz w:val="24"/>
          <w:szCs w:val="24"/>
        </w:rPr>
        <w:t xml:space="preserve"> 30: </w:t>
      </w:r>
      <w:r>
        <w:rPr>
          <w:rFonts w:ascii="Times New Roman" w:hAnsi="Times New Roman" w:cs="Times New Roman"/>
          <w:sz w:val="24"/>
          <w:szCs w:val="24"/>
        </w:rPr>
        <w:tab/>
        <w:t>1789–1800. DOI: https://doi.org/10.1016/j.renene.2005.01.009.</w:t>
      </w:r>
    </w:p>
    <w:p w:rsidR="005B502F" w:rsidRDefault="00BF5D4A" w:rsidP="00C87561">
      <w:pPr>
        <w:tabs>
          <w:tab w:val="left" w:pos="826"/>
        </w:tabs>
        <w:spacing w:after="0" w:line="240" w:lineRule="auto"/>
        <w:ind w:right="106"/>
        <w:contextualSpacing/>
        <w:jc w:val="both"/>
        <w:rPr>
          <w:rFonts w:ascii="Times New Roman" w:hAnsi="Times New Roman" w:cs="Times New Roman"/>
          <w:sz w:val="24"/>
          <w:szCs w:val="24"/>
        </w:rPr>
      </w:pPr>
      <w:r>
        <w:rPr>
          <w:rFonts w:ascii="Times New Roman" w:hAnsi="Times New Roman" w:cs="Times New Roman"/>
          <w:sz w:val="24"/>
          <w:szCs w:val="24"/>
        </w:rPr>
        <w:t xml:space="preserve">Ramos, M., Dias, A.P.S., </w:t>
      </w:r>
      <w:proofErr w:type="spellStart"/>
      <w:r>
        <w:rPr>
          <w:rFonts w:ascii="Times New Roman" w:hAnsi="Times New Roman" w:cs="Times New Roman"/>
          <w:sz w:val="24"/>
          <w:szCs w:val="24"/>
        </w:rPr>
        <w:t>Puna</w:t>
      </w:r>
      <w:proofErr w:type="spellEnd"/>
      <w:r>
        <w:rPr>
          <w:rFonts w:ascii="Times New Roman" w:hAnsi="Times New Roman" w:cs="Times New Roman"/>
          <w:sz w:val="24"/>
          <w:szCs w:val="24"/>
        </w:rPr>
        <w:t xml:space="preserve">, J.F., Gomes, J., </w:t>
      </w:r>
      <w:proofErr w:type="spellStart"/>
      <w:r>
        <w:rPr>
          <w:rFonts w:ascii="Times New Roman" w:hAnsi="Times New Roman" w:cs="Times New Roman"/>
          <w:sz w:val="24"/>
          <w:szCs w:val="24"/>
        </w:rPr>
        <w:t>Bordado</w:t>
      </w:r>
      <w:proofErr w:type="spellEnd"/>
      <w:r>
        <w:rPr>
          <w:rFonts w:ascii="Times New Roman" w:hAnsi="Times New Roman" w:cs="Times New Roman"/>
          <w:sz w:val="24"/>
          <w:szCs w:val="24"/>
        </w:rPr>
        <w:t xml:space="preserve">, J.C. (2019). Biodiesel production </w:t>
      </w:r>
      <w:r>
        <w:rPr>
          <w:rFonts w:ascii="Times New Roman" w:hAnsi="Times New Roman" w:cs="Times New Roman"/>
          <w:sz w:val="24"/>
          <w:szCs w:val="24"/>
        </w:rPr>
        <w:tab/>
        <w:t xml:space="preserve">processes and sustainable raw materials. </w:t>
      </w:r>
      <w:r>
        <w:rPr>
          <w:rFonts w:ascii="Times New Roman" w:hAnsi="Times New Roman" w:cs="Times New Roman"/>
          <w:i/>
          <w:iCs/>
          <w:sz w:val="24"/>
          <w:szCs w:val="24"/>
        </w:rPr>
        <w:t>Energies</w:t>
      </w:r>
      <w:r>
        <w:rPr>
          <w:rFonts w:ascii="Times New Roman" w:hAnsi="Times New Roman" w:cs="Times New Roman"/>
          <w:sz w:val="24"/>
          <w:szCs w:val="24"/>
        </w:rPr>
        <w:t xml:space="preserve"> 12: 4408. DOI: </w:t>
      </w:r>
      <w:r>
        <w:rPr>
          <w:rFonts w:ascii="Times New Roman" w:hAnsi="Times New Roman" w:cs="Times New Roman"/>
          <w:sz w:val="24"/>
          <w:szCs w:val="24"/>
        </w:rPr>
        <w:tab/>
      </w:r>
      <w:hyperlink r:id="rId19" w:history="1">
        <w:r>
          <w:rPr>
            <w:rStyle w:val="Hyperlink"/>
            <w:rFonts w:ascii="Times New Roman" w:hAnsi="Times New Roman" w:cs="Times New Roman"/>
            <w:color w:val="auto"/>
            <w:sz w:val="24"/>
            <w:szCs w:val="24"/>
          </w:rPr>
          <w:t>https://doi.org/10.3390/en12234408</w:t>
        </w:r>
      </w:hyperlink>
      <w:r>
        <w:rPr>
          <w:rFonts w:ascii="Times New Roman" w:hAnsi="Times New Roman" w:cs="Times New Roman"/>
          <w:sz w:val="24"/>
          <w:szCs w:val="24"/>
        </w:rPr>
        <w:t>.</w:t>
      </w:r>
    </w:p>
    <w:p w:rsidR="005B502F" w:rsidRDefault="00BF5D4A" w:rsidP="00C87561">
      <w:pPr>
        <w:spacing w:after="0" w:line="240" w:lineRule="auto"/>
        <w:ind w:left="720" w:hangingChars="300" w:hanging="720"/>
        <w:contextualSpacing/>
        <w:jc w:val="both"/>
        <w:rPr>
          <w:rFonts w:ascii="Times New Roman" w:hAnsi="Times New Roman" w:cs="Times New Roman"/>
          <w:iCs/>
          <w:kern w:val="36"/>
          <w:sz w:val="24"/>
          <w:szCs w:val="24"/>
          <w:u w:val="single"/>
        </w:rPr>
      </w:pP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I.H.</w:t>
      </w:r>
      <w:r>
        <w:rPr>
          <w:rFonts w:ascii="Times New Roman" w:hAnsi="Times New Roman" w:cs="Times New Roman"/>
          <w:sz w:val="24"/>
          <w:szCs w:val="24"/>
          <w:vertAlign w:val="subscript"/>
        </w:rPr>
        <w:t>,</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Nyaknno</w:t>
      </w:r>
      <w:proofErr w:type="spellEnd"/>
      <w:r>
        <w:rPr>
          <w:rFonts w:ascii="Times New Roman" w:hAnsi="Times New Roman" w:cs="Times New Roman"/>
          <w:iCs/>
          <w:sz w:val="24"/>
          <w:szCs w:val="24"/>
        </w:rPr>
        <w:t xml:space="preserve"> U.U., </w:t>
      </w:r>
      <w:proofErr w:type="spellStart"/>
      <w:r>
        <w:rPr>
          <w:rFonts w:ascii="Times New Roman" w:hAnsi="Times New Roman" w:cs="Times New Roman"/>
          <w:sz w:val="24"/>
          <w:szCs w:val="24"/>
        </w:rPr>
        <w:t>Onaiwu</w:t>
      </w:r>
      <w:proofErr w:type="spellEnd"/>
      <w:r>
        <w:rPr>
          <w:rFonts w:ascii="Times New Roman" w:hAnsi="Times New Roman" w:cs="Times New Roman"/>
          <w:sz w:val="24"/>
          <w:szCs w:val="24"/>
        </w:rPr>
        <w:t xml:space="preserve"> G.E.,</w:t>
      </w:r>
      <w:r>
        <w:rPr>
          <w:rFonts w:ascii="Times New Roman" w:hAnsi="Times New Roman" w:cs="Times New Roman"/>
          <w:iCs/>
          <w:sz w:val="24"/>
          <w:szCs w:val="24"/>
        </w:rPr>
        <w:t xml:space="preserve"> Jonathan, E.M. </w:t>
      </w:r>
      <w:r>
        <w:rPr>
          <w:rFonts w:ascii="Times New Roman" w:hAnsi="Times New Roman" w:cs="Times New Roman"/>
          <w:sz w:val="24"/>
          <w:szCs w:val="24"/>
        </w:rPr>
        <w:t xml:space="preserve">(2022). </w:t>
      </w:r>
      <w:r>
        <w:rPr>
          <w:rFonts w:ascii="Times New Roman" w:hAnsi="Times New Roman" w:cs="Times New Roman"/>
          <w:kern w:val="36"/>
          <w:sz w:val="24"/>
          <w:szCs w:val="24"/>
        </w:rPr>
        <w:t xml:space="preserve">Coating properties of alkyd resin, </w:t>
      </w:r>
      <w:r>
        <w:rPr>
          <w:rFonts w:ascii="Times New Roman" w:hAnsi="Times New Roman" w:cs="Times New Roman"/>
          <w:kern w:val="36"/>
          <w:sz w:val="24"/>
          <w:szCs w:val="24"/>
        </w:rPr>
        <w:tab/>
      </w:r>
      <w:r>
        <w:rPr>
          <w:rFonts w:ascii="Times New Roman" w:hAnsi="Times New Roman" w:cs="Times New Roman"/>
          <w:sz w:val="24"/>
          <w:szCs w:val="24"/>
        </w:rPr>
        <w:t>epoxy resins and polyurethane</w:t>
      </w:r>
      <w:r>
        <w:rPr>
          <w:rFonts w:ascii="Times New Roman" w:hAnsi="Times New Roman" w:cs="Times New Roman"/>
          <w:kern w:val="36"/>
          <w:sz w:val="24"/>
          <w:szCs w:val="24"/>
        </w:rPr>
        <w:t xml:space="preserve"> based nanocomposites: A review. </w:t>
      </w:r>
      <w:proofErr w:type="spellStart"/>
      <w:r>
        <w:rPr>
          <w:rFonts w:ascii="Times New Roman" w:hAnsi="Times New Roman" w:cs="Times New Roman"/>
          <w:i/>
          <w:kern w:val="36"/>
          <w:sz w:val="24"/>
          <w:szCs w:val="24"/>
        </w:rPr>
        <w:t>Momona</w:t>
      </w:r>
      <w:proofErr w:type="spellEnd"/>
      <w:r>
        <w:rPr>
          <w:rFonts w:ascii="Times New Roman" w:hAnsi="Times New Roman" w:cs="Times New Roman"/>
          <w:i/>
          <w:kern w:val="36"/>
          <w:sz w:val="24"/>
          <w:szCs w:val="24"/>
        </w:rPr>
        <w:t xml:space="preserve"> Ethiopian </w:t>
      </w:r>
      <w:r>
        <w:rPr>
          <w:rFonts w:ascii="Times New Roman" w:hAnsi="Times New Roman" w:cs="Times New Roman"/>
          <w:i/>
          <w:kern w:val="36"/>
          <w:sz w:val="24"/>
          <w:szCs w:val="24"/>
        </w:rPr>
        <w:tab/>
        <w:t xml:space="preserve">Journal of Science </w:t>
      </w:r>
      <w:r>
        <w:rPr>
          <w:rFonts w:ascii="Times New Roman" w:hAnsi="Times New Roman" w:cs="Times New Roman"/>
          <w:iCs/>
          <w:kern w:val="36"/>
          <w:sz w:val="24"/>
          <w:szCs w:val="24"/>
        </w:rPr>
        <w:t>14:1-31.</w:t>
      </w:r>
      <w:r>
        <w:rPr>
          <w:rFonts w:ascii="Times New Roman" w:hAnsi="Times New Roman" w:cs="Times New Roman"/>
          <w:i/>
          <w:kern w:val="36"/>
          <w:sz w:val="24"/>
          <w:szCs w:val="24"/>
        </w:rPr>
        <w:t xml:space="preserve"> </w:t>
      </w:r>
      <w:r>
        <w:rPr>
          <w:rFonts w:ascii="Times New Roman" w:hAnsi="Times New Roman" w:cs="Times New Roman"/>
          <w:iCs/>
          <w:kern w:val="36"/>
          <w:sz w:val="24"/>
          <w:szCs w:val="24"/>
        </w:rPr>
        <w:t xml:space="preserve">DOI: </w:t>
      </w:r>
      <w:r>
        <w:rPr>
          <w:rFonts w:ascii="Times New Roman" w:hAnsi="Times New Roman" w:cs="Times New Roman"/>
          <w:iCs/>
          <w:sz w:val="24"/>
          <w:szCs w:val="24"/>
          <w:u w:val="single"/>
          <w:lang w:eastAsia="de-DE"/>
        </w:rPr>
        <w:t>http://dx.doi.org/10.4314/mejs.v14i1.1.</w:t>
      </w:r>
      <w:r>
        <w:rPr>
          <w:rFonts w:ascii="Times New Roman" w:hAnsi="Times New Roman" w:cs="Times New Roman"/>
          <w:iCs/>
          <w:kern w:val="36"/>
          <w:sz w:val="24"/>
          <w:szCs w:val="24"/>
          <w:u w:val="single"/>
        </w:rPr>
        <w:t xml:space="preserve"> </w:t>
      </w:r>
    </w:p>
    <w:p w:rsidR="005B502F" w:rsidRDefault="00BF5D4A" w:rsidP="00C87561">
      <w:pPr>
        <w:tabs>
          <w:tab w:val="left" w:pos="826"/>
        </w:tabs>
        <w:spacing w:after="0" w:line="240" w:lineRule="auto"/>
        <w:ind w:right="106"/>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Ogbiede</w:t>
      </w:r>
      <w:proofErr w:type="spellEnd"/>
      <w:r>
        <w:rPr>
          <w:rFonts w:ascii="Times New Roman" w:hAnsi="Times New Roman" w:cs="Times New Roman"/>
          <w:sz w:val="24"/>
          <w:szCs w:val="24"/>
        </w:rPr>
        <w:t xml:space="preserve">, O.K., </w:t>
      </w:r>
      <w:proofErr w:type="spellStart"/>
      <w:r>
        <w:rPr>
          <w:rFonts w:ascii="Times New Roman" w:hAnsi="Times New Roman" w:cs="Times New Roman"/>
          <w:sz w:val="24"/>
          <w:szCs w:val="24"/>
        </w:rPr>
        <w:t>Omorotionmwan</w:t>
      </w:r>
      <w:proofErr w:type="spellEnd"/>
      <w:r>
        <w:rPr>
          <w:rFonts w:ascii="Times New Roman" w:hAnsi="Times New Roman" w:cs="Times New Roman"/>
          <w:sz w:val="24"/>
          <w:szCs w:val="24"/>
        </w:rPr>
        <w:t xml:space="preserve">, E.A., </w:t>
      </w:r>
      <w:proofErr w:type="spellStart"/>
      <w:r>
        <w:rPr>
          <w:rFonts w:ascii="Times New Roman" w:hAnsi="Times New Roman" w:cs="Times New Roman"/>
          <w:sz w:val="24"/>
          <w:szCs w:val="24"/>
        </w:rPr>
        <w:t>Igenumah</w:t>
      </w:r>
      <w:proofErr w:type="spellEnd"/>
      <w:r>
        <w:rPr>
          <w:rFonts w:ascii="Times New Roman" w:hAnsi="Times New Roman" w:cs="Times New Roman"/>
          <w:sz w:val="24"/>
          <w:szCs w:val="24"/>
        </w:rPr>
        <w:t xml:space="preserve">, O.D., I.H.,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Akhigbe</w:t>
      </w:r>
      <w:proofErr w:type="spellEnd"/>
      <w:r>
        <w:rPr>
          <w:rFonts w:ascii="Times New Roman" w:hAnsi="Times New Roman" w:cs="Times New Roman"/>
          <w:sz w:val="24"/>
          <w:szCs w:val="24"/>
        </w:rPr>
        <w:t xml:space="preserve">, I.U. (2022). </w:t>
      </w:r>
      <w:r>
        <w:rPr>
          <w:rFonts w:ascii="Times New Roman" w:hAnsi="Times New Roman" w:cs="Times New Roman"/>
          <w:sz w:val="24"/>
          <w:szCs w:val="24"/>
        </w:rPr>
        <w:tab/>
        <w:t xml:space="preserve">Comparative analysis on physicochemical properties and chemical composition of </w:t>
      </w:r>
      <w:r>
        <w:rPr>
          <w:rFonts w:ascii="Times New Roman" w:hAnsi="Times New Roman" w:cs="Times New Roman"/>
          <w:sz w:val="24"/>
          <w:szCs w:val="24"/>
        </w:rPr>
        <w:tab/>
        <w:t xml:space="preserve">coconut and palm kernel oils.  </w:t>
      </w:r>
      <w:proofErr w:type="spellStart"/>
      <w:r>
        <w:rPr>
          <w:rFonts w:ascii="Times New Roman" w:hAnsi="Times New Roman" w:cs="Times New Roman"/>
          <w:i/>
          <w:iCs/>
          <w:sz w:val="24"/>
          <w:szCs w:val="24"/>
        </w:rPr>
        <w:t>ChemSearch</w:t>
      </w:r>
      <w:proofErr w:type="spellEnd"/>
      <w:r>
        <w:rPr>
          <w:rFonts w:ascii="Times New Roman" w:hAnsi="Times New Roman" w:cs="Times New Roman"/>
          <w:i/>
          <w:iCs/>
          <w:sz w:val="24"/>
          <w:szCs w:val="24"/>
        </w:rPr>
        <w:t xml:space="preserve"> Journal </w:t>
      </w:r>
      <w:r>
        <w:rPr>
          <w:rFonts w:ascii="Times New Roman" w:hAnsi="Times New Roman" w:cs="Times New Roman"/>
          <w:sz w:val="24"/>
          <w:szCs w:val="24"/>
        </w:rPr>
        <w:t>13(1): 70-75.</w:t>
      </w:r>
    </w:p>
    <w:p w:rsidR="005B502F" w:rsidRDefault="00BF5D4A" w:rsidP="00C87561">
      <w:pPr>
        <w:tabs>
          <w:tab w:val="left" w:pos="826"/>
        </w:tabs>
        <w:spacing w:after="0" w:line="240" w:lineRule="auto"/>
        <w:ind w:left="840" w:right="106" w:hangingChars="350" w:hanging="84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Otabor</w:t>
      </w:r>
      <w:proofErr w:type="spellEnd"/>
      <w:r>
        <w:rPr>
          <w:rFonts w:ascii="Times New Roman" w:hAnsi="Times New Roman" w:cs="Times New Roman"/>
          <w:sz w:val="24"/>
          <w:szCs w:val="24"/>
        </w:rPr>
        <w:t xml:space="preserve">, G.O.,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I.H., Mohammed, F.U., </w:t>
      </w:r>
      <w:proofErr w:type="spellStart"/>
      <w:r>
        <w:rPr>
          <w:rFonts w:ascii="Times New Roman" w:hAnsi="Times New Roman" w:cs="Times New Roman"/>
          <w:sz w:val="24"/>
          <w:szCs w:val="24"/>
        </w:rPr>
        <w:t>Aigbodion</w:t>
      </w:r>
      <w:proofErr w:type="spellEnd"/>
      <w:r>
        <w:rPr>
          <w:rFonts w:ascii="Times New Roman" w:hAnsi="Times New Roman" w:cs="Times New Roman"/>
          <w:sz w:val="24"/>
          <w:szCs w:val="24"/>
        </w:rPr>
        <w:t xml:space="preserve">, A.I., </w:t>
      </w:r>
      <w:proofErr w:type="spellStart"/>
      <w:r>
        <w:rPr>
          <w:rFonts w:ascii="Times New Roman" w:hAnsi="Times New Roman" w:cs="Times New Roman"/>
          <w:sz w:val="24"/>
          <w:szCs w:val="24"/>
        </w:rPr>
        <w:t>Ikhuoria</w:t>
      </w:r>
      <w:proofErr w:type="spellEnd"/>
      <w:r>
        <w:rPr>
          <w:rFonts w:ascii="Times New Roman" w:hAnsi="Times New Roman" w:cs="Times New Roman"/>
          <w:sz w:val="24"/>
          <w:szCs w:val="24"/>
        </w:rPr>
        <w:t xml:space="preserve">, E.U. (2019). Alkyd resin </w:t>
      </w:r>
      <w:r>
        <w:rPr>
          <w:rFonts w:ascii="Times New Roman" w:hAnsi="Times New Roman" w:cs="Times New Roman"/>
          <w:sz w:val="24"/>
          <w:szCs w:val="24"/>
        </w:rPr>
        <w:tab/>
        <w:t xml:space="preserve">from rubber seed oil/linseed oil blend: a comparative study of the blend properties. </w:t>
      </w:r>
      <w:r>
        <w:rPr>
          <w:rFonts w:ascii="Times New Roman" w:hAnsi="Times New Roman" w:cs="Times New Roman"/>
          <w:sz w:val="24"/>
          <w:szCs w:val="24"/>
        </w:rPr>
        <w:tab/>
      </w:r>
      <w:proofErr w:type="spellStart"/>
      <w:r>
        <w:rPr>
          <w:rFonts w:ascii="Times New Roman" w:hAnsi="Times New Roman" w:cs="Times New Roman"/>
          <w:i/>
          <w:sz w:val="24"/>
          <w:szCs w:val="24"/>
        </w:rPr>
        <w:t>Heliyon</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5(5): e01621. DOI: </w:t>
      </w:r>
      <w:hyperlink r:id="rId20">
        <w:r>
          <w:rPr>
            <w:rFonts w:ascii="Times New Roman" w:hAnsi="Times New Roman" w:cs="Times New Roman"/>
            <w:sz w:val="24"/>
            <w:szCs w:val="24"/>
            <w:u w:val="single"/>
          </w:rPr>
          <w:t>https://doi.org/10.1016/j.heliyon.2019.e01621</w:t>
        </w:r>
      </w:hyperlink>
      <w:hyperlink r:id="rId21">
        <w:r>
          <w:rPr>
            <w:rFonts w:ascii="Times New Roman" w:hAnsi="Times New Roman" w:cs="Times New Roman"/>
            <w:sz w:val="24"/>
            <w:szCs w:val="24"/>
          </w:rPr>
          <w:t>.</w:t>
        </w:r>
      </w:hyperlink>
    </w:p>
    <w:p w:rsidR="005B502F" w:rsidRDefault="00BF5D4A" w:rsidP="00C87561">
      <w:pPr>
        <w:spacing w:after="0" w:line="240" w:lineRule="auto"/>
        <w:ind w:left="840" w:hangingChars="350" w:hanging="840"/>
        <w:contextualSpacing/>
        <w:jc w:val="both"/>
        <w:rPr>
          <w:rFonts w:ascii="Times New Roman" w:hAnsi="Times New Roman" w:cs="Times New Roman"/>
          <w:sz w:val="24"/>
          <w:szCs w:val="24"/>
        </w:rPr>
      </w:pPr>
      <w:r>
        <w:rPr>
          <w:rFonts w:ascii="Times New Roman" w:hAnsi="Times New Roman" w:cs="Times New Roman"/>
          <w:sz w:val="24"/>
          <w:szCs w:val="24"/>
        </w:rPr>
        <w:t xml:space="preserve">Islam, A. K. M. A., </w:t>
      </w:r>
      <w:proofErr w:type="spellStart"/>
      <w:r>
        <w:rPr>
          <w:rFonts w:ascii="Times New Roman" w:hAnsi="Times New Roman" w:cs="Times New Roman"/>
          <w:sz w:val="24"/>
          <w:szCs w:val="24"/>
        </w:rPr>
        <w:t>Yaakob</w:t>
      </w:r>
      <w:proofErr w:type="spellEnd"/>
      <w:r>
        <w:rPr>
          <w:rFonts w:ascii="Times New Roman" w:hAnsi="Times New Roman" w:cs="Times New Roman"/>
          <w:sz w:val="24"/>
          <w:szCs w:val="24"/>
        </w:rPr>
        <w:t xml:space="preserve">, S. R. P. P. Z. (2018). Non-edible vegetable oils as renewable resources </w:t>
      </w:r>
      <w:r>
        <w:rPr>
          <w:rFonts w:ascii="Times New Roman" w:hAnsi="Times New Roman" w:cs="Times New Roman"/>
          <w:sz w:val="24"/>
          <w:szCs w:val="24"/>
        </w:rPr>
        <w:tab/>
        <w:t xml:space="preserve">for biodiesel production: South-East Asia Perspective. In M. Nageswara-Rao, &amp; J. R. </w:t>
      </w:r>
      <w:r>
        <w:rPr>
          <w:rFonts w:ascii="Times New Roman" w:hAnsi="Times New Roman" w:cs="Times New Roman"/>
          <w:sz w:val="24"/>
          <w:szCs w:val="24"/>
        </w:rPr>
        <w:tab/>
        <w:t xml:space="preserve">Soneji (Eds.), </w:t>
      </w:r>
      <w:r>
        <w:rPr>
          <w:rFonts w:ascii="Times New Roman" w:hAnsi="Times New Roman" w:cs="Times New Roman"/>
          <w:i/>
          <w:iCs/>
          <w:sz w:val="24"/>
          <w:szCs w:val="24"/>
        </w:rPr>
        <w:t xml:space="preserve">Advances in Biofuels and Bioenergy. </w:t>
      </w:r>
      <w:hyperlink r:id="rId22" w:history="1">
        <w:r>
          <w:rPr>
            <w:rStyle w:val="Hyperlink"/>
            <w:rFonts w:ascii="Times New Roman" w:hAnsi="Times New Roman" w:cs="Times New Roman"/>
            <w:color w:val="auto"/>
            <w:sz w:val="24"/>
            <w:szCs w:val="24"/>
          </w:rPr>
          <w:t>https://doi.org/10.5772/intechopen.73304</w:t>
        </w:r>
      </w:hyperlink>
      <w:r>
        <w:rPr>
          <w:rFonts w:ascii="Times New Roman" w:hAnsi="Times New Roman" w:cs="Times New Roman"/>
          <w:sz w:val="24"/>
          <w:szCs w:val="24"/>
        </w:rPr>
        <w:t>.</w:t>
      </w:r>
    </w:p>
    <w:p w:rsidR="005B502F" w:rsidRDefault="00BF5D4A" w:rsidP="00C87561">
      <w:pPr>
        <w:spacing w:after="0" w:line="240" w:lineRule="auto"/>
        <w:ind w:left="840" w:hangingChars="350" w:hanging="84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Demirbas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Bafail</w:t>
      </w:r>
      <w:proofErr w:type="spellEnd"/>
      <w:r>
        <w:rPr>
          <w:rFonts w:ascii="Times New Roman" w:hAnsi="Times New Roman" w:cs="Times New Roman"/>
          <w:sz w:val="24"/>
          <w:szCs w:val="24"/>
        </w:rPr>
        <w:t xml:space="preserve">, A., Ahmad, W., Sheikh, M. (2016). Biodiesel production from non-edible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plant oils. </w:t>
      </w:r>
      <w:r>
        <w:rPr>
          <w:rFonts w:ascii="Times New Roman" w:hAnsi="Times New Roman" w:cs="Times New Roman"/>
          <w:i/>
          <w:iCs/>
          <w:sz w:val="24"/>
          <w:szCs w:val="24"/>
        </w:rPr>
        <w:t xml:space="preserve">Energy Exploration &amp; Exploitation. </w:t>
      </w:r>
      <w:r>
        <w:rPr>
          <w:rFonts w:ascii="Times New Roman" w:hAnsi="Times New Roman" w:cs="Times New Roman"/>
          <w:sz w:val="24"/>
          <w:szCs w:val="24"/>
        </w:rPr>
        <w:t>34(2): 290-318. DOI:</w:t>
      </w:r>
      <w:r>
        <w:rPr>
          <w:rFonts w:ascii="Times New Roman" w:hAnsi="Times New Roman" w:cs="Times New Roman"/>
          <w:sz w:val="24"/>
          <w:szCs w:val="24"/>
          <w:u w:val="single"/>
        </w:rPr>
        <w:t>10.1177/0144598716630166.</w:t>
      </w:r>
    </w:p>
    <w:p w:rsidR="005B502F" w:rsidRDefault="00BF5D4A" w:rsidP="00C87561">
      <w:pPr>
        <w:tabs>
          <w:tab w:val="left" w:pos="826"/>
        </w:tabs>
        <w:spacing w:after="0" w:line="240" w:lineRule="auto"/>
        <w:ind w:right="106"/>
        <w:contextualSpacing/>
        <w:jc w:val="both"/>
        <w:rPr>
          <w:rFonts w:ascii="Times New Roman" w:hAnsi="Times New Roman" w:cs="Times New Roman"/>
          <w:sz w:val="24"/>
          <w:szCs w:val="24"/>
        </w:rPr>
      </w:pPr>
      <w:r>
        <w:rPr>
          <w:rFonts w:ascii="Times New Roman" w:hAnsi="Times New Roman" w:cs="Times New Roman"/>
          <w:sz w:val="24"/>
          <w:szCs w:val="24"/>
        </w:rPr>
        <w:t xml:space="preserve">Maliki, M.,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I.H. (2020) Extraction and characterization of rubber seed oil. </w:t>
      </w:r>
      <w:r>
        <w:rPr>
          <w:rFonts w:ascii="Times New Roman" w:hAnsi="Times New Roman" w:cs="Times New Roman"/>
          <w:i/>
          <w:sz w:val="24"/>
          <w:szCs w:val="24"/>
        </w:rPr>
        <w:t xml:space="preserve">International </w:t>
      </w:r>
      <w:r>
        <w:rPr>
          <w:rFonts w:ascii="Times New Roman" w:hAnsi="Times New Roman" w:cs="Times New Roman"/>
          <w:i/>
          <w:sz w:val="24"/>
          <w:szCs w:val="24"/>
        </w:rPr>
        <w:tab/>
        <w:t xml:space="preserve">Journal of Scientific Engineering Science </w:t>
      </w:r>
      <w:r>
        <w:rPr>
          <w:rFonts w:ascii="Times New Roman" w:hAnsi="Times New Roman" w:cs="Times New Roman"/>
          <w:sz w:val="24"/>
          <w:szCs w:val="24"/>
        </w:rPr>
        <w:t>4(6): 24-27.</w:t>
      </w:r>
    </w:p>
    <w:p w:rsidR="005B502F" w:rsidRDefault="00BF5D4A" w:rsidP="00C87561">
      <w:pPr>
        <w:tabs>
          <w:tab w:val="left" w:pos="826"/>
        </w:tabs>
        <w:spacing w:after="0" w:line="240" w:lineRule="auto"/>
        <w:ind w:right="105"/>
        <w:contextualSpacing/>
        <w:jc w:val="both"/>
        <w:rPr>
          <w:rFonts w:ascii="Times New Roman" w:hAnsi="Times New Roman" w:cs="Times New Roman"/>
          <w:sz w:val="24"/>
          <w:szCs w:val="24"/>
          <w:u w:val="single"/>
          <w:shd w:val="clear" w:color="auto" w:fill="FBFBFB"/>
          <w:lang w:val="fr-FR"/>
        </w:rPr>
      </w:pPr>
      <w:proofErr w:type="spellStart"/>
      <w:r>
        <w:rPr>
          <w:rFonts w:ascii="Times New Roman" w:hAnsi="Times New Roman" w:cs="Times New Roman"/>
          <w:sz w:val="24"/>
          <w:szCs w:val="24"/>
        </w:rPr>
        <w:t>Nkwor</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Ukoha</w:t>
      </w:r>
      <w:proofErr w:type="spellEnd"/>
      <w:r>
        <w:rPr>
          <w:rFonts w:ascii="Times New Roman" w:hAnsi="Times New Roman" w:cs="Times New Roman"/>
          <w:sz w:val="24"/>
          <w:szCs w:val="24"/>
        </w:rPr>
        <w:t xml:space="preserve">, P.O.,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H.I., </w:t>
      </w:r>
      <w:proofErr w:type="spellStart"/>
      <w:r>
        <w:rPr>
          <w:rFonts w:ascii="Times New Roman" w:hAnsi="Times New Roman" w:cs="Times New Roman"/>
          <w:sz w:val="24"/>
          <w:szCs w:val="24"/>
        </w:rPr>
        <w:t>Ikhuoria</w:t>
      </w:r>
      <w:proofErr w:type="spellEnd"/>
      <w:r>
        <w:rPr>
          <w:rFonts w:ascii="Times New Roman" w:hAnsi="Times New Roman" w:cs="Times New Roman"/>
          <w:sz w:val="24"/>
          <w:szCs w:val="24"/>
        </w:rPr>
        <w:t xml:space="preserve">, E.U. (2020). The use of sulfonated </w:t>
      </w:r>
      <w:r>
        <w:rPr>
          <w:rFonts w:ascii="Times New Roman" w:hAnsi="Times New Roman" w:cs="Times New Roman"/>
          <w:i/>
          <w:sz w:val="24"/>
          <w:szCs w:val="24"/>
        </w:rPr>
        <w:t xml:space="preserve">jatropha </w:t>
      </w:r>
      <w:r>
        <w:rPr>
          <w:rFonts w:ascii="Times New Roman" w:hAnsi="Times New Roman" w:cs="Times New Roman"/>
          <w:i/>
          <w:sz w:val="24"/>
          <w:szCs w:val="24"/>
        </w:rPr>
        <w:tab/>
      </w:r>
      <w:proofErr w:type="spellStart"/>
      <w:r>
        <w:rPr>
          <w:rFonts w:ascii="Times New Roman" w:hAnsi="Times New Roman" w:cs="Times New Roman"/>
          <w:i/>
          <w:sz w:val="24"/>
          <w:szCs w:val="24"/>
        </w:rPr>
        <w:t>curcas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oil for the processing of mechanically improved leather. </w:t>
      </w:r>
      <w:r>
        <w:rPr>
          <w:rFonts w:ascii="Times New Roman" w:hAnsi="Times New Roman" w:cs="Times New Roman"/>
          <w:i/>
          <w:sz w:val="24"/>
          <w:szCs w:val="24"/>
          <w:lang w:val="fr-FR"/>
        </w:rPr>
        <w:t xml:space="preserve">Chemistry </w:t>
      </w:r>
      <w:proofErr w:type="spellStart"/>
      <w:r>
        <w:rPr>
          <w:rFonts w:ascii="Times New Roman" w:hAnsi="Times New Roman" w:cs="Times New Roman"/>
          <w:i/>
          <w:sz w:val="24"/>
          <w:szCs w:val="24"/>
          <w:lang w:val="fr-FR"/>
        </w:rPr>
        <w:t>Africa</w:t>
      </w:r>
      <w:proofErr w:type="spellEnd"/>
      <w:r>
        <w:rPr>
          <w:rFonts w:ascii="Times New Roman" w:hAnsi="Times New Roman" w:cs="Times New Roman"/>
          <w:sz w:val="24"/>
          <w:szCs w:val="24"/>
          <w:lang w:val="fr-FR"/>
        </w:rPr>
        <w:t xml:space="preserve"> </w:t>
      </w:r>
      <w:proofErr w:type="gramStart"/>
      <w:r>
        <w:rPr>
          <w:rFonts w:ascii="Times New Roman" w:hAnsi="Times New Roman" w:cs="Times New Roman"/>
          <w:sz w:val="24"/>
          <w:szCs w:val="24"/>
          <w:shd w:val="clear" w:color="auto" w:fill="FBFBFB"/>
          <w:lang w:val="fr-FR"/>
        </w:rPr>
        <w:t>3:</w:t>
      </w:r>
      <w:proofErr w:type="gramEnd"/>
      <w:r>
        <w:rPr>
          <w:rFonts w:ascii="Times New Roman" w:hAnsi="Times New Roman" w:cs="Times New Roman"/>
          <w:sz w:val="24"/>
          <w:szCs w:val="24"/>
          <w:shd w:val="clear" w:color="auto" w:fill="FBFBFB"/>
          <w:lang w:val="fr-FR"/>
        </w:rPr>
        <w:t xml:space="preserve"> </w:t>
      </w:r>
      <w:r>
        <w:rPr>
          <w:rFonts w:ascii="Times New Roman" w:hAnsi="Times New Roman" w:cs="Times New Roman"/>
          <w:sz w:val="24"/>
          <w:szCs w:val="24"/>
          <w:shd w:val="clear" w:color="auto" w:fill="FBFBFB"/>
          <w:lang w:val="fr-FR"/>
        </w:rPr>
        <w:tab/>
        <w:t>911–925</w:t>
      </w:r>
      <w:r>
        <w:rPr>
          <w:rFonts w:ascii="Times New Roman" w:hAnsi="Times New Roman" w:cs="Times New Roman"/>
          <w:sz w:val="24"/>
          <w:szCs w:val="24"/>
          <w:lang w:val="fr-FR"/>
        </w:rPr>
        <w:t xml:space="preserve">. </w:t>
      </w:r>
      <w:proofErr w:type="gramStart"/>
      <w:r>
        <w:rPr>
          <w:rFonts w:ascii="Times New Roman" w:hAnsi="Times New Roman" w:cs="Times New Roman"/>
          <w:sz w:val="24"/>
          <w:szCs w:val="24"/>
          <w:lang w:val="fr-FR"/>
        </w:rPr>
        <w:t>DOI:</w:t>
      </w:r>
      <w:proofErr w:type="gramEnd"/>
      <w:r>
        <w:fldChar w:fldCharType="begin"/>
      </w:r>
      <w:r>
        <w:rPr>
          <w:lang w:val="fr-FR"/>
        </w:rPr>
        <w:instrText xml:space="preserve"> HYPERLINK "https://doi.org/10.1007/s42250-020-00189-6" \h </w:instrText>
      </w:r>
      <w:r>
        <w:fldChar w:fldCharType="separate"/>
      </w:r>
      <w:r>
        <w:rPr>
          <w:rFonts w:ascii="Times New Roman" w:hAnsi="Times New Roman" w:cs="Times New Roman"/>
          <w:sz w:val="24"/>
          <w:szCs w:val="24"/>
          <w:u w:val="single"/>
          <w:shd w:val="clear" w:color="auto" w:fill="FBFBFB"/>
          <w:lang w:val="fr-FR"/>
        </w:rPr>
        <w:t xml:space="preserve"> https://doi.org/10.1007/s42250-020-00189-6.</w:t>
      </w:r>
      <w:r>
        <w:rPr>
          <w:rFonts w:ascii="Times New Roman" w:hAnsi="Times New Roman" w:cs="Times New Roman"/>
          <w:sz w:val="24"/>
          <w:szCs w:val="24"/>
          <w:u w:val="single"/>
          <w:shd w:val="clear" w:color="auto" w:fill="FBFBFB"/>
        </w:rPr>
        <w:fldChar w:fldCharType="end"/>
      </w:r>
    </w:p>
    <w:p w:rsidR="005B502F" w:rsidRDefault="00BF5D4A" w:rsidP="00C87561">
      <w:pPr>
        <w:spacing w:after="0"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lang w:val="fr-FR"/>
        </w:rPr>
        <w:t>Manisalidis</w:t>
      </w:r>
      <w:proofErr w:type="spellEnd"/>
      <w:r>
        <w:rPr>
          <w:rFonts w:ascii="Times New Roman" w:hAnsi="Times New Roman" w:cs="Times New Roman"/>
          <w:sz w:val="24"/>
          <w:szCs w:val="24"/>
          <w:lang w:val="fr-FR"/>
        </w:rPr>
        <w:t xml:space="preserve">, I., </w:t>
      </w:r>
      <w:proofErr w:type="spellStart"/>
      <w:r>
        <w:rPr>
          <w:rFonts w:ascii="Times New Roman" w:hAnsi="Times New Roman" w:cs="Times New Roman"/>
          <w:sz w:val="24"/>
          <w:szCs w:val="24"/>
          <w:lang w:val="fr-FR"/>
        </w:rPr>
        <w:t>Stavropoulou</w:t>
      </w:r>
      <w:proofErr w:type="spellEnd"/>
      <w:r>
        <w:rPr>
          <w:rFonts w:ascii="Times New Roman" w:hAnsi="Times New Roman" w:cs="Times New Roman"/>
          <w:sz w:val="24"/>
          <w:szCs w:val="24"/>
          <w:lang w:val="fr-FR"/>
        </w:rPr>
        <w:t xml:space="preserve">, E., </w:t>
      </w:r>
      <w:proofErr w:type="spellStart"/>
      <w:r>
        <w:rPr>
          <w:rFonts w:ascii="Times New Roman" w:hAnsi="Times New Roman" w:cs="Times New Roman"/>
          <w:sz w:val="24"/>
          <w:szCs w:val="24"/>
          <w:lang w:val="fr-FR"/>
        </w:rPr>
        <w:t>Stavropoulos</w:t>
      </w:r>
      <w:proofErr w:type="spellEnd"/>
      <w:r>
        <w:rPr>
          <w:rFonts w:ascii="Times New Roman" w:hAnsi="Times New Roman" w:cs="Times New Roman"/>
          <w:sz w:val="24"/>
          <w:szCs w:val="24"/>
          <w:lang w:val="fr-FR"/>
        </w:rPr>
        <w:t xml:space="preserve">, A., </w:t>
      </w:r>
      <w:proofErr w:type="spellStart"/>
      <w:r>
        <w:rPr>
          <w:rFonts w:ascii="Times New Roman" w:hAnsi="Times New Roman" w:cs="Times New Roman"/>
          <w:sz w:val="24"/>
          <w:szCs w:val="24"/>
          <w:lang w:val="fr-FR"/>
        </w:rPr>
        <w:t>Bezirtzoglou</w:t>
      </w:r>
      <w:proofErr w:type="spellEnd"/>
      <w:r>
        <w:rPr>
          <w:rFonts w:ascii="Times New Roman" w:hAnsi="Times New Roman" w:cs="Times New Roman"/>
          <w:sz w:val="24"/>
          <w:szCs w:val="24"/>
          <w:lang w:val="fr-FR"/>
        </w:rPr>
        <w:t xml:space="preserve">, E. (2020). </w:t>
      </w:r>
      <w:r>
        <w:rPr>
          <w:rFonts w:ascii="Times New Roman" w:hAnsi="Times New Roman" w:cs="Times New Roman"/>
          <w:sz w:val="24"/>
          <w:szCs w:val="24"/>
        </w:rPr>
        <w:t xml:space="preserve">Environmental and </w:t>
      </w:r>
      <w:r>
        <w:rPr>
          <w:rFonts w:ascii="Times New Roman" w:hAnsi="Times New Roman" w:cs="Times New Roman"/>
          <w:sz w:val="24"/>
          <w:szCs w:val="24"/>
        </w:rPr>
        <w:tab/>
        <w:t xml:space="preserve">Health Impacts of Air Pollution: A Review. </w:t>
      </w:r>
      <w:r>
        <w:rPr>
          <w:rFonts w:ascii="Times New Roman" w:hAnsi="Times New Roman" w:cs="Times New Roman"/>
          <w:i/>
          <w:iCs/>
          <w:sz w:val="24"/>
          <w:szCs w:val="24"/>
        </w:rPr>
        <w:t>Frontiers in Public Health</w:t>
      </w:r>
      <w:r>
        <w:rPr>
          <w:rFonts w:ascii="Times New Roman" w:hAnsi="Times New Roman" w:cs="Times New Roman"/>
          <w:sz w:val="24"/>
          <w:szCs w:val="24"/>
        </w:rPr>
        <w:t xml:space="preserve"> 8:14. DOI: </w:t>
      </w:r>
      <w:r>
        <w:rPr>
          <w:rFonts w:ascii="Times New Roman" w:hAnsi="Times New Roman" w:cs="Times New Roman"/>
          <w:sz w:val="24"/>
          <w:szCs w:val="24"/>
        </w:rPr>
        <w:tab/>
      </w:r>
      <w:r>
        <w:rPr>
          <w:rFonts w:ascii="Times New Roman" w:hAnsi="Times New Roman" w:cs="Times New Roman"/>
          <w:sz w:val="24"/>
          <w:szCs w:val="24"/>
          <w:u w:val="single"/>
        </w:rPr>
        <w:t>10.3389/fpubh.2020.00014.</w:t>
      </w:r>
    </w:p>
    <w:p w:rsidR="005B502F" w:rsidRDefault="00BF5D4A" w:rsidP="00C87561">
      <w:pPr>
        <w:tabs>
          <w:tab w:val="left" w:pos="826"/>
        </w:tabs>
        <w:spacing w:after="0" w:line="240" w:lineRule="auto"/>
        <w:ind w:left="840" w:right="106" w:hangingChars="350" w:hanging="84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Onaifo</w:t>
      </w:r>
      <w:proofErr w:type="spellEnd"/>
      <w:r>
        <w:rPr>
          <w:rFonts w:ascii="Times New Roman" w:hAnsi="Times New Roman" w:cs="Times New Roman"/>
          <w:sz w:val="24"/>
          <w:szCs w:val="24"/>
        </w:rPr>
        <w:t xml:space="preserve">, J. O., </w:t>
      </w:r>
      <w:proofErr w:type="spellStart"/>
      <w:r>
        <w:rPr>
          <w:rFonts w:ascii="Times New Roman" w:hAnsi="Times New Roman" w:cs="Times New Roman"/>
          <w:sz w:val="24"/>
          <w:szCs w:val="24"/>
        </w:rPr>
        <w:t>Ikhuoria</w:t>
      </w:r>
      <w:proofErr w:type="spellEnd"/>
      <w:r>
        <w:rPr>
          <w:rFonts w:ascii="Times New Roman" w:hAnsi="Times New Roman" w:cs="Times New Roman"/>
          <w:sz w:val="24"/>
          <w:szCs w:val="24"/>
        </w:rPr>
        <w:t xml:space="preserve">, E. U., </w:t>
      </w:r>
      <w:proofErr w:type="spellStart"/>
      <w:r>
        <w:rPr>
          <w:rFonts w:ascii="Times New Roman" w:hAnsi="Times New Roman" w:cs="Times New Roman"/>
          <w:sz w:val="24"/>
          <w:szCs w:val="24"/>
        </w:rPr>
        <w:t>Omorogbe</w:t>
      </w:r>
      <w:proofErr w:type="spellEnd"/>
      <w:r>
        <w:rPr>
          <w:rFonts w:ascii="Times New Roman" w:hAnsi="Times New Roman" w:cs="Times New Roman"/>
          <w:sz w:val="24"/>
          <w:szCs w:val="24"/>
        </w:rPr>
        <w:t xml:space="preserve">, S. O., Agbonlahor, O. G.,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 H. (2016). Coconut </w:t>
      </w:r>
      <w:r>
        <w:rPr>
          <w:rFonts w:ascii="Times New Roman" w:hAnsi="Times New Roman" w:cs="Times New Roman"/>
          <w:sz w:val="24"/>
          <w:szCs w:val="24"/>
        </w:rPr>
        <w:tab/>
        <w:t xml:space="preserve">pit is an alternative source of producing renewable material (bioethanol). </w:t>
      </w:r>
      <w:r>
        <w:rPr>
          <w:rFonts w:ascii="Times New Roman" w:hAnsi="Times New Roman" w:cs="Times New Roman"/>
          <w:i/>
          <w:sz w:val="24"/>
          <w:szCs w:val="24"/>
        </w:rPr>
        <w:t xml:space="preserve">Journal of </w:t>
      </w:r>
      <w:r>
        <w:rPr>
          <w:rFonts w:ascii="Times New Roman" w:hAnsi="Times New Roman" w:cs="Times New Roman"/>
          <w:i/>
          <w:sz w:val="24"/>
          <w:szCs w:val="24"/>
        </w:rPr>
        <w:tab/>
        <w:t xml:space="preserve">Applied Chemical Science International </w:t>
      </w:r>
      <w:r>
        <w:rPr>
          <w:rFonts w:ascii="Times New Roman" w:hAnsi="Times New Roman" w:cs="Times New Roman"/>
          <w:sz w:val="24"/>
          <w:szCs w:val="24"/>
        </w:rPr>
        <w:t>6(2): 80-84.</w:t>
      </w:r>
      <w:r>
        <w:rPr>
          <w:rFonts w:ascii="Times New Roman" w:hAnsi="Times New Roman" w:cs="Times New Roman"/>
          <w:spacing w:val="46"/>
          <w:sz w:val="24"/>
          <w:szCs w:val="24"/>
        </w:rPr>
        <w:t xml:space="preserve"> </w:t>
      </w:r>
      <w:r>
        <w:rPr>
          <w:rFonts w:ascii="Times New Roman" w:hAnsi="Times New Roman" w:cs="Times New Roman"/>
          <w:sz w:val="24"/>
          <w:szCs w:val="24"/>
          <w:u w:val="single"/>
        </w:rPr>
        <w:t>https</w:t>
      </w:r>
      <w:hyperlink r:id="rId23">
        <w:r>
          <w:rPr>
            <w:rFonts w:ascii="Times New Roman" w:hAnsi="Times New Roman" w:cs="Times New Roman"/>
            <w:sz w:val="24"/>
            <w:szCs w:val="24"/>
            <w:u w:val="single"/>
          </w:rPr>
          <w:t>://www.</w:t>
        </w:r>
      </w:hyperlink>
      <w:r>
        <w:rPr>
          <w:rFonts w:ascii="Times New Roman" w:hAnsi="Times New Roman" w:cs="Times New Roman"/>
          <w:sz w:val="24"/>
          <w:szCs w:val="24"/>
          <w:u w:val="single"/>
        </w:rPr>
        <w:t>ikp</w:t>
      </w:r>
      <w:hyperlink r:id="rId24">
        <w:r>
          <w:rPr>
            <w:rFonts w:ascii="Times New Roman" w:hAnsi="Times New Roman" w:cs="Times New Roman"/>
            <w:sz w:val="24"/>
            <w:szCs w:val="24"/>
            <w:u w:val="single"/>
          </w:rPr>
          <w:t>rress.org/index.php/JACSI/article/view/3944.</w:t>
        </w:r>
      </w:hyperlink>
    </w:p>
    <w:p w:rsidR="005B502F" w:rsidRDefault="00BF5D4A" w:rsidP="00C87561">
      <w:pPr>
        <w:tabs>
          <w:tab w:val="left" w:pos="826"/>
        </w:tabs>
        <w:spacing w:after="0" w:line="240" w:lineRule="auto"/>
        <w:ind w:right="106"/>
        <w:contextualSpacing/>
        <w:jc w:val="both"/>
        <w:rPr>
          <w:rFonts w:ascii="Times New Roman" w:hAnsi="Times New Roman" w:cs="Times New Roman"/>
          <w:sz w:val="24"/>
          <w:szCs w:val="24"/>
          <w:lang w:val="en-US"/>
        </w:rPr>
      </w:pPr>
      <w:proofErr w:type="spellStart"/>
      <w:r>
        <w:rPr>
          <w:rFonts w:ascii="Times New Roman" w:hAnsi="Times New Roman" w:cs="Times New Roman"/>
          <w:sz w:val="24"/>
          <w:szCs w:val="24"/>
        </w:rPr>
        <w:t>Onaifo</w:t>
      </w:r>
      <w:proofErr w:type="spellEnd"/>
      <w:r>
        <w:rPr>
          <w:rFonts w:ascii="Times New Roman" w:hAnsi="Times New Roman" w:cs="Times New Roman"/>
          <w:sz w:val="24"/>
          <w:szCs w:val="24"/>
        </w:rPr>
        <w:t xml:space="preserve">, J.O., </w:t>
      </w:r>
      <w:proofErr w:type="spellStart"/>
      <w:r>
        <w:rPr>
          <w:rFonts w:ascii="Times New Roman" w:hAnsi="Times New Roman" w:cs="Times New Roman"/>
          <w:sz w:val="24"/>
          <w:szCs w:val="24"/>
        </w:rPr>
        <w:t>Ikhuoria</w:t>
      </w:r>
      <w:proofErr w:type="spellEnd"/>
      <w:r>
        <w:rPr>
          <w:rFonts w:ascii="Times New Roman" w:hAnsi="Times New Roman" w:cs="Times New Roman"/>
          <w:sz w:val="24"/>
          <w:szCs w:val="24"/>
        </w:rPr>
        <w:t xml:space="preserve">, E.U.,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I.H., Abdullahi, S.M. (2022). Co-pyrolysis of soursop </w:t>
      </w:r>
      <w:r>
        <w:rPr>
          <w:rFonts w:ascii="Times New Roman" w:hAnsi="Times New Roman" w:cs="Times New Roman"/>
          <w:sz w:val="24"/>
          <w:szCs w:val="24"/>
        </w:rPr>
        <w:tab/>
        <w:t>(</w:t>
      </w:r>
      <w:r>
        <w:rPr>
          <w:rFonts w:ascii="Times New Roman" w:hAnsi="Times New Roman" w:cs="Times New Roman"/>
          <w:i/>
          <w:iCs/>
          <w:sz w:val="24"/>
          <w:szCs w:val="24"/>
        </w:rPr>
        <w:t xml:space="preserve">Annona </w:t>
      </w:r>
      <w:proofErr w:type="spellStart"/>
      <w:r>
        <w:rPr>
          <w:rFonts w:ascii="Times New Roman" w:hAnsi="Times New Roman" w:cs="Times New Roman"/>
          <w:i/>
          <w:iCs/>
          <w:sz w:val="24"/>
          <w:szCs w:val="24"/>
        </w:rPr>
        <w:t>muricata</w:t>
      </w:r>
      <w:proofErr w:type="spellEnd"/>
      <w:r>
        <w:rPr>
          <w:rFonts w:ascii="Times New Roman" w:hAnsi="Times New Roman" w:cs="Times New Roman"/>
          <w:sz w:val="24"/>
          <w:szCs w:val="24"/>
        </w:rPr>
        <w:t>) and mango (</w:t>
      </w:r>
      <w:proofErr w:type="spellStart"/>
      <w:r>
        <w:rPr>
          <w:rFonts w:ascii="Times New Roman" w:hAnsi="Times New Roman" w:cs="Times New Roman"/>
          <w:i/>
          <w:iCs/>
          <w:sz w:val="24"/>
          <w:szCs w:val="24"/>
        </w:rPr>
        <w:t>Mangifera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indica</w:t>
      </w:r>
      <w:proofErr w:type="spellEnd"/>
      <w:r>
        <w:rPr>
          <w:rFonts w:ascii="Times New Roman" w:hAnsi="Times New Roman" w:cs="Times New Roman"/>
          <w:sz w:val="24"/>
          <w:szCs w:val="24"/>
        </w:rPr>
        <w:t xml:space="preserve">) seeds: A Route to High-Quality </w:t>
      </w:r>
      <w:r>
        <w:rPr>
          <w:rFonts w:ascii="Times New Roman" w:hAnsi="Times New Roman" w:cs="Times New Roman"/>
          <w:sz w:val="24"/>
          <w:szCs w:val="24"/>
          <w:lang w:val="en-US"/>
        </w:rPr>
        <w:t xml:space="preserve">   </w:t>
      </w:r>
    </w:p>
    <w:p w:rsidR="005B502F" w:rsidRDefault="00BF5D4A" w:rsidP="00C87561">
      <w:pPr>
        <w:tabs>
          <w:tab w:val="left" w:pos="826"/>
        </w:tabs>
        <w:spacing w:after="0" w:line="240" w:lineRule="auto"/>
        <w:ind w:right="106" w:firstLineChars="350" w:firstLine="840"/>
        <w:contextualSpacing/>
        <w:jc w:val="both"/>
        <w:rPr>
          <w:rFonts w:ascii="Times New Roman" w:hAnsi="Times New Roman" w:cs="Times New Roman"/>
          <w:sz w:val="24"/>
          <w:szCs w:val="24"/>
          <w:u w:val="single"/>
        </w:rPr>
      </w:pPr>
      <w:r>
        <w:rPr>
          <w:rFonts w:ascii="Times New Roman" w:hAnsi="Times New Roman" w:cs="Times New Roman"/>
          <w:sz w:val="24"/>
          <w:szCs w:val="24"/>
        </w:rPr>
        <w:t xml:space="preserve">Bio-oil. </w:t>
      </w:r>
      <w:r>
        <w:rPr>
          <w:rFonts w:ascii="Times New Roman" w:hAnsi="Times New Roman" w:cs="Times New Roman"/>
          <w:sz w:val="24"/>
          <w:szCs w:val="24"/>
        </w:rPr>
        <w:tab/>
      </w:r>
      <w:r>
        <w:rPr>
          <w:rFonts w:ascii="Times New Roman" w:hAnsi="Times New Roman" w:cs="Times New Roman"/>
          <w:i/>
          <w:iCs/>
          <w:sz w:val="24"/>
          <w:szCs w:val="24"/>
        </w:rPr>
        <w:t>Chemistry Africa.</w:t>
      </w:r>
      <w:r>
        <w:rPr>
          <w:rFonts w:ascii="Times New Roman" w:hAnsi="Times New Roman" w:cs="Times New Roman"/>
          <w:sz w:val="24"/>
          <w:szCs w:val="24"/>
        </w:rPr>
        <w:t xml:space="preserve"> </w:t>
      </w:r>
      <w:hyperlink r:id="rId25" w:history="1">
        <w:r>
          <w:rPr>
            <w:rStyle w:val="Hyperlink"/>
            <w:rFonts w:ascii="Times New Roman" w:hAnsi="Times New Roman" w:cs="Times New Roman"/>
            <w:color w:val="auto"/>
            <w:sz w:val="24"/>
            <w:szCs w:val="24"/>
          </w:rPr>
          <w:t>https://doi.org/10.1007/s42250-022-00536-9</w:t>
        </w:r>
      </w:hyperlink>
      <w:r>
        <w:rPr>
          <w:rFonts w:ascii="Times New Roman" w:hAnsi="Times New Roman" w:cs="Times New Roman"/>
          <w:sz w:val="24"/>
          <w:szCs w:val="24"/>
          <w:u w:val="single"/>
        </w:rPr>
        <w:t>.</w:t>
      </w:r>
    </w:p>
    <w:p w:rsidR="005B502F" w:rsidRDefault="005B502F" w:rsidP="00C87561">
      <w:pPr>
        <w:tabs>
          <w:tab w:val="left" w:pos="826"/>
        </w:tabs>
        <w:spacing w:after="0" w:line="240" w:lineRule="auto"/>
        <w:contextualSpacing/>
        <w:jc w:val="both"/>
        <w:rPr>
          <w:rFonts w:ascii="Times New Roman" w:hAnsi="Times New Roman" w:cs="Times New Roman"/>
          <w:sz w:val="24"/>
          <w:szCs w:val="24"/>
        </w:rPr>
      </w:pPr>
    </w:p>
    <w:p w:rsidR="005B502F" w:rsidRDefault="00BF5D4A" w:rsidP="00C87561">
      <w:pPr>
        <w:tabs>
          <w:tab w:val="left" w:pos="826"/>
        </w:tabs>
        <w:spacing w:after="0" w:line="240" w:lineRule="auto"/>
        <w:ind w:left="840" w:hangingChars="350" w:hanging="840"/>
        <w:contextualSpacing/>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Olugbemide</w:t>
      </w:r>
      <w:proofErr w:type="spellEnd"/>
      <w:r>
        <w:rPr>
          <w:rFonts w:ascii="Times New Roman" w:hAnsi="Times New Roman" w:cs="Times New Roman"/>
          <w:sz w:val="24"/>
          <w:szCs w:val="24"/>
        </w:rPr>
        <w:t xml:space="preserve">, A.D., </w:t>
      </w:r>
      <w:proofErr w:type="spellStart"/>
      <w:r>
        <w:rPr>
          <w:rFonts w:ascii="Times New Roman" w:hAnsi="Times New Roman" w:cs="Times New Roman"/>
          <w:sz w:val="24"/>
          <w:szCs w:val="24"/>
        </w:rPr>
        <w:t>Labunmi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I.H.,</w:t>
      </w:r>
      <w:r>
        <w:rPr>
          <w:rFonts w:ascii="Times New Roman" w:hAnsi="Times New Roman" w:cs="Times New Roman"/>
          <w:sz w:val="24"/>
          <w:szCs w:val="24"/>
          <w:u w:val="single"/>
        </w:rPr>
        <w:t xml:space="preserve"> </w:t>
      </w:r>
      <w:proofErr w:type="spellStart"/>
      <w:r>
        <w:rPr>
          <w:rFonts w:ascii="Times New Roman" w:hAnsi="Times New Roman" w:cs="Times New Roman"/>
          <w:sz w:val="24"/>
          <w:szCs w:val="24"/>
        </w:rPr>
        <w:t>Ogungbemide</w:t>
      </w:r>
      <w:proofErr w:type="spellEnd"/>
      <w:r>
        <w:rPr>
          <w:rFonts w:ascii="Times New Roman" w:hAnsi="Times New Roman" w:cs="Times New Roman"/>
          <w:sz w:val="24"/>
          <w:szCs w:val="24"/>
        </w:rPr>
        <w:t xml:space="preserve">, D.I. (2020) Corn </w:t>
      </w:r>
      <w:proofErr w:type="spellStart"/>
      <w:r>
        <w:rPr>
          <w:rFonts w:ascii="Times New Roman" w:hAnsi="Times New Roman" w:cs="Times New Roman"/>
          <w:sz w:val="24"/>
          <w:szCs w:val="24"/>
        </w:rPr>
        <w:t>stover</w:t>
      </w:r>
      <w:proofErr w:type="spellEnd"/>
      <w:r>
        <w:rPr>
          <w:rFonts w:ascii="Times New Roman" w:hAnsi="Times New Roman" w:cs="Times New Roman"/>
          <w:sz w:val="24"/>
          <w:szCs w:val="24"/>
        </w:rPr>
        <w:t xml:space="preserve"> as substrate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for bioenergy generation and precursor for </w:t>
      </w:r>
      <w:proofErr w:type="spellStart"/>
      <w:r>
        <w:rPr>
          <w:rFonts w:ascii="Times New Roman" w:hAnsi="Times New Roman" w:cs="Times New Roman"/>
          <w:sz w:val="24"/>
          <w:szCs w:val="24"/>
        </w:rPr>
        <w:t>biosilica</w:t>
      </w:r>
      <w:proofErr w:type="spellEnd"/>
      <w:r>
        <w:rPr>
          <w:rFonts w:ascii="Times New Roman" w:hAnsi="Times New Roman" w:cs="Times New Roman"/>
          <w:sz w:val="24"/>
          <w:szCs w:val="24"/>
        </w:rPr>
        <w:t xml:space="preserve"> production via anaerobic digestion. </w:t>
      </w:r>
      <w:r>
        <w:rPr>
          <w:rFonts w:ascii="Times New Roman" w:hAnsi="Times New Roman" w:cs="Times New Roman"/>
          <w:i/>
          <w:sz w:val="24"/>
          <w:szCs w:val="24"/>
        </w:rPr>
        <w:t xml:space="preserve">Tanzania Journal of Science </w:t>
      </w:r>
      <w:r>
        <w:rPr>
          <w:rFonts w:ascii="Times New Roman" w:hAnsi="Times New Roman" w:cs="Times New Roman"/>
          <w:sz w:val="24"/>
          <w:szCs w:val="24"/>
        </w:rPr>
        <w:t>46(3): 807-816.</w:t>
      </w:r>
      <w:r>
        <w:rPr>
          <w:rFonts w:ascii="Times New Roman" w:hAnsi="Times New Roman" w:cs="Times New Roman"/>
          <w:spacing w:val="-3"/>
          <w:sz w:val="24"/>
          <w:szCs w:val="24"/>
        </w:rPr>
        <w:t xml:space="preserve"> </w:t>
      </w:r>
      <w:r>
        <w:rPr>
          <w:rFonts w:ascii="Times New Roman" w:hAnsi="Times New Roman" w:cs="Times New Roman"/>
          <w:sz w:val="24"/>
          <w:szCs w:val="24"/>
          <w:u w:val="single"/>
        </w:rPr>
        <w:t>https:</w:t>
      </w:r>
      <w:hyperlink r:id="rId26">
        <w:r>
          <w:rPr>
            <w:rFonts w:ascii="Times New Roman" w:hAnsi="Times New Roman" w:cs="Times New Roman"/>
            <w:sz w:val="24"/>
            <w:szCs w:val="24"/>
            <w:u w:val="single"/>
          </w:rPr>
          <w:t>//www.ajol.in</w:t>
        </w:r>
      </w:hyperlink>
      <w:r>
        <w:rPr>
          <w:rFonts w:ascii="Times New Roman" w:hAnsi="Times New Roman" w:cs="Times New Roman"/>
          <w:sz w:val="24"/>
          <w:szCs w:val="24"/>
          <w:u w:val="single"/>
        </w:rPr>
        <w:t>fo</w:t>
      </w:r>
      <w:hyperlink r:id="rId27">
        <w:r>
          <w:rPr>
            <w:rFonts w:ascii="Times New Roman" w:hAnsi="Times New Roman" w:cs="Times New Roman"/>
            <w:sz w:val="24"/>
            <w:szCs w:val="24"/>
            <w:u w:val="single"/>
          </w:rPr>
          <w:t>/index.php/tjs/article/view/201126.</w:t>
        </w:r>
      </w:hyperlink>
    </w:p>
    <w:p w:rsidR="005B502F" w:rsidRDefault="00BF5D4A" w:rsidP="00C87561">
      <w:pPr>
        <w:spacing w:after="0" w:line="240" w:lineRule="auto"/>
        <w:ind w:left="840" w:hangingChars="350" w:hanging="840"/>
        <w:contextualSpacing/>
        <w:jc w:val="both"/>
        <w:rPr>
          <w:rFonts w:ascii="Times New Roman" w:eastAsia="Times New Roman" w:hAnsi="Times New Roman" w:cs="Times New Roman"/>
          <w:bCs/>
          <w:sz w:val="24"/>
          <w:szCs w:val="24"/>
        </w:rPr>
      </w:pPr>
      <w:proofErr w:type="spellStart"/>
      <w:r>
        <w:rPr>
          <w:rFonts w:ascii="Times New Roman" w:hAnsi="Times New Roman" w:cs="Times New Roman"/>
          <w:sz w:val="24"/>
          <w:szCs w:val="24"/>
        </w:rPr>
        <w:t>Iyayi</w:t>
      </w:r>
      <w:proofErr w:type="spellEnd"/>
      <w:r>
        <w:rPr>
          <w:rFonts w:ascii="Times New Roman" w:hAnsi="Times New Roman" w:cs="Times New Roman"/>
          <w:sz w:val="24"/>
          <w:szCs w:val="24"/>
        </w:rPr>
        <w:t xml:space="preserve">, A.F., </w:t>
      </w:r>
      <w:proofErr w:type="spellStart"/>
      <w:r>
        <w:rPr>
          <w:rFonts w:ascii="Times New Roman" w:hAnsi="Times New Roman" w:cs="Times New Roman"/>
          <w:sz w:val="24"/>
          <w:szCs w:val="24"/>
        </w:rPr>
        <w:t>Akpaka</w:t>
      </w:r>
      <w:proofErr w:type="spellEnd"/>
      <w:r>
        <w:rPr>
          <w:rFonts w:ascii="Times New Roman" w:hAnsi="Times New Roman" w:cs="Times New Roman"/>
          <w:sz w:val="24"/>
          <w:szCs w:val="24"/>
        </w:rPr>
        <w:t xml:space="preserve">, P.O., </w:t>
      </w:r>
      <w:proofErr w:type="spellStart"/>
      <w:r>
        <w:rPr>
          <w:rFonts w:ascii="Times New Roman" w:hAnsi="Times New Roman" w:cs="Times New Roman"/>
          <w:sz w:val="24"/>
          <w:szCs w:val="24"/>
        </w:rPr>
        <w:t>Ukpeoyibo</w:t>
      </w:r>
      <w:proofErr w:type="spellEnd"/>
      <w:r>
        <w:rPr>
          <w:rFonts w:ascii="Times New Roman" w:hAnsi="Times New Roman" w:cs="Times New Roman"/>
          <w:sz w:val="24"/>
          <w:szCs w:val="24"/>
        </w:rPr>
        <w:t xml:space="preserve">, U. (2008). Rubber seed processing for value-added latex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production in Nigeria. </w:t>
      </w:r>
      <w:r>
        <w:rPr>
          <w:rFonts w:ascii="Times New Roman" w:hAnsi="Times New Roman" w:cs="Times New Roman"/>
          <w:i/>
          <w:iCs/>
          <w:sz w:val="24"/>
          <w:szCs w:val="24"/>
        </w:rPr>
        <w:t>African Journal of Agriculture Research</w:t>
      </w:r>
      <w:r>
        <w:rPr>
          <w:rFonts w:ascii="Times New Roman" w:hAnsi="Times New Roman" w:cs="Times New Roman"/>
          <w:sz w:val="24"/>
          <w:szCs w:val="24"/>
        </w:rPr>
        <w:t xml:space="preserve"> 3(7): 505–9.</w:t>
      </w:r>
    </w:p>
    <w:p w:rsidR="005B502F" w:rsidRDefault="00BF5D4A" w:rsidP="00C87561">
      <w:pPr>
        <w:spacing w:after="0" w:line="240" w:lineRule="auto"/>
        <w:ind w:left="960" w:hangingChars="400" w:hanging="960"/>
        <w:jc w:val="both"/>
        <w:rPr>
          <w:rFonts w:ascii="Times New Roman" w:hAnsi="Times New Roman" w:cs="Times New Roman"/>
          <w:sz w:val="24"/>
          <w:szCs w:val="24"/>
        </w:rPr>
      </w:pPr>
      <w:bookmarkStart w:id="6" w:name="_Hlk133208324"/>
      <w:r>
        <w:rPr>
          <w:rFonts w:ascii="Times New Roman" w:eastAsia="Times New Roman" w:hAnsi="Times New Roman" w:cs="Times New Roman"/>
          <w:sz w:val="24"/>
          <w:szCs w:val="24"/>
          <w:lang w:val="zh-CN" w:eastAsia="zh-CN"/>
        </w:rPr>
        <w:t xml:space="preserve">Lestari, A., Yerizam, M., &amp; Hasan, A. (2023). Characterization of Rubber Seed (Hevea Brasiliensis) as </w:t>
      </w:r>
      <w:r>
        <w:rPr>
          <w:rFonts w:ascii="Times New Roman" w:eastAsia="Times New Roman" w:hAnsi="Times New Roman" w:cs="Times New Roman"/>
          <w:sz w:val="24"/>
          <w:szCs w:val="24"/>
          <w:lang w:val="zh-CN" w:eastAsia="zh-CN"/>
        </w:rPr>
        <w:tab/>
        <w:t xml:space="preserve">Raw Material to Produce Biofuel. </w:t>
      </w:r>
      <w:r>
        <w:rPr>
          <w:rFonts w:ascii="Times New Roman" w:eastAsia="Times New Roman" w:hAnsi="Times New Roman" w:cs="Times New Roman"/>
          <w:i/>
          <w:iCs/>
          <w:sz w:val="24"/>
          <w:szCs w:val="24"/>
          <w:lang w:val="zh-CN" w:eastAsia="zh-CN"/>
        </w:rPr>
        <w:t>Journal of Applied Agricultural Science and Technology</w:t>
      </w:r>
      <w:r>
        <w:rPr>
          <w:rFonts w:ascii="Times New Roman" w:eastAsia="Times New Roman" w:hAnsi="Times New Roman" w:cs="Times New Roman"/>
          <w:sz w:val="24"/>
          <w:szCs w:val="24"/>
          <w:lang w:val="zh-CN" w:eastAsia="zh-CN"/>
        </w:rPr>
        <w:t xml:space="preserve">. </w:t>
      </w:r>
      <w:r>
        <w:rPr>
          <w:rFonts w:ascii="Times New Roman" w:eastAsia="Times New Roman" w:hAnsi="Times New Roman" w:cs="Times New Roman"/>
          <w:sz w:val="24"/>
          <w:szCs w:val="24"/>
          <w:lang w:val="zh-CN" w:eastAsia="zh-CN"/>
        </w:rPr>
        <w:tab/>
        <w:t>https://doi.org/10.55043/jaast.v7i3.140.</w:t>
      </w:r>
    </w:p>
    <w:p w:rsidR="005B502F" w:rsidRDefault="00BF5D4A" w:rsidP="00C87561">
      <w:pPr>
        <w:adjustRightInd w:val="0"/>
        <w:spacing w:after="0" w:line="240" w:lineRule="auto"/>
        <w:ind w:left="720" w:hangingChars="300" w:hanging="720"/>
        <w:contextualSpacing/>
        <w:jc w:val="both"/>
        <w:rPr>
          <w:bCs/>
        </w:rPr>
      </w:pPr>
      <w:proofErr w:type="spellStart"/>
      <w:r>
        <w:rPr>
          <w:rFonts w:ascii="Times New Roman" w:hAnsi="Times New Roman" w:cs="Times New Roman"/>
          <w:sz w:val="24"/>
          <w:szCs w:val="24"/>
        </w:rPr>
        <w:t>Bokhari</w:t>
      </w:r>
      <w:bookmarkEnd w:id="6"/>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Yusup</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Faridi</w:t>
      </w:r>
      <w:proofErr w:type="spellEnd"/>
      <w:r>
        <w:rPr>
          <w:rFonts w:ascii="Times New Roman" w:hAnsi="Times New Roman" w:cs="Times New Roman"/>
          <w:sz w:val="24"/>
          <w:szCs w:val="24"/>
        </w:rPr>
        <w:t xml:space="preserve">, J.A., Kamil, R.N.M. (2014). Blending study of palm oil methyl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esters </w:t>
      </w:r>
      <w:r>
        <w:rPr>
          <w:rFonts w:ascii="Times New Roman" w:hAnsi="Times New Roman" w:cs="Times New Roman"/>
          <w:sz w:val="24"/>
          <w:szCs w:val="24"/>
        </w:rPr>
        <w:tab/>
        <w:t xml:space="preserve">with rubber seed oil methyl esters to improve biodiesel blending properties. </w:t>
      </w:r>
      <w:r>
        <w:rPr>
          <w:rFonts w:ascii="Times New Roman" w:hAnsi="Times New Roman" w:cs="Times New Roman"/>
          <w:i/>
          <w:iCs/>
          <w:sz w:val="24"/>
          <w:szCs w:val="24"/>
        </w:rPr>
        <w:t xml:space="preserve">Chemical </w:t>
      </w:r>
      <w:r>
        <w:rPr>
          <w:rFonts w:ascii="Times New Roman" w:hAnsi="Times New Roman" w:cs="Times New Roman"/>
          <w:i/>
          <w:iCs/>
          <w:sz w:val="24"/>
          <w:szCs w:val="24"/>
        </w:rPr>
        <w:tab/>
        <w:t>Engineering Transactions</w:t>
      </w:r>
      <w:r>
        <w:rPr>
          <w:rFonts w:ascii="Times New Roman" w:hAnsi="Times New Roman" w:cs="Times New Roman"/>
          <w:sz w:val="24"/>
          <w:szCs w:val="24"/>
        </w:rPr>
        <w:t xml:space="preserve"> 37: 571-576. DOI: 10.3303/CET1437096.</w:t>
      </w:r>
    </w:p>
    <w:p w:rsidR="005B502F" w:rsidRDefault="00BF5D4A" w:rsidP="00C87561">
      <w:pPr>
        <w:spacing w:after="200" w:line="240" w:lineRule="auto"/>
        <w:ind w:left="720" w:hangingChars="300" w:hanging="720"/>
        <w:jc w:val="both"/>
        <w:rPr>
          <w:rFonts w:ascii="Times New Roman" w:eastAsia="Times New Roman" w:hAnsi="Times New Roman" w:cs="Times New Roman"/>
          <w:sz w:val="24"/>
          <w:szCs w:val="24"/>
          <w:lang w:val="en-US"/>
        </w:rPr>
      </w:pPr>
      <w:r>
        <w:rPr>
          <w:rFonts w:ascii="Times New Roman" w:hAnsi="Times New Roman" w:cs="Times New Roman"/>
          <w:iCs/>
          <w:sz w:val="24"/>
          <w:szCs w:val="24"/>
        </w:rPr>
        <w:t>E</w:t>
      </w:r>
      <w:proofErr w:type="spellStart"/>
      <w:r>
        <w:rPr>
          <w:rFonts w:ascii="Times New Roman" w:hAnsi="Times New Roman" w:cs="Times New Roman"/>
          <w:iCs/>
          <w:sz w:val="24"/>
          <w:szCs w:val="24"/>
          <w:lang w:val="en-US"/>
        </w:rPr>
        <w:t>deh</w:t>
      </w:r>
      <w:proofErr w:type="spellEnd"/>
      <w:r>
        <w:rPr>
          <w:rFonts w:ascii="Times New Roman" w:hAnsi="Times New Roman" w:cs="Times New Roman"/>
          <w:iCs/>
          <w:sz w:val="24"/>
          <w:szCs w:val="24"/>
          <w:lang w:val="en-US"/>
        </w:rPr>
        <w:t>, I</w:t>
      </w:r>
      <w:r>
        <w:rPr>
          <w:rFonts w:ascii="Times New Roman" w:hAnsi="Times New Roman" w:cs="Times New Roman"/>
          <w:iCs/>
          <w:sz w:val="24"/>
          <w:szCs w:val="24"/>
        </w:rPr>
        <w:t>. (202</w:t>
      </w:r>
      <w:r>
        <w:rPr>
          <w:rFonts w:ascii="Times New Roman" w:hAnsi="Times New Roman" w:cs="Times New Roman"/>
          <w:iCs/>
          <w:sz w:val="24"/>
          <w:szCs w:val="24"/>
          <w:lang w:val="en-US"/>
        </w:rPr>
        <w:t>0</w:t>
      </w:r>
      <w:r>
        <w:rPr>
          <w:rFonts w:ascii="Times New Roman" w:hAnsi="Times New Roman" w:cs="Times New Roman"/>
          <w:iCs/>
          <w:sz w:val="24"/>
          <w:szCs w:val="24"/>
        </w:rPr>
        <w:t xml:space="preserve">). </w:t>
      </w:r>
      <w:r>
        <w:rPr>
          <w:rFonts w:ascii="Times New Roman" w:hAnsi="Times New Roman" w:cs="Times New Roman"/>
          <w:sz w:val="24"/>
          <w:szCs w:val="24"/>
        </w:rPr>
        <w:t xml:space="preserve">Biodiesel Production as a Renewable Resource for the Potential </w:t>
      </w:r>
      <w:r>
        <w:rPr>
          <w:rFonts w:ascii="Times New Roman" w:hAnsi="Times New Roman" w:cs="Times New Roman"/>
          <w:sz w:val="24"/>
          <w:szCs w:val="24"/>
        </w:rPr>
        <w:tab/>
        <w:t xml:space="preserve">Displacement of the Petroleum Diesel. </w:t>
      </w:r>
      <w:proofErr w:type="spellStart"/>
      <w:r>
        <w:rPr>
          <w:rFonts w:ascii="Times New Roman" w:hAnsi="Times New Roman" w:cs="Times New Roman"/>
          <w:sz w:val="24"/>
          <w:szCs w:val="24"/>
        </w:rPr>
        <w:t>IntechOpen</w:t>
      </w:r>
      <w:proofErr w:type="spellEnd"/>
      <w:r>
        <w:rPr>
          <w:rFonts w:ascii="Times New Roman" w:hAnsi="Times New Roman" w:cs="Times New Roman"/>
          <w:sz w:val="24"/>
          <w:szCs w:val="24"/>
        </w:rPr>
        <w:t>. Pp 1-37</w:t>
      </w:r>
    </w:p>
    <w:p w:rsidR="005B502F" w:rsidRDefault="00BF5D4A" w:rsidP="00C87561">
      <w:pPr>
        <w:spacing w:line="240" w:lineRule="auto"/>
        <w:ind w:left="840" w:hangingChars="350" w:hanging="840"/>
        <w:jc w:val="both"/>
        <w:rPr>
          <w:rFonts w:ascii="Times New Roman" w:eastAsia="MyriadPro-SemiCn" w:hAnsi="Times New Roman" w:cs="Times New Roman"/>
          <w:sz w:val="24"/>
          <w:szCs w:val="24"/>
        </w:rPr>
      </w:pPr>
      <w:r>
        <w:rPr>
          <w:rFonts w:ascii="Times New Roman" w:hAnsi="Times New Roman" w:cs="Times New Roman"/>
          <w:sz w:val="24"/>
          <w:szCs w:val="24"/>
          <w:lang w:val="en-US"/>
        </w:rPr>
        <w:t xml:space="preserve">Lakshmi, S. B. A. V. S., Pillai, N. S., Mohamed, M. S. B. K., Narayanan, A. (2020). Biodiesel production with Al2O3 as heterogeneous catalyst: A comparative study of RSM and ANN optimization. Brazilian Journal of </w:t>
      </w:r>
      <w:proofErr w:type="spellStart"/>
      <w:r>
        <w:rPr>
          <w:rFonts w:ascii="Times New Roman" w:hAnsi="Times New Roman" w:cs="Times New Roman"/>
          <w:sz w:val="24"/>
          <w:szCs w:val="24"/>
          <w:lang w:val="en-US"/>
        </w:rPr>
        <w:t>CHemical</w:t>
      </w:r>
      <w:proofErr w:type="spellEnd"/>
      <w:r>
        <w:rPr>
          <w:rFonts w:ascii="Times New Roman" w:hAnsi="Times New Roman" w:cs="Times New Roman"/>
          <w:sz w:val="24"/>
          <w:szCs w:val="24"/>
          <w:lang w:val="en-US"/>
        </w:rPr>
        <w:t xml:space="preserve"> Engineering, 37:351-368, </w:t>
      </w:r>
      <w:hyperlink r:id="rId28" w:history="1">
        <w:r>
          <w:rPr>
            <w:rStyle w:val="Hyperlink"/>
            <w:rFonts w:ascii="Times New Roman" w:eastAsia="MyriadPro-SemiCn" w:hAnsi="Times New Roman" w:cs="Times New Roman"/>
            <w:color w:val="auto"/>
            <w:sz w:val="24"/>
            <w:szCs w:val="24"/>
          </w:rPr>
          <w:t>https://doi.org/10.1007/s43153-020-00027-9</w:t>
        </w:r>
      </w:hyperlink>
    </w:p>
    <w:p w:rsidR="005B502F" w:rsidRDefault="00BF5D4A" w:rsidP="00C87561">
      <w:pPr>
        <w:ind w:left="720" w:hangingChars="300" w:hanging="720"/>
        <w:jc w:val="both"/>
        <w:rPr>
          <w:rFonts w:ascii="Times New Roman" w:eastAsia="STIX-Regular" w:hAnsi="Times New Roman" w:cs="Times New Roman"/>
          <w:sz w:val="24"/>
          <w:szCs w:val="24"/>
        </w:rPr>
      </w:pPr>
      <w:proofErr w:type="spellStart"/>
      <w:r>
        <w:rPr>
          <w:rFonts w:ascii="Times New Roman" w:eastAsia="STIX-Regular" w:hAnsi="Times New Roman" w:cs="Times New Roman"/>
          <w:sz w:val="24"/>
          <w:szCs w:val="24"/>
        </w:rPr>
        <w:t>Jilse</w:t>
      </w:r>
      <w:proofErr w:type="spellEnd"/>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S</w:t>
      </w:r>
      <w:r>
        <w:rPr>
          <w:rFonts w:ascii="Times New Roman" w:eastAsia="STIX-Regular" w:hAnsi="Times New Roman" w:cs="Times New Roman"/>
          <w:sz w:val="24"/>
          <w:szCs w:val="24"/>
          <w:lang w:val="en-US"/>
        </w:rPr>
        <w:t>.</w:t>
      </w:r>
      <w:r>
        <w:rPr>
          <w:rFonts w:ascii="Times New Roman" w:eastAsia="STIX-Regular" w:hAnsi="Times New Roman" w:cs="Times New Roman"/>
          <w:sz w:val="24"/>
          <w:szCs w:val="24"/>
        </w:rPr>
        <w:t>, Chandrasekharan</w:t>
      </w:r>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M</w:t>
      </w:r>
      <w:r>
        <w:rPr>
          <w:rFonts w:ascii="Times New Roman" w:eastAsia="STIX-Regular" w:hAnsi="Times New Roman" w:cs="Times New Roman"/>
          <w:sz w:val="24"/>
          <w:szCs w:val="24"/>
          <w:lang w:val="en-US"/>
        </w:rPr>
        <w:t>.</w:t>
      </w:r>
      <w:r>
        <w:rPr>
          <w:rFonts w:ascii="Times New Roman" w:eastAsia="STIX-Regular" w:hAnsi="Times New Roman" w:cs="Times New Roman"/>
          <w:sz w:val="24"/>
          <w:szCs w:val="24"/>
        </w:rPr>
        <w:t xml:space="preserve">, </w:t>
      </w:r>
      <w:proofErr w:type="spellStart"/>
      <w:r>
        <w:rPr>
          <w:rFonts w:ascii="Times New Roman" w:eastAsia="STIX-Regular" w:hAnsi="Times New Roman" w:cs="Times New Roman"/>
          <w:sz w:val="24"/>
          <w:szCs w:val="24"/>
        </w:rPr>
        <w:t>Arockiasamy</w:t>
      </w:r>
      <w:proofErr w:type="spellEnd"/>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S</w:t>
      </w:r>
      <w:r>
        <w:rPr>
          <w:rFonts w:ascii="Times New Roman" w:eastAsia="STIX-Regular" w:hAnsi="Times New Roman" w:cs="Times New Roman"/>
          <w:sz w:val="24"/>
          <w:szCs w:val="24"/>
          <w:lang w:val="en-US"/>
        </w:rPr>
        <w:t>.</w:t>
      </w:r>
      <w:r>
        <w:rPr>
          <w:rFonts w:ascii="Times New Roman" w:eastAsia="STIX-Regular" w:hAnsi="Times New Roman" w:cs="Times New Roman"/>
          <w:sz w:val="24"/>
          <w:szCs w:val="24"/>
        </w:rPr>
        <w:t xml:space="preserve"> (2016)</w:t>
      </w:r>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A comparative</w:t>
      </w:r>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study between chemical and enzymatic transesterification of</w:t>
      </w:r>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 xml:space="preserve">high free fatty acid contained rubber seed oil for biodiesel </w:t>
      </w:r>
      <w:proofErr w:type="spellStart"/>
      <w:proofErr w:type="gramStart"/>
      <w:r>
        <w:rPr>
          <w:rFonts w:ascii="Times New Roman" w:eastAsia="STIX-Regular" w:hAnsi="Times New Roman" w:cs="Times New Roman"/>
          <w:sz w:val="24"/>
          <w:szCs w:val="24"/>
        </w:rPr>
        <w:t>production.Cogent</w:t>
      </w:r>
      <w:proofErr w:type="spellEnd"/>
      <w:proofErr w:type="gramEnd"/>
      <w:r>
        <w:rPr>
          <w:rFonts w:ascii="Times New Roman" w:eastAsia="STIX-Regular" w:hAnsi="Times New Roman" w:cs="Times New Roman"/>
          <w:sz w:val="24"/>
          <w:szCs w:val="24"/>
        </w:rPr>
        <w:t xml:space="preserve"> </w:t>
      </w:r>
      <w:proofErr w:type="spellStart"/>
      <w:r>
        <w:rPr>
          <w:rFonts w:ascii="Times New Roman" w:eastAsia="STIX-Regular" w:hAnsi="Times New Roman" w:cs="Times New Roman"/>
          <w:sz w:val="24"/>
          <w:szCs w:val="24"/>
        </w:rPr>
        <w:t>Eng</w:t>
      </w:r>
      <w:proofErr w:type="spellEnd"/>
      <w:r>
        <w:rPr>
          <w:rFonts w:ascii="Times New Roman" w:eastAsia="STIX-Regular" w:hAnsi="Times New Roman" w:cs="Times New Roman"/>
          <w:sz w:val="24"/>
          <w:szCs w:val="24"/>
        </w:rPr>
        <w:t xml:space="preserve"> 3:1178370</w:t>
      </w:r>
    </w:p>
    <w:p w:rsidR="005B502F" w:rsidRDefault="00BF5D4A" w:rsidP="00C87561">
      <w:pPr>
        <w:tabs>
          <w:tab w:val="left" w:pos="826"/>
        </w:tabs>
        <w:adjustRightInd w:val="0"/>
        <w:spacing w:after="0" w:line="240" w:lineRule="auto"/>
        <w:ind w:right="106"/>
        <w:contextualSpacing/>
        <w:jc w:val="both"/>
        <w:rPr>
          <w:rFonts w:ascii="Times New Roman" w:hAnsi="Times New Roman" w:cs="Times New Roman"/>
          <w:sz w:val="24"/>
          <w:szCs w:val="24"/>
          <w:lang w:val="en-US"/>
        </w:rPr>
      </w:pPr>
      <w:bookmarkStart w:id="7" w:name="_Hlk133201036"/>
      <w:proofErr w:type="spellStart"/>
      <w:r>
        <w:rPr>
          <w:rFonts w:ascii="Times New Roman" w:hAnsi="Times New Roman" w:cs="Times New Roman"/>
          <w:sz w:val="24"/>
          <w:szCs w:val="24"/>
        </w:rPr>
        <w:t>Trirahayu</w:t>
      </w:r>
      <w:proofErr w:type="spellEnd"/>
      <w:r>
        <w:rPr>
          <w:rFonts w:ascii="Times New Roman" w:hAnsi="Times New Roman" w:cs="Times New Roman"/>
          <w:sz w:val="24"/>
          <w:szCs w:val="24"/>
        </w:rPr>
        <w:t xml:space="preserve">, D.A., </w:t>
      </w:r>
      <w:proofErr w:type="spellStart"/>
      <w:r>
        <w:rPr>
          <w:rFonts w:ascii="Times New Roman" w:hAnsi="Times New Roman" w:cs="Times New Roman"/>
          <w:sz w:val="24"/>
          <w:szCs w:val="24"/>
        </w:rPr>
        <w:t>Abidin</w:t>
      </w:r>
      <w:proofErr w:type="spellEnd"/>
      <w:r>
        <w:rPr>
          <w:rFonts w:ascii="Times New Roman" w:hAnsi="Times New Roman" w:cs="Times New Roman"/>
          <w:sz w:val="24"/>
          <w:szCs w:val="24"/>
        </w:rPr>
        <w:t xml:space="preserve">, A.Z., Putra, R.P., </w:t>
      </w:r>
      <w:proofErr w:type="spellStart"/>
      <w:r>
        <w:rPr>
          <w:rFonts w:ascii="Times New Roman" w:hAnsi="Times New Roman" w:cs="Times New Roman"/>
          <w:sz w:val="24"/>
          <w:szCs w:val="24"/>
        </w:rPr>
        <w:t>Hidayat</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Safitri</w:t>
      </w:r>
      <w:proofErr w:type="spellEnd"/>
      <w:r>
        <w:rPr>
          <w:rFonts w:ascii="Times New Roman" w:hAnsi="Times New Roman" w:cs="Times New Roman"/>
          <w:sz w:val="24"/>
          <w:szCs w:val="24"/>
        </w:rPr>
        <w:t xml:space="preserve">, E., Perdana, M.I. (2022). </w:t>
      </w:r>
      <w:r>
        <w:rPr>
          <w:rFonts w:ascii="Times New Roman" w:hAnsi="Times New Roman" w:cs="Times New Roman"/>
          <w:sz w:val="24"/>
          <w:szCs w:val="24"/>
        </w:rPr>
        <w:tab/>
        <w:t xml:space="preserve">Process </w:t>
      </w:r>
      <w:r>
        <w:rPr>
          <w:rFonts w:ascii="Times New Roman" w:hAnsi="Times New Roman" w:cs="Times New Roman"/>
          <w:sz w:val="24"/>
          <w:szCs w:val="24"/>
        </w:rPr>
        <w:tab/>
        <w:t xml:space="preserve">simulation and design considerations for biodiesel production from </w:t>
      </w:r>
      <w:r>
        <w:rPr>
          <w:rFonts w:ascii="Times New Roman" w:hAnsi="Times New Roman" w:cs="Times New Roman"/>
          <w:sz w:val="24"/>
          <w:szCs w:val="24"/>
          <w:lang w:val="en-US"/>
        </w:rPr>
        <w:t xml:space="preserve">     </w:t>
      </w:r>
    </w:p>
    <w:p w:rsidR="005B502F" w:rsidRDefault="00BF5D4A" w:rsidP="00C87561">
      <w:pPr>
        <w:tabs>
          <w:tab w:val="left" w:pos="826"/>
        </w:tabs>
        <w:adjustRightInd w:val="0"/>
        <w:spacing w:after="0" w:line="240" w:lineRule="auto"/>
        <w:ind w:right="106" w:firstLineChars="350" w:firstLine="840"/>
        <w:contextualSpacing/>
        <w:jc w:val="both"/>
        <w:rPr>
          <w:rFonts w:ascii="Times New Roman" w:eastAsia="Times New Roman" w:hAnsi="Times New Roman" w:cs="Times New Roman"/>
          <w:sz w:val="24"/>
          <w:szCs w:val="24"/>
          <w:lang w:val="fr-FR" w:eastAsia="zh-CN"/>
        </w:rPr>
      </w:pPr>
      <w:r>
        <w:rPr>
          <w:rFonts w:ascii="Times New Roman" w:hAnsi="Times New Roman" w:cs="Times New Roman"/>
          <w:sz w:val="24"/>
          <w:szCs w:val="24"/>
        </w:rPr>
        <w:t xml:space="preserve">rubber </w:t>
      </w:r>
      <w:r>
        <w:rPr>
          <w:rFonts w:ascii="Times New Roman" w:hAnsi="Times New Roman" w:cs="Times New Roman"/>
          <w:sz w:val="24"/>
          <w:szCs w:val="24"/>
        </w:rPr>
        <w:tab/>
        <w:t xml:space="preserve">seed oil. </w:t>
      </w:r>
      <w:r>
        <w:rPr>
          <w:rFonts w:ascii="Times New Roman" w:hAnsi="Times New Roman" w:cs="Times New Roman"/>
          <w:i/>
          <w:iCs/>
          <w:sz w:val="24"/>
          <w:szCs w:val="24"/>
          <w:lang w:val="fr-FR"/>
        </w:rPr>
        <w:t>Fuels</w:t>
      </w:r>
      <w:r>
        <w:rPr>
          <w:rFonts w:ascii="Times New Roman" w:hAnsi="Times New Roman" w:cs="Times New Roman"/>
          <w:sz w:val="24"/>
          <w:szCs w:val="24"/>
          <w:lang w:val="fr-FR"/>
        </w:rPr>
        <w:t xml:space="preserve"> </w:t>
      </w:r>
      <w:proofErr w:type="gramStart"/>
      <w:r>
        <w:rPr>
          <w:rFonts w:ascii="Times New Roman" w:hAnsi="Times New Roman" w:cs="Times New Roman"/>
          <w:sz w:val="24"/>
          <w:szCs w:val="24"/>
          <w:lang w:val="fr-FR"/>
        </w:rPr>
        <w:t>3:</w:t>
      </w:r>
      <w:proofErr w:type="gramEnd"/>
      <w:r>
        <w:rPr>
          <w:rFonts w:ascii="Times New Roman" w:hAnsi="Times New Roman" w:cs="Times New Roman"/>
          <w:sz w:val="24"/>
          <w:szCs w:val="24"/>
          <w:lang w:val="fr-FR"/>
        </w:rPr>
        <w:t xml:space="preserve"> 563–579. </w:t>
      </w:r>
      <w:proofErr w:type="gramStart"/>
      <w:r>
        <w:rPr>
          <w:rFonts w:ascii="Times New Roman" w:hAnsi="Times New Roman" w:cs="Times New Roman"/>
          <w:sz w:val="24"/>
          <w:szCs w:val="24"/>
          <w:lang w:val="fr-FR"/>
        </w:rPr>
        <w:t>DOI:</w:t>
      </w:r>
      <w:proofErr w:type="gramEnd"/>
      <w:r>
        <w:rPr>
          <w:rFonts w:ascii="Times New Roman" w:hAnsi="Times New Roman" w:cs="Times New Roman"/>
          <w:sz w:val="24"/>
          <w:szCs w:val="24"/>
          <w:lang w:val="fr-FR"/>
        </w:rPr>
        <w:t xml:space="preserve"> https://doi.org/10.3390/ fuels3040034.</w:t>
      </w:r>
    </w:p>
    <w:p w:rsidR="005B502F" w:rsidRDefault="00BF5D4A" w:rsidP="00C87561">
      <w:pPr>
        <w:spacing w:after="0" w:line="240" w:lineRule="auto"/>
        <w:ind w:left="960" w:hangingChars="400" w:hanging="9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Dhawan, M., &amp; Yadav, G. (2017). Insight into a catalytic process for simultaneous production of biodiesel </w:t>
      </w:r>
      <w:r>
        <w:rPr>
          <w:rFonts w:ascii="Times New Roman" w:eastAsia="Times New Roman" w:hAnsi="Times New Roman" w:cs="Times New Roman"/>
          <w:sz w:val="24"/>
          <w:szCs w:val="24"/>
          <w:lang w:eastAsia="zh-CN"/>
        </w:rPr>
        <w:tab/>
        <w:t xml:space="preserve">and glycerol carbonate from triglycerides. </w:t>
      </w:r>
      <w:r>
        <w:rPr>
          <w:rFonts w:ascii="Times New Roman" w:eastAsia="Times New Roman" w:hAnsi="Times New Roman" w:cs="Times New Roman"/>
          <w:i/>
          <w:iCs/>
          <w:sz w:val="24"/>
          <w:szCs w:val="24"/>
          <w:lang w:eastAsia="zh-CN"/>
        </w:rPr>
        <w:t>Catalysis Today</w:t>
      </w:r>
      <w:r>
        <w:rPr>
          <w:rFonts w:ascii="Times New Roman" w:eastAsia="Times New Roman" w:hAnsi="Times New Roman" w:cs="Times New Roman"/>
          <w:sz w:val="24"/>
          <w:szCs w:val="24"/>
          <w:lang w:eastAsia="zh-CN"/>
        </w:rPr>
        <w:t>. https://doi.org/10.1016/J.CATTOD.2017.08.020.</w:t>
      </w:r>
    </w:p>
    <w:p w:rsidR="005B502F" w:rsidRDefault="00BF5D4A" w:rsidP="00C87561">
      <w:pPr>
        <w:adjustRightInd w:val="0"/>
        <w:spacing w:after="0" w:line="240" w:lineRule="auto"/>
        <w:ind w:left="960" w:hangingChars="400" w:hanging="96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Demirbas</w:t>
      </w:r>
      <w:proofErr w:type="spellEnd"/>
      <w:r>
        <w:rPr>
          <w:rFonts w:ascii="Times New Roman" w:hAnsi="Times New Roman" w:cs="Times New Roman"/>
          <w:sz w:val="24"/>
          <w:szCs w:val="24"/>
        </w:rPr>
        <w:t>, A. (200</w:t>
      </w:r>
      <w:r>
        <w:rPr>
          <w:rFonts w:ascii="Times New Roman" w:hAnsi="Times New Roman" w:cs="Times New Roman"/>
          <w:sz w:val="24"/>
          <w:szCs w:val="24"/>
          <w:lang w:val="en-US"/>
        </w:rPr>
        <w:t>9</w:t>
      </w:r>
      <w:r>
        <w:rPr>
          <w:rFonts w:ascii="Times New Roman" w:hAnsi="Times New Roman" w:cs="Times New Roman"/>
          <w:sz w:val="24"/>
          <w:szCs w:val="24"/>
        </w:rPr>
        <w:t xml:space="preserve">). </w:t>
      </w:r>
      <w:bookmarkEnd w:id="7"/>
      <w:r>
        <w:rPr>
          <w:rFonts w:ascii="Times New Roman" w:hAnsi="Times New Roman" w:cs="Times New Roman"/>
          <w:sz w:val="24"/>
          <w:szCs w:val="24"/>
        </w:rPr>
        <w:t xml:space="preserve">Comparison of transesterification methods for production of biodiesel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from vegetable oils and fats. Energy conversion and management 49(1): 125-130. DOI: </w:t>
      </w:r>
      <w:hyperlink r:id="rId29" w:history="1">
        <w:r>
          <w:rPr>
            <w:rStyle w:val="Hyperlink"/>
            <w:rFonts w:ascii="Times New Roman" w:hAnsi="Times New Roman" w:cs="Times New Roman"/>
            <w:color w:val="auto"/>
            <w:sz w:val="24"/>
            <w:szCs w:val="24"/>
          </w:rPr>
          <w:t>https://doi.org/10.1016/j.enconman.2007.05.002</w:t>
        </w:r>
      </w:hyperlink>
      <w:r>
        <w:rPr>
          <w:rFonts w:ascii="Times New Roman" w:hAnsi="Times New Roman" w:cs="Times New Roman"/>
          <w:sz w:val="24"/>
          <w:szCs w:val="24"/>
        </w:rPr>
        <w:t>.</w:t>
      </w:r>
    </w:p>
    <w:p w:rsidR="005B502F" w:rsidRDefault="00BF5D4A" w:rsidP="00C87561">
      <w:pPr>
        <w:pStyle w:val="NormalWeb"/>
        <w:ind w:left="960" w:hangingChars="400" w:hanging="960"/>
        <w:jc w:val="both"/>
      </w:pPr>
      <w:proofErr w:type="spellStart"/>
      <w:r>
        <w:rPr>
          <w:rFonts w:eastAsia="STIX-Regular"/>
          <w:lang w:val="en-US"/>
        </w:rPr>
        <w:t>Ayetor</w:t>
      </w:r>
      <w:proofErr w:type="spellEnd"/>
      <w:r>
        <w:rPr>
          <w:rFonts w:eastAsia="STIX-Regular"/>
          <w:lang w:val="en-US"/>
        </w:rPr>
        <w:t xml:space="preserve">, G. K., </w:t>
      </w:r>
      <w:proofErr w:type="spellStart"/>
      <w:r>
        <w:rPr>
          <w:rFonts w:eastAsia="STIX-Regular"/>
          <w:lang w:val="en-US"/>
        </w:rPr>
        <w:t>Sunnu</w:t>
      </w:r>
      <w:proofErr w:type="spellEnd"/>
      <w:r>
        <w:rPr>
          <w:rFonts w:eastAsia="STIX-Regular"/>
          <w:lang w:val="en-US"/>
        </w:rPr>
        <w:t xml:space="preserve">, A., </w:t>
      </w:r>
      <w:proofErr w:type="spellStart"/>
      <w:r>
        <w:rPr>
          <w:rFonts w:eastAsia="STIX-Regular"/>
          <w:lang w:val="en-US"/>
        </w:rPr>
        <w:t>Parbey</w:t>
      </w:r>
      <w:proofErr w:type="spellEnd"/>
      <w:r>
        <w:rPr>
          <w:rFonts w:eastAsia="STIX-Regular"/>
          <w:lang w:val="en-US"/>
        </w:rPr>
        <w:t xml:space="preserve">, J. (2015). Effect of biodiesel production parameters on viscosity and yield of methyl esters: </w:t>
      </w:r>
      <w:r>
        <w:rPr>
          <w:rFonts w:eastAsia="STIX-Regular"/>
          <w:i/>
          <w:iCs/>
          <w:lang w:val="en-US"/>
        </w:rPr>
        <w:t xml:space="preserve">Jatropha </w:t>
      </w:r>
      <w:proofErr w:type="spellStart"/>
      <w:r>
        <w:rPr>
          <w:rFonts w:eastAsia="STIX-Regular"/>
          <w:i/>
          <w:iCs/>
          <w:lang w:val="en-US"/>
        </w:rPr>
        <w:t>Curcas</w:t>
      </w:r>
      <w:proofErr w:type="spellEnd"/>
      <w:r>
        <w:rPr>
          <w:rFonts w:eastAsia="STIX-Regular"/>
          <w:i/>
          <w:iCs/>
          <w:lang w:val="en-US"/>
        </w:rPr>
        <w:t xml:space="preserve">, </w:t>
      </w:r>
      <w:proofErr w:type="spellStart"/>
      <w:r>
        <w:rPr>
          <w:rFonts w:eastAsia="STIX-Regular"/>
          <w:i/>
          <w:iCs/>
          <w:lang w:val="en-US"/>
        </w:rPr>
        <w:t>Elaeis</w:t>
      </w:r>
      <w:proofErr w:type="spellEnd"/>
      <w:r>
        <w:rPr>
          <w:rFonts w:eastAsia="STIX-Regular"/>
          <w:i/>
          <w:iCs/>
          <w:lang w:val="en-US"/>
        </w:rPr>
        <w:t xml:space="preserve"> </w:t>
      </w:r>
      <w:proofErr w:type="spellStart"/>
      <w:r>
        <w:rPr>
          <w:rFonts w:eastAsia="STIX-Regular"/>
          <w:i/>
          <w:iCs/>
          <w:lang w:val="en-US"/>
        </w:rPr>
        <w:t>guineensis</w:t>
      </w:r>
      <w:proofErr w:type="spellEnd"/>
      <w:r>
        <w:rPr>
          <w:rFonts w:eastAsia="STIX-Regular"/>
          <w:i/>
          <w:iCs/>
          <w:lang w:val="en-US"/>
        </w:rPr>
        <w:t xml:space="preserve"> and Cocos nucifera</w:t>
      </w:r>
      <w:r>
        <w:rPr>
          <w:rFonts w:eastAsia="STIX-Regular"/>
          <w:lang w:val="en-US"/>
        </w:rPr>
        <w:t xml:space="preserve">. Alexandria Engineering Journal, 54:1285-1280 </w:t>
      </w:r>
    </w:p>
    <w:p w:rsidR="005B502F" w:rsidRDefault="00BF5D4A" w:rsidP="00C87561">
      <w:pPr>
        <w:ind w:left="960" w:hangingChars="400" w:hanging="960"/>
        <w:jc w:val="both"/>
        <w:rPr>
          <w:rFonts w:ascii="Times New Roman" w:eastAsia="STIX-Regular" w:hAnsi="Times New Roman" w:cs="Times New Roman"/>
          <w:sz w:val="24"/>
          <w:szCs w:val="24"/>
          <w:lang w:val="en-US"/>
        </w:rPr>
      </w:pPr>
      <w:proofErr w:type="spellStart"/>
      <w:r>
        <w:rPr>
          <w:rFonts w:ascii="Times New Roman" w:eastAsia="STIX-Regular" w:hAnsi="Times New Roman"/>
          <w:sz w:val="24"/>
          <w:szCs w:val="24"/>
          <w:lang w:val="en-US"/>
        </w:rPr>
        <w:t>Karmakar</w:t>
      </w:r>
      <w:proofErr w:type="spellEnd"/>
      <w:r>
        <w:rPr>
          <w:rFonts w:ascii="Times New Roman" w:eastAsia="STIX-Regular" w:hAnsi="Times New Roman"/>
          <w:sz w:val="24"/>
          <w:szCs w:val="24"/>
          <w:lang w:val="en-US"/>
        </w:rPr>
        <w:t xml:space="preserve">, B., </w:t>
      </w:r>
      <w:proofErr w:type="spellStart"/>
      <w:r>
        <w:rPr>
          <w:rFonts w:ascii="Times New Roman" w:eastAsia="STIX-Regular" w:hAnsi="Times New Roman"/>
          <w:sz w:val="24"/>
          <w:szCs w:val="24"/>
          <w:lang w:val="en-US"/>
        </w:rPr>
        <w:t>Lalthazuala</w:t>
      </w:r>
      <w:proofErr w:type="spellEnd"/>
      <w:r>
        <w:rPr>
          <w:rFonts w:ascii="Times New Roman" w:eastAsia="STIX-Regular" w:hAnsi="Times New Roman"/>
          <w:sz w:val="24"/>
          <w:szCs w:val="24"/>
          <w:lang w:val="en-US"/>
        </w:rPr>
        <w:t xml:space="preserve"> </w:t>
      </w:r>
      <w:proofErr w:type="spellStart"/>
      <w:r>
        <w:rPr>
          <w:rFonts w:ascii="Times New Roman" w:eastAsia="STIX-Regular" w:hAnsi="Times New Roman"/>
          <w:sz w:val="24"/>
          <w:szCs w:val="24"/>
          <w:lang w:val="en-US"/>
        </w:rPr>
        <w:t>Rokhum</w:t>
      </w:r>
      <w:proofErr w:type="spellEnd"/>
      <w:r>
        <w:rPr>
          <w:rFonts w:ascii="Times New Roman" w:eastAsia="STIX-Regular" w:hAnsi="Times New Roman"/>
          <w:sz w:val="24"/>
          <w:szCs w:val="24"/>
          <w:lang w:val="en-US"/>
        </w:rPr>
        <w:t xml:space="preserve">, S., Halder, G. (2022). Injecting superheated C1 and C3 alcohol supports towards non-catalytic semi-continuous conversion of </w:t>
      </w:r>
      <w:proofErr w:type="spellStart"/>
      <w:r>
        <w:rPr>
          <w:rFonts w:ascii="Times New Roman" w:eastAsia="STIX-Regular" w:hAnsi="Times New Roman"/>
          <w:sz w:val="24"/>
          <w:szCs w:val="24"/>
          <w:lang w:val="en-US"/>
        </w:rPr>
        <w:t>Hevea</w:t>
      </w:r>
      <w:proofErr w:type="spellEnd"/>
      <w:r>
        <w:rPr>
          <w:rFonts w:ascii="Times New Roman" w:eastAsia="STIX-Regular" w:hAnsi="Times New Roman"/>
          <w:sz w:val="24"/>
          <w:szCs w:val="24"/>
          <w:lang w:val="en-US"/>
        </w:rPr>
        <w:t xml:space="preserve"> </w:t>
      </w:r>
      <w:proofErr w:type="spellStart"/>
      <w:r>
        <w:rPr>
          <w:rFonts w:ascii="Times New Roman" w:eastAsia="STIX-Regular" w:hAnsi="Times New Roman"/>
          <w:sz w:val="24"/>
          <w:szCs w:val="24"/>
          <w:lang w:val="en-US"/>
        </w:rPr>
        <w:t>brasiliensis</w:t>
      </w:r>
      <w:proofErr w:type="spellEnd"/>
      <w:r>
        <w:rPr>
          <w:rFonts w:ascii="Times New Roman" w:eastAsia="STIX-Regular" w:hAnsi="Times New Roman"/>
          <w:sz w:val="24"/>
          <w:szCs w:val="24"/>
          <w:lang w:val="en-US"/>
        </w:rPr>
        <w:t xml:space="preserve"> oil into biodiesel. Fuel 314, 122777</w:t>
      </w:r>
    </w:p>
    <w:p w:rsidR="005B502F" w:rsidRDefault="00BF5D4A" w:rsidP="00C87561">
      <w:pPr>
        <w:ind w:left="840" w:hangingChars="350" w:hanging="840"/>
        <w:jc w:val="both"/>
        <w:rPr>
          <w:rFonts w:ascii="Times New Roman" w:eastAsia="STIX-Regular" w:hAnsi="Times New Roman"/>
          <w:sz w:val="24"/>
          <w:szCs w:val="24"/>
          <w:lang w:val="en-US" w:eastAsia="zh-CN"/>
        </w:rPr>
      </w:pPr>
      <w:proofErr w:type="spellStart"/>
      <w:r>
        <w:rPr>
          <w:rFonts w:ascii="Times New Roman" w:eastAsia="STIX-Regular" w:hAnsi="Times New Roman"/>
          <w:sz w:val="24"/>
          <w:szCs w:val="24"/>
          <w:lang w:val="en-US" w:eastAsia="zh-CN"/>
        </w:rPr>
        <w:t>Reshad</w:t>
      </w:r>
      <w:proofErr w:type="spellEnd"/>
      <w:r>
        <w:rPr>
          <w:rFonts w:ascii="Times New Roman" w:eastAsia="STIX-Regular" w:hAnsi="Times New Roman"/>
          <w:sz w:val="24"/>
          <w:szCs w:val="24"/>
          <w:lang w:val="en-US" w:eastAsia="zh-CN"/>
        </w:rPr>
        <w:t>, A.S., Barman, P., Chaudhari, A.J., Tiwari, P., Kulkarni, V., Goud, V.V., Sahoo, N. (2015). Rubber seed oil methyl ester synthesis, engine performance, and emission characteristics of blends. Energy Fuel. 29 (8), 5136–5144.</w:t>
      </w:r>
    </w:p>
    <w:p w:rsidR="005B502F" w:rsidRDefault="00BF5D4A" w:rsidP="00C87561">
      <w:pPr>
        <w:ind w:left="840" w:hangingChars="350" w:hanging="840"/>
        <w:jc w:val="both"/>
        <w:rPr>
          <w:rFonts w:ascii="Times New Roman" w:eastAsia="STIX-Regular" w:hAnsi="Times New Roman"/>
          <w:sz w:val="24"/>
          <w:szCs w:val="24"/>
          <w:lang w:val="en-US" w:eastAsia="zh-CN"/>
        </w:rPr>
      </w:pPr>
      <w:r>
        <w:rPr>
          <w:rFonts w:ascii="Times New Roman" w:eastAsia="STIX-Regular" w:hAnsi="Times New Roman"/>
          <w:sz w:val="24"/>
          <w:szCs w:val="24"/>
          <w:lang w:val="en-US" w:eastAsia="zh-CN"/>
        </w:rPr>
        <w:lastRenderedPageBreak/>
        <w:t xml:space="preserve">Adam, I.K., Aziz, A.R.A., </w:t>
      </w:r>
      <w:proofErr w:type="spellStart"/>
      <w:r>
        <w:rPr>
          <w:rFonts w:ascii="Times New Roman" w:eastAsia="STIX-Regular" w:hAnsi="Times New Roman"/>
          <w:sz w:val="24"/>
          <w:szCs w:val="24"/>
          <w:lang w:val="en-US" w:eastAsia="zh-CN"/>
        </w:rPr>
        <w:t>Heikal</w:t>
      </w:r>
      <w:proofErr w:type="spellEnd"/>
      <w:r>
        <w:rPr>
          <w:rFonts w:ascii="Times New Roman" w:eastAsia="STIX-Regular" w:hAnsi="Times New Roman"/>
          <w:sz w:val="24"/>
          <w:szCs w:val="24"/>
          <w:lang w:val="en-US" w:eastAsia="zh-CN"/>
        </w:rPr>
        <w:t xml:space="preserve">, M.R., </w:t>
      </w:r>
      <w:proofErr w:type="spellStart"/>
      <w:r>
        <w:rPr>
          <w:rFonts w:ascii="Times New Roman" w:eastAsia="STIX-Regular" w:hAnsi="Times New Roman"/>
          <w:sz w:val="24"/>
          <w:szCs w:val="24"/>
          <w:lang w:val="en-US" w:eastAsia="zh-CN"/>
        </w:rPr>
        <w:t>Yusup</w:t>
      </w:r>
      <w:proofErr w:type="spellEnd"/>
      <w:r>
        <w:rPr>
          <w:rFonts w:ascii="Times New Roman" w:eastAsia="STIX-Regular" w:hAnsi="Times New Roman"/>
          <w:sz w:val="24"/>
          <w:szCs w:val="24"/>
          <w:lang w:val="en-US" w:eastAsia="zh-CN"/>
        </w:rPr>
        <w:t xml:space="preserve">, S. (2017). Performance and emission analysis of rubber seed methyl ester and antioxidant in a </w:t>
      </w:r>
      <w:proofErr w:type="spellStart"/>
      <w:r>
        <w:rPr>
          <w:rFonts w:ascii="Times New Roman" w:eastAsia="STIX-Regular" w:hAnsi="Times New Roman"/>
          <w:sz w:val="24"/>
          <w:szCs w:val="24"/>
          <w:lang w:val="en-US" w:eastAsia="zh-CN"/>
        </w:rPr>
        <w:t>Multicylinder</w:t>
      </w:r>
      <w:proofErr w:type="spellEnd"/>
      <w:r>
        <w:rPr>
          <w:rFonts w:ascii="Times New Roman" w:eastAsia="STIX-Regular" w:hAnsi="Times New Roman"/>
          <w:sz w:val="24"/>
          <w:szCs w:val="24"/>
          <w:lang w:val="en-US" w:eastAsia="zh-CN"/>
        </w:rPr>
        <w:t xml:space="preserve"> diesel engine. Energy Fuel. 31 (4), 4424–4435.</w:t>
      </w:r>
    </w:p>
    <w:p w:rsidR="005B502F" w:rsidRDefault="00BF5D4A" w:rsidP="00C87561">
      <w:pPr>
        <w:ind w:left="960" w:hangingChars="400" w:hanging="960"/>
        <w:jc w:val="both"/>
        <w:rPr>
          <w:rFonts w:ascii="Times New Roman" w:eastAsia="STIX-Regular" w:hAnsi="Times New Roman" w:cs="Times New Roman"/>
          <w:sz w:val="24"/>
          <w:szCs w:val="24"/>
          <w:lang w:val="en-US"/>
        </w:rPr>
      </w:pPr>
      <w:r>
        <w:rPr>
          <w:rFonts w:ascii="Times New Roman" w:eastAsia="STIX-Regular" w:hAnsi="Times New Roman"/>
          <w:sz w:val="24"/>
          <w:szCs w:val="24"/>
          <w:lang w:val="en-US"/>
        </w:rPr>
        <w:t xml:space="preserve">Ahmad, J., </w:t>
      </w:r>
      <w:proofErr w:type="spellStart"/>
      <w:r>
        <w:rPr>
          <w:rFonts w:ascii="Times New Roman" w:eastAsia="STIX-Regular" w:hAnsi="Times New Roman"/>
          <w:sz w:val="24"/>
          <w:szCs w:val="24"/>
          <w:lang w:val="en-US"/>
        </w:rPr>
        <w:t>Yusup</w:t>
      </w:r>
      <w:proofErr w:type="spellEnd"/>
      <w:r>
        <w:rPr>
          <w:rFonts w:ascii="Times New Roman" w:eastAsia="STIX-Regular" w:hAnsi="Times New Roman"/>
          <w:sz w:val="24"/>
          <w:szCs w:val="24"/>
          <w:lang w:val="en-US"/>
        </w:rPr>
        <w:t xml:space="preserve">, S., </w:t>
      </w:r>
      <w:proofErr w:type="spellStart"/>
      <w:r>
        <w:rPr>
          <w:rFonts w:ascii="Times New Roman" w:eastAsia="STIX-Regular" w:hAnsi="Times New Roman"/>
          <w:sz w:val="24"/>
          <w:szCs w:val="24"/>
          <w:lang w:val="en-US"/>
        </w:rPr>
        <w:t>Bokhari</w:t>
      </w:r>
      <w:proofErr w:type="spellEnd"/>
      <w:r>
        <w:rPr>
          <w:rFonts w:ascii="Times New Roman" w:eastAsia="STIX-Regular" w:hAnsi="Times New Roman"/>
          <w:sz w:val="24"/>
          <w:szCs w:val="24"/>
          <w:lang w:val="en-US"/>
        </w:rPr>
        <w:t xml:space="preserve">, A., Kamil, R.N.M. (2014). Study of fuel properties of </w:t>
      </w:r>
      <w:proofErr w:type="spellStart"/>
      <w:r>
        <w:rPr>
          <w:rFonts w:ascii="Times New Roman" w:eastAsia="STIX-Regular" w:hAnsi="Times New Roman"/>
          <w:sz w:val="24"/>
          <w:szCs w:val="24"/>
          <w:lang w:val="en-US"/>
        </w:rPr>
        <w:t>rubberseed</w:t>
      </w:r>
      <w:proofErr w:type="spellEnd"/>
      <w:r>
        <w:rPr>
          <w:rFonts w:ascii="Times New Roman" w:eastAsia="STIX-Regular" w:hAnsi="Times New Roman"/>
          <w:sz w:val="24"/>
          <w:szCs w:val="24"/>
          <w:lang w:val="en-US"/>
        </w:rPr>
        <w:t xml:space="preserve"> </w:t>
      </w:r>
      <w:proofErr w:type="gramStart"/>
      <w:r>
        <w:rPr>
          <w:rFonts w:ascii="Times New Roman" w:eastAsia="STIX-Regular" w:hAnsi="Times New Roman"/>
          <w:sz w:val="24"/>
          <w:szCs w:val="24"/>
          <w:lang w:val="en-US"/>
        </w:rPr>
        <w:t>oil based</w:t>
      </w:r>
      <w:proofErr w:type="gramEnd"/>
      <w:r>
        <w:rPr>
          <w:rFonts w:ascii="Times New Roman" w:eastAsia="STIX-Regular" w:hAnsi="Times New Roman"/>
          <w:sz w:val="24"/>
          <w:szCs w:val="24"/>
          <w:lang w:val="en-US"/>
        </w:rPr>
        <w:t xml:space="preserve"> biodiesel. Energy Convers. </w:t>
      </w:r>
      <w:proofErr w:type="spellStart"/>
      <w:r>
        <w:rPr>
          <w:rFonts w:ascii="Times New Roman" w:eastAsia="STIX-Regular" w:hAnsi="Times New Roman"/>
          <w:sz w:val="24"/>
          <w:szCs w:val="24"/>
          <w:lang w:val="en-US"/>
        </w:rPr>
        <w:t>Manag</w:t>
      </w:r>
      <w:proofErr w:type="spellEnd"/>
      <w:r>
        <w:rPr>
          <w:rFonts w:ascii="Times New Roman" w:eastAsia="STIX-Regular" w:hAnsi="Times New Roman"/>
          <w:sz w:val="24"/>
          <w:szCs w:val="24"/>
          <w:lang w:val="en-US"/>
        </w:rPr>
        <w:t>. 78, 266–275.</w:t>
      </w:r>
    </w:p>
    <w:p w:rsidR="005B502F" w:rsidRDefault="00BF5D4A" w:rsidP="00C87561">
      <w:pPr>
        <w:ind w:left="960" w:hangingChars="400" w:hanging="960"/>
        <w:jc w:val="both"/>
        <w:rPr>
          <w:rFonts w:ascii="Times New Roman" w:eastAsia="STIX-Regular" w:hAnsi="Times New Roman"/>
          <w:sz w:val="24"/>
          <w:szCs w:val="24"/>
          <w:lang w:val="en-US" w:eastAsia="zh-CN"/>
        </w:rPr>
      </w:pPr>
      <w:bookmarkStart w:id="8" w:name="_Hlk133212306"/>
      <w:proofErr w:type="spellStart"/>
      <w:r>
        <w:rPr>
          <w:rFonts w:ascii="Times New Roman" w:eastAsia="STIX-Regular" w:hAnsi="Times New Roman"/>
          <w:sz w:val="24"/>
          <w:szCs w:val="24"/>
          <w:lang w:val="en-US" w:eastAsia="zh-CN"/>
        </w:rPr>
        <w:t>Reshad</w:t>
      </w:r>
      <w:proofErr w:type="spellEnd"/>
      <w:r>
        <w:rPr>
          <w:rFonts w:ascii="Times New Roman" w:eastAsia="STIX-Regular" w:hAnsi="Times New Roman"/>
          <w:sz w:val="24"/>
          <w:szCs w:val="24"/>
          <w:lang w:val="en-US" w:eastAsia="zh-CN"/>
        </w:rPr>
        <w:t>, A.S., Barman, P., Chaudhari, A.J., Tiwari, P., Kulkarni, V., Goud, V.V., Sahoo, N. (2015). Rubber seed oil methyl ester synthesis, engine performance, and emission characteristics of blends. Energy Fuel. 29 (8), 5136–5144.</w:t>
      </w:r>
    </w:p>
    <w:p w:rsidR="005B502F" w:rsidRDefault="00BF5D4A" w:rsidP="00C87561">
      <w:pPr>
        <w:tabs>
          <w:tab w:val="left" w:pos="826"/>
        </w:tabs>
        <w:spacing w:after="0" w:line="240" w:lineRule="auto"/>
        <w:ind w:right="106"/>
        <w:contextualSpacing/>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Adam</w:t>
      </w:r>
      <w:bookmarkEnd w:id="8"/>
      <w:r>
        <w:rPr>
          <w:rFonts w:ascii="Times New Roman" w:hAnsi="Times New Roman" w:cs="Times New Roman"/>
          <w:sz w:val="24"/>
          <w:szCs w:val="24"/>
          <w:shd w:val="clear" w:color="auto" w:fill="FFFFFF"/>
        </w:rPr>
        <w:t xml:space="preserve">, I.K., Abdul A.A.R., </w:t>
      </w:r>
      <w:proofErr w:type="spellStart"/>
      <w:r>
        <w:rPr>
          <w:rFonts w:ascii="Times New Roman" w:hAnsi="Times New Roman" w:cs="Times New Roman"/>
          <w:sz w:val="24"/>
          <w:szCs w:val="24"/>
          <w:shd w:val="clear" w:color="auto" w:fill="FFFFFF"/>
        </w:rPr>
        <w:t>Heikal</w:t>
      </w:r>
      <w:proofErr w:type="spellEnd"/>
      <w:r>
        <w:rPr>
          <w:rFonts w:ascii="Times New Roman" w:hAnsi="Times New Roman" w:cs="Times New Roman"/>
          <w:sz w:val="24"/>
          <w:szCs w:val="24"/>
          <w:shd w:val="clear" w:color="auto" w:fill="FFFFFF"/>
        </w:rPr>
        <w:t xml:space="preserve">, M.R., </w:t>
      </w:r>
      <w:proofErr w:type="spellStart"/>
      <w:r>
        <w:rPr>
          <w:rFonts w:ascii="Times New Roman" w:hAnsi="Times New Roman" w:cs="Times New Roman"/>
          <w:sz w:val="24"/>
          <w:szCs w:val="24"/>
          <w:shd w:val="clear" w:color="auto" w:fill="FFFFFF"/>
        </w:rPr>
        <w:t>Yusup</w:t>
      </w:r>
      <w:proofErr w:type="spellEnd"/>
      <w:r>
        <w:rPr>
          <w:rFonts w:ascii="Times New Roman" w:hAnsi="Times New Roman" w:cs="Times New Roman"/>
          <w:sz w:val="24"/>
          <w:szCs w:val="24"/>
          <w:shd w:val="clear" w:color="auto" w:fill="FFFFFF"/>
        </w:rPr>
        <w:t xml:space="preserve">, S., </w:t>
      </w:r>
      <w:proofErr w:type="spellStart"/>
      <w:r>
        <w:rPr>
          <w:rFonts w:ascii="Times New Roman" w:hAnsi="Times New Roman" w:cs="Times New Roman"/>
          <w:sz w:val="24"/>
          <w:szCs w:val="24"/>
          <w:shd w:val="clear" w:color="auto" w:fill="FFFFFF"/>
        </w:rPr>
        <w:t>Firmansyah</w:t>
      </w:r>
      <w:proofErr w:type="spellEnd"/>
      <w:r>
        <w:rPr>
          <w:rFonts w:ascii="Times New Roman" w:hAnsi="Times New Roman" w:cs="Times New Roman"/>
          <w:sz w:val="24"/>
          <w:szCs w:val="24"/>
          <w:shd w:val="clear" w:color="auto" w:fill="FFFFFF"/>
        </w:rPr>
        <w:t xml:space="preserve">, Ahmad, A.S., </w:t>
      </w:r>
      <w:proofErr w:type="spellStart"/>
      <w:r>
        <w:rPr>
          <w:rFonts w:ascii="Times New Roman" w:hAnsi="Times New Roman" w:cs="Times New Roman"/>
          <w:sz w:val="24"/>
          <w:szCs w:val="24"/>
          <w:shd w:val="clear" w:color="auto" w:fill="FFFFFF"/>
        </w:rPr>
        <w:t>Abidin</w:t>
      </w:r>
      <w:proofErr w:type="spellEnd"/>
      <w:r>
        <w:rPr>
          <w:rFonts w:ascii="Times New Roman" w:hAnsi="Times New Roman" w:cs="Times New Roman"/>
          <w:sz w:val="24"/>
          <w:szCs w:val="24"/>
          <w:shd w:val="clear" w:color="auto" w:fill="FFFFFF"/>
        </w:rPr>
        <w:t xml:space="preserve">, Z.E.Z. </w:t>
      </w:r>
      <w:r>
        <w:rPr>
          <w:rFonts w:ascii="Times New Roman" w:hAnsi="Times New Roman" w:cs="Times New Roman"/>
          <w:sz w:val="24"/>
          <w:szCs w:val="24"/>
          <w:shd w:val="clear" w:color="auto" w:fill="FFFFFF"/>
        </w:rPr>
        <w:tab/>
        <w:t>(201</w:t>
      </w:r>
      <w:r>
        <w:rPr>
          <w:rFonts w:ascii="Times New Roman" w:hAnsi="Times New Roman" w:cs="Times New Roman"/>
          <w:sz w:val="24"/>
          <w:szCs w:val="24"/>
          <w:shd w:val="clear" w:color="auto" w:fill="FFFFFF"/>
          <w:lang w:val="en-US"/>
        </w:rPr>
        <w:t>7</w:t>
      </w:r>
      <w:r>
        <w:rPr>
          <w:rFonts w:ascii="Times New Roman" w:hAnsi="Times New Roman" w:cs="Times New Roman"/>
          <w:sz w:val="24"/>
          <w:szCs w:val="24"/>
          <w:shd w:val="clear" w:color="auto" w:fill="FFFFFF"/>
        </w:rPr>
        <w:t xml:space="preserve">). Performance and Emission Analysis of Rubber Seed, Palm, and </w:t>
      </w:r>
      <w:proofErr w:type="gramStart"/>
      <w:r>
        <w:rPr>
          <w:rFonts w:ascii="Times New Roman" w:hAnsi="Times New Roman" w:cs="Times New Roman"/>
          <w:sz w:val="24"/>
          <w:szCs w:val="24"/>
          <w:shd w:val="clear" w:color="auto" w:fill="FFFFFF"/>
        </w:rPr>
        <w:t>Their</w:t>
      </w:r>
      <w:proofErr w:type="gramEnd"/>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 xml:space="preserve">       </w:t>
      </w:r>
    </w:p>
    <w:p w:rsidR="005B502F" w:rsidRDefault="00BF5D4A" w:rsidP="00C87561">
      <w:pPr>
        <w:tabs>
          <w:tab w:val="left" w:pos="826"/>
        </w:tabs>
        <w:spacing w:after="0" w:line="240" w:lineRule="auto"/>
        <w:ind w:right="106" w:firstLineChars="350" w:firstLine="840"/>
        <w:contextualSpacing/>
        <w:jc w:val="both"/>
        <w:rPr>
          <w:lang w:val="fr-FR" w:eastAsia="zh-CN"/>
        </w:rPr>
      </w:pPr>
      <w:r>
        <w:rPr>
          <w:rFonts w:ascii="Times New Roman" w:hAnsi="Times New Roman" w:cs="Times New Roman"/>
          <w:sz w:val="24"/>
          <w:szCs w:val="24"/>
          <w:shd w:val="clear" w:color="auto" w:fill="FFFFFF"/>
        </w:rPr>
        <w:t xml:space="preserve">Combined </w:t>
      </w:r>
      <w:r>
        <w:rPr>
          <w:rFonts w:ascii="Times New Roman" w:hAnsi="Times New Roman" w:cs="Times New Roman"/>
          <w:sz w:val="24"/>
          <w:szCs w:val="24"/>
          <w:shd w:val="clear" w:color="auto" w:fill="FFFFFF"/>
        </w:rPr>
        <w:tab/>
        <w:t>Blend in a Multi-Cylinder Diesel Engine. </w:t>
      </w:r>
      <w:r>
        <w:rPr>
          <w:rStyle w:val="Emphasis"/>
          <w:rFonts w:ascii="Times New Roman" w:hAnsi="Times New Roman" w:cs="Times New Roman"/>
          <w:sz w:val="24"/>
          <w:szCs w:val="24"/>
          <w:shd w:val="clear" w:color="auto" w:fill="FFFFFF"/>
          <w:lang w:val="fr-FR"/>
        </w:rPr>
        <w:t>Energies</w:t>
      </w:r>
      <w:r>
        <w:rPr>
          <w:rFonts w:ascii="Times New Roman" w:hAnsi="Times New Roman" w:cs="Times New Roman"/>
          <w:sz w:val="24"/>
          <w:szCs w:val="24"/>
          <w:shd w:val="clear" w:color="auto" w:fill="FFFFFF"/>
          <w:lang w:val="fr-FR"/>
        </w:rPr>
        <w:t> </w:t>
      </w:r>
      <w:proofErr w:type="gramStart"/>
      <w:r>
        <w:rPr>
          <w:rStyle w:val="Emphasis"/>
          <w:rFonts w:ascii="Times New Roman" w:hAnsi="Times New Roman" w:cs="Times New Roman"/>
          <w:sz w:val="24"/>
          <w:szCs w:val="24"/>
          <w:shd w:val="clear" w:color="auto" w:fill="FFFFFF"/>
          <w:lang w:val="fr-FR"/>
        </w:rPr>
        <w:t>11</w:t>
      </w:r>
      <w:r>
        <w:rPr>
          <w:rFonts w:ascii="Times New Roman" w:hAnsi="Times New Roman" w:cs="Times New Roman"/>
          <w:sz w:val="24"/>
          <w:szCs w:val="24"/>
          <w:shd w:val="clear" w:color="auto" w:fill="FFFFFF"/>
          <w:lang w:val="fr-FR"/>
        </w:rPr>
        <w:t>:</w:t>
      </w:r>
      <w:proofErr w:type="gramEnd"/>
      <w:r>
        <w:rPr>
          <w:rFonts w:ascii="Times New Roman" w:hAnsi="Times New Roman" w:cs="Times New Roman"/>
          <w:sz w:val="24"/>
          <w:szCs w:val="24"/>
          <w:shd w:val="clear" w:color="auto" w:fill="FFFFFF"/>
          <w:lang w:val="fr-FR"/>
        </w:rPr>
        <w:t xml:space="preserve"> 1522. </w:t>
      </w:r>
      <w:proofErr w:type="gramStart"/>
      <w:r>
        <w:rPr>
          <w:rFonts w:ascii="Times New Roman" w:hAnsi="Times New Roman" w:cs="Times New Roman"/>
          <w:sz w:val="24"/>
          <w:szCs w:val="24"/>
          <w:shd w:val="clear" w:color="auto" w:fill="FFFFFF"/>
          <w:lang w:val="fr-FR"/>
        </w:rPr>
        <w:t>DOI:</w:t>
      </w:r>
      <w:proofErr w:type="gramEnd"/>
      <w:r>
        <w:rPr>
          <w:rFonts w:ascii="Times New Roman" w:hAnsi="Times New Roman" w:cs="Times New Roman"/>
          <w:sz w:val="24"/>
          <w:szCs w:val="24"/>
          <w:shd w:val="clear" w:color="auto" w:fill="FFFFFF"/>
          <w:lang w:val="fr-FR"/>
        </w:rPr>
        <w:t xml:space="preserve"> </w:t>
      </w:r>
      <w:r>
        <w:rPr>
          <w:rFonts w:ascii="Times New Roman" w:hAnsi="Times New Roman" w:cs="Times New Roman"/>
          <w:sz w:val="24"/>
          <w:szCs w:val="24"/>
          <w:shd w:val="clear" w:color="auto" w:fill="FFFFFF"/>
          <w:lang w:val="fr-FR"/>
        </w:rPr>
        <w:tab/>
      </w:r>
      <w:hyperlink r:id="rId30" w:history="1">
        <w:r>
          <w:rPr>
            <w:rStyle w:val="Hyperlink"/>
            <w:rFonts w:ascii="Times New Roman" w:hAnsi="Times New Roman" w:cs="Times New Roman"/>
            <w:color w:val="auto"/>
            <w:sz w:val="24"/>
            <w:szCs w:val="24"/>
            <w:shd w:val="clear" w:color="auto" w:fill="FFFFFF"/>
            <w:lang w:val="fr-FR"/>
          </w:rPr>
          <w:t>https://doi.org/10.3390/en11061522</w:t>
        </w:r>
      </w:hyperlink>
      <w:r>
        <w:rPr>
          <w:rFonts w:ascii="Times New Roman" w:hAnsi="Times New Roman" w:cs="Times New Roman"/>
          <w:sz w:val="24"/>
          <w:szCs w:val="24"/>
          <w:shd w:val="clear" w:color="auto" w:fill="FFFFFF"/>
          <w:lang w:val="fr-FR"/>
        </w:rPr>
        <w:t>.</w:t>
      </w:r>
    </w:p>
    <w:p w:rsidR="005B502F" w:rsidRDefault="00BF5D4A" w:rsidP="00C87561">
      <w:pPr>
        <w:spacing w:after="0" w:line="240" w:lineRule="auto"/>
        <w:ind w:left="960" w:hangingChars="400" w:hanging="960"/>
        <w:jc w:val="both"/>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sz w:val="24"/>
          <w:szCs w:val="24"/>
          <w:lang w:val="fr-FR" w:eastAsia="zh-CN"/>
        </w:rPr>
        <w:t>Kaisan</w:t>
      </w:r>
      <w:proofErr w:type="spellEnd"/>
      <w:r>
        <w:rPr>
          <w:rFonts w:ascii="Times New Roman" w:eastAsia="Times New Roman" w:hAnsi="Times New Roman" w:cs="Times New Roman"/>
          <w:sz w:val="24"/>
          <w:szCs w:val="24"/>
          <w:lang w:val="fr-FR" w:eastAsia="zh-CN"/>
        </w:rPr>
        <w:t xml:space="preserve">, M., Anafi, F., </w:t>
      </w:r>
      <w:proofErr w:type="spellStart"/>
      <w:r>
        <w:rPr>
          <w:rFonts w:ascii="Times New Roman" w:eastAsia="Times New Roman" w:hAnsi="Times New Roman" w:cs="Times New Roman"/>
          <w:sz w:val="24"/>
          <w:szCs w:val="24"/>
          <w:lang w:val="fr-FR" w:eastAsia="zh-CN"/>
        </w:rPr>
        <w:t>Nuszkowski</w:t>
      </w:r>
      <w:proofErr w:type="spellEnd"/>
      <w:r>
        <w:rPr>
          <w:rFonts w:ascii="Times New Roman" w:eastAsia="Times New Roman" w:hAnsi="Times New Roman" w:cs="Times New Roman"/>
          <w:sz w:val="24"/>
          <w:szCs w:val="24"/>
          <w:lang w:val="fr-FR" w:eastAsia="zh-CN"/>
        </w:rPr>
        <w:t xml:space="preserve">, J., </w:t>
      </w:r>
      <w:proofErr w:type="spellStart"/>
      <w:r>
        <w:rPr>
          <w:rFonts w:ascii="Times New Roman" w:eastAsia="Times New Roman" w:hAnsi="Times New Roman" w:cs="Times New Roman"/>
          <w:sz w:val="24"/>
          <w:szCs w:val="24"/>
          <w:lang w:val="fr-FR" w:eastAsia="zh-CN"/>
        </w:rPr>
        <w:t>Kulla</w:t>
      </w:r>
      <w:proofErr w:type="spellEnd"/>
      <w:r>
        <w:rPr>
          <w:rFonts w:ascii="Times New Roman" w:eastAsia="Times New Roman" w:hAnsi="Times New Roman" w:cs="Times New Roman"/>
          <w:sz w:val="24"/>
          <w:szCs w:val="24"/>
          <w:lang w:val="fr-FR" w:eastAsia="zh-CN"/>
        </w:rPr>
        <w:t xml:space="preserve">, D., &amp; </w:t>
      </w:r>
      <w:proofErr w:type="spellStart"/>
      <w:r>
        <w:rPr>
          <w:rFonts w:ascii="Times New Roman" w:eastAsia="Times New Roman" w:hAnsi="Times New Roman" w:cs="Times New Roman"/>
          <w:sz w:val="24"/>
          <w:szCs w:val="24"/>
          <w:lang w:val="fr-FR" w:eastAsia="zh-CN"/>
        </w:rPr>
        <w:t>Umaru</w:t>
      </w:r>
      <w:proofErr w:type="spellEnd"/>
      <w:r>
        <w:rPr>
          <w:rFonts w:ascii="Times New Roman" w:eastAsia="Times New Roman" w:hAnsi="Times New Roman" w:cs="Times New Roman"/>
          <w:sz w:val="24"/>
          <w:szCs w:val="24"/>
          <w:lang w:val="fr-FR" w:eastAsia="zh-CN"/>
        </w:rPr>
        <w:t xml:space="preserve">, S. (2020). </w:t>
      </w:r>
      <w:r>
        <w:rPr>
          <w:rFonts w:ascii="Times New Roman" w:eastAsia="Times New Roman" w:hAnsi="Times New Roman" w:cs="Times New Roman"/>
          <w:sz w:val="24"/>
          <w:szCs w:val="24"/>
          <w:lang w:eastAsia="zh-CN"/>
        </w:rPr>
        <w:t xml:space="preserve">Calorific value, flash point and </w:t>
      </w:r>
      <w:r>
        <w:rPr>
          <w:rFonts w:ascii="Times New Roman" w:eastAsia="Times New Roman" w:hAnsi="Times New Roman" w:cs="Times New Roman"/>
          <w:sz w:val="24"/>
          <w:szCs w:val="24"/>
          <w:lang w:eastAsia="zh-CN"/>
        </w:rPr>
        <w:tab/>
        <w:t xml:space="preserve">cetane number of </w:t>
      </w:r>
      <w:proofErr w:type="gramStart"/>
      <w:r>
        <w:rPr>
          <w:rFonts w:ascii="Times New Roman" w:eastAsia="Times New Roman" w:hAnsi="Times New Roman" w:cs="Times New Roman"/>
          <w:sz w:val="24"/>
          <w:szCs w:val="24"/>
          <w:lang w:eastAsia="zh-CN"/>
        </w:rPr>
        <w:t>biodiesel</w:t>
      </w:r>
      <w:proofErr w:type="gramEnd"/>
      <w:r>
        <w:rPr>
          <w:rFonts w:ascii="Times New Roman" w:eastAsia="Times New Roman" w:hAnsi="Times New Roman" w:cs="Times New Roman"/>
          <w:sz w:val="24"/>
          <w:szCs w:val="24"/>
          <w:lang w:eastAsia="zh-CN"/>
        </w:rPr>
        <w:t xml:space="preserve"> from cotton, jatropha and neem binary and multi-blends with diesel. </w:t>
      </w:r>
      <w:r>
        <w:rPr>
          <w:rFonts w:ascii="Times New Roman" w:eastAsia="Times New Roman" w:hAnsi="Times New Roman" w:cs="Times New Roman"/>
          <w:sz w:val="24"/>
          <w:szCs w:val="24"/>
          <w:lang w:eastAsia="zh-CN"/>
        </w:rPr>
        <w:tab/>
      </w:r>
      <w:r>
        <w:rPr>
          <w:rFonts w:ascii="Times New Roman" w:eastAsia="Times New Roman" w:hAnsi="Times New Roman" w:cs="Times New Roman"/>
          <w:i/>
          <w:iCs/>
          <w:sz w:val="24"/>
          <w:szCs w:val="24"/>
          <w:lang w:eastAsia="zh-CN"/>
        </w:rPr>
        <w:t>Biofuels</w:t>
      </w:r>
      <w:r>
        <w:rPr>
          <w:rFonts w:ascii="Times New Roman" w:eastAsia="Times New Roman" w:hAnsi="Times New Roman" w:cs="Times New Roman"/>
          <w:sz w:val="24"/>
          <w:szCs w:val="24"/>
          <w:lang w:eastAsia="zh-CN"/>
        </w:rPr>
        <w:t>, 11, 321 - 327. https://doi.org/10.1080/17597269.2017.1358944.</w:t>
      </w:r>
    </w:p>
    <w:p w:rsidR="005B502F" w:rsidRDefault="00BF5D4A" w:rsidP="00C87561">
      <w:pPr>
        <w:spacing w:after="0" w:line="240" w:lineRule="auto"/>
        <w:ind w:left="960" w:hangingChars="400" w:hanging="960"/>
        <w:jc w:val="both"/>
        <w:rPr>
          <w:rFonts w:ascii="Times New Roman" w:hAnsi="Times New Roman" w:cs="Times New Roman"/>
        </w:rPr>
      </w:pPr>
      <w:r>
        <w:rPr>
          <w:rFonts w:ascii="Times New Roman" w:eastAsia="Times New Roman" w:hAnsi="Times New Roman" w:cs="Times New Roman"/>
          <w:sz w:val="24"/>
          <w:szCs w:val="24"/>
          <w:lang w:eastAsia="zh-CN"/>
        </w:rPr>
        <w:t xml:space="preserve">Fu, J. (2019). Flash points measurements and prediction of biofuels and biofuel blends with aromatic fluids. </w:t>
      </w:r>
      <w:r>
        <w:rPr>
          <w:rFonts w:ascii="Times New Roman" w:eastAsia="Times New Roman" w:hAnsi="Times New Roman" w:cs="Times New Roman"/>
          <w:sz w:val="24"/>
          <w:szCs w:val="24"/>
          <w:lang w:eastAsia="zh-CN"/>
        </w:rPr>
        <w:tab/>
      </w:r>
      <w:r>
        <w:rPr>
          <w:rFonts w:ascii="Times New Roman" w:eastAsia="Times New Roman" w:hAnsi="Times New Roman" w:cs="Times New Roman"/>
          <w:i/>
          <w:iCs/>
          <w:sz w:val="24"/>
          <w:szCs w:val="24"/>
          <w:lang w:eastAsia="zh-CN"/>
        </w:rPr>
        <w:t>Fuel</w:t>
      </w:r>
      <w:r>
        <w:rPr>
          <w:rFonts w:ascii="Times New Roman" w:eastAsia="Times New Roman" w:hAnsi="Times New Roman" w:cs="Times New Roman"/>
          <w:sz w:val="24"/>
          <w:szCs w:val="24"/>
          <w:lang w:eastAsia="zh-CN"/>
        </w:rPr>
        <w:t xml:space="preserve">. </w:t>
      </w:r>
      <w:hyperlink r:id="rId31" w:history="1">
        <w:r>
          <w:rPr>
            <w:rStyle w:val="Hyperlink"/>
            <w:rFonts w:ascii="Times New Roman" w:eastAsia="Times New Roman" w:hAnsi="Times New Roman" w:cs="Times New Roman"/>
            <w:color w:val="auto"/>
            <w:sz w:val="24"/>
            <w:szCs w:val="24"/>
            <w:lang w:eastAsia="zh-CN"/>
          </w:rPr>
          <w:t>https://doi.org/10.1016/J.FUEL.2018.12.105</w:t>
        </w:r>
      </w:hyperlink>
      <w:r>
        <w:rPr>
          <w:rFonts w:ascii="Times New Roman" w:eastAsia="Times New Roman" w:hAnsi="Times New Roman" w:cs="Times New Roman"/>
          <w:sz w:val="24"/>
          <w:szCs w:val="24"/>
          <w:lang w:eastAsia="zh-CN"/>
        </w:rPr>
        <w:t>.</w:t>
      </w:r>
    </w:p>
    <w:p w:rsidR="005B502F" w:rsidRDefault="00BF5D4A" w:rsidP="00C87561">
      <w:pPr>
        <w:spacing w:after="0" w:line="240" w:lineRule="auto"/>
        <w:ind w:left="960" w:hangingChars="400" w:hanging="960"/>
        <w:jc w:val="both"/>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sz w:val="24"/>
          <w:szCs w:val="24"/>
          <w:lang w:eastAsia="zh-CN"/>
        </w:rPr>
        <w:t>Hidayat</w:t>
      </w:r>
      <w:proofErr w:type="spellEnd"/>
      <w:r>
        <w:rPr>
          <w:rFonts w:ascii="Times New Roman" w:eastAsia="Times New Roman" w:hAnsi="Times New Roman" w:cs="Times New Roman"/>
          <w:sz w:val="24"/>
          <w:szCs w:val="24"/>
          <w:lang w:eastAsia="zh-CN"/>
        </w:rPr>
        <w:t xml:space="preserve">, J., </w:t>
      </w:r>
      <w:proofErr w:type="spellStart"/>
      <w:r>
        <w:rPr>
          <w:rFonts w:ascii="Times New Roman" w:eastAsia="Times New Roman" w:hAnsi="Times New Roman" w:cs="Times New Roman"/>
          <w:sz w:val="24"/>
          <w:szCs w:val="24"/>
          <w:lang w:eastAsia="zh-CN"/>
        </w:rPr>
        <w:t>Sugiarto</w:t>
      </w:r>
      <w:proofErr w:type="spellEnd"/>
      <w:r>
        <w:rPr>
          <w:rFonts w:ascii="Times New Roman" w:eastAsia="Times New Roman" w:hAnsi="Times New Roman" w:cs="Times New Roman"/>
          <w:sz w:val="24"/>
          <w:szCs w:val="24"/>
          <w:lang w:eastAsia="zh-CN"/>
        </w:rPr>
        <w:t xml:space="preserve">, B., </w:t>
      </w:r>
      <w:proofErr w:type="spellStart"/>
      <w:r>
        <w:rPr>
          <w:rFonts w:ascii="Times New Roman" w:eastAsia="Times New Roman" w:hAnsi="Times New Roman" w:cs="Times New Roman"/>
          <w:sz w:val="24"/>
          <w:szCs w:val="24"/>
          <w:lang w:eastAsia="zh-CN"/>
        </w:rPr>
        <w:t>Anggarani</w:t>
      </w:r>
      <w:proofErr w:type="spellEnd"/>
      <w:r>
        <w:rPr>
          <w:rFonts w:ascii="Times New Roman" w:eastAsia="Times New Roman" w:hAnsi="Times New Roman" w:cs="Times New Roman"/>
          <w:sz w:val="24"/>
          <w:szCs w:val="24"/>
          <w:lang w:eastAsia="zh-CN"/>
        </w:rPr>
        <w:t xml:space="preserve">, R., </w:t>
      </w:r>
      <w:proofErr w:type="spellStart"/>
      <w:r>
        <w:rPr>
          <w:rFonts w:ascii="Times New Roman" w:eastAsia="Times New Roman" w:hAnsi="Times New Roman" w:cs="Times New Roman"/>
          <w:sz w:val="24"/>
          <w:szCs w:val="24"/>
          <w:lang w:eastAsia="zh-CN"/>
        </w:rPr>
        <w:t>Aisyah</w:t>
      </w:r>
      <w:proofErr w:type="spellEnd"/>
      <w:r>
        <w:rPr>
          <w:rFonts w:ascii="Times New Roman" w:eastAsia="Times New Roman" w:hAnsi="Times New Roman" w:cs="Times New Roman"/>
          <w:sz w:val="24"/>
          <w:szCs w:val="24"/>
          <w:lang w:eastAsia="zh-CN"/>
        </w:rPr>
        <w:t xml:space="preserve">, L., </w:t>
      </w:r>
      <w:proofErr w:type="spellStart"/>
      <w:r>
        <w:rPr>
          <w:rFonts w:ascii="Times New Roman" w:eastAsia="Times New Roman" w:hAnsi="Times New Roman" w:cs="Times New Roman"/>
          <w:sz w:val="24"/>
          <w:szCs w:val="24"/>
          <w:lang w:eastAsia="zh-CN"/>
        </w:rPr>
        <w:t>Fathurrahman</w:t>
      </w:r>
      <w:proofErr w:type="spellEnd"/>
      <w:r>
        <w:rPr>
          <w:rFonts w:ascii="Times New Roman" w:eastAsia="Times New Roman" w:hAnsi="Times New Roman" w:cs="Times New Roman"/>
          <w:sz w:val="24"/>
          <w:szCs w:val="24"/>
          <w:lang w:eastAsia="zh-CN"/>
        </w:rPr>
        <w:t xml:space="preserve">, N., Yogi, P., Riza, F., </w:t>
      </w:r>
      <w:proofErr w:type="spellStart"/>
      <w:r>
        <w:rPr>
          <w:rFonts w:ascii="Times New Roman" w:eastAsia="Times New Roman" w:hAnsi="Times New Roman" w:cs="Times New Roman"/>
          <w:sz w:val="24"/>
          <w:szCs w:val="24"/>
          <w:lang w:eastAsia="zh-CN"/>
        </w:rPr>
        <w:t>Hasfi</w:t>
      </w:r>
      <w:proofErr w:type="spellEnd"/>
      <w:r>
        <w:rPr>
          <w:rFonts w:ascii="Times New Roman" w:eastAsia="Times New Roman" w:hAnsi="Times New Roman" w:cs="Times New Roman"/>
          <w:sz w:val="24"/>
          <w:szCs w:val="24"/>
          <w:lang w:eastAsia="zh-CN"/>
        </w:rPr>
        <w:t xml:space="preserve">, N., &amp;, U. </w:t>
      </w:r>
      <w:r>
        <w:rPr>
          <w:rFonts w:ascii="Times New Roman" w:eastAsia="Times New Roman" w:hAnsi="Times New Roman" w:cs="Times New Roman"/>
          <w:sz w:val="24"/>
          <w:szCs w:val="24"/>
          <w:lang w:eastAsia="zh-CN"/>
        </w:rPr>
        <w:tab/>
        <w:t xml:space="preserve">(2023). Evaluation of Quality of Biodiesel and Diesel Fuel with High Ratio Blends. </w:t>
      </w:r>
      <w:r>
        <w:rPr>
          <w:rFonts w:ascii="Times New Roman" w:eastAsia="Times New Roman" w:hAnsi="Times New Roman" w:cs="Times New Roman"/>
          <w:i/>
          <w:iCs/>
          <w:sz w:val="24"/>
          <w:szCs w:val="24"/>
          <w:lang w:eastAsia="zh-CN"/>
        </w:rPr>
        <w:t xml:space="preserve">IOP </w:t>
      </w:r>
      <w:r>
        <w:rPr>
          <w:rFonts w:ascii="Times New Roman" w:eastAsia="Times New Roman" w:hAnsi="Times New Roman" w:cs="Times New Roman"/>
          <w:i/>
          <w:iCs/>
          <w:sz w:val="24"/>
          <w:szCs w:val="24"/>
          <w:lang w:eastAsia="zh-CN"/>
        </w:rPr>
        <w:tab/>
        <w:t>Conference Series: Earth and Environmental Science</w:t>
      </w:r>
      <w:r>
        <w:rPr>
          <w:rFonts w:ascii="Times New Roman" w:eastAsia="Times New Roman" w:hAnsi="Times New Roman" w:cs="Times New Roman"/>
          <w:sz w:val="24"/>
          <w:szCs w:val="24"/>
          <w:lang w:eastAsia="zh-CN"/>
        </w:rPr>
        <w:t xml:space="preserve">, 1187. </w:t>
      </w:r>
      <w:hyperlink r:id="rId32" w:history="1">
        <w:r>
          <w:rPr>
            <w:rStyle w:val="Hyperlink"/>
            <w:rFonts w:ascii="Times New Roman" w:eastAsia="Times New Roman" w:hAnsi="Times New Roman" w:cs="Times New Roman"/>
            <w:color w:val="auto"/>
            <w:sz w:val="24"/>
            <w:szCs w:val="24"/>
            <w:lang w:eastAsia="zh-CN"/>
          </w:rPr>
          <w:t>https://doi.org/10.1088/1755-</w:t>
        </w:r>
        <w:r>
          <w:rPr>
            <w:rStyle w:val="Hyperlink"/>
            <w:rFonts w:ascii="Times New Roman" w:eastAsia="Times New Roman" w:hAnsi="Times New Roman" w:cs="Times New Roman"/>
            <w:color w:val="auto"/>
            <w:sz w:val="24"/>
            <w:szCs w:val="24"/>
            <w:lang w:eastAsia="zh-CN"/>
          </w:rPr>
          <w:tab/>
          <w:t>1315/1187/1/012018</w:t>
        </w:r>
      </w:hyperlink>
      <w:r>
        <w:rPr>
          <w:rFonts w:ascii="Times New Roman" w:eastAsia="Times New Roman" w:hAnsi="Times New Roman" w:cs="Times New Roman"/>
          <w:sz w:val="24"/>
          <w:szCs w:val="24"/>
          <w:lang w:eastAsia="zh-CN"/>
        </w:rPr>
        <w:t>.</w:t>
      </w:r>
    </w:p>
    <w:p w:rsidR="005B502F" w:rsidRDefault="00BF5D4A" w:rsidP="00C87561">
      <w:pPr>
        <w:spacing w:after="0" w:line="240" w:lineRule="auto"/>
        <w:ind w:left="960" w:hangingChars="400" w:hanging="960"/>
        <w:jc w:val="both"/>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sz w:val="24"/>
          <w:szCs w:val="24"/>
          <w:lang w:eastAsia="zh-CN"/>
        </w:rPr>
        <w:t>Wahyudi</w:t>
      </w:r>
      <w:proofErr w:type="spellEnd"/>
      <w:r>
        <w:rPr>
          <w:rFonts w:ascii="Times New Roman" w:eastAsia="Times New Roman" w:hAnsi="Times New Roman" w:cs="Times New Roman"/>
          <w:sz w:val="24"/>
          <w:szCs w:val="24"/>
          <w:lang w:eastAsia="zh-CN"/>
        </w:rPr>
        <w:t xml:space="preserve">, W., </w:t>
      </w:r>
      <w:proofErr w:type="spellStart"/>
      <w:r>
        <w:rPr>
          <w:rFonts w:ascii="Times New Roman" w:eastAsia="Times New Roman" w:hAnsi="Times New Roman" w:cs="Times New Roman"/>
          <w:sz w:val="24"/>
          <w:szCs w:val="24"/>
          <w:lang w:eastAsia="zh-CN"/>
        </w:rPr>
        <w:t>Nadjib</w:t>
      </w:r>
      <w:proofErr w:type="spellEnd"/>
      <w:r>
        <w:rPr>
          <w:rFonts w:ascii="Times New Roman" w:eastAsia="Times New Roman" w:hAnsi="Times New Roman" w:cs="Times New Roman"/>
          <w:sz w:val="24"/>
          <w:szCs w:val="24"/>
          <w:lang w:eastAsia="zh-CN"/>
        </w:rPr>
        <w:t xml:space="preserve">, M., &amp; </w:t>
      </w:r>
      <w:proofErr w:type="spellStart"/>
      <w:r>
        <w:rPr>
          <w:rFonts w:ascii="Times New Roman" w:eastAsia="Times New Roman" w:hAnsi="Times New Roman" w:cs="Times New Roman"/>
          <w:sz w:val="24"/>
          <w:szCs w:val="24"/>
          <w:lang w:eastAsia="zh-CN"/>
        </w:rPr>
        <w:t>Apriyanto</w:t>
      </w:r>
      <w:proofErr w:type="spellEnd"/>
      <w:r>
        <w:rPr>
          <w:rFonts w:ascii="Times New Roman" w:eastAsia="Times New Roman" w:hAnsi="Times New Roman" w:cs="Times New Roman"/>
          <w:sz w:val="24"/>
          <w:szCs w:val="24"/>
          <w:lang w:eastAsia="zh-CN"/>
        </w:rPr>
        <w:t xml:space="preserve">, A. (2023). Correlation between Physical Properties and Specific </w:t>
      </w:r>
      <w:r>
        <w:rPr>
          <w:rFonts w:ascii="Times New Roman" w:eastAsia="Times New Roman" w:hAnsi="Times New Roman" w:cs="Times New Roman"/>
          <w:sz w:val="24"/>
          <w:szCs w:val="24"/>
          <w:lang w:eastAsia="zh-CN"/>
        </w:rPr>
        <w:tab/>
        <w:t xml:space="preserve">Fuel Consumption in Jatropha -Used Cooking Oil Biodiesel Mixtures. </w:t>
      </w:r>
      <w:proofErr w:type="spellStart"/>
      <w:r>
        <w:rPr>
          <w:rFonts w:ascii="Times New Roman" w:eastAsia="Times New Roman" w:hAnsi="Times New Roman" w:cs="Times New Roman"/>
          <w:i/>
          <w:iCs/>
          <w:sz w:val="24"/>
          <w:szCs w:val="24"/>
          <w:lang w:eastAsia="zh-CN"/>
        </w:rPr>
        <w:t>Semesta</w:t>
      </w:r>
      <w:proofErr w:type="spellEnd"/>
      <w:r>
        <w:rPr>
          <w:rFonts w:ascii="Times New Roman" w:eastAsia="Times New Roman" w:hAnsi="Times New Roman" w:cs="Times New Roman"/>
          <w:i/>
          <w:iCs/>
          <w:sz w:val="24"/>
          <w:szCs w:val="24"/>
          <w:lang w:eastAsia="zh-CN"/>
        </w:rPr>
        <w:t xml:space="preserve"> </w:t>
      </w:r>
      <w:proofErr w:type="spellStart"/>
      <w:r>
        <w:rPr>
          <w:rFonts w:ascii="Times New Roman" w:eastAsia="Times New Roman" w:hAnsi="Times New Roman" w:cs="Times New Roman"/>
          <w:i/>
          <w:iCs/>
          <w:sz w:val="24"/>
          <w:szCs w:val="24"/>
          <w:lang w:eastAsia="zh-CN"/>
        </w:rPr>
        <w:t>Teknika</w:t>
      </w:r>
      <w:proofErr w:type="spellEnd"/>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ab/>
        <w:t>https://doi.org/10.18196/st.v26i2.20163.</w:t>
      </w:r>
    </w:p>
    <w:p w:rsidR="005B502F" w:rsidRDefault="00BF5D4A" w:rsidP="00C87561">
      <w:pPr>
        <w:adjustRightInd w:val="0"/>
        <w:spacing w:after="0" w:line="240" w:lineRule="auto"/>
        <w:ind w:left="840" w:hangingChars="350" w:hanging="840"/>
        <w:contextualSpacing/>
        <w:jc w:val="both"/>
        <w:rPr>
          <w:rFonts w:ascii="Times New Roman" w:hAnsi="Times New Roman" w:cs="Times New Roman"/>
          <w:sz w:val="24"/>
          <w:szCs w:val="24"/>
        </w:rPr>
      </w:pPr>
      <w:r>
        <w:rPr>
          <w:rFonts w:ascii="Times New Roman" w:hAnsi="Times New Roman" w:cs="Times New Roman"/>
          <w:sz w:val="24"/>
          <w:szCs w:val="24"/>
        </w:rPr>
        <w:t xml:space="preserve">Ahmad, J., </w:t>
      </w:r>
      <w:proofErr w:type="spellStart"/>
      <w:r>
        <w:rPr>
          <w:rFonts w:ascii="Times New Roman" w:hAnsi="Times New Roman" w:cs="Times New Roman"/>
          <w:sz w:val="24"/>
          <w:szCs w:val="24"/>
        </w:rPr>
        <w:t>Yusup</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Bokhari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Ruzaimah</w:t>
      </w:r>
      <w:proofErr w:type="spellEnd"/>
      <w:r>
        <w:rPr>
          <w:rFonts w:ascii="Times New Roman" w:hAnsi="Times New Roman" w:cs="Times New Roman"/>
          <w:sz w:val="24"/>
          <w:szCs w:val="24"/>
        </w:rPr>
        <w:t>, N.M.K. (201</w:t>
      </w:r>
      <w:r>
        <w:rPr>
          <w:rFonts w:ascii="Times New Roman" w:hAnsi="Times New Roman" w:cs="Times New Roman"/>
          <w:sz w:val="24"/>
          <w:szCs w:val="24"/>
          <w:lang w:val="en-US"/>
        </w:rPr>
        <w:t>4</w:t>
      </w:r>
      <w:r>
        <w:rPr>
          <w:rFonts w:ascii="Times New Roman" w:hAnsi="Times New Roman" w:cs="Times New Roman"/>
          <w:sz w:val="24"/>
          <w:szCs w:val="24"/>
        </w:rPr>
        <w:t xml:space="preserve">). Study of fuel properties of </w:t>
      </w:r>
      <w:proofErr w:type="spellStart"/>
      <w:r>
        <w:rPr>
          <w:rFonts w:ascii="Times New Roman" w:hAnsi="Times New Roman" w:cs="Times New Roman"/>
          <w:sz w:val="24"/>
          <w:szCs w:val="24"/>
        </w:rPr>
        <w:t>rubbe</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seed oil-based biodiesel. </w:t>
      </w:r>
      <w:r>
        <w:rPr>
          <w:rFonts w:ascii="Times New Roman" w:hAnsi="Times New Roman" w:cs="Times New Roman"/>
          <w:i/>
          <w:iCs/>
          <w:sz w:val="24"/>
          <w:szCs w:val="24"/>
        </w:rPr>
        <w:t>Energy Conversion and Management.</w:t>
      </w:r>
      <w:r>
        <w:rPr>
          <w:rFonts w:ascii="Times New Roman" w:hAnsi="Times New Roman" w:cs="Times New Roman"/>
          <w:sz w:val="24"/>
          <w:szCs w:val="24"/>
        </w:rPr>
        <w:t xml:space="preserve"> 78: 266-275, DOI: 10.1016/j.enconman.2013.10.056.</w:t>
      </w:r>
    </w:p>
    <w:p w:rsidR="005B502F" w:rsidRDefault="00BF5D4A" w:rsidP="00C87561">
      <w:pPr>
        <w:spacing w:after="0" w:line="240" w:lineRule="auto"/>
        <w:ind w:left="1080" w:hangingChars="450" w:hanging="1080"/>
        <w:jc w:val="both"/>
        <w:rPr>
          <w:rFonts w:ascii="Times New Roman" w:hAnsi="Times New Roman" w:cs="Times New Roman"/>
        </w:rPr>
      </w:pPr>
      <w:r>
        <w:rPr>
          <w:rFonts w:ascii="Times New Roman" w:eastAsia="Times New Roman" w:hAnsi="Times New Roman" w:cs="Times New Roman"/>
          <w:sz w:val="24"/>
          <w:szCs w:val="24"/>
          <w:lang w:eastAsia="zh-CN"/>
        </w:rPr>
        <w:t xml:space="preserve">Rajesh, K., </w:t>
      </w:r>
      <w:proofErr w:type="spellStart"/>
      <w:r>
        <w:rPr>
          <w:rFonts w:ascii="Times New Roman" w:eastAsia="Times New Roman" w:hAnsi="Times New Roman" w:cs="Times New Roman"/>
          <w:sz w:val="24"/>
          <w:szCs w:val="24"/>
          <w:lang w:eastAsia="zh-CN"/>
        </w:rPr>
        <w:t>Sathiyamoorthi</w:t>
      </w:r>
      <w:proofErr w:type="spellEnd"/>
      <w:r>
        <w:rPr>
          <w:rFonts w:ascii="Times New Roman" w:eastAsia="Times New Roman" w:hAnsi="Times New Roman" w:cs="Times New Roman"/>
          <w:sz w:val="24"/>
          <w:szCs w:val="24"/>
          <w:lang w:eastAsia="zh-CN"/>
        </w:rPr>
        <w:t xml:space="preserve">, R., Senthil, S., </w:t>
      </w:r>
      <w:proofErr w:type="spellStart"/>
      <w:r>
        <w:rPr>
          <w:rFonts w:ascii="Times New Roman" w:eastAsia="Times New Roman" w:hAnsi="Times New Roman" w:cs="Times New Roman"/>
          <w:sz w:val="24"/>
          <w:szCs w:val="24"/>
          <w:lang w:eastAsia="zh-CN"/>
        </w:rPr>
        <w:t>Murugapoopathi</w:t>
      </w:r>
      <w:proofErr w:type="spellEnd"/>
      <w:r>
        <w:rPr>
          <w:rFonts w:ascii="Times New Roman" w:eastAsia="Times New Roman" w:hAnsi="Times New Roman" w:cs="Times New Roman"/>
          <w:sz w:val="24"/>
          <w:szCs w:val="24"/>
          <w:lang w:eastAsia="zh-CN"/>
        </w:rPr>
        <w:t xml:space="preserve">, S., &amp; </w:t>
      </w:r>
      <w:proofErr w:type="spellStart"/>
      <w:r>
        <w:rPr>
          <w:rFonts w:ascii="Times New Roman" w:eastAsia="Times New Roman" w:hAnsi="Times New Roman" w:cs="Times New Roman"/>
          <w:sz w:val="24"/>
          <w:szCs w:val="24"/>
          <w:lang w:eastAsia="zh-CN"/>
        </w:rPr>
        <w:t>Damodharan</w:t>
      </w:r>
      <w:proofErr w:type="spellEnd"/>
      <w:r>
        <w:rPr>
          <w:rFonts w:ascii="Times New Roman" w:eastAsia="Times New Roman" w:hAnsi="Times New Roman" w:cs="Times New Roman"/>
          <w:sz w:val="24"/>
          <w:szCs w:val="24"/>
          <w:lang w:eastAsia="zh-CN"/>
        </w:rPr>
        <w:t xml:space="preserve">, D. (2023). Analysis of </w:t>
      </w:r>
      <w:r>
        <w:rPr>
          <w:rFonts w:ascii="Times New Roman" w:eastAsia="Times New Roman" w:hAnsi="Times New Roman" w:cs="Times New Roman"/>
          <w:sz w:val="24"/>
          <w:szCs w:val="24"/>
          <w:lang w:eastAsia="zh-CN"/>
        </w:rPr>
        <w:tab/>
        <w:t xml:space="preserve">performance and emission patterns of novel biofuel feedstock neat coconut fatty acid distillate </w:t>
      </w:r>
      <w:r>
        <w:rPr>
          <w:rFonts w:ascii="Times New Roman" w:eastAsia="Times New Roman" w:hAnsi="Times New Roman" w:cs="Times New Roman"/>
          <w:sz w:val="24"/>
          <w:szCs w:val="24"/>
          <w:lang w:eastAsia="zh-CN"/>
        </w:rPr>
        <w:tab/>
        <w:t xml:space="preserve">(CFAD) fuelled single‐cylinder diesel engine. </w:t>
      </w:r>
      <w:r>
        <w:rPr>
          <w:rFonts w:ascii="Times New Roman" w:eastAsia="Times New Roman" w:hAnsi="Times New Roman" w:cs="Times New Roman"/>
          <w:i/>
          <w:iCs/>
          <w:sz w:val="24"/>
          <w:szCs w:val="24"/>
          <w:lang w:eastAsia="zh-CN"/>
        </w:rPr>
        <w:t>Heat Transfer</w:t>
      </w:r>
      <w:r>
        <w:rPr>
          <w:rFonts w:ascii="Times New Roman" w:eastAsia="Times New Roman" w:hAnsi="Times New Roman" w:cs="Times New Roman"/>
          <w:sz w:val="24"/>
          <w:szCs w:val="24"/>
          <w:lang w:eastAsia="zh-CN"/>
        </w:rPr>
        <w:t xml:space="preserve">, 52, 3732 - 3757. </w:t>
      </w:r>
      <w:r>
        <w:rPr>
          <w:rFonts w:ascii="Times New Roman" w:eastAsia="Times New Roman" w:hAnsi="Times New Roman" w:cs="Times New Roman"/>
          <w:sz w:val="24"/>
          <w:szCs w:val="24"/>
          <w:lang w:eastAsia="zh-CN"/>
        </w:rPr>
        <w:tab/>
      </w:r>
      <w:hyperlink r:id="rId33" w:history="1">
        <w:r>
          <w:rPr>
            <w:rStyle w:val="Hyperlink"/>
            <w:rFonts w:ascii="Times New Roman" w:eastAsia="Times New Roman" w:hAnsi="Times New Roman" w:cs="Times New Roman"/>
            <w:color w:val="auto"/>
            <w:sz w:val="24"/>
            <w:szCs w:val="24"/>
            <w:lang w:eastAsia="zh-CN"/>
          </w:rPr>
          <w:t>https://doi.org/10.1002/htj.22849</w:t>
        </w:r>
      </w:hyperlink>
      <w:r>
        <w:rPr>
          <w:rFonts w:ascii="Times New Roman" w:eastAsia="Times New Roman" w:hAnsi="Times New Roman" w:cs="Times New Roman"/>
          <w:sz w:val="24"/>
          <w:szCs w:val="24"/>
          <w:lang w:eastAsia="zh-CN"/>
        </w:rPr>
        <w:t>.</w:t>
      </w:r>
    </w:p>
    <w:p w:rsidR="005B502F" w:rsidRDefault="00BF5D4A" w:rsidP="00C87561">
      <w:pPr>
        <w:spacing w:after="0" w:line="240" w:lineRule="auto"/>
        <w:ind w:left="1080" w:hangingChars="450" w:hanging="1080"/>
        <w:jc w:val="both"/>
        <w:rPr>
          <w:rFonts w:ascii="Times New Roman" w:hAnsi="Times New Roman" w:cs="Times New Roman"/>
        </w:rPr>
      </w:pPr>
      <w:r>
        <w:rPr>
          <w:rFonts w:ascii="Times New Roman" w:eastAsia="Times New Roman" w:hAnsi="Times New Roman" w:cs="Times New Roman"/>
          <w:sz w:val="24"/>
          <w:szCs w:val="24"/>
          <w:lang w:eastAsia="zh-CN"/>
        </w:rPr>
        <w:t xml:space="preserve">Yang, T., Yin, S., </w:t>
      </w:r>
      <w:proofErr w:type="spellStart"/>
      <w:r>
        <w:rPr>
          <w:rFonts w:ascii="Times New Roman" w:eastAsia="Times New Roman" w:hAnsi="Times New Roman" w:cs="Times New Roman"/>
          <w:sz w:val="24"/>
          <w:szCs w:val="24"/>
          <w:lang w:eastAsia="zh-CN"/>
        </w:rPr>
        <w:t>Xie</w:t>
      </w:r>
      <w:proofErr w:type="spellEnd"/>
      <w:r>
        <w:rPr>
          <w:rFonts w:ascii="Times New Roman" w:eastAsia="Times New Roman" w:hAnsi="Times New Roman" w:cs="Times New Roman"/>
          <w:sz w:val="24"/>
          <w:szCs w:val="24"/>
          <w:lang w:eastAsia="zh-CN"/>
        </w:rPr>
        <w:t xml:space="preserve">, M., Chen, F., </w:t>
      </w:r>
      <w:proofErr w:type="spellStart"/>
      <w:r>
        <w:rPr>
          <w:rFonts w:ascii="Times New Roman" w:eastAsia="Times New Roman" w:hAnsi="Times New Roman" w:cs="Times New Roman"/>
          <w:sz w:val="24"/>
          <w:szCs w:val="24"/>
          <w:lang w:eastAsia="zh-CN"/>
        </w:rPr>
        <w:t>Su</w:t>
      </w:r>
      <w:proofErr w:type="spellEnd"/>
      <w:r>
        <w:rPr>
          <w:rFonts w:ascii="Times New Roman" w:eastAsia="Times New Roman" w:hAnsi="Times New Roman" w:cs="Times New Roman"/>
          <w:sz w:val="24"/>
          <w:szCs w:val="24"/>
          <w:lang w:eastAsia="zh-CN"/>
        </w:rPr>
        <w:t xml:space="preserve">, B., Lin, H., </w:t>
      </w:r>
      <w:proofErr w:type="spellStart"/>
      <w:r>
        <w:rPr>
          <w:rFonts w:ascii="Times New Roman" w:eastAsia="Times New Roman" w:hAnsi="Times New Roman" w:cs="Times New Roman"/>
          <w:sz w:val="24"/>
          <w:szCs w:val="24"/>
          <w:lang w:eastAsia="zh-CN"/>
        </w:rPr>
        <w:t>Xue</w:t>
      </w:r>
      <w:proofErr w:type="spellEnd"/>
      <w:r>
        <w:rPr>
          <w:rFonts w:ascii="Times New Roman" w:eastAsia="Times New Roman" w:hAnsi="Times New Roman" w:cs="Times New Roman"/>
          <w:sz w:val="24"/>
          <w:szCs w:val="24"/>
          <w:lang w:eastAsia="zh-CN"/>
        </w:rPr>
        <w:t xml:space="preserve">, Y., &amp; Han, S. (2020). Effects of N-containing </w:t>
      </w:r>
      <w:r>
        <w:rPr>
          <w:rFonts w:ascii="Times New Roman" w:eastAsia="Times New Roman" w:hAnsi="Times New Roman" w:cs="Times New Roman"/>
          <w:sz w:val="24"/>
          <w:szCs w:val="24"/>
          <w:lang w:eastAsia="zh-CN"/>
        </w:rPr>
        <w:tab/>
        <w:t xml:space="preserve">pour point depressants on the cold flow properties of diesel fuel. </w:t>
      </w:r>
      <w:r>
        <w:rPr>
          <w:rFonts w:ascii="Times New Roman" w:eastAsia="Times New Roman" w:hAnsi="Times New Roman" w:cs="Times New Roman"/>
          <w:i/>
          <w:iCs/>
          <w:sz w:val="24"/>
          <w:szCs w:val="24"/>
          <w:lang w:eastAsia="zh-CN"/>
        </w:rPr>
        <w:t>Fuel</w:t>
      </w:r>
      <w:r>
        <w:rPr>
          <w:rFonts w:ascii="Times New Roman" w:eastAsia="Times New Roman" w:hAnsi="Times New Roman" w:cs="Times New Roman"/>
          <w:sz w:val="24"/>
          <w:szCs w:val="24"/>
          <w:lang w:eastAsia="zh-CN"/>
        </w:rPr>
        <w:t xml:space="preserve">, 272, 117666. </w:t>
      </w:r>
      <w:r>
        <w:rPr>
          <w:rFonts w:ascii="Times New Roman" w:eastAsia="Times New Roman" w:hAnsi="Times New Roman" w:cs="Times New Roman"/>
          <w:sz w:val="24"/>
          <w:szCs w:val="24"/>
          <w:lang w:eastAsia="zh-CN"/>
        </w:rPr>
        <w:tab/>
      </w:r>
      <w:hyperlink r:id="rId34" w:history="1">
        <w:r>
          <w:rPr>
            <w:rStyle w:val="Hyperlink"/>
            <w:rFonts w:ascii="Times New Roman" w:eastAsia="Times New Roman" w:hAnsi="Times New Roman" w:cs="Times New Roman"/>
            <w:color w:val="auto"/>
            <w:sz w:val="24"/>
            <w:szCs w:val="24"/>
            <w:lang w:eastAsia="zh-CN"/>
          </w:rPr>
          <w:t>https://doi.org/10.1016/j.fuel.2020.117666</w:t>
        </w:r>
      </w:hyperlink>
      <w:r>
        <w:rPr>
          <w:rFonts w:ascii="Times New Roman" w:eastAsia="Times New Roman" w:hAnsi="Times New Roman" w:cs="Times New Roman"/>
          <w:sz w:val="24"/>
          <w:szCs w:val="24"/>
          <w:lang w:eastAsia="zh-CN"/>
        </w:rPr>
        <w:t>.</w:t>
      </w:r>
    </w:p>
    <w:p w:rsidR="005B502F" w:rsidRDefault="00BF5D4A" w:rsidP="00C87561">
      <w:pPr>
        <w:spacing w:after="0" w:line="240" w:lineRule="auto"/>
        <w:ind w:left="1080" w:hangingChars="450" w:hanging="1080"/>
        <w:jc w:val="both"/>
        <w:rPr>
          <w:rFonts w:ascii="Times New Roman" w:eastAsia="Times New Roman" w:hAnsi="Times New Roman" w:cs="Times New Roman"/>
          <w:sz w:val="24"/>
          <w:szCs w:val="24"/>
          <w:lang w:val="fr-FR" w:eastAsia="zh-CN"/>
        </w:rPr>
      </w:pPr>
      <w:proofErr w:type="spellStart"/>
      <w:r>
        <w:rPr>
          <w:rFonts w:ascii="Times New Roman" w:eastAsia="Times New Roman" w:hAnsi="Times New Roman" w:cs="Times New Roman"/>
          <w:sz w:val="24"/>
          <w:szCs w:val="24"/>
          <w:lang w:eastAsia="zh-CN"/>
        </w:rPr>
        <w:t>Qubeissi</w:t>
      </w:r>
      <w:proofErr w:type="spellEnd"/>
      <w:r>
        <w:rPr>
          <w:rFonts w:ascii="Times New Roman" w:eastAsia="Times New Roman" w:hAnsi="Times New Roman" w:cs="Times New Roman"/>
          <w:sz w:val="24"/>
          <w:szCs w:val="24"/>
          <w:lang w:eastAsia="zh-CN"/>
        </w:rPr>
        <w:t>, M., Mahmoud, A., Al-</w:t>
      </w:r>
      <w:proofErr w:type="spellStart"/>
      <w:r>
        <w:rPr>
          <w:rFonts w:ascii="Times New Roman" w:eastAsia="Times New Roman" w:hAnsi="Times New Roman" w:cs="Times New Roman"/>
          <w:sz w:val="24"/>
          <w:szCs w:val="24"/>
          <w:lang w:eastAsia="zh-CN"/>
        </w:rPr>
        <w:t>Damook</w:t>
      </w:r>
      <w:proofErr w:type="spellEnd"/>
      <w:r>
        <w:rPr>
          <w:rFonts w:ascii="Times New Roman" w:eastAsia="Times New Roman" w:hAnsi="Times New Roman" w:cs="Times New Roman"/>
          <w:sz w:val="24"/>
          <w:szCs w:val="24"/>
          <w:lang w:eastAsia="zh-CN"/>
        </w:rPr>
        <w:t xml:space="preserve">, M., </w:t>
      </w:r>
      <w:proofErr w:type="spellStart"/>
      <w:r>
        <w:rPr>
          <w:rFonts w:ascii="Times New Roman" w:eastAsia="Times New Roman" w:hAnsi="Times New Roman" w:cs="Times New Roman"/>
          <w:sz w:val="24"/>
          <w:szCs w:val="24"/>
          <w:lang w:eastAsia="zh-CN"/>
        </w:rPr>
        <w:t>Almshahy</w:t>
      </w:r>
      <w:proofErr w:type="spellEnd"/>
      <w:r>
        <w:rPr>
          <w:rFonts w:ascii="Times New Roman" w:eastAsia="Times New Roman" w:hAnsi="Times New Roman" w:cs="Times New Roman"/>
          <w:sz w:val="24"/>
          <w:szCs w:val="24"/>
          <w:lang w:eastAsia="zh-CN"/>
        </w:rPr>
        <w:t xml:space="preserve">, A., </w:t>
      </w:r>
      <w:proofErr w:type="spellStart"/>
      <w:r>
        <w:rPr>
          <w:rFonts w:ascii="Times New Roman" w:eastAsia="Times New Roman" w:hAnsi="Times New Roman" w:cs="Times New Roman"/>
          <w:sz w:val="24"/>
          <w:szCs w:val="24"/>
          <w:lang w:eastAsia="zh-CN"/>
        </w:rPr>
        <w:t>Khatir</w:t>
      </w:r>
      <w:proofErr w:type="spellEnd"/>
      <w:r>
        <w:rPr>
          <w:rFonts w:ascii="Times New Roman" w:eastAsia="Times New Roman" w:hAnsi="Times New Roman" w:cs="Times New Roman"/>
          <w:sz w:val="24"/>
          <w:szCs w:val="24"/>
          <w:lang w:eastAsia="zh-CN"/>
        </w:rPr>
        <w:t xml:space="preserve">, Z., </w:t>
      </w:r>
      <w:proofErr w:type="spellStart"/>
      <w:r>
        <w:rPr>
          <w:rFonts w:ascii="Times New Roman" w:eastAsia="Times New Roman" w:hAnsi="Times New Roman" w:cs="Times New Roman"/>
          <w:sz w:val="24"/>
          <w:szCs w:val="24"/>
          <w:lang w:eastAsia="zh-CN"/>
        </w:rPr>
        <w:t>Soyhan</w:t>
      </w:r>
      <w:proofErr w:type="spellEnd"/>
      <w:r>
        <w:rPr>
          <w:rFonts w:ascii="Times New Roman" w:eastAsia="Times New Roman" w:hAnsi="Times New Roman" w:cs="Times New Roman"/>
          <w:sz w:val="24"/>
          <w:szCs w:val="24"/>
          <w:lang w:eastAsia="zh-CN"/>
        </w:rPr>
        <w:t xml:space="preserve">, H., &amp; Shah, R. (2023). </w:t>
      </w:r>
      <w:r>
        <w:rPr>
          <w:rFonts w:ascii="Times New Roman" w:eastAsia="Times New Roman" w:hAnsi="Times New Roman" w:cs="Times New Roman"/>
          <w:sz w:val="24"/>
          <w:szCs w:val="24"/>
          <w:lang w:eastAsia="zh-CN"/>
        </w:rPr>
        <w:tab/>
        <w:t xml:space="preserve">Comparative Analysis of Battery Thermal Management System Using Biodiesel Fuels. </w:t>
      </w:r>
      <w:r>
        <w:rPr>
          <w:rFonts w:ascii="Times New Roman" w:eastAsia="Times New Roman" w:hAnsi="Times New Roman" w:cs="Times New Roman"/>
          <w:i/>
          <w:iCs/>
          <w:sz w:val="24"/>
          <w:szCs w:val="24"/>
          <w:lang w:val="fr-FR" w:eastAsia="zh-CN"/>
        </w:rPr>
        <w:t>Energies</w:t>
      </w:r>
      <w:r>
        <w:rPr>
          <w:rFonts w:ascii="Times New Roman" w:eastAsia="Times New Roman" w:hAnsi="Times New Roman" w:cs="Times New Roman"/>
          <w:sz w:val="24"/>
          <w:szCs w:val="24"/>
          <w:lang w:val="fr-FR" w:eastAsia="zh-CN"/>
        </w:rPr>
        <w:t xml:space="preserve">. </w:t>
      </w:r>
      <w:r>
        <w:rPr>
          <w:rFonts w:ascii="Times New Roman" w:eastAsia="Times New Roman" w:hAnsi="Times New Roman" w:cs="Times New Roman"/>
          <w:sz w:val="24"/>
          <w:szCs w:val="24"/>
          <w:lang w:val="fr-FR" w:eastAsia="zh-CN"/>
        </w:rPr>
        <w:tab/>
        <w:t>https://doi.org/10.3390/en16010565.</w:t>
      </w:r>
    </w:p>
    <w:p w:rsidR="005B502F" w:rsidRDefault="00BF5D4A" w:rsidP="00C87561">
      <w:pPr>
        <w:spacing w:after="0" w:line="240" w:lineRule="auto"/>
        <w:ind w:left="1080" w:hangingChars="450" w:hanging="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fr-FR" w:eastAsia="zh-CN"/>
        </w:rPr>
        <w:t xml:space="preserve">Ahmad, Z., </w:t>
      </w:r>
      <w:proofErr w:type="spellStart"/>
      <w:r>
        <w:rPr>
          <w:rFonts w:ascii="Times New Roman" w:eastAsia="Times New Roman" w:hAnsi="Times New Roman" w:cs="Times New Roman"/>
          <w:sz w:val="24"/>
          <w:szCs w:val="24"/>
          <w:lang w:val="fr-FR" w:eastAsia="zh-CN"/>
        </w:rPr>
        <w:t>Kaario</w:t>
      </w:r>
      <w:proofErr w:type="spellEnd"/>
      <w:r>
        <w:rPr>
          <w:rFonts w:ascii="Times New Roman" w:eastAsia="Times New Roman" w:hAnsi="Times New Roman" w:cs="Times New Roman"/>
          <w:sz w:val="24"/>
          <w:szCs w:val="24"/>
          <w:lang w:val="fr-FR" w:eastAsia="zh-CN"/>
        </w:rPr>
        <w:t xml:space="preserve">, O., Qiang, C., &amp; </w:t>
      </w:r>
      <w:proofErr w:type="spellStart"/>
      <w:r>
        <w:rPr>
          <w:rFonts w:ascii="Times New Roman" w:eastAsia="Times New Roman" w:hAnsi="Times New Roman" w:cs="Times New Roman"/>
          <w:sz w:val="24"/>
          <w:szCs w:val="24"/>
          <w:lang w:val="fr-FR" w:eastAsia="zh-CN"/>
        </w:rPr>
        <w:t>Larmi</w:t>
      </w:r>
      <w:proofErr w:type="spellEnd"/>
      <w:r>
        <w:rPr>
          <w:rFonts w:ascii="Times New Roman" w:eastAsia="Times New Roman" w:hAnsi="Times New Roman" w:cs="Times New Roman"/>
          <w:sz w:val="24"/>
          <w:szCs w:val="24"/>
          <w:lang w:val="fr-FR" w:eastAsia="zh-CN"/>
        </w:rPr>
        <w:t xml:space="preserve">, M. (2021). </w:t>
      </w:r>
      <w:r>
        <w:rPr>
          <w:rFonts w:ascii="Times New Roman" w:eastAsia="Times New Roman" w:hAnsi="Times New Roman" w:cs="Times New Roman"/>
          <w:sz w:val="24"/>
          <w:szCs w:val="24"/>
          <w:lang w:eastAsia="zh-CN"/>
        </w:rPr>
        <w:t xml:space="preserve">Effect of pilot fuel properties on lean dual-fuel </w:t>
      </w:r>
      <w:r>
        <w:rPr>
          <w:rFonts w:ascii="Times New Roman" w:eastAsia="Times New Roman" w:hAnsi="Times New Roman" w:cs="Times New Roman"/>
          <w:sz w:val="24"/>
          <w:szCs w:val="24"/>
          <w:lang w:eastAsia="zh-CN"/>
        </w:rPr>
        <w:tab/>
        <w:t xml:space="preserve">combustion and emission characteristics in a heavy-duty engine. </w:t>
      </w:r>
      <w:r>
        <w:rPr>
          <w:rFonts w:ascii="Times New Roman" w:eastAsia="Times New Roman" w:hAnsi="Times New Roman" w:cs="Times New Roman"/>
          <w:i/>
          <w:iCs/>
          <w:sz w:val="24"/>
          <w:szCs w:val="24"/>
          <w:lang w:eastAsia="zh-CN"/>
        </w:rPr>
        <w:t>Applied Energy</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ab/>
      </w:r>
      <w:hyperlink r:id="rId35" w:history="1">
        <w:r>
          <w:rPr>
            <w:rStyle w:val="Hyperlink"/>
            <w:rFonts w:ascii="Times New Roman" w:eastAsia="Times New Roman" w:hAnsi="Times New Roman" w:cs="Times New Roman"/>
            <w:color w:val="auto"/>
            <w:sz w:val="24"/>
            <w:szCs w:val="24"/>
            <w:lang w:eastAsia="zh-CN"/>
          </w:rPr>
          <w:t>https://doi.org/10.1016/j.apenergy.2020.116134</w:t>
        </w:r>
      </w:hyperlink>
      <w:r>
        <w:rPr>
          <w:rFonts w:ascii="Times New Roman" w:eastAsia="Times New Roman" w:hAnsi="Times New Roman" w:cs="Times New Roman"/>
          <w:sz w:val="24"/>
          <w:szCs w:val="24"/>
          <w:lang w:eastAsia="zh-CN"/>
        </w:rPr>
        <w:t>.</w:t>
      </w:r>
    </w:p>
    <w:p w:rsidR="005B502F" w:rsidRDefault="005B502F" w:rsidP="00C87561">
      <w:pPr>
        <w:spacing w:line="240" w:lineRule="auto"/>
        <w:jc w:val="both"/>
        <w:rPr>
          <w:rFonts w:cs="Times New Roman"/>
          <w:lang w:val="en-US"/>
        </w:rPr>
      </w:pPr>
    </w:p>
    <w:p w:rsidR="005B502F" w:rsidRDefault="00BF5D4A" w:rsidP="00C875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sectPr w:rsidR="005B502F">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D4A" w:rsidRDefault="00BF5D4A">
      <w:pPr>
        <w:spacing w:line="240" w:lineRule="auto"/>
      </w:pPr>
      <w:r>
        <w:separator/>
      </w:r>
    </w:p>
  </w:endnote>
  <w:endnote w:type="continuationSeparator" w:id="0">
    <w:p w:rsidR="00BF5D4A" w:rsidRDefault="00BF5D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alibri"/>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yriadPro-SemiCn">
    <w:altName w:val="Segoe Print"/>
    <w:charset w:val="00"/>
    <w:family w:val="swiss"/>
    <w:pitch w:val="default"/>
    <w:sig w:usb0="00000000" w:usb1="00000000" w:usb2="00000000" w:usb3="00000000" w:csb0="00000001" w:csb1="00000000"/>
  </w:font>
  <w:font w:name="STIX-Regular">
    <w:altName w:val="Segoe Print"/>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02F" w:rsidRDefault="005B5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02F" w:rsidRDefault="005B50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02F" w:rsidRDefault="005B5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D4A" w:rsidRDefault="00BF5D4A">
      <w:pPr>
        <w:spacing w:after="0"/>
      </w:pPr>
      <w:r>
        <w:separator/>
      </w:r>
    </w:p>
  </w:footnote>
  <w:footnote w:type="continuationSeparator" w:id="0">
    <w:p w:rsidR="00BF5D4A" w:rsidRDefault="00BF5D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02F" w:rsidRDefault="00C875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74563" o:spid="_x0000_s2050" type="#_x0000_t136" style="position:absolute;margin-left:0;margin-top:0;width:555.05pt;height:104.6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02F" w:rsidRDefault="00C87561">
    <w:pPr>
      <w:pStyle w:val="Header"/>
      <w:jc w:val="righ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74564" o:spid="_x0000_s2051" type="#_x0000_t136" style="position:absolute;left:0;text-align:left;margin-left:0;margin-top:0;width:555.05pt;height:104.6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sdt>
      <w:sdtPr>
        <w:id w:val="-887959882"/>
      </w:sdtPr>
      <w:sdtEndPr/>
      <w:sdtContent>
        <w:r w:rsidR="00BF5D4A">
          <w:fldChar w:fldCharType="begin"/>
        </w:r>
        <w:r w:rsidR="00BF5D4A">
          <w:instrText xml:space="preserve"> PAGE   \* MERGEFORMAT </w:instrText>
        </w:r>
        <w:r w:rsidR="00BF5D4A">
          <w:fldChar w:fldCharType="separate"/>
        </w:r>
        <w:r w:rsidR="00BF5D4A">
          <w:t>2</w:t>
        </w:r>
        <w:r w:rsidR="00BF5D4A">
          <w:fldChar w:fldCharType="end"/>
        </w:r>
      </w:sdtContent>
    </w:sdt>
  </w:p>
  <w:p w:rsidR="005B502F" w:rsidRDefault="005B50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02F" w:rsidRDefault="00C875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74562" o:spid="_x0000_s2049" type="#_x0000_t136" style="position:absolute;margin-left:0;margin-top:0;width:555.05pt;height:104.6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13281"/>
    <w:multiLevelType w:val="multilevel"/>
    <w:tmpl w:val="1971328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5A11912C"/>
    <w:multiLevelType w:val="singleLevel"/>
    <w:tmpl w:val="5A11912C"/>
    <w:lvl w:ilvl="0">
      <w:start w:val="2"/>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51F"/>
    <w:rsid w:val="00005E55"/>
    <w:rsid w:val="00015B23"/>
    <w:rsid w:val="00065BF8"/>
    <w:rsid w:val="00075D2F"/>
    <w:rsid w:val="000909B3"/>
    <w:rsid w:val="000C3A1E"/>
    <w:rsid w:val="000C3B3E"/>
    <w:rsid w:val="000D3835"/>
    <w:rsid w:val="00134CD1"/>
    <w:rsid w:val="00153124"/>
    <w:rsid w:val="00156DCC"/>
    <w:rsid w:val="00172A27"/>
    <w:rsid w:val="00175910"/>
    <w:rsid w:val="001B46AF"/>
    <w:rsid w:val="001B71AF"/>
    <w:rsid w:val="001C3510"/>
    <w:rsid w:val="0020145A"/>
    <w:rsid w:val="0022353A"/>
    <w:rsid w:val="00261E4C"/>
    <w:rsid w:val="002E5D71"/>
    <w:rsid w:val="002F62ED"/>
    <w:rsid w:val="003168D4"/>
    <w:rsid w:val="0031772D"/>
    <w:rsid w:val="00321DC8"/>
    <w:rsid w:val="00363D60"/>
    <w:rsid w:val="003B5D77"/>
    <w:rsid w:val="003D26C3"/>
    <w:rsid w:val="003E2F67"/>
    <w:rsid w:val="00411BF3"/>
    <w:rsid w:val="00417857"/>
    <w:rsid w:val="00431881"/>
    <w:rsid w:val="00437B2E"/>
    <w:rsid w:val="00437B7D"/>
    <w:rsid w:val="00441115"/>
    <w:rsid w:val="004556AA"/>
    <w:rsid w:val="00456E9F"/>
    <w:rsid w:val="00471DDD"/>
    <w:rsid w:val="004743DA"/>
    <w:rsid w:val="00492AA9"/>
    <w:rsid w:val="00500AF3"/>
    <w:rsid w:val="00512B90"/>
    <w:rsid w:val="00533497"/>
    <w:rsid w:val="00544120"/>
    <w:rsid w:val="00574BEC"/>
    <w:rsid w:val="005A7AB7"/>
    <w:rsid w:val="005B2D58"/>
    <w:rsid w:val="005B502F"/>
    <w:rsid w:val="005C4781"/>
    <w:rsid w:val="005D53F1"/>
    <w:rsid w:val="005E0D1E"/>
    <w:rsid w:val="005E4875"/>
    <w:rsid w:val="005F132F"/>
    <w:rsid w:val="00644658"/>
    <w:rsid w:val="006A2F3A"/>
    <w:rsid w:val="006B5A45"/>
    <w:rsid w:val="006D328F"/>
    <w:rsid w:val="006D4E44"/>
    <w:rsid w:val="006F3E0D"/>
    <w:rsid w:val="00713C5C"/>
    <w:rsid w:val="00723D98"/>
    <w:rsid w:val="00731BB4"/>
    <w:rsid w:val="0074092A"/>
    <w:rsid w:val="00751F78"/>
    <w:rsid w:val="00753DFA"/>
    <w:rsid w:val="0076574C"/>
    <w:rsid w:val="00767843"/>
    <w:rsid w:val="00777FEB"/>
    <w:rsid w:val="00790585"/>
    <w:rsid w:val="007C0EB8"/>
    <w:rsid w:val="007C27A8"/>
    <w:rsid w:val="007D4318"/>
    <w:rsid w:val="007F1764"/>
    <w:rsid w:val="007F4AB8"/>
    <w:rsid w:val="00804FD5"/>
    <w:rsid w:val="0083375B"/>
    <w:rsid w:val="00837518"/>
    <w:rsid w:val="00847332"/>
    <w:rsid w:val="00881071"/>
    <w:rsid w:val="0089589F"/>
    <w:rsid w:val="008B34FF"/>
    <w:rsid w:val="008B3CEA"/>
    <w:rsid w:val="008D7A09"/>
    <w:rsid w:val="008E276A"/>
    <w:rsid w:val="008F43C1"/>
    <w:rsid w:val="00920B06"/>
    <w:rsid w:val="00940861"/>
    <w:rsid w:val="0094505F"/>
    <w:rsid w:val="00946A7B"/>
    <w:rsid w:val="009479BB"/>
    <w:rsid w:val="009840E8"/>
    <w:rsid w:val="009848B4"/>
    <w:rsid w:val="0099778D"/>
    <w:rsid w:val="009B5276"/>
    <w:rsid w:val="009E3C1D"/>
    <w:rsid w:val="00A00D33"/>
    <w:rsid w:val="00A176E3"/>
    <w:rsid w:val="00A31D65"/>
    <w:rsid w:val="00A37DD2"/>
    <w:rsid w:val="00A440DB"/>
    <w:rsid w:val="00A53441"/>
    <w:rsid w:val="00A712EC"/>
    <w:rsid w:val="00A71316"/>
    <w:rsid w:val="00A76092"/>
    <w:rsid w:val="00A87DB8"/>
    <w:rsid w:val="00A95106"/>
    <w:rsid w:val="00AA1CE1"/>
    <w:rsid w:val="00AF6C10"/>
    <w:rsid w:val="00B038BB"/>
    <w:rsid w:val="00B04DC4"/>
    <w:rsid w:val="00B425B6"/>
    <w:rsid w:val="00B47F47"/>
    <w:rsid w:val="00B5480D"/>
    <w:rsid w:val="00B573A3"/>
    <w:rsid w:val="00B602EF"/>
    <w:rsid w:val="00BB7E5B"/>
    <w:rsid w:val="00BD2F93"/>
    <w:rsid w:val="00BE0387"/>
    <w:rsid w:val="00BE1BC3"/>
    <w:rsid w:val="00BF5D4A"/>
    <w:rsid w:val="00C0385A"/>
    <w:rsid w:val="00C116A3"/>
    <w:rsid w:val="00C150D3"/>
    <w:rsid w:val="00C17866"/>
    <w:rsid w:val="00C33551"/>
    <w:rsid w:val="00C36DBA"/>
    <w:rsid w:val="00C422A3"/>
    <w:rsid w:val="00C42D06"/>
    <w:rsid w:val="00C65A7A"/>
    <w:rsid w:val="00C66156"/>
    <w:rsid w:val="00C7549D"/>
    <w:rsid w:val="00C87561"/>
    <w:rsid w:val="00CA3323"/>
    <w:rsid w:val="00CC2D43"/>
    <w:rsid w:val="00D510D8"/>
    <w:rsid w:val="00D60E31"/>
    <w:rsid w:val="00D668FF"/>
    <w:rsid w:val="00DA182A"/>
    <w:rsid w:val="00DE010B"/>
    <w:rsid w:val="00DF1AD7"/>
    <w:rsid w:val="00E14CFC"/>
    <w:rsid w:val="00E238F7"/>
    <w:rsid w:val="00E24652"/>
    <w:rsid w:val="00E417CA"/>
    <w:rsid w:val="00E55C26"/>
    <w:rsid w:val="00E6551C"/>
    <w:rsid w:val="00EA26A2"/>
    <w:rsid w:val="00ED01D0"/>
    <w:rsid w:val="00EE1C78"/>
    <w:rsid w:val="00EE35E8"/>
    <w:rsid w:val="00EF3490"/>
    <w:rsid w:val="00EF6B60"/>
    <w:rsid w:val="00F21D39"/>
    <w:rsid w:val="00F313B6"/>
    <w:rsid w:val="00F54636"/>
    <w:rsid w:val="00F64A92"/>
    <w:rsid w:val="00FA2C91"/>
    <w:rsid w:val="00FE29D1"/>
    <w:rsid w:val="00FE6579"/>
    <w:rsid w:val="00FF2539"/>
    <w:rsid w:val="00FF2C5C"/>
    <w:rsid w:val="00FF73CE"/>
    <w:rsid w:val="0117312F"/>
    <w:rsid w:val="01675739"/>
    <w:rsid w:val="017100DA"/>
    <w:rsid w:val="01AB5643"/>
    <w:rsid w:val="01AF175E"/>
    <w:rsid w:val="01C43CA2"/>
    <w:rsid w:val="022A5904"/>
    <w:rsid w:val="023429CE"/>
    <w:rsid w:val="02343E4F"/>
    <w:rsid w:val="023B3E39"/>
    <w:rsid w:val="023E79BD"/>
    <w:rsid w:val="024C729D"/>
    <w:rsid w:val="02650D5A"/>
    <w:rsid w:val="03083570"/>
    <w:rsid w:val="030F4492"/>
    <w:rsid w:val="03157981"/>
    <w:rsid w:val="03592BD3"/>
    <w:rsid w:val="035B12CD"/>
    <w:rsid w:val="03FB5394"/>
    <w:rsid w:val="03FC0587"/>
    <w:rsid w:val="040F2FCC"/>
    <w:rsid w:val="044C50BA"/>
    <w:rsid w:val="04AE335F"/>
    <w:rsid w:val="04B82B72"/>
    <w:rsid w:val="04E2100C"/>
    <w:rsid w:val="04EA380D"/>
    <w:rsid w:val="052B7684"/>
    <w:rsid w:val="055211AE"/>
    <w:rsid w:val="056F0AF9"/>
    <w:rsid w:val="05B34E63"/>
    <w:rsid w:val="05C66F89"/>
    <w:rsid w:val="05D85120"/>
    <w:rsid w:val="062A752F"/>
    <w:rsid w:val="065837E2"/>
    <w:rsid w:val="072B6851"/>
    <w:rsid w:val="073203DA"/>
    <w:rsid w:val="088251C8"/>
    <w:rsid w:val="08977049"/>
    <w:rsid w:val="08990888"/>
    <w:rsid w:val="09333D63"/>
    <w:rsid w:val="094569C4"/>
    <w:rsid w:val="097034B6"/>
    <w:rsid w:val="09723DCE"/>
    <w:rsid w:val="0989007C"/>
    <w:rsid w:val="09C37BCC"/>
    <w:rsid w:val="09E110FB"/>
    <w:rsid w:val="0A0D0E47"/>
    <w:rsid w:val="0AFF709F"/>
    <w:rsid w:val="0B24469B"/>
    <w:rsid w:val="0B601FDB"/>
    <w:rsid w:val="0BBF7D42"/>
    <w:rsid w:val="0C246F78"/>
    <w:rsid w:val="0C7B4810"/>
    <w:rsid w:val="0D185045"/>
    <w:rsid w:val="0D4C24FF"/>
    <w:rsid w:val="0D903E9C"/>
    <w:rsid w:val="0DAD1C5D"/>
    <w:rsid w:val="0DEB1483"/>
    <w:rsid w:val="0E16722B"/>
    <w:rsid w:val="0E455760"/>
    <w:rsid w:val="0E473305"/>
    <w:rsid w:val="0F3E007E"/>
    <w:rsid w:val="0F3E4514"/>
    <w:rsid w:val="0F5C01D8"/>
    <w:rsid w:val="10176970"/>
    <w:rsid w:val="104F3929"/>
    <w:rsid w:val="1065727D"/>
    <w:rsid w:val="106F5097"/>
    <w:rsid w:val="108C0107"/>
    <w:rsid w:val="10A31499"/>
    <w:rsid w:val="10C058B6"/>
    <w:rsid w:val="10D233ED"/>
    <w:rsid w:val="10E13D61"/>
    <w:rsid w:val="10E862E9"/>
    <w:rsid w:val="1113014F"/>
    <w:rsid w:val="11144D6E"/>
    <w:rsid w:val="11501CF4"/>
    <w:rsid w:val="115E30DA"/>
    <w:rsid w:val="11B80B53"/>
    <w:rsid w:val="11B81118"/>
    <w:rsid w:val="11E77227"/>
    <w:rsid w:val="11E80047"/>
    <w:rsid w:val="11EA08D3"/>
    <w:rsid w:val="12141BA7"/>
    <w:rsid w:val="1218509A"/>
    <w:rsid w:val="121C3BC8"/>
    <w:rsid w:val="128518BB"/>
    <w:rsid w:val="12C2706D"/>
    <w:rsid w:val="12F754F4"/>
    <w:rsid w:val="12F9465F"/>
    <w:rsid w:val="1303217E"/>
    <w:rsid w:val="139D2D78"/>
    <w:rsid w:val="13C335A6"/>
    <w:rsid w:val="13FD017F"/>
    <w:rsid w:val="142E103A"/>
    <w:rsid w:val="14534C64"/>
    <w:rsid w:val="148122B0"/>
    <w:rsid w:val="14877F77"/>
    <w:rsid w:val="148E0DD7"/>
    <w:rsid w:val="14B674EF"/>
    <w:rsid w:val="14C424C7"/>
    <w:rsid w:val="14E76E65"/>
    <w:rsid w:val="15017D02"/>
    <w:rsid w:val="15515CE2"/>
    <w:rsid w:val="157826B9"/>
    <w:rsid w:val="15993173"/>
    <w:rsid w:val="15B37B00"/>
    <w:rsid w:val="15FD66D8"/>
    <w:rsid w:val="160467B3"/>
    <w:rsid w:val="161D2209"/>
    <w:rsid w:val="161E1FBF"/>
    <w:rsid w:val="16296A35"/>
    <w:rsid w:val="164808DC"/>
    <w:rsid w:val="16B22BF0"/>
    <w:rsid w:val="16F57FA1"/>
    <w:rsid w:val="170E420E"/>
    <w:rsid w:val="1739691F"/>
    <w:rsid w:val="174E391C"/>
    <w:rsid w:val="17E04869"/>
    <w:rsid w:val="18111837"/>
    <w:rsid w:val="18146241"/>
    <w:rsid w:val="182B589C"/>
    <w:rsid w:val="18C94AD3"/>
    <w:rsid w:val="18CD7911"/>
    <w:rsid w:val="193C24A9"/>
    <w:rsid w:val="19986A3B"/>
    <w:rsid w:val="199A38DF"/>
    <w:rsid w:val="19EE47F1"/>
    <w:rsid w:val="1A2C78B6"/>
    <w:rsid w:val="1A3147E6"/>
    <w:rsid w:val="1A6831E5"/>
    <w:rsid w:val="1A6D1A19"/>
    <w:rsid w:val="1AA0255D"/>
    <w:rsid w:val="1AAA27D1"/>
    <w:rsid w:val="1AEB1DE4"/>
    <w:rsid w:val="1AF26A51"/>
    <w:rsid w:val="1AFE5D24"/>
    <w:rsid w:val="1BBA678A"/>
    <w:rsid w:val="1C1F5136"/>
    <w:rsid w:val="1C694D9E"/>
    <w:rsid w:val="1C6E3CD1"/>
    <w:rsid w:val="1C87265B"/>
    <w:rsid w:val="1CBB6574"/>
    <w:rsid w:val="1CD94D8F"/>
    <w:rsid w:val="1E0B739D"/>
    <w:rsid w:val="1E6D287C"/>
    <w:rsid w:val="1E7A2ACE"/>
    <w:rsid w:val="1F045C36"/>
    <w:rsid w:val="1F404DD2"/>
    <w:rsid w:val="1F493A31"/>
    <w:rsid w:val="1F7E4C34"/>
    <w:rsid w:val="1FA712FF"/>
    <w:rsid w:val="1FCD7EB9"/>
    <w:rsid w:val="20104406"/>
    <w:rsid w:val="202F0799"/>
    <w:rsid w:val="209054C4"/>
    <w:rsid w:val="21372D0F"/>
    <w:rsid w:val="21611FDA"/>
    <w:rsid w:val="217E2D79"/>
    <w:rsid w:val="22330628"/>
    <w:rsid w:val="22A15CB7"/>
    <w:rsid w:val="22A85759"/>
    <w:rsid w:val="22C370F9"/>
    <w:rsid w:val="235A3917"/>
    <w:rsid w:val="240A6030"/>
    <w:rsid w:val="240D251F"/>
    <w:rsid w:val="2423153B"/>
    <w:rsid w:val="24280922"/>
    <w:rsid w:val="24702DAF"/>
    <w:rsid w:val="247A4DFF"/>
    <w:rsid w:val="24914BFD"/>
    <w:rsid w:val="24E52C95"/>
    <w:rsid w:val="252B7B5E"/>
    <w:rsid w:val="265449FF"/>
    <w:rsid w:val="268C4ED4"/>
    <w:rsid w:val="26995B71"/>
    <w:rsid w:val="26BC332C"/>
    <w:rsid w:val="26EC0445"/>
    <w:rsid w:val="27260690"/>
    <w:rsid w:val="272A14A1"/>
    <w:rsid w:val="273C5FB1"/>
    <w:rsid w:val="27506770"/>
    <w:rsid w:val="276B08BE"/>
    <w:rsid w:val="2799071E"/>
    <w:rsid w:val="27EA6726"/>
    <w:rsid w:val="27EE7C98"/>
    <w:rsid w:val="280D270F"/>
    <w:rsid w:val="286237E1"/>
    <w:rsid w:val="286677D8"/>
    <w:rsid w:val="287D4312"/>
    <w:rsid w:val="288B4AB5"/>
    <w:rsid w:val="28A05F0E"/>
    <w:rsid w:val="28CC046D"/>
    <w:rsid w:val="28DC43AF"/>
    <w:rsid w:val="28DE7285"/>
    <w:rsid w:val="28F079B4"/>
    <w:rsid w:val="2925246E"/>
    <w:rsid w:val="2936011C"/>
    <w:rsid w:val="29720BCA"/>
    <w:rsid w:val="29970D6F"/>
    <w:rsid w:val="29A316CA"/>
    <w:rsid w:val="2A09173A"/>
    <w:rsid w:val="2A9A0885"/>
    <w:rsid w:val="2A9E6DEE"/>
    <w:rsid w:val="2B197590"/>
    <w:rsid w:val="2B1A0268"/>
    <w:rsid w:val="2B254CEF"/>
    <w:rsid w:val="2B393064"/>
    <w:rsid w:val="2B465FE9"/>
    <w:rsid w:val="2B5B6EA0"/>
    <w:rsid w:val="2C7D1A78"/>
    <w:rsid w:val="2CA3594A"/>
    <w:rsid w:val="2CA568CE"/>
    <w:rsid w:val="2CAE175C"/>
    <w:rsid w:val="2CFB2F53"/>
    <w:rsid w:val="2CFC7029"/>
    <w:rsid w:val="2D415409"/>
    <w:rsid w:val="2DC23B73"/>
    <w:rsid w:val="2DDD1792"/>
    <w:rsid w:val="2DF33E07"/>
    <w:rsid w:val="2E205CD5"/>
    <w:rsid w:val="2E4A2482"/>
    <w:rsid w:val="2E536EC1"/>
    <w:rsid w:val="2EC1531A"/>
    <w:rsid w:val="2EFF181D"/>
    <w:rsid w:val="2F1C4112"/>
    <w:rsid w:val="2F1F6DA3"/>
    <w:rsid w:val="2F7E7BA3"/>
    <w:rsid w:val="2FEF3E1D"/>
    <w:rsid w:val="30425274"/>
    <w:rsid w:val="30857CF9"/>
    <w:rsid w:val="30A66F6E"/>
    <w:rsid w:val="30B22105"/>
    <w:rsid w:val="31217FEA"/>
    <w:rsid w:val="317D272A"/>
    <w:rsid w:val="3198380B"/>
    <w:rsid w:val="31D06397"/>
    <w:rsid w:val="32205E12"/>
    <w:rsid w:val="32270449"/>
    <w:rsid w:val="326C447B"/>
    <w:rsid w:val="32A9525C"/>
    <w:rsid w:val="32BF31E3"/>
    <w:rsid w:val="33956BD0"/>
    <w:rsid w:val="339A6A30"/>
    <w:rsid w:val="346638E0"/>
    <w:rsid w:val="346D40E4"/>
    <w:rsid w:val="34C74867"/>
    <w:rsid w:val="34EB5C5E"/>
    <w:rsid w:val="359B0B00"/>
    <w:rsid w:val="35B4113B"/>
    <w:rsid w:val="35BD4856"/>
    <w:rsid w:val="35E46651"/>
    <w:rsid w:val="36247BE6"/>
    <w:rsid w:val="3648449C"/>
    <w:rsid w:val="36A50FB2"/>
    <w:rsid w:val="36B53F86"/>
    <w:rsid w:val="36C83AF0"/>
    <w:rsid w:val="370E441D"/>
    <w:rsid w:val="371177BA"/>
    <w:rsid w:val="37411FAD"/>
    <w:rsid w:val="3758793B"/>
    <w:rsid w:val="375B3CEC"/>
    <w:rsid w:val="37817F08"/>
    <w:rsid w:val="378C0B4F"/>
    <w:rsid w:val="37F91C46"/>
    <w:rsid w:val="38213DE9"/>
    <w:rsid w:val="38606E98"/>
    <w:rsid w:val="386131AA"/>
    <w:rsid w:val="38957D3E"/>
    <w:rsid w:val="38A20223"/>
    <w:rsid w:val="38A37E40"/>
    <w:rsid w:val="38B61E35"/>
    <w:rsid w:val="390D6C13"/>
    <w:rsid w:val="39102ADE"/>
    <w:rsid w:val="393C3E95"/>
    <w:rsid w:val="3A3A5994"/>
    <w:rsid w:val="3A654204"/>
    <w:rsid w:val="3AA86CE8"/>
    <w:rsid w:val="3AAC4911"/>
    <w:rsid w:val="3AB80928"/>
    <w:rsid w:val="3AC6377C"/>
    <w:rsid w:val="3AE375F7"/>
    <w:rsid w:val="3B0E4A88"/>
    <w:rsid w:val="3B3011E4"/>
    <w:rsid w:val="3B6F2528"/>
    <w:rsid w:val="3B7019AF"/>
    <w:rsid w:val="3BA41EB1"/>
    <w:rsid w:val="3BBF5B96"/>
    <w:rsid w:val="3BCD5209"/>
    <w:rsid w:val="3BDC36FC"/>
    <w:rsid w:val="3BF45C42"/>
    <w:rsid w:val="3C2A2068"/>
    <w:rsid w:val="3C9B5BCA"/>
    <w:rsid w:val="3C9C7C85"/>
    <w:rsid w:val="3CCC04A0"/>
    <w:rsid w:val="3D2B6BE7"/>
    <w:rsid w:val="3D433C14"/>
    <w:rsid w:val="3D55462F"/>
    <w:rsid w:val="3D700B61"/>
    <w:rsid w:val="3DAE506F"/>
    <w:rsid w:val="3E0552ED"/>
    <w:rsid w:val="3E0F171F"/>
    <w:rsid w:val="3E14667B"/>
    <w:rsid w:val="3E2E34CF"/>
    <w:rsid w:val="3E35171E"/>
    <w:rsid w:val="3E7F160D"/>
    <w:rsid w:val="3EC87493"/>
    <w:rsid w:val="3F133101"/>
    <w:rsid w:val="3F161C75"/>
    <w:rsid w:val="3FB36AFF"/>
    <w:rsid w:val="3FC21F00"/>
    <w:rsid w:val="40122715"/>
    <w:rsid w:val="40921D2D"/>
    <w:rsid w:val="41202A7F"/>
    <w:rsid w:val="418B6847"/>
    <w:rsid w:val="419E261C"/>
    <w:rsid w:val="41A5138A"/>
    <w:rsid w:val="41C63670"/>
    <w:rsid w:val="429252C6"/>
    <w:rsid w:val="429A719A"/>
    <w:rsid w:val="42B6175D"/>
    <w:rsid w:val="42B82126"/>
    <w:rsid w:val="42FC147E"/>
    <w:rsid w:val="43443F8E"/>
    <w:rsid w:val="43783A67"/>
    <w:rsid w:val="438337C7"/>
    <w:rsid w:val="439E0787"/>
    <w:rsid w:val="43BC23F3"/>
    <w:rsid w:val="43D72623"/>
    <w:rsid w:val="44016674"/>
    <w:rsid w:val="44335486"/>
    <w:rsid w:val="44433F0D"/>
    <w:rsid w:val="452029AE"/>
    <w:rsid w:val="45316114"/>
    <w:rsid w:val="453749EF"/>
    <w:rsid w:val="45561319"/>
    <w:rsid w:val="458873B0"/>
    <w:rsid w:val="45B63A7E"/>
    <w:rsid w:val="45C435BA"/>
    <w:rsid w:val="45CC4F46"/>
    <w:rsid w:val="45FE41D3"/>
    <w:rsid w:val="4613249D"/>
    <w:rsid w:val="461447E4"/>
    <w:rsid w:val="46882128"/>
    <w:rsid w:val="469367E2"/>
    <w:rsid w:val="470E5A41"/>
    <w:rsid w:val="471F7C3C"/>
    <w:rsid w:val="476742D3"/>
    <w:rsid w:val="47714772"/>
    <w:rsid w:val="478C26EF"/>
    <w:rsid w:val="479E7B8A"/>
    <w:rsid w:val="47D168DE"/>
    <w:rsid w:val="480C409B"/>
    <w:rsid w:val="48640CCE"/>
    <w:rsid w:val="48665A41"/>
    <w:rsid w:val="49015B60"/>
    <w:rsid w:val="499E6C57"/>
    <w:rsid w:val="49B83F7E"/>
    <w:rsid w:val="49C37D91"/>
    <w:rsid w:val="49DC5B65"/>
    <w:rsid w:val="4A083129"/>
    <w:rsid w:val="4A0B3D2A"/>
    <w:rsid w:val="4A454E53"/>
    <w:rsid w:val="4A8E0EF7"/>
    <w:rsid w:val="4ADE3670"/>
    <w:rsid w:val="4AF47BE8"/>
    <w:rsid w:val="4B1D7417"/>
    <w:rsid w:val="4B2B62DF"/>
    <w:rsid w:val="4B9D7DBE"/>
    <w:rsid w:val="4BD71658"/>
    <w:rsid w:val="4BDA6737"/>
    <w:rsid w:val="4BE76BCB"/>
    <w:rsid w:val="4C0A663D"/>
    <w:rsid w:val="4C96257D"/>
    <w:rsid w:val="4CA21908"/>
    <w:rsid w:val="4CB01B5D"/>
    <w:rsid w:val="4CEE3893"/>
    <w:rsid w:val="4D312C2E"/>
    <w:rsid w:val="4D3C158C"/>
    <w:rsid w:val="4D870536"/>
    <w:rsid w:val="4D994EDE"/>
    <w:rsid w:val="4DA14869"/>
    <w:rsid w:val="4DBB6E46"/>
    <w:rsid w:val="4DD02DDA"/>
    <w:rsid w:val="4DE6755C"/>
    <w:rsid w:val="4E464341"/>
    <w:rsid w:val="4EAE2995"/>
    <w:rsid w:val="4EB01ADA"/>
    <w:rsid w:val="4EDF0BCB"/>
    <w:rsid w:val="4F2E63CB"/>
    <w:rsid w:val="4FB8672C"/>
    <w:rsid w:val="4FCD3CD3"/>
    <w:rsid w:val="5035112E"/>
    <w:rsid w:val="50713D8D"/>
    <w:rsid w:val="512C1EEF"/>
    <w:rsid w:val="512F14B0"/>
    <w:rsid w:val="51F7580C"/>
    <w:rsid w:val="52267124"/>
    <w:rsid w:val="52350571"/>
    <w:rsid w:val="52484D23"/>
    <w:rsid w:val="526955D0"/>
    <w:rsid w:val="52BC0616"/>
    <w:rsid w:val="533A4754"/>
    <w:rsid w:val="53CA0CA0"/>
    <w:rsid w:val="53D44F78"/>
    <w:rsid w:val="53FD7ECE"/>
    <w:rsid w:val="54216174"/>
    <w:rsid w:val="545A7E39"/>
    <w:rsid w:val="5463135D"/>
    <w:rsid w:val="54A6158D"/>
    <w:rsid w:val="54B0702F"/>
    <w:rsid w:val="54BE21B2"/>
    <w:rsid w:val="54C1475C"/>
    <w:rsid w:val="54F241EB"/>
    <w:rsid w:val="552705DC"/>
    <w:rsid w:val="55BC6BE7"/>
    <w:rsid w:val="55D623BA"/>
    <w:rsid w:val="563A6C30"/>
    <w:rsid w:val="5678232C"/>
    <w:rsid w:val="56D36DDF"/>
    <w:rsid w:val="57235785"/>
    <w:rsid w:val="5777616E"/>
    <w:rsid w:val="57A56FD0"/>
    <w:rsid w:val="57BF006E"/>
    <w:rsid w:val="58213DD4"/>
    <w:rsid w:val="58B83473"/>
    <w:rsid w:val="58C838B7"/>
    <w:rsid w:val="58CC4638"/>
    <w:rsid w:val="597265D0"/>
    <w:rsid w:val="597E46A1"/>
    <w:rsid w:val="59937A0D"/>
    <w:rsid w:val="59FD5DAF"/>
    <w:rsid w:val="5A36360C"/>
    <w:rsid w:val="5A5F6122"/>
    <w:rsid w:val="5AF319E8"/>
    <w:rsid w:val="5B4C3B3F"/>
    <w:rsid w:val="5B9E1C2B"/>
    <w:rsid w:val="5BDA05A7"/>
    <w:rsid w:val="5BE57F51"/>
    <w:rsid w:val="5C6B33D4"/>
    <w:rsid w:val="5C706B8F"/>
    <w:rsid w:val="5C8F2895"/>
    <w:rsid w:val="5C90132E"/>
    <w:rsid w:val="5D0B07E3"/>
    <w:rsid w:val="5D5F72E0"/>
    <w:rsid w:val="5D887E95"/>
    <w:rsid w:val="5D8F7A75"/>
    <w:rsid w:val="5EA467FA"/>
    <w:rsid w:val="5F006E0C"/>
    <w:rsid w:val="5F314A72"/>
    <w:rsid w:val="5F7024A5"/>
    <w:rsid w:val="5F857093"/>
    <w:rsid w:val="5FCC24AC"/>
    <w:rsid w:val="5FDE5390"/>
    <w:rsid w:val="601A10BA"/>
    <w:rsid w:val="60A46CA0"/>
    <w:rsid w:val="60E70CB9"/>
    <w:rsid w:val="6104413C"/>
    <w:rsid w:val="61265BEC"/>
    <w:rsid w:val="614F7059"/>
    <w:rsid w:val="618B027C"/>
    <w:rsid w:val="61A81891"/>
    <w:rsid w:val="627A0FBA"/>
    <w:rsid w:val="62D600F6"/>
    <w:rsid w:val="63324C79"/>
    <w:rsid w:val="63AB5314"/>
    <w:rsid w:val="641A26E5"/>
    <w:rsid w:val="64783763"/>
    <w:rsid w:val="647A63F2"/>
    <w:rsid w:val="64C6690D"/>
    <w:rsid w:val="650F0332"/>
    <w:rsid w:val="65473A80"/>
    <w:rsid w:val="65573688"/>
    <w:rsid w:val="655B062F"/>
    <w:rsid w:val="65660ECA"/>
    <w:rsid w:val="65993603"/>
    <w:rsid w:val="65A42ED0"/>
    <w:rsid w:val="65C63DD5"/>
    <w:rsid w:val="65DF00FF"/>
    <w:rsid w:val="660407FA"/>
    <w:rsid w:val="663D3610"/>
    <w:rsid w:val="667750B8"/>
    <w:rsid w:val="66BB1790"/>
    <w:rsid w:val="66CB7D40"/>
    <w:rsid w:val="67941837"/>
    <w:rsid w:val="67B13EAA"/>
    <w:rsid w:val="685A2E42"/>
    <w:rsid w:val="686B4DAA"/>
    <w:rsid w:val="68960E68"/>
    <w:rsid w:val="68A87E6F"/>
    <w:rsid w:val="68AC1718"/>
    <w:rsid w:val="69413CEA"/>
    <w:rsid w:val="69B10D08"/>
    <w:rsid w:val="69CD1003"/>
    <w:rsid w:val="69E302E0"/>
    <w:rsid w:val="6A0B1A71"/>
    <w:rsid w:val="6A2320A3"/>
    <w:rsid w:val="6A265ED8"/>
    <w:rsid w:val="6A28732B"/>
    <w:rsid w:val="6A6747C8"/>
    <w:rsid w:val="6A6D70B4"/>
    <w:rsid w:val="6AB12062"/>
    <w:rsid w:val="6AB309E9"/>
    <w:rsid w:val="6ABF1E03"/>
    <w:rsid w:val="6AEB1671"/>
    <w:rsid w:val="6AEF704E"/>
    <w:rsid w:val="6B083D7D"/>
    <w:rsid w:val="6B6A1575"/>
    <w:rsid w:val="6B6A334A"/>
    <w:rsid w:val="6B740080"/>
    <w:rsid w:val="6BA83787"/>
    <w:rsid w:val="6BFB3365"/>
    <w:rsid w:val="6C02535B"/>
    <w:rsid w:val="6C2246DA"/>
    <w:rsid w:val="6C2C7C79"/>
    <w:rsid w:val="6C346147"/>
    <w:rsid w:val="6C3C42C0"/>
    <w:rsid w:val="6C6A2D3D"/>
    <w:rsid w:val="6CE32D1C"/>
    <w:rsid w:val="6D0F2426"/>
    <w:rsid w:val="6D201CBC"/>
    <w:rsid w:val="6D511EC4"/>
    <w:rsid w:val="6D5910F7"/>
    <w:rsid w:val="6D5E3406"/>
    <w:rsid w:val="6D910BD9"/>
    <w:rsid w:val="6DF40E20"/>
    <w:rsid w:val="6E184573"/>
    <w:rsid w:val="6E334485"/>
    <w:rsid w:val="6E3B40D5"/>
    <w:rsid w:val="6E4528A1"/>
    <w:rsid w:val="6E554358"/>
    <w:rsid w:val="6E755409"/>
    <w:rsid w:val="6E961F7F"/>
    <w:rsid w:val="6EA44896"/>
    <w:rsid w:val="6F5B3DBE"/>
    <w:rsid w:val="6F99651C"/>
    <w:rsid w:val="6FA71B6A"/>
    <w:rsid w:val="6FB604E3"/>
    <w:rsid w:val="6FB83BE3"/>
    <w:rsid w:val="700421B8"/>
    <w:rsid w:val="700945F7"/>
    <w:rsid w:val="700A6F75"/>
    <w:rsid w:val="704775DD"/>
    <w:rsid w:val="707C3C00"/>
    <w:rsid w:val="70E52E33"/>
    <w:rsid w:val="71653574"/>
    <w:rsid w:val="71767544"/>
    <w:rsid w:val="717E6E53"/>
    <w:rsid w:val="71874A5E"/>
    <w:rsid w:val="71AD6A75"/>
    <w:rsid w:val="71F55938"/>
    <w:rsid w:val="722C583C"/>
    <w:rsid w:val="72677E12"/>
    <w:rsid w:val="727716BA"/>
    <w:rsid w:val="727F33AE"/>
    <w:rsid w:val="72AE77EF"/>
    <w:rsid w:val="72D06842"/>
    <w:rsid w:val="740B73E9"/>
    <w:rsid w:val="74352F8C"/>
    <w:rsid w:val="745B581F"/>
    <w:rsid w:val="745D2AE8"/>
    <w:rsid w:val="74823F2A"/>
    <w:rsid w:val="74E52C9C"/>
    <w:rsid w:val="74E62035"/>
    <w:rsid w:val="74F74419"/>
    <w:rsid w:val="74FA1DBE"/>
    <w:rsid w:val="75196591"/>
    <w:rsid w:val="75B205DA"/>
    <w:rsid w:val="75D91F1C"/>
    <w:rsid w:val="75FE6944"/>
    <w:rsid w:val="76157384"/>
    <w:rsid w:val="76323C6B"/>
    <w:rsid w:val="76442E42"/>
    <w:rsid w:val="764A0060"/>
    <w:rsid w:val="76890D35"/>
    <w:rsid w:val="76B07DE9"/>
    <w:rsid w:val="77346557"/>
    <w:rsid w:val="774B3B96"/>
    <w:rsid w:val="77694495"/>
    <w:rsid w:val="77A22AD1"/>
    <w:rsid w:val="77AC60C5"/>
    <w:rsid w:val="77BB7A65"/>
    <w:rsid w:val="77F20752"/>
    <w:rsid w:val="786A41B8"/>
    <w:rsid w:val="78BB101F"/>
    <w:rsid w:val="78DA7DEC"/>
    <w:rsid w:val="78EE54A9"/>
    <w:rsid w:val="79135453"/>
    <w:rsid w:val="795D3DED"/>
    <w:rsid w:val="79722BBD"/>
    <w:rsid w:val="797A1C83"/>
    <w:rsid w:val="79A00398"/>
    <w:rsid w:val="79A05E1A"/>
    <w:rsid w:val="79C11BD2"/>
    <w:rsid w:val="79D27310"/>
    <w:rsid w:val="79F30732"/>
    <w:rsid w:val="7A512A56"/>
    <w:rsid w:val="7A6067C3"/>
    <w:rsid w:val="7AB350F5"/>
    <w:rsid w:val="7B1D753B"/>
    <w:rsid w:val="7B505574"/>
    <w:rsid w:val="7B8E4103"/>
    <w:rsid w:val="7BAF2278"/>
    <w:rsid w:val="7D106F72"/>
    <w:rsid w:val="7D236DC3"/>
    <w:rsid w:val="7D6F2ABD"/>
    <w:rsid w:val="7D796F24"/>
    <w:rsid w:val="7DA86D33"/>
    <w:rsid w:val="7DB85DA7"/>
    <w:rsid w:val="7DEF3EAB"/>
    <w:rsid w:val="7DF27B3C"/>
    <w:rsid w:val="7DFE7D62"/>
    <w:rsid w:val="7E056E86"/>
    <w:rsid w:val="7E1D7C91"/>
    <w:rsid w:val="7EF94FA3"/>
    <w:rsid w:val="7F06276F"/>
    <w:rsid w:val="7F166E48"/>
    <w:rsid w:val="7F61670F"/>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AD39DE2"/>
  <w15:docId w15:val="{7A6847A8-2421-4679-9A51-8E0BA6C1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GB" w:eastAsia="en-GB"/>
    </w:rPr>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44546A" w:themeColor="text2"/>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240" w:line="240" w:lineRule="auto"/>
    </w:pPr>
    <w:rPr>
      <w:rFonts w:asciiTheme="majorHAnsi" w:eastAsiaTheme="majorEastAsia" w:hAnsiTheme="majorHAnsi" w:cstheme="majorBidi"/>
      <w:color w:val="5B9BD5" w:themeColor="accent1"/>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E74B5" w:themeColor="accent1" w:themeShade="BF"/>
      <w:sz w:val="28"/>
      <w:szCs w:val="28"/>
    </w:rPr>
  </w:style>
  <w:style w:type="paragraph" w:customStyle="1" w:styleId="c-article-author-listitem">
    <w:name w:val="c-article-author-list__item"/>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metrics-barcount">
    <w:name w:val="c-article-metrics-bar__coun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qFormat/>
  </w:style>
  <w:style w:type="paragraph" w:customStyle="1" w:styleId="c-article-metrics-bardetails">
    <w:name w:val="c-article-metrics-bar__details"/>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qFormat/>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title-text">
    <w:name w:val="title-text"/>
    <w:basedOn w:val="DefaultParagraphFont"/>
    <w:qFormat/>
  </w:style>
  <w:style w:type="paragraph" w:customStyle="1" w:styleId="Default">
    <w:name w:val="Default"/>
    <w:qFormat/>
    <w:pPr>
      <w:autoSpaceDE w:val="0"/>
      <w:autoSpaceDN w:val="0"/>
      <w:adjustRightInd w:val="0"/>
      <w:spacing w:after="160" w:line="259" w:lineRule="auto"/>
    </w:pPr>
    <w:rPr>
      <w:rFonts w:ascii="Charis SIL" w:hAnsi="Charis SIL" w:cs="Charis SIL"/>
      <w:color w:val="000000"/>
      <w:sz w:val="24"/>
      <w:szCs w:val="24"/>
      <w:lang w:val="en-US" w:eastAsia="en-US"/>
    </w:rPr>
  </w:style>
  <w:style w:type="character" w:customStyle="1" w:styleId="authors">
    <w:name w:val="authors"/>
    <w:basedOn w:val="DefaultParagraphFont"/>
    <w:qFormat/>
  </w:style>
  <w:style w:type="character" w:customStyle="1" w:styleId="Date1">
    <w:name w:val="Date1"/>
    <w:basedOn w:val="DefaultParagraphFont"/>
    <w:qFormat/>
  </w:style>
  <w:style w:type="character" w:customStyle="1" w:styleId="arttitle">
    <w:name w:val="art_title"/>
    <w:basedOn w:val="DefaultParagraphFont"/>
    <w:qFormat/>
  </w:style>
  <w:style w:type="character" w:customStyle="1" w:styleId="serialtitle">
    <w:name w:val="serial_title"/>
    <w:basedOn w:val="DefaultParagraphFont"/>
    <w:qFormat/>
  </w:style>
  <w:style w:type="character" w:customStyle="1" w:styleId="volumeissue">
    <w:name w:val="volume_issue"/>
    <w:basedOn w:val="DefaultParagraphFont"/>
    <w:qFormat/>
  </w:style>
  <w:style w:type="character" w:customStyle="1" w:styleId="pagerange">
    <w:name w:val="page_range"/>
    <w:basedOn w:val="DefaultParagraphFont"/>
    <w:qFormat/>
  </w:style>
  <w:style w:type="character" w:customStyle="1" w:styleId="doilink">
    <w:name w:val="doi_link"/>
    <w:basedOn w:val="DefaultParagraphFont"/>
    <w:qFormat/>
  </w:style>
  <w:style w:type="paragraph" w:styleId="NoSpacing">
    <w:name w:val="No Spacing"/>
    <w:uiPriority w:val="1"/>
    <w:qFormat/>
    <w:rPr>
      <w:sz w:val="22"/>
      <w:szCs w:val="22"/>
      <w:lang w:val="en-GB" w:eastAsia="en-GB"/>
    </w:rPr>
  </w:style>
  <w:style w:type="character" w:customStyle="1" w:styleId="markedcontent">
    <w:name w:val="markedcontent"/>
    <w:basedOn w:val="DefaultParagraphFont"/>
    <w:qFormat/>
  </w:style>
  <w:style w:type="table" w:customStyle="1" w:styleId="TableGrid0">
    <w:name w:val="TableGrid"/>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1F4E79" w:themeColor="accent1" w:themeShade="80"/>
    </w:rPr>
  </w:style>
  <w:style w:type="character" w:customStyle="1" w:styleId="TitleChar">
    <w:name w:val="Title Char"/>
    <w:basedOn w:val="DefaultParagraphFont"/>
    <w:link w:val="Title"/>
    <w:uiPriority w:val="10"/>
    <w:qFormat/>
    <w:rPr>
      <w:rFonts w:asciiTheme="majorHAnsi" w:eastAsiaTheme="majorEastAsia" w:hAnsiTheme="majorHAnsi" w:cstheme="majorBidi"/>
      <w:caps/>
      <w:color w:val="44546A" w:themeColor="text2"/>
      <w:spacing w:val="-15"/>
      <w:sz w:val="72"/>
      <w:szCs w:val="7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pPr>
      <w:spacing w:before="120" w:after="120"/>
      <w:ind w:left="720"/>
    </w:pPr>
    <w:rPr>
      <w:color w:val="44546A" w:themeColor="text2"/>
      <w:sz w:val="24"/>
      <w:szCs w:val="24"/>
    </w:rPr>
  </w:style>
  <w:style w:type="character" w:customStyle="1" w:styleId="QuoteChar">
    <w:name w:val="Quote Char"/>
    <w:basedOn w:val="DefaultParagraphFont"/>
    <w:link w:val="Quote"/>
    <w:uiPriority w:val="29"/>
    <w:qFormat/>
    <w:rPr>
      <w:color w:val="44546A" w:themeColor="text2"/>
      <w:sz w:val="24"/>
      <w:szCs w:val="24"/>
    </w:rPr>
  </w:style>
  <w:style w:type="character" w:customStyle="1" w:styleId="IntenseEmphasis1">
    <w:name w:val="Intense Emphasis1"/>
    <w:basedOn w:val="DefaultParagraphFont"/>
    <w:uiPriority w:val="21"/>
    <w:qFormat/>
    <w:rPr>
      <w:i/>
      <w:iCs/>
      <w:color w:val="2E74B5" w:themeColor="accent1" w:themeShade="BF"/>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44546A" w:themeColor="text2"/>
      <w:spacing w:val="-6"/>
      <w:sz w:val="32"/>
      <w:szCs w:val="32"/>
    </w:rPr>
  </w:style>
  <w:style w:type="character" w:customStyle="1" w:styleId="IntenseReference1">
    <w:name w:val="Intense Reference1"/>
    <w:basedOn w:val="DefaultParagraphFont"/>
    <w:uiPriority w:val="32"/>
    <w:qFormat/>
    <w:rPr>
      <w:b/>
      <w:bCs/>
      <w:smallCaps/>
      <w:color w:val="2E74B5" w:themeColor="accent1" w:themeShade="BF"/>
      <w:spacing w:val="5"/>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zh-CN" w:eastAsia="zh-CN"/>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lang w:val="zh-CN" w:eastAsia="zh-CN"/>
    </w:rPr>
  </w:style>
  <w:style w:type="paragraph" w:customStyle="1" w:styleId="z-BottomofForm1">
    <w:name w:val="z-Bottom of Form1"/>
    <w:basedOn w:val="Normal"/>
    <w:next w:val="Normal"/>
    <w:link w:val="z-BottomofFormCh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zh-CN" w:eastAsia="zh-CN"/>
    </w:rPr>
  </w:style>
  <w:style w:type="character" w:customStyle="1" w:styleId="z-BottomofFormChar">
    <w:name w:val="z-Bottom of Form Char"/>
    <w:basedOn w:val="DefaultParagraphFont"/>
    <w:link w:val="z-BottomofForm1"/>
    <w:uiPriority w:val="99"/>
    <w:semiHidden/>
    <w:qFormat/>
    <w:rPr>
      <w:rFonts w:ascii="Arial" w:eastAsia="Times New Roman" w:hAnsi="Arial" w:cs="Arial"/>
      <w:vanish/>
      <w:sz w:val="16"/>
      <w:szCs w:val="16"/>
      <w:lang w:val="zh-CN"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SubtleEmphasis1">
    <w:name w:val="Subtle Emphasis1"/>
    <w:basedOn w:val="DefaultParagraphFont"/>
    <w:uiPriority w:val="19"/>
    <w:qFormat/>
    <w:rPr>
      <w:i/>
      <w:iCs/>
      <w:color w:val="595959" w:themeColor="text1" w:themeTint="A6"/>
    </w:rPr>
  </w:style>
  <w:style w:type="character" w:customStyle="1" w:styleId="IntenseEmphasis2">
    <w:name w:val="Intense Emphasis2"/>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u w:val="none" w:color="7F7F7F" w:themeColor="text1" w:themeTint="80"/>
    </w:rPr>
  </w:style>
  <w:style w:type="character" w:customStyle="1" w:styleId="IntenseReference2">
    <w:name w:val="Intense Reference2"/>
    <w:basedOn w:val="DefaultParagraphFont"/>
    <w:uiPriority w:val="32"/>
    <w:qFormat/>
    <w:rPr>
      <w:b/>
      <w:bCs/>
      <w:smallCaps/>
      <w:color w:val="44546A" w:themeColor="text2"/>
      <w:u w:val="single"/>
    </w:rPr>
  </w:style>
  <w:style w:type="character" w:customStyle="1" w:styleId="BookTitle1">
    <w:name w:val="Book Title1"/>
    <w:basedOn w:val="DefaultParagraphFont"/>
    <w:uiPriority w:val="33"/>
    <w:qFormat/>
    <w:rPr>
      <w:b/>
      <w:bCs/>
      <w:smallCaps/>
      <w:spacing w:val="10"/>
    </w:rPr>
  </w:style>
  <w:style w:type="paragraph" w:customStyle="1" w:styleId="TOCHeading1">
    <w:name w:val="TOC Heading1"/>
    <w:basedOn w:val="Heading1"/>
    <w:next w:val="Normal"/>
    <w:uiPriority w:val="39"/>
    <w:semiHidden/>
    <w:unhideWhenUsed/>
    <w:qFormat/>
    <w:pPr>
      <w:outlineLvl w:val="9"/>
    </w:pPr>
  </w:style>
  <w:style w:type="table" w:customStyle="1" w:styleId="GridTable31">
    <w:name w:val="Grid Table 31"/>
    <w:basedOn w:val="TableNormal"/>
    <w:uiPriority w:val="48"/>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1706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HP\Desktop\Peoples%20Manuscripts\%09https:\www.ajol.info\index.php\tjs\article\view\201129" TargetMode="External"/><Relationship Id="rId18" Type="http://schemas.openxmlformats.org/officeDocument/2006/relationships/hyperlink" Target="https://doi.org/10.1016/j.ceja.2022.100284" TargetMode="External"/><Relationship Id="rId26" Type="http://schemas.openxmlformats.org/officeDocument/2006/relationships/hyperlink" Target="http://www.ajol.info/index.php/tjs/article/view/201126" TargetMode="External"/><Relationship Id="rId39" Type="http://schemas.openxmlformats.org/officeDocument/2006/relationships/footer" Target="footer2.xml"/><Relationship Id="rId21" Type="http://schemas.openxmlformats.org/officeDocument/2006/relationships/hyperlink" Target="https://doi.org/10.1016/j.heliyon.2019.e01621" TargetMode="External"/><Relationship Id="rId34" Type="http://schemas.openxmlformats.org/officeDocument/2006/relationships/hyperlink" Target="https://doi.org/10.1016/j.fuel.2020.11766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dfs.semanticscholar.org/5735/c9af550efa03e4f13bc8e9f83186d3e3df87.pdf" TargetMode="External"/><Relationship Id="rId20" Type="http://schemas.openxmlformats.org/officeDocument/2006/relationships/hyperlink" Target="https://doi.org/10.1016/j.heliyon.2019.e01621" TargetMode="External"/><Relationship Id="rId29" Type="http://schemas.openxmlformats.org/officeDocument/2006/relationships/hyperlink" Target="https://doi.org/10.1016/j.enconman.2007.05.002"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kprress.org/index.php/JACSI/article/view/3944" TargetMode="External"/><Relationship Id="rId32" Type="http://schemas.openxmlformats.org/officeDocument/2006/relationships/hyperlink" Target="https://doi.org/10.1088/1755-%091315/1187/1/012018"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dfs.semanticscholar.org/5735/c9af550efa03e4f13bc8e9f83186d3e3df87.pdf" TargetMode="External"/><Relationship Id="rId23" Type="http://schemas.openxmlformats.org/officeDocument/2006/relationships/hyperlink" Target="http://www.ikprress.org/index.php/JACSI/article/view/3944" TargetMode="External"/><Relationship Id="rId28" Type="http://schemas.openxmlformats.org/officeDocument/2006/relationships/hyperlink" Target="https://doi.org/10.1007/s43153-020-00027-9"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3390/en12234408" TargetMode="External"/><Relationship Id="rId31" Type="http://schemas.openxmlformats.org/officeDocument/2006/relationships/hyperlink" Target="https://doi.org/10.1016/J.FUEL.2018.12.1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86/s42825-021-00053-4" TargetMode="External"/><Relationship Id="rId22" Type="http://schemas.openxmlformats.org/officeDocument/2006/relationships/hyperlink" Target="https://doi.org/10.5772/intechopen.73304" TargetMode="External"/><Relationship Id="rId27" Type="http://schemas.openxmlformats.org/officeDocument/2006/relationships/hyperlink" Target="http://www.ajol.info/index.php/tjs/article/view/201126" TargetMode="External"/><Relationship Id="rId30" Type="http://schemas.openxmlformats.org/officeDocument/2006/relationships/hyperlink" Target="https://doi.org/10.3390/en11061522" TargetMode="External"/><Relationship Id="rId35" Type="http://schemas.openxmlformats.org/officeDocument/2006/relationships/hyperlink" Target="https://doi.org/10.1016/j.apenergy.2020.116134"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07/978-981-16-4509-9_5" TargetMode="External"/><Relationship Id="rId25" Type="http://schemas.openxmlformats.org/officeDocument/2006/relationships/hyperlink" Target="https://doi.org/10.1007/s42250-022-00536-9" TargetMode="External"/><Relationship Id="rId33" Type="http://schemas.openxmlformats.org/officeDocument/2006/relationships/hyperlink" Target="https://doi.org/10.1002/htj.22849"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21</Pages>
  <Words>6835</Words>
  <Characters>38961</Characters>
  <Application>Microsoft Office Word</Application>
  <DocSecurity>0</DocSecurity>
  <Lines>324</Lines>
  <Paragraphs>91</Paragraphs>
  <ScaleCrop>false</ScaleCrop>
  <Company/>
  <LinksUpToDate>false</LinksUpToDate>
  <CharactersWithSpaces>45705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PC New 16</cp:lastModifiedBy>
  <cp:revision>43</cp:revision>
  <dcterms:created xsi:type="dcterms:W3CDTF">2024-04-29T18:05:00Z</dcterms:created>
  <dcterms:modified xsi:type="dcterms:W3CDTF">2026-04-13T07:18:00Z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1033-12.1.0.25830</vt:lpwstr>
  </property>
  <property fmtid="{D5CDD505-2E9C-101B-9397-08002B2CF9AE}" pid="3" name="ICV">
    <vt:lpwstr>07BB7C6DAF25489E8F50D92C498AD6FB_13</vt:lpwstr>
  </property>
  <property fmtid="{D5CDD505-2E9C-101B-9397-08002B2CF9AE}" pid="4" name="KSOTemplateDocerSaveRecord">
    <vt:lpwstr>eyJoZGlkIjoiYmU4NmFmZTJkZjc5MTJkNzViMTI5Y2YyNWRkMzhlZDQiLCJ1c2VySWQiOiIyNzY2MjM2OTg1MTcwIn0=</vt:lpwstr>
  </property>
</Properties>
</file>