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DCDE" w14:textId="050D5E08" w:rsidR="00D53954" w:rsidRDefault="00D53954" w:rsidP="00D53954">
      <w:pPr>
        <w:spacing w:after="0" w:line="240" w:lineRule="auto"/>
        <w:jc w:val="center"/>
        <w:rPr>
          <w:rFonts w:ascii="Times New Roman" w:eastAsia="Times New Roman" w:hAnsi="Times New Roman" w:cs="Times New Roman"/>
          <w:b/>
          <w:bCs/>
          <w:color w:val="1F1F1F"/>
          <w:kern w:val="0"/>
          <w:sz w:val="32"/>
          <w:szCs w:val="32"/>
          <w:bdr w:val="none" w:sz="0" w:space="0" w:color="auto" w:frame="1"/>
          <w:lang w:eastAsia="en-IN" w:bidi="hi-IN"/>
          <w14:ligatures w14:val="none"/>
        </w:rPr>
      </w:pPr>
      <w:r w:rsidRPr="00D53954">
        <w:rPr>
          <w:rFonts w:ascii="Times New Roman" w:eastAsia="Times New Roman" w:hAnsi="Times New Roman" w:cs="Times New Roman"/>
          <w:b/>
          <w:bCs/>
          <w:color w:val="1F1F1F"/>
          <w:kern w:val="0"/>
          <w:sz w:val="32"/>
          <w:szCs w:val="32"/>
          <w:bdr w:val="none" w:sz="0" w:space="0" w:color="auto" w:frame="1"/>
          <w:lang w:eastAsia="en-IN" w:bidi="hi-IN"/>
          <w14:ligatures w14:val="none"/>
        </w:rPr>
        <w:t>QR Code–Based Digital Extension for Next-Generation Agri-Extension</w:t>
      </w:r>
    </w:p>
    <w:p w14:paraId="6B5DD2BB" w14:textId="77777777" w:rsidR="000A2C67" w:rsidRPr="00D53954" w:rsidRDefault="000A2C67" w:rsidP="00D53954">
      <w:pPr>
        <w:spacing w:after="0" w:line="240" w:lineRule="auto"/>
        <w:jc w:val="center"/>
        <w:rPr>
          <w:rFonts w:ascii="Times New Roman" w:eastAsia="Times New Roman" w:hAnsi="Times New Roman" w:cs="Times New Roman"/>
          <w:color w:val="1F1F1F"/>
          <w:kern w:val="0"/>
          <w:sz w:val="32"/>
          <w:szCs w:val="32"/>
          <w:lang w:eastAsia="en-IN" w:bidi="hi-IN"/>
          <w14:ligatures w14:val="none"/>
        </w:rPr>
      </w:pPr>
    </w:p>
    <w:p w14:paraId="4D748D30" w14:textId="77777777" w:rsidR="000A2C67" w:rsidRDefault="000A2C67" w:rsidP="00D53954">
      <w:pPr>
        <w:spacing w:after="0" w:line="240" w:lineRule="auto"/>
        <w:jc w:val="center"/>
        <w:rPr>
          <w:rFonts w:ascii="Times New Roman" w:eastAsia="Times New Roman" w:hAnsi="Times New Roman" w:cs="Times New Roman"/>
          <w:i/>
          <w:iCs/>
          <w:color w:val="1F1F1F"/>
          <w:kern w:val="0"/>
          <w:sz w:val="24"/>
          <w:szCs w:val="24"/>
          <w:lang w:eastAsia="en-IN" w:bidi="hi-IN"/>
          <w14:ligatures w14:val="none"/>
        </w:rPr>
      </w:pPr>
    </w:p>
    <w:p w14:paraId="43BBA4B1" w14:textId="77777777" w:rsidR="005D42F5" w:rsidRPr="00D53954" w:rsidRDefault="005D42F5" w:rsidP="00D53954">
      <w:pPr>
        <w:spacing w:after="0" w:line="240" w:lineRule="auto"/>
        <w:jc w:val="center"/>
        <w:rPr>
          <w:rFonts w:ascii="Times New Roman" w:eastAsia="Times New Roman" w:hAnsi="Times New Roman" w:cs="Times New Roman"/>
          <w:i/>
          <w:iCs/>
          <w:color w:val="1F1F1F"/>
          <w:kern w:val="0"/>
          <w:sz w:val="24"/>
          <w:szCs w:val="24"/>
          <w:lang w:eastAsia="en-IN" w:bidi="hi-IN"/>
          <w14:ligatures w14:val="none"/>
        </w:rPr>
      </w:pPr>
    </w:p>
    <w:p w14:paraId="5BBF048C"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ABSTRACT</w:t>
      </w:r>
    </w:p>
    <w:p w14:paraId="7E322035"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4A1E682B"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rapid evolution and deep penetration of digital technologies in the agricultural sector have created unprecedented opportunities for effective knowledge dissemination, particularly among small and marginal farmers who are often bypassed by traditional extension channels. Krishi Vigyan Kendra (KVK), Akola implemented an innovative QR code–based digital extension initiative to provide paperless, real-time, and demand-driven access to vital agricultural information. The initiative offered access to more than 164 agriculture-related topics meticulously categorized across six thematic domains: traditional cropping systems, plant protection, horticulture, veterinary science, home science, and modern agriculture. These QR codes were strategically deployed at high-footfall locations such as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shops, across the KVK campus, on physical training materials, and through a master QR code distributed among trainees and programme participants. To empirically assess the effectiveness of this intervention, an ex-post facto field study involving 120 farmers exposed to the QR code–based digital extension was conducted. The demographic profile revealed that the majority of respondents were small and marginal farmers, displaying high levels of smartphone ownership and moderate to high digital literacy. The findings revealed highly encouraging awareness levels and regular, sustained utilization of QR code–based services. Information access scores indicated a high perceived usefulness of the technology, and the knowledge gain following exposure to the QR code–based information was statistically highly significant (t = 18.62, p &lt; 0.01). Furthermore, the adoption of recommended practices ranged from moderate to high, and overall user satisfaction with the system was exceptionally strong. The computed Digital Extension Effectiveness Index (DEEI) showed that more than half of the respondents experienced a high level of extension effectiveness. Correlation analysis revealed strong, positive, and significant relationships between DEEI and independent variables such as digital literacy, information access, frequency of QR code usage, and overall user satisfaction. The study empirically demonstrated that simple, low-cost intelligent technologies such as QR codes can significantly enhance extension effectiveness, accelerate knowledge dissemination, and positively influence adoption behaviour. Ultimately, the QR code–based digital extension model has emerged as a scalable, environmentally sustainable (paperless), and highly inclusive approach for strengthening next-generation agricultural extension systems in developing nations.</w:t>
      </w:r>
    </w:p>
    <w:p w14:paraId="0B8F1663"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Keywords: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Digital extension, QR code, paperless advisory, KVK, next-generation agriculture, technology adoption, DEEI.</w:t>
      </w:r>
    </w:p>
    <w:p w14:paraId="0B5A8280" w14:textId="640A86BD"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2A4D1443"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1. INTRODUCTION</w:t>
      </w:r>
    </w:p>
    <w:p w14:paraId="6579FC5F"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A0F04CF"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1.1. The Evolving Landscape of Agricultural Extension</w:t>
      </w:r>
    </w:p>
    <w:p w14:paraId="5D387B6C" w14:textId="16FAD94B"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Agricultural extension has historically played a pivotal role in driving agrarian transformations, enhancing farmers’ technical knowledge, promoting the adoption of improved technologies, and building robust decision-making capacities among rural communities</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Abhijeet</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et al., 2023; </w:t>
      </w:r>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Mbatha, 2024</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 transfer of technology from research laboratories to farmers' fields is the cornerstone of achieving global food security and improving rural livelihoods. However,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conventional extension approaches</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which heavily rely on the distribution of printed literature, resource-intensive physical farm visits, and periodic, localized training programmes</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have increasingly faced severe limitations. These traditional methods are often constrained by limited geographical reach, a lack of continuous engagement, delayed timeliness of information delivery, and prohibitive operational costs, particularly when attempting to serve a vast, dispersed population of small and marginal farmers</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Becerra-</w:t>
      </w:r>
      <w:proofErr w:type="spellStart"/>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Encinales</w:t>
      </w:r>
      <w:proofErr w:type="spellEnd"/>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et al., 2024</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proofErr w:type="spellStart"/>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Ojo</w:t>
      </w:r>
      <w:proofErr w:type="spellEnd"/>
      <w:r w:rsidR="0057170B"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et al., 2024</w:t>
      </w:r>
      <w:r w:rsidR="0057170B">
        <w:rPr>
          <w:rFonts w:ascii="Times New Roman" w:eastAsia="Times New Roman" w:hAnsi="Times New Roman" w:cs="Times New Roman"/>
          <w:color w:val="1F1F1F"/>
          <w:kern w:val="0"/>
          <w:sz w:val="24"/>
          <w:szCs w:val="24"/>
          <w:bdr w:val="none" w:sz="0" w:space="0" w:color="auto" w:frame="1"/>
          <w:lang w:eastAsia="en-IN" w:bidi="hi-IN"/>
          <w14:ligatures w14:val="none"/>
        </w:rPr>
        <w:t>)</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Furthermore, the increasing complexity of modern farming systems, coupled with climate-related uncertainties, fluctuating market dynamics, and the emergence of novel pests and diseases, has intensified the critical demand for rapid, reliable, and highly contextuali</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ed advisory services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(Swanson &amp; </w:t>
      </w:r>
      <w:proofErr w:type="spellStart"/>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Rajalahti</w:t>
      </w:r>
      <w:proofErr w:type="spellEnd"/>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2010; Davis et al., 2012).</w:t>
      </w:r>
    </w:p>
    <w:p w14:paraId="7B12ECBC"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AE3D29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1.2. The Digital Transformation in Agriculture</w:t>
      </w:r>
    </w:p>
    <w:p w14:paraId="711314CA" w14:textId="23C6C5D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overcome the inherent bottlenecks of conventional extension, the integration of Information and Communication Technologies (ICTs) has become a global imperative. Advances in ICTs have fundamentally transformed agricultural extension systems, shifting them from top-down, prescriptive models into more inclusive, interactive, and farmer-centric knowledge networks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(Meera et al., 2004).</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 the Indian context, the rapid penetration of affordable smartphones and the widespread availability of low-cost mobile internet networks in rural areas have created a highly favourable macro-environment for deploying sophisticated digital extension interventions. This digital readiness is no longer restricted to large-scale, affluent farmers; it has permeated deeply into smallholder farming communities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(Mittal &amp; Mehar, 2016).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Nevertheless, despite the proliferation of digital tools, many existing platforms have required users to download speciali</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ed applications, consume high amounts of mobile data, or maintain continuous digital engagement, which have collectively limited their effectiveness and adoption rates at the grassroots level.</w:t>
      </w:r>
    </w:p>
    <w:p w14:paraId="5BD99DE7"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04118817"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1.3. The Advent of QR Code Technology in Extension</w:t>
      </w:r>
    </w:p>
    <w:p w14:paraId="2F9E93D4" w14:textId="5B9E94EB"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Amidst the array of digital tools, Quick Response (QR) code technology has emerged as a highly disruptive, simple, and low-cost solution. Originally developed for automotive supply chain tracking, the 2D matrix barcode has evolved into a universally compatible digital tool that enables instant, frictionless access to online multimedia content through standard smartphone cameras, entirely circumventing the need for dedicated, memory-heavy applications. QR codes have demonstrated immense potential in bridging the spatial and temporal gaps between physical extension systems and dynamic digital knowledge repositories by providing "point-of-need" access to validated, scientific information exactly when the farmer requires it</w:t>
      </w:r>
      <w:r w:rsidR="000A2C67" w:rsidRPr="000A2C67">
        <w:rPr>
          <w:rFonts w:cs="Mangal"/>
          <w:kern w:val="0"/>
          <w:szCs w:val="20"/>
          <w:lang w:bidi="mr-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(Saravanan, 2010).</w:t>
      </w:r>
    </w:p>
    <w:p w14:paraId="70252C2A"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199EBB4"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1.4. Rationale and Objectives of the Study</w:t>
      </w:r>
    </w:p>
    <w:p w14:paraId="38F4415E" w14:textId="78568099"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Recognizing this immense potential to revolutionize knowledge delivery, Krishi Vigyan Kendra (KVK), Akola</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 conceptualis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ed and implemented an innovative QR code–based digital extension initiative. This initiative was designed to systematically promote a paperless, demand-driven, and self-learning agricultural advisory service model. While the deployment of the technology was successful, empirical evidence quantifying its actual impact on the end-users was required to validate the model's efficacy. Therefore, the present study was systematically undertaken to evaluate the overall effectiveness of QR code–based digital extension in improving awareness, facilitating information access, driving knowledge gain, influencing adoption behaviour, and determining the overarching extension effectiveness among farmers, with a special and deliberate focus on small and marginal landholders</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CD3364" w:rsidRPr="00CD3364">
        <w:rPr>
          <w:rFonts w:ascii="Times New Roman" w:eastAsia="Times New Roman" w:hAnsi="Times New Roman" w:cs="Times New Roman"/>
          <w:color w:val="1F1F1F"/>
          <w:kern w:val="0"/>
          <w:sz w:val="24"/>
          <w:szCs w:val="24"/>
          <w:lang w:eastAsia="en-IN" w:bidi="hi-IN"/>
          <w14:ligatures w14:val="none"/>
        </w:rPr>
        <w:t>EST &amp; Sylvester, 2017)</w:t>
      </w:r>
    </w:p>
    <w:p w14:paraId="0D7C790F" w14:textId="4D8E28FC"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7B3CF9FB"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lastRenderedPageBreak/>
        <w:t>2. METHODOLOGY</w:t>
      </w:r>
    </w:p>
    <w:p w14:paraId="0F04F134"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D4F019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2.1. Research Design and Study Area</w:t>
      </w:r>
    </w:p>
    <w:p w14:paraId="0AFD4EAF" w14:textId="6E52776D"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systematically assess the impact of the deployed technological intervention, an ex-post facto research design was rigorously adopted. This design is scientifically appropriate as the independent variable (the introduction and exposure to the QR code-based extension system) had already occurred, and the researchers were investigating its subsequent impact on the dependent variables (knowledge gain, adoption, and satisfaction) without manipulating the environment. The study was purposefully conducted in the operational area of Krishi Vigyan Kendra, Akola, Maharashtra, covering specific rural villages where the QR code–based digital extension interventions had been actively implemented and actively promoted among the farming community</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proofErr w:type="spellStart"/>
      <w:r w:rsidR="00CD3364" w:rsidRPr="00CD3364">
        <w:rPr>
          <w:rFonts w:ascii="Times New Roman" w:eastAsia="Times New Roman" w:hAnsi="Times New Roman" w:cs="Times New Roman"/>
          <w:color w:val="1F1F1F"/>
          <w:kern w:val="0"/>
          <w:sz w:val="24"/>
          <w:szCs w:val="24"/>
          <w:lang w:eastAsia="en-IN" w:bidi="hi-IN"/>
          <w14:ligatures w14:val="none"/>
        </w:rPr>
        <w:t>Mageshwaran</w:t>
      </w:r>
      <w:proofErr w:type="spellEnd"/>
      <w:r w:rsidR="00CD3364">
        <w:rPr>
          <w:rFonts w:ascii="Times New Roman" w:eastAsia="Times New Roman" w:hAnsi="Times New Roman" w:cs="Times New Roman"/>
          <w:color w:val="1F1F1F"/>
          <w:kern w:val="0"/>
          <w:sz w:val="24"/>
          <w:szCs w:val="24"/>
          <w:lang w:eastAsia="en-IN" w:bidi="hi-IN"/>
          <w14:ligatures w14:val="none"/>
        </w:rPr>
        <w:t xml:space="preserve"> et. al., 2024).</w:t>
      </w:r>
    </w:p>
    <w:p w14:paraId="3CE95CFE"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32C04C0B"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2.2. Sampling Procedure and Sample Size</w:t>
      </w:r>
    </w:p>
    <w:p w14:paraId="16320BE1" w14:textId="2318BDA1"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population for this study comprised all farmers residing in the operational area who had interacted with the KVK's digital extension system. A purposive random sampling technique was employed to select the final respondents. A total sample size of 120 respondents, all of whom had been directly exposed to and had utilized the QR code–based digital extension services, w</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as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carefully selected for the detailed investigation. This sample size is statistically adequate to draw meaningful inferences and perform robust parametric and non-parametric tests.</w:t>
      </w:r>
    </w:p>
    <w:p w14:paraId="4A6EB3D9"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18FE6DF7"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2.3. Data Collection Instrument</w:t>
      </w:r>
    </w:p>
    <w:p w14:paraId="73CD4B2F"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Primary data were meticulously collected using a structured, comprehensive, and pre-tested interview schedule. The instrument was meticulously designed to capture a wide array of dimensions, specifically covering socio-personal characteristics, baseline digital literacy, the exact pattern of QR code usage, the perceived ease of information access, objective knowledge gain, practical adoption behaviour of the recommended agricultural practices, and overall perceived usefulness and satisfaction. To ensure the reliability and validity of the data, the primary data collection involved face-to-face personal interviews and focused group discussions to capture qualitative nuances, while secondary data were rigorously sourced from official KVK records and the backend digital usage logs linked to the specific QR codes.</w:t>
      </w:r>
    </w:p>
    <w:p w14:paraId="6CAD5FEA"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25CA3B98"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2.4. Statistical Analysis</w:t>
      </w:r>
    </w:p>
    <w:p w14:paraId="5A5CF0E3" w14:textId="3181B7BF"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raw data collected from the field were tabulated, classified, and subjected to rigorous statistical analysis to draw logical conclusions. Descriptive statistics, including frequency distribution, percentage analysis, arithmetic mean, and standard deviation, were primarily utilized to profile the respondents and summari</w:t>
      </w:r>
      <w:r w:rsidR="00D4415F">
        <w:rPr>
          <w:rFonts w:ascii="Times New Roman" w:eastAsia="Times New Roman" w:hAnsi="Times New Roman" w:cs="Times New Roman"/>
          <w:color w:val="1F1F1F"/>
          <w:kern w:val="0"/>
          <w:sz w:val="24"/>
          <w:szCs w:val="24"/>
          <w:bdr w:val="none" w:sz="0" w:space="0" w:color="auto" w:frame="1"/>
          <w:lang w:eastAsia="en-IN" w:bidi="hi-IN"/>
          <w14:ligatures w14:val="none"/>
        </w:rPr>
        <w:t>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 the central tendencies of the data. Furthermore, to scientifically validate the impact of the intervention, inferential statistical tools were employed. A paired t-test was utilized to assess the statistical significance of knowledge gain (comparing pre-exposure and post-exposure scores), and Pearson’s correlation analysis was conducted to uncover the precise relationships and degree of association among key socio-economic and technological variables</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Field</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2024).</w:t>
      </w:r>
    </w:p>
    <w:p w14:paraId="3A9216EC" w14:textId="5245902A"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11862923"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3. RESULTS AND DISCUSSION</w:t>
      </w:r>
    </w:p>
    <w:p w14:paraId="2C54530C"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2E4EF8A"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3.1. Socio-Personal Profile and Digital Readiness of the Respondents</w:t>
      </w:r>
    </w:p>
    <w:p w14:paraId="03C67A72" w14:textId="4253E68A"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foundational success of any digital agricultural intervention heavily depends on the socio-economic reality and the technological readiness of the target demographic. As detailed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lastRenderedPageBreak/>
        <w:t>Table 1</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respondents predominantly belonged to the marginal (40.0%) and small (35.0%) farmer categories. This cumulative 75.0% accurately reflects the typical, resource-constrained clientele of India's public agricultural extension systems. Medium landholders constituted 16.7%, while large farmers made up only 8.3% of the sample</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(Mittal &amp; Mehar, 2016).</w:t>
      </w:r>
    </w:p>
    <w:p w14:paraId="294EA5D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0541DCF"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 terms of age demographics, the largest cohort belonged to the middle-aged group (31–45 years) at 38.3%, followed by the 46–60 years category (28.3%), and the younger generation (Up to 30 years) at 23.3%. This indicates an active, economically vital age group engaging with farming operations. Educationally, the distribution was relatively balanced but leaned toward basic schooling: 30.0% had education up to the primary level, while the majority (36.7%) had completed secondary education. Those with higher secondary education (21.7%) and graduates and above (11.6%) formed the rest of the sample.</w:t>
      </w:r>
    </w:p>
    <w:p w14:paraId="375B68B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66088974" w14:textId="1F6F5BC4"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Crucially, regarding digital infrastructure, an overwhelming 93.3% of the respondents reported owning a smartphone. Furthermore, 81.7% reported having regular or occasional internet access. These remarkably high levels of smartphone ownership and internet connectivity indicate a highly favourable technological environment for implementing digital extension interventions, proving that hardware constraints are rapidly diminishing even within smallholder farming systems. These contemporary findings strongly corroborate earlier observations regarding the accelerating digital readiness and smartphone penetration among rural Indian farming communities</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proofErr w:type="spellStart"/>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Trofymenko</w:t>
      </w:r>
      <w:proofErr w:type="spellEnd"/>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et. al.,</w:t>
      </w:r>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2023)</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Singh</w:t>
      </w:r>
      <w:r w:rsidR="00CD336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et. al., </w:t>
      </w:r>
      <w:r w:rsidR="00CD3364" w:rsidRPr="00CD3364">
        <w:rPr>
          <w:rFonts w:ascii="Times New Roman" w:eastAsia="Times New Roman" w:hAnsi="Times New Roman" w:cs="Times New Roman"/>
          <w:color w:val="1F1F1F"/>
          <w:kern w:val="0"/>
          <w:sz w:val="24"/>
          <w:szCs w:val="24"/>
          <w:bdr w:val="none" w:sz="0" w:space="0" w:color="auto" w:frame="1"/>
          <w:lang w:eastAsia="en-IN" w:bidi="hi-IN"/>
          <w14:ligatures w14:val="none"/>
        </w:rPr>
        <w:t>2025).</w:t>
      </w:r>
    </w:p>
    <w:p w14:paraId="732E6A40"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08E1FB3"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3.2. Awareness and Digital Literacy Levels</w:t>
      </w:r>
    </w:p>
    <w:p w14:paraId="1762F9D6" w14:textId="6313DA09"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ut</w:t>
      </w:r>
      <w:bookmarkStart w:id="0" w:name="_GoBack"/>
      <w:bookmarkEnd w:id="0"/>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ilize a system, the target audience must first be aware of its existence and possess the baseline skills to navigate it. The study evaluated awareness across four specific components (scored out of a maximum of 1.0). As presented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2</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respondents exhibited a highly encouraging overall awareness mean score of 3.39 out of 4 (84.8%). Specifically, the awareness of the basic availability of the QR codes was exceptional at 91.0% (mean score 0.91), followed closely by the knowledge of the system's core purpose at 86.0% (0.86). The awareness of various topic categories available via the codes was also strong at 83.0% (0.83), while knowledge of the exact physical display locations across the district was slightly lower but still robust at 79.0% (0.79). This high level of awareness regarding QR code–based digital extension services is a testament to the effective promotional and deployment strategies utilized by KVK Akola</w:t>
      </w:r>
      <w:r w:rsidR="000A2C67" w:rsidRPr="000A2C67">
        <w:rPr>
          <w:rFonts w:cs="Mangal"/>
          <w:kern w:val="0"/>
          <w:szCs w:val="20"/>
          <w:lang w:bidi="mr-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(Meera </w:t>
      </w:r>
      <w:r w:rsidR="000A2C67" w:rsidRPr="00325CD4">
        <w:rPr>
          <w:rFonts w:ascii="Times New Roman" w:eastAsia="Times New Roman" w:hAnsi="Times New Roman" w:cs="Times New Roman"/>
          <w:i/>
          <w:iCs/>
          <w:color w:val="1F1F1F"/>
          <w:kern w:val="0"/>
          <w:sz w:val="24"/>
          <w:szCs w:val="24"/>
          <w:bdr w:val="none" w:sz="0" w:space="0" w:color="auto" w:frame="1"/>
          <w:lang w:eastAsia="en-IN" w:bidi="hi-IN"/>
          <w14:ligatures w14:val="none"/>
        </w:rPr>
        <w:t>et al</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2004; Saravanan, 2010).</w:t>
      </w:r>
    </w:p>
    <w:p w14:paraId="1287F5E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4B17381F" w14:textId="7CE0F31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Regarding digital skills,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3</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illustrates the distribution of respondents based on their digital literacy index. The majority of the farmers (53.3%) possessed a medium level of digital literacy, while a significant 31.7% demonstrated high digital literacy. Only a small fraction (15.0%) fell into the low category. The mean digital literacy score stood at a solid 5.9 ± 1.4 out of a maximum score of 8. This indicates that most respondents were comfortably able to open a smartphone camera or scanning app, scan the QR codes, and autonomously navigate the resulting digital content, which is a critical prerequisite for self-directed learning</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(Swanson &amp; </w:t>
      </w:r>
      <w:proofErr w:type="spellStart"/>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Rajalahti</w:t>
      </w:r>
      <w:proofErr w:type="spellEnd"/>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2010).</w:t>
      </w:r>
    </w:p>
    <w:p w14:paraId="4F9E123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4D0CBA3"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3.3. Utilization Pattern and Parameters of Information Access</w:t>
      </w:r>
    </w:p>
    <w:p w14:paraId="692105E7"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true value of an extension service lies in its frequency of use and the quality of the user experience.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4</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details the usage frequency, revealing that the largest segment of respondents (30.0%) utilized the QR codes on a weekly basis, followed by 23.3% who used them fortnightly, and 18.3% who engaged monthly. Interestingly, 11.7% were "super-users" who scanned codes daily, while 16.7% used them occasionally. This frequency indicates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regular, habitual engagement, strongly suggesting that QR code–based systems have successfully transitioned from novelty tools into dependable resources that effectively promote self-learning and on-demand access to technical information.</w:t>
      </w:r>
    </w:p>
    <w:p w14:paraId="32EC5904"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quality of this information access was evaluated on a 5-point scale across multiple parameters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5</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respondents expressed exceptionally high satisfaction with the system, yielding an overall mean score of 4.21 out of 5. The highest rated parameter was the "Anytime, anywhere accessibility" of the information, scoring a remarkable 4.48. This was closely followed by the "Language simplicity" (4.41), "Proper categorization of content" (4.36), and "Ease of access" (4.32). The "Relevance to farming needs" (4.18) and "Timeliness of information" (4.06) also scored very highly. Even the parameter regarding "Reduced need to visit KVK" scored a strong 3.92, indicating that the digital system is effectively functioning as a decentralized proxy for physical institutional visits, saving farmers critical time and travel expenditure.</w:t>
      </w:r>
    </w:p>
    <w:p w14:paraId="2FE0A07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301FD016"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3.4. Impact on Knowledge Gain and Practical Adoption Behaviour</w:t>
      </w:r>
    </w:p>
    <w:p w14:paraId="4F7EA978"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ultimate metric of extension success is the measurable transfer of knowledge and the subsequent application of that knowledge in the field. To measure cognitive impact, a rigorous pre- and post-exposure knowledge test was administered. As detailed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6</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mean knowledge score of the respondents prior to exposure to the QR code system was 9.4 (Standard Deviation = 2.1). Following active exposure and utilization of the QR-linked multimedia content, the mean score dramatically increased to 14.8 (Standard Deviation = 2.3). To validate this, a paired t-test was conducted, yielding a highly significant t-value of 18.62 (p &lt; 0.01). This statistical analysis confirms a highly significant increase in knowledge levels after exposure to QR code–based information, conclusively proving the effectiveness of this approach in rapidly improving technical understanding and supporting timely, science-based decision-making on the farm. These empirical findings provide robust contemporary support to earlier studies that highlighted the transformative effectiveness of ICT-enabled extension tools in agrarian settings.</w:t>
      </w:r>
    </w:p>
    <w:p w14:paraId="49383364"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However, knowledge does not always guarantee practice.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7</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captures the actual adoption behaviour of the recommended agricultural practices accessed through the QR codes. The data is highly promising: a considerable 43.3% of respondents reported partial adoption of the technologies, while an impressive 28.3% reported full adoption. Combined, over 71% of the users integrated the digital advice into their physical farming operations. Conversely, 15.0% tried the practices but eventually discontinued them (likely due to external constraints such as input unavailability or adverse weather), and 13.4% did not adopt the practices at all. The high rates of partial and full adoption underscore the persuasive power of contextualized, easily accessible digital advisory.</w:t>
      </w:r>
    </w:p>
    <w:p w14:paraId="41506821"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0C185228"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3.5. User Satisfaction and the Digital Extension Effectiveness Index (DEEI)</w:t>
      </w:r>
    </w:p>
    <w:p w14:paraId="1C147F4E"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To gauge holistic system performance, user satisfaction and an aggregated effectiveness index were computed. As shown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8</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overall user satisfaction levels were extremely positive. A commanding majority of 56.7% reported high satisfaction, and 35.0% reported medium satisfaction. Only a marginal 8.3% expressed low satisfaction. The mean satisfaction score was calculated at a robust 33.6 ± 4.2 out of a maximum possible score of 40. Qualitative feedback indicated this satisfaction was primarily driven by the system's ease of use, extreme time efficiency, and the environmentally friendly, paperless nature of the technology which prevented the physical degradation or loss of advisory material.</w:t>
      </w:r>
    </w:p>
    <w:p w14:paraId="5964A4B5"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encapsulate the overall success of the KVK initiative, a composite Digital Extension Effectiveness Index (DEEI) was formulated. The distribution of respondents according to the DEEI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9</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reveals that more than half of the respondents (51.7%) fell into the 'High'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effectiveness category (score &gt; 66). The 'Medium' category (score 34–66) captured 38.3% of the respondents, while only 10.0% remained in the 'Low' category (score ≤ 33). The overall mean DEEI score stood at an impressive 68.4 ± 11.6, confirming that a majority of the respondents experienced a high level of overarching extension effectiveness from the QR code deployment.</w:t>
      </w:r>
    </w:p>
    <w:p w14:paraId="050F97A3"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deeply understand the drivers of this effectiveness, Pearson's correlation coefficients (r) were calculated between the DEEI and selected independent variables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10</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analysis revealed mathematically strong, positive relationships across the board. The most significant correlation was found between DEEI and Information access (r = 0.72**), followed closely by User satisfaction (r = 0.69**). Digital literacy (r = 0.61**) and the Frequency of QR usage (r = 0.58**) also showed robust positive correlations. Finally, formal Education (r = 0.42**) also played a significant role. All these variables were highly significant at the 1 per cent level. These correlations clearly emphasize the critical importance of ensuring system simplicity, frictionless information access, and highly user-centric design when developing digital extension tools; when the tool is easy to access and satisfies the user's immediate needs, the overall effectiveness of the extension effort magnifies exponentially.</w:t>
      </w:r>
    </w:p>
    <w:p w14:paraId="42390090" w14:textId="44B79194"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1FD75E92"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4. CONCLUSION AND POLICY IMPLICATIONS</w:t>
      </w:r>
    </w:p>
    <w:p w14:paraId="5506B99B"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2453BABE"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4.1. Conclusion</w:t>
      </w:r>
    </w:p>
    <w:p w14:paraId="3B2FCB3D"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This comprehensive ex-post facto investigation conclusively establishes that the integration of QR code–based digital extension is a highly effective, elegantly simple, and immensely scalable approach for delivering complex agricultural information in a decentralized, paperless mode. The pioneering initiative implemented by KVK Akola successfully bypassed the traditional barriers of physical extension, resulting in high levels of systemic awareness, regular and habitual utilization patterns, statistically significant technical knowledge gains, and an impressive rate of moderate to high adoption of recommended agricultural practices among the farming community.</w:t>
      </w:r>
    </w:p>
    <w:p w14:paraId="3394B030"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Perhaps the most profound takeaway from this research is the demonstration that digital extension does not fundamentally require the deployment of highly complex, expensive, or high-end backend technologies. The strategic, thoughtful deployment of simple, universally compatible tools such as QR codes—specifically when positioned at critical farmer touchpoints like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networks, integrated into physical training programmes, and hosted on institutional platforms—can dramatically enhance the geographical outreach and operational efficiency of public extension services. QR code–based digital extension has thus empirically proven itself to be a highly viable, economically sustainable pathway for advancing intelligent, inclusive, and next-generation agricultural extension systems tailored for smallholder dominance.</w:t>
      </w:r>
    </w:p>
    <w:p w14:paraId="14550DB6"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6A37F0C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4.2. Strategic Implications for Next-Generation Agriculture</w:t>
      </w:r>
    </w:p>
    <w:p w14:paraId="7F1D3691" w14:textId="77777777" w:rsidR="00D53954" w:rsidRPr="00D53954" w:rsidRDefault="00D53954" w:rsidP="00D53954">
      <w:pPr>
        <w:spacing w:after="15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lang w:eastAsia="en-IN" w:bidi="hi-IN"/>
          <w14:ligatures w14:val="none"/>
        </w:rPr>
        <w:t>The findings of this study provide several critical imperatives for policymakers, agricultural research institutions, and grassroots extension workers:</w:t>
      </w:r>
    </w:p>
    <w:p w14:paraId="1EC359EE"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Mainstreaming the Methodology:</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 QR code–based digital extension framework should be officially integrated into the broader ICAR–KVK extension strategies nationwide, serving as a powerful complementary tool to support, rather than entirely replace, conventional physical extension methods.</w:t>
      </w:r>
    </w:p>
    <w:p w14:paraId="475DBFAD"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Ecosystem Policy Support:</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Dedicated policy support is urgently required at the state and national levels to heavily promote paperless extension models. This involves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allocating resources to continually strengthen foundational digital literacy among marginal farmers.</w:t>
      </w:r>
    </w:p>
    <w:p w14:paraId="728F1CDF"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Decentralized Knowledge Hubs: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There is a strategic need to formally recognize and utilize rural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shops as decentralized digital knowledge hubs, outfitting them with official, institution-backed QR repositories to ensure farmers receive validated information at the absolute point of purchase.</w:t>
      </w:r>
    </w:p>
    <w:p w14:paraId="77538CB9"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Standardized Content Validation:</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As the volume of digital content grows, establishing rigorous, standardized content validation mechanisms at the institutional level is necessary to maintain the scientific integrity of the advisory provided through these codes.</w:t>
      </w:r>
    </w:p>
    <w:p w14:paraId="5B4A7CD5" w14:textId="77777777" w:rsidR="00D53954" w:rsidRPr="000A2C67"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Continuous Monitoring via Indices: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Finally, the continuous adoption of composite evaluation metrics, such as the Digital Extension Effectiveness Index (DEEI) utilized in this study, can significantly facilitate systematic, real-time monitoring and highly evidence-based decision-making for future digital extension programmes.</w:t>
      </w:r>
    </w:p>
    <w:p w14:paraId="240DDFFF" w14:textId="77777777" w:rsidR="000A2C67" w:rsidRPr="00D53954" w:rsidRDefault="000A2C67" w:rsidP="00CD3364">
      <w:pPr>
        <w:spacing w:after="0" w:line="240" w:lineRule="auto"/>
        <w:ind w:left="720"/>
        <w:jc w:val="both"/>
        <w:rPr>
          <w:rFonts w:ascii="Times New Roman" w:eastAsia="Times New Roman" w:hAnsi="Times New Roman" w:cs="Times New Roman"/>
          <w:color w:val="1F1F1F"/>
          <w:kern w:val="0"/>
          <w:sz w:val="24"/>
          <w:szCs w:val="24"/>
          <w:lang w:eastAsia="en-IN" w:bidi="hi-IN"/>
          <w14:ligatures w14:val="none"/>
        </w:rPr>
      </w:pPr>
    </w:p>
    <w:p w14:paraId="53A3D94F" w14:textId="77E004EC"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By leveraging these insights, the model developed by KVK Akola demonstrates a strong, empirically validated potential for immediate replication across various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agro</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-ecological zones, cementing its place as a cornerstone strategy for supporting next-generation agriculture.</w:t>
      </w:r>
    </w:p>
    <w:p w14:paraId="6829D588" w14:textId="27F1AFBA" w:rsidR="0057170B" w:rsidRDefault="0057170B"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p>
    <w:p w14:paraId="41874B3E" w14:textId="77777777" w:rsidR="0057170B" w:rsidRPr="0057170B" w:rsidRDefault="0057170B" w:rsidP="0057170B">
      <w:pPr>
        <w:spacing w:after="0" w:line="240" w:lineRule="auto"/>
        <w:jc w:val="both"/>
        <w:rPr>
          <w:rFonts w:ascii="Times New Roman" w:eastAsia="Times New Roman" w:hAnsi="Times New Roman" w:cs="Times New Roman"/>
          <w:b/>
          <w:color w:val="1F1F1F"/>
          <w:kern w:val="0"/>
          <w:sz w:val="24"/>
          <w:szCs w:val="24"/>
          <w:bdr w:val="none" w:sz="0" w:space="0" w:color="auto" w:frame="1"/>
          <w:lang w:eastAsia="en-IN" w:bidi="hi-IN"/>
          <w14:ligatures w14:val="none"/>
        </w:rPr>
      </w:pPr>
      <w:r w:rsidRPr="0057170B">
        <w:rPr>
          <w:rFonts w:ascii="Times New Roman" w:eastAsia="Times New Roman" w:hAnsi="Times New Roman" w:cs="Times New Roman"/>
          <w:b/>
          <w:color w:val="1F1F1F"/>
          <w:kern w:val="0"/>
          <w:sz w:val="24"/>
          <w:szCs w:val="24"/>
          <w:bdr w:val="none" w:sz="0" w:space="0" w:color="auto" w:frame="1"/>
          <w:lang w:eastAsia="en-IN" w:bidi="hi-IN"/>
          <w14:ligatures w14:val="none"/>
        </w:rPr>
        <w:t xml:space="preserve">Consent </w:t>
      </w:r>
    </w:p>
    <w:p w14:paraId="7DEF4CEE" w14:textId="7E5E5C17" w:rsidR="0057170B" w:rsidRDefault="0057170B" w:rsidP="0057170B">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57170B">
        <w:rPr>
          <w:rFonts w:ascii="Times New Roman" w:eastAsia="Times New Roman" w:hAnsi="Times New Roman" w:cs="Times New Roman"/>
          <w:color w:val="1F1F1F"/>
          <w:kern w:val="0"/>
          <w:sz w:val="24"/>
          <w:szCs w:val="24"/>
          <w:bdr w:val="none" w:sz="0" w:space="0" w:color="auto" w:frame="1"/>
          <w:lang w:eastAsia="en-IN" w:bidi="hi-IN"/>
          <w14:ligatures w14:val="none"/>
        </w:rPr>
        <w:t>As per international standards or university standards, respondents’ written consent has been collected and preserved by the author(s).</w:t>
      </w:r>
    </w:p>
    <w:p w14:paraId="095865AA" w14:textId="1F40D76B" w:rsidR="00CB21B9" w:rsidRDefault="00CB21B9"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CB65C13" w14:textId="77777777" w:rsidR="00CB21B9" w:rsidRPr="0057170B" w:rsidRDefault="00CB21B9" w:rsidP="00CB21B9">
      <w:pPr>
        <w:spacing w:after="0" w:line="240" w:lineRule="auto"/>
        <w:rPr>
          <w:rFonts w:ascii="Times New Roman" w:eastAsia="Calibri" w:hAnsi="Times New Roman" w:cs="Times New Roman"/>
          <w:b/>
          <w:highlight w:val="yellow"/>
          <w:lang w:val="en-US"/>
          <w14:ligatures w14:val="none"/>
        </w:rPr>
      </w:pPr>
      <w:bookmarkStart w:id="1" w:name="_Hlk198031404"/>
      <w:bookmarkStart w:id="2" w:name="_Hlk219125673"/>
      <w:r w:rsidRPr="0057170B">
        <w:rPr>
          <w:rFonts w:ascii="Times New Roman" w:eastAsia="Calibri" w:hAnsi="Times New Roman" w:cs="Times New Roman"/>
          <w:b/>
          <w:highlight w:val="yellow"/>
          <w:lang w:val="en-US"/>
          <w14:ligatures w14:val="none"/>
        </w:rPr>
        <w:t>Disclaimer (Artificial intelligence)</w:t>
      </w:r>
    </w:p>
    <w:p w14:paraId="5AF73392" w14:textId="77777777" w:rsidR="00CB21B9" w:rsidRPr="00CB21B9" w:rsidRDefault="00CB21B9" w:rsidP="00CB21B9">
      <w:pPr>
        <w:spacing w:after="0" w:line="240" w:lineRule="auto"/>
        <w:rPr>
          <w:rFonts w:ascii="Times New Roman" w:eastAsia="Calibri" w:hAnsi="Times New Roman" w:cs="Times New Roman"/>
          <w:highlight w:val="yellow"/>
          <w:lang w:val="en-US"/>
          <w14:ligatures w14:val="none"/>
        </w:rPr>
      </w:pPr>
    </w:p>
    <w:p w14:paraId="58824CBE" w14:textId="77777777" w:rsidR="00CB21B9" w:rsidRPr="00CB21B9" w:rsidRDefault="00CB21B9" w:rsidP="00CB21B9">
      <w:pPr>
        <w:spacing w:after="0" w:line="240" w:lineRule="auto"/>
        <w:rPr>
          <w:rFonts w:ascii="Times New Roman" w:eastAsia="Calibri" w:hAnsi="Times New Roman" w:cs="Times New Roman"/>
          <w:highlight w:val="yellow"/>
          <w:lang w:val="en-US"/>
          <w14:ligatures w14:val="none"/>
        </w:rPr>
      </w:pPr>
      <w:r w:rsidRPr="00CB21B9">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CB21B9">
        <w:rPr>
          <w:rFonts w:ascii="Times New Roman" w:eastAsia="Calibri" w:hAnsi="Times New Roman" w:cs="Times New Roman"/>
          <w:highlight w:val="yellow"/>
          <w:lang w:val="en-US"/>
          <w14:ligatures w14:val="none"/>
        </w:rPr>
        <w:t>ChatGPT</w:t>
      </w:r>
      <w:proofErr w:type="spellEnd"/>
      <w:r w:rsidRPr="00CB21B9">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1"/>
    <w:p w14:paraId="19C6F3A9" w14:textId="77777777" w:rsidR="00CB21B9" w:rsidRPr="00CB21B9" w:rsidRDefault="00CB21B9" w:rsidP="00CB21B9">
      <w:pPr>
        <w:spacing w:after="200" w:line="276" w:lineRule="auto"/>
        <w:rPr>
          <w:rFonts w:ascii="Calibri" w:eastAsia="Calibri" w:hAnsi="Calibri" w:cs="Times New Roman"/>
          <w:kern w:val="0"/>
          <w:sz w:val="28"/>
          <w:lang w:val="en-US"/>
          <w14:ligatures w14:val="none"/>
        </w:rPr>
      </w:pPr>
    </w:p>
    <w:bookmarkEnd w:id="2"/>
    <w:p w14:paraId="1594E13E" w14:textId="77777777" w:rsidR="00CB21B9" w:rsidRPr="00CB21B9" w:rsidRDefault="00CB21B9" w:rsidP="00D53954">
      <w:pPr>
        <w:spacing w:after="0" w:line="240" w:lineRule="auto"/>
        <w:jc w:val="both"/>
        <w:rPr>
          <w:rFonts w:ascii="Times New Roman" w:eastAsia="Times New Roman" w:hAnsi="Times New Roman" w:cs="Times New Roman"/>
          <w:color w:val="1F1F1F"/>
          <w:kern w:val="0"/>
          <w:sz w:val="24"/>
          <w:szCs w:val="24"/>
          <w:lang w:val="en-US" w:eastAsia="en-IN" w:bidi="hi-IN"/>
          <w14:ligatures w14:val="none"/>
        </w:rPr>
      </w:pPr>
    </w:p>
    <w:p w14:paraId="4FD4950C" w14:textId="1DFBA928"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2966D609" w14:textId="77777777" w:rsidR="00D53954" w:rsidRP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REFERENCES</w:t>
      </w:r>
    </w:p>
    <w:p w14:paraId="692DE797"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 xml:space="preserve">Davis, K., Swanson, B., &amp; </w:t>
      </w:r>
      <w:proofErr w:type="spellStart"/>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Amudavi</w:t>
      </w:r>
      <w:proofErr w:type="spellEnd"/>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 xml:space="preserve">, D. (2012).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Review and recommendations for strengthening the agricultural extension system.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IFPRI Discussion Paper</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w:t>
      </w:r>
    </w:p>
    <w:p w14:paraId="211A8145"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Meera, S. N.,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Jhamtani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A., &amp; Rao, D. U. M. (2004). Information and communication technology in agricultural development: A comparative analysis.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Agricultural Extension Review</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16(2), 9–18.</w:t>
      </w:r>
    </w:p>
    <w:p w14:paraId="10DDFFBF"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Mittal, S., &amp; Mehar, M. (2016). Socio-economic factors affecting adoption of modern ICT by farmers in India.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Agricultural Economics Research Review</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29(2), 256–272.</w:t>
      </w:r>
    </w:p>
    <w:p w14:paraId="2FA90766"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Saravanan, R. (2010).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ICTs for agricultural extension: Global experiments, innovations and experiences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New India Publishing Agency, New Delhi.</w:t>
      </w:r>
    </w:p>
    <w:p w14:paraId="028D92B3" w14:textId="77777777" w:rsidR="00D53954" w:rsidRPr="00CD336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 xml:space="preserve">Swanson, B. E., &amp; </w:t>
      </w:r>
      <w:proofErr w:type="spellStart"/>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Rajalahti</w:t>
      </w:r>
      <w:proofErr w:type="spellEnd"/>
      <w:r w:rsidRPr="00CB21B9">
        <w:rPr>
          <w:rFonts w:ascii="Times New Roman" w:eastAsia="Times New Roman" w:hAnsi="Times New Roman" w:cs="Times New Roman"/>
          <w:color w:val="1F1F1F"/>
          <w:kern w:val="0"/>
          <w:sz w:val="24"/>
          <w:szCs w:val="24"/>
          <w:bdr w:val="none" w:sz="0" w:space="0" w:color="auto" w:frame="1"/>
          <w:lang w:val="fr-FR" w:eastAsia="en-IN" w:bidi="hi-IN"/>
          <w14:ligatures w14:val="none"/>
        </w:rPr>
        <w:t xml:space="preserve">, R. (2010).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Strengthening agricultural extension and advisory systems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World Bank, Washington, DC.</w:t>
      </w:r>
    </w:p>
    <w:p w14:paraId="3D1CF008" w14:textId="1FE6EEAD" w:rsidR="00CD3364" w:rsidRDefault="00CD336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CD3364">
        <w:rPr>
          <w:rFonts w:ascii="Times New Roman" w:eastAsia="Times New Roman" w:hAnsi="Times New Roman" w:cs="Times New Roman"/>
          <w:color w:val="1F1F1F"/>
          <w:kern w:val="0"/>
          <w:sz w:val="24"/>
          <w:szCs w:val="24"/>
          <w:lang w:eastAsia="en-IN" w:bidi="hi-IN"/>
          <w14:ligatures w14:val="none"/>
        </w:rPr>
        <w:t>EST, G. R., &amp; Sylvester, G. (2017). Information and Communication Technology (ICT) in Agriculture-A Report to the G20 Agricultural Deputies.</w:t>
      </w:r>
    </w:p>
    <w:p w14:paraId="7B9E52C4" w14:textId="4B62524C" w:rsidR="00CD3364" w:rsidRDefault="00CD336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proofErr w:type="spellStart"/>
      <w:r w:rsidRPr="00CD3364">
        <w:rPr>
          <w:rFonts w:ascii="Times New Roman" w:eastAsia="Times New Roman" w:hAnsi="Times New Roman" w:cs="Times New Roman"/>
          <w:color w:val="1F1F1F"/>
          <w:kern w:val="0"/>
          <w:sz w:val="24"/>
          <w:szCs w:val="24"/>
          <w:lang w:eastAsia="en-IN" w:bidi="hi-IN"/>
          <w14:ligatures w14:val="none"/>
        </w:rPr>
        <w:t>Mageshwaran</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V., </w:t>
      </w:r>
      <w:proofErr w:type="spellStart"/>
      <w:r w:rsidRPr="00CD3364">
        <w:rPr>
          <w:rFonts w:ascii="Times New Roman" w:eastAsia="Times New Roman" w:hAnsi="Times New Roman" w:cs="Times New Roman"/>
          <w:color w:val="1F1F1F"/>
          <w:kern w:val="0"/>
          <w:sz w:val="24"/>
          <w:szCs w:val="24"/>
          <w:lang w:eastAsia="en-IN" w:bidi="hi-IN"/>
          <w14:ligatures w14:val="none"/>
        </w:rPr>
        <w:t>Sarma</w:t>
      </w:r>
      <w:proofErr w:type="spellEnd"/>
      <w:r w:rsidRPr="00CD3364">
        <w:rPr>
          <w:rFonts w:ascii="Times New Roman" w:eastAsia="Times New Roman" w:hAnsi="Times New Roman" w:cs="Times New Roman"/>
          <w:color w:val="1F1F1F"/>
          <w:kern w:val="0"/>
          <w:sz w:val="24"/>
          <w:szCs w:val="24"/>
          <w:lang w:eastAsia="en-IN" w:bidi="hi-IN"/>
          <w14:ligatures w14:val="none"/>
        </w:rPr>
        <w:t>, B. K., Singh, R. P., Kumar, P., Yadav, A., Tiwari, N., ... &amp; Yadav, A. (2024). Assessing the Impact of Rapid Composting Technology on Doubling Farmer’s Income in Eastern Uttar Pradesh, India. </w:t>
      </w:r>
      <w:r w:rsidRPr="00CD3364">
        <w:rPr>
          <w:rFonts w:ascii="Times New Roman" w:eastAsia="Times New Roman" w:hAnsi="Times New Roman" w:cs="Times New Roman"/>
          <w:i/>
          <w:iCs/>
          <w:color w:val="1F1F1F"/>
          <w:kern w:val="0"/>
          <w:sz w:val="24"/>
          <w:szCs w:val="24"/>
          <w:lang w:eastAsia="en-IN" w:bidi="hi-IN"/>
          <w14:ligatures w14:val="none"/>
        </w:rPr>
        <w:t>Asian Journal of Agricultural Extension, Economics &amp; Sociology</w:t>
      </w:r>
      <w:r w:rsidRPr="00CD3364">
        <w:rPr>
          <w:rFonts w:ascii="Times New Roman" w:eastAsia="Times New Roman" w:hAnsi="Times New Roman" w:cs="Times New Roman"/>
          <w:color w:val="1F1F1F"/>
          <w:kern w:val="0"/>
          <w:sz w:val="24"/>
          <w:szCs w:val="24"/>
          <w:lang w:eastAsia="en-IN" w:bidi="hi-IN"/>
          <w14:ligatures w14:val="none"/>
        </w:rPr>
        <w:t>, </w:t>
      </w:r>
      <w:r w:rsidRPr="00CD3364">
        <w:rPr>
          <w:rFonts w:ascii="Times New Roman" w:eastAsia="Times New Roman" w:hAnsi="Times New Roman" w:cs="Times New Roman"/>
          <w:i/>
          <w:iCs/>
          <w:color w:val="1F1F1F"/>
          <w:kern w:val="0"/>
          <w:sz w:val="24"/>
          <w:szCs w:val="24"/>
          <w:lang w:eastAsia="en-IN" w:bidi="hi-IN"/>
          <w14:ligatures w14:val="none"/>
        </w:rPr>
        <w:t>42</w:t>
      </w:r>
      <w:r w:rsidRPr="00CD3364">
        <w:rPr>
          <w:rFonts w:ascii="Times New Roman" w:eastAsia="Times New Roman" w:hAnsi="Times New Roman" w:cs="Times New Roman"/>
          <w:color w:val="1F1F1F"/>
          <w:kern w:val="0"/>
          <w:sz w:val="24"/>
          <w:szCs w:val="24"/>
          <w:lang w:eastAsia="en-IN" w:bidi="hi-IN"/>
          <w14:ligatures w14:val="none"/>
        </w:rPr>
        <w:t>(7), 89-101.</w:t>
      </w:r>
    </w:p>
    <w:p w14:paraId="592EE754" w14:textId="6CA178E9" w:rsidR="00CD3364" w:rsidRDefault="00CD336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CD3364">
        <w:rPr>
          <w:rFonts w:ascii="Times New Roman" w:eastAsia="Times New Roman" w:hAnsi="Times New Roman" w:cs="Times New Roman"/>
          <w:color w:val="1F1F1F"/>
          <w:kern w:val="0"/>
          <w:sz w:val="24"/>
          <w:szCs w:val="24"/>
          <w:lang w:eastAsia="en-IN" w:bidi="hi-IN"/>
          <w14:ligatures w14:val="none"/>
        </w:rPr>
        <w:lastRenderedPageBreak/>
        <w:t>Field, A. (2024). </w:t>
      </w:r>
      <w:r w:rsidRPr="00CD3364">
        <w:rPr>
          <w:rFonts w:ascii="Times New Roman" w:eastAsia="Times New Roman" w:hAnsi="Times New Roman" w:cs="Times New Roman"/>
          <w:i/>
          <w:iCs/>
          <w:color w:val="1F1F1F"/>
          <w:kern w:val="0"/>
          <w:sz w:val="24"/>
          <w:szCs w:val="24"/>
          <w:lang w:eastAsia="en-IN" w:bidi="hi-IN"/>
          <w14:ligatures w14:val="none"/>
        </w:rPr>
        <w:t>Discovering statistics using IBM SPSS statistics</w:t>
      </w:r>
      <w:r w:rsidRPr="00CD3364">
        <w:rPr>
          <w:rFonts w:ascii="Times New Roman" w:eastAsia="Times New Roman" w:hAnsi="Times New Roman" w:cs="Times New Roman"/>
          <w:color w:val="1F1F1F"/>
          <w:kern w:val="0"/>
          <w:sz w:val="24"/>
          <w:szCs w:val="24"/>
          <w:lang w:eastAsia="en-IN" w:bidi="hi-IN"/>
          <w14:ligatures w14:val="none"/>
        </w:rPr>
        <w:t>. Sage publications limited.</w:t>
      </w:r>
    </w:p>
    <w:p w14:paraId="7F609E19" w14:textId="77777777" w:rsidR="00CD3364" w:rsidRPr="00D53954" w:rsidRDefault="00CD336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CD3364">
        <w:rPr>
          <w:rFonts w:ascii="Times New Roman" w:eastAsia="Times New Roman" w:hAnsi="Times New Roman" w:cs="Times New Roman"/>
          <w:color w:val="1F1F1F"/>
          <w:kern w:val="0"/>
          <w:sz w:val="24"/>
          <w:szCs w:val="24"/>
          <w:lang w:eastAsia="en-IN" w:bidi="hi-IN"/>
          <w14:ligatures w14:val="none"/>
        </w:rPr>
        <w:t xml:space="preserve">Singh, A., </w:t>
      </w:r>
      <w:proofErr w:type="spellStart"/>
      <w:r w:rsidRPr="00CD3364">
        <w:rPr>
          <w:rFonts w:ascii="Times New Roman" w:eastAsia="Times New Roman" w:hAnsi="Times New Roman" w:cs="Times New Roman"/>
          <w:color w:val="1F1F1F"/>
          <w:kern w:val="0"/>
          <w:sz w:val="24"/>
          <w:szCs w:val="24"/>
          <w:lang w:eastAsia="en-IN" w:bidi="hi-IN"/>
          <w14:ligatures w14:val="none"/>
        </w:rPr>
        <w:t>Doharey</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R. K., Meena, N. R., &amp; </w:t>
      </w:r>
      <w:proofErr w:type="spellStart"/>
      <w:r w:rsidRPr="00CD3364">
        <w:rPr>
          <w:rFonts w:ascii="Times New Roman" w:eastAsia="Times New Roman" w:hAnsi="Times New Roman" w:cs="Times New Roman"/>
          <w:color w:val="1F1F1F"/>
          <w:kern w:val="0"/>
          <w:sz w:val="24"/>
          <w:szCs w:val="24"/>
          <w:lang w:eastAsia="en-IN" w:bidi="hi-IN"/>
          <w14:ligatures w14:val="none"/>
        </w:rPr>
        <w:t>Sonu</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K. (2025). Utilization of Smartphones for Accessing Agricultural Information by Farmers in </w:t>
      </w:r>
      <w:proofErr w:type="spellStart"/>
      <w:r w:rsidRPr="00CD3364">
        <w:rPr>
          <w:rFonts w:ascii="Times New Roman" w:eastAsia="Times New Roman" w:hAnsi="Times New Roman" w:cs="Times New Roman"/>
          <w:color w:val="1F1F1F"/>
          <w:kern w:val="0"/>
          <w:sz w:val="24"/>
          <w:szCs w:val="24"/>
          <w:lang w:eastAsia="en-IN" w:bidi="hi-IN"/>
          <w14:ligatures w14:val="none"/>
        </w:rPr>
        <w:t>Bokaro</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District of Jharkhand. </w:t>
      </w:r>
      <w:r w:rsidRPr="00CD3364">
        <w:rPr>
          <w:rFonts w:ascii="Times New Roman" w:eastAsia="Times New Roman" w:hAnsi="Times New Roman" w:cs="Times New Roman"/>
          <w:i/>
          <w:iCs/>
          <w:color w:val="1F1F1F"/>
          <w:kern w:val="0"/>
          <w:sz w:val="24"/>
          <w:szCs w:val="24"/>
          <w:lang w:eastAsia="en-IN" w:bidi="hi-IN"/>
          <w14:ligatures w14:val="none"/>
        </w:rPr>
        <w:t>Indian Journal of Extension Education</w:t>
      </w:r>
      <w:r w:rsidRPr="00CD3364">
        <w:rPr>
          <w:rFonts w:ascii="Times New Roman" w:eastAsia="Times New Roman" w:hAnsi="Times New Roman" w:cs="Times New Roman"/>
          <w:color w:val="1F1F1F"/>
          <w:kern w:val="0"/>
          <w:sz w:val="24"/>
          <w:szCs w:val="24"/>
          <w:lang w:eastAsia="en-IN" w:bidi="hi-IN"/>
          <w14:ligatures w14:val="none"/>
        </w:rPr>
        <w:t>, </w:t>
      </w:r>
      <w:r w:rsidRPr="00CD3364">
        <w:rPr>
          <w:rFonts w:ascii="Times New Roman" w:eastAsia="Times New Roman" w:hAnsi="Times New Roman" w:cs="Times New Roman"/>
          <w:i/>
          <w:iCs/>
          <w:color w:val="1F1F1F"/>
          <w:kern w:val="0"/>
          <w:sz w:val="24"/>
          <w:szCs w:val="24"/>
          <w:lang w:eastAsia="en-IN" w:bidi="hi-IN"/>
          <w14:ligatures w14:val="none"/>
        </w:rPr>
        <w:t>61</w:t>
      </w:r>
      <w:r w:rsidRPr="00CD3364">
        <w:rPr>
          <w:rFonts w:ascii="Times New Roman" w:eastAsia="Times New Roman" w:hAnsi="Times New Roman" w:cs="Times New Roman"/>
          <w:color w:val="1F1F1F"/>
          <w:kern w:val="0"/>
          <w:sz w:val="24"/>
          <w:szCs w:val="24"/>
          <w:lang w:eastAsia="en-IN" w:bidi="hi-IN"/>
          <w14:ligatures w14:val="none"/>
        </w:rPr>
        <w:t>(4), 9-13.</w:t>
      </w:r>
    </w:p>
    <w:p w14:paraId="389E0FDB" w14:textId="50F09269" w:rsidR="00CD3364" w:rsidRDefault="00CD336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proofErr w:type="spellStart"/>
      <w:r w:rsidRPr="00CD3364">
        <w:rPr>
          <w:rFonts w:ascii="Times New Roman" w:eastAsia="Times New Roman" w:hAnsi="Times New Roman" w:cs="Times New Roman"/>
          <w:color w:val="1F1F1F"/>
          <w:kern w:val="0"/>
          <w:sz w:val="24"/>
          <w:szCs w:val="24"/>
          <w:lang w:eastAsia="en-IN" w:bidi="hi-IN"/>
          <w14:ligatures w14:val="none"/>
        </w:rPr>
        <w:t>Trofymenko</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M., </w:t>
      </w:r>
      <w:proofErr w:type="spellStart"/>
      <w:r w:rsidRPr="00CD3364">
        <w:rPr>
          <w:rFonts w:ascii="Times New Roman" w:eastAsia="Times New Roman" w:hAnsi="Times New Roman" w:cs="Times New Roman"/>
          <w:color w:val="1F1F1F"/>
          <w:kern w:val="0"/>
          <w:sz w:val="24"/>
          <w:szCs w:val="24"/>
          <w:lang w:eastAsia="en-IN" w:bidi="hi-IN"/>
          <w14:ligatures w14:val="none"/>
        </w:rPr>
        <w:t>Bulatova</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O., </w:t>
      </w:r>
      <w:proofErr w:type="spellStart"/>
      <w:r w:rsidRPr="00CD3364">
        <w:rPr>
          <w:rFonts w:ascii="Times New Roman" w:eastAsia="Times New Roman" w:hAnsi="Times New Roman" w:cs="Times New Roman"/>
          <w:color w:val="1F1F1F"/>
          <w:kern w:val="0"/>
          <w:sz w:val="24"/>
          <w:szCs w:val="24"/>
          <w:lang w:eastAsia="en-IN" w:bidi="hi-IN"/>
          <w14:ligatures w14:val="none"/>
        </w:rPr>
        <w:t>Trofymenko</w:t>
      </w:r>
      <w:proofErr w:type="spellEnd"/>
      <w:r w:rsidRPr="00CD3364">
        <w:rPr>
          <w:rFonts w:ascii="Times New Roman" w:eastAsia="Times New Roman" w:hAnsi="Times New Roman" w:cs="Times New Roman"/>
          <w:color w:val="1F1F1F"/>
          <w:kern w:val="0"/>
          <w:sz w:val="24"/>
          <w:szCs w:val="24"/>
          <w:lang w:eastAsia="en-IN" w:bidi="hi-IN"/>
          <w14:ligatures w14:val="none"/>
        </w:rPr>
        <w:t xml:space="preserve">, A., &amp; </w:t>
      </w:r>
      <w:proofErr w:type="spellStart"/>
      <w:r w:rsidRPr="00CD3364">
        <w:rPr>
          <w:rFonts w:ascii="Times New Roman" w:eastAsia="Times New Roman" w:hAnsi="Times New Roman" w:cs="Times New Roman"/>
          <w:color w:val="1F1F1F"/>
          <w:kern w:val="0"/>
          <w:sz w:val="24"/>
          <w:szCs w:val="24"/>
          <w:lang w:eastAsia="en-IN" w:bidi="hi-IN"/>
          <w14:ligatures w14:val="none"/>
        </w:rPr>
        <w:t>Vyshniakov</w:t>
      </w:r>
      <w:proofErr w:type="spellEnd"/>
      <w:r w:rsidRPr="00CD3364">
        <w:rPr>
          <w:rFonts w:ascii="Times New Roman" w:eastAsia="Times New Roman" w:hAnsi="Times New Roman" w:cs="Times New Roman"/>
          <w:color w:val="1F1F1F"/>
          <w:kern w:val="0"/>
          <w:sz w:val="24"/>
          <w:szCs w:val="24"/>
          <w:lang w:eastAsia="en-IN" w:bidi="hi-IN"/>
          <w14:ligatures w14:val="none"/>
        </w:rPr>
        <w:t>, O. (2023). Digital development and technological innovations: Inequality and asymmetry.</w:t>
      </w:r>
    </w:p>
    <w:p w14:paraId="382D9C03" w14:textId="59807824" w:rsidR="0057170B" w:rsidRPr="0057170B" w:rsidRDefault="0057170B" w:rsidP="00D53954">
      <w:pPr>
        <w:numPr>
          <w:ilvl w:val="0"/>
          <w:numId w:val="2"/>
        </w:numPr>
        <w:spacing w:after="0" w:line="240" w:lineRule="auto"/>
        <w:jc w:val="both"/>
        <w:rPr>
          <w:rFonts w:ascii="Times New Roman" w:eastAsia="Times New Roman" w:hAnsi="Times New Roman" w:cs="Times New Roman"/>
          <w:color w:val="1F1F1F"/>
          <w:kern w:val="0"/>
          <w:sz w:val="24"/>
          <w:szCs w:val="24"/>
          <w:highlight w:val="yellow"/>
          <w:lang w:eastAsia="en-IN" w:bidi="hi-IN"/>
          <w14:ligatures w14:val="none"/>
        </w:rPr>
      </w:pPr>
      <w:r w:rsidRPr="0057170B">
        <w:rPr>
          <w:rFonts w:ascii="Times New Roman" w:eastAsia="Times New Roman" w:hAnsi="Times New Roman" w:cs="Times New Roman"/>
          <w:color w:val="1F1F1F"/>
          <w:kern w:val="0"/>
          <w:sz w:val="24"/>
          <w:szCs w:val="24"/>
          <w:highlight w:val="yellow"/>
          <w:lang w:eastAsia="en-IN" w:bidi="hi-IN"/>
          <w14:ligatures w14:val="none"/>
        </w:rPr>
        <w:t xml:space="preserve">Abhijeet, </w:t>
      </w:r>
      <w:proofErr w:type="spellStart"/>
      <w:proofErr w:type="gramStart"/>
      <w:r w:rsidRPr="0057170B">
        <w:rPr>
          <w:rFonts w:ascii="Times New Roman" w:eastAsia="Times New Roman" w:hAnsi="Times New Roman" w:cs="Times New Roman"/>
          <w:color w:val="1F1F1F"/>
          <w:kern w:val="0"/>
          <w:sz w:val="24"/>
          <w:szCs w:val="24"/>
          <w:highlight w:val="yellow"/>
          <w:lang w:eastAsia="en-IN" w:bidi="hi-IN"/>
          <w14:ligatures w14:val="none"/>
        </w:rPr>
        <w:t>Sahu</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w:t>
      </w:r>
      <w:proofErr w:type="gram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K. K.,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Bardhan</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 R., Chouhan , N. S., Dixit , D., Tripathi , S., … Ahmed , R. (2023). A Comprehensive Review on Role of Agricultural Extension Services in the Sustainable Development of Global Agriculture. International Journal of Environment and Climate Change, 13(10), 3514–3525. </w:t>
      </w:r>
      <w:hyperlink r:id="rId7" w:history="1">
        <w:r w:rsidRPr="0057170B">
          <w:rPr>
            <w:rStyle w:val="Hyperlink"/>
            <w:rFonts w:ascii="Times New Roman" w:eastAsia="Times New Roman" w:hAnsi="Times New Roman" w:cs="Times New Roman"/>
            <w:kern w:val="0"/>
            <w:sz w:val="24"/>
            <w:szCs w:val="24"/>
            <w:highlight w:val="yellow"/>
            <w:lang w:eastAsia="en-IN" w:bidi="hi-IN"/>
            <w14:ligatures w14:val="none"/>
          </w:rPr>
          <w:t>https://doi.org/10.9734/ijecc/2023/v13i103021</w:t>
        </w:r>
      </w:hyperlink>
    </w:p>
    <w:p w14:paraId="28A51385" w14:textId="6FBF7B66" w:rsidR="0057170B" w:rsidRPr="0057170B" w:rsidRDefault="0057170B" w:rsidP="00D53954">
      <w:pPr>
        <w:numPr>
          <w:ilvl w:val="0"/>
          <w:numId w:val="2"/>
        </w:numPr>
        <w:spacing w:after="0" w:line="240" w:lineRule="auto"/>
        <w:jc w:val="both"/>
        <w:rPr>
          <w:rFonts w:ascii="Times New Roman" w:eastAsia="Times New Roman" w:hAnsi="Times New Roman" w:cs="Times New Roman"/>
          <w:color w:val="1F1F1F"/>
          <w:kern w:val="0"/>
          <w:sz w:val="24"/>
          <w:szCs w:val="24"/>
          <w:highlight w:val="yellow"/>
          <w:lang w:eastAsia="en-IN" w:bidi="hi-IN"/>
          <w14:ligatures w14:val="none"/>
        </w:rPr>
      </w:pPr>
      <w:r w:rsidRPr="0057170B">
        <w:rPr>
          <w:rFonts w:ascii="Times New Roman" w:eastAsia="Times New Roman" w:hAnsi="Times New Roman" w:cs="Times New Roman"/>
          <w:color w:val="1F1F1F"/>
          <w:kern w:val="0"/>
          <w:sz w:val="24"/>
          <w:szCs w:val="24"/>
          <w:highlight w:val="yellow"/>
          <w:lang w:eastAsia="en-IN" w:bidi="hi-IN"/>
          <w14:ligatures w14:val="none"/>
        </w:rPr>
        <w:t xml:space="preserve">Mbatha, M. (2024). The Provision of Agricultural Extension Services to Rural Farmers as a Strategy to Improve Agricultural Practices in South Africa. South African Journal of Agricultural Extension (SAJAE), 52(1), 1-19. </w:t>
      </w:r>
      <w:hyperlink r:id="rId8" w:history="1">
        <w:r w:rsidRPr="0057170B">
          <w:rPr>
            <w:rStyle w:val="Hyperlink"/>
            <w:rFonts w:ascii="Times New Roman" w:eastAsia="Times New Roman" w:hAnsi="Times New Roman" w:cs="Times New Roman"/>
            <w:kern w:val="0"/>
            <w:sz w:val="24"/>
            <w:szCs w:val="24"/>
            <w:highlight w:val="yellow"/>
            <w:lang w:eastAsia="en-IN" w:bidi="hi-IN"/>
            <w14:ligatures w14:val="none"/>
          </w:rPr>
          <w:t>https://doi.org/10.17159/2413-3221/2024/v52n1a12717</w:t>
        </w:r>
      </w:hyperlink>
    </w:p>
    <w:p w14:paraId="7F066710" w14:textId="3ECB91F2" w:rsidR="0057170B" w:rsidRPr="0057170B" w:rsidRDefault="0057170B" w:rsidP="00D53954">
      <w:pPr>
        <w:numPr>
          <w:ilvl w:val="0"/>
          <w:numId w:val="2"/>
        </w:numPr>
        <w:spacing w:after="0" w:line="240" w:lineRule="auto"/>
        <w:jc w:val="both"/>
        <w:rPr>
          <w:rFonts w:ascii="Times New Roman" w:eastAsia="Times New Roman" w:hAnsi="Times New Roman" w:cs="Times New Roman"/>
          <w:color w:val="1F1F1F"/>
          <w:kern w:val="0"/>
          <w:sz w:val="24"/>
          <w:szCs w:val="24"/>
          <w:highlight w:val="yellow"/>
          <w:lang w:eastAsia="en-IN" w:bidi="hi-IN"/>
          <w14:ligatures w14:val="none"/>
        </w:rPr>
      </w:pPr>
      <w:r w:rsidRPr="0057170B">
        <w:rPr>
          <w:rFonts w:ascii="Times New Roman" w:eastAsia="Times New Roman" w:hAnsi="Times New Roman" w:cs="Times New Roman"/>
          <w:color w:val="1F1F1F"/>
          <w:kern w:val="0"/>
          <w:sz w:val="24"/>
          <w:szCs w:val="24"/>
          <w:highlight w:val="yellow"/>
          <w:lang w:eastAsia="en-IN" w:bidi="hi-IN"/>
          <w14:ligatures w14:val="none"/>
        </w:rPr>
        <w:t>Becerra-</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Encinales</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J. F., Bernal-Hernandez, P.,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Beltrán-Giraldo</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J. A.,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Cooman</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A. P., Reyes, L. H., &amp; Cruz, J. C. (2024). Agricultural Extension for Adopting Technological Practices in Developing Countries: A Scoping Review of Barriers and Dimensions. Sustainability, 16(9), 3555. </w:t>
      </w:r>
      <w:hyperlink r:id="rId9" w:history="1">
        <w:r w:rsidRPr="0057170B">
          <w:rPr>
            <w:rStyle w:val="Hyperlink"/>
            <w:rFonts w:ascii="Times New Roman" w:eastAsia="Times New Roman" w:hAnsi="Times New Roman" w:cs="Times New Roman"/>
            <w:kern w:val="0"/>
            <w:sz w:val="24"/>
            <w:szCs w:val="24"/>
            <w:highlight w:val="yellow"/>
            <w:lang w:eastAsia="en-IN" w:bidi="hi-IN"/>
            <w14:ligatures w14:val="none"/>
          </w:rPr>
          <w:t>https://doi.org/10.3390/su16093555</w:t>
        </w:r>
      </w:hyperlink>
    </w:p>
    <w:p w14:paraId="12AA3B79" w14:textId="199150E5" w:rsidR="0057170B" w:rsidRPr="0057170B" w:rsidRDefault="0057170B" w:rsidP="00D53954">
      <w:pPr>
        <w:numPr>
          <w:ilvl w:val="0"/>
          <w:numId w:val="2"/>
        </w:numPr>
        <w:spacing w:after="0" w:line="240" w:lineRule="auto"/>
        <w:jc w:val="both"/>
        <w:rPr>
          <w:rFonts w:ascii="Times New Roman" w:eastAsia="Times New Roman" w:hAnsi="Times New Roman" w:cs="Times New Roman"/>
          <w:color w:val="1F1F1F"/>
          <w:kern w:val="0"/>
          <w:sz w:val="24"/>
          <w:szCs w:val="24"/>
          <w:highlight w:val="yellow"/>
          <w:lang w:eastAsia="en-IN" w:bidi="hi-IN"/>
          <w14:ligatures w14:val="none"/>
        </w:rPr>
      </w:pP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Ojo</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IE,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Akangbe</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JA, Kolawole EA, Owolabi AO,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Obaniyi</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KS, Ayeni MD, Adeniyi VA and Awe TE (2024) Constraints limiting the effectiveness of extension agents in disseminating climate-smart agricultural practices among rice farmers in north-Central Nigeria. Front.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Clim</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xml:space="preserve">. 6:1297225. </w:t>
      </w:r>
      <w:proofErr w:type="spellStart"/>
      <w:r w:rsidRPr="0057170B">
        <w:rPr>
          <w:rFonts w:ascii="Times New Roman" w:eastAsia="Times New Roman" w:hAnsi="Times New Roman" w:cs="Times New Roman"/>
          <w:color w:val="1F1F1F"/>
          <w:kern w:val="0"/>
          <w:sz w:val="24"/>
          <w:szCs w:val="24"/>
          <w:highlight w:val="yellow"/>
          <w:lang w:eastAsia="en-IN" w:bidi="hi-IN"/>
          <w14:ligatures w14:val="none"/>
        </w:rPr>
        <w:t>doi</w:t>
      </w:r>
      <w:proofErr w:type="spellEnd"/>
      <w:r w:rsidRPr="0057170B">
        <w:rPr>
          <w:rFonts w:ascii="Times New Roman" w:eastAsia="Times New Roman" w:hAnsi="Times New Roman" w:cs="Times New Roman"/>
          <w:color w:val="1F1F1F"/>
          <w:kern w:val="0"/>
          <w:sz w:val="24"/>
          <w:szCs w:val="24"/>
          <w:highlight w:val="yellow"/>
          <w:lang w:eastAsia="en-IN" w:bidi="hi-IN"/>
          <w14:ligatures w14:val="none"/>
        </w:rPr>
        <w:t>: 10.3389/fclim.2024.1297225</w:t>
      </w:r>
    </w:p>
    <w:p w14:paraId="20F0A2FF" w14:textId="77777777" w:rsidR="00CA1630" w:rsidRDefault="00CA1630" w:rsidP="00D53954">
      <w:pPr>
        <w:jc w:val="both"/>
        <w:rPr>
          <w:rFonts w:ascii="Times New Roman" w:hAnsi="Times New Roman" w:cs="Times New Roman"/>
        </w:rPr>
      </w:pPr>
    </w:p>
    <w:p w14:paraId="3B8EF78D"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 xml:space="preserve">Table 1. Distribution of respondents according to socio-personal characteristics </w:t>
      </w:r>
    </w:p>
    <w:tbl>
      <w:tblPr>
        <w:tblStyle w:val="TableGrid"/>
        <w:tblW w:w="9240" w:type="dxa"/>
        <w:tblLook w:val="04A0" w:firstRow="1" w:lastRow="0" w:firstColumn="1" w:lastColumn="0" w:noHBand="0" w:noVBand="1"/>
      </w:tblPr>
      <w:tblGrid>
        <w:gridCol w:w="2310"/>
        <w:gridCol w:w="2310"/>
        <w:gridCol w:w="2310"/>
        <w:gridCol w:w="2310"/>
      </w:tblGrid>
      <w:tr w:rsidR="000A2C67" w:rsidRPr="00D05002" w14:paraId="0C2A4182" w14:textId="77777777" w:rsidTr="0048069D">
        <w:tc>
          <w:tcPr>
            <w:tcW w:w="2310" w:type="dxa"/>
            <w:vAlign w:val="center"/>
          </w:tcPr>
          <w:p w14:paraId="76BBB80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Characteristic</w:t>
            </w:r>
          </w:p>
        </w:tc>
        <w:tc>
          <w:tcPr>
            <w:tcW w:w="2310" w:type="dxa"/>
            <w:vAlign w:val="center"/>
          </w:tcPr>
          <w:p w14:paraId="1A8F122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Category</w:t>
            </w:r>
          </w:p>
        </w:tc>
        <w:tc>
          <w:tcPr>
            <w:tcW w:w="2310" w:type="dxa"/>
            <w:vAlign w:val="center"/>
          </w:tcPr>
          <w:p w14:paraId="7DB7109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2310" w:type="dxa"/>
            <w:vAlign w:val="center"/>
          </w:tcPr>
          <w:p w14:paraId="73046F2F"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4652BBE7" w14:textId="77777777" w:rsidTr="0048069D">
        <w:tc>
          <w:tcPr>
            <w:tcW w:w="2310" w:type="dxa"/>
            <w:vAlign w:val="center"/>
          </w:tcPr>
          <w:p w14:paraId="4C1FCD3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Age (years)</w:t>
            </w:r>
          </w:p>
        </w:tc>
        <w:tc>
          <w:tcPr>
            <w:tcW w:w="2310" w:type="dxa"/>
            <w:vAlign w:val="center"/>
          </w:tcPr>
          <w:p w14:paraId="7B10077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Up to 30</w:t>
            </w:r>
          </w:p>
        </w:tc>
        <w:tc>
          <w:tcPr>
            <w:tcW w:w="2310" w:type="dxa"/>
            <w:vAlign w:val="center"/>
          </w:tcPr>
          <w:p w14:paraId="30FBA70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w:t>
            </w:r>
          </w:p>
        </w:tc>
        <w:tc>
          <w:tcPr>
            <w:tcW w:w="2310" w:type="dxa"/>
            <w:vAlign w:val="center"/>
          </w:tcPr>
          <w:p w14:paraId="41431A3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23.3</w:t>
            </w:r>
          </w:p>
        </w:tc>
      </w:tr>
      <w:tr w:rsidR="000A2C67" w:rsidRPr="00D05002" w14:paraId="7B213928" w14:textId="77777777" w:rsidTr="0048069D">
        <w:tc>
          <w:tcPr>
            <w:tcW w:w="2310" w:type="dxa"/>
            <w:vAlign w:val="center"/>
          </w:tcPr>
          <w:p w14:paraId="6EFF5EAA"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55DF801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31–45</w:t>
            </w:r>
          </w:p>
        </w:tc>
        <w:tc>
          <w:tcPr>
            <w:tcW w:w="2310" w:type="dxa"/>
            <w:vAlign w:val="center"/>
          </w:tcPr>
          <w:p w14:paraId="7A42C92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w:t>
            </w:r>
          </w:p>
        </w:tc>
        <w:tc>
          <w:tcPr>
            <w:tcW w:w="2310" w:type="dxa"/>
            <w:vAlign w:val="center"/>
          </w:tcPr>
          <w:p w14:paraId="6F2BB73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38.3</w:t>
            </w:r>
          </w:p>
        </w:tc>
      </w:tr>
      <w:tr w:rsidR="000A2C67" w:rsidRPr="00D05002" w14:paraId="43D13508" w14:textId="77777777" w:rsidTr="0048069D">
        <w:tc>
          <w:tcPr>
            <w:tcW w:w="2310" w:type="dxa"/>
            <w:vAlign w:val="center"/>
          </w:tcPr>
          <w:p w14:paraId="449AB4EF"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7E1C02F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46–60</w:t>
            </w:r>
          </w:p>
        </w:tc>
        <w:tc>
          <w:tcPr>
            <w:tcW w:w="2310" w:type="dxa"/>
            <w:vAlign w:val="center"/>
          </w:tcPr>
          <w:p w14:paraId="13AAF59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w:t>
            </w:r>
          </w:p>
        </w:tc>
        <w:tc>
          <w:tcPr>
            <w:tcW w:w="2310" w:type="dxa"/>
            <w:vAlign w:val="center"/>
          </w:tcPr>
          <w:p w14:paraId="209D0B8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28.3</w:t>
            </w:r>
          </w:p>
        </w:tc>
      </w:tr>
      <w:tr w:rsidR="000A2C67" w:rsidRPr="00D05002" w14:paraId="36B6E556" w14:textId="77777777" w:rsidTr="0048069D">
        <w:tc>
          <w:tcPr>
            <w:tcW w:w="2310" w:type="dxa"/>
            <w:vAlign w:val="center"/>
          </w:tcPr>
          <w:p w14:paraId="4BEC43B4"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41EE3B6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Above 60</w:t>
            </w:r>
          </w:p>
        </w:tc>
        <w:tc>
          <w:tcPr>
            <w:tcW w:w="2310" w:type="dxa"/>
            <w:vAlign w:val="center"/>
          </w:tcPr>
          <w:p w14:paraId="6B692D7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12</w:t>
            </w:r>
          </w:p>
        </w:tc>
        <w:tc>
          <w:tcPr>
            <w:tcW w:w="2310" w:type="dxa"/>
            <w:vAlign w:val="center"/>
          </w:tcPr>
          <w:p w14:paraId="3D02FD2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10.0</w:t>
            </w:r>
          </w:p>
        </w:tc>
      </w:tr>
      <w:tr w:rsidR="000A2C67" w:rsidRPr="00D05002" w14:paraId="07DE310D" w14:textId="77777777" w:rsidTr="0048069D">
        <w:tc>
          <w:tcPr>
            <w:tcW w:w="2310" w:type="dxa"/>
            <w:vAlign w:val="center"/>
          </w:tcPr>
          <w:p w14:paraId="2188ED1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Education</w:t>
            </w:r>
          </w:p>
        </w:tc>
        <w:tc>
          <w:tcPr>
            <w:tcW w:w="2310" w:type="dxa"/>
            <w:vAlign w:val="center"/>
          </w:tcPr>
          <w:p w14:paraId="1CFD0EF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Up to Primary</w:t>
            </w:r>
          </w:p>
        </w:tc>
        <w:tc>
          <w:tcPr>
            <w:tcW w:w="2310" w:type="dxa"/>
            <w:vAlign w:val="center"/>
          </w:tcPr>
          <w:p w14:paraId="33349BC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w:t>
            </w:r>
          </w:p>
        </w:tc>
        <w:tc>
          <w:tcPr>
            <w:tcW w:w="2310" w:type="dxa"/>
            <w:vAlign w:val="center"/>
          </w:tcPr>
          <w:p w14:paraId="0449376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30.0</w:t>
            </w:r>
          </w:p>
        </w:tc>
      </w:tr>
      <w:tr w:rsidR="000A2C67" w:rsidRPr="00D05002" w14:paraId="00D4AAE7" w14:textId="77777777" w:rsidTr="0048069D">
        <w:tc>
          <w:tcPr>
            <w:tcW w:w="2310" w:type="dxa"/>
            <w:vAlign w:val="center"/>
          </w:tcPr>
          <w:p w14:paraId="720C64A9"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607E964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Secondary</w:t>
            </w:r>
          </w:p>
        </w:tc>
        <w:tc>
          <w:tcPr>
            <w:tcW w:w="2310" w:type="dxa"/>
            <w:vAlign w:val="center"/>
          </w:tcPr>
          <w:p w14:paraId="7358682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w:t>
            </w:r>
          </w:p>
        </w:tc>
        <w:tc>
          <w:tcPr>
            <w:tcW w:w="2310" w:type="dxa"/>
            <w:vAlign w:val="center"/>
          </w:tcPr>
          <w:p w14:paraId="219F8C4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36.7</w:t>
            </w:r>
          </w:p>
        </w:tc>
      </w:tr>
      <w:tr w:rsidR="000A2C67" w:rsidRPr="00D05002" w14:paraId="1FE796C1" w14:textId="77777777" w:rsidTr="0048069D">
        <w:tc>
          <w:tcPr>
            <w:tcW w:w="2310" w:type="dxa"/>
            <w:vAlign w:val="center"/>
          </w:tcPr>
          <w:p w14:paraId="79AD1B1C"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0F5EE0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Higher Secondary</w:t>
            </w:r>
          </w:p>
        </w:tc>
        <w:tc>
          <w:tcPr>
            <w:tcW w:w="2310" w:type="dxa"/>
            <w:vAlign w:val="center"/>
          </w:tcPr>
          <w:p w14:paraId="75B9FE8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26</w:t>
            </w:r>
          </w:p>
        </w:tc>
        <w:tc>
          <w:tcPr>
            <w:tcW w:w="2310" w:type="dxa"/>
            <w:vAlign w:val="center"/>
          </w:tcPr>
          <w:p w14:paraId="7B66556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21.7</w:t>
            </w:r>
          </w:p>
        </w:tc>
      </w:tr>
      <w:tr w:rsidR="000A2C67" w:rsidRPr="00D05002" w14:paraId="2D4DD401" w14:textId="77777777" w:rsidTr="0048069D">
        <w:tc>
          <w:tcPr>
            <w:tcW w:w="2310" w:type="dxa"/>
            <w:vAlign w:val="center"/>
          </w:tcPr>
          <w:p w14:paraId="128F3C76"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1C0F463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Graduate &amp; above</w:t>
            </w:r>
          </w:p>
        </w:tc>
        <w:tc>
          <w:tcPr>
            <w:tcW w:w="2310" w:type="dxa"/>
            <w:vAlign w:val="center"/>
          </w:tcPr>
          <w:p w14:paraId="1106AE6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w:t>
            </w:r>
          </w:p>
        </w:tc>
        <w:tc>
          <w:tcPr>
            <w:tcW w:w="2310" w:type="dxa"/>
            <w:vAlign w:val="center"/>
          </w:tcPr>
          <w:p w14:paraId="485CDB1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11.6</w:t>
            </w:r>
          </w:p>
        </w:tc>
      </w:tr>
      <w:tr w:rsidR="000A2C67" w:rsidRPr="00D05002" w14:paraId="030B8348" w14:textId="77777777" w:rsidTr="0048069D">
        <w:tc>
          <w:tcPr>
            <w:tcW w:w="2310" w:type="dxa"/>
            <w:vAlign w:val="center"/>
          </w:tcPr>
          <w:p w14:paraId="1DCAEB4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Landholding</w:t>
            </w:r>
          </w:p>
        </w:tc>
        <w:tc>
          <w:tcPr>
            <w:tcW w:w="2310" w:type="dxa"/>
            <w:vAlign w:val="center"/>
          </w:tcPr>
          <w:p w14:paraId="0CAFDBA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Marginal</w:t>
            </w:r>
          </w:p>
        </w:tc>
        <w:tc>
          <w:tcPr>
            <w:tcW w:w="2310" w:type="dxa"/>
            <w:vAlign w:val="center"/>
          </w:tcPr>
          <w:p w14:paraId="5189801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48</w:t>
            </w:r>
          </w:p>
        </w:tc>
        <w:tc>
          <w:tcPr>
            <w:tcW w:w="2310" w:type="dxa"/>
            <w:vAlign w:val="center"/>
          </w:tcPr>
          <w:p w14:paraId="23049D1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40.0</w:t>
            </w:r>
          </w:p>
        </w:tc>
      </w:tr>
      <w:tr w:rsidR="000A2C67" w:rsidRPr="00D05002" w14:paraId="35C8AE14" w14:textId="77777777" w:rsidTr="0048069D">
        <w:tc>
          <w:tcPr>
            <w:tcW w:w="2310" w:type="dxa"/>
            <w:vAlign w:val="center"/>
          </w:tcPr>
          <w:p w14:paraId="6BB8014C"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D16BDE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Small</w:t>
            </w:r>
          </w:p>
        </w:tc>
        <w:tc>
          <w:tcPr>
            <w:tcW w:w="2310" w:type="dxa"/>
            <w:vAlign w:val="center"/>
          </w:tcPr>
          <w:p w14:paraId="3C7FB95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42</w:t>
            </w:r>
          </w:p>
        </w:tc>
        <w:tc>
          <w:tcPr>
            <w:tcW w:w="2310" w:type="dxa"/>
            <w:vAlign w:val="center"/>
          </w:tcPr>
          <w:p w14:paraId="0AF6B69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35.0</w:t>
            </w:r>
          </w:p>
        </w:tc>
      </w:tr>
      <w:tr w:rsidR="000A2C67" w:rsidRPr="00D05002" w14:paraId="1B5509B7" w14:textId="77777777" w:rsidTr="0048069D">
        <w:tc>
          <w:tcPr>
            <w:tcW w:w="2310" w:type="dxa"/>
            <w:vAlign w:val="center"/>
          </w:tcPr>
          <w:p w14:paraId="6ECB1792"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05421D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2310" w:type="dxa"/>
            <w:vAlign w:val="center"/>
          </w:tcPr>
          <w:p w14:paraId="36A415C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20</w:t>
            </w:r>
          </w:p>
        </w:tc>
        <w:tc>
          <w:tcPr>
            <w:tcW w:w="2310" w:type="dxa"/>
            <w:vAlign w:val="center"/>
          </w:tcPr>
          <w:p w14:paraId="4FE4E5E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16.7</w:t>
            </w:r>
          </w:p>
        </w:tc>
      </w:tr>
      <w:tr w:rsidR="000A2C67" w:rsidRPr="00D05002" w14:paraId="416CD98A" w14:textId="77777777" w:rsidTr="0048069D">
        <w:tc>
          <w:tcPr>
            <w:tcW w:w="2310" w:type="dxa"/>
            <w:vAlign w:val="center"/>
          </w:tcPr>
          <w:p w14:paraId="286284CD"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668D85B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Large</w:t>
            </w:r>
          </w:p>
        </w:tc>
        <w:tc>
          <w:tcPr>
            <w:tcW w:w="2310" w:type="dxa"/>
            <w:vAlign w:val="center"/>
          </w:tcPr>
          <w:p w14:paraId="5E4F7DC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w:t>
            </w:r>
          </w:p>
        </w:tc>
        <w:tc>
          <w:tcPr>
            <w:tcW w:w="2310" w:type="dxa"/>
            <w:vAlign w:val="center"/>
          </w:tcPr>
          <w:p w14:paraId="2A98C2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w:t>
            </w:r>
          </w:p>
        </w:tc>
      </w:tr>
      <w:tr w:rsidR="000A2C67" w:rsidRPr="00D05002" w14:paraId="75488E5A" w14:textId="77777777" w:rsidTr="0048069D">
        <w:tc>
          <w:tcPr>
            <w:tcW w:w="2310" w:type="dxa"/>
            <w:vAlign w:val="center"/>
          </w:tcPr>
          <w:p w14:paraId="07E26B1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Smartphone ownership</w:t>
            </w:r>
          </w:p>
        </w:tc>
        <w:tc>
          <w:tcPr>
            <w:tcW w:w="2310" w:type="dxa"/>
            <w:vAlign w:val="center"/>
          </w:tcPr>
          <w:p w14:paraId="1431F5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Yes</w:t>
            </w:r>
          </w:p>
        </w:tc>
        <w:tc>
          <w:tcPr>
            <w:tcW w:w="2310" w:type="dxa"/>
            <w:vAlign w:val="center"/>
          </w:tcPr>
          <w:p w14:paraId="5BB024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112</w:t>
            </w:r>
          </w:p>
        </w:tc>
        <w:tc>
          <w:tcPr>
            <w:tcW w:w="2310" w:type="dxa"/>
            <w:vAlign w:val="center"/>
          </w:tcPr>
          <w:p w14:paraId="0F817A9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93.3</w:t>
            </w:r>
          </w:p>
        </w:tc>
      </w:tr>
      <w:tr w:rsidR="000A2C67" w:rsidRPr="00D05002" w14:paraId="6398A5CD" w14:textId="77777777" w:rsidTr="0048069D">
        <w:tc>
          <w:tcPr>
            <w:tcW w:w="2310" w:type="dxa"/>
            <w:vAlign w:val="center"/>
          </w:tcPr>
          <w:p w14:paraId="7B8A05E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Internet access</w:t>
            </w:r>
          </w:p>
        </w:tc>
        <w:tc>
          <w:tcPr>
            <w:tcW w:w="2310" w:type="dxa"/>
            <w:vAlign w:val="center"/>
          </w:tcPr>
          <w:p w14:paraId="791289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Regular/Occasional</w:t>
            </w:r>
          </w:p>
        </w:tc>
        <w:tc>
          <w:tcPr>
            <w:tcW w:w="2310" w:type="dxa"/>
            <w:vAlign w:val="center"/>
          </w:tcPr>
          <w:p w14:paraId="573B623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98</w:t>
            </w:r>
          </w:p>
        </w:tc>
        <w:tc>
          <w:tcPr>
            <w:tcW w:w="2310" w:type="dxa"/>
            <w:vAlign w:val="center"/>
          </w:tcPr>
          <w:p w14:paraId="1C32CAB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81.7</w:t>
            </w:r>
          </w:p>
        </w:tc>
      </w:tr>
    </w:tbl>
    <w:p w14:paraId="721D8DF3"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72DB935E"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2. Awareness of QR code–based digital extension services</w:t>
      </w:r>
    </w:p>
    <w:tbl>
      <w:tblPr>
        <w:tblStyle w:val="TableGrid"/>
        <w:tblW w:w="9240" w:type="dxa"/>
        <w:tblLook w:val="04A0" w:firstRow="1" w:lastRow="0" w:firstColumn="1" w:lastColumn="0" w:noHBand="0" w:noVBand="1"/>
      </w:tblPr>
      <w:tblGrid>
        <w:gridCol w:w="3080"/>
        <w:gridCol w:w="3080"/>
        <w:gridCol w:w="3080"/>
      </w:tblGrid>
      <w:tr w:rsidR="000A2C67" w:rsidRPr="00D05002" w14:paraId="567FAC9E" w14:textId="77777777" w:rsidTr="0048069D">
        <w:tc>
          <w:tcPr>
            <w:tcW w:w="3080" w:type="dxa"/>
            <w:vAlign w:val="center"/>
          </w:tcPr>
          <w:p w14:paraId="6CB17328"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Awareness component</w:t>
            </w:r>
          </w:p>
        </w:tc>
        <w:tc>
          <w:tcPr>
            <w:tcW w:w="3080" w:type="dxa"/>
            <w:vAlign w:val="center"/>
          </w:tcPr>
          <w:p w14:paraId="6E9BC90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 (Max. 1)</w:t>
            </w:r>
          </w:p>
        </w:tc>
        <w:tc>
          <w:tcPr>
            <w:tcW w:w="3080" w:type="dxa"/>
            <w:vAlign w:val="center"/>
          </w:tcPr>
          <w:p w14:paraId="697C095A"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Awareness (%)</w:t>
            </w:r>
          </w:p>
        </w:tc>
      </w:tr>
      <w:tr w:rsidR="000A2C67" w:rsidRPr="00D05002" w14:paraId="0AF9188D" w14:textId="77777777" w:rsidTr="0048069D">
        <w:tc>
          <w:tcPr>
            <w:tcW w:w="3080" w:type="dxa"/>
            <w:vAlign w:val="center"/>
          </w:tcPr>
          <w:p w14:paraId="7B0E0AF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Awareness of QR code availability</w:t>
            </w:r>
          </w:p>
        </w:tc>
        <w:tc>
          <w:tcPr>
            <w:tcW w:w="3080" w:type="dxa"/>
            <w:vAlign w:val="center"/>
          </w:tcPr>
          <w:p w14:paraId="64C71F8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0.91</w:t>
            </w:r>
          </w:p>
        </w:tc>
        <w:tc>
          <w:tcPr>
            <w:tcW w:w="3080" w:type="dxa"/>
            <w:vAlign w:val="center"/>
          </w:tcPr>
          <w:p w14:paraId="4610BB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91.0</w:t>
            </w:r>
          </w:p>
        </w:tc>
      </w:tr>
      <w:tr w:rsidR="000A2C67" w:rsidRPr="00D05002" w14:paraId="244B1A66" w14:textId="77777777" w:rsidTr="0048069D">
        <w:tc>
          <w:tcPr>
            <w:tcW w:w="3080" w:type="dxa"/>
            <w:vAlign w:val="center"/>
          </w:tcPr>
          <w:p w14:paraId="112F8F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Knowledge of purpose</w:t>
            </w:r>
          </w:p>
        </w:tc>
        <w:tc>
          <w:tcPr>
            <w:tcW w:w="3080" w:type="dxa"/>
            <w:vAlign w:val="center"/>
          </w:tcPr>
          <w:p w14:paraId="689CFC0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0.86</w:t>
            </w:r>
          </w:p>
        </w:tc>
        <w:tc>
          <w:tcPr>
            <w:tcW w:w="3080" w:type="dxa"/>
            <w:vAlign w:val="center"/>
          </w:tcPr>
          <w:p w14:paraId="697E107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86.0</w:t>
            </w:r>
          </w:p>
        </w:tc>
      </w:tr>
      <w:tr w:rsidR="000A2C67" w:rsidRPr="00D05002" w14:paraId="01FC0624" w14:textId="77777777" w:rsidTr="0048069D">
        <w:tc>
          <w:tcPr>
            <w:tcW w:w="3080" w:type="dxa"/>
            <w:vAlign w:val="center"/>
          </w:tcPr>
          <w:p w14:paraId="70407B1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lastRenderedPageBreak/>
              <w:t>Knowledge of display locations</w:t>
            </w:r>
          </w:p>
        </w:tc>
        <w:tc>
          <w:tcPr>
            <w:tcW w:w="3080" w:type="dxa"/>
            <w:vAlign w:val="center"/>
          </w:tcPr>
          <w:p w14:paraId="74C0135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0.79</w:t>
            </w:r>
          </w:p>
        </w:tc>
        <w:tc>
          <w:tcPr>
            <w:tcW w:w="3080" w:type="dxa"/>
            <w:vAlign w:val="center"/>
          </w:tcPr>
          <w:p w14:paraId="07B33B7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79.0</w:t>
            </w:r>
          </w:p>
        </w:tc>
      </w:tr>
      <w:tr w:rsidR="000A2C67" w:rsidRPr="00D05002" w14:paraId="5A7E871F" w14:textId="77777777" w:rsidTr="0048069D">
        <w:tc>
          <w:tcPr>
            <w:tcW w:w="3080" w:type="dxa"/>
            <w:vAlign w:val="center"/>
          </w:tcPr>
          <w:p w14:paraId="3C844D5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Awareness of topic categories</w:t>
            </w:r>
          </w:p>
        </w:tc>
        <w:tc>
          <w:tcPr>
            <w:tcW w:w="3080" w:type="dxa"/>
            <w:vAlign w:val="center"/>
          </w:tcPr>
          <w:p w14:paraId="3A991B7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0.83</w:t>
            </w:r>
          </w:p>
        </w:tc>
        <w:tc>
          <w:tcPr>
            <w:tcW w:w="3080" w:type="dxa"/>
            <w:vAlign w:val="center"/>
          </w:tcPr>
          <w:p w14:paraId="1EC0836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83.0</w:t>
            </w:r>
          </w:p>
        </w:tc>
      </w:tr>
      <w:tr w:rsidR="000A2C67" w:rsidRPr="00D05002" w14:paraId="28C47D56" w14:textId="77777777" w:rsidTr="0048069D">
        <w:tc>
          <w:tcPr>
            <w:tcW w:w="3080" w:type="dxa"/>
            <w:vAlign w:val="center"/>
          </w:tcPr>
          <w:p w14:paraId="431295A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Overall awareness</w:t>
            </w:r>
          </w:p>
        </w:tc>
        <w:tc>
          <w:tcPr>
            <w:tcW w:w="3080" w:type="dxa"/>
            <w:vAlign w:val="center"/>
          </w:tcPr>
          <w:p w14:paraId="3B03853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3.39 / 4</w:t>
            </w:r>
          </w:p>
        </w:tc>
        <w:tc>
          <w:tcPr>
            <w:tcW w:w="3080" w:type="dxa"/>
            <w:vAlign w:val="center"/>
          </w:tcPr>
          <w:p w14:paraId="1119E07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84.8</w:t>
            </w:r>
          </w:p>
        </w:tc>
      </w:tr>
    </w:tbl>
    <w:p w14:paraId="150912C1"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2126AB"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3. Distribution of respondents according to digital literacy level</w:t>
      </w:r>
    </w:p>
    <w:tbl>
      <w:tblPr>
        <w:tblStyle w:val="TableGrid"/>
        <w:tblW w:w="9240" w:type="dxa"/>
        <w:tblLook w:val="04A0" w:firstRow="1" w:lastRow="0" w:firstColumn="1" w:lastColumn="0" w:noHBand="0" w:noVBand="1"/>
      </w:tblPr>
      <w:tblGrid>
        <w:gridCol w:w="3080"/>
        <w:gridCol w:w="3080"/>
        <w:gridCol w:w="3080"/>
      </w:tblGrid>
      <w:tr w:rsidR="000A2C67" w:rsidRPr="00D05002" w14:paraId="4F0234A9" w14:textId="77777777" w:rsidTr="0048069D">
        <w:tc>
          <w:tcPr>
            <w:tcW w:w="3080" w:type="dxa"/>
            <w:vAlign w:val="center"/>
          </w:tcPr>
          <w:p w14:paraId="4AD53C9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Digital literacy level</w:t>
            </w:r>
          </w:p>
        </w:tc>
        <w:tc>
          <w:tcPr>
            <w:tcW w:w="3080" w:type="dxa"/>
            <w:vAlign w:val="center"/>
          </w:tcPr>
          <w:p w14:paraId="71818DB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3080" w:type="dxa"/>
            <w:vAlign w:val="center"/>
          </w:tcPr>
          <w:p w14:paraId="1225CBA5"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24F629A5" w14:textId="77777777" w:rsidTr="0048069D">
        <w:tc>
          <w:tcPr>
            <w:tcW w:w="3080" w:type="dxa"/>
            <w:vAlign w:val="center"/>
          </w:tcPr>
          <w:p w14:paraId="22AB085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3080" w:type="dxa"/>
            <w:vAlign w:val="center"/>
          </w:tcPr>
          <w:p w14:paraId="166AEBD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w:t>
            </w:r>
          </w:p>
        </w:tc>
        <w:tc>
          <w:tcPr>
            <w:tcW w:w="3080" w:type="dxa"/>
            <w:vAlign w:val="center"/>
          </w:tcPr>
          <w:p w14:paraId="1EE727F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15.0</w:t>
            </w:r>
          </w:p>
        </w:tc>
      </w:tr>
      <w:tr w:rsidR="000A2C67" w:rsidRPr="00D05002" w14:paraId="5200B97A" w14:textId="77777777" w:rsidTr="0048069D">
        <w:tc>
          <w:tcPr>
            <w:tcW w:w="3080" w:type="dxa"/>
            <w:vAlign w:val="center"/>
          </w:tcPr>
          <w:p w14:paraId="12A867C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3080" w:type="dxa"/>
            <w:vAlign w:val="center"/>
          </w:tcPr>
          <w:p w14:paraId="61A1DFA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64</w:t>
            </w:r>
          </w:p>
        </w:tc>
        <w:tc>
          <w:tcPr>
            <w:tcW w:w="3080" w:type="dxa"/>
            <w:vAlign w:val="center"/>
          </w:tcPr>
          <w:p w14:paraId="1A0F24B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53.3</w:t>
            </w:r>
          </w:p>
        </w:tc>
      </w:tr>
      <w:tr w:rsidR="000A2C67" w:rsidRPr="00D05002" w14:paraId="3C2183C5" w14:textId="77777777" w:rsidTr="0048069D">
        <w:tc>
          <w:tcPr>
            <w:tcW w:w="3080" w:type="dxa"/>
            <w:vAlign w:val="center"/>
          </w:tcPr>
          <w:p w14:paraId="00D8693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3080" w:type="dxa"/>
            <w:vAlign w:val="center"/>
          </w:tcPr>
          <w:p w14:paraId="0949526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w:t>
            </w:r>
          </w:p>
        </w:tc>
        <w:tc>
          <w:tcPr>
            <w:tcW w:w="3080" w:type="dxa"/>
            <w:vAlign w:val="center"/>
          </w:tcPr>
          <w:p w14:paraId="5CEAF0B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31.7</w:t>
            </w:r>
          </w:p>
        </w:tc>
      </w:tr>
      <w:tr w:rsidR="000A2C67" w:rsidRPr="00D05002" w14:paraId="38F0F06D" w14:textId="77777777" w:rsidTr="0048069D">
        <w:tc>
          <w:tcPr>
            <w:tcW w:w="3080" w:type="dxa"/>
            <w:vAlign w:val="center"/>
          </w:tcPr>
          <w:p w14:paraId="6CC8F24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7403AC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4C000C9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0E445613"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digital literacy score: 5.9 ± 1.4 (Max. score = 8)</w:t>
      </w:r>
    </w:p>
    <w:p w14:paraId="6EA6CD86"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027777B"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4. Frequency of QR code usage by respondents</w:t>
      </w:r>
    </w:p>
    <w:tbl>
      <w:tblPr>
        <w:tblStyle w:val="TableGrid"/>
        <w:tblW w:w="9240" w:type="dxa"/>
        <w:tblLook w:val="04A0" w:firstRow="1" w:lastRow="0" w:firstColumn="1" w:lastColumn="0" w:noHBand="0" w:noVBand="1"/>
      </w:tblPr>
      <w:tblGrid>
        <w:gridCol w:w="3080"/>
        <w:gridCol w:w="3080"/>
        <w:gridCol w:w="3080"/>
      </w:tblGrid>
      <w:tr w:rsidR="000A2C67" w:rsidRPr="00D05002" w14:paraId="5A1986E0" w14:textId="77777777" w:rsidTr="0048069D">
        <w:tc>
          <w:tcPr>
            <w:tcW w:w="3080" w:type="dxa"/>
            <w:vAlign w:val="center"/>
          </w:tcPr>
          <w:p w14:paraId="551F6F71"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Usage frequency</w:t>
            </w:r>
          </w:p>
        </w:tc>
        <w:tc>
          <w:tcPr>
            <w:tcW w:w="3080" w:type="dxa"/>
            <w:vAlign w:val="center"/>
          </w:tcPr>
          <w:p w14:paraId="3203200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Respondents</w:t>
            </w:r>
          </w:p>
        </w:tc>
        <w:tc>
          <w:tcPr>
            <w:tcW w:w="3080" w:type="dxa"/>
            <w:vAlign w:val="center"/>
          </w:tcPr>
          <w:p w14:paraId="3CEFE46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33B34A15" w14:textId="77777777" w:rsidTr="0048069D">
        <w:tc>
          <w:tcPr>
            <w:tcW w:w="3080" w:type="dxa"/>
            <w:vAlign w:val="center"/>
          </w:tcPr>
          <w:p w14:paraId="2058223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Daily</w:t>
            </w:r>
          </w:p>
        </w:tc>
        <w:tc>
          <w:tcPr>
            <w:tcW w:w="3080" w:type="dxa"/>
            <w:vAlign w:val="center"/>
          </w:tcPr>
          <w:p w14:paraId="7025152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w:t>
            </w:r>
          </w:p>
        </w:tc>
        <w:tc>
          <w:tcPr>
            <w:tcW w:w="3080" w:type="dxa"/>
            <w:vAlign w:val="center"/>
          </w:tcPr>
          <w:p w14:paraId="59A896F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11.7</w:t>
            </w:r>
          </w:p>
        </w:tc>
      </w:tr>
      <w:tr w:rsidR="000A2C67" w:rsidRPr="00D05002" w14:paraId="516C2C72" w14:textId="77777777" w:rsidTr="0048069D">
        <w:tc>
          <w:tcPr>
            <w:tcW w:w="3080" w:type="dxa"/>
            <w:vAlign w:val="center"/>
          </w:tcPr>
          <w:p w14:paraId="002DD9C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Weekly</w:t>
            </w:r>
          </w:p>
        </w:tc>
        <w:tc>
          <w:tcPr>
            <w:tcW w:w="3080" w:type="dxa"/>
            <w:vAlign w:val="center"/>
          </w:tcPr>
          <w:p w14:paraId="7A0777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w:t>
            </w:r>
          </w:p>
        </w:tc>
        <w:tc>
          <w:tcPr>
            <w:tcW w:w="3080" w:type="dxa"/>
            <w:vAlign w:val="center"/>
          </w:tcPr>
          <w:p w14:paraId="0B83915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30.0</w:t>
            </w:r>
          </w:p>
        </w:tc>
      </w:tr>
      <w:tr w:rsidR="000A2C67" w:rsidRPr="00D05002" w14:paraId="3F9AA804" w14:textId="77777777" w:rsidTr="0048069D">
        <w:tc>
          <w:tcPr>
            <w:tcW w:w="3080" w:type="dxa"/>
            <w:vAlign w:val="center"/>
          </w:tcPr>
          <w:p w14:paraId="3DF1E9D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Fortnightly</w:t>
            </w:r>
          </w:p>
        </w:tc>
        <w:tc>
          <w:tcPr>
            <w:tcW w:w="3080" w:type="dxa"/>
            <w:vAlign w:val="center"/>
          </w:tcPr>
          <w:p w14:paraId="04A450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w:t>
            </w:r>
          </w:p>
        </w:tc>
        <w:tc>
          <w:tcPr>
            <w:tcW w:w="3080" w:type="dxa"/>
            <w:vAlign w:val="center"/>
          </w:tcPr>
          <w:p w14:paraId="2EBA63F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23.3</w:t>
            </w:r>
          </w:p>
        </w:tc>
      </w:tr>
      <w:tr w:rsidR="000A2C67" w:rsidRPr="00D05002" w14:paraId="0DB7B334" w14:textId="77777777" w:rsidTr="0048069D">
        <w:tc>
          <w:tcPr>
            <w:tcW w:w="3080" w:type="dxa"/>
            <w:vAlign w:val="center"/>
          </w:tcPr>
          <w:p w14:paraId="2B2C89C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Monthly</w:t>
            </w:r>
          </w:p>
        </w:tc>
        <w:tc>
          <w:tcPr>
            <w:tcW w:w="3080" w:type="dxa"/>
            <w:vAlign w:val="center"/>
          </w:tcPr>
          <w:p w14:paraId="66AD84F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22</w:t>
            </w:r>
          </w:p>
        </w:tc>
        <w:tc>
          <w:tcPr>
            <w:tcW w:w="3080" w:type="dxa"/>
            <w:vAlign w:val="center"/>
          </w:tcPr>
          <w:p w14:paraId="29D28EA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18.3</w:t>
            </w:r>
          </w:p>
        </w:tc>
      </w:tr>
      <w:tr w:rsidR="000A2C67" w:rsidRPr="00D05002" w14:paraId="5DF3CDDE" w14:textId="77777777" w:rsidTr="0048069D">
        <w:tc>
          <w:tcPr>
            <w:tcW w:w="3080" w:type="dxa"/>
            <w:vAlign w:val="center"/>
          </w:tcPr>
          <w:p w14:paraId="5B62822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Occasionally</w:t>
            </w:r>
          </w:p>
        </w:tc>
        <w:tc>
          <w:tcPr>
            <w:tcW w:w="3080" w:type="dxa"/>
            <w:vAlign w:val="center"/>
          </w:tcPr>
          <w:p w14:paraId="6D279E6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20</w:t>
            </w:r>
          </w:p>
        </w:tc>
        <w:tc>
          <w:tcPr>
            <w:tcW w:w="3080" w:type="dxa"/>
            <w:vAlign w:val="center"/>
          </w:tcPr>
          <w:p w14:paraId="23F3E06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16.7</w:t>
            </w:r>
          </w:p>
        </w:tc>
      </w:tr>
      <w:tr w:rsidR="000A2C67" w:rsidRPr="00D05002" w14:paraId="6ECFA308" w14:textId="77777777" w:rsidTr="0048069D">
        <w:tc>
          <w:tcPr>
            <w:tcW w:w="3080" w:type="dxa"/>
            <w:vAlign w:val="center"/>
          </w:tcPr>
          <w:p w14:paraId="6D2D955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08C60BD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30C0C84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2EAE4AF1"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6F7DBBB7" w14:textId="77777777" w:rsidR="000A2C67" w:rsidRPr="00D05002" w:rsidRDefault="000A2C67" w:rsidP="000A2C67">
      <w:pPr>
        <w:spacing w:after="0" w:line="240" w:lineRule="auto"/>
        <w:jc w:val="both"/>
        <w:rPr>
          <w:rFonts w:ascii="Times New Roman" w:eastAsia="Times New Roman" w:hAnsi="Times New Roman" w:cs="Times New Roman"/>
          <w:b/>
          <w:bCs/>
          <w:sz w:val="24"/>
          <w:szCs w:val="24"/>
          <w:lang w:eastAsia="en-IN"/>
        </w:rPr>
      </w:pPr>
    </w:p>
    <w:p w14:paraId="45975637"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5. Information access through QR code–based digital extension</w:t>
      </w:r>
    </w:p>
    <w:tbl>
      <w:tblPr>
        <w:tblStyle w:val="TableGrid"/>
        <w:tblW w:w="5000" w:type="pct"/>
        <w:tblLook w:val="04A0" w:firstRow="1" w:lastRow="0" w:firstColumn="1" w:lastColumn="0" w:noHBand="0" w:noVBand="1"/>
      </w:tblPr>
      <w:tblGrid>
        <w:gridCol w:w="5328"/>
        <w:gridCol w:w="3688"/>
      </w:tblGrid>
      <w:tr w:rsidR="000A2C67" w:rsidRPr="00D05002" w14:paraId="22C9B300" w14:textId="77777777" w:rsidTr="0048069D">
        <w:tc>
          <w:tcPr>
            <w:tcW w:w="2955" w:type="pct"/>
            <w:vAlign w:val="center"/>
          </w:tcPr>
          <w:p w14:paraId="59D343D6"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Parameter</w:t>
            </w:r>
          </w:p>
        </w:tc>
        <w:tc>
          <w:tcPr>
            <w:tcW w:w="2045" w:type="pct"/>
            <w:vAlign w:val="center"/>
          </w:tcPr>
          <w:p w14:paraId="18DE4A0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 (Max. 5)</w:t>
            </w:r>
          </w:p>
        </w:tc>
      </w:tr>
      <w:tr w:rsidR="000A2C67" w:rsidRPr="00D05002" w14:paraId="7FE5E6DF" w14:textId="77777777" w:rsidTr="0048069D">
        <w:tc>
          <w:tcPr>
            <w:tcW w:w="2955" w:type="pct"/>
            <w:vAlign w:val="center"/>
          </w:tcPr>
          <w:p w14:paraId="2EE4C80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Ease of access</w:t>
            </w:r>
          </w:p>
        </w:tc>
        <w:tc>
          <w:tcPr>
            <w:tcW w:w="2045" w:type="pct"/>
            <w:vAlign w:val="center"/>
          </w:tcPr>
          <w:p w14:paraId="19DAF49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4.32</w:t>
            </w:r>
          </w:p>
        </w:tc>
      </w:tr>
      <w:tr w:rsidR="000A2C67" w:rsidRPr="00D05002" w14:paraId="294A5DE3" w14:textId="77777777" w:rsidTr="0048069D">
        <w:tc>
          <w:tcPr>
            <w:tcW w:w="2955" w:type="pct"/>
            <w:vAlign w:val="center"/>
          </w:tcPr>
          <w:p w14:paraId="31D6E4A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Relevance to farming needs</w:t>
            </w:r>
          </w:p>
        </w:tc>
        <w:tc>
          <w:tcPr>
            <w:tcW w:w="2045" w:type="pct"/>
            <w:vAlign w:val="center"/>
          </w:tcPr>
          <w:p w14:paraId="1C0FE82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4.18</w:t>
            </w:r>
          </w:p>
        </w:tc>
      </w:tr>
      <w:tr w:rsidR="000A2C67" w:rsidRPr="00D05002" w14:paraId="43F44BED" w14:textId="77777777" w:rsidTr="0048069D">
        <w:tc>
          <w:tcPr>
            <w:tcW w:w="2955" w:type="pct"/>
            <w:vAlign w:val="center"/>
          </w:tcPr>
          <w:p w14:paraId="2500A40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Timeliness of information</w:t>
            </w:r>
          </w:p>
        </w:tc>
        <w:tc>
          <w:tcPr>
            <w:tcW w:w="2045" w:type="pct"/>
            <w:vAlign w:val="center"/>
          </w:tcPr>
          <w:p w14:paraId="24A0B2B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4.06</w:t>
            </w:r>
          </w:p>
        </w:tc>
      </w:tr>
      <w:tr w:rsidR="000A2C67" w:rsidRPr="00D05002" w14:paraId="2D44A055" w14:textId="77777777" w:rsidTr="0048069D">
        <w:tc>
          <w:tcPr>
            <w:tcW w:w="2955" w:type="pct"/>
            <w:vAlign w:val="center"/>
          </w:tcPr>
          <w:p w14:paraId="0E11A73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Support to decision-making</w:t>
            </w:r>
          </w:p>
        </w:tc>
        <w:tc>
          <w:tcPr>
            <w:tcW w:w="2045" w:type="pct"/>
            <w:vAlign w:val="center"/>
          </w:tcPr>
          <w:p w14:paraId="5648432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3.98</w:t>
            </w:r>
          </w:p>
        </w:tc>
      </w:tr>
      <w:tr w:rsidR="000A2C67" w:rsidRPr="00D05002" w14:paraId="2CC44D60" w14:textId="77777777" w:rsidTr="0048069D">
        <w:tc>
          <w:tcPr>
            <w:tcW w:w="2955" w:type="pct"/>
            <w:vAlign w:val="center"/>
          </w:tcPr>
          <w:p w14:paraId="3CC7B81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Language simplicity</w:t>
            </w:r>
          </w:p>
        </w:tc>
        <w:tc>
          <w:tcPr>
            <w:tcW w:w="2045" w:type="pct"/>
            <w:vAlign w:val="center"/>
          </w:tcPr>
          <w:p w14:paraId="54ED403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4.41</w:t>
            </w:r>
          </w:p>
        </w:tc>
      </w:tr>
      <w:tr w:rsidR="000A2C67" w:rsidRPr="00D05002" w14:paraId="4CAFF1AB" w14:textId="77777777" w:rsidTr="0048069D">
        <w:tc>
          <w:tcPr>
            <w:tcW w:w="2955" w:type="pct"/>
            <w:vAlign w:val="center"/>
          </w:tcPr>
          <w:p w14:paraId="01D930D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Proper categorization of content</w:t>
            </w:r>
          </w:p>
        </w:tc>
        <w:tc>
          <w:tcPr>
            <w:tcW w:w="2045" w:type="pct"/>
            <w:vAlign w:val="center"/>
          </w:tcPr>
          <w:p w14:paraId="0433A7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4.36</w:t>
            </w:r>
          </w:p>
        </w:tc>
      </w:tr>
      <w:tr w:rsidR="000A2C67" w:rsidRPr="00D05002" w14:paraId="5EF731C0" w14:textId="77777777" w:rsidTr="0048069D">
        <w:tc>
          <w:tcPr>
            <w:tcW w:w="2955" w:type="pct"/>
            <w:vAlign w:val="center"/>
          </w:tcPr>
          <w:p w14:paraId="14D6F9F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Anytime, anywhere accessibility</w:t>
            </w:r>
          </w:p>
        </w:tc>
        <w:tc>
          <w:tcPr>
            <w:tcW w:w="2045" w:type="pct"/>
            <w:vAlign w:val="center"/>
          </w:tcPr>
          <w:p w14:paraId="1641376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4.48</w:t>
            </w:r>
          </w:p>
        </w:tc>
      </w:tr>
      <w:tr w:rsidR="000A2C67" w:rsidRPr="00D05002" w14:paraId="0A19BECF" w14:textId="77777777" w:rsidTr="0048069D">
        <w:tc>
          <w:tcPr>
            <w:tcW w:w="2955" w:type="pct"/>
            <w:vAlign w:val="center"/>
          </w:tcPr>
          <w:p w14:paraId="4C3C699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Reduced need to visit KVK</w:t>
            </w:r>
          </w:p>
        </w:tc>
        <w:tc>
          <w:tcPr>
            <w:tcW w:w="2045" w:type="pct"/>
            <w:vAlign w:val="center"/>
          </w:tcPr>
          <w:p w14:paraId="44ABB3B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3.92</w:t>
            </w:r>
          </w:p>
        </w:tc>
      </w:tr>
      <w:tr w:rsidR="000A2C67" w:rsidRPr="00D05002" w14:paraId="26B2EC8B" w14:textId="77777777" w:rsidTr="0048069D">
        <w:tc>
          <w:tcPr>
            <w:tcW w:w="2955" w:type="pct"/>
            <w:vAlign w:val="center"/>
          </w:tcPr>
          <w:p w14:paraId="18B9CA7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Overall mean score</w:t>
            </w:r>
          </w:p>
        </w:tc>
        <w:tc>
          <w:tcPr>
            <w:tcW w:w="2045" w:type="pct"/>
            <w:vAlign w:val="center"/>
          </w:tcPr>
          <w:p w14:paraId="2A98103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4.21</w:t>
            </w:r>
          </w:p>
        </w:tc>
      </w:tr>
    </w:tbl>
    <w:p w14:paraId="39294CD0"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0074A9DF"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16A58F7B"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687E0F64"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6. Knowledge gain due to QR code–based digital extension</w:t>
      </w:r>
    </w:p>
    <w:tbl>
      <w:tblPr>
        <w:tblStyle w:val="TableGrid"/>
        <w:tblW w:w="9240" w:type="dxa"/>
        <w:tblLook w:val="04A0" w:firstRow="1" w:lastRow="0" w:firstColumn="1" w:lastColumn="0" w:noHBand="0" w:noVBand="1"/>
      </w:tblPr>
      <w:tblGrid>
        <w:gridCol w:w="3080"/>
        <w:gridCol w:w="3080"/>
        <w:gridCol w:w="3080"/>
      </w:tblGrid>
      <w:tr w:rsidR="000A2C67" w:rsidRPr="00D05002" w14:paraId="2E6B98D4" w14:textId="77777777" w:rsidTr="0048069D">
        <w:tc>
          <w:tcPr>
            <w:tcW w:w="3080" w:type="dxa"/>
            <w:vAlign w:val="center"/>
          </w:tcPr>
          <w:p w14:paraId="47214D0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Stage</w:t>
            </w:r>
          </w:p>
        </w:tc>
        <w:tc>
          <w:tcPr>
            <w:tcW w:w="3080" w:type="dxa"/>
            <w:vAlign w:val="center"/>
          </w:tcPr>
          <w:p w14:paraId="6394D1AB"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w:t>
            </w:r>
          </w:p>
        </w:tc>
        <w:tc>
          <w:tcPr>
            <w:tcW w:w="3080" w:type="dxa"/>
            <w:vAlign w:val="center"/>
          </w:tcPr>
          <w:p w14:paraId="5F3C7BF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Standard deviation</w:t>
            </w:r>
          </w:p>
        </w:tc>
      </w:tr>
      <w:tr w:rsidR="000A2C67" w:rsidRPr="00D05002" w14:paraId="04F11C8E" w14:textId="77777777" w:rsidTr="0048069D">
        <w:tc>
          <w:tcPr>
            <w:tcW w:w="3080" w:type="dxa"/>
            <w:vAlign w:val="center"/>
          </w:tcPr>
          <w:p w14:paraId="70D2D36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Pre-exposure</w:t>
            </w:r>
          </w:p>
        </w:tc>
        <w:tc>
          <w:tcPr>
            <w:tcW w:w="3080" w:type="dxa"/>
            <w:vAlign w:val="center"/>
          </w:tcPr>
          <w:p w14:paraId="6305272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9.4</w:t>
            </w:r>
          </w:p>
        </w:tc>
        <w:tc>
          <w:tcPr>
            <w:tcW w:w="3080" w:type="dxa"/>
            <w:vAlign w:val="center"/>
          </w:tcPr>
          <w:p w14:paraId="57BCE6D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2.1</w:t>
            </w:r>
          </w:p>
        </w:tc>
      </w:tr>
      <w:tr w:rsidR="000A2C67" w:rsidRPr="00D05002" w14:paraId="2F384FE9" w14:textId="77777777" w:rsidTr="0048069D">
        <w:tc>
          <w:tcPr>
            <w:tcW w:w="3080" w:type="dxa"/>
            <w:vAlign w:val="center"/>
          </w:tcPr>
          <w:p w14:paraId="30E1218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Post-exposure</w:t>
            </w:r>
          </w:p>
        </w:tc>
        <w:tc>
          <w:tcPr>
            <w:tcW w:w="3080" w:type="dxa"/>
            <w:vAlign w:val="center"/>
          </w:tcPr>
          <w:p w14:paraId="47CFAC0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14.8</w:t>
            </w:r>
          </w:p>
        </w:tc>
        <w:tc>
          <w:tcPr>
            <w:tcW w:w="3080" w:type="dxa"/>
            <w:vAlign w:val="center"/>
          </w:tcPr>
          <w:p w14:paraId="05086C8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w:t>
            </w:r>
          </w:p>
        </w:tc>
      </w:tr>
    </w:tbl>
    <w:p w14:paraId="1E5E617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Paired t-test:</w:t>
      </w:r>
      <w:r w:rsidRPr="00D05002">
        <w:rPr>
          <w:rFonts w:ascii="Times New Roman" w:eastAsia="Times New Roman" w:hAnsi="Times New Roman" w:cs="Times New Roman"/>
          <w:sz w:val="24"/>
          <w:szCs w:val="24"/>
          <w:lang w:eastAsia="en-IN"/>
        </w:rPr>
        <w:br/>
        <w:t>t = 18.62, p &lt; 0.01 (Highly significant)</w:t>
      </w:r>
    </w:p>
    <w:p w14:paraId="25CD87BE" w14:textId="77777777" w:rsidR="000A2C67" w:rsidRPr="00D05002" w:rsidRDefault="00D4415F" w:rsidP="000A2C67">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716AA44">
          <v:rect id="_x0000_i1025" style="width:0;height:1.5pt" o:hralign="center" o:hrstd="t" o:hr="t" fillcolor="#a0a0a0" stroked="f"/>
        </w:pict>
      </w:r>
    </w:p>
    <w:p w14:paraId="58DD4D61"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7. Adoption of recommended practices accessed through QR codes</w:t>
      </w:r>
    </w:p>
    <w:tbl>
      <w:tblPr>
        <w:tblStyle w:val="TableGrid"/>
        <w:tblW w:w="9240" w:type="dxa"/>
        <w:tblLook w:val="04A0" w:firstRow="1" w:lastRow="0" w:firstColumn="1" w:lastColumn="0" w:noHBand="0" w:noVBand="1"/>
      </w:tblPr>
      <w:tblGrid>
        <w:gridCol w:w="3080"/>
        <w:gridCol w:w="3080"/>
        <w:gridCol w:w="3080"/>
      </w:tblGrid>
      <w:tr w:rsidR="000A2C67" w:rsidRPr="00D05002" w14:paraId="6DB8C5F1" w14:textId="77777777" w:rsidTr="0048069D">
        <w:tc>
          <w:tcPr>
            <w:tcW w:w="3080" w:type="dxa"/>
            <w:vAlign w:val="center"/>
          </w:tcPr>
          <w:p w14:paraId="3CEE5569"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Adoption level</w:t>
            </w:r>
          </w:p>
        </w:tc>
        <w:tc>
          <w:tcPr>
            <w:tcW w:w="3080" w:type="dxa"/>
            <w:vAlign w:val="center"/>
          </w:tcPr>
          <w:p w14:paraId="1E4F687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3080" w:type="dxa"/>
            <w:vAlign w:val="center"/>
          </w:tcPr>
          <w:p w14:paraId="6766CC4E"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6A019CAB" w14:textId="77777777" w:rsidTr="0048069D">
        <w:tc>
          <w:tcPr>
            <w:tcW w:w="3080" w:type="dxa"/>
            <w:vAlign w:val="center"/>
          </w:tcPr>
          <w:p w14:paraId="648EA72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Fully adopted</w:t>
            </w:r>
          </w:p>
        </w:tc>
        <w:tc>
          <w:tcPr>
            <w:tcW w:w="3080" w:type="dxa"/>
            <w:vAlign w:val="center"/>
          </w:tcPr>
          <w:p w14:paraId="4FB0A0F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w:t>
            </w:r>
          </w:p>
        </w:tc>
        <w:tc>
          <w:tcPr>
            <w:tcW w:w="3080" w:type="dxa"/>
            <w:vAlign w:val="center"/>
          </w:tcPr>
          <w:p w14:paraId="461D383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28.3</w:t>
            </w:r>
          </w:p>
        </w:tc>
      </w:tr>
      <w:tr w:rsidR="000A2C67" w:rsidRPr="00D05002" w14:paraId="440C5951" w14:textId="77777777" w:rsidTr="0048069D">
        <w:tc>
          <w:tcPr>
            <w:tcW w:w="3080" w:type="dxa"/>
            <w:vAlign w:val="center"/>
          </w:tcPr>
          <w:p w14:paraId="5AE449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Partially adopted</w:t>
            </w:r>
          </w:p>
        </w:tc>
        <w:tc>
          <w:tcPr>
            <w:tcW w:w="3080" w:type="dxa"/>
            <w:vAlign w:val="center"/>
          </w:tcPr>
          <w:p w14:paraId="02E0C2D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52</w:t>
            </w:r>
          </w:p>
        </w:tc>
        <w:tc>
          <w:tcPr>
            <w:tcW w:w="3080" w:type="dxa"/>
            <w:vAlign w:val="center"/>
          </w:tcPr>
          <w:p w14:paraId="03A09F4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43.3</w:t>
            </w:r>
          </w:p>
        </w:tc>
      </w:tr>
      <w:tr w:rsidR="000A2C67" w:rsidRPr="00D05002" w14:paraId="4214F1BB" w14:textId="77777777" w:rsidTr="0048069D">
        <w:tc>
          <w:tcPr>
            <w:tcW w:w="3080" w:type="dxa"/>
            <w:vAlign w:val="center"/>
          </w:tcPr>
          <w:p w14:paraId="28CB4B1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Tried but discontinued</w:t>
            </w:r>
          </w:p>
        </w:tc>
        <w:tc>
          <w:tcPr>
            <w:tcW w:w="3080" w:type="dxa"/>
            <w:vAlign w:val="center"/>
          </w:tcPr>
          <w:p w14:paraId="1A0B7CC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w:t>
            </w:r>
          </w:p>
        </w:tc>
        <w:tc>
          <w:tcPr>
            <w:tcW w:w="3080" w:type="dxa"/>
            <w:vAlign w:val="center"/>
          </w:tcPr>
          <w:p w14:paraId="45BEC19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15.0</w:t>
            </w:r>
          </w:p>
        </w:tc>
      </w:tr>
      <w:tr w:rsidR="000A2C67" w:rsidRPr="00D05002" w14:paraId="699652B1" w14:textId="77777777" w:rsidTr="0048069D">
        <w:tc>
          <w:tcPr>
            <w:tcW w:w="3080" w:type="dxa"/>
            <w:vAlign w:val="center"/>
          </w:tcPr>
          <w:p w14:paraId="388A57C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lastRenderedPageBreak/>
              <w:t>Not adopted</w:t>
            </w:r>
          </w:p>
        </w:tc>
        <w:tc>
          <w:tcPr>
            <w:tcW w:w="3080" w:type="dxa"/>
            <w:vAlign w:val="center"/>
          </w:tcPr>
          <w:p w14:paraId="2E56DDD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w:t>
            </w:r>
          </w:p>
        </w:tc>
        <w:tc>
          <w:tcPr>
            <w:tcW w:w="3080" w:type="dxa"/>
            <w:vAlign w:val="center"/>
          </w:tcPr>
          <w:p w14:paraId="558850F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13.4</w:t>
            </w:r>
          </w:p>
        </w:tc>
      </w:tr>
      <w:tr w:rsidR="000A2C67" w:rsidRPr="00D05002" w14:paraId="34B7112E" w14:textId="77777777" w:rsidTr="0048069D">
        <w:tc>
          <w:tcPr>
            <w:tcW w:w="3080" w:type="dxa"/>
            <w:vAlign w:val="center"/>
          </w:tcPr>
          <w:p w14:paraId="46EF370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621EE28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55E45C5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6E1AE58E"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E55C3E"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8. User satisfaction with QR code–based digital extension</w:t>
      </w:r>
    </w:p>
    <w:tbl>
      <w:tblPr>
        <w:tblStyle w:val="TableGrid"/>
        <w:tblW w:w="9240" w:type="dxa"/>
        <w:tblLook w:val="04A0" w:firstRow="1" w:lastRow="0" w:firstColumn="1" w:lastColumn="0" w:noHBand="0" w:noVBand="1"/>
      </w:tblPr>
      <w:tblGrid>
        <w:gridCol w:w="3080"/>
        <w:gridCol w:w="3080"/>
        <w:gridCol w:w="3080"/>
      </w:tblGrid>
      <w:tr w:rsidR="000A2C67" w:rsidRPr="00D05002" w14:paraId="5EBD4A6E" w14:textId="77777777" w:rsidTr="0048069D">
        <w:tc>
          <w:tcPr>
            <w:tcW w:w="3080" w:type="dxa"/>
            <w:vAlign w:val="center"/>
          </w:tcPr>
          <w:p w14:paraId="3210807B"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Satisfaction level</w:t>
            </w:r>
          </w:p>
        </w:tc>
        <w:tc>
          <w:tcPr>
            <w:tcW w:w="3080" w:type="dxa"/>
            <w:vAlign w:val="center"/>
          </w:tcPr>
          <w:p w14:paraId="3E1DACE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Respondents</w:t>
            </w:r>
          </w:p>
        </w:tc>
        <w:tc>
          <w:tcPr>
            <w:tcW w:w="3080" w:type="dxa"/>
            <w:vAlign w:val="center"/>
          </w:tcPr>
          <w:p w14:paraId="137DDE1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7C5D8455" w14:textId="77777777" w:rsidTr="0048069D">
        <w:tc>
          <w:tcPr>
            <w:tcW w:w="3080" w:type="dxa"/>
            <w:vAlign w:val="center"/>
          </w:tcPr>
          <w:p w14:paraId="1EDD3B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3080" w:type="dxa"/>
            <w:vAlign w:val="center"/>
          </w:tcPr>
          <w:p w14:paraId="283C7EF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w:t>
            </w:r>
          </w:p>
        </w:tc>
        <w:tc>
          <w:tcPr>
            <w:tcW w:w="3080" w:type="dxa"/>
            <w:vAlign w:val="center"/>
          </w:tcPr>
          <w:p w14:paraId="33DE90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w:t>
            </w:r>
          </w:p>
        </w:tc>
      </w:tr>
      <w:tr w:rsidR="000A2C67" w:rsidRPr="00D05002" w14:paraId="6304DA92" w14:textId="77777777" w:rsidTr="0048069D">
        <w:tc>
          <w:tcPr>
            <w:tcW w:w="3080" w:type="dxa"/>
            <w:vAlign w:val="center"/>
          </w:tcPr>
          <w:p w14:paraId="2AAAB9C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3080" w:type="dxa"/>
            <w:vAlign w:val="center"/>
          </w:tcPr>
          <w:p w14:paraId="72A5B55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42</w:t>
            </w:r>
          </w:p>
        </w:tc>
        <w:tc>
          <w:tcPr>
            <w:tcW w:w="3080" w:type="dxa"/>
            <w:vAlign w:val="center"/>
          </w:tcPr>
          <w:p w14:paraId="5A2BF28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35.0</w:t>
            </w:r>
          </w:p>
        </w:tc>
      </w:tr>
      <w:tr w:rsidR="000A2C67" w:rsidRPr="00D05002" w14:paraId="7986F919" w14:textId="77777777" w:rsidTr="0048069D">
        <w:tc>
          <w:tcPr>
            <w:tcW w:w="3080" w:type="dxa"/>
            <w:vAlign w:val="center"/>
          </w:tcPr>
          <w:p w14:paraId="4C41FA9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3080" w:type="dxa"/>
            <w:vAlign w:val="center"/>
          </w:tcPr>
          <w:p w14:paraId="1A374D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68</w:t>
            </w:r>
          </w:p>
        </w:tc>
        <w:tc>
          <w:tcPr>
            <w:tcW w:w="3080" w:type="dxa"/>
            <w:vAlign w:val="center"/>
          </w:tcPr>
          <w:p w14:paraId="56AE588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56.7</w:t>
            </w:r>
          </w:p>
        </w:tc>
      </w:tr>
      <w:tr w:rsidR="000A2C67" w:rsidRPr="00D05002" w14:paraId="71B37B92" w14:textId="77777777" w:rsidTr="0048069D">
        <w:tc>
          <w:tcPr>
            <w:tcW w:w="3080" w:type="dxa"/>
            <w:vAlign w:val="center"/>
          </w:tcPr>
          <w:p w14:paraId="4A0F2DE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4361515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077A163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0D987B57"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satisfaction score: 33.6 ± 4.2 (Max. score = 40)</w:t>
      </w:r>
    </w:p>
    <w:p w14:paraId="2DC07047"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4AA02C0F"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9. Distribution of respondents according to Digital Extension Effectiveness Index DEEI</w:t>
      </w:r>
    </w:p>
    <w:tbl>
      <w:tblPr>
        <w:tblStyle w:val="TableGrid"/>
        <w:tblW w:w="9236" w:type="dxa"/>
        <w:tblLook w:val="04A0" w:firstRow="1" w:lastRow="0" w:firstColumn="1" w:lastColumn="0" w:noHBand="0" w:noVBand="1"/>
      </w:tblPr>
      <w:tblGrid>
        <w:gridCol w:w="2309"/>
        <w:gridCol w:w="2309"/>
        <w:gridCol w:w="2309"/>
        <w:gridCol w:w="2309"/>
      </w:tblGrid>
      <w:tr w:rsidR="000A2C67" w:rsidRPr="00D05002" w14:paraId="4AE1AEF2" w14:textId="77777777" w:rsidTr="0048069D">
        <w:tc>
          <w:tcPr>
            <w:tcW w:w="2309" w:type="dxa"/>
            <w:vAlign w:val="center"/>
          </w:tcPr>
          <w:p w14:paraId="7DC7143C"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DEEI category</w:t>
            </w:r>
          </w:p>
        </w:tc>
        <w:tc>
          <w:tcPr>
            <w:tcW w:w="2309" w:type="dxa"/>
            <w:vAlign w:val="center"/>
          </w:tcPr>
          <w:p w14:paraId="59604B5D"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Score range</w:t>
            </w:r>
          </w:p>
        </w:tc>
        <w:tc>
          <w:tcPr>
            <w:tcW w:w="2309" w:type="dxa"/>
            <w:vAlign w:val="center"/>
          </w:tcPr>
          <w:p w14:paraId="5E381B81"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2309" w:type="dxa"/>
            <w:vAlign w:val="center"/>
          </w:tcPr>
          <w:p w14:paraId="29841335"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32A09228" w14:textId="77777777" w:rsidTr="0048069D">
        <w:tc>
          <w:tcPr>
            <w:tcW w:w="2309" w:type="dxa"/>
            <w:vAlign w:val="center"/>
          </w:tcPr>
          <w:p w14:paraId="4F0159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2309" w:type="dxa"/>
            <w:vAlign w:val="center"/>
          </w:tcPr>
          <w:p w14:paraId="01DFBA5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 33</w:t>
            </w:r>
          </w:p>
        </w:tc>
        <w:tc>
          <w:tcPr>
            <w:tcW w:w="2309" w:type="dxa"/>
            <w:vAlign w:val="center"/>
          </w:tcPr>
          <w:p w14:paraId="7EFB4D8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12</w:t>
            </w:r>
          </w:p>
        </w:tc>
        <w:tc>
          <w:tcPr>
            <w:tcW w:w="2309" w:type="dxa"/>
            <w:vAlign w:val="center"/>
          </w:tcPr>
          <w:p w14:paraId="09DB06C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10.0</w:t>
            </w:r>
          </w:p>
        </w:tc>
      </w:tr>
      <w:tr w:rsidR="000A2C67" w:rsidRPr="00D05002" w14:paraId="19B7C0B4" w14:textId="77777777" w:rsidTr="0048069D">
        <w:tc>
          <w:tcPr>
            <w:tcW w:w="2309" w:type="dxa"/>
            <w:vAlign w:val="center"/>
          </w:tcPr>
          <w:p w14:paraId="5513DE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2309" w:type="dxa"/>
            <w:vAlign w:val="center"/>
          </w:tcPr>
          <w:p w14:paraId="7647CF0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34–66</w:t>
            </w:r>
          </w:p>
        </w:tc>
        <w:tc>
          <w:tcPr>
            <w:tcW w:w="2309" w:type="dxa"/>
            <w:vAlign w:val="center"/>
          </w:tcPr>
          <w:p w14:paraId="3BDE804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w:t>
            </w:r>
          </w:p>
        </w:tc>
        <w:tc>
          <w:tcPr>
            <w:tcW w:w="2309" w:type="dxa"/>
            <w:vAlign w:val="center"/>
          </w:tcPr>
          <w:p w14:paraId="61EB44B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38.3</w:t>
            </w:r>
          </w:p>
        </w:tc>
      </w:tr>
      <w:tr w:rsidR="000A2C67" w:rsidRPr="00D05002" w14:paraId="4312CFBD" w14:textId="77777777" w:rsidTr="0048069D">
        <w:tc>
          <w:tcPr>
            <w:tcW w:w="2309" w:type="dxa"/>
            <w:vAlign w:val="center"/>
          </w:tcPr>
          <w:p w14:paraId="396870E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2309" w:type="dxa"/>
            <w:vAlign w:val="center"/>
          </w:tcPr>
          <w:p w14:paraId="76C08B5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&gt; 66</w:t>
            </w:r>
          </w:p>
        </w:tc>
        <w:tc>
          <w:tcPr>
            <w:tcW w:w="2309" w:type="dxa"/>
            <w:vAlign w:val="center"/>
          </w:tcPr>
          <w:p w14:paraId="53AE434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62</w:t>
            </w:r>
          </w:p>
        </w:tc>
        <w:tc>
          <w:tcPr>
            <w:tcW w:w="2309" w:type="dxa"/>
            <w:vAlign w:val="center"/>
          </w:tcPr>
          <w:p w14:paraId="5F57B6F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51.7</w:t>
            </w:r>
          </w:p>
        </w:tc>
      </w:tr>
      <w:tr w:rsidR="000A2C67" w:rsidRPr="00D05002" w14:paraId="043B2EE8" w14:textId="77777777" w:rsidTr="0048069D">
        <w:tc>
          <w:tcPr>
            <w:tcW w:w="2309" w:type="dxa"/>
            <w:vAlign w:val="center"/>
          </w:tcPr>
          <w:p w14:paraId="43B84D5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2309" w:type="dxa"/>
            <w:vAlign w:val="center"/>
          </w:tcPr>
          <w:p w14:paraId="107CE27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2309" w:type="dxa"/>
            <w:vAlign w:val="center"/>
          </w:tcPr>
          <w:p w14:paraId="2208EED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c>
          <w:tcPr>
            <w:tcW w:w="2309" w:type="dxa"/>
            <w:vAlign w:val="center"/>
          </w:tcPr>
          <w:p w14:paraId="4BBF4808" w14:textId="77777777" w:rsidR="000A2C67" w:rsidRPr="00D05002" w:rsidRDefault="000A2C67" w:rsidP="0048069D">
            <w:pPr>
              <w:jc w:val="both"/>
              <w:rPr>
                <w:rFonts w:ascii="Times New Roman" w:eastAsia="Times New Roman" w:hAnsi="Times New Roman" w:cs="Times New Roman"/>
                <w:sz w:val="24"/>
                <w:szCs w:val="24"/>
                <w:lang w:eastAsia="en-IN"/>
              </w:rPr>
            </w:pPr>
          </w:p>
        </w:tc>
      </w:tr>
    </w:tbl>
    <w:p w14:paraId="6D831F2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DEEI score: 68.4 ± 11.6</w:t>
      </w:r>
    </w:p>
    <w:p w14:paraId="5A4EB65E"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B70B98"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10. Relationship between selected variables and DEEI</w:t>
      </w:r>
    </w:p>
    <w:tbl>
      <w:tblPr>
        <w:tblStyle w:val="TableGrid"/>
        <w:tblW w:w="6160" w:type="dxa"/>
        <w:tblLook w:val="04A0" w:firstRow="1" w:lastRow="0" w:firstColumn="1" w:lastColumn="0" w:noHBand="0" w:noVBand="1"/>
      </w:tblPr>
      <w:tblGrid>
        <w:gridCol w:w="3080"/>
        <w:gridCol w:w="3080"/>
      </w:tblGrid>
      <w:tr w:rsidR="000A2C67" w:rsidRPr="00D05002" w14:paraId="4EAB230D" w14:textId="77777777" w:rsidTr="0048069D">
        <w:tc>
          <w:tcPr>
            <w:tcW w:w="3080" w:type="dxa"/>
            <w:vAlign w:val="center"/>
          </w:tcPr>
          <w:p w14:paraId="414478B8"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Variable</w:t>
            </w:r>
          </w:p>
        </w:tc>
        <w:tc>
          <w:tcPr>
            <w:tcW w:w="3080" w:type="dxa"/>
            <w:vAlign w:val="center"/>
          </w:tcPr>
          <w:p w14:paraId="7AD81504"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Correlation coefficient (r)</w:t>
            </w:r>
          </w:p>
        </w:tc>
      </w:tr>
      <w:tr w:rsidR="000A2C67" w:rsidRPr="00D05002" w14:paraId="4EE9F102" w14:textId="77777777" w:rsidTr="0048069D">
        <w:tc>
          <w:tcPr>
            <w:tcW w:w="3080" w:type="dxa"/>
            <w:vAlign w:val="center"/>
          </w:tcPr>
          <w:p w14:paraId="166C997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Education</w:t>
            </w:r>
          </w:p>
        </w:tc>
        <w:tc>
          <w:tcPr>
            <w:tcW w:w="3080" w:type="dxa"/>
            <w:vAlign w:val="center"/>
          </w:tcPr>
          <w:p w14:paraId="5F47573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0.42**</w:t>
            </w:r>
          </w:p>
        </w:tc>
      </w:tr>
      <w:tr w:rsidR="000A2C67" w:rsidRPr="00D05002" w14:paraId="60F3D212" w14:textId="77777777" w:rsidTr="0048069D">
        <w:tc>
          <w:tcPr>
            <w:tcW w:w="3080" w:type="dxa"/>
            <w:vAlign w:val="center"/>
          </w:tcPr>
          <w:p w14:paraId="7FCFC89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Digital literacy</w:t>
            </w:r>
          </w:p>
        </w:tc>
        <w:tc>
          <w:tcPr>
            <w:tcW w:w="3080" w:type="dxa"/>
            <w:vAlign w:val="center"/>
          </w:tcPr>
          <w:p w14:paraId="61504F0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0.61**</w:t>
            </w:r>
          </w:p>
        </w:tc>
      </w:tr>
      <w:tr w:rsidR="000A2C67" w:rsidRPr="00D05002" w14:paraId="119D6F29" w14:textId="77777777" w:rsidTr="0048069D">
        <w:tc>
          <w:tcPr>
            <w:tcW w:w="3080" w:type="dxa"/>
            <w:vAlign w:val="center"/>
          </w:tcPr>
          <w:p w14:paraId="04CEEE4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Frequency of QR usage</w:t>
            </w:r>
          </w:p>
        </w:tc>
        <w:tc>
          <w:tcPr>
            <w:tcW w:w="3080" w:type="dxa"/>
            <w:vAlign w:val="center"/>
          </w:tcPr>
          <w:p w14:paraId="11980FA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0.58**</w:t>
            </w:r>
          </w:p>
        </w:tc>
      </w:tr>
      <w:tr w:rsidR="000A2C67" w:rsidRPr="00D05002" w14:paraId="44A307F6" w14:textId="77777777" w:rsidTr="0048069D">
        <w:tc>
          <w:tcPr>
            <w:tcW w:w="3080" w:type="dxa"/>
            <w:vAlign w:val="center"/>
          </w:tcPr>
          <w:p w14:paraId="5FBE242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Information access</w:t>
            </w:r>
          </w:p>
        </w:tc>
        <w:tc>
          <w:tcPr>
            <w:tcW w:w="3080" w:type="dxa"/>
            <w:vAlign w:val="center"/>
          </w:tcPr>
          <w:p w14:paraId="1C7EB99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0.72**</w:t>
            </w:r>
          </w:p>
        </w:tc>
      </w:tr>
      <w:tr w:rsidR="000A2C67" w:rsidRPr="00D05002" w14:paraId="1B7CC8F0" w14:textId="77777777" w:rsidTr="0048069D">
        <w:tc>
          <w:tcPr>
            <w:tcW w:w="3080" w:type="dxa"/>
            <w:vAlign w:val="center"/>
          </w:tcPr>
          <w:p w14:paraId="3D7538F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User satisfaction</w:t>
            </w:r>
          </w:p>
        </w:tc>
        <w:tc>
          <w:tcPr>
            <w:tcW w:w="3080" w:type="dxa"/>
            <w:vAlign w:val="center"/>
          </w:tcPr>
          <w:p w14:paraId="55182CD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0.69**</w:t>
            </w:r>
          </w:p>
        </w:tc>
      </w:tr>
    </w:tbl>
    <w:p w14:paraId="1D3565B3"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 Significant at 1 per cent level</w:t>
      </w:r>
    </w:p>
    <w:p w14:paraId="248B349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66055EE7" w14:textId="77777777" w:rsidR="000A2C67" w:rsidRPr="00D53954" w:rsidRDefault="000A2C67" w:rsidP="00D53954">
      <w:pPr>
        <w:jc w:val="both"/>
        <w:rPr>
          <w:rFonts w:ascii="Times New Roman" w:hAnsi="Times New Roman" w:cs="Times New Roman"/>
        </w:rPr>
      </w:pPr>
    </w:p>
    <w:sectPr w:rsidR="000A2C67" w:rsidRPr="00D539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D49C6" w14:textId="77777777" w:rsidR="007852DA" w:rsidRDefault="007852DA" w:rsidP="00CD3F2F">
      <w:pPr>
        <w:spacing w:after="0" w:line="240" w:lineRule="auto"/>
      </w:pPr>
      <w:r>
        <w:separator/>
      </w:r>
    </w:p>
  </w:endnote>
  <w:endnote w:type="continuationSeparator" w:id="0">
    <w:p w14:paraId="05E66D58" w14:textId="77777777" w:rsidR="007852DA" w:rsidRDefault="007852DA" w:rsidP="00CD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6662" w14:textId="77777777" w:rsidR="00CD3F2F" w:rsidRDefault="00CD3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DBFB" w14:textId="77777777" w:rsidR="00CD3F2F" w:rsidRDefault="00CD3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9ECD" w14:textId="77777777" w:rsidR="00CD3F2F" w:rsidRDefault="00CD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DDB67" w14:textId="77777777" w:rsidR="007852DA" w:rsidRDefault="007852DA" w:rsidP="00CD3F2F">
      <w:pPr>
        <w:spacing w:after="0" w:line="240" w:lineRule="auto"/>
      </w:pPr>
      <w:r>
        <w:separator/>
      </w:r>
    </w:p>
  </w:footnote>
  <w:footnote w:type="continuationSeparator" w:id="0">
    <w:p w14:paraId="602B4054" w14:textId="77777777" w:rsidR="007852DA" w:rsidRDefault="007852DA" w:rsidP="00CD3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7C17" w14:textId="624756D8" w:rsidR="00CD3F2F" w:rsidRDefault="00D4415F">
    <w:pPr>
      <w:pStyle w:val="Header"/>
    </w:pPr>
    <w:r>
      <w:rPr>
        <w:noProof/>
      </w:rPr>
      <w:pict w14:anchorId="76DEF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321B" w14:textId="52E977E4" w:rsidR="00CD3F2F" w:rsidRDefault="00D4415F">
    <w:pPr>
      <w:pStyle w:val="Header"/>
    </w:pPr>
    <w:r>
      <w:rPr>
        <w:noProof/>
      </w:rPr>
      <w:pict w14:anchorId="15D9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D868" w14:textId="1C5D6D3E" w:rsidR="00CD3F2F" w:rsidRDefault="00D4415F">
    <w:pPr>
      <w:pStyle w:val="Header"/>
    </w:pPr>
    <w:r>
      <w:rPr>
        <w:noProof/>
      </w:rPr>
      <w:pict w14:anchorId="2C4CE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B3B4A"/>
    <w:multiLevelType w:val="multilevel"/>
    <w:tmpl w:val="B13E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6361A7"/>
    <w:multiLevelType w:val="multilevel"/>
    <w:tmpl w:val="43D0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sDQwMjAzNrAwNbRQ0lEKTi0uzszPAykwrAUAhWBsLywAAAA="/>
  </w:docVars>
  <w:rsids>
    <w:rsidRoot w:val="00D53954"/>
    <w:rsid w:val="000A2C67"/>
    <w:rsid w:val="00325CD4"/>
    <w:rsid w:val="00361578"/>
    <w:rsid w:val="0057170B"/>
    <w:rsid w:val="005D42F5"/>
    <w:rsid w:val="006A4608"/>
    <w:rsid w:val="007055E7"/>
    <w:rsid w:val="00706B8E"/>
    <w:rsid w:val="007377FF"/>
    <w:rsid w:val="007852DA"/>
    <w:rsid w:val="007F2CED"/>
    <w:rsid w:val="0082341D"/>
    <w:rsid w:val="00924561"/>
    <w:rsid w:val="00B256DB"/>
    <w:rsid w:val="00B4191E"/>
    <w:rsid w:val="00BB7FFD"/>
    <w:rsid w:val="00CA1630"/>
    <w:rsid w:val="00CB21B9"/>
    <w:rsid w:val="00CD3364"/>
    <w:rsid w:val="00CD3F2F"/>
    <w:rsid w:val="00D21D98"/>
    <w:rsid w:val="00D40425"/>
    <w:rsid w:val="00D4415F"/>
    <w:rsid w:val="00D53954"/>
    <w:rsid w:val="00D735E3"/>
    <w:rsid w:val="00DA21A3"/>
    <w:rsid w:val="00DA5276"/>
    <w:rsid w:val="00E62AA0"/>
    <w:rsid w:val="00EF177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B4A331"/>
  <w14:defaultImageDpi w14:val="32767"/>
  <w15:chartTrackingRefBased/>
  <w15:docId w15:val="{2939BAC3-27E4-455F-A982-D8CD922E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3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53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3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53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954"/>
    <w:rPr>
      <w:rFonts w:eastAsiaTheme="majorEastAsia" w:cstheme="majorBidi"/>
      <w:color w:val="272727" w:themeColor="text1" w:themeTint="D8"/>
    </w:rPr>
  </w:style>
  <w:style w:type="paragraph" w:styleId="Title">
    <w:name w:val="Title"/>
    <w:basedOn w:val="Normal"/>
    <w:next w:val="Normal"/>
    <w:link w:val="TitleChar"/>
    <w:uiPriority w:val="10"/>
    <w:qFormat/>
    <w:rsid w:val="00D5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954"/>
    <w:pPr>
      <w:spacing w:before="160"/>
      <w:jc w:val="center"/>
    </w:pPr>
    <w:rPr>
      <w:i/>
      <w:iCs/>
      <w:color w:val="404040" w:themeColor="text1" w:themeTint="BF"/>
    </w:rPr>
  </w:style>
  <w:style w:type="character" w:customStyle="1" w:styleId="QuoteChar">
    <w:name w:val="Quote Char"/>
    <w:basedOn w:val="DefaultParagraphFont"/>
    <w:link w:val="Quote"/>
    <w:uiPriority w:val="29"/>
    <w:rsid w:val="00D53954"/>
    <w:rPr>
      <w:i/>
      <w:iCs/>
      <w:color w:val="404040" w:themeColor="text1" w:themeTint="BF"/>
    </w:rPr>
  </w:style>
  <w:style w:type="paragraph" w:styleId="ListParagraph">
    <w:name w:val="List Paragraph"/>
    <w:basedOn w:val="Normal"/>
    <w:uiPriority w:val="34"/>
    <w:qFormat/>
    <w:rsid w:val="00D53954"/>
    <w:pPr>
      <w:ind w:left="720"/>
      <w:contextualSpacing/>
    </w:pPr>
  </w:style>
  <w:style w:type="character" w:styleId="IntenseEmphasis">
    <w:name w:val="Intense Emphasis"/>
    <w:basedOn w:val="DefaultParagraphFont"/>
    <w:uiPriority w:val="21"/>
    <w:qFormat/>
    <w:rsid w:val="00D53954"/>
    <w:rPr>
      <w:i/>
      <w:iCs/>
      <w:color w:val="2F5496" w:themeColor="accent1" w:themeShade="BF"/>
    </w:rPr>
  </w:style>
  <w:style w:type="paragraph" w:styleId="IntenseQuote">
    <w:name w:val="Intense Quote"/>
    <w:basedOn w:val="Normal"/>
    <w:next w:val="Normal"/>
    <w:link w:val="IntenseQuoteChar"/>
    <w:uiPriority w:val="30"/>
    <w:qFormat/>
    <w:rsid w:val="00D5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954"/>
    <w:rPr>
      <w:i/>
      <w:iCs/>
      <w:color w:val="2F5496" w:themeColor="accent1" w:themeShade="BF"/>
    </w:rPr>
  </w:style>
  <w:style w:type="character" w:styleId="IntenseReference">
    <w:name w:val="Intense Reference"/>
    <w:basedOn w:val="DefaultParagraphFont"/>
    <w:uiPriority w:val="32"/>
    <w:qFormat/>
    <w:rsid w:val="00D53954"/>
    <w:rPr>
      <w:b/>
      <w:bCs/>
      <w:smallCaps/>
      <w:color w:val="2F5496" w:themeColor="accent1" w:themeShade="BF"/>
      <w:spacing w:val="5"/>
    </w:rPr>
  </w:style>
  <w:style w:type="paragraph" w:styleId="NormalWeb">
    <w:name w:val="Normal (Web)"/>
    <w:basedOn w:val="Normal"/>
    <w:uiPriority w:val="99"/>
    <w:semiHidden/>
    <w:unhideWhenUsed/>
    <w:rsid w:val="00D5395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citation-1111">
    <w:name w:val="citation-1111"/>
    <w:basedOn w:val="DefaultParagraphFont"/>
    <w:rsid w:val="00D53954"/>
  </w:style>
  <w:style w:type="character" w:customStyle="1" w:styleId="citation-1110">
    <w:name w:val="citation-1110"/>
    <w:basedOn w:val="DefaultParagraphFont"/>
    <w:rsid w:val="00D53954"/>
  </w:style>
  <w:style w:type="character" w:customStyle="1" w:styleId="citation-1109">
    <w:name w:val="citation-1109"/>
    <w:basedOn w:val="DefaultParagraphFont"/>
    <w:rsid w:val="00D53954"/>
  </w:style>
  <w:style w:type="character" w:customStyle="1" w:styleId="citation-1108">
    <w:name w:val="citation-1108"/>
    <w:basedOn w:val="DefaultParagraphFont"/>
    <w:rsid w:val="00D53954"/>
  </w:style>
  <w:style w:type="character" w:customStyle="1" w:styleId="citation-1107">
    <w:name w:val="citation-1107"/>
    <w:basedOn w:val="DefaultParagraphFont"/>
    <w:rsid w:val="00D53954"/>
  </w:style>
  <w:style w:type="character" w:customStyle="1" w:styleId="citation-1106">
    <w:name w:val="citation-1106"/>
    <w:basedOn w:val="DefaultParagraphFont"/>
    <w:rsid w:val="00D53954"/>
  </w:style>
  <w:style w:type="character" w:customStyle="1" w:styleId="citation-1105">
    <w:name w:val="citation-1105"/>
    <w:basedOn w:val="DefaultParagraphFont"/>
    <w:rsid w:val="00D53954"/>
  </w:style>
  <w:style w:type="character" w:customStyle="1" w:styleId="citation-1104">
    <w:name w:val="citation-1104"/>
    <w:basedOn w:val="DefaultParagraphFont"/>
    <w:rsid w:val="00D53954"/>
  </w:style>
  <w:style w:type="character" w:customStyle="1" w:styleId="citation-1103">
    <w:name w:val="citation-1103"/>
    <w:basedOn w:val="DefaultParagraphFont"/>
    <w:rsid w:val="00D53954"/>
  </w:style>
  <w:style w:type="character" w:customStyle="1" w:styleId="citation-1102">
    <w:name w:val="citation-1102"/>
    <w:basedOn w:val="DefaultParagraphFont"/>
    <w:rsid w:val="00D53954"/>
  </w:style>
  <w:style w:type="character" w:customStyle="1" w:styleId="citation-1101">
    <w:name w:val="citation-1101"/>
    <w:basedOn w:val="DefaultParagraphFont"/>
    <w:rsid w:val="00D53954"/>
  </w:style>
  <w:style w:type="character" w:customStyle="1" w:styleId="citation-1100">
    <w:name w:val="citation-1100"/>
    <w:basedOn w:val="DefaultParagraphFont"/>
    <w:rsid w:val="00D53954"/>
  </w:style>
  <w:style w:type="character" w:customStyle="1" w:styleId="citation-1099">
    <w:name w:val="citation-1099"/>
    <w:basedOn w:val="DefaultParagraphFont"/>
    <w:rsid w:val="00D53954"/>
  </w:style>
  <w:style w:type="character" w:customStyle="1" w:styleId="citation-1098">
    <w:name w:val="citation-1098"/>
    <w:basedOn w:val="DefaultParagraphFont"/>
    <w:rsid w:val="00D53954"/>
  </w:style>
  <w:style w:type="character" w:customStyle="1" w:styleId="citation-1097">
    <w:name w:val="citation-1097"/>
    <w:basedOn w:val="DefaultParagraphFont"/>
    <w:rsid w:val="00D53954"/>
  </w:style>
  <w:style w:type="character" w:customStyle="1" w:styleId="citation-1096">
    <w:name w:val="citation-1096"/>
    <w:basedOn w:val="DefaultParagraphFont"/>
    <w:rsid w:val="00D53954"/>
  </w:style>
  <w:style w:type="character" w:customStyle="1" w:styleId="citation-1095">
    <w:name w:val="citation-1095"/>
    <w:basedOn w:val="DefaultParagraphFont"/>
    <w:rsid w:val="00D53954"/>
  </w:style>
  <w:style w:type="character" w:customStyle="1" w:styleId="citation-1094">
    <w:name w:val="citation-1094"/>
    <w:basedOn w:val="DefaultParagraphFont"/>
    <w:rsid w:val="00D53954"/>
  </w:style>
  <w:style w:type="character" w:customStyle="1" w:styleId="citation-1093">
    <w:name w:val="citation-1093"/>
    <w:basedOn w:val="DefaultParagraphFont"/>
    <w:rsid w:val="00D53954"/>
  </w:style>
  <w:style w:type="character" w:customStyle="1" w:styleId="citation-1092">
    <w:name w:val="citation-1092"/>
    <w:basedOn w:val="DefaultParagraphFont"/>
    <w:rsid w:val="00D53954"/>
  </w:style>
  <w:style w:type="character" w:customStyle="1" w:styleId="citation-1091">
    <w:name w:val="citation-1091"/>
    <w:basedOn w:val="DefaultParagraphFont"/>
    <w:rsid w:val="00D53954"/>
  </w:style>
  <w:style w:type="character" w:customStyle="1" w:styleId="citation-1090">
    <w:name w:val="citation-1090"/>
    <w:basedOn w:val="DefaultParagraphFont"/>
    <w:rsid w:val="00D53954"/>
  </w:style>
  <w:style w:type="character" w:customStyle="1" w:styleId="citation-1089">
    <w:name w:val="citation-1089"/>
    <w:basedOn w:val="DefaultParagraphFont"/>
    <w:rsid w:val="00D53954"/>
  </w:style>
  <w:style w:type="character" w:customStyle="1" w:styleId="citation-1088">
    <w:name w:val="citation-1088"/>
    <w:basedOn w:val="DefaultParagraphFont"/>
    <w:rsid w:val="00D53954"/>
  </w:style>
  <w:style w:type="character" w:customStyle="1" w:styleId="citation-1087">
    <w:name w:val="citation-1087"/>
    <w:basedOn w:val="DefaultParagraphFont"/>
    <w:rsid w:val="00D53954"/>
  </w:style>
  <w:style w:type="character" w:customStyle="1" w:styleId="citation-1086">
    <w:name w:val="citation-1086"/>
    <w:basedOn w:val="DefaultParagraphFont"/>
    <w:rsid w:val="00D53954"/>
  </w:style>
  <w:style w:type="character" w:customStyle="1" w:styleId="citation-1085">
    <w:name w:val="citation-1085"/>
    <w:basedOn w:val="DefaultParagraphFont"/>
    <w:rsid w:val="00D53954"/>
  </w:style>
  <w:style w:type="character" w:customStyle="1" w:styleId="citation-1084">
    <w:name w:val="citation-1084"/>
    <w:basedOn w:val="DefaultParagraphFont"/>
    <w:rsid w:val="00D53954"/>
  </w:style>
  <w:style w:type="character" w:customStyle="1" w:styleId="citation-1083">
    <w:name w:val="citation-1083"/>
    <w:basedOn w:val="DefaultParagraphFont"/>
    <w:rsid w:val="00D53954"/>
  </w:style>
  <w:style w:type="character" w:customStyle="1" w:styleId="citation-1082">
    <w:name w:val="citation-1082"/>
    <w:basedOn w:val="DefaultParagraphFont"/>
    <w:rsid w:val="00D53954"/>
  </w:style>
  <w:style w:type="character" w:customStyle="1" w:styleId="citation-1081">
    <w:name w:val="citation-1081"/>
    <w:basedOn w:val="DefaultParagraphFont"/>
    <w:rsid w:val="00D53954"/>
  </w:style>
  <w:style w:type="character" w:customStyle="1" w:styleId="citation-1080">
    <w:name w:val="citation-1080"/>
    <w:basedOn w:val="DefaultParagraphFont"/>
    <w:rsid w:val="00D53954"/>
  </w:style>
  <w:style w:type="character" w:customStyle="1" w:styleId="citation-1079">
    <w:name w:val="citation-1079"/>
    <w:basedOn w:val="DefaultParagraphFont"/>
    <w:rsid w:val="00D53954"/>
  </w:style>
  <w:style w:type="character" w:customStyle="1" w:styleId="citation-1078">
    <w:name w:val="citation-1078"/>
    <w:basedOn w:val="DefaultParagraphFont"/>
    <w:rsid w:val="00D53954"/>
  </w:style>
  <w:style w:type="character" w:customStyle="1" w:styleId="citation-1077">
    <w:name w:val="citation-1077"/>
    <w:basedOn w:val="DefaultParagraphFont"/>
    <w:rsid w:val="00D53954"/>
  </w:style>
  <w:style w:type="character" w:customStyle="1" w:styleId="citation-1076">
    <w:name w:val="citation-1076"/>
    <w:basedOn w:val="DefaultParagraphFont"/>
    <w:rsid w:val="00D53954"/>
  </w:style>
  <w:style w:type="character" w:customStyle="1" w:styleId="citation-1075">
    <w:name w:val="citation-1075"/>
    <w:basedOn w:val="DefaultParagraphFont"/>
    <w:rsid w:val="00D53954"/>
  </w:style>
  <w:style w:type="character" w:customStyle="1" w:styleId="citation-1074">
    <w:name w:val="citation-1074"/>
    <w:basedOn w:val="DefaultParagraphFont"/>
    <w:rsid w:val="00D53954"/>
  </w:style>
  <w:style w:type="character" w:customStyle="1" w:styleId="citation-1073">
    <w:name w:val="citation-1073"/>
    <w:basedOn w:val="DefaultParagraphFont"/>
    <w:rsid w:val="00D53954"/>
  </w:style>
  <w:style w:type="character" w:customStyle="1" w:styleId="citation-1072">
    <w:name w:val="citation-1072"/>
    <w:basedOn w:val="DefaultParagraphFont"/>
    <w:rsid w:val="00D53954"/>
  </w:style>
  <w:style w:type="character" w:customStyle="1" w:styleId="citation-1071">
    <w:name w:val="citation-1071"/>
    <w:basedOn w:val="DefaultParagraphFont"/>
    <w:rsid w:val="00D53954"/>
  </w:style>
  <w:style w:type="character" w:customStyle="1" w:styleId="citation-1070">
    <w:name w:val="citation-1070"/>
    <w:basedOn w:val="DefaultParagraphFont"/>
    <w:rsid w:val="00D53954"/>
  </w:style>
  <w:style w:type="character" w:customStyle="1" w:styleId="citation-1069">
    <w:name w:val="citation-1069"/>
    <w:basedOn w:val="DefaultParagraphFont"/>
    <w:rsid w:val="00D53954"/>
  </w:style>
  <w:style w:type="character" w:customStyle="1" w:styleId="citation-1068">
    <w:name w:val="citation-1068"/>
    <w:basedOn w:val="DefaultParagraphFont"/>
    <w:rsid w:val="00D53954"/>
  </w:style>
  <w:style w:type="character" w:customStyle="1" w:styleId="citation-1067">
    <w:name w:val="citation-1067"/>
    <w:basedOn w:val="DefaultParagraphFont"/>
    <w:rsid w:val="00D53954"/>
  </w:style>
  <w:style w:type="character" w:customStyle="1" w:styleId="citation-1066">
    <w:name w:val="citation-1066"/>
    <w:basedOn w:val="DefaultParagraphFont"/>
    <w:rsid w:val="00D53954"/>
  </w:style>
  <w:style w:type="character" w:customStyle="1" w:styleId="citation-1065">
    <w:name w:val="citation-1065"/>
    <w:basedOn w:val="DefaultParagraphFont"/>
    <w:rsid w:val="00D53954"/>
  </w:style>
  <w:style w:type="character" w:customStyle="1" w:styleId="citation-1064">
    <w:name w:val="citation-1064"/>
    <w:basedOn w:val="DefaultParagraphFont"/>
    <w:rsid w:val="00D53954"/>
  </w:style>
  <w:style w:type="character" w:customStyle="1" w:styleId="citation-1063">
    <w:name w:val="citation-1063"/>
    <w:basedOn w:val="DefaultParagraphFont"/>
    <w:rsid w:val="00D53954"/>
  </w:style>
  <w:style w:type="character" w:customStyle="1" w:styleId="citation-1062">
    <w:name w:val="citation-1062"/>
    <w:basedOn w:val="DefaultParagraphFont"/>
    <w:rsid w:val="00D53954"/>
  </w:style>
  <w:style w:type="character" w:customStyle="1" w:styleId="citation-1061">
    <w:name w:val="citation-1061"/>
    <w:basedOn w:val="DefaultParagraphFont"/>
    <w:rsid w:val="00D53954"/>
  </w:style>
  <w:style w:type="character" w:customStyle="1" w:styleId="citation-1060">
    <w:name w:val="citation-1060"/>
    <w:basedOn w:val="DefaultParagraphFont"/>
    <w:rsid w:val="00D53954"/>
  </w:style>
  <w:style w:type="character" w:customStyle="1" w:styleId="citation-1059">
    <w:name w:val="citation-1059"/>
    <w:basedOn w:val="DefaultParagraphFont"/>
    <w:rsid w:val="00D53954"/>
  </w:style>
  <w:style w:type="character" w:customStyle="1" w:styleId="citation-1058">
    <w:name w:val="citation-1058"/>
    <w:basedOn w:val="DefaultParagraphFont"/>
    <w:rsid w:val="00D53954"/>
  </w:style>
  <w:style w:type="character" w:customStyle="1" w:styleId="citation-1057">
    <w:name w:val="citation-1057"/>
    <w:basedOn w:val="DefaultParagraphFont"/>
    <w:rsid w:val="00D53954"/>
  </w:style>
  <w:style w:type="character" w:customStyle="1" w:styleId="citation-1056">
    <w:name w:val="citation-1056"/>
    <w:basedOn w:val="DefaultParagraphFont"/>
    <w:rsid w:val="00D53954"/>
  </w:style>
  <w:style w:type="character" w:customStyle="1" w:styleId="citation-1055">
    <w:name w:val="citation-1055"/>
    <w:basedOn w:val="DefaultParagraphFont"/>
    <w:rsid w:val="00D53954"/>
  </w:style>
  <w:style w:type="character" w:customStyle="1" w:styleId="citation-1054">
    <w:name w:val="citation-1054"/>
    <w:basedOn w:val="DefaultParagraphFont"/>
    <w:rsid w:val="00D53954"/>
  </w:style>
  <w:style w:type="character" w:customStyle="1" w:styleId="citation-1053">
    <w:name w:val="citation-1053"/>
    <w:basedOn w:val="DefaultParagraphFont"/>
    <w:rsid w:val="00D53954"/>
  </w:style>
  <w:style w:type="character" w:customStyle="1" w:styleId="citation-1052">
    <w:name w:val="citation-1052"/>
    <w:basedOn w:val="DefaultParagraphFont"/>
    <w:rsid w:val="00D53954"/>
  </w:style>
  <w:style w:type="character" w:customStyle="1" w:styleId="citation-1051">
    <w:name w:val="citation-1051"/>
    <w:basedOn w:val="DefaultParagraphFont"/>
    <w:rsid w:val="00D53954"/>
  </w:style>
  <w:style w:type="character" w:customStyle="1" w:styleId="citation-1050">
    <w:name w:val="citation-1050"/>
    <w:basedOn w:val="DefaultParagraphFont"/>
    <w:rsid w:val="00D53954"/>
  </w:style>
  <w:style w:type="character" w:customStyle="1" w:styleId="citation-1049">
    <w:name w:val="citation-1049"/>
    <w:basedOn w:val="DefaultParagraphFont"/>
    <w:rsid w:val="00D53954"/>
  </w:style>
  <w:style w:type="character" w:customStyle="1" w:styleId="citation-1048">
    <w:name w:val="citation-1048"/>
    <w:basedOn w:val="DefaultParagraphFont"/>
    <w:rsid w:val="00D53954"/>
  </w:style>
  <w:style w:type="character" w:customStyle="1" w:styleId="citation-1047">
    <w:name w:val="citation-1047"/>
    <w:basedOn w:val="DefaultParagraphFont"/>
    <w:rsid w:val="00D53954"/>
  </w:style>
  <w:style w:type="character" w:customStyle="1" w:styleId="citation-1046">
    <w:name w:val="citation-1046"/>
    <w:basedOn w:val="DefaultParagraphFont"/>
    <w:rsid w:val="00D53954"/>
  </w:style>
  <w:style w:type="character" w:customStyle="1" w:styleId="citation-1045">
    <w:name w:val="citation-1045"/>
    <w:basedOn w:val="DefaultParagraphFont"/>
    <w:rsid w:val="00D53954"/>
  </w:style>
  <w:style w:type="character" w:customStyle="1" w:styleId="citation-1044">
    <w:name w:val="citation-1044"/>
    <w:basedOn w:val="DefaultParagraphFont"/>
    <w:rsid w:val="00D53954"/>
  </w:style>
  <w:style w:type="character" w:customStyle="1" w:styleId="citation-1043">
    <w:name w:val="citation-1043"/>
    <w:basedOn w:val="DefaultParagraphFont"/>
    <w:rsid w:val="00D53954"/>
  </w:style>
  <w:style w:type="character" w:customStyle="1" w:styleId="citation-1042">
    <w:name w:val="citation-1042"/>
    <w:basedOn w:val="DefaultParagraphFont"/>
    <w:rsid w:val="00D53954"/>
  </w:style>
  <w:style w:type="character" w:customStyle="1" w:styleId="citation-1041">
    <w:name w:val="citation-1041"/>
    <w:basedOn w:val="DefaultParagraphFont"/>
    <w:rsid w:val="00D53954"/>
  </w:style>
  <w:style w:type="character" w:customStyle="1" w:styleId="citation-1040">
    <w:name w:val="citation-1040"/>
    <w:basedOn w:val="DefaultParagraphFont"/>
    <w:rsid w:val="00D53954"/>
  </w:style>
  <w:style w:type="character" w:customStyle="1" w:styleId="citation-1039">
    <w:name w:val="citation-1039"/>
    <w:basedOn w:val="DefaultParagraphFont"/>
    <w:rsid w:val="00D53954"/>
  </w:style>
  <w:style w:type="character" w:customStyle="1" w:styleId="citation-1038">
    <w:name w:val="citation-1038"/>
    <w:basedOn w:val="DefaultParagraphFont"/>
    <w:rsid w:val="00D53954"/>
  </w:style>
  <w:style w:type="character" w:customStyle="1" w:styleId="citation-1037">
    <w:name w:val="citation-1037"/>
    <w:basedOn w:val="DefaultParagraphFont"/>
    <w:rsid w:val="00D53954"/>
  </w:style>
  <w:style w:type="character" w:customStyle="1" w:styleId="citation-1036">
    <w:name w:val="citation-1036"/>
    <w:basedOn w:val="DefaultParagraphFont"/>
    <w:rsid w:val="00D53954"/>
  </w:style>
  <w:style w:type="character" w:customStyle="1" w:styleId="citation-1035">
    <w:name w:val="citation-1035"/>
    <w:basedOn w:val="DefaultParagraphFont"/>
    <w:rsid w:val="00D53954"/>
  </w:style>
  <w:style w:type="character" w:customStyle="1" w:styleId="citation-1034">
    <w:name w:val="citation-1034"/>
    <w:basedOn w:val="DefaultParagraphFont"/>
    <w:rsid w:val="00D53954"/>
  </w:style>
  <w:style w:type="character" w:customStyle="1" w:styleId="citation-1033">
    <w:name w:val="citation-1033"/>
    <w:basedOn w:val="DefaultParagraphFont"/>
    <w:rsid w:val="00D53954"/>
  </w:style>
  <w:style w:type="character" w:customStyle="1" w:styleId="citation-1032">
    <w:name w:val="citation-1032"/>
    <w:basedOn w:val="DefaultParagraphFont"/>
    <w:rsid w:val="00D53954"/>
  </w:style>
  <w:style w:type="character" w:customStyle="1" w:styleId="citation-1031">
    <w:name w:val="citation-1031"/>
    <w:basedOn w:val="DefaultParagraphFont"/>
    <w:rsid w:val="00D53954"/>
  </w:style>
  <w:style w:type="character" w:customStyle="1" w:styleId="citation-1030">
    <w:name w:val="citation-1030"/>
    <w:basedOn w:val="DefaultParagraphFont"/>
    <w:rsid w:val="00D53954"/>
  </w:style>
  <w:style w:type="character" w:customStyle="1" w:styleId="citation-1029">
    <w:name w:val="citation-1029"/>
    <w:basedOn w:val="DefaultParagraphFont"/>
    <w:rsid w:val="00D53954"/>
  </w:style>
  <w:style w:type="character" w:customStyle="1" w:styleId="citation-1028">
    <w:name w:val="citation-1028"/>
    <w:basedOn w:val="DefaultParagraphFont"/>
    <w:rsid w:val="00D53954"/>
  </w:style>
  <w:style w:type="character" w:customStyle="1" w:styleId="citation-1027">
    <w:name w:val="citation-1027"/>
    <w:basedOn w:val="DefaultParagraphFont"/>
    <w:rsid w:val="00D53954"/>
  </w:style>
  <w:style w:type="character" w:customStyle="1" w:styleId="citation-1026">
    <w:name w:val="citation-1026"/>
    <w:basedOn w:val="DefaultParagraphFont"/>
    <w:rsid w:val="00D53954"/>
  </w:style>
  <w:style w:type="character" w:customStyle="1" w:styleId="citation-1025">
    <w:name w:val="citation-1025"/>
    <w:basedOn w:val="DefaultParagraphFont"/>
    <w:rsid w:val="00D53954"/>
  </w:style>
  <w:style w:type="character" w:customStyle="1" w:styleId="citation-1024">
    <w:name w:val="citation-1024"/>
    <w:basedOn w:val="DefaultParagraphFont"/>
    <w:rsid w:val="00D53954"/>
  </w:style>
  <w:style w:type="character" w:customStyle="1" w:styleId="citation-1023">
    <w:name w:val="citation-1023"/>
    <w:basedOn w:val="DefaultParagraphFont"/>
    <w:rsid w:val="00D53954"/>
  </w:style>
  <w:style w:type="character" w:customStyle="1" w:styleId="citation-1022">
    <w:name w:val="citation-1022"/>
    <w:basedOn w:val="DefaultParagraphFont"/>
    <w:rsid w:val="00D53954"/>
  </w:style>
  <w:style w:type="character" w:customStyle="1" w:styleId="citation-1021">
    <w:name w:val="citation-1021"/>
    <w:basedOn w:val="DefaultParagraphFont"/>
    <w:rsid w:val="00D53954"/>
  </w:style>
  <w:style w:type="character" w:customStyle="1" w:styleId="citation-1020">
    <w:name w:val="citation-1020"/>
    <w:basedOn w:val="DefaultParagraphFont"/>
    <w:rsid w:val="00D53954"/>
  </w:style>
  <w:style w:type="character" w:customStyle="1" w:styleId="citation-1019">
    <w:name w:val="citation-1019"/>
    <w:basedOn w:val="DefaultParagraphFont"/>
    <w:rsid w:val="00D53954"/>
  </w:style>
  <w:style w:type="character" w:customStyle="1" w:styleId="citation-1018">
    <w:name w:val="citation-1018"/>
    <w:basedOn w:val="DefaultParagraphFont"/>
    <w:rsid w:val="00D53954"/>
  </w:style>
  <w:style w:type="character" w:customStyle="1" w:styleId="citation-1017">
    <w:name w:val="citation-1017"/>
    <w:basedOn w:val="DefaultParagraphFont"/>
    <w:rsid w:val="00D53954"/>
  </w:style>
  <w:style w:type="character" w:customStyle="1" w:styleId="citation-1016">
    <w:name w:val="citation-1016"/>
    <w:basedOn w:val="DefaultParagraphFont"/>
    <w:rsid w:val="00D53954"/>
  </w:style>
  <w:style w:type="character" w:customStyle="1" w:styleId="citation-1015">
    <w:name w:val="citation-1015"/>
    <w:basedOn w:val="DefaultParagraphFont"/>
    <w:rsid w:val="00D53954"/>
  </w:style>
  <w:style w:type="table" w:styleId="TableGrid">
    <w:name w:val="Table Grid"/>
    <w:basedOn w:val="TableNormal"/>
    <w:uiPriority w:val="59"/>
    <w:rsid w:val="000A2C67"/>
    <w:pPr>
      <w:spacing w:after="0" w:line="240" w:lineRule="auto"/>
    </w:pPr>
    <w:rPr>
      <w:kern w:val="0"/>
      <w:szCs w:val="20"/>
      <w:lang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1A3"/>
    <w:rPr>
      <w:color w:val="0563C1" w:themeColor="hyperlink"/>
      <w:u w:val="single"/>
    </w:rPr>
  </w:style>
  <w:style w:type="character" w:styleId="UnresolvedMention">
    <w:name w:val="Unresolved Mention"/>
    <w:basedOn w:val="DefaultParagraphFont"/>
    <w:uiPriority w:val="99"/>
    <w:semiHidden/>
    <w:unhideWhenUsed/>
    <w:rsid w:val="00DA21A3"/>
    <w:rPr>
      <w:color w:val="605E5C"/>
      <w:shd w:val="clear" w:color="auto" w:fill="E1DFDD"/>
    </w:rPr>
  </w:style>
  <w:style w:type="paragraph" w:styleId="Header">
    <w:name w:val="header"/>
    <w:basedOn w:val="Normal"/>
    <w:link w:val="HeaderChar"/>
    <w:uiPriority w:val="99"/>
    <w:unhideWhenUsed/>
    <w:rsid w:val="00CD3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2F"/>
  </w:style>
  <w:style w:type="paragraph" w:styleId="Footer">
    <w:name w:val="footer"/>
    <w:basedOn w:val="Normal"/>
    <w:link w:val="FooterChar"/>
    <w:uiPriority w:val="99"/>
    <w:unhideWhenUsed/>
    <w:rsid w:val="00CD3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05501">
      <w:bodyDiv w:val="1"/>
      <w:marLeft w:val="0"/>
      <w:marRight w:val="0"/>
      <w:marTop w:val="0"/>
      <w:marBottom w:val="0"/>
      <w:divBdr>
        <w:top w:val="none" w:sz="0" w:space="0" w:color="auto"/>
        <w:left w:val="none" w:sz="0" w:space="0" w:color="auto"/>
        <w:bottom w:val="none" w:sz="0" w:space="0" w:color="auto"/>
        <w:right w:val="none" w:sz="0" w:space="0" w:color="auto"/>
      </w:divBdr>
      <w:divsChild>
        <w:div w:id="1068841525">
          <w:marLeft w:val="0"/>
          <w:marRight w:val="0"/>
          <w:marTop w:val="0"/>
          <w:marBottom w:val="0"/>
          <w:divBdr>
            <w:top w:val="none" w:sz="0" w:space="0" w:color="auto"/>
            <w:left w:val="none" w:sz="0" w:space="0" w:color="auto"/>
            <w:bottom w:val="none" w:sz="0" w:space="0" w:color="auto"/>
            <w:right w:val="none" w:sz="0" w:space="0" w:color="auto"/>
          </w:divBdr>
          <w:divsChild>
            <w:div w:id="1506629913">
              <w:marLeft w:val="0"/>
              <w:marRight w:val="0"/>
              <w:marTop w:val="0"/>
              <w:marBottom w:val="0"/>
              <w:divBdr>
                <w:top w:val="none" w:sz="0" w:space="0" w:color="auto"/>
                <w:left w:val="none" w:sz="0" w:space="0" w:color="auto"/>
                <w:bottom w:val="none" w:sz="0" w:space="0" w:color="auto"/>
                <w:right w:val="none" w:sz="0" w:space="0" w:color="auto"/>
              </w:divBdr>
              <w:divsChild>
                <w:div w:id="489827557">
                  <w:marLeft w:val="0"/>
                  <w:marRight w:val="0"/>
                  <w:marTop w:val="0"/>
                  <w:marBottom w:val="0"/>
                  <w:divBdr>
                    <w:top w:val="none" w:sz="0" w:space="0" w:color="auto"/>
                    <w:left w:val="none" w:sz="0" w:space="0" w:color="auto"/>
                    <w:bottom w:val="none" w:sz="0" w:space="0" w:color="auto"/>
                    <w:right w:val="none" w:sz="0" w:space="0" w:color="auto"/>
                  </w:divBdr>
                  <w:divsChild>
                    <w:div w:id="3012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90787">
      <w:bodyDiv w:val="1"/>
      <w:marLeft w:val="0"/>
      <w:marRight w:val="0"/>
      <w:marTop w:val="0"/>
      <w:marBottom w:val="0"/>
      <w:divBdr>
        <w:top w:val="none" w:sz="0" w:space="0" w:color="auto"/>
        <w:left w:val="none" w:sz="0" w:space="0" w:color="auto"/>
        <w:bottom w:val="none" w:sz="0" w:space="0" w:color="auto"/>
        <w:right w:val="none" w:sz="0" w:space="0" w:color="auto"/>
      </w:divBdr>
      <w:divsChild>
        <w:div w:id="390463624">
          <w:marLeft w:val="0"/>
          <w:marRight w:val="0"/>
          <w:marTop w:val="0"/>
          <w:marBottom w:val="0"/>
          <w:divBdr>
            <w:top w:val="none" w:sz="0" w:space="0" w:color="auto"/>
            <w:left w:val="none" w:sz="0" w:space="0" w:color="auto"/>
            <w:bottom w:val="none" w:sz="0" w:space="0" w:color="auto"/>
            <w:right w:val="none" w:sz="0" w:space="0" w:color="auto"/>
          </w:divBdr>
          <w:divsChild>
            <w:div w:id="449478308">
              <w:marLeft w:val="0"/>
              <w:marRight w:val="0"/>
              <w:marTop w:val="0"/>
              <w:marBottom w:val="0"/>
              <w:divBdr>
                <w:top w:val="none" w:sz="0" w:space="0" w:color="auto"/>
                <w:left w:val="none" w:sz="0" w:space="0" w:color="auto"/>
                <w:bottom w:val="none" w:sz="0" w:space="0" w:color="auto"/>
                <w:right w:val="none" w:sz="0" w:space="0" w:color="auto"/>
              </w:divBdr>
              <w:divsChild>
                <w:div w:id="150410385">
                  <w:marLeft w:val="0"/>
                  <w:marRight w:val="0"/>
                  <w:marTop w:val="0"/>
                  <w:marBottom w:val="0"/>
                  <w:divBdr>
                    <w:top w:val="none" w:sz="0" w:space="0" w:color="auto"/>
                    <w:left w:val="none" w:sz="0" w:space="0" w:color="auto"/>
                    <w:bottom w:val="none" w:sz="0" w:space="0" w:color="auto"/>
                    <w:right w:val="none" w:sz="0" w:space="0" w:color="auto"/>
                  </w:divBdr>
                  <w:divsChild>
                    <w:div w:id="18135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159/2413-3221/2024/v52n1a127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9734/ijecc/2023/v13i10302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su1609355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PC New 16</cp:lastModifiedBy>
  <cp:revision>18</cp:revision>
  <dcterms:created xsi:type="dcterms:W3CDTF">2026-04-06T07:22:00Z</dcterms:created>
  <dcterms:modified xsi:type="dcterms:W3CDTF">2026-04-15T06:44:00Z</dcterms:modified>
</cp:coreProperties>
</file>