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2801" w14:textId="6BA7B54A" w:rsidR="00A258C3" w:rsidRPr="00790ADA" w:rsidRDefault="00ED4CCB" w:rsidP="00ED4CCB">
      <w:pPr>
        <w:pStyle w:val="Author"/>
        <w:spacing w:line="240" w:lineRule="auto"/>
        <w:jc w:val="center"/>
        <w:rPr>
          <w:rFonts w:ascii="Arial" w:hAnsi="Arial" w:cs="Arial"/>
          <w:sz w:val="36"/>
        </w:rPr>
      </w:pPr>
      <w:r w:rsidRPr="00ED4CCB">
        <w:rPr>
          <w:rFonts w:ascii="Arial" w:hAnsi="Arial" w:cs="Arial"/>
          <w:kern w:val="28"/>
          <w:sz w:val="36"/>
        </w:rPr>
        <w:t>Eco-Intensification of Brinjal Production Using Seaweed-Based Biostimulants and Beneficial Rhizobacteria</w:t>
      </w:r>
    </w:p>
    <w:p w14:paraId="344048F5" w14:textId="40E12E94" w:rsidR="0064585C" w:rsidRDefault="0064585C" w:rsidP="00E41729">
      <w:pPr>
        <w:pStyle w:val="Affiliation"/>
        <w:spacing w:after="0" w:line="240" w:lineRule="auto"/>
        <w:jc w:val="left"/>
        <w:rPr>
          <w:rFonts w:ascii="Arial" w:hAnsi="Arial" w:cs="Arial"/>
        </w:rPr>
      </w:pPr>
    </w:p>
    <w:p w14:paraId="19C4C207" w14:textId="77777777" w:rsidR="006C7F50" w:rsidRDefault="006C7F50" w:rsidP="00E41729">
      <w:pPr>
        <w:pStyle w:val="Affiliation"/>
        <w:spacing w:after="0" w:line="240" w:lineRule="auto"/>
        <w:jc w:val="left"/>
        <w:rPr>
          <w:rFonts w:ascii="Arial" w:hAnsi="Arial" w:cs="Arial"/>
        </w:rPr>
      </w:pPr>
    </w:p>
    <w:p w14:paraId="404DE2D5" w14:textId="77777777" w:rsidR="002C57D2" w:rsidRPr="00FB3A86" w:rsidRDefault="002C57D2" w:rsidP="00441B6F">
      <w:pPr>
        <w:pStyle w:val="Affiliation"/>
        <w:spacing w:after="0" w:line="240" w:lineRule="auto"/>
        <w:jc w:val="both"/>
        <w:rPr>
          <w:rFonts w:ascii="Arial" w:hAnsi="Arial" w:cs="Arial"/>
        </w:rPr>
      </w:pPr>
    </w:p>
    <w:p w14:paraId="0703DDA6" w14:textId="77777777" w:rsidR="00B01FCD" w:rsidRPr="00FB3A86" w:rsidRDefault="00000000" w:rsidP="00441B6F">
      <w:pPr>
        <w:pStyle w:val="Copyright"/>
        <w:spacing w:after="0" w:line="240" w:lineRule="auto"/>
        <w:jc w:val="both"/>
        <w:rPr>
          <w:rFonts w:ascii="Arial" w:hAnsi="Arial" w:cs="Arial"/>
        </w:rPr>
        <w:sectPr w:rsidR="00B01FCD" w:rsidRPr="00FB3A86" w:rsidSect="006C7F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C2760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5ADBBB" w14:textId="08C366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AC78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96825" w14:paraId="050B29D5" w14:textId="77777777" w:rsidTr="001E44FE">
        <w:tc>
          <w:tcPr>
            <w:tcW w:w="9576" w:type="dxa"/>
            <w:shd w:val="clear" w:color="auto" w:fill="F2F2F2"/>
          </w:tcPr>
          <w:p w14:paraId="7A238B9C" w14:textId="77777777" w:rsidR="00AB1846" w:rsidRPr="00A96825" w:rsidRDefault="00BA1B01" w:rsidP="00AB1846">
            <w:pPr>
              <w:pStyle w:val="Body"/>
              <w:spacing w:after="0"/>
              <w:rPr>
                <w:rFonts w:ascii="Arial" w:eastAsia="Calibri" w:hAnsi="Arial" w:cs="Arial"/>
              </w:rPr>
            </w:pPr>
            <w:r w:rsidRPr="00A96825">
              <w:rPr>
                <w:rFonts w:ascii="Arial" w:eastAsia="Calibri" w:hAnsi="Arial" w:cs="Arial"/>
                <w:b/>
              </w:rPr>
              <w:t xml:space="preserve">Aims: </w:t>
            </w:r>
            <w:r w:rsidR="00AB1846" w:rsidRPr="00A96825">
              <w:rPr>
                <w:rFonts w:ascii="Arial" w:eastAsia="Calibri" w:hAnsi="Arial" w:cs="Arial"/>
              </w:rPr>
              <w:t>Seaweed-based bio stimulants and microbial biofertilizers are increasingly used in sustainable agriculture to enhance crop growth and productivity. Seaweed extracts contain several bioactive components such as plant growth regulators, micronutrients, vitamins, and amino acids that stimulate physiological processes in plants. Azotobacter, a beneficial bacterium, contributes to crop growth by fixing atmospheric nitrogen and producing growth promoting substances that improve nutrient uptake and root development. In the present study, the influence of seaweed extract and Azotobacter on the growth, yield, and fruit quality of brinjal (Solanum melongena) was evaluated under field conditions.</w:t>
            </w:r>
          </w:p>
          <w:p w14:paraId="0E8BE281" w14:textId="77777777" w:rsidR="00AB1846" w:rsidRPr="00A96825" w:rsidRDefault="00BA1B01" w:rsidP="00441B6F">
            <w:pPr>
              <w:pStyle w:val="Body"/>
              <w:spacing w:after="0"/>
              <w:rPr>
                <w:rFonts w:ascii="Arial" w:hAnsi="Arial" w:cs="Arial"/>
              </w:rPr>
            </w:pPr>
            <w:r w:rsidRPr="00A96825">
              <w:rPr>
                <w:rFonts w:ascii="Arial" w:eastAsia="Calibri" w:hAnsi="Arial" w:cs="Arial"/>
                <w:b/>
              </w:rPr>
              <w:t>Study design:</w:t>
            </w:r>
            <w:r w:rsidRPr="00A96825">
              <w:rPr>
                <w:rFonts w:ascii="Arial" w:eastAsia="Calibri" w:hAnsi="Arial" w:cs="Arial"/>
              </w:rPr>
              <w:t xml:space="preserve">  </w:t>
            </w:r>
            <w:r w:rsidR="00AB1846" w:rsidRPr="00A96825">
              <w:rPr>
                <w:rFonts w:ascii="Arial" w:hAnsi="Arial" w:cs="Arial"/>
              </w:rPr>
              <w:t xml:space="preserve">The experiment was conducted using Randomized Block Design with five treatments and three replications. </w:t>
            </w:r>
          </w:p>
          <w:p w14:paraId="326C1DB8" w14:textId="76A4C378" w:rsidR="00BA1B01" w:rsidRPr="00A96825" w:rsidRDefault="00BA1B01" w:rsidP="00441B6F">
            <w:pPr>
              <w:pStyle w:val="Body"/>
              <w:spacing w:after="0"/>
              <w:rPr>
                <w:rFonts w:ascii="Arial" w:eastAsia="Calibri" w:hAnsi="Arial" w:cs="Arial"/>
              </w:rPr>
            </w:pPr>
            <w:r w:rsidRPr="00A96825">
              <w:rPr>
                <w:rFonts w:ascii="Arial" w:eastAsia="Calibri" w:hAnsi="Arial" w:cs="Arial"/>
                <w:b/>
              </w:rPr>
              <w:t>Place and Duration of Study:</w:t>
            </w:r>
            <w:r w:rsidRPr="00A96825">
              <w:rPr>
                <w:rFonts w:ascii="Arial" w:eastAsia="Calibri" w:hAnsi="Arial" w:cs="Arial"/>
              </w:rPr>
              <w:t xml:space="preserve"> </w:t>
            </w:r>
            <w:r w:rsidR="00E67AFD" w:rsidRPr="00A96825">
              <w:rPr>
                <w:rFonts w:ascii="Arial" w:eastAsia="Calibri" w:hAnsi="Arial" w:cs="Arial"/>
              </w:rPr>
              <w:t xml:space="preserve">The research was carried at experimental fields, </w:t>
            </w:r>
            <w:r w:rsidR="00871226" w:rsidRPr="00A96825">
              <w:rPr>
                <w:rFonts w:ascii="Arial" w:eastAsia="Calibri" w:hAnsi="Arial" w:cs="Arial"/>
              </w:rPr>
              <w:t>department</w:t>
            </w:r>
            <w:r w:rsidR="00E67AFD" w:rsidRPr="00A96825">
              <w:rPr>
                <w:rFonts w:ascii="Arial" w:eastAsia="Calibri" w:hAnsi="Arial" w:cs="Arial"/>
              </w:rPr>
              <w:t xml:space="preserve"> of agriculture and rural development </w:t>
            </w:r>
            <w:r w:rsidR="004C4C0E" w:rsidRPr="00A96825">
              <w:rPr>
                <w:rFonts w:ascii="Arial" w:eastAsia="Calibri" w:hAnsi="Arial" w:cs="Arial"/>
              </w:rPr>
              <w:t>, Maris stella college , Vijayawada between November 2025 to March 2026.</w:t>
            </w:r>
          </w:p>
          <w:p w14:paraId="78BCE2CC" w14:textId="3B1444C5" w:rsidR="00BA1B01" w:rsidRPr="00A96825" w:rsidRDefault="00BA1B01" w:rsidP="00441B6F">
            <w:pPr>
              <w:pStyle w:val="Body"/>
              <w:spacing w:after="0"/>
              <w:rPr>
                <w:rFonts w:ascii="Arial" w:eastAsia="Calibri" w:hAnsi="Arial" w:cs="Arial"/>
              </w:rPr>
            </w:pPr>
            <w:r w:rsidRPr="00A96825">
              <w:rPr>
                <w:rFonts w:ascii="Arial" w:eastAsia="Calibri" w:hAnsi="Arial" w:cs="Arial"/>
                <w:b/>
                <w:bCs/>
              </w:rPr>
              <w:t>Methodology:</w:t>
            </w:r>
            <w:r w:rsidRPr="00A96825">
              <w:rPr>
                <w:rFonts w:ascii="Arial" w:eastAsia="Calibri" w:hAnsi="Arial" w:cs="Arial"/>
              </w:rPr>
              <w:t xml:space="preserve"> </w:t>
            </w:r>
            <w:r w:rsidR="007226E2" w:rsidRPr="00A96825">
              <w:rPr>
                <w:rFonts w:ascii="Arial" w:eastAsia="Calibri" w:hAnsi="Arial" w:cs="Arial"/>
              </w:rPr>
              <w:t xml:space="preserve">Seedlings were transplanted at a spacing of 60cm x 60cm, and the treatments included control, two concentrations of seaweed extract (2% and 4%) and their combinations with Azotobacter (2% and 4%). Observations were recorded on various vegetative, reproductive, and yield parameters throughout the crop growth period. </w:t>
            </w:r>
          </w:p>
          <w:p w14:paraId="0155ACD7" w14:textId="3E238E33" w:rsidR="00BA1B01" w:rsidRPr="00A96825" w:rsidRDefault="00BA1B01" w:rsidP="00441B6F">
            <w:pPr>
              <w:pStyle w:val="Body"/>
              <w:spacing w:after="0"/>
              <w:rPr>
                <w:rFonts w:ascii="Arial" w:eastAsia="Calibri" w:hAnsi="Arial" w:cs="Arial"/>
                <w:b/>
                <w:bCs/>
              </w:rPr>
            </w:pPr>
            <w:r w:rsidRPr="00A96825">
              <w:rPr>
                <w:rFonts w:ascii="Arial" w:eastAsia="Calibri" w:hAnsi="Arial" w:cs="Arial"/>
                <w:b/>
                <w:bCs/>
              </w:rPr>
              <w:t>Results:</w:t>
            </w:r>
            <w:r w:rsidRPr="00A96825">
              <w:rPr>
                <w:rFonts w:ascii="Arial" w:eastAsia="Calibri" w:hAnsi="Arial" w:cs="Arial"/>
              </w:rPr>
              <w:t xml:space="preserve"> </w:t>
            </w:r>
            <w:r w:rsidR="00250E34" w:rsidRPr="00A96825">
              <w:rPr>
                <w:rFonts w:ascii="Arial" w:eastAsia="Calibri" w:hAnsi="Arial" w:cs="Arial"/>
              </w:rPr>
              <w:t>The results revealed that the integrated application of seaweed extract and Azotobacter significantly enhanced plant growth and productivity compared to the control. The treatment consisting of seaweed extract (4%) along with Azotobacter (4%) produced the best performance in terms of plant height, number of branches, stem girth, leaf size, and early fruiting. It also recorded higher fruit weight, fruit volume, fruit length, and yield per plant.</w:t>
            </w:r>
          </w:p>
          <w:p w14:paraId="45F28CAA" w14:textId="4635B702" w:rsidR="00505F06" w:rsidRPr="00A96825" w:rsidRDefault="00BA1B01" w:rsidP="00441B6F">
            <w:pPr>
              <w:pStyle w:val="Body"/>
              <w:spacing w:after="0"/>
              <w:rPr>
                <w:rFonts w:ascii="Arial" w:eastAsia="Calibri" w:hAnsi="Arial" w:cs="Arial"/>
                <w:sz w:val="18"/>
              </w:rPr>
            </w:pPr>
            <w:r w:rsidRPr="00A96825">
              <w:rPr>
                <w:rFonts w:ascii="Arial" w:eastAsia="Calibri" w:hAnsi="Arial" w:cs="Arial"/>
                <w:b/>
                <w:bCs/>
              </w:rPr>
              <w:t>Conclusion:</w:t>
            </w:r>
            <w:r w:rsidRPr="00A96825">
              <w:rPr>
                <w:rFonts w:ascii="Arial" w:eastAsia="Calibri" w:hAnsi="Arial" w:cs="Arial"/>
              </w:rPr>
              <w:t xml:space="preserve"> </w:t>
            </w:r>
            <w:r w:rsidR="00250E34" w:rsidRPr="00A96825">
              <w:rPr>
                <w:rFonts w:ascii="Arial" w:eastAsia="Calibri" w:hAnsi="Arial" w:cs="Arial"/>
              </w:rPr>
              <w:t>The improved performance may be attributed to better nutrient availability, enhanced metabolic activity, and the synergistic interaction between seaweed extract and Azotobacter. Thus, the integrated use of seaweed extract and Azotobacter can be recommended as an eco-friendly and sustainable approach for improving the growth, yield, and fruit quality of brinjal.</w:t>
            </w:r>
            <w:r w:rsidR="00250E34" w:rsidRPr="00A96825">
              <w:rPr>
                <w:rFonts w:ascii="Arial" w:eastAsia="Calibri" w:hAnsi="Arial" w:cs="Arial"/>
                <w:sz w:val="18"/>
              </w:rPr>
              <w:t xml:space="preserve"> </w:t>
            </w:r>
          </w:p>
        </w:tc>
      </w:tr>
    </w:tbl>
    <w:p w14:paraId="18507C37" w14:textId="77777777" w:rsidR="00636EB2" w:rsidRPr="00A96825" w:rsidRDefault="00636EB2" w:rsidP="00441B6F">
      <w:pPr>
        <w:pStyle w:val="Body"/>
        <w:spacing w:after="0"/>
        <w:rPr>
          <w:rFonts w:ascii="Arial" w:hAnsi="Arial" w:cs="Arial"/>
          <w:i/>
          <w:sz w:val="18"/>
          <w:szCs w:val="18"/>
        </w:rPr>
      </w:pPr>
    </w:p>
    <w:p w14:paraId="62BA076B" w14:textId="58D762EE" w:rsidR="00A24E7E" w:rsidRPr="003918E3" w:rsidRDefault="00A24E7E" w:rsidP="003918E3">
      <w:pPr>
        <w:pStyle w:val="Body"/>
        <w:spacing w:after="0"/>
        <w:jc w:val="left"/>
        <w:rPr>
          <w:rFonts w:ascii="Arial" w:hAnsi="Arial" w:cs="Arial"/>
          <w:i/>
        </w:rPr>
      </w:pPr>
      <w:r>
        <w:rPr>
          <w:rFonts w:ascii="Arial" w:hAnsi="Arial" w:cs="Arial"/>
          <w:i/>
        </w:rPr>
        <w:t>Keywords:</w:t>
      </w:r>
      <w:r w:rsidR="00D4247A" w:rsidRPr="00D4247A">
        <w:rPr>
          <w:rFonts w:ascii="Times New Roman" w:hAnsi="Times New Roman"/>
          <w:sz w:val="28"/>
          <w:szCs w:val="28"/>
        </w:rPr>
        <w:t xml:space="preserve"> </w:t>
      </w:r>
      <w:r w:rsidR="00D4247A" w:rsidRPr="003918E3">
        <w:rPr>
          <w:rFonts w:ascii="Arial" w:hAnsi="Arial" w:cs="Arial"/>
          <w:i/>
          <w:iCs/>
        </w:rPr>
        <w:t>Azotobacter</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biostimulant</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brinjal</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growth</w:t>
      </w:r>
      <w:r w:rsidR="003918E3" w:rsidRPr="003918E3">
        <w:rPr>
          <w:rFonts w:ascii="Arial" w:hAnsi="Arial" w:cs="Arial"/>
          <w:i/>
          <w:iCs/>
        </w:rPr>
        <w:t>;</w:t>
      </w:r>
      <w:r w:rsidR="003918E3">
        <w:rPr>
          <w:rFonts w:ascii="Arial" w:hAnsi="Arial" w:cs="Arial"/>
          <w:i/>
          <w:iCs/>
        </w:rPr>
        <w:t xml:space="preserve"> </w:t>
      </w:r>
      <w:r w:rsidR="00D4247A" w:rsidRPr="003918E3">
        <w:rPr>
          <w:rFonts w:ascii="Arial" w:hAnsi="Arial" w:cs="Arial"/>
          <w:i/>
          <w:iCs/>
        </w:rPr>
        <w:t>integrated</w:t>
      </w:r>
      <w:r w:rsidR="003918E3" w:rsidRPr="003918E3">
        <w:rPr>
          <w:rFonts w:ascii="Arial" w:hAnsi="Arial" w:cs="Arial"/>
          <w:i/>
          <w:iCs/>
        </w:rPr>
        <w:t>;</w:t>
      </w:r>
      <w:r w:rsidR="00D4247A" w:rsidRPr="003918E3">
        <w:rPr>
          <w:rFonts w:ascii="Arial" w:hAnsi="Arial" w:cs="Arial"/>
          <w:i/>
          <w:iCs/>
        </w:rPr>
        <w:t xml:space="preserve"> </w:t>
      </w:r>
      <w:r w:rsidR="003918E3" w:rsidRPr="003918E3">
        <w:rPr>
          <w:rFonts w:ascii="Arial" w:hAnsi="Arial" w:cs="Arial"/>
          <w:i/>
          <w:iCs/>
        </w:rPr>
        <w:t>seaweed extract</w:t>
      </w:r>
      <w:r w:rsidR="003918E3">
        <w:rPr>
          <w:rFonts w:ascii="Arial" w:hAnsi="Arial" w:cs="Arial"/>
          <w:i/>
          <w:iCs/>
        </w:rPr>
        <w:t>.</w:t>
      </w:r>
    </w:p>
    <w:p w14:paraId="497CAD37" w14:textId="77777777" w:rsidR="00505F06" w:rsidRPr="00A24E7E" w:rsidRDefault="00505F06" w:rsidP="00441B6F">
      <w:pPr>
        <w:pStyle w:val="Body"/>
        <w:spacing w:after="0"/>
        <w:rPr>
          <w:rFonts w:ascii="Arial" w:hAnsi="Arial" w:cs="Arial"/>
          <w:i/>
        </w:rPr>
      </w:pPr>
    </w:p>
    <w:p w14:paraId="4F0DE9ED" w14:textId="6162746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3D405DB" w14:textId="77777777" w:rsidR="00790ADA" w:rsidRPr="00FB3A86" w:rsidRDefault="00790ADA" w:rsidP="00441B6F">
      <w:pPr>
        <w:pStyle w:val="AbstHead"/>
        <w:spacing w:after="0"/>
        <w:jc w:val="both"/>
        <w:rPr>
          <w:rFonts w:ascii="Arial" w:hAnsi="Arial" w:cs="Arial"/>
        </w:rPr>
      </w:pPr>
    </w:p>
    <w:p w14:paraId="0428BDC0"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Brinjal (Solanum melongena) is one of the most major crops cultivated in India and in other tropical and subtropical regions. Worldwide it is commonly known as Eggplant and is valued for its nutritional content, including vitamins, minerals, dietary fibre, and antioxidants such as Nasunin, a major anthocyanin found in the skin that protects brain cell membranes from lipid peroxidation, and repairs cell damage (Hazra, 2023). This crop plays a significant role in vegetable production and contributes substantially to farmers’ income due to its year-around cultivation and high market demand (</w:t>
      </w:r>
      <w:proofErr w:type="spellStart"/>
      <w:r w:rsidRPr="00F9577B">
        <w:rPr>
          <w:rFonts w:ascii="Arial" w:hAnsi="Arial" w:cs="Arial"/>
          <w:b w:val="0"/>
          <w:caps w:val="0"/>
          <w:sz w:val="20"/>
        </w:rPr>
        <w:t>Gurve</w:t>
      </w:r>
      <w:proofErr w:type="spellEnd"/>
      <w:r w:rsidRPr="00F9577B">
        <w:rPr>
          <w:rFonts w:ascii="Arial" w:hAnsi="Arial" w:cs="Arial"/>
          <w:b w:val="0"/>
          <w:caps w:val="0"/>
          <w:sz w:val="20"/>
        </w:rPr>
        <w:t xml:space="preserve"> </w:t>
      </w:r>
      <w:r w:rsidRPr="009601DC">
        <w:rPr>
          <w:rFonts w:ascii="Arial" w:hAnsi="Arial" w:cs="Arial"/>
          <w:b w:val="0"/>
          <w:i/>
          <w:iCs/>
          <w:caps w:val="0"/>
          <w:sz w:val="20"/>
        </w:rPr>
        <w:t>et al</w:t>
      </w:r>
      <w:r w:rsidRPr="00F9577B">
        <w:rPr>
          <w:rFonts w:ascii="Arial" w:hAnsi="Arial" w:cs="Arial"/>
          <w:b w:val="0"/>
          <w:caps w:val="0"/>
          <w:sz w:val="20"/>
        </w:rPr>
        <w:t xml:space="preserve">., 2020). Sustainable enhancement of productivity and quality in brinjal (Solanum melongena) requires integrated nutrient management practices that optimize plant growth, nutrient uptake, and overall physiological efficiency (Paswan </w:t>
      </w:r>
      <w:r w:rsidRPr="009601DC">
        <w:rPr>
          <w:rFonts w:ascii="Arial" w:hAnsi="Arial" w:cs="Arial"/>
          <w:b w:val="0"/>
          <w:i/>
          <w:iCs/>
          <w:caps w:val="0"/>
          <w:sz w:val="20"/>
        </w:rPr>
        <w:t>et al.,</w:t>
      </w:r>
      <w:r w:rsidRPr="00F9577B">
        <w:rPr>
          <w:rFonts w:ascii="Arial" w:hAnsi="Arial" w:cs="Arial"/>
          <w:b w:val="0"/>
          <w:caps w:val="0"/>
          <w:sz w:val="20"/>
        </w:rPr>
        <w:t xml:space="preserve"> 2022).</w:t>
      </w:r>
    </w:p>
    <w:p w14:paraId="2A04315D"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Achieving higher yield and superior fruit quality in brinjal (Solanum melongena) is largely dependent on scientifically managed nutrient practices that ensure balanced growth and efficient physiological functioning of the plant (</w:t>
      </w:r>
      <w:proofErr w:type="spellStart"/>
      <w:r w:rsidRPr="00F9577B">
        <w:rPr>
          <w:rFonts w:ascii="Arial" w:hAnsi="Arial" w:cs="Arial"/>
          <w:b w:val="0"/>
          <w:caps w:val="0"/>
          <w:sz w:val="20"/>
        </w:rPr>
        <w:t>Khanm</w:t>
      </w:r>
      <w:proofErr w:type="spellEnd"/>
      <w:r w:rsidRPr="00F9577B">
        <w:rPr>
          <w:rFonts w:ascii="Arial" w:hAnsi="Arial" w:cs="Arial"/>
          <w:b w:val="0"/>
          <w:caps w:val="0"/>
          <w:sz w:val="20"/>
        </w:rPr>
        <w:t xml:space="preserve"> </w:t>
      </w:r>
      <w:r w:rsidRPr="009601DC">
        <w:rPr>
          <w:rFonts w:ascii="Arial" w:hAnsi="Arial" w:cs="Arial"/>
          <w:b w:val="0"/>
          <w:i/>
          <w:iCs/>
          <w:caps w:val="0"/>
          <w:sz w:val="20"/>
        </w:rPr>
        <w:t>et al.,</w:t>
      </w:r>
      <w:r w:rsidRPr="00F9577B">
        <w:rPr>
          <w:rFonts w:ascii="Arial" w:hAnsi="Arial" w:cs="Arial"/>
          <w:b w:val="0"/>
          <w:caps w:val="0"/>
          <w:sz w:val="20"/>
        </w:rPr>
        <w:t xml:space="preserve"> 2025). Proper nutrient management not only enhances vegetative growth but also influences flowering, fruit development, and overall crop performance (Nisar </w:t>
      </w:r>
      <w:r w:rsidRPr="009601DC">
        <w:rPr>
          <w:rFonts w:ascii="Arial" w:hAnsi="Arial" w:cs="Arial"/>
          <w:b w:val="0"/>
          <w:i/>
          <w:iCs/>
          <w:caps w:val="0"/>
          <w:sz w:val="20"/>
        </w:rPr>
        <w:t>et al.,</w:t>
      </w:r>
      <w:r w:rsidRPr="00F9577B">
        <w:rPr>
          <w:rFonts w:ascii="Arial" w:hAnsi="Arial" w:cs="Arial"/>
          <w:b w:val="0"/>
          <w:caps w:val="0"/>
          <w:sz w:val="20"/>
        </w:rPr>
        <w:t xml:space="preserve"> 2025). An adequate and balanced supply of essential nutrients improve chlorophyll synthesis, root development, and nutrient uptake efficiency, thereby directly contributing to higher productivity. Moreover, maintaining optimum nutrient levels helps the plant withstand environmental stresses and ensures consistent yield and quality across growing seasons. Several studies have reported that balanced fertilization significantly enhances growth attributes, yield components, and fruit quality in brinjal while also improving soil fertility and nutrient availability (Chethan </w:t>
      </w:r>
      <w:r w:rsidRPr="009601DC">
        <w:rPr>
          <w:rFonts w:ascii="Arial" w:hAnsi="Arial" w:cs="Arial"/>
          <w:b w:val="0"/>
          <w:i/>
          <w:iCs/>
          <w:caps w:val="0"/>
          <w:sz w:val="20"/>
        </w:rPr>
        <w:t>et al.,</w:t>
      </w:r>
      <w:r w:rsidRPr="00F9577B">
        <w:rPr>
          <w:rFonts w:ascii="Arial" w:hAnsi="Arial" w:cs="Arial"/>
          <w:b w:val="0"/>
          <w:caps w:val="0"/>
          <w:sz w:val="20"/>
        </w:rPr>
        <w:t xml:space="preserve"> 2024). </w:t>
      </w:r>
    </w:p>
    <w:p w14:paraId="7DE6829D" w14:textId="3635F5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 xml:space="preserve">Seaweed extract is natural bio stimulant derived from marine algae and is widely recognized for its growth-promoting effects in agriculture (Tejasree </w:t>
      </w:r>
      <w:r w:rsidRPr="009601DC">
        <w:rPr>
          <w:rFonts w:ascii="Arial" w:hAnsi="Arial" w:cs="Arial"/>
          <w:b w:val="0"/>
          <w:i/>
          <w:iCs/>
          <w:caps w:val="0"/>
          <w:sz w:val="20"/>
        </w:rPr>
        <w:t>et al.,</w:t>
      </w:r>
      <w:r w:rsidRPr="00F9577B">
        <w:rPr>
          <w:rFonts w:ascii="Arial" w:hAnsi="Arial" w:cs="Arial"/>
          <w:b w:val="0"/>
          <w:caps w:val="0"/>
          <w:sz w:val="20"/>
        </w:rPr>
        <w:t xml:space="preserve"> 2024). These extracts contain various plant growth regulators including auxins, cytokinins, and gibberellins, along with essential micronutrients, amino acids, vitamins, polysaccharides, and other bioactive compounds. Such constituents stimulate cell division, enhance metabolic activities, and promote vigorous root and shoot development in plants. Application of seaweed extract also improves chlorophyll synthesis and photosynthetic efficiency, which leads to enhanced vegetative growth and higher productivity (Asadi </w:t>
      </w:r>
      <w:r w:rsidRPr="00175374">
        <w:rPr>
          <w:rFonts w:ascii="Arial" w:hAnsi="Arial" w:cs="Arial"/>
          <w:b w:val="0"/>
          <w:i/>
          <w:iCs/>
          <w:caps w:val="0"/>
          <w:sz w:val="20"/>
        </w:rPr>
        <w:t>et al.,</w:t>
      </w:r>
      <w:r w:rsidRPr="00F9577B">
        <w:rPr>
          <w:rFonts w:ascii="Arial" w:hAnsi="Arial" w:cs="Arial"/>
          <w:b w:val="0"/>
          <w:caps w:val="0"/>
          <w:sz w:val="20"/>
        </w:rPr>
        <w:t xml:space="preserve"> 2022). In addition, seaweed extracts strengthen plant </w:t>
      </w:r>
      <w:r w:rsidR="00E00410" w:rsidRPr="00F9577B">
        <w:rPr>
          <w:rFonts w:ascii="Arial" w:hAnsi="Arial" w:cs="Arial"/>
          <w:b w:val="0"/>
          <w:caps w:val="0"/>
          <w:sz w:val="20"/>
        </w:rPr>
        <w:t>defense</w:t>
      </w:r>
      <w:r w:rsidRPr="00F9577B">
        <w:rPr>
          <w:rFonts w:ascii="Arial" w:hAnsi="Arial" w:cs="Arial"/>
          <w:b w:val="0"/>
          <w:caps w:val="0"/>
          <w:sz w:val="20"/>
        </w:rPr>
        <w:t xml:space="preserve"> mechanisms and improve tolerance to abiotic stresses such as drought, salinity, and temperature fluctuations (Amrutha </w:t>
      </w:r>
      <w:r w:rsidRPr="00175374">
        <w:rPr>
          <w:rFonts w:ascii="Arial" w:hAnsi="Arial" w:cs="Arial"/>
          <w:b w:val="0"/>
          <w:i/>
          <w:iCs/>
          <w:caps w:val="0"/>
          <w:sz w:val="20"/>
        </w:rPr>
        <w:t>et al.,</w:t>
      </w:r>
      <w:r w:rsidRPr="00F9577B">
        <w:rPr>
          <w:rFonts w:ascii="Arial" w:hAnsi="Arial" w:cs="Arial"/>
          <w:b w:val="0"/>
          <w:caps w:val="0"/>
          <w:sz w:val="20"/>
        </w:rPr>
        <w:t xml:space="preserve"> 2025). In vegetable crops like brinjal, foliar application of seaweed extract has been reported to increase plant growth, flowering, fruit set, and overall yield (Villa e Vila </w:t>
      </w:r>
      <w:r w:rsidRPr="00175374">
        <w:rPr>
          <w:rFonts w:ascii="Arial" w:hAnsi="Arial" w:cs="Arial"/>
          <w:b w:val="0"/>
          <w:i/>
          <w:iCs/>
          <w:caps w:val="0"/>
          <w:sz w:val="20"/>
        </w:rPr>
        <w:t>et al.,</w:t>
      </w:r>
      <w:r w:rsidRPr="00F9577B">
        <w:rPr>
          <w:rFonts w:ascii="Arial" w:hAnsi="Arial" w:cs="Arial"/>
          <w:b w:val="0"/>
          <w:caps w:val="0"/>
          <w:sz w:val="20"/>
        </w:rPr>
        <w:t xml:space="preserve"> 2024). Due to their natural origin, eco-friendly nature, and ability to improve plant performance, seaweed-based bio stimulants are increasingly being incorporated into integrated nutrient management practices for sustainable crop production.</w:t>
      </w:r>
    </w:p>
    <w:p w14:paraId="0F2DCC55"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Azotobacter is a free-living, nitrogen-fixing bacterium that plays a crucial role in improving soil fertility by converting atmospheric nitrogen into forms readily available to plants. Unlike symbiotic bacteria, it functions independently in the rhizosphere, enriching the soil with biologically fixed nitrogen (</w:t>
      </w:r>
      <w:proofErr w:type="spellStart"/>
      <w:r w:rsidRPr="00F9577B">
        <w:rPr>
          <w:rFonts w:ascii="Arial" w:hAnsi="Arial" w:cs="Arial"/>
          <w:b w:val="0"/>
          <w:caps w:val="0"/>
          <w:sz w:val="20"/>
        </w:rPr>
        <w:t>Aasfar</w:t>
      </w:r>
      <w:proofErr w:type="spellEnd"/>
      <w:r w:rsidRPr="00F9577B">
        <w:rPr>
          <w:rFonts w:ascii="Arial" w:hAnsi="Arial" w:cs="Arial"/>
          <w:b w:val="0"/>
          <w:caps w:val="0"/>
          <w:sz w:val="20"/>
        </w:rPr>
        <w:t xml:space="preserve"> </w:t>
      </w:r>
      <w:r w:rsidRPr="00175374">
        <w:rPr>
          <w:rFonts w:ascii="Arial" w:hAnsi="Arial" w:cs="Arial"/>
          <w:b w:val="0"/>
          <w:i/>
          <w:iCs/>
          <w:caps w:val="0"/>
          <w:sz w:val="20"/>
        </w:rPr>
        <w:t>et al.,</w:t>
      </w:r>
      <w:r w:rsidRPr="00F9577B">
        <w:rPr>
          <w:rFonts w:ascii="Arial" w:hAnsi="Arial" w:cs="Arial"/>
          <w:b w:val="0"/>
          <w:caps w:val="0"/>
          <w:sz w:val="20"/>
        </w:rPr>
        <w:t xml:space="preserve"> 2021). Beyond nitrogen fixation, azotobacter synthesizes various growth-promoting substances such as auxins, gibberellins, cytokinins, vitamins, and amino acids that stimulate root proliferation and enhance overall plant </w:t>
      </w:r>
      <w:proofErr w:type="spellStart"/>
      <w:r w:rsidRPr="00F9577B">
        <w:rPr>
          <w:rFonts w:ascii="Arial" w:hAnsi="Arial" w:cs="Arial"/>
          <w:b w:val="0"/>
          <w:caps w:val="0"/>
          <w:sz w:val="20"/>
        </w:rPr>
        <w:t>vigour</w:t>
      </w:r>
      <w:proofErr w:type="spellEnd"/>
      <w:r w:rsidRPr="00F9577B">
        <w:rPr>
          <w:rFonts w:ascii="Arial" w:hAnsi="Arial" w:cs="Arial"/>
          <w:b w:val="0"/>
          <w:caps w:val="0"/>
          <w:sz w:val="20"/>
        </w:rPr>
        <w:t xml:space="preserve"> (</w:t>
      </w:r>
      <w:proofErr w:type="spellStart"/>
      <w:r w:rsidRPr="00F9577B">
        <w:rPr>
          <w:rFonts w:ascii="Arial" w:hAnsi="Arial" w:cs="Arial"/>
          <w:b w:val="0"/>
          <w:caps w:val="0"/>
          <w:sz w:val="20"/>
        </w:rPr>
        <w:t>Hindersah</w:t>
      </w:r>
      <w:proofErr w:type="spellEnd"/>
      <w:r w:rsidRPr="00F9577B">
        <w:rPr>
          <w:rFonts w:ascii="Arial" w:hAnsi="Arial" w:cs="Arial"/>
          <w:b w:val="0"/>
          <w:caps w:val="0"/>
          <w:sz w:val="20"/>
        </w:rPr>
        <w:t xml:space="preserve"> </w:t>
      </w:r>
      <w:r w:rsidRPr="006429FA">
        <w:rPr>
          <w:rFonts w:ascii="Arial" w:hAnsi="Arial" w:cs="Arial"/>
          <w:b w:val="0"/>
          <w:i/>
          <w:iCs/>
          <w:caps w:val="0"/>
          <w:sz w:val="20"/>
        </w:rPr>
        <w:t>et al.,</w:t>
      </w:r>
      <w:r w:rsidRPr="00F9577B">
        <w:rPr>
          <w:rFonts w:ascii="Arial" w:hAnsi="Arial" w:cs="Arial"/>
          <w:b w:val="0"/>
          <w:caps w:val="0"/>
          <w:sz w:val="20"/>
        </w:rPr>
        <w:t xml:space="preserve"> 2020). Its presence in the soil also improves microbial activity and nutrient solubilization, leading to better nutrient uptake efficiency (Gulshan </w:t>
      </w:r>
      <w:r w:rsidRPr="00175374">
        <w:rPr>
          <w:rFonts w:ascii="Arial" w:hAnsi="Arial" w:cs="Arial"/>
          <w:b w:val="0"/>
          <w:i/>
          <w:iCs/>
          <w:caps w:val="0"/>
          <w:sz w:val="20"/>
        </w:rPr>
        <w:t>et al.,</w:t>
      </w:r>
      <w:r w:rsidRPr="00F9577B">
        <w:rPr>
          <w:rFonts w:ascii="Arial" w:hAnsi="Arial" w:cs="Arial"/>
          <w:b w:val="0"/>
          <w:caps w:val="0"/>
          <w:sz w:val="20"/>
        </w:rPr>
        <w:t xml:space="preserve"> 2022). Through these multiple mechanisms, Azotobacter contributes to improved plant growth, yield performance, and long-term soil health, making it an important component of sustainable nutrient management practices (Sumbul </w:t>
      </w:r>
      <w:r w:rsidRPr="006429FA">
        <w:rPr>
          <w:rFonts w:ascii="Arial" w:hAnsi="Arial" w:cs="Arial"/>
          <w:b w:val="0"/>
          <w:i/>
          <w:iCs/>
          <w:caps w:val="0"/>
          <w:sz w:val="20"/>
        </w:rPr>
        <w:t>et al.,</w:t>
      </w:r>
      <w:r w:rsidRPr="00F9577B">
        <w:rPr>
          <w:rFonts w:ascii="Arial" w:hAnsi="Arial" w:cs="Arial"/>
          <w:b w:val="0"/>
          <w:caps w:val="0"/>
          <w:sz w:val="20"/>
        </w:rPr>
        <w:t xml:space="preserve"> 2020).</w:t>
      </w:r>
    </w:p>
    <w:p w14:paraId="274E4FDA" w14:textId="70C21392" w:rsidR="00F9577B" w:rsidRDefault="00F9577B" w:rsidP="00F9577B">
      <w:pPr>
        <w:pStyle w:val="AbstHead"/>
        <w:spacing w:after="0"/>
        <w:jc w:val="both"/>
        <w:rPr>
          <w:rFonts w:ascii="Arial" w:hAnsi="Arial" w:cs="Arial"/>
          <w:b w:val="0"/>
          <w:caps w:val="0"/>
          <w:sz w:val="20"/>
        </w:rPr>
      </w:pPr>
      <w:r w:rsidRPr="00F9577B">
        <w:rPr>
          <w:rFonts w:ascii="Arial" w:hAnsi="Arial" w:cs="Arial"/>
          <w:b w:val="0"/>
          <w:caps w:val="0"/>
          <w:sz w:val="20"/>
        </w:rPr>
        <w:lastRenderedPageBreak/>
        <w:t xml:space="preserve">Recent studies have shown that the combined application of biofertilizers and bio stimulants significantly improves plant growth and yield parameters compared to individual treatments (Benito, Patricia, </w:t>
      </w:r>
      <w:r w:rsidRPr="006429FA">
        <w:rPr>
          <w:rFonts w:ascii="Arial" w:hAnsi="Arial" w:cs="Arial"/>
          <w:b w:val="0"/>
          <w:i/>
          <w:iCs/>
          <w:caps w:val="0"/>
          <w:sz w:val="20"/>
        </w:rPr>
        <w:t>et al.</w:t>
      </w:r>
      <w:r w:rsidR="006429FA">
        <w:rPr>
          <w:rFonts w:ascii="Arial" w:hAnsi="Arial" w:cs="Arial"/>
          <w:b w:val="0"/>
          <w:caps w:val="0"/>
          <w:sz w:val="20"/>
        </w:rPr>
        <w:t>,</w:t>
      </w:r>
      <w:r w:rsidRPr="00F9577B">
        <w:rPr>
          <w:rFonts w:ascii="Arial" w:hAnsi="Arial" w:cs="Arial"/>
          <w:b w:val="0"/>
          <w:caps w:val="0"/>
          <w:sz w:val="20"/>
        </w:rPr>
        <w:t xml:space="preserve"> 2025). In brinjal, the integrated use of seaweed extract and Azotobacter along with recommended nutrient management has been reported to enhance plant height, number of fruits, fruit weight, and overall yield. Therefore, the present investigation was conducted to evaluate the effect of integrated application of seaweed extract and Azotobacter on growth and yield attributes of brinjal. </w:t>
      </w:r>
    </w:p>
    <w:p w14:paraId="6ADF3AB6" w14:textId="17FF7328" w:rsidR="00AB00EC" w:rsidRDefault="00902823" w:rsidP="00F9577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E799B0" w14:textId="4F766103" w:rsidR="00AB00EC" w:rsidRPr="00AB00EC" w:rsidRDefault="00AB00EC" w:rsidP="00AB00EC">
      <w:pPr>
        <w:pStyle w:val="Body"/>
        <w:rPr>
          <w:rFonts w:ascii="Arial" w:hAnsi="Arial" w:cs="Arial"/>
          <w:bCs/>
          <w:caps/>
          <w:szCs w:val="18"/>
        </w:rPr>
      </w:pPr>
      <w:r w:rsidRPr="00AB00EC">
        <w:rPr>
          <w:rFonts w:ascii="Arial" w:hAnsi="Arial" w:cs="Arial"/>
          <w:bCs/>
          <w:szCs w:val="18"/>
        </w:rPr>
        <w:t xml:space="preserve">An on-field investigation was carried out at the experimental farm of </w:t>
      </w:r>
      <w:r w:rsidR="00536DAB" w:rsidRPr="00AB00EC">
        <w:rPr>
          <w:rFonts w:ascii="Arial" w:hAnsi="Arial" w:cs="Arial"/>
          <w:bCs/>
          <w:szCs w:val="18"/>
        </w:rPr>
        <w:t>Maris</w:t>
      </w:r>
      <w:r w:rsidRPr="00AB00EC">
        <w:rPr>
          <w:rFonts w:ascii="Arial" w:hAnsi="Arial" w:cs="Arial"/>
          <w:bCs/>
          <w:szCs w:val="18"/>
        </w:rPr>
        <w:t xml:space="preserve"> </w:t>
      </w:r>
      <w:r w:rsidR="00536DAB">
        <w:rPr>
          <w:rFonts w:ascii="Arial" w:hAnsi="Arial" w:cs="Arial"/>
          <w:bCs/>
          <w:szCs w:val="18"/>
        </w:rPr>
        <w:t>S</w:t>
      </w:r>
      <w:r w:rsidRPr="00AB00EC">
        <w:rPr>
          <w:rFonts w:ascii="Arial" w:hAnsi="Arial" w:cs="Arial"/>
          <w:bCs/>
          <w:szCs w:val="18"/>
        </w:rPr>
        <w:t xml:space="preserve">tella </w:t>
      </w:r>
      <w:r w:rsidR="00536DAB">
        <w:rPr>
          <w:rFonts w:ascii="Arial" w:hAnsi="Arial" w:cs="Arial"/>
          <w:bCs/>
          <w:szCs w:val="18"/>
        </w:rPr>
        <w:t>C</w:t>
      </w:r>
      <w:r w:rsidRPr="00AB00EC">
        <w:rPr>
          <w:rFonts w:ascii="Arial" w:hAnsi="Arial" w:cs="Arial"/>
          <w:bCs/>
          <w:szCs w:val="18"/>
        </w:rPr>
        <w:t xml:space="preserve">ollege during the 2025 – 2026 cropping season to study the impact of foliar application of seaweed extract and azotobacter on the growth and flowering characteristics of brinjal (solanum melongena). Healthy and uniform seedlings were transplanted into the experimental field during the month of </w:t>
      </w:r>
      <w:r w:rsidR="00FD0D2E" w:rsidRPr="00AB00EC">
        <w:rPr>
          <w:rFonts w:ascii="Arial" w:hAnsi="Arial" w:cs="Arial"/>
          <w:bCs/>
          <w:szCs w:val="18"/>
        </w:rPr>
        <w:t>December</w:t>
      </w:r>
      <w:r w:rsidRPr="00AB00EC">
        <w:rPr>
          <w:rFonts w:ascii="Arial" w:hAnsi="Arial" w:cs="Arial"/>
          <w:bCs/>
          <w:szCs w:val="18"/>
        </w:rPr>
        <w:t xml:space="preserve"> at a spacing of 60 x 60 cm. All recommended horticultural practices were carried out uniformly across the treatments throughout the crop growth period to ensure optimal plant development and to minimize experimental variability. The experiment was laid out in a </w:t>
      </w:r>
      <w:r w:rsidR="00370292">
        <w:rPr>
          <w:rFonts w:ascii="Arial" w:hAnsi="Arial" w:cs="Arial"/>
          <w:bCs/>
          <w:szCs w:val="18"/>
        </w:rPr>
        <w:t>R</w:t>
      </w:r>
      <w:r w:rsidRPr="00AB00EC">
        <w:rPr>
          <w:rFonts w:ascii="Arial" w:hAnsi="Arial" w:cs="Arial"/>
          <w:bCs/>
          <w:szCs w:val="18"/>
        </w:rPr>
        <w:t xml:space="preserve">andomized </w:t>
      </w:r>
      <w:r w:rsidR="00370292">
        <w:rPr>
          <w:rFonts w:ascii="Arial" w:hAnsi="Arial" w:cs="Arial"/>
          <w:bCs/>
          <w:szCs w:val="18"/>
        </w:rPr>
        <w:t>B</w:t>
      </w:r>
      <w:r w:rsidRPr="00AB00EC">
        <w:rPr>
          <w:rFonts w:ascii="Arial" w:hAnsi="Arial" w:cs="Arial"/>
          <w:bCs/>
          <w:szCs w:val="18"/>
        </w:rPr>
        <w:t xml:space="preserve">lock </w:t>
      </w:r>
      <w:r w:rsidR="00370292">
        <w:rPr>
          <w:rFonts w:ascii="Arial" w:hAnsi="Arial" w:cs="Arial"/>
          <w:bCs/>
          <w:szCs w:val="18"/>
        </w:rPr>
        <w:t>D</w:t>
      </w:r>
      <w:r w:rsidRPr="00AB00EC">
        <w:rPr>
          <w:rFonts w:ascii="Arial" w:hAnsi="Arial" w:cs="Arial"/>
          <w:bCs/>
          <w:szCs w:val="18"/>
        </w:rPr>
        <w:t>esign (</w:t>
      </w:r>
      <w:r w:rsidR="00370292">
        <w:rPr>
          <w:rFonts w:ascii="Arial" w:hAnsi="Arial" w:cs="Arial"/>
          <w:bCs/>
          <w:szCs w:val="18"/>
        </w:rPr>
        <w:t>RBD</w:t>
      </w:r>
      <w:r w:rsidRPr="00AB00EC">
        <w:rPr>
          <w:rFonts w:ascii="Arial" w:hAnsi="Arial" w:cs="Arial"/>
          <w:bCs/>
          <w:szCs w:val="18"/>
        </w:rPr>
        <w:t xml:space="preserve">) comprising five treatments with three replications per treatment. </w:t>
      </w:r>
    </w:p>
    <w:p w14:paraId="75FFCD46" w14:textId="568AB0FA" w:rsidR="00AB00EC" w:rsidRPr="00AB00EC" w:rsidRDefault="00AB00EC" w:rsidP="00AB00EC">
      <w:pPr>
        <w:pStyle w:val="Body"/>
        <w:rPr>
          <w:rFonts w:ascii="Arial" w:hAnsi="Arial" w:cs="Arial"/>
          <w:bCs/>
          <w:caps/>
          <w:szCs w:val="18"/>
        </w:rPr>
      </w:pPr>
      <w:r w:rsidRPr="00AB00EC">
        <w:rPr>
          <w:rFonts w:ascii="Arial" w:hAnsi="Arial" w:cs="Arial"/>
          <w:bCs/>
          <w:szCs w:val="18"/>
        </w:rPr>
        <w:t xml:space="preserve">The treatments </w:t>
      </w:r>
      <w:r w:rsidR="00D45628" w:rsidRPr="00AB00EC">
        <w:rPr>
          <w:rFonts w:ascii="Arial" w:hAnsi="Arial" w:cs="Arial"/>
          <w:bCs/>
          <w:szCs w:val="18"/>
        </w:rPr>
        <w:t>were</w:t>
      </w:r>
      <w:r w:rsidRPr="00AB00EC">
        <w:rPr>
          <w:rFonts w:ascii="Arial" w:hAnsi="Arial" w:cs="Arial"/>
          <w:bCs/>
          <w:szCs w:val="18"/>
        </w:rPr>
        <w:t xml:space="preserve"> as follows: </w:t>
      </w:r>
    </w:p>
    <w:p w14:paraId="7172FC8C" w14:textId="4DC56593" w:rsidR="00AB00EC" w:rsidRPr="00AB00EC" w:rsidRDefault="00AB00EC" w:rsidP="00AB00EC">
      <w:pPr>
        <w:pStyle w:val="Body"/>
        <w:rPr>
          <w:rFonts w:ascii="Arial" w:hAnsi="Arial" w:cs="Arial"/>
          <w:bCs/>
          <w:caps/>
          <w:szCs w:val="18"/>
        </w:rPr>
      </w:pPr>
      <w:r w:rsidRPr="00AB00EC">
        <w:rPr>
          <w:rFonts w:ascii="Arial" w:hAnsi="Arial" w:cs="Arial"/>
          <w:bCs/>
          <w:szCs w:val="18"/>
        </w:rPr>
        <w:t>T0</w:t>
      </w:r>
      <w:r w:rsidR="00D45628">
        <w:rPr>
          <w:rFonts w:ascii="Arial" w:hAnsi="Arial" w:cs="Arial"/>
          <w:bCs/>
          <w:szCs w:val="18"/>
        </w:rPr>
        <w:t>-C</w:t>
      </w:r>
      <w:r w:rsidRPr="00AB00EC">
        <w:rPr>
          <w:rFonts w:ascii="Arial" w:hAnsi="Arial" w:cs="Arial"/>
          <w:bCs/>
          <w:szCs w:val="18"/>
        </w:rPr>
        <w:t xml:space="preserve">ontrol                                                                                                                                                     </w:t>
      </w:r>
      <w:r w:rsidR="00D45628">
        <w:rPr>
          <w:rFonts w:ascii="Arial" w:hAnsi="Arial" w:cs="Arial"/>
          <w:bCs/>
          <w:szCs w:val="18"/>
        </w:rPr>
        <w:t>T</w:t>
      </w:r>
      <w:r w:rsidRPr="00AB00EC">
        <w:rPr>
          <w:rFonts w:ascii="Arial" w:hAnsi="Arial" w:cs="Arial"/>
          <w:bCs/>
          <w:szCs w:val="18"/>
        </w:rPr>
        <w:t>1 – seaweed extract 2%</w:t>
      </w:r>
    </w:p>
    <w:p w14:paraId="634F8C74" w14:textId="7162B826" w:rsidR="00AB00EC" w:rsidRPr="00AB00EC" w:rsidRDefault="00AB00EC" w:rsidP="00AB00EC">
      <w:pPr>
        <w:pStyle w:val="Body"/>
        <w:rPr>
          <w:rFonts w:ascii="Arial" w:hAnsi="Arial" w:cs="Arial"/>
          <w:bCs/>
          <w:caps/>
          <w:szCs w:val="18"/>
        </w:rPr>
      </w:pPr>
      <w:r w:rsidRPr="00AB00EC">
        <w:rPr>
          <w:rFonts w:ascii="Arial" w:hAnsi="Arial" w:cs="Arial"/>
          <w:bCs/>
          <w:szCs w:val="18"/>
        </w:rPr>
        <w:t>T2 – seaweed extract 4%</w:t>
      </w:r>
    </w:p>
    <w:p w14:paraId="7DCC393F" w14:textId="66005318" w:rsidR="00AB00EC" w:rsidRPr="00AB00EC" w:rsidRDefault="00AB00EC" w:rsidP="00AB00EC">
      <w:pPr>
        <w:pStyle w:val="Body"/>
        <w:rPr>
          <w:rFonts w:ascii="Arial" w:hAnsi="Arial" w:cs="Arial"/>
          <w:bCs/>
          <w:caps/>
          <w:szCs w:val="18"/>
        </w:rPr>
      </w:pPr>
      <w:r w:rsidRPr="00AB00EC">
        <w:rPr>
          <w:rFonts w:ascii="Arial" w:hAnsi="Arial" w:cs="Arial"/>
          <w:bCs/>
          <w:szCs w:val="18"/>
        </w:rPr>
        <w:t>T3 – seaweed extract 2% + azotobacter 2%</w:t>
      </w:r>
    </w:p>
    <w:p w14:paraId="1EBD1070" w14:textId="253EAA34" w:rsidR="00AB00EC" w:rsidRPr="00AB00EC" w:rsidRDefault="00AB00EC" w:rsidP="00AB00EC">
      <w:pPr>
        <w:pStyle w:val="Body"/>
        <w:rPr>
          <w:rFonts w:ascii="Arial" w:hAnsi="Arial" w:cs="Arial"/>
          <w:bCs/>
          <w:caps/>
          <w:szCs w:val="18"/>
        </w:rPr>
      </w:pPr>
      <w:r w:rsidRPr="00AB00EC">
        <w:rPr>
          <w:rFonts w:ascii="Arial" w:hAnsi="Arial" w:cs="Arial"/>
          <w:bCs/>
          <w:szCs w:val="18"/>
        </w:rPr>
        <w:t>T4 – seaweed extract 4% + azotobacter 4%</w:t>
      </w:r>
    </w:p>
    <w:p w14:paraId="562C578D" w14:textId="4766DBB4" w:rsidR="00AB00EC" w:rsidRPr="00AB00EC" w:rsidRDefault="00AB00EC" w:rsidP="00AB00EC">
      <w:pPr>
        <w:pStyle w:val="Body"/>
        <w:rPr>
          <w:rFonts w:ascii="Arial" w:hAnsi="Arial" w:cs="Arial"/>
          <w:bCs/>
          <w:caps/>
          <w:szCs w:val="18"/>
        </w:rPr>
      </w:pPr>
      <w:r w:rsidRPr="00AB00EC">
        <w:rPr>
          <w:rFonts w:ascii="Arial" w:hAnsi="Arial" w:cs="Arial"/>
          <w:bCs/>
          <w:szCs w:val="18"/>
        </w:rPr>
        <w:t>All plants received the recommended dose of fertilizers (</w:t>
      </w:r>
      <w:proofErr w:type="spellStart"/>
      <w:r w:rsidRPr="00AB00EC">
        <w:rPr>
          <w:rFonts w:ascii="Arial" w:hAnsi="Arial" w:cs="Arial"/>
          <w:bCs/>
          <w:szCs w:val="18"/>
        </w:rPr>
        <w:t>rdf</w:t>
      </w:r>
      <w:proofErr w:type="spellEnd"/>
      <w:r w:rsidRPr="00AB00EC">
        <w:rPr>
          <w:rFonts w:ascii="Arial" w:hAnsi="Arial" w:cs="Arial"/>
          <w:bCs/>
          <w:szCs w:val="18"/>
        </w:rPr>
        <w:t xml:space="preserve">) at the rate of 100:50:50 kg </w:t>
      </w:r>
      <w:proofErr w:type="spellStart"/>
      <w:r w:rsidRPr="00AB00EC">
        <w:rPr>
          <w:rFonts w:ascii="Arial" w:hAnsi="Arial" w:cs="Arial"/>
          <w:bCs/>
          <w:szCs w:val="18"/>
        </w:rPr>
        <w:t>npk</w:t>
      </w:r>
      <w:proofErr w:type="spellEnd"/>
      <w:r w:rsidRPr="00AB00EC">
        <w:rPr>
          <w:rFonts w:ascii="Arial" w:hAnsi="Arial" w:cs="Arial"/>
          <w:bCs/>
          <w:szCs w:val="18"/>
        </w:rPr>
        <w:t xml:space="preserve"> per hectare. Fertilizers were applied at appropriate growth stages in accordance with standard agronomic recommendations to ensure balanced nutrition throughout the crop growth period.</w:t>
      </w:r>
    </w:p>
    <w:p w14:paraId="1A98F48B" w14:textId="77777777" w:rsidR="00EC7B7E" w:rsidRDefault="00AB00EC" w:rsidP="00C75EF7">
      <w:pPr>
        <w:pStyle w:val="Body"/>
        <w:spacing w:after="0"/>
        <w:rPr>
          <w:rFonts w:ascii="Arial" w:hAnsi="Arial" w:cs="Arial"/>
          <w:bCs/>
          <w:szCs w:val="18"/>
        </w:rPr>
      </w:pPr>
      <w:r w:rsidRPr="00AB00EC">
        <w:rPr>
          <w:rFonts w:ascii="Arial" w:hAnsi="Arial" w:cs="Arial"/>
          <w:bCs/>
          <w:szCs w:val="18"/>
        </w:rPr>
        <w:t xml:space="preserve">Foliar </w:t>
      </w:r>
      <w:r w:rsidR="00D45628" w:rsidRPr="00AB00EC">
        <w:rPr>
          <w:rFonts w:ascii="Arial" w:hAnsi="Arial" w:cs="Arial"/>
          <w:bCs/>
          <w:szCs w:val="18"/>
        </w:rPr>
        <w:t>applications</w:t>
      </w:r>
      <w:r w:rsidR="001C42CA">
        <w:rPr>
          <w:rFonts w:ascii="Arial" w:hAnsi="Arial" w:cs="Arial"/>
          <w:bCs/>
          <w:szCs w:val="18"/>
        </w:rPr>
        <w:t xml:space="preserve"> </w:t>
      </w:r>
      <w:r w:rsidRPr="00AB00EC">
        <w:rPr>
          <w:rFonts w:ascii="Arial" w:hAnsi="Arial" w:cs="Arial"/>
          <w:bCs/>
          <w:szCs w:val="18"/>
        </w:rPr>
        <w:t xml:space="preserve">of seaweed extract and azotobacter were initiated at 20 days after transplanting and subsequently repeated at 15 days intervals. The spray solutions were freshly prepared before each application and uniformly applied using a hand sprayer during the morning hours to ensure effective foliar absorption and proper canopy coverage. </w:t>
      </w:r>
    </w:p>
    <w:p w14:paraId="311FA598" w14:textId="13BB7C37" w:rsidR="00AA74E0" w:rsidRPr="00730ECE" w:rsidRDefault="00AB00EC" w:rsidP="00C75EF7">
      <w:pPr>
        <w:pStyle w:val="Body"/>
        <w:spacing w:after="0"/>
        <w:rPr>
          <w:rFonts w:ascii="Arial" w:hAnsi="Arial" w:cs="Arial"/>
          <w:bCs/>
          <w:szCs w:val="18"/>
        </w:rPr>
      </w:pPr>
      <w:r w:rsidRPr="00AB00EC">
        <w:rPr>
          <w:rFonts w:ascii="Arial" w:hAnsi="Arial" w:cs="Arial"/>
          <w:bCs/>
          <w:szCs w:val="18"/>
        </w:rPr>
        <w:t>Mandatory plant protection measures were implemented uniformly across all treatments to safeguard the crop from pest and disease incidence and to maintain healthy plant growth.</w:t>
      </w:r>
      <w:r w:rsidR="00502516" w:rsidRPr="00502516">
        <w:rPr>
          <w:rFonts w:ascii="Arial" w:hAnsi="Arial" w:cs="Arial"/>
        </w:rPr>
        <w:t xml:space="preserve"> </w:t>
      </w:r>
    </w:p>
    <w:p w14:paraId="26207AC2" w14:textId="77777777" w:rsidR="00790ADA" w:rsidRPr="00FB3A86" w:rsidRDefault="00790ADA" w:rsidP="00441B6F">
      <w:pPr>
        <w:pStyle w:val="Body"/>
        <w:spacing w:after="0"/>
        <w:rPr>
          <w:rFonts w:ascii="Arial" w:hAnsi="Arial" w:cs="Arial"/>
        </w:rPr>
      </w:pPr>
    </w:p>
    <w:p w14:paraId="471223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E2A9A8" w14:textId="77777777" w:rsidR="00790ADA" w:rsidRPr="00FB3A86" w:rsidRDefault="00790ADA" w:rsidP="00441B6F">
      <w:pPr>
        <w:pStyle w:val="Head1"/>
        <w:spacing w:after="0"/>
        <w:jc w:val="both"/>
        <w:rPr>
          <w:rFonts w:ascii="Arial" w:hAnsi="Arial" w:cs="Arial"/>
        </w:rPr>
      </w:pPr>
    </w:p>
    <w:p w14:paraId="031B456E" w14:textId="77777777" w:rsidR="00524766" w:rsidRPr="00524766" w:rsidRDefault="00524766" w:rsidP="00524766">
      <w:pPr>
        <w:pStyle w:val="Body"/>
        <w:rPr>
          <w:rFonts w:ascii="Arial" w:hAnsi="Arial" w:cs="Arial"/>
        </w:rPr>
      </w:pPr>
      <w:r w:rsidRPr="00524766">
        <w:rPr>
          <w:rFonts w:ascii="Arial" w:hAnsi="Arial" w:cs="Arial"/>
        </w:rPr>
        <w:t>Observations were recorded on growth, flowering and yield parameters at 30, 60, and 90 days after transplanting (DAT). The following parameters were recorded.</w:t>
      </w:r>
    </w:p>
    <w:p w14:paraId="484332CD" w14:textId="77777777" w:rsidR="00524766" w:rsidRPr="00524766" w:rsidRDefault="00524766" w:rsidP="00524766">
      <w:pPr>
        <w:pStyle w:val="Body"/>
        <w:rPr>
          <w:rFonts w:ascii="Arial" w:hAnsi="Arial" w:cs="Arial"/>
          <w:b/>
          <w:bCs/>
        </w:rPr>
      </w:pPr>
      <w:r w:rsidRPr="00524766">
        <w:rPr>
          <w:rFonts w:ascii="Arial" w:hAnsi="Arial" w:cs="Arial"/>
        </w:rPr>
        <w:t xml:space="preserve"> </w:t>
      </w:r>
      <w:r w:rsidRPr="00524766">
        <w:rPr>
          <w:rFonts w:ascii="Arial" w:hAnsi="Arial" w:cs="Arial"/>
          <w:b/>
          <w:bCs/>
        </w:rPr>
        <w:t>Growth Attributes:</w:t>
      </w:r>
    </w:p>
    <w:p w14:paraId="7FA9F22F" w14:textId="5500B1E6" w:rsidR="00790ADA" w:rsidRDefault="00524766" w:rsidP="00524766">
      <w:pPr>
        <w:pStyle w:val="Body"/>
        <w:spacing w:after="0"/>
        <w:rPr>
          <w:rFonts w:ascii="Arial" w:hAnsi="Arial" w:cs="Arial"/>
        </w:rPr>
      </w:pPr>
      <w:r w:rsidRPr="00524766">
        <w:rPr>
          <w:rFonts w:ascii="Arial" w:hAnsi="Arial" w:cs="Arial"/>
        </w:rPr>
        <w:t>The growth attributes such as plant height(cm), number of branches, stem girth(cm), leaf length(cm), and leaf width(cm), which were affected by the foliar application of seaweed extract and soil drenching of azotobacter in Brinjal cv. Navina are mentioned in Table 1.</w:t>
      </w:r>
    </w:p>
    <w:p w14:paraId="01A5131B" w14:textId="77777777" w:rsidR="00EC7B7E" w:rsidRDefault="00EC7B7E" w:rsidP="00441B6F">
      <w:pPr>
        <w:pStyle w:val="Body"/>
        <w:spacing w:after="0"/>
        <w:rPr>
          <w:rFonts w:ascii="Arial" w:hAnsi="Arial" w:cs="Arial"/>
        </w:rPr>
      </w:pPr>
    </w:p>
    <w:p w14:paraId="72AAE9A8" w14:textId="77777777" w:rsidR="00CE0882" w:rsidRDefault="00CE0882" w:rsidP="00441B6F">
      <w:pPr>
        <w:pStyle w:val="Body"/>
        <w:spacing w:after="0"/>
        <w:rPr>
          <w:rFonts w:ascii="Arial" w:hAnsi="Arial" w:cs="Arial"/>
          <w:b/>
          <w:bCs/>
        </w:rPr>
      </w:pPr>
    </w:p>
    <w:p w14:paraId="37205C5A" w14:textId="77777777" w:rsidR="00CE0882" w:rsidRDefault="00CE0882" w:rsidP="00441B6F">
      <w:pPr>
        <w:pStyle w:val="Body"/>
        <w:spacing w:after="0"/>
        <w:rPr>
          <w:rFonts w:ascii="Arial" w:hAnsi="Arial" w:cs="Arial"/>
          <w:b/>
          <w:bCs/>
        </w:rPr>
      </w:pPr>
    </w:p>
    <w:p w14:paraId="58459B4F" w14:textId="77777777" w:rsidR="00CE0882" w:rsidRDefault="00CE0882" w:rsidP="00441B6F">
      <w:pPr>
        <w:pStyle w:val="Body"/>
        <w:spacing w:after="0"/>
        <w:rPr>
          <w:rFonts w:ascii="Arial" w:hAnsi="Arial" w:cs="Arial"/>
          <w:b/>
          <w:bCs/>
        </w:rPr>
      </w:pPr>
    </w:p>
    <w:p w14:paraId="4266DE47" w14:textId="77777777" w:rsidR="00CE0882" w:rsidRDefault="00CE0882" w:rsidP="00441B6F">
      <w:pPr>
        <w:pStyle w:val="Body"/>
        <w:spacing w:after="0"/>
        <w:rPr>
          <w:rFonts w:ascii="Arial" w:hAnsi="Arial" w:cs="Arial"/>
          <w:b/>
          <w:bCs/>
        </w:rPr>
      </w:pPr>
    </w:p>
    <w:p w14:paraId="7B473E7B" w14:textId="77777777" w:rsidR="00CE0882" w:rsidRDefault="00CE0882" w:rsidP="00441B6F">
      <w:pPr>
        <w:pStyle w:val="Body"/>
        <w:spacing w:after="0"/>
        <w:rPr>
          <w:rFonts w:ascii="Arial" w:hAnsi="Arial" w:cs="Arial"/>
          <w:b/>
          <w:bCs/>
        </w:rPr>
      </w:pPr>
    </w:p>
    <w:p w14:paraId="0EF68479" w14:textId="77777777" w:rsidR="00CE0882" w:rsidRDefault="00CE0882" w:rsidP="00441B6F">
      <w:pPr>
        <w:pStyle w:val="Body"/>
        <w:spacing w:after="0"/>
        <w:rPr>
          <w:rFonts w:ascii="Arial" w:hAnsi="Arial" w:cs="Arial"/>
          <w:b/>
          <w:bCs/>
        </w:rPr>
      </w:pPr>
    </w:p>
    <w:p w14:paraId="189C574C" w14:textId="77777777" w:rsidR="00CE0882" w:rsidRDefault="00CE0882" w:rsidP="00441B6F">
      <w:pPr>
        <w:pStyle w:val="Body"/>
        <w:spacing w:after="0"/>
        <w:rPr>
          <w:rFonts w:ascii="Arial" w:hAnsi="Arial" w:cs="Arial"/>
          <w:b/>
          <w:bCs/>
        </w:rPr>
      </w:pPr>
    </w:p>
    <w:p w14:paraId="4626966C" w14:textId="1C61B95F" w:rsidR="00502516" w:rsidRDefault="001A2B66" w:rsidP="00441B6F">
      <w:pPr>
        <w:pStyle w:val="Body"/>
        <w:spacing w:after="0"/>
        <w:rPr>
          <w:rFonts w:ascii="Arial" w:hAnsi="Arial" w:cs="Arial"/>
        </w:rPr>
      </w:pPr>
      <w:r w:rsidRPr="00EC7B7E">
        <w:rPr>
          <w:rFonts w:ascii="Arial" w:hAnsi="Arial" w:cs="Arial"/>
          <w:b/>
          <w:bCs/>
        </w:rPr>
        <w:t>Table 1:</w:t>
      </w:r>
      <w:r w:rsidRPr="001A2B66">
        <w:rPr>
          <w:rFonts w:ascii="Arial" w:hAnsi="Arial" w:cs="Arial"/>
        </w:rPr>
        <w:t xml:space="preserve"> Effects of Seaweed extract and Azotobacter on growth attributes of Brinjal cv. Navina</w:t>
      </w:r>
    </w:p>
    <w:tbl>
      <w:tblPr>
        <w:tblStyle w:val="TableGridLight"/>
        <w:tblpPr w:leftFromText="180" w:rightFromText="180" w:vertAnchor="text" w:horzAnchor="margin" w:tblpXSpec="center" w:tblpY="164"/>
        <w:tblW w:w="10752" w:type="dxa"/>
        <w:tblLook w:val="04A0" w:firstRow="1" w:lastRow="0" w:firstColumn="1" w:lastColumn="0" w:noHBand="0" w:noVBand="1"/>
      </w:tblPr>
      <w:tblGrid>
        <w:gridCol w:w="1205"/>
        <w:gridCol w:w="639"/>
        <w:gridCol w:w="639"/>
        <w:gridCol w:w="666"/>
        <w:gridCol w:w="639"/>
        <w:gridCol w:w="639"/>
        <w:gridCol w:w="639"/>
        <w:gridCol w:w="639"/>
        <w:gridCol w:w="666"/>
        <w:gridCol w:w="666"/>
        <w:gridCol w:w="9"/>
        <w:gridCol w:w="630"/>
        <w:gridCol w:w="639"/>
        <w:gridCol w:w="639"/>
        <w:gridCol w:w="14"/>
        <w:gridCol w:w="625"/>
        <w:gridCol w:w="639"/>
        <w:gridCol w:w="639"/>
        <w:gridCol w:w="13"/>
      </w:tblGrid>
      <w:tr w:rsidR="00606F3D" w:rsidRPr="00C3442B" w14:paraId="629DB3DC" w14:textId="77777777" w:rsidTr="00EB11FF">
        <w:trPr>
          <w:trHeight w:val="549"/>
        </w:trPr>
        <w:tc>
          <w:tcPr>
            <w:tcW w:w="1127" w:type="dxa"/>
            <w:vMerge w:val="restart"/>
            <w:noWrap/>
            <w:hideMark/>
          </w:tcPr>
          <w:p w14:paraId="31339CE3" w14:textId="2BA5DB07" w:rsidR="00EB11FF" w:rsidRPr="00C3442B" w:rsidRDefault="00E07869" w:rsidP="00EB11FF">
            <w:pPr>
              <w:ind w:left="29" w:hanging="29"/>
              <w:jc w:val="center"/>
              <w:rPr>
                <w:rFonts w:ascii="Times New Roman" w:hAnsi="Times New Roman"/>
                <w:b/>
                <w:bCs/>
                <w:color w:val="000000"/>
                <w:lang w:eastAsia="en-IN"/>
              </w:rPr>
            </w:pPr>
            <w:r>
              <w:rPr>
                <w:rFonts w:ascii="Times New Roman" w:hAnsi="Times New Roman"/>
                <w:b/>
                <w:bCs/>
                <w:color w:val="000000"/>
                <w:lang w:eastAsia="en-IN"/>
              </w:rPr>
              <w:t>Treatments</w:t>
            </w:r>
          </w:p>
        </w:tc>
        <w:tc>
          <w:tcPr>
            <w:tcW w:w="1944" w:type="dxa"/>
            <w:gridSpan w:val="3"/>
            <w:noWrap/>
            <w:hideMark/>
          </w:tcPr>
          <w:p w14:paraId="24166DC2"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Plant height (cm)</w:t>
            </w:r>
          </w:p>
        </w:tc>
        <w:tc>
          <w:tcPr>
            <w:tcW w:w="1917" w:type="dxa"/>
            <w:gridSpan w:val="3"/>
            <w:noWrap/>
            <w:hideMark/>
          </w:tcPr>
          <w:p w14:paraId="0B7D7549"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No. of Branches</w:t>
            </w:r>
          </w:p>
        </w:tc>
        <w:tc>
          <w:tcPr>
            <w:tcW w:w="1926" w:type="dxa"/>
            <w:gridSpan w:val="4"/>
            <w:noWrap/>
            <w:hideMark/>
          </w:tcPr>
          <w:p w14:paraId="670921C5"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Stem Girth (cm)</w:t>
            </w:r>
          </w:p>
        </w:tc>
        <w:tc>
          <w:tcPr>
            <w:tcW w:w="1922" w:type="dxa"/>
            <w:gridSpan w:val="4"/>
            <w:noWrap/>
            <w:hideMark/>
          </w:tcPr>
          <w:p w14:paraId="646181DE"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Leaf Length (cm)</w:t>
            </w:r>
          </w:p>
        </w:tc>
        <w:tc>
          <w:tcPr>
            <w:tcW w:w="1916" w:type="dxa"/>
            <w:gridSpan w:val="4"/>
            <w:noWrap/>
            <w:hideMark/>
          </w:tcPr>
          <w:p w14:paraId="0BC012CB"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Leaf Width (cm)</w:t>
            </w:r>
          </w:p>
        </w:tc>
      </w:tr>
      <w:tr w:rsidR="00EB11FF" w:rsidRPr="00C3442B" w14:paraId="3C05B27A" w14:textId="77777777" w:rsidTr="00EB11FF">
        <w:trPr>
          <w:gridAfter w:val="1"/>
          <w:wAfter w:w="13" w:type="dxa"/>
          <w:trHeight w:val="549"/>
        </w:trPr>
        <w:tc>
          <w:tcPr>
            <w:tcW w:w="1127" w:type="dxa"/>
            <w:vMerge/>
            <w:hideMark/>
          </w:tcPr>
          <w:p w14:paraId="5709EF03" w14:textId="77777777" w:rsidR="00EB11FF" w:rsidRPr="00C3442B" w:rsidRDefault="00EB11FF" w:rsidP="00EB11FF">
            <w:pPr>
              <w:rPr>
                <w:rFonts w:ascii="Times New Roman" w:hAnsi="Times New Roman"/>
                <w:b/>
                <w:bCs/>
                <w:color w:val="000000"/>
                <w:lang w:eastAsia="en-IN"/>
              </w:rPr>
            </w:pPr>
          </w:p>
        </w:tc>
        <w:tc>
          <w:tcPr>
            <w:tcW w:w="639" w:type="dxa"/>
            <w:noWrap/>
            <w:hideMark/>
          </w:tcPr>
          <w:p w14:paraId="33233C1A"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69C58E81"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66" w:type="dxa"/>
            <w:noWrap/>
            <w:hideMark/>
          </w:tcPr>
          <w:p w14:paraId="5AF8DBA1"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noWrap/>
            <w:hideMark/>
          </w:tcPr>
          <w:p w14:paraId="180E977E"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02D674C0"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78499129"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noWrap/>
            <w:hideMark/>
          </w:tcPr>
          <w:p w14:paraId="3952C091"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36B25005"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71B4A562"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gridSpan w:val="2"/>
            <w:noWrap/>
            <w:hideMark/>
          </w:tcPr>
          <w:p w14:paraId="3A398B13"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4C993616"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2CBCD032"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gridSpan w:val="2"/>
            <w:noWrap/>
            <w:hideMark/>
          </w:tcPr>
          <w:p w14:paraId="628BDEB6"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2AEBD013"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339A2838"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r>
      <w:tr w:rsidR="00EB11FF" w:rsidRPr="00C3442B" w14:paraId="5B1CA18C" w14:textId="77777777" w:rsidTr="00EB11FF">
        <w:trPr>
          <w:gridAfter w:val="1"/>
          <w:wAfter w:w="13" w:type="dxa"/>
          <w:trHeight w:val="678"/>
        </w:trPr>
        <w:tc>
          <w:tcPr>
            <w:tcW w:w="1127" w:type="dxa"/>
            <w:hideMark/>
          </w:tcPr>
          <w:p w14:paraId="419CCCC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T₀</w:t>
            </w:r>
          </w:p>
        </w:tc>
        <w:tc>
          <w:tcPr>
            <w:tcW w:w="639" w:type="dxa"/>
            <w:noWrap/>
            <w:hideMark/>
          </w:tcPr>
          <w:p w14:paraId="3768118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24.6</w:t>
            </w:r>
          </w:p>
        </w:tc>
        <w:tc>
          <w:tcPr>
            <w:tcW w:w="639" w:type="dxa"/>
            <w:noWrap/>
            <w:hideMark/>
          </w:tcPr>
          <w:p w14:paraId="2E756D31"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52.3</w:t>
            </w:r>
          </w:p>
        </w:tc>
        <w:tc>
          <w:tcPr>
            <w:tcW w:w="666" w:type="dxa"/>
            <w:noWrap/>
            <w:hideMark/>
          </w:tcPr>
          <w:p w14:paraId="69EAC20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71.5</w:t>
            </w:r>
          </w:p>
        </w:tc>
        <w:tc>
          <w:tcPr>
            <w:tcW w:w="639" w:type="dxa"/>
            <w:noWrap/>
            <w:hideMark/>
          </w:tcPr>
          <w:p w14:paraId="6E22361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w:t>
            </w:r>
          </w:p>
        </w:tc>
        <w:tc>
          <w:tcPr>
            <w:tcW w:w="639" w:type="dxa"/>
            <w:noWrap/>
            <w:hideMark/>
          </w:tcPr>
          <w:p w14:paraId="31832A37"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w:t>
            </w:r>
          </w:p>
        </w:tc>
        <w:tc>
          <w:tcPr>
            <w:tcW w:w="639" w:type="dxa"/>
            <w:noWrap/>
            <w:hideMark/>
          </w:tcPr>
          <w:p w14:paraId="0FF749A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w:t>
            </w:r>
          </w:p>
        </w:tc>
        <w:tc>
          <w:tcPr>
            <w:tcW w:w="639" w:type="dxa"/>
            <w:noWrap/>
            <w:hideMark/>
          </w:tcPr>
          <w:p w14:paraId="1CD0BAE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0.95</w:t>
            </w:r>
          </w:p>
        </w:tc>
        <w:tc>
          <w:tcPr>
            <w:tcW w:w="639" w:type="dxa"/>
            <w:noWrap/>
            <w:hideMark/>
          </w:tcPr>
          <w:p w14:paraId="0E9EC46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1.62</w:t>
            </w:r>
          </w:p>
        </w:tc>
        <w:tc>
          <w:tcPr>
            <w:tcW w:w="639" w:type="dxa"/>
            <w:noWrap/>
            <w:hideMark/>
          </w:tcPr>
          <w:p w14:paraId="7BE060E7"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2.05</w:t>
            </w:r>
          </w:p>
        </w:tc>
        <w:tc>
          <w:tcPr>
            <w:tcW w:w="639" w:type="dxa"/>
            <w:gridSpan w:val="2"/>
            <w:noWrap/>
            <w:hideMark/>
          </w:tcPr>
          <w:p w14:paraId="69F2697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10.8</w:t>
            </w:r>
          </w:p>
        </w:tc>
        <w:tc>
          <w:tcPr>
            <w:tcW w:w="639" w:type="dxa"/>
            <w:noWrap/>
            <w:hideMark/>
          </w:tcPr>
          <w:p w14:paraId="13C3E0B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13.5</w:t>
            </w:r>
          </w:p>
        </w:tc>
        <w:tc>
          <w:tcPr>
            <w:tcW w:w="639" w:type="dxa"/>
            <w:noWrap/>
            <w:hideMark/>
          </w:tcPr>
          <w:p w14:paraId="5C902C4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14.6</w:t>
            </w:r>
          </w:p>
        </w:tc>
        <w:tc>
          <w:tcPr>
            <w:tcW w:w="639" w:type="dxa"/>
            <w:gridSpan w:val="2"/>
            <w:noWrap/>
            <w:hideMark/>
          </w:tcPr>
          <w:p w14:paraId="21FEDC2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7.2</w:t>
            </w:r>
          </w:p>
        </w:tc>
        <w:tc>
          <w:tcPr>
            <w:tcW w:w="639" w:type="dxa"/>
            <w:noWrap/>
            <w:hideMark/>
          </w:tcPr>
          <w:p w14:paraId="494FDD5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9.4</w:t>
            </w:r>
          </w:p>
        </w:tc>
        <w:tc>
          <w:tcPr>
            <w:tcW w:w="639" w:type="dxa"/>
            <w:noWrap/>
            <w:hideMark/>
          </w:tcPr>
          <w:p w14:paraId="17EC30E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w:t>
            </w:r>
          </w:p>
        </w:tc>
      </w:tr>
      <w:tr w:rsidR="00EB11FF" w:rsidRPr="00C3442B" w14:paraId="5796E316" w14:textId="77777777" w:rsidTr="00EB11FF">
        <w:trPr>
          <w:gridAfter w:val="1"/>
          <w:wAfter w:w="13" w:type="dxa"/>
          <w:trHeight w:val="678"/>
        </w:trPr>
        <w:tc>
          <w:tcPr>
            <w:tcW w:w="1127" w:type="dxa"/>
            <w:hideMark/>
          </w:tcPr>
          <w:p w14:paraId="746E685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T₁</w:t>
            </w:r>
          </w:p>
        </w:tc>
        <w:tc>
          <w:tcPr>
            <w:tcW w:w="639" w:type="dxa"/>
            <w:noWrap/>
            <w:hideMark/>
          </w:tcPr>
          <w:p w14:paraId="4AA52AA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28.9</w:t>
            </w:r>
          </w:p>
        </w:tc>
        <w:tc>
          <w:tcPr>
            <w:tcW w:w="639" w:type="dxa"/>
            <w:noWrap/>
            <w:hideMark/>
          </w:tcPr>
          <w:p w14:paraId="3D61C46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59.8</w:t>
            </w:r>
          </w:p>
        </w:tc>
        <w:tc>
          <w:tcPr>
            <w:tcW w:w="666" w:type="dxa"/>
            <w:noWrap/>
            <w:hideMark/>
          </w:tcPr>
          <w:p w14:paraId="6AB8495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82.4</w:t>
            </w:r>
          </w:p>
        </w:tc>
        <w:tc>
          <w:tcPr>
            <w:tcW w:w="639" w:type="dxa"/>
            <w:noWrap/>
            <w:hideMark/>
          </w:tcPr>
          <w:p w14:paraId="3AE2184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w:t>
            </w:r>
          </w:p>
        </w:tc>
        <w:tc>
          <w:tcPr>
            <w:tcW w:w="639" w:type="dxa"/>
            <w:noWrap/>
            <w:hideMark/>
          </w:tcPr>
          <w:p w14:paraId="0EC9F97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6</w:t>
            </w:r>
          </w:p>
        </w:tc>
        <w:tc>
          <w:tcPr>
            <w:tcW w:w="639" w:type="dxa"/>
            <w:noWrap/>
            <w:hideMark/>
          </w:tcPr>
          <w:p w14:paraId="7574215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w:t>
            </w:r>
          </w:p>
        </w:tc>
        <w:tc>
          <w:tcPr>
            <w:tcW w:w="639" w:type="dxa"/>
            <w:noWrap/>
            <w:hideMark/>
          </w:tcPr>
          <w:p w14:paraId="03311CD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1.05</w:t>
            </w:r>
          </w:p>
        </w:tc>
        <w:tc>
          <w:tcPr>
            <w:tcW w:w="639" w:type="dxa"/>
            <w:noWrap/>
            <w:hideMark/>
          </w:tcPr>
          <w:p w14:paraId="0E2D451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1.75</w:t>
            </w:r>
          </w:p>
        </w:tc>
        <w:tc>
          <w:tcPr>
            <w:tcW w:w="639" w:type="dxa"/>
            <w:noWrap/>
            <w:hideMark/>
          </w:tcPr>
          <w:p w14:paraId="79C0786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2.22</w:t>
            </w:r>
          </w:p>
        </w:tc>
        <w:tc>
          <w:tcPr>
            <w:tcW w:w="639" w:type="dxa"/>
            <w:gridSpan w:val="2"/>
            <w:noWrap/>
            <w:hideMark/>
          </w:tcPr>
          <w:p w14:paraId="67D7A0E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11.9</w:t>
            </w:r>
          </w:p>
        </w:tc>
        <w:tc>
          <w:tcPr>
            <w:tcW w:w="639" w:type="dxa"/>
            <w:noWrap/>
            <w:hideMark/>
          </w:tcPr>
          <w:p w14:paraId="564441BD"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14.8</w:t>
            </w:r>
          </w:p>
        </w:tc>
        <w:tc>
          <w:tcPr>
            <w:tcW w:w="639" w:type="dxa"/>
            <w:noWrap/>
            <w:hideMark/>
          </w:tcPr>
          <w:p w14:paraId="139AD39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16</w:t>
            </w:r>
          </w:p>
        </w:tc>
        <w:tc>
          <w:tcPr>
            <w:tcW w:w="639" w:type="dxa"/>
            <w:gridSpan w:val="2"/>
            <w:noWrap/>
            <w:hideMark/>
          </w:tcPr>
          <w:p w14:paraId="35B513B7"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8.1</w:t>
            </w:r>
          </w:p>
        </w:tc>
        <w:tc>
          <w:tcPr>
            <w:tcW w:w="639" w:type="dxa"/>
            <w:noWrap/>
            <w:hideMark/>
          </w:tcPr>
          <w:p w14:paraId="7EC2199C"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10.2</w:t>
            </w:r>
          </w:p>
        </w:tc>
        <w:tc>
          <w:tcPr>
            <w:tcW w:w="639" w:type="dxa"/>
            <w:noWrap/>
            <w:hideMark/>
          </w:tcPr>
          <w:p w14:paraId="775D767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11.8</w:t>
            </w:r>
          </w:p>
        </w:tc>
      </w:tr>
      <w:tr w:rsidR="00EB11FF" w:rsidRPr="00C3442B" w14:paraId="39663F51" w14:textId="77777777" w:rsidTr="00EB11FF">
        <w:trPr>
          <w:gridAfter w:val="1"/>
          <w:wAfter w:w="13" w:type="dxa"/>
          <w:trHeight w:val="678"/>
        </w:trPr>
        <w:tc>
          <w:tcPr>
            <w:tcW w:w="1127" w:type="dxa"/>
            <w:hideMark/>
          </w:tcPr>
          <w:p w14:paraId="5292A8D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T₂</w:t>
            </w:r>
          </w:p>
        </w:tc>
        <w:tc>
          <w:tcPr>
            <w:tcW w:w="639" w:type="dxa"/>
            <w:noWrap/>
            <w:hideMark/>
          </w:tcPr>
          <w:p w14:paraId="5F63545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32.5</w:t>
            </w:r>
          </w:p>
        </w:tc>
        <w:tc>
          <w:tcPr>
            <w:tcW w:w="639" w:type="dxa"/>
            <w:noWrap/>
            <w:hideMark/>
          </w:tcPr>
          <w:p w14:paraId="00A81F9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66.7</w:t>
            </w:r>
          </w:p>
        </w:tc>
        <w:tc>
          <w:tcPr>
            <w:tcW w:w="666" w:type="dxa"/>
            <w:noWrap/>
            <w:hideMark/>
          </w:tcPr>
          <w:p w14:paraId="4CD1D43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92.8</w:t>
            </w:r>
          </w:p>
        </w:tc>
        <w:tc>
          <w:tcPr>
            <w:tcW w:w="639" w:type="dxa"/>
            <w:noWrap/>
            <w:hideMark/>
          </w:tcPr>
          <w:p w14:paraId="28C6A6A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4</w:t>
            </w:r>
          </w:p>
        </w:tc>
        <w:tc>
          <w:tcPr>
            <w:tcW w:w="639" w:type="dxa"/>
            <w:noWrap/>
            <w:hideMark/>
          </w:tcPr>
          <w:p w14:paraId="67F36EB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w:t>
            </w:r>
          </w:p>
        </w:tc>
        <w:tc>
          <w:tcPr>
            <w:tcW w:w="639" w:type="dxa"/>
            <w:noWrap/>
            <w:hideMark/>
          </w:tcPr>
          <w:p w14:paraId="00EA4DFA"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w:t>
            </w:r>
          </w:p>
        </w:tc>
        <w:tc>
          <w:tcPr>
            <w:tcW w:w="639" w:type="dxa"/>
            <w:noWrap/>
            <w:hideMark/>
          </w:tcPr>
          <w:p w14:paraId="37BE22D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1.12</w:t>
            </w:r>
          </w:p>
        </w:tc>
        <w:tc>
          <w:tcPr>
            <w:tcW w:w="639" w:type="dxa"/>
            <w:noWrap/>
            <w:hideMark/>
          </w:tcPr>
          <w:p w14:paraId="144BAD1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1.89</w:t>
            </w:r>
          </w:p>
        </w:tc>
        <w:tc>
          <w:tcPr>
            <w:tcW w:w="639" w:type="dxa"/>
            <w:noWrap/>
            <w:hideMark/>
          </w:tcPr>
          <w:p w14:paraId="363AEFA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2.4</w:t>
            </w:r>
          </w:p>
        </w:tc>
        <w:tc>
          <w:tcPr>
            <w:tcW w:w="639" w:type="dxa"/>
            <w:gridSpan w:val="2"/>
            <w:noWrap/>
            <w:hideMark/>
          </w:tcPr>
          <w:p w14:paraId="0E09371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12.8</w:t>
            </w:r>
          </w:p>
        </w:tc>
        <w:tc>
          <w:tcPr>
            <w:tcW w:w="639" w:type="dxa"/>
            <w:noWrap/>
            <w:hideMark/>
          </w:tcPr>
          <w:p w14:paraId="1292F0C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15.9</w:t>
            </w:r>
          </w:p>
        </w:tc>
        <w:tc>
          <w:tcPr>
            <w:tcW w:w="639" w:type="dxa"/>
            <w:noWrap/>
            <w:hideMark/>
          </w:tcPr>
          <w:p w14:paraId="2A2CCFF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17.4</w:t>
            </w:r>
          </w:p>
        </w:tc>
        <w:tc>
          <w:tcPr>
            <w:tcW w:w="639" w:type="dxa"/>
            <w:gridSpan w:val="2"/>
            <w:noWrap/>
            <w:hideMark/>
          </w:tcPr>
          <w:p w14:paraId="1432713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8.8</w:t>
            </w:r>
          </w:p>
        </w:tc>
        <w:tc>
          <w:tcPr>
            <w:tcW w:w="639" w:type="dxa"/>
            <w:noWrap/>
            <w:hideMark/>
          </w:tcPr>
          <w:p w14:paraId="6E2D75C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w:t>
            </w:r>
          </w:p>
        </w:tc>
        <w:tc>
          <w:tcPr>
            <w:tcW w:w="639" w:type="dxa"/>
            <w:noWrap/>
            <w:hideMark/>
          </w:tcPr>
          <w:p w14:paraId="610C8C1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12.6</w:t>
            </w:r>
          </w:p>
        </w:tc>
      </w:tr>
      <w:tr w:rsidR="00EB11FF" w:rsidRPr="00C3442B" w14:paraId="07512886" w14:textId="77777777" w:rsidTr="00EB11FF">
        <w:trPr>
          <w:gridAfter w:val="1"/>
          <w:wAfter w:w="13" w:type="dxa"/>
          <w:trHeight w:val="678"/>
        </w:trPr>
        <w:tc>
          <w:tcPr>
            <w:tcW w:w="1127" w:type="dxa"/>
            <w:hideMark/>
          </w:tcPr>
          <w:p w14:paraId="2297E9C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T₃</w:t>
            </w:r>
          </w:p>
        </w:tc>
        <w:tc>
          <w:tcPr>
            <w:tcW w:w="639" w:type="dxa"/>
            <w:noWrap/>
            <w:hideMark/>
          </w:tcPr>
          <w:p w14:paraId="38F071F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35.7</w:t>
            </w:r>
          </w:p>
        </w:tc>
        <w:tc>
          <w:tcPr>
            <w:tcW w:w="639" w:type="dxa"/>
            <w:noWrap/>
            <w:hideMark/>
          </w:tcPr>
          <w:p w14:paraId="7B505E6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72.9</w:t>
            </w:r>
          </w:p>
        </w:tc>
        <w:tc>
          <w:tcPr>
            <w:tcW w:w="666" w:type="dxa"/>
            <w:noWrap/>
            <w:hideMark/>
          </w:tcPr>
          <w:p w14:paraId="554186A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102.6</w:t>
            </w:r>
          </w:p>
        </w:tc>
        <w:tc>
          <w:tcPr>
            <w:tcW w:w="639" w:type="dxa"/>
            <w:noWrap/>
            <w:hideMark/>
          </w:tcPr>
          <w:p w14:paraId="4DD89A2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w:t>
            </w:r>
          </w:p>
        </w:tc>
        <w:tc>
          <w:tcPr>
            <w:tcW w:w="639" w:type="dxa"/>
            <w:noWrap/>
            <w:hideMark/>
          </w:tcPr>
          <w:p w14:paraId="099E94F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w:t>
            </w:r>
          </w:p>
        </w:tc>
        <w:tc>
          <w:tcPr>
            <w:tcW w:w="639" w:type="dxa"/>
            <w:noWrap/>
            <w:hideMark/>
          </w:tcPr>
          <w:p w14:paraId="23C4EC6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w:t>
            </w:r>
          </w:p>
        </w:tc>
        <w:tc>
          <w:tcPr>
            <w:tcW w:w="639" w:type="dxa"/>
            <w:noWrap/>
            <w:hideMark/>
          </w:tcPr>
          <w:p w14:paraId="54ADA86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w:t>
            </w:r>
          </w:p>
        </w:tc>
        <w:tc>
          <w:tcPr>
            <w:tcW w:w="639" w:type="dxa"/>
            <w:noWrap/>
            <w:hideMark/>
          </w:tcPr>
          <w:p w14:paraId="252306E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2.04</w:t>
            </w:r>
          </w:p>
        </w:tc>
        <w:tc>
          <w:tcPr>
            <w:tcW w:w="639" w:type="dxa"/>
            <w:noWrap/>
            <w:hideMark/>
          </w:tcPr>
          <w:p w14:paraId="4BCBE92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2.58</w:t>
            </w:r>
          </w:p>
        </w:tc>
        <w:tc>
          <w:tcPr>
            <w:tcW w:w="639" w:type="dxa"/>
            <w:gridSpan w:val="2"/>
            <w:noWrap/>
            <w:hideMark/>
          </w:tcPr>
          <w:p w14:paraId="68BCBAA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13.7</w:t>
            </w:r>
          </w:p>
        </w:tc>
        <w:tc>
          <w:tcPr>
            <w:tcW w:w="639" w:type="dxa"/>
            <w:noWrap/>
            <w:hideMark/>
          </w:tcPr>
          <w:p w14:paraId="2B51CD6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17.1</w:t>
            </w:r>
          </w:p>
        </w:tc>
        <w:tc>
          <w:tcPr>
            <w:tcW w:w="639" w:type="dxa"/>
            <w:noWrap/>
            <w:hideMark/>
          </w:tcPr>
          <w:p w14:paraId="7C417A0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18.9</w:t>
            </w:r>
          </w:p>
        </w:tc>
        <w:tc>
          <w:tcPr>
            <w:tcW w:w="639" w:type="dxa"/>
            <w:gridSpan w:val="2"/>
            <w:noWrap/>
            <w:hideMark/>
          </w:tcPr>
          <w:p w14:paraId="76F32C51"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9.6</w:t>
            </w:r>
          </w:p>
        </w:tc>
        <w:tc>
          <w:tcPr>
            <w:tcW w:w="639" w:type="dxa"/>
            <w:noWrap/>
            <w:hideMark/>
          </w:tcPr>
          <w:p w14:paraId="69F80E3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11.8</w:t>
            </w:r>
          </w:p>
        </w:tc>
        <w:tc>
          <w:tcPr>
            <w:tcW w:w="639" w:type="dxa"/>
            <w:noWrap/>
            <w:hideMark/>
          </w:tcPr>
          <w:p w14:paraId="6C47533C"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13.5</w:t>
            </w:r>
          </w:p>
        </w:tc>
      </w:tr>
      <w:tr w:rsidR="00EB11FF" w:rsidRPr="00C3442B" w14:paraId="2E951FC2" w14:textId="77777777" w:rsidTr="00EB11FF">
        <w:trPr>
          <w:gridAfter w:val="1"/>
          <w:wAfter w:w="13" w:type="dxa"/>
          <w:trHeight w:val="697"/>
        </w:trPr>
        <w:tc>
          <w:tcPr>
            <w:tcW w:w="1127" w:type="dxa"/>
            <w:hideMark/>
          </w:tcPr>
          <w:p w14:paraId="4F8C5CB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T₄</w:t>
            </w:r>
          </w:p>
        </w:tc>
        <w:tc>
          <w:tcPr>
            <w:tcW w:w="639" w:type="dxa"/>
            <w:noWrap/>
            <w:hideMark/>
          </w:tcPr>
          <w:p w14:paraId="56CECA7A"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39.8</w:t>
            </w:r>
          </w:p>
        </w:tc>
        <w:tc>
          <w:tcPr>
            <w:tcW w:w="639" w:type="dxa"/>
            <w:noWrap/>
            <w:hideMark/>
          </w:tcPr>
          <w:p w14:paraId="563A81E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79.6</w:t>
            </w:r>
          </w:p>
        </w:tc>
        <w:tc>
          <w:tcPr>
            <w:tcW w:w="666" w:type="dxa"/>
            <w:noWrap/>
            <w:hideMark/>
          </w:tcPr>
          <w:p w14:paraId="1D96AE7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112.7</w:t>
            </w:r>
          </w:p>
        </w:tc>
        <w:tc>
          <w:tcPr>
            <w:tcW w:w="639" w:type="dxa"/>
            <w:noWrap/>
            <w:hideMark/>
          </w:tcPr>
          <w:p w14:paraId="38AF2D5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6</w:t>
            </w:r>
          </w:p>
        </w:tc>
        <w:tc>
          <w:tcPr>
            <w:tcW w:w="639" w:type="dxa"/>
            <w:noWrap/>
            <w:hideMark/>
          </w:tcPr>
          <w:p w14:paraId="336B725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w:t>
            </w:r>
          </w:p>
        </w:tc>
        <w:tc>
          <w:tcPr>
            <w:tcW w:w="639" w:type="dxa"/>
            <w:noWrap/>
            <w:hideMark/>
          </w:tcPr>
          <w:p w14:paraId="3C0D761A"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w:t>
            </w:r>
          </w:p>
        </w:tc>
        <w:tc>
          <w:tcPr>
            <w:tcW w:w="639" w:type="dxa"/>
            <w:noWrap/>
            <w:hideMark/>
          </w:tcPr>
          <w:p w14:paraId="6B7893C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1.32</w:t>
            </w:r>
          </w:p>
        </w:tc>
        <w:tc>
          <w:tcPr>
            <w:tcW w:w="639" w:type="dxa"/>
            <w:noWrap/>
            <w:hideMark/>
          </w:tcPr>
          <w:p w14:paraId="0BC9BB9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2.2</w:t>
            </w:r>
          </w:p>
        </w:tc>
        <w:tc>
          <w:tcPr>
            <w:tcW w:w="639" w:type="dxa"/>
            <w:noWrap/>
            <w:hideMark/>
          </w:tcPr>
          <w:p w14:paraId="552F682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2.76</w:t>
            </w:r>
          </w:p>
        </w:tc>
        <w:tc>
          <w:tcPr>
            <w:tcW w:w="639" w:type="dxa"/>
            <w:gridSpan w:val="2"/>
            <w:noWrap/>
            <w:hideMark/>
          </w:tcPr>
          <w:p w14:paraId="16BB6C2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14.6</w:t>
            </w:r>
          </w:p>
        </w:tc>
        <w:tc>
          <w:tcPr>
            <w:tcW w:w="639" w:type="dxa"/>
            <w:noWrap/>
            <w:hideMark/>
          </w:tcPr>
          <w:p w14:paraId="2F30A85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18.4</w:t>
            </w:r>
          </w:p>
        </w:tc>
        <w:tc>
          <w:tcPr>
            <w:tcW w:w="639" w:type="dxa"/>
            <w:noWrap/>
            <w:hideMark/>
          </w:tcPr>
          <w:p w14:paraId="78B64CA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20.4</w:t>
            </w:r>
          </w:p>
        </w:tc>
        <w:tc>
          <w:tcPr>
            <w:tcW w:w="639" w:type="dxa"/>
            <w:gridSpan w:val="2"/>
            <w:noWrap/>
            <w:hideMark/>
          </w:tcPr>
          <w:p w14:paraId="04A8382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10.4</w:t>
            </w:r>
          </w:p>
        </w:tc>
        <w:tc>
          <w:tcPr>
            <w:tcW w:w="639" w:type="dxa"/>
            <w:noWrap/>
            <w:hideMark/>
          </w:tcPr>
          <w:p w14:paraId="447E152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12.7</w:t>
            </w:r>
          </w:p>
        </w:tc>
        <w:tc>
          <w:tcPr>
            <w:tcW w:w="639" w:type="dxa"/>
            <w:noWrap/>
            <w:hideMark/>
          </w:tcPr>
          <w:p w14:paraId="33FDE70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15</w:t>
            </w:r>
          </w:p>
        </w:tc>
      </w:tr>
      <w:tr w:rsidR="00EB11FF" w:rsidRPr="00A37AB4" w14:paraId="7DAEFC8F" w14:textId="77777777" w:rsidTr="00EB11FF">
        <w:trPr>
          <w:gridAfter w:val="1"/>
          <w:wAfter w:w="13" w:type="dxa"/>
          <w:trHeight w:val="697"/>
        </w:trPr>
        <w:tc>
          <w:tcPr>
            <w:tcW w:w="1127" w:type="dxa"/>
          </w:tcPr>
          <w:p w14:paraId="29F02700" w14:textId="02B80513" w:rsidR="00EB11FF" w:rsidRPr="00A37AB4" w:rsidRDefault="00EB11FF"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S.E m+</w:t>
            </w:r>
          </w:p>
        </w:tc>
        <w:tc>
          <w:tcPr>
            <w:tcW w:w="639" w:type="dxa"/>
            <w:noWrap/>
          </w:tcPr>
          <w:p w14:paraId="7D14F673" w14:textId="4CC39FE6"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0.12</w:t>
            </w:r>
          </w:p>
        </w:tc>
        <w:tc>
          <w:tcPr>
            <w:tcW w:w="639" w:type="dxa"/>
            <w:noWrap/>
          </w:tcPr>
          <w:p w14:paraId="283F969C" w14:textId="217A4D98"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0.28</w:t>
            </w:r>
          </w:p>
        </w:tc>
        <w:tc>
          <w:tcPr>
            <w:tcW w:w="666" w:type="dxa"/>
            <w:noWrap/>
          </w:tcPr>
          <w:p w14:paraId="2A81A9D4" w14:textId="10BD833E"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1455F1" w:rsidRPr="00A37AB4">
              <w:rPr>
                <w:rFonts w:ascii="Times New Roman" w:hAnsi="Times New Roman"/>
                <w:color w:val="000000"/>
                <w:highlight w:val="yellow"/>
                <w:lang w:eastAsia="en-IN"/>
              </w:rPr>
              <w:t>09</w:t>
            </w:r>
          </w:p>
        </w:tc>
        <w:tc>
          <w:tcPr>
            <w:tcW w:w="639" w:type="dxa"/>
            <w:noWrap/>
          </w:tcPr>
          <w:p w14:paraId="4B5CE49C" w14:textId="144D8B06"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0.23</w:t>
            </w:r>
          </w:p>
        </w:tc>
        <w:tc>
          <w:tcPr>
            <w:tcW w:w="639" w:type="dxa"/>
            <w:noWrap/>
          </w:tcPr>
          <w:p w14:paraId="45BB1029" w14:textId="539EAD05"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D6066C" w:rsidRPr="00A37AB4">
              <w:rPr>
                <w:rFonts w:ascii="Times New Roman" w:hAnsi="Times New Roman"/>
                <w:color w:val="000000"/>
                <w:highlight w:val="yellow"/>
                <w:lang w:eastAsia="en-IN"/>
              </w:rPr>
              <w:t>07</w:t>
            </w:r>
          </w:p>
        </w:tc>
        <w:tc>
          <w:tcPr>
            <w:tcW w:w="639" w:type="dxa"/>
            <w:noWrap/>
          </w:tcPr>
          <w:p w14:paraId="3467C66B" w14:textId="517EC9EA"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0.11</w:t>
            </w:r>
          </w:p>
        </w:tc>
        <w:tc>
          <w:tcPr>
            <w:tcW w:w="639" w:type="dxa"/>
            <w:noWrap/>
          </w:tcPr>
          <w:p w14:paraId="0C33C254" w14:textId="3589F317"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0.01</w:t>
            </w:r>
          </w:p>
        </w:tc>
        <w:tc>
          <w:tcPr>
            <w:tcW w:w="639" w:type="dxa"/>
            <w:noWrap/>
          </w:tcPr>
          <w:p w14:paraId="38B2C09F" w14:textId="75A3A86A"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0.004</w:t>
            </w:r>
          </w:p>
        </w:tc>
        <w:tc>
          <w:tcPr>
            <w:tcW w:w="639" w:type="dxa"/>
            <w:noWrap/>
          </w:tcPr>
          <w:p w14:paraId="3C945EC4" w14:textId="2280DB94"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0.007</w:t>
            </w:r>
          </w:p>
        </w:tc>
        <w:tc>
          <w:tcPr>
            <w:tcW w:w="639" w:type="dxa"/>
            <w:gridSpan w:val="2"/>
            <w:noWrap/>
          </w:tcPr>
          <w:p w14:paraId="2304583A" w14:textId="3A882082" w:rsidR="00EB11FF" w:rsidRPr="00A37AB4" w:rsidRDefault="00231AB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0.04</w:t>
            </w:r>
          </w:p>
        </w:tc>
        <w:tc>
          <w:tcPr>
            <w:tcW w:w="639" w:type="dxa"/>
            <w:noWrap/>
          </w:tcPr>
          <w:p w14:paraId="78B9666F" w14:textId="003B14C0" w:rsidR="00EB11FF" w:rsidRPr="00A37AB4" w:rsidRDefault="00231AB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A26EF8" w:rsidRPr="00A37AB4">
              <w:rPr>
                <w:rFonts w:ascii="Times New Roman" w:hAnsi="Times New Roman"/>
                <w:color w:val="000000"/>
                <w:highlight w:val="yellow"/>
                <w:lang w:eastAsia="en-IN"/>
              </w:rPr>
              <w:t>07</w:t>
            </w:r>
          </w:p>
        </w:tc>
        <w:tc>
          <w:tcPr>
            <w:tcW w:w="639" w:type="dxa"/>
            <w:noWrap/>
          </w:tcPr>
          <w:p w14:paraId="7B9BA775" w14:textId="0C709B57" w:rsidR="00EB11FF" w:rsidRPr="00A37AB4" w:rsidRDefault="00231AB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0.09</w:t>
            </w:r>
          </w:p>
        </w:tc>
        <w:tc>
          <w:tcPr>
            <w:tcW w:w="639" w:type="dxa"/>
            <w:gridSpan w:val="2"/>
            <w:noWrap/>
          </w:tcPr>
          <w:p w14:paraId="1D742C84" w14:textId="458FABF1"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0.03</w:t>
            </w:r>
          </w:p>
        </w:tc>
        <w:tc>
          <w:tcPr>
            <w:tcW w:w="639" w:type="dxa"/>
            <w:noWrap/>
          </w:tcPr>
          <w:p w14:paraId="0CDC84EB" w14:textId="3C920B9C"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0.08</w:t>
            </w:r>
          </w:p>
        </w:tc>
        <w:tc>
          <w:tcPr>
            <w:tcW w:w="639" w:type="dxa"/>
            <w:noWrap/>
          </w:tcPr>
          <w:p w14:paraId="02E3F15C" w14:textId="52BE46A9"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0.02</w:t>
            </w:r>
          </w:p>
        </w:tc>
      </w:tr>
      <w:tr w:rsidR="00EB11FF" w:rsidRPr="00A37AB4" w14:paraId="73390264" w14:textId="77777777" w:rsidTr="00EB11FF">
        <w:trPr>
          <w:gridAfter w:val="1"/>
          <w:wAfter w:w="13" w:type="dxa"/>
          <w:trHeight w:val="697"/>
        </w:trPr>
        <w:tc>
          <w:tcPr>
            <w:tcW w:w="1127" w:type="dxa"/>
          </w:tcPr>
          <w:p w14:paraId="3D1BE540" w14:textId="4C307BB7"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CD at 5%</w:t>
            </w:r>
          </w:p>
        </w:tc>
        <w:tc>
          <w:tcPr>
            <w:tcW w:w="639" w:type="dxa"/>
            <w:noWrap/>
          </w:tcPr>
          <w:p w14:paraId="723696FF" w14:textId="0220891B" w:rsidR="00EB11FF" w:rsidRPr="00A37AB4" w:rsidRDefault="001455F1"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0.42</w:t>
            </w:r>
          </w:p>
        </w:tc>
        <w:tc>
          <w:tcPr>
            <w:tcW w:w="639" w:type="dxa"/>
            <w:noWrap/>
          </w:tcPr>
          <w:p w14:paraId="334BB12B" w14:textId="13D3A31D" w:rsidR="00EB11FF" w:rsidRPr="00A37AB4" w:rsidRDefault="001455F1"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0.58</w:t>
            </w:r>
          </w:p>
        </w:tc>
        <w:tc>
          <w:tcPr>
            <w:tcW w:w="666" w:type="dxa"/>
            <w:noWrap/>
          </w:tcPr>
          <w:p w14:paraId="79D89443" w14:textId="20682522" w:rsidR="00EB11FF" w:rsidRPr="00A37AB4" w:rsidRDefault="001455F1"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0.41</w:t>
            </w:r>
          </w:p>
        </w:tc>
        <w:tc>
          <w:tcPr>
            <w:tcW w:w="639" w:type="dxa"/>
            <w:noWrap/>
          </w:tcPr>
          <w:p w14:paraId="04BCBFC9" w14:textId="4BC9C522"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0.70</w:t>
            </w:r>
          </w:p>
        </w:tc>
        <w:tc>
          <w:tcPr>
            <w:tcW w:w="639" w:type="dxa"/>
            <w:noWrap/>
          </w:tcPr>
          <w:p w14:paraId="581635CB" w14:textId="483E63BD"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D6066C" w:rsidRPr="00A37AB4">
              <w:rPr>
                <w:rFonts w:ascii="Times New Roman" w:hAnsi="Times New Roman"/>
                <w:color w:val="000000"/>
                <w:highlight w:val="yellow"/>
                <w:lang w:eastAsia="en-IN"/>
              </w:rPr>
              <w:t>26</w:t>
            </w:r>
          </w:p>
        </w:tc>
        <w:tc>
          <w:tcPr>
            <w:tcW w:w="639" w:type="dxa"/>
            <w:noWrap/>
          </w:tcPr>
          <w:p w14:paraId="671A9A4A" w14:textId="53FC6507"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0.33</w:t>
            </w:r>
          </w:p>
        </w:tc>
        <w:tc>
          <w:tcPr>
            <w:tcW w:w="639" w:type="dxa"/>
            <w:noWrap/>
          </w:tcPr>
          <w:p w14:paraId="029DF828" w14:textId="342586F3"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0.03</w:t>
            </w:r>
          </w:p>
        </w:tc>
        <w:tc>
          <w:tcPr>
            <w:tcW w:w="639" w:type="dxa"/>
            <w:noWrap/>
          </w:tcPr>
          <w:p w14:paraId="0145BFE5" w14:textId="03AF6D2F"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0.015</w:t>
            </w:r>
          </w:p>
        </w:tc>
        <w:tc>
          <w:tcPr>
            <w:tcW w:w="639" w:type="dxa"/>
            <w:noWrap/>
          </w:tcPr>
          <w:p w14:paraId="6BDF71DB" w14:textId="08F6AFF1"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0.023</w:t>
            </w:r>
          </w:p>
        </w:tc>
        <w:tc>
          <w:tcPr>
            <w:tcW w:w="639" w:type="dxa"/>
            <w:gridSpan w:val="2"/>
            <w:noWrap/>
          </w:tcPr>
          <w:p w14:paraId="761FE233" w14:textId="0307A835" w:rsidR="00EB11FF" w:rsidRPr="00A37AB4" w:rsidRDefault="00A26EF8"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0.10</w:t>
            </w:r>
          </w:p>
        </w:tc>
        <w:tc>
          <w:tcPr>
            <w:tcW w:w="639" w:type="dxa"/>
            <w:noWrap/>
          </w:tcPr>
          <w:p w14:paraId="4035B118" w14:textId="63BA8035" w:rsidR="00EB11FF" w:rsidRPr="00A37AB4" w:rsidRDefault="00A26EF8"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0.21</w:t>
            </w:r>
          </w:p>
        </w:tc>
        <w:tc>
          <w:tcPr>
            <w:tcW w:w="639" w:type="dxa"/>
            <w:noWrap/>
          </w:tcPr>
          <w:p w14:paraId="66D7B537" w14:textId="45A6BBE6" w:rsidR="00EB11FF" w:rsidRPr="00A37AB4" w:rsidRDefault="00A26EF8"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w:t>
            </w:r>
            <w:r w:rsidR="001F1A6C" w:rsidRPr="00A37AB4">
              <w:rPr>
                <w:rFonts w:ascii="Times New Roman" w:hAnsi="Times New Roman"/>
                <w:color w:val="000000"/>
                <w:highlight w:val="yellow"/>
                <w:lang w:eastAsia="en-IN"/>
              </w:rPr>
              <w:t>8</w:t>
            </w:r>
          </w:p>
        </w:tc>
        <w:tc>
          <w:tcPr>
            <w:tcW w:w="639" w:type="dxa"/>
            <w:gridSpan w:val="2"/>
            <w:noWrap/>
          </w:tcPr>
          <w:p w14:paraId="7C4FF477" w14:textId="7B6D4849"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0.12</w:t>
            </w:r>
          </w:p>
        </w:tc>
        <w:tc>
          <w:tcPr>
            <w:tcW w:w="639" w:type="dxa"/>
            <w:noWrap/>
          </w:tcPr>
          <w:p w14:paraId="2262723E" w14:textId="4E2A3431"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0.43</w:t>
            </w:r>
          </w:p>
        </w:tc>
        <w:tc>
          <w:tcPr>
            <w:tcW w:w="639" w:type="dxa"/>
            <w:noWrap/>
          </w:tcPr>
          <w:p w14:paraId="35C5757D" w14:textId="5EDB7C81"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0.06</w:t>
            </w:r>
          </w:p>
        </w:tc>
      </w:tr>
    </w:tbl>
    <w:p w14:paraId="516586A0" w14:textId="77777777" w:rsidR="00790ADA" w:rsidRDefault="00790ADA" w:rsidP="00441B6F">
      <w:pPr>
        <w:pStyle w:val="Body"/>
        <w:spacing w:after="0"/>
        <w:rPr>
          <w:rFonts w:ascii="Arial" w:hAnsi="Arial" w:cs="Arial"/>
        </w:rPr>
      </w:pPr>
    </w:p>
    <w:p w14:paraId="1690DEA7" w14:textId="77777777" w:rsidR="00E053D0" w:rsidRDefault="00E053D0" w:rsidP="00441B6F">
      <w:pPr>
        <w:pStyle w:val="Body"/>
        <w:spacing w:after="0"/>
        <w:rPr>
          <w:rFonts w:ascii="Arial" w:hAnsi="Arial" w:cs="Arial"/>
        </w:rPr>
      </w:pPr>
    </w:p>
    <w:p w14:paraId="00519EDD" w14:textId="77777777" w:rsidR="00CE0882" w:rsidRPr="00CE0882" w:rsidRDefault="00CE0882" w:rsidP="00CE0882">
      <w:pPr>
        <w:pStyle w:val="Body"/>
        <w:rPr>
          <w:rFonts w:ascii="Arial" w:hAnsi="Arial" w:cs="Arial"/>
          <w:b/>
          <w:bCs/>
        </w:rPr>
      </w:pPr>
      <w:r w:rsidRPr="00CE0882">
        <w:rPr>
          <w:rFonts w:ascii="Arial" w:hAnsi="Arial" w:cs="Arial"/>
          <w:b/>
          <w:bCs/>
        </w:rPr>
        <w:t>Plant height (cm):</w:t>
      </w:r>
    </w:p>
    <w:p w14:paraId="56483FC7" w14:textId="77777777" w:rsidR="00CE0882" w:rsidRPr="00CE0882" w:rsidRDefault="00CE0882" w:rsidP="00CE0882">
      <w:pPr>
        <w:pStyle w:val="Body"/>
        <w:rPr>
          <w:rFonts w:ascii="Arial" w:hAnsi="Arial" w:cs="Arial"/>
        </w:rPr>
      </w:pPr>
      <w:r w:rsidRPr="00CE0882">
        <w:rPr>
          <w:rFonts w:ascii="Arial" w:hAnsi="Arial" w:cs="Arial"/>
        </w:rPr>
        <w:t>Plant height of brinjal increased progressively from 30 to 90 DAT under all treatments. Among the treatments, T</w:t>
      </w:r>
      <w:r w:rsidRPr="00CE0882">
        <w:rPr>
          <w:rFonts w:ascii="Cambria Math" w:hAnsi="Cambria Math" w:cs="Cambria Math"/>
        </w:rPr>
        <w:t>₄</w:t>
      </w:r>
      <w:r w:rsidRPr="00CE0882">
        <w:rPr>
          <w:rFonts w:ascii="Arial" w:hAnsi="Arial" w:cs="Arial"/>
        </w:rPr>
        <w:t>(112.7cm) (Seaweed extract 4% + Azotobacter 4%) recorded the maximum plant height, followed by T</w:t>
      </w:r>
      <w:r w:rsidRPr="00CE0882">
        <w:rPr>
          <w:rFonts w:ascii="Cambria Math" w:hAnsi="Cambria Math" w:cs="Cambria Math"/>
        </w:rPr>
        <w:t>₃</w:t>
      </w:r>
      <w:r w:rsidRPr="00CE0882">
        <w:rPr>
          <w:rFonts w:ascii="Arial" w:hAnsi="Arial" w:cs="Arial"/>
        </w:rPr>
        <w:t>(102.6cm) and T</w:t>
      </w:r>
      <w:r w:rsidRPr="00CE0882">
        <w:rPr>
          <w:rFonts w:ascii="Cambria Math" w:hAnsi="Cambria Math" w:cs="Cambria Math"/>
        </w:rPr>
        <w:t>₂</w:t>
      </w:r>
      <w:r w:rsidRPr="00CE0882">
        <w:rPr>
          <w:rFonts w:ascii="Arial" w:hAnsi="Arial" w:cs="Arial"/>
        </w:rPr>
        <w:t>(92.8cm), while T</w:t>
      </w:r>
      <w:r w:rsidRPr="00CE0882">
        <w:rPr>
          <w:rFonts w:ascii="Cambria Math" w:hAnsi="Cambria Math" w:cs="Cambria Math"/>
        </w:rPr>
        <w:t>₁</w:t>
      </w:r>
      <w:r w:rsidRPr="00CE0882">
        <w:rPr>
          <w:rFonts w:ascii="Arial" w:hAnsi="Arial" w:cs="Arial"/>
        </w:rPr>
        <w:t>(82.4cm) showed moderate improvement over control. The lowest plant height was observed in T</w:t>
      </w:r>
      <w:r w:rsidRPr="00CE0882">
        <w:rPr>
          <w:rFonts w:ascii="Cambria Math" w:hAnsi="Cambria Math" w:cs="Cambria Math"/>
        </w:rPr>
        <w:t>₀</w:t>
      </w:r>
      <w:r w:rsidRPr="00CE0882">
        <w:rPr>
          <w:rFonts w:ascii="Arial" w:hAnsi="Arial" w:cs="Arial"/>
        </w:rPr>
        <w:t xml:space="preserve">(71.5cm). The increase in plant height under combined treatments may be attributed to growth-promoting substances present in seaweed extract and enhanced nitrogen fixation by Azotobacter, which improved nutrient uptake and vegetative growth (Yusuf </w:t>
      </w:r>
      <w:r w:rsidRPr="004E52F5">
        <w:rPr>
          <w:rFonts w:ascii="Arial" w:hAnsi="Arial" w:cs="Arial"/>
          <w:i/>
          <w:iCs/>
        </w:rPr>
        <w:t>et al.,</w:t>
      </w:r>
      <w:r w:rsidRPr="00CE0882">
        <w:rPr>
          <w:rFonts w:ascii="Arial" w:hAnsi="Arial" w:cs="Arial"/>
        </w:rPr>
        <w:t xml:space="preserve"> 2021; Gupta </w:t>
      </w:r>
      <w:r w:rsidRPr="004E52F5">
        <w:rPr>
          <w:rFonts w:ascii="Arial" w:hAnsi="Arial" w:cs="Arial"/>
          <w:i/>
          <w:iCs/>
        </w:rPr>
        <w:t>et al.,</w:t>
      </w:r>
      <w:r w:rsidRPr="00CE0882">
        <w:rPr>
          <w:rFonts w:ascii="Arial" w:hAnsi="Arial" w:cs="Arial"/>
        </w:rPr>
        <w:t xml:space="preserve"> 2021).</w:t>
      </w:r>
    </w:p>
    <w:p w14:paraId="2CC397AD" w14:textId="77777777" w:rsidR="00CE0882" w:rsidRPr="00CE0882" w:rsidRDefault="00CE0882" w:rsidP="00CE0882">
      <w:pPr>
        <w:pStyle w:val="Body"/>
        <w:rPr>
          <w:rFonts w:ascii="Arial" w:hAnsi="Arial" w:cs="Arial"/>
          <w:b/>
          <w:bCs/>
        </w:rPr>
      </w:pPr>
      <w:r w:rsidRPr="00CE0882">
        <w:rPr>
          <w:rFonts w:ascii="Arial" w:hAnsi="Arial" w:cs="Arial"/>
          <w:b/>
          <w:bCs/>
        </w:rPr>
        <w:t>Number of Branches:</w:t>
      </w:r>
    </w:p>
    <w:p w14:paraId="669E9CAA" w14:textId="77777777" w:rsidR="00CE0882" w:rsidRPr="00CE0882" w:rsidRDefault="00CE0882" w:rsidP="00CE0882">
      <w:pPr>
        <w:pStyle w:val="Body"/>
        <w:rPr>
          <w:rFonts w:ascii="Arial" w:hAnsi="Arial" w:cs="Arial"/>
        </w:rPr>
      </w:pPr>
      <w:r w:rsidRPr="00CE0882">
        <w:rPr>
          <w:rFonts w:ascii="Arial" w:hAnsi="Arial" w:cs="Arial"/>
        </w:rPr>
        <w:t>The number of branches per plant showed a significant increase with the application of seaweed extract and Azotobacter. T</w:t>
      </w:r>
      <w:r w:rsidRPr="00CE0882">
        <w:rPr>
          <w:rFonts w:ascii="Cambria Math" w:hAnsi="Cambria Math" w:cs="Cambria Math"/>
        </w:rPr>
        <w:t>₄</w:t>
      </w:r>
      <w:r w:rsidRPr="00CE0882">
        <w:rPr>
          <w:rFonts w:ascii="Arial" w:hAnsi="Arial" w:cs="Arial"/>
        </w:rPr>
        <w:t xml:space="preserve"> (12) recorded the highest number of branches, followed by T</w:t>
      </w:r>
      <w:r w:rsidRPr="00CE0882">
        <w:rPr>
          <w:rFonts w:ascii="Cambria Math" w:hAnsi="Cambria Math" w:cs="Cambria Math"/>
        </w:rPr>
        <w:t>₃</w:t>
      </w:r>
      <w:r w:rsidRPr="00CE0882">
        <w:rPr>
          <w:rFonts w:ascii="Arial" w:hAnsi="Arial" w:cs="Arial"/>
        </w:rPr>
        <w:t xml:space="preserve"> (10) and T</w:t>
      </w:r>
      <w:r w:rsidRPr="00CE0882">
        <w:rPr>
          <w:rFonts w:ascii="Cambria Math" w:hAnsi="Cambria Math" w:cs="Cambria Math"/>
        </w:rPr>
        <w:t>₂</w:t>
      </w:r>
      <w:r w:rsidRPr="00CE0882">
        <w:rPr>
          <w:rFonts w:ascii="Arial" w:hAnsi="Arial" w:cs="Arial"/>
        </w:rPr>
        <w:t xml:space="preserve"> (9), while T</w:t>
      </w:r>
      <w:r w:rsidRPr="00CE0882">
        <w:rPr>
          <w:rFonts w:ascii="Cambria Math" w:hAnsi="Cambria Math" w:cs="Cambria Math"/>
        </w:rPr>
        <w:t>₁</w:t>
      </w:r>
      <w:r w:rsidRPr="00CE0882">
        <w:rPr>
          <w:rFonts w:ascii="Arial" w:hAnsi="Arial" w:cs="Arial"/>
        </w:rPr>
        <w:t xml:space="preserve"> (8) showed intermediate values compared to the </w:t>
      </w:r>
      <w:r w:rsidRPr="00CE0882">
        <w:rPr>
          <w:rFonts w:ascii="Arial" w:hAnsi="Arial" w:cs="Arial"/>
        </w:rPr>
        <w:lastRenderedPageBreak/>
        <w:t>control. The lowest branching was observed in T</w:t>
      </w:r>
      <w:r w:rsidRPr="00CE0882">
        <w:rPr>
          <w:rFonts w:ascii="Cambria Math" w:hAnsi="Cambria Math" w:cs="Cambria Math"/>
        </w:rPr>
        <w:t>₀</w:t>
      </w:r>
      <w:r w:rsidRPr="00CE0882">
        <w:rPr>
          <w:rFonts w:ascii="Arial" w:hAnsi="Arial" w:cs="Arial"/>
        </w:rPr>
        <w:t xml:space="preserve"> (7). Increased branching under combined treatments may be attributed to the production of plant growth-promoting substances by Azotobacter, such as auxins, gibberellins, and cytokinins, which enhance vegetative growth parameters including branching. In addition, improved nutrient availability may stimulate lateral bud development and overall vegetative growth (Ali </w:t>
      </w:r>
      <w:r w:rsidRPr="004E52F5">
        <w:rPr>
          <w:rFonts w:ascii="Arial" w:hAnsi="Arial" w:cs="Arial"/>
          <w:i/>
          <w:iCs/>
        </w:rPr>
        <w:t>et al.,</w:t>
      </w:r>
      <w:r w:rsidRPr="00CE0882">
        <w:rPr>
          <w:rFonts w:ascii="Arial" w:hAnsi="Arial" w:cs="Arial"/>
        </w:rPr>
        <w:t xml:space="preserve"> 2025).</w:t>
      </w:r>
    </w:p>
    <w:p w14:paraId="6DED1746" w14:textId="77777777" w:rsidR="00CE0882" w:rsidRPr="00CE0882" w:rsidRDefault="00CE0882" w:rsidP="00CE0882">
      <w:pPr>
        <w:pStyle w:val="Body"/>
        <w:rPr>
          <w:rFonts w:ascii="Arial" w:hAnsi="Arial" w:cs="Arial"/>
          <w:b/>
          <w:bCs/>
        </w:rPr>
      </w:pPr>
      <w:r w:rsidRPr="00CE0882">
        <w:rPr>
          <w:rFonts w:ascii="Arial" w:hAnsi="Arial" w:cs="Arial"/>
          <w:b/>
          <w:bCs/>
        </w:rPr>
        <w:t>Stem Girth (cm):</w:t>
      </w:r>
    </w:p>
    <w:p w14:paraId="3BA2B963" w14:textId="77777777" w:rsidR="00CE0882" w:rsidRPr="00CE0882" w:rsidRDefault="00CE0882" w:rsidP="00CE0882">
      <w:pPr>
        <w:pStyle w:val="Body"/>
        <w:rPr>
          <w:rFonts w:ascii="Arial" w:hAnsi="Arial" w:cs="Arial"/>
        </w:rPr>
      </w:pPr>
      <w:r w:rsidRPr="00CE0882">
        <w:rPr>
          <w:rFonts w:ascii="Arial" w:hAnsi="Arial" w:cs="Arial"/>
        </w:rPr>
        <w:t>Stem girth increased significantly with increasing concentration of seaweed extract and Azotobacter. T</w:t>
      </w:r>
      <w:r w:rsidRPr="00CE0882">
        <w:rPr>
          <w:rFonts w:ascii="Cambria Math" w:hAnsi="Cambria Math" w:cs="Cambria Math"/>
        </w:rPr>
        <w:t>₄</w:t>
      </w:r>
      <w:r w:rsidRPr="00CE0882">
        <w:rPr>
          <w:rFonts w:ascii="Arial" w:hAnsi="Arial" w:cs="Arial"/>
        </w:rPr>
        <w:t>(2.76cm) produced the thickest stems, indicating stronger plant structure, followed by T</w:t>
      </w:r>
      <w:r w:rsidRPr="00CE0882">
        <w:rPr>
          <w:rFonts w:ascii="Cambria Math" w:hAnsi="Cambria Math" w:cs="Cambria Math"/>
        </w:rPr>
        <w:t>₃</w:t>
      </w:r>
      <w:r w:rsidRPr="00CE0882">
        <w:rPr>
          <w:rFonts w:ascii="Arial" w:hAnsi="Arial" w:cs="Arial"/>
        </w:rPr>
        <w:t>(2.58cm) and T</w:t>
      </w:r>
      <w:r w:rsidRPr="00CE0882">
        <w:rPr>
          <w:rFonts w:ascii="Cambria Math" w:hAnsi="Cambria Math" w:cs="Cambria Math"/>
        </w:rPr>
        <w:t>₂</w:t>
      </w:r>
      <w:r w:rsidRPr="00CE0882">
        <w:rPr>
          <w:rFonts w:ascii="Arial" w:hAnsi="Arial" w:cs="Arial"/>
        </w:rPr>
        <w:t>(2.4cm), while T</w:t>
      </w:r>
      <w:r w:rsidRPr="00CE0882">
        <w:rPr>
          <w:rFonts w:ascii="Cambria Math" w:hAnsi="Cambria Math" w:cs="Cambria Math"/>
        </w:rPr>
        <w:t>₁</w:t>
      </w:r>
      <w:r w:rsidRPr="00CE0882">
        <w:rPr>
          <w:rFonts w:ascii="Arial" w:hAnsi="Arial" w:cs="Arial"/>
        </w:rPr>
        <w:t>(2.22cm) showed moderate improvement over control. The lowest stem girth was recorded in T</w:t>
      </w:r>
      <w:r w:rsidRPr="00CE0882">
        <w:rPr>
          <w:rFonts w:ascii="Cambria Math" w:hAnsi="Cambria Math" w:cs="Cambria Math"/>
        </w:rPr>
        <w:t>₀</w:t>
      </w:r>
      <w:r w:rsidRPr="00CE0882">
        <w:rPr>
          <w:rFonts w:ascii="Arial" w:hAnsi="Arial" w:cs="Arial"/>
        </w:rPr>
        <w:t xml:space="preserve">(2.05cm). Enhanced stem thickness might be attributed to improved cell division and nutrient assimilation promoted by biofertilizer activity. These factors collectively contributed to improved vegetative growth and overall plant </w:t>
      </w:r>
      <w:proofErr w:type="spellStart"/>
      <w:r w:rsidRPr="00CE0882">
        <w:rPr>
          <w:rFonts w:ascii="Arial" w:hAnsi="Arial" w:cs="Arial"/>
        </w:rPr>
        <w:t>vigour</w:t>
      </w:r>
      <w:proofErr w:type="spellEnd"/>
      <w:r w:rsidRPr="00CE0882">
        <w:rPr>
          <w:rFonts w:ascii="Arial" w:hAnsi="Arial" w:cs="Arial"/>
        </w:rPr>
        <w:t xml:space="preserve"> in brinjal (Ramadhani </w:t>
      </w:r>
      <w:r w:rsidRPr="004E52F5">
        <w:rPr>
          <w:rFonts w:ascii="Arial" w:hAnsi="Arial" w:cs="Arial"/>
          <w:i/>
          <w:iCs/>
        </w:rPr>
        <w:t>et al.,</w:t>
      </w:r>
      <w:r w:rsidRPr="00CE0882">
        <w:rPr>
          <w:rFonts w:ascii="Arial" w:hAnsi="Arial" w:cs="Arial"/>
        </w:rPr>
        <w:t xml:space="preserve"> 2025). </w:t>
      </w:r>
    </w:p>
    <w:p w14:paraId="6CAEE69A" w14:textId="77777777" w:rsidR="00CE0882" w:rsidRPr="00CE0882" w:rsidRDefault="00CE0882" w:rsidP="00CE0882">
      <w:pPr>
        <w:pStyle w:val="Body"/>
        <w:rPr>
          <w:rFonts w:ascii="Arial" w:hAnsi="Arial" w:cs="Arial"/>
          <w:b/>
          <w:bCs/>
        </w:rPr>
      </w:pPr>
      <w:r w:rsidRPr="00CE0882">
        <w:rPr>
          <w:rFonts w:ascii="Arial" w:hAnsi="Arial" w:cs="Arial"/>
          <w:b/>
          <w:bCs/>
        </w:rPr>
        <w:t>Leaf Length(cm):</w:t>
      </w:r>
    </w:p>
    <w:p w14:paraId="0CD18168" w14:textId="77777777" w:rsidR="00CE0882" w:rsidRPr="00CE0882" w:rsidRDefault="00CE0882" w:rsidP="00CE0882">
      <w:pPr>
        <w:pStyle w:val="Body"/>
        <w:rPr>
          <w:rFonts w:ascii="Arial" w:hAnsi="Arial" w:cs="Arial"/>
        </w:rPr>
      </w:pPr>
      <w:r w:rsidRPr="00CE0882">
        <w:rPr>
          <w:rFonts w:ascii="Arial" w:hAnsi="Arial" w:cs="Arial"/>
        </w:rPr>
        <w:t>Leaf length was significantly influenced by treatments. T</w:t>
      </w:r>
      <w:r w:rsidRPr="00CE0882">
        <w:rPr>
          <w:rFonts w:ascii="Cambria Math" w:hAnsi="Cambria Math" w:cs="Cambria Math"/>
        </w:rPr>
        <w:t>₄</w:t>
      </w:r>
      <w:r w:rsidRPr="00CE0882">
        <w:rPr>
          <w:rFonts w:ascii="Arial" w:hAnsi="Arial" w:cs="Arial"/>
        </w:rPr>
        <w:t>(20.4cm) recorded the highest leaf length, followed by T</w:t>
      </w:r>
      <w:r w:rsidRPr="00CE0882">
        <w:rPr>
          <w:rFonts w:ascii="Cambria Math" w:hAnsi="Cambria Math" w:cs="Cambria Math"/>
        </w:rPr>
        <w:t>₃</w:t>
      </w:r>
      <w:r w:rsidRPr="00CE0882">
        <w:rPr>
          <w:rFonts w:ascii="Arial" w:hAnsi="Arial" w:cs="Arial"/>
        </w:rPr>
        <w:t>(18.9cm) and T</w:t>
      </w:r>
      <w:r w:rsidRPr="00CE0882">
        <w:rPr>
          <w:rFonts w:ascii="Cambria Math" w:hAnsi="Cambria Math" w:cs="Cambria Math"/>
        </w:rPr>
        <w:t>₂</w:t>
      </w:r>
      <w:r w:rsidRPr="00CE0882">
        <w:rPr>
          <w:rFonts w:ascii="Arial" w:hAnsi="Arial" w:cs="Arial"/>
        </w:rPr>
        <w:t>(17.4cm), while T</w:t>
      </w:r>
      <w:r w:rsidRPr="00CE0882">
        <w:rPr>
          <w:rFonts w:ascii="Cambria Math" w:hAnsi="Cambria Math" w:cs="Cambria Math"/>
        </w:rPr>
        <w:t>₁</w:t>
      </w:r>
      <w:r w:rsidRPr="00CE0882">
        <w:rPr>
          <w:rFonts w:ascii="Arial" w:hAnsi="Arial" w:cs="Arial"/>
        </w:rPr>
        <w:t xml:space="preserve">(16cm) showed moderate improvement compared to control. Increased leaf length in treated plants may be attributed to improved nutrient uptake and enhanced photosynthetic activity stimulated by bioactive compounds present in seaweed extracts. Similar improvements in vegetative growth and physiological parameters in vegetable crops treated with seaweed extract were reported by (Lefi </w:t>
      </w:r>
      <w:r w:rsidRPr="004E52F5">
        <w:rPr>
          <w:rFonts w:ascii="Arial" w:hAnsi="Arial" w:cs="Arial"/>
          <w:i/>
          <w:iCs/>
        </w:rPr>
        <w:t>et al.,</w:t>
      </w:r>
      <w:r w:rsidRPr="00CE0882">
        <w:rPr>
          <w:rFonts w:ascii="Arial" w:hAnsi="Arial" w:cs="Arial"/>
        </w:rPr>
        <w:t xml:space="preserve"> 2023).</w:t>
      </w:r>
    </w:p>
    <w:p w14:paraId="5C5E3624" w14:textId="77777777" w:rsidR="00CE0882" w:rsidRPr="00CE0882" w:rsidRDefault="00CE0882" w:rsidP="00CE0882">
      <w:pPr>
        <w:pStyle w:val="Body"/>
        <w:rPr>
          <w:rFonts w:ascii="Arial" w:hAnsi="Arial" w:cs="Arial"/>
          <w:b/>
          <w:bCs/>
        </w:rPr>
      </w:pPr>
      <w:r w:rsidRPr="00CE0882">
        <w:rPr>
          <w:rFonts w:ascii="Arial" w:hAnsi="Arial" w:cs="Arial"/>
          <w:b/>
          <w:bCs/>
        </w:rPr>
        <w:t>Leaf width(cm):</w:t>
      </w:r>
    </w:p>
    <w:p w14:paraId="6CBFAD40" w14:textId="254FE83C" w:rsidR="00EC7B7E" w:rsidRDefault="00CE0882" w:rsidP="00CE0882">
      <w:pPr>
        <w:pStyle w:val="Body"/>
        <w:spacing w:after="0"/>
        <w:rPr>
          <w:rFonts w:ascii="Arial" w:hAnsi="Arial" w:cs="Arial"/>
        </w:rPr>
      </w:pPr>
      <w:r w:rsidRPr="00CE0882">
        <w:rPr>
          <w:rFonts w:ascii="Arial" w:hAnsi="Arial" w:cs="Arial"/>
        </w:rPr>
        <w:t>Leaf width followed a similar trend as leaf length. T</w:t>
      </w:r>
      <w:r w:rsidRPr="00CE0882">
        <w:rPr>
          <w:rFonts w:ascii="Cambria Math" w:hAnsi="Cambria Math" w:cs="Cambria Math"/>
        </w:rPr>
        <w:t>₄</w:t>
      </w:r>
      <w:r w:rsidRPr="00CE0882">
        <w:rPr>
          <w:rFonts w:ascii="Arial" w:hAnsi="Arial" w:cs="Arial"/>
        </w:rPr>
        <w:t>(15cm) recorded maximum leaf width, followed by T</w:t>
      </w:r>
      <w:r w:rsidRPr="00CE0882">
        <w:rPr>
          <w:rFonts w:ascii="Cambria Math" w:hAnsi="Cambria Math" w:cs="Cambria Math"/>
        </w:rPr>
        <w:t>₃</w:t>
      </w:r>
      <w:r w:rsidRPr="00CE0882">
        <w:rPr>
          <w:rFonts w:ascii="Arial" w:hAnsi="Arial" w:cs="Arial"/>
        </w:rPr>
        <w:t>(13.5cm) and T</w:t>
      </w:r>
      <w:r w:rsidRPr="00CE0882">
        <w:rPr>
          <w:rFonts w:ascii="Cambria Math" w:hAnsi="Cambria Math" w:cs="Cambria Math"/>
        </w:rPr>
        <w:t>₂</w:t>
      </w:r>
      <w:r w:rsidRPr="00CE0882">
        <w:rPr>
          <w:rFonts w:ascii="Arial" w:hAnsi="Arial" w:cs="Arial"/>
        </w:rPr>
        <w:t>(12.6cm), whereas T</w:t>
      </w:r>
      <w:r w:rsidRPr="00CE0882">
        <w:rPr>
          <w:rFonts w:ascii="Cambria Math" w:hAnsi="Cambria Math" w:cs="Cambria Math"/>
        </w:rPr>
        <w:t>₁</w:t>
      </w:r>
      <w:r w:rsidRPr="00CE0882">
        <w:rPr>
          <w:rFonts w:ascii="Arial" w:hAnsi="Arial" w:cs="Arial"/>
        </w:rPr>
        <w:t>(11.8cm) recorded moderate values compared to control. The lowest leaf width was observed in T</w:t>
      </w:r>
      <w:r w:rsidRPr="00CE0882">
        <w:rPr>
          <w:rFonts w:ascii="Cambria Math" w:hAnsi="Cambria Math" w:cs="Cambria Math"/>
        </w:rPr>
        <w:t>₀</w:t>
      </w:r>
      <w:r w:rsidRPr="00CE0882">
        <w:rPr>
          <w:rFonts w:ascii="Arial" w:hAnsi="Arial" w:cs="Arial"/>
        </w:rPr>
        <w:t xml:space="preserve">(11cm). Increased leaf expansion improves photosynthetic surface area, which contributes to improved plant growth and biomass accumulation. Seaweed extracts are known to stimulate vegetative growth and improve physiological traits in vegetable crops due to the presence of plant growth regulators and bioactive compounds (Subramaniyan </w:t>
      </w:r>
      <w:r w:rsidRPr="004E52F5">
        <w:rPr>
          <w:rFonts w:ascii="Arial" w:hAnsi="Arial" w:cs="Arial"/>
          <w:i/>
          <w:iCs/>
        </w:rPr>
        <w:t>et al.,</w:t>
      </w:r>
      <w:r w:rsidRPr="00CE0882">
        <w:rPr>
          <w:rFonts w:ascii="Arial" w:hAnsi="Arial" w:cs="Arial"/>
        </w:rPr>
        <w:t xml:space="preserve"> 2023).</w:t>
      </w:r>
    </w:p>
    <w:p w14:paraId="3DE9780A" w14:textId="77777777" w:rsidR="00CE0882" w:rsidRPr="00CE0882" w:rsidRDefault="00CE0882" w:rsidP="00CE0882">
      <w:pPr>
        <w:pStyle w:val="Body"/>
        <w:spacing w:after="0"/>
        <w:rPr>
          <w:rFonts w:ascii="Arial" w:hAnsi="Arial" w:cs="Arial"/>
          <w:b/>
          <w:bCs/>
        </w:rPr>
      </w:pPr>
    </w:p>
    <w:p w14:paraId="2666E828" w14:textId="77777777" w:rsidR="00CE0882" w:rsidRPr="00CE0882" w:rsidRDefault="00CE0882" w:rsidP="00CE0882">
      <w:pPr>
        <w:pStyle w:val="Body"/>
        <w:rPr>
          <w:rFonts w:ascii="Arial" w:hAnsi="Arial" w:cs="Arial"/>
          <w:b/>
          <w:bCs/>
        </w:rPr>
      </w:pPr>
      <w:r w:rsidRPr="00CE0882">
        <w:rPr>
          <w:rFonts w:ascii="Arial" w:hAnsi="Arial" w:cs="Arial"/>
          <w:b/>
          <w:bCs/>
        </w:rPr>
        <w:t>Reproductive Attributes:</w:t>
      </w:r>
    </w:p>
    <w:p w14:paraId="54E5094B" w14:textId="77777777" w:rsidR="00CE0882" w:rsidRPr="00CE0882" w:rsidRDefault="00CE0882" w:rsidP="00CE0882">
      <w:pPr>
        <w:pStyle w:val="Body"/>
        <w:rPr>
          <w:rFonts w:ascii="Arial" w:hAnsi="Arial" w:cs="Arial"/>
        </w:rPr>
      </w:pPr>
      <w:r w:rsidRPr="00CE0882">
        <w:rPr>
          <w:rFonts w:ascii="Arial" w:hAnsi="Arial" w:cs="Arial"/>
        </w:rPr>
        <w:t xml:space="preserve">The reproductive attributes like days to flowering, days to flowering, and fruits per branch, which are influenced by foliar application of seaweed extract and soil drenching of azotobacter in Brinjal cv. Navina are mentioned in table 2. </w:t>
      </w:r>
    </w:p>
    <w:p w14:paraId="08BE744D" w14:textId="71A25603" w:rsidR="00CE0882" w:rsidRDefault="00CE0882" w:rsidP="00CE0882">
      <w:pPr>
        <w:pStyle w:val="Body"/>
        <w:spacing w:after="0"/>
        <w:rPr>
          <w:rFonts w:ascii="Arial" w:hAnsi="Arial" w:cs="Arial"/>
        </w:rPr>
      </w:pPr>
      <w:r w:rsidRPr="00CE0882">
        <w:rPr>
          <w:rFonts w:ascii="Arial" w:hAnsi="Arial" w:cs="Arial"/>
          <w:b/>
          <w:bCs/>
        </w:rPr>
        <w:t>Table 2:</w:t>
      </w:r>
      <w:r w:rsidRPr="00CE0882">
        <w:rPr>
          <w:rFonts w:ascii="Arial" w:hAnsi="Arial" w:cs="Arial"/>
        </w:rPr>
        <w:t xml:space="preserve"> Effects of Seaweed extract and Azotobacter on reproduction attributes of Brinjal cv. Navina</w:t>
      </w:r>
    </w:p>
    <w:p w14:paraId="4AEEFE99" w14:textId="77777777" w:rsidR="00EC7B7E" w:rsidRDefault="00EC7B7E" w:rsidP="00441B6F">
      <w:pPr>
        <w:pStyle w:val="Body"/>
        <w:spacing w:after="0"/>
        <w:rPr>
          <w:rFonts w:ascii="Arial" w:hAnsi="Arial" w:cs="Arial"/>
        </w:rPr>
      </w:pPr>
    </w:p>
    <w:tbl>
      <w:tblPr>
        <w:tblStyle w:val="TableGridLight"/>
        <w:tblW w:w="7787" w:type="dxa"/>
        <w:tblLook w:val="04A0" w:firstRow="1" w:lastRow="0" w:firstColumn="1" w:lastColumn="0" w:noHBand="0" w:noVBand="1"/>
      </w:tblPr>
      <w:tblGrid>
        <w:gridCol w:w="1600"/>
        <w:gridCol w:w="1880"/>
        <w:gridCol w:w="2220"/>
        <w:gridCol w:w="2087"/>
      </w:tblGrid>
      <w:tr w:rsidR="00CE0882" w:rsidRPr="00630930" w14:paraId="47D75190" w14:textId="77777777" w:rsidTr="00A37AB4">
        <w:trPr>
          <w:trHeight w:val="300"/>
        </w:trPr>
        <w:tc>
          <w:tcPr>
            <w:tcW w:w="1600" w:type="dxa"/>
            <w:hideMark/>
          </w:tcPr>
          <w:p w14:paraId="735D63E0"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Treatment</w:t>
            </w:r>
          </w:p>
        </w:tc>
        <w:tc>
          <w:tcPr>
            <w:tcW w:w="1880" w:type="dxa"/>
            <w:hideMark/>
          </w:tcPr>
          <w:p w14:paraId="60CD7D30"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Days to Flowering</w:t>
            </w:r>
          </w:p>
        </w:tc>
        <w:tc>
          <w:tcPr>
            <w:tcW w:w="2220" w:type="dxa"/>
            <w:hideMark/>
          </w:tcPr>
          <w:p w14:paraId="46487B2B"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Days to Fruiting</w:t>
            </w:r>
          </w:p>
        </w:tc>
        <w:tc>
          <w:tcPr>
            <w:tcW w:w="2087" w:type="dxa"/>
            <w:hideMark/>
          </w:tcPr>
          <w:p w14:paraId="65AA0D91"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Fruits per Branch</w:t>
            </w:r>
          </w:p>
        </w:tc>
      </w:tr>
      <w:tr w:rsidR="00CE0882" w:rsidRPr="00630930" w14:paraId="75E5C527" w14:textId="77777777" w:rsidTr="00A37AB4">
        <w:trPr>
          <w:trHeight w:val="370"/>
        </w:trPr>
        <w:tc>
          <w:tcPr>
            <w:tcW w:w="1600" w:type="dxa"/>
            <w:hideMark/>
          </w:tcPr>
          <w:p w14:paraId="2A60CBA5"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T₀</w:t>
            </w:r>
          </w:p>
        </w:tc>
        <w:tc>
          <w:tcPr>
            <w:tcW w:w="1880" w:type="dxa"/>
            <w:hideMark/>
          </w:tcPr>
          <w:p w14:paraId="5E71339C"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42</w:t>
            </w:r>
          </w:p>
        </w:tc>
        <w:tc>
          <w:tcPr>
            <w:tcW w:w="2220" w:type="dxa"/>
            <w:hideMark/>
          </w:tcPr>
          <w:p w14:paraId="37D5CA21"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56</w:t>
            </w:r>
          </w:p>
        </w:tc>
        <w:tc>
          <w:tcPr>
            <w:tcW w:w="2087" w:type="dxa"/>
            <w:hideMark/>
          </w:tcPr>
          <w:p w14:paraId="1FB82164"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w:t>
            </w:r>
          </w:p>
        </w:tc>
      </w:tr>
      <w:tr w:rsidR="00CE0882" w:rsidRPr="00630930" w14:paraId="5D0D3840" w14:textId="77777777" w:rsidTr="00A37AB4">
        <w:trPr>
          <w:trHeight w:val="370"/>
        </w:trPr>
        <w:tc>
          <w:tcPr>
            <w:tcW w:w="1600" w:type="dxa"/>
            <w:hideMark/>
          </w:tcPr>
          <w:p w14:paraId="0AC9627B"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T₁</w:t>
            </w:r>
          </w:p>
        </w:tc>
        <w:tc>
          <w:tcPr>
            <w:tcW w:w="1880" w:type="dxa"/>
            <w:hideMark/>
          </w:tcPr>
          <w:p w14:paraId="6AD3BF27"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39</w:t>
            </w:r>
          </w:p>
        </w:tc>
        <w:tc>
          <w:tcPr>
            <w:tcW w:w="2220" w:type="dxa"/>
            <w:hideMark/>
          </w:tcPr>
          <w:p w14:paraId="58593D64"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53</w:t>
            </w:r>
          </w:p>
        </w:tc>
        <w:tc>
          <w:tcPr>
            <w:tcW w:w="2087" w:type="dxa"/>
            <w:hideMark/>
          </w:tcPr>
          <w:p w14:paraId="729519D7"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w:t>
            </w:r>
          </w:p>
        </w:tc>
      </w:tr>
      <w:tr w:rsidR="00CE0882" w:rsidRPr="00630930" w14:paraId="7726C92B" w14:textId="77777777" w:rsidTr="00A37AB4">
        <w:trPr>
          <w:trHeight w:val="370"/>
        </w:trPr>
        <w:tc>
          <w:tcPr>
            <w:tcW w:w="1600" w:type="dxa"/>
            <w:hideMark/>
          </w:tcPr>
          <w:p w14:paraId="5F33E5DC"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T₂</w:t>
            </w:r>
          </w:p>
        </w:tc>
        <w:tc>
          <w:tcPr>
            <w:tcW w:w="1880" w:type="dxa"/>
            <w:hideMark/>
          </w:tcPr>
          <w:p w14:paraId="6506175D"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37</w:t>
            </w:r>
          </w:p>
        </w:tc>
        <w:tc>
          <w:tcPr>
            <w:tcW w:w="2220" w:type="dxa"/>
            <w:hideMark/>
          </w:tcPr>
          <w:p w14:paraId="35BB40F3"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51</w:t>
            </w:r>
          </w:p>
        </w:tc>
        <w:tc>
          <w:tcPr>
            <w:tcW w:w="2087" w:type="dxa"/>
            <w:hideMark/>
          </w:tcPr>
          <w:p w14:paraId="6BB76EE9"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6</w:t>
            </w:r>
          </w:p>
        </w:tc>
      </w:tr>
      <w:tr w:rsidR="00CE0882" w:rsidRPr="00630930" w14:paraId="51AFCAC7" w14:textId="77777777" w:rsidTr="00A37AB4">
        <w:trPr>
          <w:trHeight w:val="370"/>
        </w:trPr>
        <w:tc>
          <w:tcPr>
            <w:tcW w:w="1600" w:type="dxa"/>
            <w:hideMark/>
          </w:tcPr>
          <w:p w14:paraId="26005F73"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T₃</w:t>
            </w:r>
          </w:p>
        </w:tc>
        <w:tc>
          <w:tcPr>
            <w:tcW w:w="1880" w:type="dxa"/>
            <w:hideMark/>
          </w:tcPr>
          <w:p w14:paraId="775A76BF"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35</w:t>
            </w:r>
          </w:p>
        </w:tc>
        <w:tc>
          <w:tcPr>
            <w:tcW w:w="2220" w:type="dxa"/>
            <w:hideMark/>
          </w:tcPr>
          <w:p w14:paraId="648A7186"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49</w:t>
            </w:r>
          </w:p>
        </w:tc>
        <w:tc>
          <w:tcPr>
            <w:tcW w:w="2087" w:type="dxa"/>
            <w:hideMark/>
          </w:tcPr>
          <w:p w14:paraId="2E321080"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7</w:t>
            </w:r>
          </w:p>
        </w:tc>
      </w:tr>
      <w:tr w:rsidR="00CE0882" w:rsidRPr="00630930" w14:paraId="11DEB35B" w14:textId="77777777" w:rsidTr="00A37AB4">
        <w:trPr>
          <w:trHeight w:val="380"/>
        </w:trPr>
        <w:tc>
          <w:tcPr>
            <w:tcW w:w="1600" w:type="dxa"/>
            <w:hideMark/>
          </w:tcPr>
          <w:p w14:paraId="60030AAF"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lastRenderedPageBreak/>
              <w:t>T₄</w:t>
            </w:r>
          </w:p>
        </w:tc>
        <w:tc>
          <w:tcPr>
            <w:tcW w:w="1880" w:type="dxa"/>
            <w:hideMark/>
          </w:tcPr>
          <w:p w14:paraId="6FBDC5F8"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33</w:t>
            </w:r>
          </w:p>
        </w:tc>
        <w:tc>
          <w:tcPr>
            <w:tcW w:w="2220" w:type="dxa"/>
            <w:hideMark/>
          </w:tcPr>
          <w:p w14:paraId="5E60B899"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47</w:t>
            </w:r>
          </w:p>
        </w:tc>
        <w:tc>
          <w:tcPr>
            <w:tcW w:w="2087" w:type="dxa"/>
            <w:hideMark/>
          </w:tcPr>
          <w:p w14:paraId="3F96A903"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9</w:t>
            </w:r>
          </w:p>
        </w:tc>
      </w:tr>
      <w:tr w:rsidR="00A37AB4" w:rsidRPr="00630930" w14:paraId="22D94999" w14:textId="77777777" w:rsidTr="00A37AB4">
        <w:trPr>
          <w:trHeight w:val="380"/>
        </w:trPr>
        <w:tc>
          <w:tcPr>
            <w:tcW w:w="1600" w:type="dxa"/>
          </w:tcPr>
          <w:p w14:paraId="703C6A4E" w14:textId="7A465D20" w:rsidR="00A37AB4" w:rsidRPr="00630930" w:rsidRDefault="00A37AB4" w:rsidP="00A37AB4">
            <w:pPr>
              <w:jc w:val="center"/>
              <w:rPr>
                <w:rFonts w:ascii="Times New Roman" w:hAnsi="Times New Roman"/>
                <w:color w:val="000000"/>
                <w:sz w:val="28"/>
                <w:szCs w:val="28"/>
                <w:lang w:eastAsia="en-IN"/>
              </w:rPr>
            </w:pPr>
            <w:r w:rsidRPr="00A37AB4">
              <w:rPr>
                <w:rFonts w:ascii="Times New Roman" w:hAnsi="Times New Roman"/>
                <w:color w:val="000000"/>
                <w:highlight w:val="yellow"/>
                <w:lang w:eastAsia="en-IN"/>
              </w:rPr>
              <w:t>S.E m+</w:t>
            </w:r>
          </w:p>
        </w:tc>
        <w:tc>
          <w:tcPr>
            <w:tcW w:w="1880" w:type="dxa"/>
          </w:tcPr>
          <w:p w14:paraId="58C717B6" w14:textId="3B2737CB" w:rsidR="00A37AB4" w:rsidRPr="004023A0" w:rsidRDefault="00687D3B"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0.616</w:t>
            </w:r>
          </w:p>
        </w:tc>
        <w:tc>
          <w:tcPr>
            <w:tcW w:w="2220" w:type="dxa"/>
          </w:tcPr>
          <w:p w14:paraId="68E5982D" w14:textId="67E71D97" w:rsidR="00A37AB4" w:rsidRPr="004023A0" w:rsidRDefault="005D5976"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0.896</w:t>
            </w:r>
          </w:p>
        </w:tc>
        <w:tc>
          <w:tcPr>
            <w:tcW w:w="2087" w:type="dxa"/>
          </w:tcPr>
          <w:p w14:paraId="4B0BE83D" w14:textId="365D956C" w:rsidR="00A37AB4" w:rsidRPr="004023A0" w:rsidRDefault="004023A0"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0.194</w:t>
            </w:r>
          </w:p>
        </w:tc>
      </w:tr>
      <w:tr w:rsidR="00A37AB4" w:rsidRPr="00630930" w14:paraId="652A6FFA" w14:textId="77777777" w:rsidTr="00A37AB4">
        <w:trPr>
          <w:trHeight w:val="380"/>
        </w:trPr>
        <w:tc>
          <w:tcPr>
            <w:tcW w:w="1600" w:type="dxa"/>
          </w:tcPr>
          <w:p w14:paraId="57166584" w14:textId="786F938D" w:rsidR="00A37AB4" w:rsidRPr="00630930" w:rsidRDefault="00A37AB4" w:rsidP="00A37AB4">
            <w:pPr>
              <w:jc w:val="center"/>
              <w:rPr>
                <w:rFonts w:ascii="Times New Roman" w:hAnsi="Times New Roman"/>
                <w:color w:val="000000"/>
                <w:sz w:val="28"/>
                <w:szCs w:val="28"/>
                <w:lang w:eastAsia="en-IN"/>
              </w:rPr>
            </w:pPr>
            <w:r w:rsidRPr="00A37AB4">
              <w:rPr>
                <w:rFonts w:ascii="Times New Roman" w:hAnsi="Times New Roman"/>
                <w:color w:val="000000"/>
                <w:highlight w:val="yellow"/>
                <w:lang w:eastAsia="en-IN"/>
              </w:rPr>
              <w:t>CD at 5%</w:t>
            </w:r>
          </w:p>
        </w:tc>
        <w:tc>
          <w:tcPr>
            <w:tcW w:w="1880" w:type="dxa"/>
          </w:tcPr>
          <w:p w14:paraId="11415E09" w14:textId="663CE8AC" w:rsidR="00A37AB4" w:rsidRPr="004023A0" w:rsidRDefault="00687D3B"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1.205</w:t>
            </w:r>
          </w:p>
        </w:tc>
        <w:tc>
          <w:tcPr>
            <w:tcW w:w="2220" w:type="dxa"/>
          </w:tcPr>
          <w:p w14:paraId="13C13406" w14:textId="4C067C59" w:rsidR="00A37AB4" w:rsidRPr="004023A0" w:rsidRDefault="005D5976"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1.683</w:t>
            </w:r>
          </w:p>
        </w:tc>
        <w:tc>
          <w:tcPr>
            <w:tcW w:w="2087" w:type="dxa"/>
          </w:tcPr>
          <w:p w14:paraId="75F578DB" w14:textId="09536CAE" w:rsidR="00A37AB4" w:rsidRPr="004023A0" w:rsidRDefault="004023A0"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0.841</w:t>
            </w:r>
          </w:p>
        </w:tc>
      </w:tr>
    </w:tbl>
    <w:p w14:paraId="395976C4" w14:textId="77777777" w:rsidR="00EC7B7E" w:rsidRDefault="00EC7B7E" w:rsidP="00441B6F">
      <w:pPr>
        <w:pStyle w:val="Body"/>
        <w:spacing w:after="0"/>
        <w:rPr>
          <w:rFonts w:ascii="Arial" w:hAnsi="Arial" w:cs="Arial"/>
        </w:rPr>
      </w:pPr>
    </w:p>
    <w:p w14:paraId="3B50CF1B" w14:textId="77777777" w:rsidR="00EC7B7E" w:rsidRDefault="00EC7B7E" w:rsidP="00441B6F">
      <w:pPr>
        <w:pStyle w:val="Body"/>
        <w:spacing w:after="0"/>
        <w:rPr>
          <w:rFonts w:ascii="Arial" w:hAnsi="Arial" w:cs="Arial"/>
        </w:rPr>
      </w:pPr>
    </w:p>
    <w:p w14:paraId="7ED4EF41" w14:textId="77777777" w:rsidR="00116F7C" w:rsidRPr="00116F7C" w:rsidRDefault="00116F7C" w:rsidP="00116F7C">
      <w:pPr>
        <w:pStyle w:val="Body"/>
        <w:rPr>
          <w:rFonts w:ascii="Arial" w:hAnsi="Arial" w:cs="Arial"/>
          <w:b/>
          <w:bCs/>
        </w:rPr>
      </w:pPr>
      <w:r w:rsidRPr="00116F7C">
        <w:rPr>
          <w:rFonts w:ascii="Arial" w:hAnsi="Arial" w:cs="Arial"/>
          <w:b/>
          <w:bCs/>
        </w:rPr>
        <w:t>Days of Flowering:</w:t>
      </w:r>
    </w:p>
    <w:p w14:paraId="49EB7A43" w14:textId="77777777" w:rsidR="00116F7C" w:rsidRPr="00116F7C" w:rsidRDefault="00116F7C" w:rsidP="00116F7C">
      <w:pPr>
        <w:pStyle w:val="Body"/>
        <w:rPr>
          <w:rFonts w:ascii="Arial" w:hAnsi="Arial" w:cs="Arial"/>
        </w:rPr>
      </w:pPr>
      <w:r w:rsidRPr="00116F7C">
        <w:rPr>
          <w:rFonts w:ascii="Arial" w:hAnsi="Arial" w:cs="Arial"/>
        </w:rPr>
        <w:t>Application of seaweed extract and Azotobacter reduced the number of days required for flowering in brinjal. T</w:t>
      </w:r>
      <w:r w:rsidRPr="00116F7C">
        <w:rPr>
          <w:rFonts w:ascii="Cambria Math" w:hAnsi="Cambria Math" w:cs="Cambria Math"/>
        </w:rPr>
        <w:t>₄</w:t>
      </w:r>
      <w:r w:rsidRPr="00116F7C">
        <w:rPr>
          <w:rFonts w:ascii="Arial" w:hAnsi="Arial" w:cs="Arial"/>
        </w:rPr>
        <w:t>(33) recorded earliest flowering, followed by T</w:t>
      </w:r>
      <w:r w:rsidRPr="00116F7C">
        <w:rPr>
          <w:rFonts w:ascii="Cambria Math" w:hAnsi="Cambria Math" w:cs="Cambria Math"/>
        </w:rPr>
        <w:t>₃</w:t>
      </w:r>
      <w:r w:rsidRPr="00116F7C">
        <w:rPr>
          <w:rFonts w:ascii="Arial" w:hAnsi="Arial" w:cs="Arial"/>
        </w:rPr>
        <w:t>(35) and T</w:t>
      </w:r>
      <w:r w:rsidRPr="00116F7C">
        <w:rPr>
          <w:rFonts w:ascii="Cambria Math" w:hAnsi="Cambria Math" w:cs="Cambria Math"/>
        </w:rPr>
        <w:t>₂</w:t>
      </w:r>
      <w:r w:rsidRPr="00116F7C">
        <w:rPr>
          <w:rFonts w:ascii="Arial" w:hAnsi="Arial" w:cs="Arial"/>
        </w:rPr>
        <w:t>(37), while T</w:t>
      </w:r>
      <w:r w:rsidRPr="00116F7C">
        <w:rPr>
          <w:rFonts w:ascii="Cambria Math" w:hAnsi="Cambria Math" w:cs="Cambria Math"/>
        </w:rPr>
        <w:t>₀</w:t>
      </w:r>
      <w:r w:rsidRPr="00116F7C">
        <w:rPr>
          <w:rFonts w:ascii="Arial" w:hAnsi="Arial" w:cs="Arial"/>
        </w:rPr>
        <w:t xml:space="preserve">(42) required maximum days to flowering. Early flowering in treated plants might be due to growth hormones present in seaweed extract, which regulate plant developmental processes (Dookie </w:t>
      </w:r>
      <w:r w:rsidRPr="004E52F5">
        <w:rPr>
          <w:rFonts w:ascii="Arial" w:hAnsi="Arial" w:cs="Arial"/>
          <w:i/>
          <w:iCs/>
        </w:rPr>
        <w:t>et al.,</w:t>
      </w:r>
      <w:r w:rsidRPr="00116F7C">
        <w:rPr>
          <w:rFonts w:ascii="Arial" w:hAnsi="Arial" w:cs="Arial"/>
        </w:rPr>
        <w:t xml:space="preserve"> 2021).</w:t>
      </w:r>
    </w:p>
    <w:p w14:paraId="69BE3AAC" w14:textId="77777777" w:rsidR="00116F7C" w:rsidRPr="00116F7C" w:rsidRDefault="00116F7C" w:rsidP="00116F7C">
      <w:pPr>
        <w:pStyle w:val="Body"/>
        <w:rPr>
          <w:rFonts w:ascii="Arial" w:hAnsi="Arial" w:cs="Arial"/>
          <w:b/>
          <w:bCs/>
        </w:rPr>
      </w:pPr>
      <w:r w:rsidRPr="00116F7C">
        <w:rPr>
          <w:rFonts w:ascii="Arial" w:hAnsi="Arial" w:cs="Arial"/>
          <w:b/>
          <w:bCs/>
        </w:rPr>
        <w:t>Days to Fruiting:</w:t>
      </w:r>
    </w:p>
    <w:p w14:paraId="41DDCCA0" w14:textId="4397D004" w:rsidR="00116F7C" w:rsidRPr="00116F7C" w:rsidRDefault="00116F7C" w:rsidP="00116F7C">
      <w:pPr>
        <w:pStyle w:val="Body"/>
        <w:rPr>
          <w:rFonts w:ascii="Arial" w:hAnsi="Arial" w:cs="Arial"/>
        </w:rPr>
      </w:pPr>
      <w:r w:rsidRPr="00116F7C">
        <w:rPr>
          <w:rFonts w:ascii="Arial" w:hAnsi="Arial" w:cs="Arial"/>
        </w:rPr>
        <w:t>Days to fruiting were significantly reduced with combined treatments. T</w:t>
      </w:r>
      <w:r w:rsidRPr="00116F7C">
        <w:rPr>
          <w:rFonts w:ascii="Cambria Math" w:hAnsi="Cambria Math" w:cs="Cambria Math"/>
        </w:rPr>
        <w:t>₄</w:t>
      </w:r>
      <w:r w:rsidRPr="00116F7C">
        <w:rPr>
          <w:rFonts w:ascii="Arial" w:hAnsi="Arial" w:cs="Arial"/>
        </w:rPr>
        <w:t xml:space="preserve"> (47) showed the earliest fruit set, followed by T</w:t>
      </w:r>
      <w:r w:rsidRPr="00116F7C">
        <w:rPr>
          <w:rFonts w:ascii="Cambria Math" w:hAnsi="Cambria Math" w:cs="Cambria Math"/>
        </w:rPr>
        <w:t>₃</w:t>
      </w:r>
      <w:r w:rsidRPr="00116F7C">
        <w:rPr>
          <w:rFonts w:ascii="Arial" w:hAnsi="Arial" w:cs="Arial"/>
        </w:rPr>
        <w:t xml:space="preserve"> (49) and T</w:t>
      </w:r>
      <w:r w:rsidRPr="00116F7C">
        <w:rPr>
          <w:rFonts w:ascii="Cambria Math" w:hAnsi="Cambria Math" w:cs="Cambria Math"/>
        </w:rPr>
        <w:t>₂</w:t>
      </w:r>
      <w:r w:rsidRPr="00116F7C">
        <w:rPr>
          <w:rFonts w:ascii="Arial" w:hAnsi="Arial" w:cs="Arial"/>
        </w:rPr>
        <w:t xml:space="preserve"> (51), while control plants recorded the longest duration to fruiting. Improved nutrient availability and enhanced metabolic activity may have accelerated reproductive development. Enhanced fruit development and improved crop performance under the application of seaweed – based bio stimulants have also been demonstrations in earlier studies (Rana </w:t>
      </w:r>
      <w:r w:rsidRPr="008F2B4F">
        <w:rPr>
          <w:rFonts w:ascii="Arial" w:hAnsi="Arial" w:cs="Arial"/>
          <w:i/>
          <w:iCs/>
        </w:rPr>
        <w:t>et al.</w:t>
      </w:r>
      <w:r w:rsidR="008F2B4F" w:rsidRPr="008F2B4F">
        <w:rPr>
          <w:rFonts w:ascii="Arial" w:hAnsi="Arial" w:cs="Arial"/>
          <w:i/>
          <w:iCs/>
        </w:rPr>
        <w:t>,</w:t>
      </w:r>
      <w:r w:rsidRPr="00116F7C">
        <w:rPr>
          <w:rFonts w:ascii="Arial" w:hAnsi="Arial" w:cs="Arial"/>
        </w:rPr>
        <w:t xml:space="preserve"> 2023).</w:t>
      </w:r>
    </w:p>
    <w:p w14:paraId="74FFDE6E" w14:textId="77777777" w:rsidR="00116F7C" w:rsidRPr="00116F7C" w:rsidRDefault="00116F7C" w:rsidP="00116F7C">
      <w:pPr>
        <w:pStyle w:val="Body"/>
        <w:rPr>
          <w:rFonts w:ascii="Arial" w:hAnsi="Arial" w:cs="Arial"/>
          <w:b/>
          <w:bCs/>
        </w:rPr>
      </w:pPr>
      <w:r w:rsidRPr="00116F7C">
        <w:rPr>
          <w:rFonts w:ascii="Arial" w:hAnsi="Arial" w:cs="Arial"/>
          <w:b/>
          <w:bCs/>
        </w:rPr>
        <w:t>Fruits per Branch:</w:t>
      </w:r>
    </w:p>
    <w:p w14:paraId="170506AB" w14:textId="77777777" w:rsidR="00116F7C" w:rsidRPr="00116F7C" w:rsidRDefault="00116F7C" w:rsidP="00116F7C">
      <w:pPr>
        <w:pStyle w:val="Body"/>
        <w:rPr>
          <w:rFonts w:ascii="Arial" w:hAnsi="Arial" w:cs="Arial"/>
        </w:rPr>
      </w:pPr>
      <w:r w:rsidRPr="00116F7C">
        <w:rPr>
          <w:rFonts w:ascii="Arial" w:hAnsi="Arial" w:cs="Arial"/>
        </w:rPr>
        <w:t>The maximum number of fruits per branch was recorded in T</w:t>
      </w:r>
      <w:r w:rsidRPr="00116F7C">
        <w:rPr>
          <w:rFonts w:ascii="Cambria Math" w:hAnsi="Cambria Math" w:cs="Cambria Math"/>
        </w:rPr>
        <w:t>₄</w:t>
      </w:r>
      <w:r w:rsidRPr="00116F7C">
        <w:rPr>
          <w:rFonts w:ascii="Arial" w:hAnsi="Arial" w:cs="Arial"/>
        </w:rPr>
        <w:t>(9), followed by T</w:t>
      </w:r>
      <w:r w:rsidRPr="00116F7C">
        <w:rPr>
          <w:rFonts w:ascii="Cambria Math" w:hAnsi="Cambria Math" w:cs="Cambria Math"/>
        </w:rPr>
        <w:t>₃</w:t>
      </w:r>
      <w:r w:rsidRPr="00116F7C">
        <w:rPr>
          <w:rFonts w:ascii="Arial" w:hAnsi="Arial" w:cs="Arial"/>
        </w:rPr>
        <w:t>(7) and T</w:t>
      </w:r>
      <w:r w:rsidRPr="00116F7C">
        <w:rPr>
          <w:rFonts w:ascii="Cambria Math" w:hAnsi="Cambria Math" w:cs="Cambria Math"/>
        </w:rPr>
        <w:t>₂</w:t>
      </w:r>
      <w:r w:rsidRPr="00116F7C">
        <w:rPr>
          <w:rFonts w:ascii="Arial" w:hAnsi="Arial" w:cs="Arial"/>
        </w:rPr>
        <w:t>(6), while T</w:t>
      </w:r>
      <w:r w:rsidRPr="00116F7C">
        <w:rPr>
          <w:rFonts w:ascii="Cambria Math" w:hAnsi="Cambria Math" w:cs="Cambria Math"/>
        </w:rPr>
        <w:t>₁</w:t>
      </w:r>
      <w:r w:rsidRPr="00116F7C">
        <w:rPr>
          <w:rFonts w:ascii="Arial" w:hAnsi="Arial" w:cs="Arial"/>
        </w:rPr>
        <w:t xml:space="preserve">(5) showed moderate improvement compared to control. Increased fruit set in treated plants might be due to improved flower retention and better nutrient supply during reproductive stages. Seaweed-based biofertilizers are known to promote flowering and fruit development by improving plant physiological processes and nutrient uptake, thereby increasing yield components (Salih, 2025). </w:t>
      </w:r>
    </w:p>
    <w:p w14:paraId="36DD8665" w14:textId="77777777" w:rsidR="00116F7C" w:rsidRPr="00116F7C" w:rsidRDefault="00116F7C" w:rsidP="00116F7C">
      <w:pPr>
        <w:pStyle w:val="Body"/>
        <w:rPr>
          <w:rFonts w:ascii="Arial" w:hAnsi="Arial" w:cs="Arial"/>
          <w:b/>
          <w:bCs/>
        </w:rPr>
      </w:pPr>
      <w:r w:rsidRPr="00116F7C">
        <w:rPr>
          <w:rFonts w:ascii="Arial" w:hAnsi="Arial" w:cs="Arial"/>
          <w:b/>
          <w:bCs/>
        </w:rPr>
        <w:t>Yield Attributes:</w:t>
      </w:r>
    </w:p>
    <w:p w14:paraId="6B7993FA" w14:textId="77777777" w:rsidR="00116F7C" w:rsidRPr="00116F7C" w:rsidRDefault="00116F7C" w:rsidP="00116F7C">
      <w:pPr>
        <w:pStyle w:val="Body"/>
        <w:rPr>
          <w:rFonts w:ascii="Arial" w:hAnsi="Arial" w:cs="Arial"/>
        </w:rPr>
      </w:pPr>
      <w:r w:rsidRPr="00116F7C">
        <w:rPr>
          <w:rFonts w:ascii="Arial" w:hAnsi="Arial" w:cs="Arial"/>
        </w:rPr>
        <w:t>The yield attributes like fruit weight(g), fruit volume(cm3), fruit length (cm), yield per plant(kg), which were affected by the foliar application of seaweed extract and soil drenching of azotobacter in Brinjal cv. Navina mentioned in table 3.</w:t>
      </w:r>
    </w:p>
    <w:p w14:paraId="7DE2E4A6" w14:textId="322EBC02" w:rsidR="00EC7B7E" w:rsidRDefault="00116F7C" w:rsidP="00116F7C">
      <w:pPr>
        <w:pStyle w:val="Body"/>
        <w:spacing w:after="0"/>
        <w:rPr>
          <w:rFonts w:ascii="Arial" w:hAnsi="Arial" w:cs="Arial"/>
        </w:rPr>
      </w:pPr>
      <w:r w:rsidRPr="00116F7C">
        <w:rPr>
          <w:rFonts w:ascii="Arial" w:hAnsi="Arial" w:cs="Arial"/>
          <w:b/>
          <w:bCs/>
        </w:rPr>
        <w:t>Table 3:</w:t>
      </w:r>
      <w:r w:rsidRPr="00116F7C">
        <w:rPr>
          <w:rFonts w:ascii="Arial" w:hAnsi="Arial" w:cs="Arial"/>
        </w:rPr>
        <w:t xml:space="preserve"> Effects of Seaweed extract and Azotobacter on yield attributes of Brinjal cv. Navina</w:t>
      </w:r>
    </w:p>
    <w:p w14:paraId="15E863E9" w14:textId="77777777" w:rsidR="00EC7B7E" w:rsidRDefault="00EC7B7E" w:rsidP="00441B6F">
      <w:pPr>
        <w:pStyle w:val="Body"/>
        <w:spacing w:after="0"/>
        <w:rPr>
          <w:rFonts w:ascii="Arial" w:hAnsi="Arial" w:cs="Arial"/>
        </w:rPr>
      </w:pPr>
    </w:p>
    <w:tbl>
      <w:tblPr>
        <w:tblStyle w:val="TableGridLight"/>
        <w:tblpPr w:leftFromText="180" w:rightFromText="180" w:vertAnchor="text" w:horzAnchor="margin" w:tblpY="4"/>
        <w:tblW w:w="9742" w:type="dxa"/>
        <w:tblLook w:val="04A0" w:firstRow="1" w:lastRow="0" w:firstColumn="1" w:lastColumn="0" w:noHBand="0" w:noVBand="1"/>
      </w:tblPr>
      <w:tblGrid>
        <w:gridCol w:w="1537"/>
        <w:gridCol w:w="1806"/>
        <w:gridCol w:w="2133"/>
        <w:gridCol w:w="1960"/>
        <w:gridCol w:w="2306"/>
      </w:tblGrid>
      <w:tr w:rsidR="00FD0D2E" w:rsidRPr="00630930" w14:paraId="398DDA5E" w14:textId="77777777" w:rsidTr="002A4AAC">
        <w:trPr>
          <w:trHeight w:val="547"/>
        </w:trPr>
        <w:tc>
          <w:tcPr>
            <w:tcW w:w="1537" w:type="dxa"/>
            <w:hideMark/>
          </w:tcPr>
          <w:p w14:paraId="763852C7"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Treatment</w:t>
            </w:r>
          </w:p>
        </w:tc>
        <w:tc>
          <w:tcPr>
            <w:tcW w:w="1806" w:type="dxa"/>
            <w:hideMark/>
          </w:tcPr>
          <w:p w14:paraId="69CCA15D"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Fruit Weight (g)</w:t>
            </w:r>
          </w:p>
        </w:tc>
        <w:tc>
          <w:tcPr>
            <w:tcW w:w="2133" w:type="dxa"/>
            <w:hideMark/>
          </w:tcPr>
          <w:p w14:paraId="6A575D66"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Fruit Volume (cm³)</w:t>
            </w:r>
          </w:p>
        </w:tc>
        <w:tc>
          <w:tcPr>
            <w:tcW w:w="1960" w:type="dxa"/>
            <w:hideMark/>
          </w:tcPr>
          <w:p w14:paraId="34A7127C" w14:textId="77777777" w:rsidR="00FD0D2E" w:rsidRPr="00630930" w:rsidRDefault="00FD0D2E" w:rsidP="00FD0D2E">
            <w:pPr>
              <w:jc w:val="center"/>
              <w:rPr>
                <w:rFonts w:ascii="Times New Roman" w:hAnsi="Times New Roman"/>
                <w:b/>
                <w:bCs/>
                <w:color w:val="000000"/>
                <w:lang w:eastAsia="en-IN"/>
              </w:rPr>
            </w:pPr>
            <w:r>
              <w:rPr>
                <w:rFonts w:ascii="Times New Roman" w:hAnsi="Times New Roman"/>
                <w:b/>
                <w:bCs/>
                <w:color w:val="000000"/>
                <w:lang w:eastAsia="en-IN"/>
              </w:rPr>
              <w:t>Fruit Length(cm</w:t>
            </w:r>
            <w:r w:rsidRPr="00630930">
              <w:rPr>
                <w:rFonts w:ascii="Times New Roman" w:hAnsi="Times New Roman"/>
                <w:b/>
                <w:bCs/>
                <w:color w:val="000000"/>
                <w:lang w:eastAsia="en-IN"/>
              </w:rPr>
              <w:t>)</w:t>
            </w:r>
          </w:p>
        </w:tc>
        <w:tc>
          <w:tcPr>
            <w:tcW w:w="2306" w:type="dxa"/>
            <w:hideMark/>
          </w:tcPr>
          <w:p w14:paraId="087CDF44"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Yield per Plant (kg)</w:t>
            </w:r>
          </w:p>
        </w:tc>
      </w:tr>
      <w:tr w:rsidR="00FD0D2E" w:rsidRPr="00630930" w14:paraId="260019A0" w14:textId="77777777" w:rsidTr="002A4AAC">
        <w:trPr>
          <w:trHeight w:val="397"/>
        </w:trPr>
        <w:tc>
          <w:tcPr>
            <w:tcW w:w="1537" w:type="dxa"/>
            <w:hideMark/>
          </w:tcPr>
          <w:p w14:paraId="11FF1780"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T₀</w:t>
            </w:r>
          </w:p>
        </w:tc>
        <w:tc>
          <w:tcPr>
            <w:tcW w:w="1806" w:type="dxa"/>
            <w:hideMark/>
          </w:tcPr>
          <w:p w14:paraId="02354AB1"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84</w:t>
            </w:r>
          </w:p>
        </w:tc>
        <w:tc>
          <w:tcPr>
            <w:tcW w:w="2133" w:type="dxa"/>
            <w:hideMark/>
          </w:tcPr>
          <w:p w14:paraId="517F1CD3"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78</w:t>
            </w:r>
          </w:p>
        </w:tc>
        <w:tc>
          <w:tcPr>
            <w:tcW w:w="1960" w:type="dxa"/>
            <w:hideMark/>
          </w:tcPr>
          <w:p w14:paraId="1481B129"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10.1</w:t>
            </w:r>
          </w:p>
        </w:tc>
        <w:tc>
          <w:tcPr>
            <w:tcW w:w="2306" w:type="dxa"/>
            <w:hideMark/>
          </w:tcPr>
          <w:p w14:paraId="4E762897"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2.3</w:t>
            </w:r>
          </w:p>
        </w:tc>
      </w:tr>
      <w:tr w:rsidR="00FD0D2E" w:rsidRPr="00630930" w14:paraId="32DE5523" w14:textId="77777777" w:rsidTr="002A4AAC">
        <w:trPr>
          <w:trHeight w:val="397"/>
        </w:trPr>
        <w:tc>
          <w:tcPr>
            <w:tcW w:w="1537" w:type="dxa"/>
            <w:hideMark/>
          </w:tcPr>
          <w:p w14:paraId="6CE3D0C3"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T₁</w:t>
            </w:r>
          </w:p>
        </w:tc>
        <w:tc>
          <w:tcPr>
            <w:tcW w:w="1806" w:type="dxa"/>
            <w:hideMark/>
          </w:tcPr>
          <w:p w14:paraId="7ACCA72C"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95</w:t>
            </w:r>
          </w:p>
        </w:tc>
        <w:tc>
          <w:tcPr>
            <w:tcW w:w="2133" w:type="dxa"/>
            <w:hideMark/>
          </w:tcPr>
          <w:p w14:paraId="18363733"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88</w:t>
            </w:r>
          </w:p>
        </w:tc>
        <w:tc>
          <w:tcPr>
            <w:tcW w:w="1960" w:type="dxa"/>
            <w:hideMark/>
          </w:tcPr>
          <w:p w14:paraId="72F06EE0"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10.6</w:t>
            </w:r>
          </w:p>
        </w:tc>
        <w:tc>
          <w:tcPr>
            <w:tcW w:w="2306" w:type="dxa"/>
            <w:hideMark/>
          </w:tcPr>
          <w:p w14:paraId="0CDA6EEE"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2.75</w:t>
            </w:r>
          </w:p>
        </w:tc>
      </w:tr>
      <w:tr w:rsidR="00FD0D2E" w:rsidRPr="00630930" w14:paraId="54B83D4E" w14:textId="77777777" w:rsidTr="002A4AAC">
        <w:trPr>
          <w:trHeight w:val="397"/>
        </w:trPr>
        <w:tc>
          <w:tcPr>
            <w:tcW w:w="1537" w:type="dxa"/>
            <w:hideMark/>
          </w:tcPr>
          <w:p w14:paraId="1674EDCB"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T₂</w:t>
            </w:r>
          </w:p>
        </w:tc>
        <w:tc>
          <w:tcPr>
            <w:tcW w:w="1806" w:type="dxa"/>
            <w:hideMark/>
          </w:tcPr>
          <w:p w14:paraId="1ED34290"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108</w:t>
            </w:r>
          </w:p>
        </w:tc>
        <w:tc>
          <w:tcPr>
            <w:tcW w:w="2133" w:type="dxa"/>
            <w:hideMark/>
          </w:tcPr>
          <w:p w14:paraId="29AD628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99</w:t>
            </w:r>
          </w:p>
        </w:tc>
        <w:tc>
          <w:tcPr>
            <w:tcW w:w="1960" w:type="dxa"/>
            <w:hideMark/>
          </w:tcPr>
          <w:p w14:paraId="7BA9DB89"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11</w:t>
            </w:r>
          </w:p>
        </w:tc>
        <w:tc>
          <w:tcPr>
            <w:tcW w:w="2306" w:type="dxa"/>
            <w:hideMark/>
          </w:tcPr>
          <w:p w14:paraId="3E5818B2"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3.25</w:t>
            </w:r>
          </w:p>
        </w:tc>
      </w:tr>
      <w:tr w:rsidR="00FD0D2E" w:rsidRPr="00630930" w14:paraId="3852F05F" w14:textId="77777777" w:rsidTr="002A4AAC">
        <w:trPr>
          <w:trHeight w:val="397"/>
        </w:trPr>
        <w:tc>
          <w:tcPr>
            <w:tcW w:w="1537" w:type="dxa"/>
            <w:hideMark/>
          </w:tcPr>
          <w:p w14:paraId="3B14AE9B"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T₃</w:t>
            </w:r>
          </w:p>
        </w:tc>
        <w:tc>
          <w:tcPr>
            <w:tcW w:w="1806" w:type="dxa"/>
            <w:hideMark/>
          </w:tcPr>
          <w:p w14:paraId="237B3EE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122</w:t>
            </w:r>
          </w:p>
        </w:tc>
        <w:tc>
          <w:tcPr>
            <w:tcW w:w="2133" w:type="dxa"/>
            <w:hideMark/>
          </w:tcPr>
          <w:p w14:paraId="4A2938E0"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112</w:t>
            </w:r>
          </w:p>
        </w:tc>
        <w:tc>
          <w:tcPr>
            <w:tcW w:w="1960" w:type="dxa"/>
            <w:hideMark/>
          </w:tcPr>
          <w:p w14:paraId="2A77C71D"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11.5</w:t>
            </w:r>
          </w:p>
        </w:tc>
        <w:tc>
          <w:tcPr>
            <w:tcW w:w="2306" w:type="dxa"/>
            <w:hideMark/>
          </w:tcPr>
          <w:p w14:paraId="501E5FED"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4</w:t>
            </w:r>
          </w:p>
        </w:tc>
      </w:tr>
      <w:tr w:rsidR="00FD0D2E" w:rsidRPr="00630930" w14:paraId="06A05328" w14:textId="77777777" w:rsidTr="002A4AAC">
        <w:trPr>
          <w:trHeight w:val="408"/>
        </w:trPr>
        <w:tc>
          <w:tcPr>
            <w:tcW w:w="1537" w:type="dxa"/>
            <w:hideMark/>
          </w:tcPr>
          <w:p w14:paraId="60DC4E37"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T₄</w:t>
            </w:r>
          </w:p>
        </w:tc>
        <w:tc>
          <w:tcPr>
            <w:tcW w:w="1806" w:type="dxa"/>
            <w:hideMark/>
          </w:tcPr>
          <w:p w14:paraId="7EB18EC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138</w:t>
            </w:r>
          </w:p>
        </w:tc>
        <w:tc>
          <w:tcPr>
            <w:tcW w:w="2133" w:type="dxa"/>
            <w:hideMark/>
          </w:tcPr>
          <w:p w14:paraId="7CBFAA0E"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126</w:t>
            </w:r>
          </w:p>
        </w:tc>
        <w:tc>
          <w:tcPr>
            <w:tcW w:w="1960" w:type="dxa"/>
            <w:hideMark/>
          </w:tcPr>
          <w:p w14:paraId="5FEBD0CC"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12.1</w:t>
            </w:r>
          </w:p>
        </w:tc>
        <w:tc>
          <w:tcPr>
            <w:tcW w:w="2306" w:type="dxa"/>
            <w:hideMark/>
          </w:tcPr>
          <w:p w14:paraId="74B609BB"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5</w:t>
            </w:r>
          </w:p>
        </w:tc>
      </w:tr>
      <w:tr w:rsidR="00571DA1" w:rsidRPr="00973421" w14:paraId="22AE46AA" w14:textId="77777777" w:rsidTr="002A4AAC">
        <w:trPr>
          <w:trHeight w:val="408"/>
        </w:trPr>
        <w:tc>
          <w:tcPr>
            <w:tcW w:w="1537" w:type="dxa"/>
          </w:tcPr>
          <w:p w14:paraId="2425459E" w14:textId="06BC05D2" w:rsidR="00571DA1" w:rsidRPr="00973421" w:rsidRDefault="00571DA1" w:rsidP="00571DA1">
            <w:pPr>
              <w:jc w:val="center"/>
              <w:rPr>
                <w:rFonts w:ascii="Times New Roman" w:hAnsi="Times New Roman"/>
                <w:color w:val="000000"/>
                <w:sz w:val="28"/>
                <w:szCs w:val="28"/>
                <w:highlight w:val="yellow"/>
                <w:lang w:eastAsia="en-IN"/>
              </w:rPr>
            </w:pPr>
            <w:r w:rsidRPr="00973421">
              <w:rPr>
                <w:rFonts w:ascii="Times New Roman" w:hAnsi="Times New Roman"/>
                <w:color w:val="000000"/>
                <w:highlight w:val="yellow"/>
                <w:lang w:eastAsia="en-IN"/>
              </w:rPr>
              <w:lastRenderedPageBreak/>
              <w:t>S.E m+</w:t>
            </w:r>
          </w:p>
        </w:tc>
        <w:tc>
          <w:tcPr>
            <w:tcW w:w="1806" w:type="dxa"/>
          </w:tcPr>
          <w:p w14:paraId="44EC7D43" w14:textId="7C99353F"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0.286</w:t>
            </w:r>
          </w:p>
        </w:tc>
        <w:tc>
          <w:tcPr>
            <w:tcW w:w="2133" w:type="dxa"/>
          </w:tcPr>
          <w:p w14:paraId="3F8E5C64" w14:textId="0E3FBF43"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0.238</w:t>
            </w:r>
          </w:p>
        </w:tc>
        <w:tc>
          <w:tcPr>
            <w:tcW w:w="1960" w:type="dxa"/>
          </w:tcPr>
          <w:p w14:paraId="537B3521" w14:textId="6931DD8A" w:rsidR="00571DA1" w:rsidRPr="00973421" w:rsidRDefault="004F107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0.325</w:t>
            </w:r>
          </w:p>
        </w:tc>
        <w:tc>
          <w:tcPr>
            <w:tcW w:w="2306" w:type="dxa"/>
          </w:tcPr>
          <w:p w14:paraId="38B213CC" w14:textId="1256FDE5" w:rsidR="00571DA1" w:rsidRPr="00973421" w:rsidRDefault="00DB1EA2"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36.201</w:t>
            </w:r>
          </w:p>
        </w:tc>
      </w:tr>
      <w:tr w:rsidR="00571DA1" w:rsidRPr="00630930" w14:paraId="1F771741" w14:textId="77777777" w:rsidTr="002A4AAC">
        <w:trPr>
          <w:trHeight w:val="408"/>
        </w:trPr>
        <w:tc>
          <w:tcPr>
            <w:tcW w:w="1537" w:type="dxa"/>
          </w:tcPr>
          <w:p w14:paraId="153278CC" w14:textId="76380142" w:rsidR="00571DA1" w:rsidRPr="00973421" w:rsidRDefault="00571DA1" w:rsidP="00571DA1">
            <w:pPr>
              <w:jc w:val="center"/>
              <w:rPr>
                <w:rFonts w:ascii="Times New Roman" w:hAnsi="Times New Roman"/>
                <w:color w:val="000000"/>
                <w:sz w:val="28"/>
                <w:szCs w:val="28"/>
                <w:highlight w:val="yellow"/>
                <w:lang w:eastAsia="en-IN"/>
              </w:rPr>
            </w:pPr>
            <w:r w:rsidRPr="00973421">
              <w:rPr>
                <w:rFonts w:ascii="Times New Roman" w:hAnsi="Times New Roman"/>
                <w:color w:val="000000"/>
                <w:highlight w:val="yellow"/>
                <w:lang w:eastAsia="en-IN"/>
              </w:rPr>
              <w:t>CD at 5%</w:t>
            </w:r>
          </w:p>
        </w:tc>
        <w:tc>
          <w:tcPr>
            <w:tcW w:w="1806" w:type="dxa"/>
          </w:tcPr>
          <w:p w14:paraId="4C50F0B1" w14:textId="1B4159D7"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1.137</w:t>
            </w:r>
          </w:p>
        </w:tc>
        <w:tc>
          <w:tcPr>
            <w:tcW w:w="2133" w:type="dxa"/>
          </w:tcPr>
          <w:p w14:paraId="582E942F" w14:textId="40F8A6F9"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0.981</w:t>
            </w:r>
          </w:p>
        </w:tc>
        <w:tc>
          <w:tcPr>
            <w:tcW w:w="1960" w:type="dxa"/>
          </w:tcPr>
          <w:p w14:paraId="0DF7BFC5" w14:textId="60AFE4F5" w:rsidR="00571DA1" w:rsidRPr="00973421" w:rsidRDefault="004F107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w:t>
            </w:r>
            <w:r w:rsidR="00DB1EA2" w:rsidRPr="00973421">
              <w:rPr>
                <w:rFonts w:ascii="Times New Roman" w:hAnsi="Times New Roman"/>
                <w:color w:val="000000"/>
                <w:highlight w:val="yellow"/>
                <w:lang w:eastAsia="en-IN"/>
              </w:rPr>
              <w:t>.217</w:t>
            </w:r>
          </w:p>
        </w:tc>
        <w:tc>
          <w:tcPr>
            <w:tcW w:w="2306" w:type="dxa"/>
          </w:tcPr>
          <w:p w14:paraId="7484A33B" w14:textId="5D30E7B7" w:rsidR="00571DA1" w:rsidRPr="00630930" w:rsidRDefault="00973421" w:rsidP="00571DA1">
            <w:pPr>
              <w:jc w:val="center"/>
              <w:rPr>
                <w:rFonts w:ascii="Times New Roman" w:hAnsi="Times New Roman"/>
                <w:color w:val="000000"/>
                <w:lang w:eastAsia="en-IN"/>
              </w:rPr>
            </w:pPr>
            <w:r w:rsidRPr="00973421">
              <w:rPr>
                <w:rFonts w:ascii="Times New Roman" w:hAnsi="Times New Roman"/>
                <w:color w:val="000000"/>
                <w:highlight w:val="yellow"/>
                <w:lang w:eastAsia="en-IN"/>
              </w:rPr>
              <w:t>60.857</w:t>
            </w:r>
          </w:p>
        </w:tc>
      </w:tr>
    </w:tbl>
    <w:p w14:paraId="03F9D552" w14:textId="77777777" w:rsidR="00EC7B7E" w:rsidRDefault="00EC7B7E" w:rsidP="00441B6F">
      <w:pPr>
        <w:pStyle w:val="Body"/>
        <w:spacing w:after="0"/>
        <w:rPr>
          <w:rFonts w:ascii="Arial" w:hAnsi="Arial" w:cs="Arial"/>
        </w:rPr>
      </w:pPr>
    </w:p>
    <w:p w14:paraId="5BB8C8E3" w14:textId="77777777" w:rsidR="00FD0D2E" w:rsidRPr="008F2B4F" w:rsidRDefault="00FD0D2E" w:rsidP="00FD0D2E">
      <w:pPr>
        <w:pStyle w:val="Body"/>
        <w:rPr>
          <w:rFonts w:ascii="Arial" w:hAnsi="Arial" w:cs="Arial"/>
          <w:b/>
          <w:bCs/>
        </w:rPr>
      </w:pPr>
      <w:r w:rsidRPr="008F2B4F">
        <w:rPr>
          <w:rFonts w:ascii="Arial" w:hAnsi="Arial" w:cs="Arial"/>
          <w:b/>
          <w:bCs/>
        </w:rPr>
        <w:t>Fruit Weight(g):</w:t>
      </w:r>
    </w:p>
    <w:p w14:paraId="5AFFA52C" w14:textId="77777777" w:rsidR="00FD0D2E" w:rsidRPr="00FD0D2E" w:rsidRDefault="00FD0D2E" w:rsidP="00FD0D2E">
      <w:pPr>
        <w:pStyle w:val="Body"/>
        <w:rPr>
          <w:rFonts w:ascii="Arial" w:hAnsi="Arial" w:cs="Arial"/>
        </w:rPr>
      </w:pPr>
      <w:r w:rsidRPr="00FD0D2E">
        <w:rPr>
          <w:rFonts w:ascii="Arial" w:hAnsi="Arial" w:cs="Arial"/>
        </w:rPr>
        <w:t>Fruit weight increased significantly with increasing treatment intensity. T</w:t>
      </w:r>
      <w:r w:rsidRPr="00FD0D2E">
        <w:rPr>
          <w:rFonts w:ascii="Cambria Math" w:hAnsi="Cambria Math" w:cs="Cambria Math"/>
        </w:rPr>
        <w:t>₄</w:t>
      </w:r>
      <w:r w:rsidRPr="00FD0D2E">
        <w:rPr>
          <w:rFonts w:ascii="Arial" w:hAnsi="Arial" w:cs="Arial"/>
        </w:rPr>
        <w:t>(138g) recorded the highest fruit weight, followed by T</w:t>
      </w:r>
      <w:r w:rsidRPr="00FD0D2E">
        <w:rPr>
          <w:rFonts w:ascii="Cambria Math" w:hAnsi="Cambria Math" w:cs="Cambria Math"/>
        </w:rPr>
        <w:t>₃</w:t>
      </w:r>
      <w:r w:rsidRPr="00FD0D2E">
        <w:rPr>
          <w:rFonts w:ascii="Arial" w:hAnsi="Arial" w:cs="Arial"/>
        </w:rPr>
        <w:t>(122g) and T</w:t>
      </w:r>
      <w:r w:rsidRPr="00FD0D2E">
        <w:rPr>
          <w:rFonts w:ascii="Cambria Math" w:hAnsi="Cambria Math" w:cs="Cambria Math"/>
        </w:rPr>
        <w:t>₂</w:t>
      </w:r>
      <w:r w:rsidRPr="00FD0D2E">
        <w:rPr>
          <w:rFonts w:ascii="Arial" w:hAnsi="Arial" w:cs="Arial"/>
        </w:rPr>
        <w:t>(108g), whereas T</w:t>
      </w:r>
      <w:r w:rsidRPr="00FD0D2E">
        <w:rPr>
          <w:rFonts w:ascii="Cambria Math" w:hAnsi="Cambria Math" w:cs="Cambria Math"/>
        </w:rPr>
        <w:t>₀</w:t>
      </w:r>
      <w:r w:rsidRPr="00FD0D2E">
        <w:rPr>
          <w:rFonts w:ascii="Arial" w:hAnsi="Arial" w:cs="Arial"/>
        </w:rPr>
        <w:t xml:space="preserve">(85g) produced the lowest fruit weight. Improved nutrient uptake and enhanced photosynthetic activity under combined treatments may have contributed to larger fruits (Jamili </w:t>
      </w:r>
      <w:r w:rsidRPr="008F2B4F">
        <w:rPr>
          <w:rFonts w:ascii="Arial" w:hAnsi="Arial" w:cs="Arial"/>
          <w:i/>
          <w:iCs/>
        </w:rPr>
        <w:t>et al.,</w:t>
      </w:r>
      <w:r w:rsidRPr="00FD0D2E">
        <w:rPr>
          <w:rFonts w:ascii="Arial" w:hAnsi="Arial" w:cs="Arial"/>
        </w:rPr>
        <w:t xml:space="preserve"> 2022).</w:t>
      </w:r>
    </w:p>
    <w:p w14:paraId="1C707ABA" w14:textId="77777777" w:rsidR="00FD0D2E" w:rsidRPr="008F2B4F" w:rsidRDefault="00FD0D2E" w:rsidP="00FD0D2E">
      <w:pPr>
        <w:pStyle w:val="Body"/>
        <w:rPr>
          <w:rFonts w:ascii="Arial" w:hAnsi="Arial" w:cs="Arial"/>
          <w:b/>
          <w:bCs/>
        </w:rPr>
      </w:pPr>
      <w:r w:rsidRPr="008F2B4F">
        <w:rPr>
          <w:rFonts w:ascii="Arial" w:hAnsi="Arial" w:cs="Arial"/>
          <w:b/>
          <w:bCs/>
        </w:rPr>
        <w:t>Fruit Volume(cm</w:t>
      </w:r>
      <w:r w:rsidRPr="008F2B4F">
        <w:rPr>
          <w:rFonts w:ascii="Arial" w:hAnsi="Arial" w:cs="Arial"/>
          <w:b/>
          <w:bCs/>
          <w:vertAlign w:val="superscript"/>
        </w:rPr>
        <w:t>3</w:t>
      </w:r>
      <w:r w:rsidRPr="008F2B4F">
        <w:rPr>
          <w:rFonts w:ascii="Arial" w:hAnsi="Arial" w:cs="Arial"/>
          <w:b/>
          <w:bCs/>
        </w:rPr>
        <w:t>):</w:t>
      </w:r>
    </w:p>
    <w:p w14:paraId="22210112" w14:textId="77777777" w:rsidR="00FD0D2E" w:rsidRPr="00FD0D2E" w:rsidRDefault="00FD0D2E" w:rsidP="00FD0D2E">
      <w:pPr>
        <w:pStyle w:val="Body"/>
        <w:rPr>
          <w:rFonts w:ascii="Arial" w:hAnsi="Arial" w:cs="Arial"/>
        </w:rPr>
      </w:pPr>
      <w:r w:rsidRPr="00FD0D2E">
        <w:rPr>
          <w:rFonts w:ascii="Arial" w:hAnsi="Arial" w:cs="Arial"/>
        </w:rPr>
        <w:t>Fruit volume followed the same trend as fruit weight. T</w:t>
      </w:r>
      <w:r w:rsidRPr="00FD0D2E">
        <w:rPr>
          <w:rFonts w:ascii="Cambria Math" w:hAnsi="Cambria Math" w:cs="Cambria Math"/>
        </w:rPr>
        <w:t>₄</w:t>
      </w:r>
      <w:r w:rsidRPr="00FD0D2E">
        <w:rPr>
          <w:rFonts w:ascii="Arial" w:hAnsi="Arial" w:cs="Arial"/>
        </w:rPr>
        <w:t xml:space="preserve"> (126 cm³) recorded maximum fruit volume, followed by T</w:t>
      </w:r>
      <w:r w:rsidRPr="00FD0D2E">
        <w:rPr>
          <w:rFonts w:ascii="Cambria Math" w:hAnsi="Cambria Math" w:cs="Cambria Math"/>
        </w:rPr>
        <w:t>₃</w:t>
      </w:r>
      <w:r w:rsidRPr="00FD0D2E">
        <w:rPr>
          <w:rFonts w:ascii="Arial" w:hAnsi="Arial" w:cs="Arial"/>
        </w:rPr>
        <w:t xml:space="preserve"> (112 cm³) and T</w:t>
      </w:r>
      <w:r w:rsidRPr="00FD0D2E">
        <w:rPr>
          <w:rFonts w:ascii="Cambria Math" w:hAnsi="Cambria Math" w:cs="Cambria Math"/>
        </w:rPr>
        <w:t>₂</w:t>
      </w:r>
      <w:r w:rsidRPr="00FD0D2E">
        <w:rPr>
          <w:rFonts w:ascii="Arial" w:hAnsi="Arial" w:cs="Arial"/>
        </w:rPr>
        <w:t xml:space="preserve"> (99 cm³), while T</w:t>
      </w:r>
      <w:r w:rsidRPr="00FD0D2E">
        <w:rPr>
          <w:rFonts w:ascii="Cambria Math" w:hAnsi="Cambria Math" w:cs="Cambria Math"/>
        </w:rPr>
        <w:t>₀</w:t>
      </w:r>
      <w:r w:rsidRPr="00FD0D2E">
        <w:rPr>
          <w:rFonts w:ascii="Arial" w:hAnsi="Arial" w:cs="Arial"/>
        </w:rPr>
        <w:t xml:space="preserve"> (78 cm³) control plants produced smaller fruits. Increased fruit size under integrated treatments may be attributed to improved nutrient availability and enhanced physiological activity, which promote better fruit development and assimilate translocation. Comparable enhancement in fruit yield parameters using integrated nutrient management practices involving biofertilizers such as azotobacter (Bura </w:t>
      </w:r>
      <w:r w:rsidRPr="007357E8">
        <w:rPr>
          <w:rFonts w:ascii="Arial" w:hAnsi="Arial" w:cs="Arial"/>
          <w:i/>
          <w:iCs/>
        </w:rPr>
        <w:t>et al.,</w:t>
      </w:r>
      <w:r w:rsidRPr="00FD0D2E">
        <w:rPr>
          <w:rFonts w:ascii="Arial" w:hAnsi="Arial" w:cs="Arial"/>
        </w:rPr>
        <w:t xml:space="preserve"> 2025,). </w:t>
      </w:r>
    </w:p>
    <w:p w14:paraId="6732DEA9" w14:textId="77777777" w:rsidR="00FD0D2E" w:rsidRPr="00FD0D2E" w:rsidRDefault="00FD0D2E" w:rsidP="00FD0D2E">
      <w:pPr>
        <w:pStyle w:val="Body"/>
        <w:rPr>
          <w:rFonts w:ascii="Arial" w:hAnsi="Arial" w:cs="Arial"/>
          <w:b/>
          <w:bCs/>
        </w:rPr>
      </w:pPr>
      <w:r w:rsidRPr="00FD0D2E">
        <w:rPr>
          <w:rFonts w:ascii="Arial" w:hAnsi="Arial" w:cs="Arial"/>
          <w:b/>
          <w:bCs/>
        </w:rPr>
        <w:t>Fruit Length(cm):</w:t>
      </w:r>
    </w:p>
    <w:p w14:paraId="2594F268" w14:textId="77777777" w:rsidR="00FD0D2E" w:rsidRPr="00FD0D2E" w:rsidRDefault="00FD0D2E" w:rsidP="00FD0D2E">
      <w:pPr>
        <w:pStyle w:val="Body"/>
        <w:rPr>
          <w:rFonts w:ascii="Arial" w:hAnsi="Arial" w:cs="Arial"/>
        </w:rPr>
      </w:pPr>
      <w:r w:rsidRPr="00FD0D2E">
        <w:rPr>
          <w:rFonts w:ascii="Arial" w:hAnsi="Arial" w:cs="Arial"/>
        </w:rPr>
        <w:t xml:space="preserve">Fruit length of brinjal was significantly influenced by the application of seaweed extract and azotobacter. Among the treatments, T4 (12.1cm) recorded the maximum fruit length followed by T3 (11.5cm) and T2 (11 cm). Moderate improvement was observed in T1 (10.6cm) compared to the control. The increases in fruit length under combined treatment may be attributed to enhanced nutrient availability, improved hormonal balance, and increased photosynthetic activity promoted by seaweed extract and nitrogen – fixing ability of azotobacter (Shabani </w:t>
      </w:r>
      <w:r w:rsidRPr="007357E8">
        <w:rPr>
          <w:rFonts w:ascii="Arial" w:hAnsi="Arial" w:cs="Arial"/>
          <w:i/>
          <w:iCs/>
        </w:rPr>
        <w:t>et al.,</w:t>
      </w:r>
      <w:r w:rsidRPr="00FD0D2E">
        <w:rPr>
          <w:rFonts w:ascii="Arial" w:hAnsi="Arial" w:cs="Arial"/>
        </w:rPr>
        <w:t xml:space="preserve"> 2023).</w:t>
      </w:r>
    </w:p>
    <w:p w14:paraId="5E2440AB" w14:textId="77777777" w:rsidR="00FD0D2E" w:rsidRPr="00FD0D2E" w:rsidRDefault="00FD0D2E" w:rsidP="00FD0D2E">
      <w:pPr>
        <w:pStyle w:val="Body"/>
        <w:rPr>
          <w:rFonts w:ascii="Arial" w:hAnsi="Arial" w:cs="Arial"/>
          <w:b/>
          <w:bCs/>
        </w:rPr>
      </w:pPr>
      <w:r w:rsidRPr="00FD0D2E">
        <w:rPr>
          <w:rFonts w:ascii="Arial" w:hAnsi="Arial" w:cs="Arial"/>
          <w:b/>
          <w:bCs/>
        </w:rPr>
        <w:t>Yield per Plant(kg):</w:t>
      </w:r>
    </w:p>
    <w:p w14:paraId="0403C129" w14:textId="73DABECE" w:rsidR="00EC7B7E" w:rsidRDefault="00FD0D2E" w:rsidP="00441B6F">
      <w:pPr>
        <w:pStyle w:val="Body"/>
        <w:spacing w:after="0"/>
        <w:rPr>
          <w:rFonts w:ascii="Arial" w:hAnsi="Arial" w:cs="Arial"/>
        </w:rPr>
      </w:pPr>
      <w:r w:rsidRPr="00FD0D2E">
        <w:rPr>
          <w:rFonts w:ascii="Arial" w:hAnsi="Arial" w:cs="Arial"/>
        </w:rPr>
        <w:t>Yield per plant was significantly higher in combined treatments. T</w:t>
      </w:r>
      <w:r w:rsidRPr="00FD0D2E">
        <w:rPr>
          <w:rFonts w:ascii="Cambria Math" w:hAnsi="Cambria Math" w:cs="Cambria Math"/>
        </w:rPr>
        <w:t>₄</w:t>
      </w:r>
      <w:r w:rsidRPr="00FD0D2E">
        <w:rPr>
          <w:rFonts w:ascii="Arial" w:hAnsi="Arial" w:cs="Arial"/>
        </w:rPr>
        <w:t>(5kg) recorded maximum yield, followed by T</w:t>
      </w:r>
      <w:r w:rsidRPr="00FD0D2E">
        <w:rPr>
          <w:rFonts w:ascii="Cambria Math" w:hAnsi="Cambria Math" w:cs="Cambria Math"/>
        </w:rPr>
        <w:t>₃</w:t>
      </w:r>
      <w:r w:rsidRPr="00FD0D2E">
        <w:rPr>
          <w:rFonts w:ascii="Arial" w:hAnsi="Arial" w:cs="Arial"/>
        </w:rPr>
        <w:t>(4kg) and T</w:t>
      </w:r>
      <w:r w:rsidRPr="00FD0D2E">
        <w:rPr>
          <w:rFonts w:ascii="Cambria Math" w:hAnsi="Cambria Math" w:cs="Cambria Math"/>
        </w:rPr>
        <w:t>₂</w:t>
      </w:r>
      <w:r w:rsidRPr="00FD0D2E">
        <w:rPr>
          <w:rFonts w:ascii="Arial" w:hAnsi="Arial" w:cs="Arial"/>
        </w:rPr>
        <w:t>(3.25kg), while T</w:t>
      </w:r>
      <w:r w:rsidRPr="00FD0D2E">
        <w:rPr>
          <w:rFonts w:ascii="Cambria Math" w:hAnsi="Cambria Math" w:cs="Cambria Math"/>
        </w:rPr>
        <w:t>₀</w:t>
      </w:r>
      <w:r w:rsidRPr="00FD0D2E">
        <w:rPr>
          <w:rFonts w:ascii="Arial" w:hAnsi="Arial" w:cs="Arial"/>
        </w:rPr>
        <w:t xml:space="preserve">(2.3kg), control plants produced the lowest yield. The synergistic interaction between seaweed extract and Azotobacter enhanced vegetative growth, early flowering, fruit set, and fruit development, ultimately resulting in higher productivity (Li </w:t>
      </w:r>
      <w:r w:rsidRPr="007357E8">
        <w:rPr>
          <w:rFonts w:ascii="Arial" w:hAnsi="Arial" w:cs="Arial"/>
          <w:i/>
          <w:iCs/>
        </w:rPr>
        <w:t>et al.,</w:t>
      </w:r>
      <w:r w:rsidRPr="00FD0D2E">
        <w:rPr>
          <w:rFonts w:ascii="Arial" w:hAnsi="Arial" w:cs="Arial"/>
        </w:rPr>
        <w:t xml:space="preserve"> 2024, Mukherjee &amp; Patel, 2020).</w:t>
      </w:r>
    </w:p>
    <w:p w14:paraId="4EBA585A" w14:textId="77777777" w:rsidR="00790ADA" w:rsidRPr="00FB3A86" w:rsidRDefault="00790ADA" w:rsidP="00441B6F">
      <w:pPr>
        <w:pStyle w:val="Body"/>
        <w:spacing w:after="0"/>
        <w:rPr>
          <w:rFonts w:ascii="Arial" w:hAnsi="Arial" w:cs="Arial"/>
        </w:rPr>
      </w:pPr>
    </w:p>
    <w:p w14:paraId="5DDC4A9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25564B" w14:textId="77777777" w:rsidR="00790ADA" w:rsidRPr="00FB3A86" w:rsidRDefault="00790ADA" w:rsidP="00441B6F">
      <w:pPr>
        <w:pStyle w:val="ConcHead"/>
        <w:spacing w:after="0"/>
        <w:jc w:val="both"/>
        <w:rPr>
          <w:rFonts w:ascii="Arial" w:hAnsi="Arial" w:cs="Arial"/>
        </w:rPr>
      </w:pPr>
    </w:p>
    <w:p w14:paraId="40F43188" w14:textId="14358C71" w:rsidR="00790ADA" w:rsidRPr="00FB3A86" w:rsidRDefault="009153A8" w:rsidP="00441B6F">
      <w:pPr>
        <w:pStyle w:val="Body"/>
        <w:spacing w:after="0"/>
        <w:rPr>
          <w:rFonts w:ascii="Arial" w:hAnsi="Arial" w:cs="Arial"/>
        </w:rPr>
      </w:pPr>
      <w:r w:rsidRPr="009153A8">
        <w:rPr>
          <w:rFonts w:ascii="Arial" w:hAnsi="Arial" w:cs="Arial"/>
        </w:rPr>
        <w:t>The results of the present study demonstrated that the integrated application of seaweed extract and azotobacter significantly influenced the growth, flowering, and yield attributes of brinjal (Solanum melongena). Among the different treatments, the combined application of seaweed extract (4%) and azotobacter (4%) recorded the highest values for plant height, number of branches, stem girth, leaf length, and leaf width at different stages of crop growth. The treatments also resulted in earlier flowering and fruiting, along with a higher number of fruits per branch. Yield parameters such as fruit weight, fruit volume</w:t>
      </w:r>
      <w:r w:rsidR="00C765DD">
        <w:rPr>
          <w:rFonts w:ascii="Arial" w:hAnsi="Arial" w:cs="Arial"/>
        </w:rPr>
        <w:t xml:space="preserve"> </w:t>
      </w:r>
      <w:r w:rsidRPr="009153A8">
        <w:rPr>
          <w:rFonts w:ascii="Arial" w:hAnsi="Arial" w:cs="Arial"/>
        </w:rPr>
        <w:t xml:space="preserve">and yield per plant were also considerably improved under the combined treatment compared to individual applications and control. The enhanced performance may be attributed to the presence of growth – promoting substances in seaweed extract and the nitrogen – fixing ability of azotobacter, which together improved nutrient availability, and overall crop productivity. </w:t>
      </w:r>
      <w:r w:rsidRPr="009153A8">
        <w:rPr>
          <w:rFonts w:ascii="Arial" w:hAnsi="Arial" w:cs="Arial"/>
        </w:rPr>
        <w:lastRenderedPageBreak/>
        <w:t xml:space="preserve">Therefore, the integrated use of seaweed extract and azotobacter can be considered an effective and eco – friendly approach for improving growth, fruit quality, and yield of brinjal under field conditions.    </w:t>
      </w:r>
    </w:p>
    <w:p w14:paraId="6C3C6B4F" w14:textId="2CECBC30" w:rsidR="009153A8" w:rsidRPr="001A6C1B" w:rsidRDefault="009D4154" w:rsidP="00441B6F">
      <w:pPr>
        <w:pStyle w:val="AcknHead"/>
        <w:spacing w:after="0"/>
        <w:jc w:val="both"/>
        <w:rPr>
          <w:rFonts w:ascii="Times New Roman" w:eastAsia="Calibri" w:hAnsi="Times New Roman"/>
          <w:kern w:val="2"/>
          <w:szCs w:val="22"/>
          <w:highlight w:val="yellow"/>
        </w:rPr>
      </w:pPr>
      <w:r w:rsidRPr="001A6C1B">
        <w:rPr>
          <w:rFonts w:ascii="Times New Roman" w:eastAsia="Calibri" w:hAnsi="Times New Roman"/>
          <w:kern w:val="2"/>
          <w:szCs w:val="22"/>
          <w:highlight w:val="yellow"/>
        </w:rPr>
        <w:t>Disclaimer</w:t>
      </w:r>
      <w:r w:rsidRPr="001A6C1B">
        <w:rPr>
          <w:rFonts w:ascii="Times New Roman" w:eastAsia="Calibri" w:hAnsi="Times New Roman"/>
          <w:kern w:val="2"/>
          <w:szCs w:val="22"/>
          <w:highlight w:val="yellow"/>
        </w:rPr>
        <w:t>:</w:t>
      </w:r>
    </w:p>
    <w:p w14:paraId="3C0BEC33" w14:textId="7780C98A" w:rsidR="009D4154" w:rsidRPr="00EF115B" w:rsidRDefault="00E07869" w:rsidP="00441B6F">
      <w:pPr>
        <w:pStyle w:val="AcknHead"/>
        <w:spacing w:after="0"/>
        <w:jc w:val="both"/>
        <w:rPr>
          <w:rFonts w:ascii="Arial" w:hAnsi="Arial" w:cs="Arial"/>
          <w:b w:val="0"/>
          <w:bCs/>
        </w:rPr>
      </w:pPr>
      <w:r w:rsidRPr="001A6C1B">
        <w:rPr>
          <w:rFonts w:ascii="Arial" w:hAnsi="Arial" w:cs="Arial"/>
          <w:b w:val="0"/>
          <w:bCs/>
          <w:highlight w:val="yellow"/>
        </w:rPr>
        <w:t>At,</w:t>
      </w:r>
      <w:r w:rsidR="00652B72" w:rsidRPr="001A6C1B">
        <w:rPr>
          <w:rFonts w:ascii="Arial" w:hAnsi="Arial" w:cs="Arial"/>
          <w:b w:val="0"/>
          <w:bCs/>
          <w:highlight w:val="yellow"/>
        </w:rPr>
        <w:t xml:space="preserve">KJ,RPS,RM,SPS </w:t>
      </w:r>
      <w:r w:rsidR="00EF115B" w:rsidRPr="001A6C1B">
        <w:rPr>
          <w:rFonts w:ascii="Arial" w:hAnsi="Arial" w:cs="Arial"/>
          <w:b w:val="0"/>
          <w:bCs/>
          <w:caps w:val="0"/>
          <w:highlight w:val="yellow"/>
        </w:rPr>
        <w:t>and</w:t>
      </w:r>
      <w:r w:rsidR="00652B72" w:rsidRPr="001A6C1B">
        <w:rPr>
          <w:rFonts w:ascii="Arial" w:hAnsi="Arial" w:cs="Arial"/>
          <w:b w:val="0"/>
          <w:bCs/>
          <w:highlight w:val="yellow"/>
        </w:rPr>
        <w:t xml:space="preserve"> MRT </w:t>
      </w:r>
      <w:r w:rsidR="00EF115B" w:rsidRPr="001A6C1B">
        <w:rPr>
          <w:rFonts w:ascii="Arial" w:hAnsi="Arial" w:cs="Arial"/>
          <w:b w:val="0"/>
          <w:bCs/>
          <w:caps w:val="0"/>
          <w:highlight w:val="yellow"/>
        </w:rPr>
        <w:t xml:space="preserve">hereby affirm that the manuscript was prepared entirely by the authors without the use of any generative </w:t>
      </w:r>
      <w:r w:rsidR="001A6C1B">
        <w:rPr>
          <w:rFonts w:ascii="Arial" w:hAnsi="Arial" w:cs="Arial"/>
          <w:b w:val="0"/>
          <w:bCs/>
          <w:caps w:val="0"/>
          <w:highlight w:val="yellow"/>
        </w:rPr>
        <w:t xml:space="preserve">AI </w:t>
      </w:r>
      <w:r w:rsidR="00EF115B" w:rsidRPr="001A6C1B">
        <w:rPr>
          <w:rFonts w:ascii="Arial" w:hAnsi="Arial" w:cs="Arial"/>
          <w:b w:val="0"/>
          <w:bCs/>
          <w:caps w:val="0"/>
          <w:highlight w:val="yellow"/>
        </w:rPr>
        <w:t>tools, including large language models or ai-based image generation systems.</w:t>
      </w:r>
    </w:p>
    <w:p w14:paraId="7E3674CB" w14:textId="0A2B7C3F" w:rsidR="0032473A" w:rsidRDefault="0032473A" w:rsidP="00441B6F">
      <w:pPr>
        <w:pStyle w:val="AcknHead"/>
        <w:spacing w:after="0"/>
        <w:jc w:val="both"/>
        <w:rPr>
          <w:rFonts w:ascii="Arial" w:hAnsi="Arial" w:cs="Arial"/>
        </w:rPr>
      </w:pPr>
    </w:p>
    <w:p w14:paraId="414A30F6" w14:textId="77777777" w:rsidR="0032473A" w:rsidRDefault="0032473A" w:rsidP="00441B6F">
      <w:pPr>
        <w:pStyle w:val="AcknHead"/>
        <w:spacing w:after="0"/>
        <w:jc w:val="both"/>
        <w:rPr>
          <w:rFonts w:ascii="Arial" w:hAnsi="Arial" w:cs="Arial"/>
        </w:rPr>
      </w:pPr>
    </w:p>
    <w:p w14:paraId="0682986B" w14:textId="2C544D5A" w:rsidR="002B685A" w:rsidRDefault="002B685A" w:rsidP="00441B6F">
      <w:pPr>
        <w:pStyle w:val="ReferHead"/>
        <w:spacing w:after="0"/>
        <w:jc w:val="both"/>
        <w:rPr>
          <w:rFonts w:ascii="Arial" w:hAnsi="Arial" w:cs="Arial"/>
          <w:b w:val="0"/>
          <w:caps w:val="0"/>
          <w:sz w:val="20"/>
        </w:rPr>
      </w:pPr>
    </w:p>
    <w:p w14:paraId="3928421F" w14:textId="77777777" w:rsidR="006C7F50" w:rsidRDefault="006C7F50" w:rsidP="00441B6F">
      <w:pPr>
        <w:pStyle w:val="ReferHead"/>
        <w:spacing w:after="0"/>
        <w:jc w:val="both"/>
        <w:rPr>
          <w:rFonts w:ascii="Arial" w:hAnsi="Arial" w:cs="Arial"/>
          <w:b w:val="0"/>
          <w:caps w:val="0"/>
          <w:sz w:val="20"/>
        </w:rPr>
      </w:pPr>
    </w:p>
    <w:p w14:paraId="3A8489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A9A0E1" w14:textId="77777777" w:rsidR="00790ADA" w:rsidRPr="00FB3A86" w:rsidRDefault="00790ADA" w:rsidP="00441B6F">
      <w:pPr>
        <w:pStyle w:val="ReferHead"/>
        <w:spacing w:after="0"/>
        <w:jc w:val="both"/>
        <w:rPr>
          <w:rFonts w:ascii="Arial" w:hAnsi="Arial" w:cs="Arial"/>
        </w:rPr>
      </w:pPr>
    </w:p>
    <w:p w14:paraId="61D3CFEC" w14:textId="0B022B53" w:rsidR="00D7502A" w:rsidRDefault="00D7502A" w:rsidP="00D7502A">
      <w:pPr>
        <w:pStyle w:val="Body"/>
      </w:pPr>
      <w:r>
        <w:t>1.</w:t>
      </w:r>
      <w:r w:rsidR="003E019A" w:rsidRPr="003E019A">
        <w:t>Hazra, P. (2023). Antioxidants and health benefits of brinjal. In </w:t>
      </w:r>
      <w:r w:rsidR="003E019A" w:rsidRPr="003E019A">
        <w:rPr>
          <w:i/>
          <w:iCs/>
        </w:rPr>
        <w:t>Vegetables for nutrition and entrepreneurship</w:t>
      </w:r>
      <w:r w:rsidR="003E019A" w:rsidRPr="003E019A">
        <w:t xml:space="preserve"> (pp. 203-216). Singapore: Springer Nature Singapore. </w:t>
      </w:r>
      <w:r>
        <w:t>https://link.springer.com/chapter/10.1007/978-981-19-9016-8_10</w:t>
      </w:r>
    </w:p>
    <w:p w14:paraId="17BC108D" w14:textId="03684981" w:rsidR="003E019A" w:rsidRDefault="00D7502A" w:rsidP="00D7502A">
      <w:pPr>
        <w:pStyle w:val="Body"/>
      </w:pPr>
      <w:r>
        <w:t>2.</w:t>
      </w:r>
      <w:r w:rsidR="003E019A" w:rsidRPr="003E019A">
        <w:t xml:space="preserve">Gurve, V. R., Waskar, D. P., Khandare, V. S., </w:t>
      </w:r>
      <w:proofErr w:type="spellStart"/>
      <w:r w:rsidR="003E019A" w:rsidRPr="003E019A">
        <w:t>Mehtre</w:t>
      </w:r>
      <w:proofErr w:type="spellEnd"/>
      <w:r w:rsidR="003E019A" w:rsidRPr="003E019A">
        <w:t>, S. P., &amp; More, D. G. (2020). Studies on correlation and path analysis for yield and its contributing traits in brinjal (Solanum melongena L.). </w:t>
      </w:r>
      <w:r w:rsidR="003E019A" w:rsidRPr="003E019A">
        <w:rPr>
          <w:i/>
          <w:iCs/>
        </w:rPr>
        <w:t>International Journal of Current Microbiology and Applied Sciences</w:t>
      </w:r>
      <w:r w:rsidR="003E019A" w:rsidRPr="003E019A">
        <w:t>, </w:t>
      </w:r>
      <w:r w:rsidR="003E019A" w:rsidRPr="003E019A">
        <w:rPr>
          <w:i/>
          <w:iCs/>
        </w:rPr>
        <w:t>9</w:t>
      </w:r>
      <w:r w:rsidR="003E019A" w:rsidRPr="003E019A">
        <w:t>(10), 179-188.</w:t>
      </w:r>
    </w:p>
    <w:p w14:paraId="43DD3BFB" w14:textId="0B20D843" w:rsidR="00D7502A" w:rsidRDefault="00D7502A" w:rsidP="00D7502A">
      <w:pPr>
        <w:pStyle w:val="Body"/>
      </w:pPr>
      <w:r>
        <w:t>https://d1wqtxts1xzle7.cloudfront.net/64947755/V._R._Gurve_et_al-libre.pdf?1605542869=&amp;response-content-disposition=inline%3B+filename%3DStudies_on_Correlation_and_Path_Analysis.pdf&amp;Expires=1772899794&amp;Signature=ecMQmh5mhbD-5x~DrjLmLURhMsFV9q69rZ9X3XVtd~KyulnoSB9x5BmR2SfRd7QdDvZLjlgi2D9uOZ9VKLE85yrsydaTJGagyfRRz~wSrSTL4wF~D5EKcYSosn1trPc6sLogeT6Np6h2rUVZhAGQ~aZvkVfdVXJuJY9jsClnXB7gRUOKMZ6rQWc8jGcjaO0q1ND7BM-Wv9W9GmJSpQIHwEtjzCzsrL9YC1L0pDJk5rGyCRAPdBLqI017lr4cw-RNhFI26UZcaSSUJijSNqUlJ2hMX4YDZ4uc1gnMrAdH8WUuSBSyoJ~sgh-HnSoJuGqutzqKWQKiNeawFGIlVSTKWw__&amp;Key-Pair-Id=APKAJLOHF5GGSLRBV4ZA</w:t>
      </w:r>
    </w:p>
    <w:p w14:paraId="1AD0F70E" w14:textId="4952F3F4" w:rsidR="00D7502A" w:rsidRDefault="00D7502A" w:rsidP="00D7502A">
      <w:pPr>
        <w:pStyle w:val="Body"/>
      </w:pPr>
      <w:r>
        <w:t>3.</w:t>
      </w:r>
      <w:r w:rsidR="00AE6807" w:rsidRPr="00AE6807">
        <w:t xml:space="preserve">Paswan, A., Choudhary, A. S., Raj, S., </w:t>
      </w:r>
      <w:proofErr w:type="spellStart"/>
      <w:r w:rsidR="00AE6807" w:rsidRPr="00AE6807">
        <w:t>Sonloi</w:t>
      </w:r>
      <w:proofErr w:type="spellEnd"/>
      <w:r w:rsidR="00AE6807" w:rsidRPr="00AE6807">
        <w:t xml:space="preserve">, P., &amp; </w:t>
      </w:r>
      <w:proofErr w:type="spellStart"/>
      <w:r w:rsidR="00AE6807" w:rsidRPr="00AE6807">
        <w:t>Sonwani</w:t>
      </w:r>
      <w:proofErr w:type="spellEnd"/>
      <w:r w:rsidR="00AE6807" w:rsidRPr="00AE6807">
        <w:t>, A. (2022). Effect of integrated nutrient management on yield of Brinjal. </w:t>
      </w:r>
      <w:r w:rsidR="00AE6807" w:rsidRPr="00AE6807">
        <w:rPr>
          <w:i/>
          <w:iCs/>
        </w:rPr>
        <w:t>International Journal of Agriculture and Food Science</w:t>
      </w:r>
      <w:r w:rsidR="00AE6807" w:rsidRPr="00AE6807">
        <w:t>, </w:t>
      </w:r>
      <w:r w:rsidR="00AE6807" w:rsidRPr="00AE6807">
        <w:rPr>
          <w:i/>
          <w:iCs/>
        </w:rPr>
        <w:t>4</w:t>
      </w:r>
      <w:r w:rsidR="00AE6807" w:rsidRPr="00AE6807">
        <w:t>(1), 12-6.</w:t>
      </w:r>
      <w:r>
        <w:t xml:space="preserve">https://www.researchgate.net/profile/Shani-Raj-2/publication/370778502_Effect_of_integrated_nutrient_management_on_yield_of_Brinjal/links/64632ba9fbaf5b27a4cb69bc/Effect-of-integrated-nutrient-management-on-yield-of-Brinjal.pdf?origin=journalDetail&amp;_tp=eyJwYWdlIjoiam91cm5hbERldGFpbCJ9 </w:t>
      </w:r>
    </w:p>
    <w:p w14:paraId="40CCBEC0" w14:textId="2E234D81" w:rsidR="00D7502A" w:rsidRDefault="00D7502A" w:rsidP="00D7502A">
      <w:pPr>
        <w:pStyle w:val="Body"/>
      </w:pPr>
      <w:r>
        <w:t>4.</w:t>
      </w:r>
      <w:r w:rsidR="00A76DAA" w:rsidRPr="00A76DAA">
        <w:t xml:space="preserve">Khanm, S., Rattan, P., </w:t>
      </w:r>
      <w:proofErr w:type="spellStart"/>
      <w:r w:rsidR="00A76DAA" w:rsidRPr="00A76DAA">
        <w:t>Thalyari</w:t>
      </w:r>
      <w:proofErr w:type="spellEnd"/>
      <w:r w:rsidR="00A76DAA" w:rsidRPr="00A76DAA">
        <w:t>, J., Sharma, A., &amp; Sharma, S. (2025). Growth and Yield Response to Brinjal (Solanum melongena L.) Varieties to the Application of Bio-stimulants. </w:t>
      </w:r>
      <w:r w:rsidR="00A76DAA" w:rsidRPr="00A76DAA">
        <w:rPr>
          <w:i/>
          <w:iCs/>
        </w:rPr>
        <w:t>Journal of Advances in Biology &amp; Biotechnology</w:t>
      </w:r>
      <w:r w:rsidR="00A76DAA" w:rsidRPr="00A76DAA">
        <w:t>, </w:t>
      </w:r>
      <w:r w:rsidR="00A76DAA" w:rsidRPr="00A76DAA">
        <w:rPr>
          <w:i/>
          <w:iCs/>
        </w:rPr>
        <w:t>28</w:t>
      </w:r>
      <w:r w:rsidR="00A76DAA" w:rsidRPr="00A76DAA">
        <w:t xml:space="preserve">(10), 433-443. </w:t>
      </w:r>
      <w:r>
        <w:t>https://www.researchgate.net/profile/Ashutosh-Sharma/publication/396198497_Growth_and_Yield_Response_to_Brinjal_Solanum_melongena_L_Varieties_to_the_Application_of_Bio-stimulants/links/68e1b4e1d221a404b2a57802/Growth-and-Yield-Response-to-Brinjal-Solanum-melongena-L-Varieties-to-the-Application-of-Bio-stimulants.pdf</w:t>
      </w:r>
    </w:p>
    <w:p w14:paraId="09BE9F86" w14:textId="71AFD154" w:rsidR="00D7502A" w:rsidRDefault="00D7502A" w:rsidP="00D7502A">
      <w:pPr>
        <w:pStyle w:val="Body"/>
      </w:pPr>
      <w:r>
        <w:t>5.</w:t>
      </w:r>
      <w:r w:rsidR="00617EE2" w:rsidRPr="00617EE2">
        <w:t xml:space="preserve">Nisar, S., Mavi, M. S., Singh, J., Srivastava, S., &amp; Dey, P. (2025). Optimizing nutrient management strategies to achieve higher productivity, greater nutrient use efficiency in </w:t>
      </w:r>
      <w:r w:rsidR="00617EE2" w:rsidRPr="00617EE2">
        <w:lastRenderedPageBreak/>
        <w:t>eggplant and maintenance of soil health. Journal of Plant Nutrition, 48(11), 1817-1831.</w:t>
      </w:r>
      <w:r>
        <w:t xml:space="preserve">https://www.tandfonline.com/doi/abs/10.1080/01904167.2025.2460195 </w:t>
      </w:r>
    </w:p>
    <w:p w14:paraId="70FA8E00" w14:textId="77777777" w:rsidR="00D7502A" w:rsidRDefault="00D7502A" w:rsidP="00D7502A">
      <w:pPr>
        <w:pStyle w:val="Body"/>
      </w:pPr>
    </w:p>
    <w:p w14:paraId="7C940F1F" w14:textId="000A5B6B" w:rsidR="00D7502A" w:rsidRDefault="00D7502A" w:rsidP="00D7502A">
      <w:pPr>
        <w:pStyle w:val="Body"/>
      </w:pPr>
      <w:r>
        <w:t>6.</w:t>
      </w:r>
      <w:r w:rsidR="00617EE2" w:rsidRPr="00617EE2">
        <w:t xml:space="preserve">KC, C., BL, T., SM, P., HP, H., &amp; </w:t>
      </w:r>
      <w:proofErr w:type="spellStart"/>
      <w:r w:rsidR="00617EE2" w:rsidRPr="00617EE2">
        <w:t>Ghandhe</w:t>
      </w:r>
      <w:proofErr w:type="spellEnd"/>
      <w:r w:rsidR="00617EE2" w:rsidRPr="00617EE2">
        <w:t>, A. R. (2024). Effect of Integrated Nutrient Management (INM) on Growth and Yield of Brinjal (Solanum melongena L.) in Northern Dry Zone of Karnataka, India. </w:t>
      </w:r>
      <w:r w:rsidR="00617EE2" w:rsidRPr="00617EE2">
        <w:rPr>
          <w:i/>
          <w:iCs/>
        </w:rPr>
        <w:t>International Journal of Plant &amp; Soil Science</w:t>
      </w:r>
      <w:r w:rsidR="00617EE2" w:rsidRPr="00617EE2">
        <w:t>, </w:t>
      </w:r>
      <w:r w:rsidR="00617EE2" w:rsidRPr="00617EE2">
        <w:rPr>
          <w:i/>
          <w:iCs/>
        </w:rPr>
        <w:t>36</w:t>
      </w:r>
      <w:r w:rsidR="00617EE2" w:rsidRPr="00617EE2">
        <w:t>(5), 463-470.</w:t>
      </w:r>
      <w:r>
        <w:t xml:space="preserve">https://journalijpss.com/index.php/IJPSS/article/view/4543 </w:t>
      </w:r>
    </w:p>
    <w:p w14:paraId="5FBCFA86" w14:textId="0FE52E51" w:rsidR="00D7502A" w:rsidRDefault="00D7502A" w:rsidP="00D7502A">
      <w:pPr>
        <w:pStyle w:val="Body"/>
      </w:pPr>
      <w:r>
        <w:t>7.</w:t>
      </w:r>
      <w:r w:rsidR="00AF64DB" w:rsidRPr="00AF64DB">
        <w:t>Tejasree, A., Mirza, A., &amp; Joka, V. S. (2024). Deciphering nature’s secret of seaweed extract as a biostimulant on horticultural crops: A review. </w:t>
      </w:r>
      <w:r w:rsidR="00AF64DB" w:rsidRPr="00AF64DB">
        <w:rPr>
          <w:i/>
          <w:iCs/>
        </w:rPr>
        <w:t>J. Exp. Agric. Int</w:t>
      </w:r>
      <w:r w:rsidR="00AF64DB" w:rsidRPr="00AF64DB">
        <w:t>, </w:t>
      </w:r>
      <w:r w:rsidR="00AF64DB" w:rsidRPr="00AF64DB">
        <w:rPr>
          <w:i/>
          <w:iCs/>
        </w:rPr>
        <w:t>46</w:t>
      </w:r>
      <w:r w:rsidR="00AF64DB" w:rsidRPr="00AF64DB">
        <w:t>(6), 417-427.</w:t>
      </w:r>
      <w:r>
        <w:t xml:space="preserve"> https://doi.org/10.9734/jeai/2024/v46i62494</w:t>
      </w:r>
    </w:p>
    <w:p w14:paraId="12C478CE" w14:textId="52A42888" w:rsidR="00D7502A" w:rsidRDefault="00D7502A" w:rsidP="00D7502A">
      <w:pPr>
        <w:pStyle w:val="Body"/>
      </w:pPr>
      <w:r>
        <w:t>8.</w:t>
      </w:r>
      <w:r w:rsidR="004575E2" w:rsidRPr="004575E2">
        <w:t xml:space="preserve">Asadi, M., Rasouli, F., Amini, T., Hassanpouraghdam, M. B., Souri, S., </w:t>
      </w:r>
      <w:proofErr w:type="spellStart"/>
      <w:r w:rsidR="004575E2" w:rsidRPr="004575E2">
        <w:t>Skrovankova</w:t>
      </w:r>
      <w:proofErr w:type="spellEnd"/>
      <w:r w:rsidR="004575E2" w:rsidRPr="004575E2">
        <w:t xml:space="preserve">, S., ... &amp; </w:t>
      </w:r>
      <w:proofErr w:type="spellStart"/>
      <w:r w:rsidR="004575E2" w:rsidRPr="004575E2">
        <w:t>Ercisli</w:t>
      </w:r>
      <w:proofErr w:type="spellEnd"/>
      <w:r w:rsidR="004575E2" w:rsidRPr="004575E2">
        <w:t>, S. (2022). Improvement of photosynthetic pigment characteristics, mineral content, and antioxidant activity of lettuce (Lactuca sativa L.) by arbuscular mycorrhizal fungus and seaweed extract foliar application. </w:t>
      </w:r>
      <w:r w:rsidR="004575E2" w:rsidRPr="004575E2">
        <w:rPr>
          <w:i/>
          <w:iCs/>
        </w:rPr>
        <w:t>Agronomy</w:t>
      </w:r>
      <w:r w:rsidR="004575E2" w:rsidRPr="004575E2">
        <w:t>, </w:t>
      </w:r>
      <w:r w:rsidR="004575E2" w:rsidRPr="004575E2">
        <w:rPr>
          <w:i/>
          <w:iCs/>
        </w:rPr>
        <w:t>12</w:t>
      </w:r>
      <w:r w:rsidR="004575E2" w:rsidRPr="004575E2">
        <w:t>(8), 1943.</w:t>
      </w:r>
      <w:r>
        <w:t xml:space="preserve">https://www.mdpi.com/2073-4395/12/8/193 </w:t>
      </w:r>
    </w:p>
    <w:p w14:paraId="44FCB382" w14:textId="09C40A01" w:rsidR="00D7502A" w:rsidRDefault="00D7502A" w:rsidP="00D7502A">
      <w:pPr>
        <w:pStyle w:val="Body"/>
      </w:pPr>
      <w:r>
        <w:t>9.</w:t>
      </w:r>
      <w:r w:rsidR="00767C1C" w:rsidRPr="00767C1C">
        <w:t xml:space="preserve">Amrutha, T. G., Devi, U., </w:t>
      </w:r>
      <w:proofErr w:type="spellStart"/>
      <w:r w:rsidR="00767C1C" w:rsidRPr="00767C1C">
        <w:t>Babybai</w:t>
      </w:r>
      <w:proofErr w:type="spellEnd"/>
      <w:r w:rsidR="00767C1C" w:rsidRPr="00767C1C">
        <w:t>, H. V., &amp; Shilpa, H. D. (2025). Seaweed Extract as a Potential Stimulant in Mitigating Abiotic Stress: A Comprehensive Review. </w:t>
      </w:r>
      <w:r w:rsidR="00767C1C" w:rsidRPr="00767C1C">
        <w:rPr>
          <w:i/>
          <w:iCs/>
        </w:rPr>
        <w:t>Journal of Advances in Biology &amp; Biotechnology</w:t>
      </w:r>
      <w:r w:rsidR="00767C1C" w:rsidRPr="00767C1C">
        <w:t>, </w:t>
      </w:r>
      <w:r w:rsidR="00767C1C" w:rsidRPr="00767C1C">
        <w:rPr>
          <w:i/>
          <w:iCs/>
        </w:rPr>
        <w:t>28</w:t>
      </w:r>
      <w:r w:rsidR="00767C1C" w:rsidRPr="00767C1C">
        <w:t>(9), 990-1001.</w:t>
      </w:r>
      <w:r>
        <w:t xml:space="preserve"> https://hal.science/hal-05245777/ </w:t>
      </w:r>
    </w:p>
    <w:p w14:paraId="08525CFE" w14:textId="5541D807" w:rsidR="00D7502A" w:rsidRDefault="00D7502A" w:rsidP="00D7502A">
      <w:pPr>
        <w:pStyle w:val="Body"/>
      </w:pPr>
      <w:r w:rsidRPr="0032473A">
        <w:rPr>
          <w:lang w:val="fr-FR"/>
        </w:rPr>
        <w:t>10.</w:t>
      </w:r>
      <w:r w:rsidR="000D156C" w:rsidRPr="0032473A">
        <w:rPr>
          <w:lang w:val="fr-FR"/>
        </w:rPr>
        <w:t xml:space="preserve">Villa e Vila, V., Piedade, S. M. D. S., Bouix, C. P., Rezende, R., </w:t>
      </w:r>
      <w:proofErr w:type="spellStart"/>
      <w:r w:rsidR="000D156C" w:rsidRPr="0032473A">
        <w:rPr>
          <w:lang w:val="fr-FR"/>
        </w:rPr>
        <w:t>Wenneck</w:t>
      </w:r>
      <w:proofErr w:type="spellEnd"/>
      <w:r w:rsidR="000D156C" w:rsidRPr="0032473A">
        <w:rPr>
          <w:lang w:val="fr-FR"/>
        </w:rPr>
        <w:t xml:space="preserve">, G. S., </w:t>
      </w:r>
      <w:proofErr w:type="spellStart"/>
      <w:r w:rsidR="000D156C" w:rsidRPr="0032473A">
        <w:rPr>
          <w:lang w:val="fr-FR"/>
        </w:rPr>
        <w:t>Terassi</w:t>
      </w:r>
      <w:proofErr w:type="spellEnd"/>
      <w:r w:rsidR="000D156C" w:rsidRPr="0032473A">
        <w:rPr>
          <w:lang w:val="fr-FR"/>
        </w:rPr>
        <w:t xml:space="preserve">, D. D. S., ... </w:t>
      </w:r>
      <w:r w:rsidR="000D156C" w:rsidRPr="000D156C">
        <w:t>&amp; Marques, P. A. A. (2024). Use of a biostimulant based on seaweed extract as a sustainable input to enhance the quality of solanaceous seedlings. </w:t>
      </w:r>
      <w:r w:rsidR="000D156C" w:rsidRPr="000D156C">
        <w:rPr>
          <w:i/>
          <w:iCs/>
        </w:rPr>
        <w:t>Horticulturae</w:t>
      </w:r>
      <w:r w:rsidR="000D156C" w:rsidRPr="000D156C">
        <w:t>, </w:t>
      </w:r>
      <w:r w:rsidR="000D156C" w:rsidRPr="000D156C">
        <w:rPr>
          <w:i/>
          <w:iCs/>
        </w:rPr>
        <w:t>10</w:t>
      </w:r>
      <w:r w:rsidR="000D156C" w:rsidRPr="000D156C">
        <w:t xml:space="preserve">(6), 642. </w:t>
      </w:r>
      <w:r>
        <w:t xml:space="preserve">https://www.mdpi.com/2311-7524/10/6/642 </w:t>
      </w:r>
    </w:p>
    <w:p w14:paraId="7F7BF1EB" w14:textId="3BA71871" w:rsidR="00D7502A" w:rsidRDefault="00D7502A" w:rsidP="00D7502A">
      <w:pPr>
        <w:pStyle w:val="Body"/>
      </w:pPr>
      <w:r>
        <w:t>11.</w:t>
      </w:r>
      <w:r w:rsidR="000D156C" w:rsidRPr="000D156C">
        <w:rPr>
          <w:rFonts w:ascii="Arial" w:hAnsi="Arial" w:cs="Arial"/>
          <w:color w:val="222222"/>
          <w:shd w:val="clear" w:color="auto" w:fill="FFFFFF"/>
        </w:rPr>
        <w:t xml:space="preserve"> </w:t>
      </w:r>
      <w:r w:rsidR="000D156C" w:rsidRPr="000D156C">
        <w:t xml:space="preserve">Aasfar, A., </w:t>
      </w:r>
      <w:proofErr w:type="spellStart"/>
      <w:r w:rsidR="000D156C" w:rsidRPr="000D156C">
        <w:t>Bargaz</w:t>
      </w:r>
      <w:proofErr w:type="spellEnd"/>
      <w:r w:rsidR="000D156C" w:rsidRPr="000D156C">
        <w:t xml:space="preserve">, A., </w:t>
      </w:r>
      <w:proofErr w:type="spellStart"/>
      <w:r w:rsidR="000D156C" w:rsidRPr="000D156C">
        <w:t>Yaakoubi</w:t>
      </w:r>
      <w:proofErr w:type="spellEnd"/>
      <w:r w:rsidR="000D156C" w:rsidRPr="000D156C">
        <w:t xml:space="preserve">, K., Hilali, A., Bennis, I., Zeroual, Y., &amp; Meftah </w:t>
      </w:r>
      <w:proofErr w:type="spellStart"/>
      <w:r w:rsidR="000D156C" w:rsidRPr="000D156C">
        <w:t>Kadmiri</w:t>
      </w:r>
      <w:proofErr w:type="spellEnd"/>
      <w:r w:rsidR="000D156C" w:rsidRPr="000D156C">
        <w:t>, I. (2021). Nitrogen fixing Azotobacter species as potential soil biological enhancers for crop nutrition and yield stability. </w:t>
      </w:r>
      <w:r w:rsidR="000D156C" w:rsidRPr="000D156C">
        <w:rPr>
          <w:i/>
          <w:iCs/>
        </w:rPr>
        <w:t>Frontiers in microbiology</w:t>
      </w:r>
      <w:r w:rsidR="000D156C" w:rsidRPr="000D156C">
        <w:t>, </w:t>
      </w:r>
      <w:r w:rsidR="000D156C" w:rsidRPr="000D156C">
        <w:rPr>
          <w:i/>
          <w:iCs/>
        </w:rPr>
        <w:t>12</w:t>
      </w:r>
      <w:r w:rsidR="000D156C" w:rsidRPr="000D156C">
        <w:t xml:space="preserve">, 628379. </w:t>
      </w:r>
      <w:r>
        <w:t xml:space="preserve">https://www.frontiersin.org/journals/microbiology/articles/10.3389/fmicb.2021.628379/full </w:t>
      </w:r>
    </w:p>
    <w:p w14:paraId="0D4FFEAB" w14:textId="7507A441" w:rsidR="00D7502A" w:rsidRDefault="00D7502A" w:rsidP="00D7502A">
      <w:pPr>
        <w:pStyle w:val="Body"/>
      </w:pPr>
      <w:r>
        <w:t>12.</w:t>
      </w:r>
      <w:r w:rsidR="00A61E3B" w:rsidRPr="00A61E3B">
        <w:rPr>
          <w:rFonts w:ascii="Arial" w:hAnsi="Arial" w:cs="Arial"/>
          <w:color w:val="222222"/>
          <w:shd w:val="clear" w:color="auto" w:fill="FFFFFF"/>
        </w:rPr>
        <w:t xml:space="preserve"> </w:t>
      </w:r>
      <w:proofErr w:type="spellStart"/>
      <w:r w:rsidR="00A61E3B" w:rsidRPr="00A61E3B">
        <w:t>Hindersah</w:t>
      </w:r>
      <w:proofErr w:type="spellEnd"/>
      <w:r w:rsidR="00A61E3B" w:rsidRPr="00A61E3B">
        <w:t>, R., Kamaluddin, N. N., Samanta, S., Banerjee, S., &amp; Sarkar, S. (2020). Role and perspective of Azotobacter in crops production. </w:t>
      </w:r>
      <w:r w:rsidR="00A61E3B" w:rsidRPr="00A61E3B">
        <w:rPr>
          <w:i/>
          <w:iCs/>
        </w:rPr>
        <w:t>SAINS TANAH-Journal of Soil Science and Agroclimatology</w:t>
      </w:r>
      <w:r w:rsidR="00A61E3B" w:rsidRPr="00A61E3B">
        <w:t>, </w:t>
      </w:r>
      <w:r w:rsidR="00A61E3B" w:rsidRPr="00A61E3B">
        <w:rPr>
          <w:i/>
          <w:iCs/>
        </w:rPr>
        <w:t>17</w:t>
      </w:r>
      <w:r w:rsidR="00A61E3B" w:rsidRPr="00A61E3B">
        <w:t>(2), 170-179.</w:t>
      </w:r>
      <w:r>
        <w:t>https://jurnal.uns.ac.id/</w:t>
      </w:r>
      <w:proofErr w:type="spellStart"/>
      <w:r>
        <w:t>tanah</w:t>
      </w:r>
      <w:proofErr w:type="spellEnd"/>
      <w:r>
        <w:t>/article/view/45130</w:t>
      </w:r>
    </w:p>
    <w:p w14:paraId="2D826B13" w14:textId="54AAE879" w:rsidR="00D7502A" w:rsidRDefault="00D7502A" w:rsidP="00D7502A">
      <w:pPr>
        <w:pStyle w:val="Body"/>
      </w:pPr>
      <w:r>
        <w:t>13.</w:t>
      </w:r>
      <w:r w:rsidR="00EF1C53" w:rsidRPr="00EF1C53">
        <w:rPr>
          <w:rFonts w:ascii="Arial" w:hAnsi="Arial" w:cs="Arial"/>
          <w:color w:val="222222"/>
          <w:shd w:val="clear" w:color="auto" w:fill="FFFFFF"/>
        </w:rPr>
        <w:t xml:space="preserve"> </w:t>
      </w:r>
      <w:r w:rsidR="00EF1C53" w:rsidRPr="00EF1C53">
        <w:t xml:space="preserve">Gulshan, T., Verma, A., Ayoub, L., Sharma, J., Sharma, T., </w:t>
      </w:r>
      <w:proofErr w:type="spellStart"/>
      <w:r w:rsidR="00EF1C53" w:rsidRPr="00EF1C53">
        <w:t>Bhadu</w:t>
      </w:r>
      <w:proofErr w:type="spellEnd"/>
      <w:r w:rsidR="00EF1C53" w:rsidRPr="00EF1C53">
        <w:t>, A., &amp; Singh, B. (2022). Increasing nutrient use efficiency in crops through biofertilizers. </w:t>
      </w:r>
      <w:r w:rsidR="00EF1C53" w:rsidRPr="00EF1C53">
        <w:rPr>
          <w:i/>
          <w:iCs/>
        </w:rPr>
        <w:t>The Pharma Innovation Journal</w:t>
      </w:r>
      <w:r w:rsidR="00EF1C53" w:rsidRPr="00EF1C53">
        <w:t>, </w:t>
      </w:r>
      <w:r w:rsidR="00EF1C53" w:rsidRPr="00EF1C53">
        <w:rPr>
          <w:i/>
          <w:iCs/>
        </w:rPr>
        <w:t>11</w:t>
      </w:r>
      <w:r w:rsidR="00EF1C53" w:rsidRPr="00EF1C53">
        <w:t>(6), 2003-2010.</w:t>
      </w:r>
      <w:r>
        <w:t xml:space="preserve"> https://www.researchgate.net/profile/Jyoti-Sharma-153/publication/363070237_Increasing_nutrient_use_efficiency_in_crops_through_biofertilizers/links/630d04d7acd814437fe6fb8e/Increasing-nutrient-use-efficiency-in-crops-through-biofertilizers.pdf </w:t>
      </w:r>
    </w:p>
    <w:p w14:paraId="1A0201FD" w14:textId="6BC8180E" w:rsidR="00D7502A" w:rsidRDefault="00D7502A" w:rsidP="00D7502A">
      <w:pPr>
        <w:pStyle w:val="Body"/>
      </w:pPr>
      <w:r>
        <w:t>14.</w:t>
      </w:r>
      <w:r>
        <w:tab/>
      </w:r>
      <w:r w:rsidR="00EB346C" w:rsidRPr="00EB346C">
        <w:t>Sumbul, A., Ansari, R. A., Rizvi, R., &amp; Mahmood, I. (2020). Azotobacter: A potential bio-fertilizer for soil and plant health management. </w:t>
      </w:r>
      <w:r w:rsidR="00EB346C" w:rsidRPr="00EB346C">
        <w:rPr>
          <w:i/>
          <w:iCs/>
        </w:rPr>
        <w:t>Saudi journal of biological sciences</w:t>
      </w:r>
      <w:r w:rsidR="00EB346C" w:rsidRPr="00EB346C">
        <w:t>, </w:t>
      </w:r>
      <w:r w:rsidR="00EB346C" w:rsidRPr="00EB346C">
        <w:rPr>
          <w:i/>
          <w:iCs/>
        </w:rPr>
        <w:t>27</w:t>
      </w:r>
      <w:r w:rsidR="00EB346C" w:rsidRPr="00EB346C">
        <w:t>(12), 3634-3640.</w:t>
      </w:r>
      <w:r>
        <w:t>https://www.sciencedirect.com/science/article/pii/S1319562X20303375</w:t>
      </w:r>
    </w:p>
    <w:p w14:paraId="5A12FEE1" w14:textId="50F81EB5" w:rsidR="00D7502A" w:rsidRDefault="00D7502A" w:rsidP="00D7502A">
      <w:pPr>
        <w:pStyle w:val="Body"/>
      </w:pPr>
      <w:r>
        <w:t>15.</w:t>
      </w:r>
      <w:r w:rsidR="00EB346C" w:rsidRPr="00EB346C">
        <w:rPr>
          <w:rFonts w:ascii="Arial" w:hAnsi="Arial" w:cs="Arial"/>
          <w:color w:val="222222"/>
          <w:shd w:val="clear" w:color="auto" w:fill="FFFFFF"/>
        </w:rPr>
        <w:t xml:space="preserve"> </w:t>
      </w:r>
      <w:r w:rsidR="00EB346C" w:rsidRPr="00EB346C">
        <w:t xml:space="preserve">Benito, P., Trigueros, S., Celdrán, M., Sánchez, V., Coronado, A., </w:t>
      </w:r>
      <w:proofErr w:type="spellStart"/>
      <w:r w:rsidR="00EB346C" w:rsidRPr="00EB346C">
        <w:t>Bellón</w:t>
      </w:r>
      <w:proofErr w:type="spellEnd"/>
      <w:r w:rsidR="00EB346C" w:rsidRPr="00EB346C">
        <w:t xml:space="preserve">, J., ... &amp; Mulet, J. M. (2025). The combined effect of a newly designed biostimulant and a plant growth-promoting bacterium increases tomato yield under salt stress by increasing the cytokinin </w:t>
      </w:r>
      <w:r w:rsidR="00EB346C" w:rsidRPr="00EB346C">
        <w:lastRenderedPageBreak/>
        <w:t>isopentenyladenine riboside content. </w:t>
      </w:r>
      <w:r w:rsidR="00EB346C" w:rsidRPr="00EB346C">
        <w:rPr>
          <w:i/>
          <w:iCs/>
        </w:rPr>
        <w:t>Chemical and Biological Technologies in Agriculture</w:t>
      </w:r>
      <w:r w:rsidR="00EB346C" w:rsidRPr="00EB346C">
        <w:t>, </w:t>
      </w:r>
      <w:r w:rsidR="00EB346C" w:rsidRPr="00EB346C">
        <w:rPr>
          <w:i/>
          <w:iCs/>
        </w:rPr>
        <w:t>12</w:t>
      </w:r>
      <w:r w:rsidR="00EB346C" w:rsidRPr="00EB346C">
        <w:t>(1), 117.</w:t>
      </w:r>
      <w:r>
        <w:t>https://link.springer.com/article/10.1186/s40538-025-00825-8</w:t>
      </w:r>
    </w:p>
    <w:p w14:paraId="25C8F1E1" w14:textId="77777777" w:rsidR="00D7502A" w:rsidRDefault="00D7502A" w:rsidP="00D7502A">
      <w:pPr>
        <w:pStyle w:val="Body"/>
      </w:pPr>
    </w:p>
    <w:p w14:paraId="35A543B3" w14:textId="2CC57E20" w:rsidR="00D7502A" w:rsidRDefault="00D7502A" w:rsidP="00D7502A">
      <w:pPr>
        <w:pStyle w:val="Body"/>
      </w:pPr>
      <w:r w:rsidRPr="0032473A">
        <w:rPr>
          <w:lang w:val="fr-FR"/>
        </w:rPr>
        <w:t xml:space="preserve">16.Yusuf, R., et al. </w:t>
      </w:r>
      <w:r w:rsidR="00CF1B4E" w:rsidRPr="0032473A">
        <w:rPr>
          <w:lang w:val="fr-FR"/>
        </w:rPr>
        <w:t xml:space="preserve">Yusuf, R., Mahfudz, Muhardi, Syakur, A., Mas’ </w:t>
      </w:r>
      <w:proofErr w:type="spellStart"/>
      <w:r w:rsidR="00CF1B4E" w:rsidRPr="0032473A">
        <w:rPr>
          <w:lang w:val="fr-FR"/>
        </w:rPr>
        <w:t>ud</w:t>
      </w:r>
      <w:proofErr w:type="spellEnd"/>
      <w:r w:rsidR="00CF1B4E" w:rsidRPr="0032473A">
        <w:rPr>
          <w:lang w:val="fr-FR"/>
        </w:rPr>
        <w:t xml:space="preserve">, H., </w:t>
      </w:r>
      <w:proofErr w:type="spellStart"/>
      <w:r w:rsidR="00CF1B4E" w:rsidRPr="0032473A">
        <w:rPr>
          <w:lang w:val="fr-FR"/>
        </w:rPr>
        <w:t>Latarang</w:t>
      </w:r>
      <w:proofErr w:type="spellEnd"/>
      <w:r w:rsidR="00CF1B4E" w:rsidRPr="0032473A">
        <w:rPr>
          <w:lang w:val="fr-FR"/>
        </w:rPr>
        <w:t xml:space="preserve">, B., ... </w:t>
      </w:r>
      <w:r w:rsidR="00CF1B4E" w:rsidRPr="00CF1B4E">
        <w:t>&amp; Kristiansen, P. (2021, March). Application of local seaweed extracts to increase the growth and yield eggplant (Solanum melongena L.). In </w:t>
      </w:r>
      <w:r w:rsidR="00CF1B4E" w:rsidRPr="00CF1B4E">
        <w:rPr>
          <w:i/>
          <w:iCs/>
        </w:rPr>
        <w:t>IOP Conference Series: Earth and Environmental Science</w:t>
      </w:r>
      <w:r w:rsidR="00CF1B4E" w:rsidRPr="00CF1B4E">
        <w:t> (Vol. 681, No. 1, p. 012019). IOP Publishing.</w:t>
      </w:r>
      <w:r>
        <w:t xml:space="preserve"> https://iopscience.iop.org/article/10.1088/1755-1315/681/1/012019/meta </w:t>
      </w:r>
    </w:p>
    <w:p w14:paraId="7B10250A" w14:textId="18A06FE9" w:rsidR="00D7502A" w:rsidRDefault="00D7502A" w:rsidP="00D7502A">
      <w:pPr>
        <w:pStyle w:val="Body"/>
      </w:pPr>
      <w:r>
        <w:t>17.</w:t>
      </w:r>
      <w:r w:rsidR="008F4099" w:rsidRPr="008F4099">
        <w:t xml:space="preserve">Gupta, S., Stirk, W. A., </w:t>
      </w:r>
      <w:proofErr w:type="spellStart"/>
      <w:r w:rsidR="008F4099" w:rsidRPr="008F4099">
        <w:t>Plačková</w:t>
      </w:r>
      <w:proofErr w:type="spellEnd"/>
      <w:r w:rsidR="008F4099" w:rsidRPr="008F4099">
        <w:t>, L., Kulkarni, M. G., Doležal, K., &amp; Van Staden, J. (2021). Interactive effects of plant growth-promoting rhizobacteria and a seaweed extract on the growth and physiology of Allium cepa L.(onion). </w:t>
      </w:r>
      <w:r w:rsidR="008F4099" w:rsidRPr="008F4099">
        <w:rPr>
          <w:i/>
          <w:iCs/>
        </w:rPr>
        <w:t>Journal of Plant Physiology</w:t>
      </w:r>
      <w:r w:rsidR="008F4099" w:rsidRPr="008F4099">
        <w:t>, </w:t>
      </w:r>
      <w:r w:rsidR="008F4099" w:rsidRPr="008F4099">
        <w:rPr>
          <w:i/>
          <w:iCs/>
        </w:rPr>
        <w:t>262</w:t>
      </w:r>
      <w:r w:rsidR="008F4099" w:rsidRPr="008F4099">
        <w:t>, 153437.</w:t>
      </w:r>
      <w:r>
        <w:t xml:space="preserve"> https://www.sciencedirect.com/science/article/abs/pii/S0176161721000766 </w:t>
      </w:r>
    </w:p>
    <w:p w14:paraId="3CEFCBFD" w14:textId="01A4E205" w:rsidR="00D7502A" w:rsidRDefault="00D7502A" w:rsidP="00D7502A">
      <w:pPr>
        <w:pStyle w:val="Body"/>
      </w:pPr>
      <w:r>
        <w:t>18.</w:t>
      </w:r>
      <w:r w:rsidR="006A1376" w:rsidRPr="006A1376">
        <w:t>Ali, W. M., Sultan, S. M., Ali, A. M., Al-Sayed, H. M., Mahmoud, M. A., Ismail, H. G., ... &amp; Yousef, A. F. (2025). Organic fertilizers and Azotobacter: effects on onion growth, yield, metabolites, and soil fertility. </w:t>
      </w:r>
      <w:r w:rsidR="006A1376" w:rsidRPr="006A1376">
        <w:rPr>
          <w:i/>
          <w:iCs/>
        </w:rPr>
        <w:t>AMB Express</w:t>
      </w:r>
      <w:r w:rsidR="006A1376" w:rsidRPr="006A1376">
        <w:t>, </w:t>
      </w:r>
      <w:r w:rsidR="006A1376" w:rsidRPr="006A1376">
        <w:rPr>
          <w:i/>
          <w:iCs/>
        </w:rPr>
        <w:t>15</w:t>
      </w:r>
      <w:r w:rsidR="006A1376" w:rsidRPr="006A1376">
        <w:t>(1), 86.</w:t>
      </w:r>
      <w:r>
        <w:t xml:space="preserve"> https://link.springer.com/article/10.1186/s13568-025-01895-5 </w:t>
      </w:r>
    </w:p>
    <w:p w14:paraId="5B58B56E" w14:textId="6FADD540" w:rsidR="00D7502A" w:rsidRDefault="00D7502A" w:rsidP="00D7502A">
      <w:pPr>
        <w:pStyle w:val="Body"/>
      </w:pPr>
      <w:r>
        <w:t>19.</w:t>
      </w:r>
      <w:r w:rsidR="006A1376" w:rsidRPr="006A1376">
        <w:t xml:space="preserve">Ramadhani, A., </w:t>
      </w:r>
      <w:proofErr w:type="spellStart"/>
      <w:r w:rsidR="006A1376" w:rsidRPr="006A1376">
        <w:t>Aryodya</w:t>
      </w:r>
      <w:proofErr w:type="spellEnd"/>
      <w:r w:rsidR="006A1376" w:rsidRPr="006A1376">
        <w:t>, A. D. A. F., &amp; Maharani, P. N. (2026). The Effect of Seaweed Extract Biostimulant on Growth and Yield of Eggplant (Solanum melongena L.). </w:t>
      </w:r>
      <w:r w:rsidR="006A1376" w:rsidRPr="006A1376">
        <w:rPr>
          <w:i/>
          <w:iCs/>
        </w:rPr>
        <w:t>Agricultural Science</w:t>
      </w:r>
      <w:r w:rsidR="006A1376" w:rsidRPr="006A1376">
        <w:t>, </w:t>
      </w:r>
      <w:r w:rsidR="006A1376" w:rsidRPr="006A1376">
        <w:rPr>
          <w:i/>
          <w:iCs/>
        </w:rPr>
        <w:t>9</w:t>
      </w:r>
      <w:r w:rsidR="006A1376" w:rsidRPr="006A1376">
        <w:t>(2), 237-258.</w:t>
      </w:r>
      <w:r>
        <w:t xml:space="preserve"> https://agriculturalscience.unmerbaya.ac.id/index.php/agriscience/article/view/190 </w:t>
      </w:r>
    </w:p>
    <w:p w14:paraId="128D1311" w14:textId="4AE64DB6" w:rsidR="00D7502A" w:rsidRDefault="00D7502A" w:rsidP="00D7502A">
      <w:pPr>
        <w:pStyle w:val="Body"/>
      </w:pPr>
      <w:r>
        <w:t>20.</w:t>
      </w:r>
      <w:r w:rsidR="00050730" w:rsidRPr="00050730">
        <w:rPr>
          <w:rFonts w:ascii="Arial" w:hAnsi="Arial" w:cs="Arial"/>
          <w:color w:val="222222"/>
          <w:shd w:val="clear" w:color="auto" w:fill="FFFFFF"/>
        </w:rPr>
        <w:t xml:space="preserve"> </w:t>
      </w:r>
      <w:r w:rsidR="00050730" w:rsidRPr="00050730">
        <w:t xml:space="preserve">Lefi, E., Badri, M., Hamed, S. B., Talbi, S., Mnafgui, W., Ludidi, N., &amp; </w:t>
      </w:r>
      <w:proofErr w:type="spellStart"/>
      <w:r w:rsidR="00050730" w:rsidRPr="00050730">
        <w:t>Chaieb</w:t>
      </w:r>
      <w:proofErr w:type="spellEnd"/>
      <w:r w:rsidR="00050730" w:rsidRPr="00050730">
        <w:t>, M. (2023). Influence of brown seaweed (Ecklonia maxima) extract on the morpho-physiological parameters of melon, cucumber, and tomato plants. </w:t>
      </w:r>
      <w:r w:rsidR="00050730" w:rsidRPr="00050730">
        <w:rPr>
          <w:i/>
          <w:iCs/>
        </w:rPr>
        <w:t>Agronomy</w:t>
      </w:r>
      <w:r w:rsidR="00050730" w:rsidRPr="00050730">
        <w:t>, </w:t>
      </w:r>
      <w:r w:rsidR="00050730" w:rsidRPr="00050730">
        <w:rPr>
          <w:i/>
          <w:iCs/>
        </w:rPr>
        <w:t>13</w:t>
      </w:r>
      <w:r w:rsidR="00050730" w:rsidRPr="00050730">
        <w:t>(11), 2745.</w:t>
      </w:r>
      <w:r>
        <w:t>https://www.mdpi.com/2073-4395/13/11/2745</w:t>
      </w:r>
    </w:p>
    <w:p w14:paraId="1A97C687" w14:textId="01F327FA" w:rsidR="00D7502A" w:rsidRDefault="00D7502A" w:rsidP="00D7502A">
      <w:pPr>
        <w:pStyle w:val="Body"/>
      </w:pPr>
      <w:r>
        <w:t>21.</w:t>
      </w:r>
      <w:r w:rsidR="00385455" w:rsidRPr="00385455">
        <w:t xml:space="preserve">Subramaniyan, L., Veerasamy, R., Prabhakaran, J., Selvaraj, A., </w:t>
      </w:r>
      <w:proofErr w:type="spellStart"/>
      <w:r w:rsidR="00385455" w:rsidRPr="00385455">
        <w:t>Algarswamy</w:t>
      </w:r>
      <w:proofErr w:type="spellEnd"/>
      <w:r w:rsidR="00385455" w:rsidRPr="00385455">
        <w:t xml:space="preserve">, S., Karuppasami, K. M., ... &amp; </w:t>
      </w:r>
      <w:proofErr w:type="spellStart"/>
      <w:r w:rsidR="00385455" w:rsidRPr="00385455">
        <w:t>Nalliappan</w:t>
      </w:r>
      <w:proofErr w:type="spellEnd"/>
      <w:r w:rsidR="00385455" w:rsidRPr="00385455">
        <w:t xml:space="preserve">, S. (2023). </w:t>
      </w:r>
      <w:proofErr w:type="spellStart"/>
      <w:r w:rsidR="00385455" w:rsidRPr="00385455">
        <w:t>Biostimulation</w:t>
      </w:r>
      <w:proofErr w:type="spellEnd"/>
      <w:r w:rsidR="00385455" w:rsidRPr="00385455">
        <w:t xml:space="preserve"> effects of seaweed extract (Ascophyllum nodosum) on </w:t>
      </w:r>
      <w:proofErr w:type="spellStart"/>
      <w:r w:rsidR="00385455" w:rsidRPr="00385455">
        <w:t>phytomorpho</w:t>
      </w:r>
      <w:proofErr w:type="spellEnd"/>
      <w:r w:rsidR="00385455" w:rsidRPr="00385455">
        <w:t>-physiological, yield, and quality traits of tomato (Solanum lycopersicum L.). </w:t>
      </w:r>
      <w:r w:rsidR="00385455" w:rsidRPr="00385455">
        <w:rPr>
          <w:i/>
          <w:iCs/>
        </w:rPr>
        <w:t>Horticulturae</w:t>
      </w:r>
      <w:r w:rsidR="00385455" w:rsidRPr="00385455">
        <w:t>, </w:t>
      </w:r>
      <w:r w:rsidR="00385455" w:rsidRPr="00385455">
        <w:rPr>
          <w:i/>
          <w:iCs/>
        </w:rPr>
        <w:t>9</w:t>
      </w:r>
      <w:r w:rsidR="00385455" w:rsidRPr="00385455">
        <w:t>(3), 348.</w:t>
      </w:r>
      <w:r>
        <w:t xml:space="preserve"> https://www.mdpi.com/2311-7524/9/3/348  </w:t>
      </w:r>
    </w:p>
    <w:p w14:paraId="04FF86BF" w14:textId="09A48BCA" w:rsidR="00D7502A" w:rsidRDefault="00D7502A" w:rsidP="00D7502A">
      <w:pPr>
        <w:pStyle w:val="Body"/>
      </w:pPr>
      <w:r>
        <w:t>22.</w:t>
      </w:r>
      <w:r w:rsidR="00141236" w:rsidRPr="00141236">
        <w:t>Dookie, M., Ali, O., Ramsubhag, A., &amp; Jayaraman, J. (2021). Flowering gene regulation in tomato plants treated with brown seaweed extracts. </w:t>
      </w:r>
      <w:r w:rsidR="00141236" w:rsidRPr="00141236">
        <w:rPr>
          <w:i/>
          <w:iCs/>
        </w:rPr>
        <w:t>Scientia Horticulturae</w:t>
      </w:r>
      <w:r w:rsidR="00141236" w:rsidRPr="00141236">
        <w:t>, </w:t>
      </w:r>
      <w:r w:rsidR="00141236" w:rsidRPr="00141236">
        <w:rPr>
          <w:i/>
          <w:iCs/>
        </w:rPr>
        <w:t>276</w:t>
      </w:r>
      <w:r w:rsidR="00141236" w:rsidRPr="00141236">
        <w:t>, 109715.</w:t>
      </w:r>
      <w:r>
        <w:t xml:space="preserve"> https://doi.org/10.1016/j.scienta.2020.109715  </w:t>
      </w:r>
    </w:p>
    <w:p w14:paraId="2835AC99" w14:textId="70B568D7" w:rsidR="00D7502A" w:rsidRDefault="00D7502A" w:rsidP="00D7502A">
      <w:pPr>
        <w:pStyle w:val="Body"/>
      </w:pPr>
      <w:r>
        <w:t>23.</w:t>
      </w:r>
      <w:r w:rsidR="00141236" w:rsidRPr="00141236">
        <w:t xml:space="preserve">Rana, V. S., Sharma, V., Sharma, S., Rana, N., Kumar, V., Sharma, U., ... &amp; </w:t>
      </w:r>
      <w:proofErr w:type="spellStart"/>
      <w:r w:rsidR="00141236" w:rsidRPr="00141236">
        <w:t>Gudeta</w:t>
      </w:r>
      <w:proofErr w:type="spellEnd"/>
      <w:r w:rsidR="00141236" w:rsidRPr="00141236">
        <w:t>, K. (2023). Seaweed extract as a biostimulant agent to enhance the fruit growth, yield, and quality of kiwifruit. </w:t>
      </w:r>
      <w:r w:rsidR="00141236" w:rsidRPr="00141236">
        <w:rPr>
          <w:i/>
          <w:iCs/>
        </w:rPr>
        <w:t>Horticulturae</w:t>
      </w:r>
      <w:r w:rsidR="00141236" w:rsidRPr="00141236">
        <w:t>, </w:t>
      </w:r>
      <w:r w:rsidR="00141236" w:rsidRPr="00141236">
        <w:rPr>
          <w:i/>
          <w:iCs/>
        </w:rPr>
        <w:t>9</w:t>
      </w:r>
      <w:r w:rsidR="00141236" w:rsidRPr="00141236">
        <w:t>(4), 432.</w:t>
      </w:r>
      <w:r>
        <w:t xml:space="preserve"> https://www.mdpi.com/2311-7524/9/4/432</w:t>
      </w:r>
    </w:p>
    <w:p w14:paraId="48260D30" w14:textId="75407896" w:rsidR="00D7502A" w:rsidRDefault="00D7502A" w:rsidP="00D7502A">
      <w:pPr>
        <w:pStyle w:val="Body"/>
      </w:pPr>
      <w:r>
        <w:t>24.</w:t>
      </w:r>
      <w:r w:rsidR="00132234" w:rsidRPr="00132234">
        <w:rPr>
          <w:rFonts w:ascii="Arial" w:hAnsi="Arial" w:cs="Arial"/>
          <w:color w:val="222222"/>
          <w:shd w:val="clear" w:color="auto" w:fill="FFFFFF"/>
        </w:rPr>
        <w:t xml:space="preserve"> </w:t>
      </w:r>
      <w:r w:rsidR="00132234" w:rsidRPr="00132234">
        <w:t>Salih, R. (2025). Role of Algae and Seaweed Extract as Bio-Fertilizer in Improving Growth, Yield, and Yield Components of Roselle (Hibiscus sabdariffa L.). </w:t>
      </w:r>
      <w:r w:rsidR="00132234" w:rsidRPr="00132234">
        <w:rPr>
          <w:i/>
          <w:iCs/>
        </w:rPr>
        <w:t xml:space="preserve">Science Journal of University of </w:t>
      </w:r>
      <w:proofErr w:type="spellStart"/>
      <w:r w:rsidR="00132234" w:rsidRPr="00132234">
        <w:rPr>
          <w:i/>
          <w:iCs/>
        </w:rPr>
        <w:t>Zakho</w:t>
      </w:r>
      <w:proofErr w:type="spellEnd"/>
      <w:r w:rsidR="00132234" w:rsidRPr="00132234">
        <w:t>, </w:t>
      </w:r>
      <w:r w:rsidR="00132234" w:rsidRPr="00132234">
        <w:rPr>
          <w:i/>
          <w:iCs/>
        </w:rPr>
        <w:t>13</w:t>
      </w:r>
      <w:r w:rsidR="00132234" w:rsidRPr="00132234">
        <w:t>(3), 314-319.</w:t>
      </w:r>
      <w:r>
        <w:t xml:space="preserve">https://www.sjuoz.uoz.edu.krd/index.php/sjuoz/article/view/1512 </w:t>
      </w:r>
    </w:p>
    <w:p w14:paraId="5CE4D92B" w14:textId="3AB4593D" w:rsidR="00D7502A" w:rsidRDefault="00D7502A" w:rsidP="00D7502A">
      <w:pPr>
        <w:pStyle w:val="Body"/>
      </w:pPr>
      <w:r w:rsidRPr="0032473A">
        <w:rPr>
          <w:lang w:val="fr-FR"/>
        </w:rPr>
        <w:t>25.</w:t>
      </w:r>
      <w:r w:rsidR="003965AC" w:rsidRPr="0032473A">
        <w:rPr>
          <w:lang w:val="fr-FR"/>
        </w:rPr>
        <w:t xml:space="preserve">Jamili, K. M., </w:t>
      </w:r>
      <w:proofErr w:type="spellStart"/>
      <w:r w:rsidR="003965AC" w:rsidRPr="0032473A">
        <w:rPr>
          <w:lang w:val="fr-FR"/>
        </w:rPr>
        <w:t>Catubis</w:t>
      </w:r>
      <w:proofErr w:type="spellEnd"/>
      <w:r w:rsidR="003965AC" w:rsidRPr="0032473A">
        <w:rPr>
          <w:lang w:val="fr-FR"/>
        </w:rPr>
        <w:t xml:space="preserve">, K. M. L., Pascual, P. R. L., &amp; </w:t>
      </w:r>
      <w:proofErr w:type="spellStart"/>
      <w:r w:rsidR="003965AC" w:rsidRPr="0032473A">
        <w:rPr>
          <w:lang w:val="fr-FR"/>
        </w:rPr>
        <w:t>Cabillo</w:t>
      </w:r>
      <w:proofErr w:type="spellEnd"/>
      <w:r w:rsidR="003965AC" w:rsidRPr="0032473A">
        <w:rPr>
          <w:lang w:val="fr-FR"/>
        </w:rPr>
        <w:t xml:space="preserve">, R. A. (2022). </w:t>
      </w:r>
      <w:r w:rsidR="003965AC" w:rsidRPr="003965AC">
        <w:t>Enhanced growth and yield of eggplant (Solanum melongena L.) applied with seaweed extract. </w:t>
      </w:r>
      <w:r w:rsidR="003965AC" w:rsidRPr="003965AC">
        <w:rPr>
          <w:i/>
          <w:iCs/>
        </w:rPr>
        <w:t xml:space="preserve">Thai </w:t>
      </w:r>
      <w:r w:rsidR="003965AC" w:rsidRPr="003965AC">
        <w:rPr>
          <w:i/>
          <w:iCs/>
        </w:rPr>
        <w:lastRenderedPageBreak/>
        <w:t>Journal of Agricultural Science</w:t>
      </w:r>
      <w:r w:rsidR="003965AC" w:rsidRPr="003965AC">
        <w:t>, </w:t>
      </w:r>
      <w:r w:rsidR="003965AC" w:rsidRPr="003965AC">
        <w:rPr>
          <w:i/>
          <w:iCs/>
        </w:rPr>
        <w:t>55</w:t>
      </w:r>
      <w:r w:rsidR="003965AC" w:rsidRPr="003965AC">
        <w:t>(3), 175-184.</w:t>
      </w:r>
      <w:r>
        <w:t xml:space="preserve"> https://li01.tci-thaijo.org/index.php/TJAS/article/view/255670 </w:t>
      </w:r>
    </w:p>
    <w:p w14:paraId="568B1E28" w14:textId="3CF3B1A2" w:rsidR="00D7502A" w:rsidRDefault="00D7502A" w:rsidP="00D7502A">
      <w:pPr>
        <w:pStyle w:val="Body"/>
      </w:pPr>
      <w:r>
        <w:t>26.</w:t>
      </w:r>
      <w:r w:rsidR="00295EA9" w:rsidRPr="00295EA9">
        <w:t xml:space="preserve">Bura, S., </w:t>
      </w:r>
      <w:proofErr w:type="spellStart"/>
      <w:r w:rsidR="00295EA9" w:rsidRPr="00295EA9">
        <w:t>Jasrotia</w:t>
      </w:r>
      <w:proofErr w:type="spellEnd"/>
      <w:r w:rsidR="00295EA9" w:rsidRPr="00295EA9">
        <w:t>, A., Sharma, A., Bhat, D. J., Chand, G., Bhat, A., ... &amp; Aman. (2025). Use of Different Organic Sources of Nutrients and Azotobacter for Enhancing Fruit Quality and Yield of Dragon Fruit. </w:t>
      </w:r>
      <w:r w:rsidR="00295EA9" w:rsidRPr="00295EA9">
        <w:rPr>
          <w:i/>
          <w:iCs/>
        </w:rPr>
        <w:t>Applied Fruit Science</w:t>
      </w:r>
      <w:r w:rsidR="00295EA9" w:rsidRPr="00295EA9">
        <w:t>, </w:t>
      </w:r>
      <w:r w:rsidR="00295EA9" w:rsidRPr="00295EA9">
        <w:rPr>
          <w:i/>
          <w:iCs/>
        </w:rPr>
        <w:t>67</w:t>
      </w:r>
      <w:r w:rsidR="00295EA9" w:rsidRPr="00295EA9">
        <w:t>(5), 354.</w:t>
      </w:r>
      <w:r>
        <w:t>https://link.springer.com/article/10.1007/s10341-025-01503-7</w:t>
      </w:r>
    </w:p>
    <w:p w14:paraId="472D76A4" w14:textId="7BE8DD96" w:rsidR="00D7502A" w:rsidRDefault="00D7502A" w:rsidP="00D7502A">
      <w:pPr>
        <w:pStyle w:val="Body"/>
      </w:pPr>
      <w:r>
        <w:t>27.</w:t>
      </w:r>
      <w:r w:rsidR="00295EA9" w:rsidRPr="00295EA9">
        <w:t xml:space="preserve">Shabani, E., Ansari, N. A., &amp; </w:t>
      </w:r>
      <w:proofErr w:type="spellStart"/>
      <w:r w:rsidR="00295EA9" w:rsidRPr="00295EA9">
        <w:t>Fayezizadeh</w:t>
      </w:r>
      <w:proofErr w:type="spellEnd"/>
      <w:r w:rsidR="00295EA9" w:rsidRPr="00295EA9">
        <w:t>, M. R. (2023). Plant growth bio-stimulants of seaweed extract (</w:t>
      </w:r>
      <w:proofErr w:type="spellStart"/>
      <w:r w:rsidR="00295EA9" w:rsidRPr="00295EA9">
        <w:t>Sargasum</w:t>
      </w:r>
      <w:proofErr w:type="spellEnd"/>
      <w:r w:rsidR="00295EA9" w:rsidRPr="00295EA9">
        <w:t xml:space="preserve"> </w:t>
      </w:r>
      <w:proofErr w:type="spellStart"/>
      <w:r w:rsidR="00295EA9" w:rsidRPr="00295EA9">
        <w:t>boveanum</w:t>
      </w:r>
      <w:proofErr w:type="spellEnd"/>
      <w:r w:rsidR="00295EA9" w:rsidRPr="00295EA9">
        <w:t>): Implications towards sustainable production of cucumber. </w:t>
      </w:r>
      <w:proofErr w:type="spellStart"/>
      <w:r w:rsidR="00295EA9" w:rsidRPr="00295EA9">
        <w:rPr>
          <w:i/>
          <w:iCs/>
        </w:rPr>
        <w:t>Yuzuncu</w:t>
      </w:r>
      <w:proofErr w:type="spellEnd"/>
      <w:r w:rsidR="00295EA9" w:rsidRPr="00295EA9">
        <w:rPr>
          <w:i/>
          <w:iCs/>
        </w:rPr>
        <w:t xml:space="preserve"> </w:t>
      </w:r>
      <w:proofErr w:type="spellStart"/>
      <w:r w:rsidR="00295EA9" w:rsidRPr="00295EA9">
        <w:rPr>
          <w:i/>
          <w:iCs/>
        </w:rPr>
        <w:t>Yıl</w:t>
      </w:r>
      <w:proofErr w:type="spellEnd"/>
      <w:r w:rsidR="00295EA9" w:rsidRPr="00295EA9">
        <w:rPr>
          <w:i/>
          <w:iCs/>
        </w:rPr>
        <w:t xml:space="preserve"> University Journal of Agricultural Sciences</w:t>
      </w:r>
      <w:r w:rsidR="00295EA9" w:rsidRPr="00295EA9">
        <w:t>, </w:t>
      </w:r>
      <w:r w:rsidR="00295EA9" w:rsidRPr="00295EA9">
        <w:rPr>
          <w:i/>
          <w:iCs/>
        </w:rPr>
        <w:t>33</w:t>
      </w:r>
      <w:r w:rsidR="00295EA9" w:rsidRPr="00295EA9">
        <w:t>(3), 478-490.</w:t>
      </w:r>
      <w:r>
        <w:t xml:space="preserve"> https://dergipark.org.tr/en/pub/yyutbd/article/1288078</w:t>
      </w:r>
    </w:p>
    <w:p w14:paraId="02DE379B" w14:textId="62E5FFF4" w:rsidR="00D7502A" w:rsidRDefault="00D7502A" w:rsidP="00D7502A">
      <w:pPr>
        <w:pStyle w:val="Body"/>
      </w:pPr>
      <w:r>
        <w:t>28.</w:t>
      </w:r>
      <w:r w:rsidR="00B341D4" w:rsidRPr="00B341D4">
        <w:t>Li, J., Brecht, J. K., Kim, J., Bailey, L. S., Kamat, M. N., Basso, K. B., ... &amp; Zhao, X. (2024). Seaweed extract and microbial biostimulants show synergistic effects on improving organic strawberry production. </w:t>
      </w:r>
      <w:proofErr w:type="spellStart"/>
      <w:r w:rsidR="00B341D4" w:rsidRPr="00B341D4">
        <w:rPr>
          <w:i/>
          <w:iCs/>
        </w:rPr>
        <w:t>HortScience</w:t>
      </w:r>
      <w:proofErr w:type="spellEnd"/>
      <w:r w:rsidR="00B341D4" w:rsidRPr="00B341D4">
        <w:t>, </w:t>
      </w:r>
      <w:r w:rsidR="00B341D4" w:rsidRPr="00B341D4">
        <w:rPr>
          <w:i/>
          <w:iCs/>
        </w:rPr>
        <w:t>59</w:t>
      </w:r>
      <w:r w:rsidR="00B341D4" w:rsidRPr="00B341D4">
        <w:t>(8), 1114-1126.</w:t>
      </w:r>
      <w:r>
        <w:t xml:space="preserve">https://journals.ashs.org/view/journals/hortsci/59/8/article-p1114.xml </w:t>
      </w:r>
    </w:p>
    <w:p w14:paraId="2207F73F" w14:textId="25BB357D" w:rsidR="00D7502A" w:rsidRDefault="00D7502A" w:rsidP="00D7502A">
      <w:pPr>
        <w:pStyle w:val="Body"/>
      </w:pPr>
      <w:r>
        <w:t>29.</w:t>
      </w:r>
      <w:r w:rsidR="000D3259" w:rsidRPr="000D3259">
        <w:t>Mukherjee, A., &amp; Patel, J. S. (2020). Seaweed extract: biostimulator of plant defense and plant productivity. </w:t>
      </w:r>
      <w:r w:rsidR="000D3259" w:rsidRPr="000D3259">
        <w:rPr>
          <w:i/>
          <w:iCs/>
        </w:rPr>
        <w:t>International Journal of Environmental Science and Technology</w:t>
      </w:r>
      <w:r w:rsidR="000D3259" w:rsidRPr="000D3259">
        <w:t>, </w:t>
      </w:r>
      <w:r w:rsidR="000D3259" w:rsidRPr="000D3259">
        <w:rPr>
          <w:i/>
          <w:iCs/>
        </w:rPr>
        <w:t>17</w:t>
      </w:r>
      <w:r w:rsidR="000D3259" w:rsidRPr="000D3259">
        <w:t>(1), 553-558.</w:t>
      </w:r>
      <w:r>
        <w:t>https://link.springer.com/article/10.1007/s13762-019-02442-z</w:t>
      </w:r>
    </w:p>
    <w:sectPr w:rsidR="00D7502A" w:rsidSect="006C7F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830" w14:textId="77777777" w:rsidR="00AD3D01" w:rsidRDefault="00AD3D01" w:rsidP="00C37E61">
      <w:r>
        <w:separator/>
      </w:r>
    </w:p>
  </w:endnote>
  <w:endnote w:type="continuationSeparator" w:id="0">
    <w:p w14:paraId="2C9DE543" w14:textId="77777777" w:rsidR="00AD3D01" w:rsidRDefault="00AD3D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C10D" w14:textId="77777777" w:rsidR="006C7F50" w:rsidRDefault="006C7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1DD1" w14:textId="77777777" w:rsidR="006C7F50" w:rsidRDefault="006C7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6B10" w14:textId="77777777" w:rsidR="009E048A" w:rsidRDefault="009E048A">
    <w:pPr>
      <w:pStyle w:val="Footer"/>
      <w:rPr>
        <w:rFonts w:ascii="Arial" w:hAnsi="Arial" w:cs="Arial"/>
        <w:sz w:val="16"/>
      </w:rPr>
    </w:pPr>
  </w:p>
  <w:p w14:paraId="21C547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62B74A" w14:textId="77777777" w:rsidR="009E048A" w:rsidRDefault="009E048A">
    <w:pPr>
      <w:pStyle w:val="Footer"/>
      <w:rPr>
        <w:rFonts w:ascii="Arial" w:hAnsi="Arial" w:cs="Arial"/>
        <w:sz w:val="16"/>
      </w:rPr>
    </w:pPr>
  </w:p>
  <w:p w14:paraId="6E1E48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5F34" w14:textId="77777777" w:rsidR="00AD3D01" w:rsidRDefault="00AD3D01" w:rsidP="00C37E61">
      <w:r>
        <w:separator/>
      </w:r>
    </w:p>
  </w:footnote>
  <w:footnote w:type="continuationSeparator" w:id="0">
    <w:p w14:paraId="40C8A112" w14:textId="77777777" w:rsidR="00AD3D01" w:rsidRDefault="00AD3D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1A03" w14:textId="1F14C124" w:rsidR="006C7F50" w:rsidRDefault="00000000">
    <w:pPr>
      <w:pStyle w:val="Header"/>
    </w:pPr>
    <w:r>
      <w:rPr>
        <w:noProof/>
      </w:rPr>
      <w:pict w14:anchorId="5C360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C57E" w14:textId="61D453E5" w:rsidR="006C7F50" w:rsidRDefault="00000000">
    <w:pPr>
      <w:pStyle w:val="Header"/>
    </w:pPr>
    <w:r>
      <w:rPr>
        <w:noProof/>
      </w:rPr>
      <w:pict w14:anchorId="66017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7179" w14:textId="3DE140D4" w:rsidR="00296529" w:rsidRPr="00296529" w:rsidRDefault="00000000" w:rsidP="00296529">
    <w:pPr>
      <w:ind w:left="2160"/>
      <w:jc w:val="center"/>
      <w:rPr>
        <w:rFonts w:ascii="Times New Roman" w:eastAsia="Calibri" w:hAnsi="Times New Roman"/>
        <w:i/>
        <w:sz w:val="18"/>
        <w:szCs w:val="22"/>
      </w:rPr>
    </w:pPr>
    <w:r>
      <w:rPr>
        <w:noProof/>
      </w:rPr>
      <w:pict w14:anchorId="229B6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BF0F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AFE1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5F25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369C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1305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E49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863849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4006349">
    <w:abstractNumId w:val="15"/>
  </w:num>
  <w:num w:numId="3" w16cid:durableId="862400093">
    <w:abstractNumId w:val="23"/>
  </w:num>
  <w:num w:numId="4" w16cid:durableId="244531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34713072">
    <w:abstractNumId w:val="7"/>
  </w:num>
  <w:num w:numId="6" w16cid:durableId="870414482">
    <w:abstractNumId w:val="6"/>
  </w:num>
  <w:num w:numId="7" w16cid:durableId="1281689623">
    <w:abstractNumId w:val="1"/>
  </w:num>
  <w:num w:numId="8" w16cid:durableId="1844128992">
    <w:abstractNumId w:val="12"/>
  </w:num>
  <w:num w:numId="9" w16cid:durableId="434911822">
    <w:abstractNumId w:val="25"/>
  </w:num>
  <w:num w:numId="10" w16cid:durableId="72092410">
    <w:abstractNumId w:val="2"/>
  </w:num>
  <w:num w:numId="11" w16cid:durableId="413860442">
    <w:abstractNumId w:val="18"/>
  </w:num>
  <w:num w:numId="12" w16cid:durableId="1035619842">
    <w:abstractNumId w:val="3"/>
  </w:num>
  <w:num w:numId="13" w16cid:durableId="2118524368">
    <w:abstractNumId w:val="17"/>
  </w:num>
  <w:num w:numId="14" w16cid:durableId="1527215621">
    <w:abstractNumId w:val="8"/>
  </w:num>
  <w:num w:numId="15" w16cid:durableId="984967277">
    <w:abstractNumId w:val="21"/>
  </w:num>
  <w:num w:numId="16" w16cid:durableId="604925398">
    <w:abstractNumId w:val="5"/>
  </w:num>
  <w:num w:numId="17" w16cid:durableId="1110006962">
    <w:abstractNumId w:val="22"/>
  </w:num>
  <w:num w:numId="18" w16cid:durableId="1525246213">
    <w:abstractNumId w:val="14"/>
  </w:num>
  <w:num w:numId="19" w16cid:durableId="726150809">
    <w:abstractNumId w:val="28"/>
  </w:num>
  <w:num w:numId="20" w16cid:durableId="1425150578">
    <w:abstractNumId w:val="11"/>
  </w:num>
  <w:num w:numId="21" w16cid:durableId="844438334">
    <w:abstractNumId w:val="9"/>
  </w:num>
  <w:num w:numId="22" w16cid:durableId="288706166">
    <w:abstractNumId w:val="13"/>
  </w:num>
  <w:num w:numId="23" w16cid:durableId="2068991553">
    <w:abstractNumId w:val="19"/>
  </w:num>
  <w:num w:numId="24" w16cid:durableId="1637182743">
    <w:abstractNumId w:val="26"/>
  </w:num>
  <w:num w:numId="25" w16cid:durableId="1005399544">
    <w:abstractNumId w:val="4"/>
  </w:num>
  <w:num w:numId="26" w16cid:durableId="1971091969">
    <w:abstractNumId w:val="16"/>
  </w:num>
  <w:num w:numId="27" w16cid:durableId="366099680">
    <w:abstractNumId w:val="20"/>
  </w:num>
  <w:num w:numId="28" w16cid:durableId="1065420524">
    <w:abstractNumId w:val="27"/>
  </w:num>
  <w:num w:numId="29" w16cid:durableId="697701674">
    <w:abstractNumId w:val="24"/>
  </w:num>
  <w:num w:numId="30" w16cid:durableId="1297878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CEC"/>
    <w:rsid w:val="00017703"/>
    <w:rsid w:val="00030174"/>
    <w:rsid w:val="0004579C"/>
    <w:rsid w:val="00050730"/>
    <w:rsid w:val="000A2F17"/>
    <w:rsid w:val="000A47FA"/>
    <w:rsid w:val="000A65D3"/>
    <w:rsid w:val="000B1E33"/>
    <w:rsid w:val="000D156C"/>
    <w:rsid w:val="000D3259"/>
    <w:rsid w:val="000D689F"/>
    <w:rsid w:val="000E7B7B"/>
    <w:rsid w:val="000E7D62"/>
    <w:rsid w:val="00103357"/>
    <w:rsid w:val="001114AF"/>
    <w:rsid w:val="00116F7C"/>
    <w:rsid w:val="00123C9F"/>
    <w:rsid w:val="00126190"/>
    <w:rsid w:val="00130F17"/>
    <w:rsid w:val="001320BF"/>
    <w:rsid w:val="00132234"/>
    <w:rsid w:val="00141236"/>
    <w:rsid w:val="001455F1"/>
    <w:rsid w:val="00163BC4"/>
    <w:rsid w:val="00175374"/>
    <w:rsid w:val="00191062"/>
    <w:rsid w:val="00192B72"/>
    <w:rsid w:val="001A29D8"/>
    <w:rsid w:val="001A2B66"/>
    <w:rsid w:val="001A5CAA"/>
    <w:rsid w:val="001A6C1B"/>
    <w:rsid w:val="001B0427"/>
    <w:rsid w:val="001B60B5"/>
    <w:rsid w:val="001B68FD"/>
    <w:rsid w:val="001C42CA"/>
    <w:rsid w:val="001D3A51"/>
    <w:rsid w:val="001E10D2"/>
    <w:rsid w:val="001E25B4"/>
    <w:rsid w:val="001E44FE"/>
    <w:rsid w:val="001F1A6C"/>
    <w:rsid w:val="001F1B3F"/>
    <w:rsid w:val="00200595"/>
    <w:rsid w:val="00204835"/>
    <w:rsid w:val="00231920"/>
    <w:rsid w:val="0023195C"/>
    <w:rsid w:val="00231ABC"/>
    <w:rsid w:val="0024282C"/>
    <w:rsid w:val="002460DC"/>
    <w:rsid w:val="00250985"/>
    <w:rsid w:val="00250E34"/>
    <w:rsid w:val="002556F6"/>
    <w:rsid w:val="00280333"/>
    <w:rsid w:val="00283105"/>
    <w:rsid w:val="00284C4C"/>
    <w:rsid w:val="00287E68"/>
    <w:rsid w:val="00295EA9"/>
    <w:rsid w:val="00296529"/>
    <w:rsid w:val="002A4AAC"/>
    <w:rsid w:val="002B27FB"/>
    <w:rsid w:val="002B685A"/>
    <w:rsid w:val="002B7EF6"/>
    <w:rsid w:val="002C57D2"/>
    <w:rsid w:val="002D7580"/>
    <w:rsid w:val="002E0D56"/>
    <w:rsid w:val="00315186"/>
    <w:rsid w:val="0032473A"/>
    <w:rsid w:val="0033343E"/>
    <w:rsid w:val="00336C60"/>
    <w:rsid w:val="003512C2"/>
    <w:rsid w:val="00370292"/>
    <w:rsid w:val="00371FB6"/>
    <w:rsid w:val="003763C1"/>
    <w:rsid w:val="00376BBE"/>
    <w:rsid w:val="00385455"/>
    <w:rsid w:val="003918E3"/>
    <w:rsid w:val="0039224F"/>
    <w:rsid w:val="003965AC"/>
    <w:rsid w:val="003A28B4"/>
    <w:rsid w:val="003A43A4"/>
    <w:rsid w:val="003A7E18"/>
    <w:rsid w:val="003C4C86"/>
    <w:rsid w:val="003C6258"/>
    <w:rsid w:val="003E019A"/>
    <w:rsid w:val="003E205E"/>
    <w:rsid w:val="003E2904"/>
    <w:rsid w:val="003F480A"/>
    <w:rsid w:val="00401927"/>
    <w:rsid w:val="004023A0"/>
    <w:rsid w:val="0041027F"/>
    <w:rsid w:val="00412475"/>
    <w:rsid w:val="00423789"/>
    <w:rsid w:val="00440F43"/>
    <w:rsid w:val="00441B6F"/>
    <w:rsid w:val="00446221"/>
    <w:rsid w:val="00450E62"/>
    <w:rsid w:val="004539DB"/>
    <w:rsid w:val="004575E2"/>
    <w:rsid w:val="00471A80"/>
    <w:rsid w:val="00475816"/>
    <w:rsid w:val="004B0E89"/>
    <w:rsid w:val="004B29FD"/>
    <w:rsid w:val="004C4C0E"/>
    <w:rsid w:val="004D305E"/>
    <w:rsid w:val="004D4277"/>
    <w:rsid w:val="004E52F5"/>
    <w:rsid w:val="004F1071"/>
    <w:rsid w:val="00502516"/>
    <w:rsid w:val="00505F06"/>
    <w:rsid w:val="00506828"/>
    <w:rsid w:val="00512F74"/>
    <w:rsid w:val="00524766"/>
    <w:rsid w:val="0053056E"/>
    <w:rsid w:val="00536DAB"/>
    <w:rsid w:val="00554FDA"/>
    <w:rsid w:val="00571DA1"/>
    <w:rsid w:val="00572DC6"/>
    <w:rsid w:val="005773AB"/>
    <w:rsid w:val="005C784C"/>
    <w:rsid w:val="005D17F6"/>
    <w:rsid w:val="005D5976"/>
    <w:rsid w:val="005E5539"/>
    <w:rsid w:val="00602BF5"/>
    <w:rsid w:val="00606F3D"/>
    <w:rsid w:val="00617EE2"/>
    <w:rsid w:val="00617FDD"/>
    <w:rsid w:val="00633614"/>
    <w:rsid w:val="00633F68"/>
    <w:rsid w:val="00636EB2"/>
    <w:rsid w:val="006375B8"/>
    <w:rsid w:val="006429FA"/>
    <w:rsid w:val="0064585C"/>
    <w:rsid w:val="00652B72"/>
    <w:rsid w:val="006532A4"/>
    <w:rsid w:val="0066510A"/>
    <w:rsid w:val="00673F9F"/>
    <w:rsid w:val="00686953"/>
    <w:rsid w:val="00687D3B"/>
    <w:rsid w:val="00687DEA"/>
    <w:rsid w:val="00687E67"/>
    <w:rsid w:val="006967F7"/>
    <w:rsid w:val="00697FA5"/>
    <w:rsid w:val="006A1376"/>
    <w:rsid w:val="006A250C"/>
    <w:rsid w:val="006B21D3"/>
    <w:rsid w:val="006B57D0"/>
    <w:rsid w:val="006C7F50"/>
    <w:rsid w:val="006D30FF"/>
    <w:rsid w:val="006D6940"/>
    <w:rsid w:val="006F11EC"/>
    <w:rsid w:val="0070082C"/>
    <w:rsid w:val="007226E2"/>
    <w:rsid w:val="00730ECE"/>
    <w:rsid w:val="00733690"/>
    <w:rsid w:val="007357E8"/>
    <w:rsid w:val="007369E6"/>
    <w:rsid w:val="00746E59"/>
    <w:rsid w:val="00754C9A"/>
    <w:rsid w:val="0075599A"/>
    <w:rsid w:val="00761D52"/>
    <w:rsid w:val="00765725"/>
    <w:rsid w:val="00767C1C"/>
    <w:rsid w:val="0077749E"/>
    <w:rsid w:val="00790ADA"/>
    <w:rsid w:val="007D2288"/>
    <w:rsid w:val="007E088F"/>
    <w:rsid w:val="007F3BBA"/>
    <w:rsid w:val="007F7B32"/>
    <w:rsid w:val="00804BC2"/>
    <w:rsid w:val="0081431A"/>
    <w:rsid w:val="0083216F"/>
    <w:rsid w:val="00860000"/>
    <w:rsid w:val="00863BD3"/>
    <w:rsid w:val="008641ED"/>
    <w:rsid w:val="00866D66"/>
    <w:rsid w:val="008671C6"/>
    <w:rsid w:val="00871226"/>
    <w:rsid w:val="00875803"/>
    <w:rsid w:val="00893F04"/>
    <w:rsid w:val="008B459E"/>
    <w:rsid w:val="008E13AE"/>
    <w:rsid w:val="008E1506"/>
    <w:rsid w:val="008E710C"/>
    <w:rsid w:val="008F2B4F"/>
    <w:rsid w:val="008F4099"/>
    <w:rsid w:val="008F69D6"/>
    <w:rsid w:val="00902823"/>
    <w:rsid w:val="009153A8"/>
    <w:rsid w:val="00915CA6"/>
    <w:rsid w:val="00927834"/>
    <w:rsid w:val="009500A6"/>
    <w:rsid w:val="00952C2E"/>
    <w:rsid w:val="00957C18"/>
    <w:rsid w:val="009601DC"/>
    <w:rsid w:val="009659BA"/>
    <w:rsid w:val="00973421"/>
    <w:rsid w:val="00983040"/>
    <w:rsid w:val="009A20F4"/>
    <w:rsid w:val="009B3FB9"/>
    <w:rsid w:val="009C2465"/>
    <w:rsid w:val="009D35A0"/>
    <w:rsid w:val="009D4154"/>
    <w:rsid w:val="009D7EB7"/>
    <w:rsid w:val="009E048A"/>
    <w:rsid w:val="009E08E9"/>
    <w:rsid w:val="009E3DB9"/>
    <w:rsid w:val="009E6E35"/>
    <w:rsid w:val="009F0EDA"/>
    <w:rsid w:val="00A03B96"/>
    <w:rsid w:val="00A05B19"/>
    <w:rsid w:val="00A1134E"/>
    <w:rsid w:val="00A24E7E"/>
    <w:rsid w:val="00A258C3"/>
    <w:rsid w:val="00A26EF8"/>
    <w:rsid w:val="00A331E1"/>
    <w:rsid w:val="00A347C0"/>
    <w:rsid w:val="00A37AB4"/>
    <w:rsid w:val="00A40C84"/>
    <w:rsid w:val="00A51431"/>
    <w:rsid w:val="00A539AD"/>
    <w:rsid w:val="00A61E3B"/>
    <w:rsid w:val="00A76DAA"/>
    <w:rsid w:val="00A94063"/>
    <w:rsid w:val="00A96825"/>
    <w:rsid w:val="00AA1FA1"/>
    <w:rsid w:val="00AA6219"/>
    <w:rsid w:val="00AA74E0"/>
    <w:rsid w:val="00AB00EC"/>
    <w:rsid w:val="00AB1846"/>
    <w:rsid w:val="00AB703F"/>
    <w:rsid w:val="00AC6BB8"/>
    <w:rsid w:val="00AD3D01"/>
    <w:rsid w:val="00AE008F"/>
    <w:rsid w:val="00AE6807"/>
    <w:rsid w:val="00AF64DB"/>
    <w:rsid w:val="00B01FCD"/>
    <w:rsid w:val="00B1179C"/>
    <w:rsid w:val="00B1776C"/>
    <w:rsid w:val="00B341D4"/>
    <w:rsid w:val="00B52583"/>
    <w:rsid w:val="00B52709"/>
    <w:rsid w:val="00B52896"/>
    <w:rsid w:val="00B63764"/>
    <w:rsid w:val="00B8323E"/>
    <w:rsid w:val="00B95236"/>
    <w:rsid w:val="00B96BD9"/>
    <w:rsid w:val="00BA1B01"/>
    <w:rsid w:val="00BA2641"/>
    <w:rsid w:val="00BB37AA"/>
    <w:rsid w:val="00BB6995"/>
    <w:rsid w:val="00BC53A0"/>
    <w:rsid w:val="00BE62AD"/>
    <w:rsid w:val="00BF121F"/>
    <w:rsid w:val="00BF1F80"/>
    <w:rsid w:val="00C166EF"/>
    <w:rsid w:val="00C17EB0"/>
    <w:rsid w:val="00C27F5F"/>
    <w:rsid w:val="00C30A0F"/>
    <w:rsid w:val="00C37E61"/>
    <w:rsid w:val="00C70F1B"/>
    <w:rsid w:val="00C71A47"/>
    <w:rsid w:val="00C7464C"/>
    <w:rsid w:val="00C75EF7"/>
    <w:rsid w:val="00C765DD"/>
    <w:rsid w:val="00C85588"/>
    <w:rsid w:val="00CA1B35"/>
    <w:rsid w:val="00CB32FC"/>
    <w:rsid w:val="00CD6755"/>
    <w:rsid w:val="00CD6856"/>
    <w:rsid w:val="00CE0089"/>
    <w:rsid w:val="00CE0882"/>
    <w:rsid w:val="00CE793C"/>
    <w:rsid w:val="00CF193C"/>
    <w:rsid w:val="00CF1B4E"/>
    <w:rsid w:val="00D173F1"/>
    <w:rsid w:val="00D35ED0"/>
    <w:rsid w:val="00D4247A"/>
    <w:rsid w:val="00D45628"/>
    <w:rsid w:val="00D6066C"/>
    <w:rsid w:val="00D72F28"/>
    <w:rsid w:val="00D74CB0"/>
    <w:rsid w:val="00D7502A"/>
    <w:rsid w:val="00D8295D"/>
    <w:rsid w:val="00DA2300"/>
    <w:rsid w:val="00DB1EA2"/>
    <w:rsid w:val="00DC2A65"/>
    <w:rsid w:val="00DE15F0"/>
    <w:rsid w:val="00DE5663"/>
    <w:rsid w:val="00DE78AA"/>
    <w:rsid w:val="00E00410"/>
    <w:rsid w:val="00E053D0"/>
    <w:rsid w:val="00E07869"/>
    <w:rsid w:val="00E15994"/>
    <w:rsid w:val="00E3114E"/>
    <w:rsid w:val="00E31A70"/>
    <w:rsid w:val="00E35B02"/>
    <w:rsid w:val="00E41729"/>
    <w:rsid w:val="00E66496"/>
    <w:rsid w:val="00E66B35"/>
    <w:rsid w:val="00E66E10"/>
    <w:rsid w:val="00E67AFD"/>
    <w:rsid w:val="00E769F6"/>
    <w:rsid w:val="00E8407C"/>
    <w:rsid w:val="00E84F3C"/>
    <w:rsid w:val="00EA012C"/>
    <w:rsid w:val="00EB11FF"/>
    <w:rsid w:val="00EB346C"/>
    <w:rsid w:val="00EC6A55"/>
    <w:rsid w:val="00EC7B7E"/>
    <w:rsid w:val="00ED0288"/>
    <w:rsid w:val="00ED4CCB"/>
    <w:rsid w:val="00EE52CB"/>
    <w:rsid w:val="00EF115B"/>
    <w:rsid w:val="00EF1C53"/>
    <w:rsid w:val="00EF581D"/>
    <w:rsid w:val="00EF7FD8"/>
    <w:rsid w:val="00F06F59"/>
    <w:rsid w:val="00F17988"/>
    <w:rsid w:val="00F469F0"/>
    <w:rsid w:val="00F53273"/>
    <w:rsid w:val="00F55C2F"/>
    <w:rsid w:val="00F755E4"/>
    <w:rsid w:val="00F77D02"/>
    <w:rsid w:val="00F9577B"/>
    <w:rsid w:val="00FB3A86"/>
    <w:rsid w:val="00FD0D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7352C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EB11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5F53C-CD8C-4750-97C4-7DB47416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194</TotalTime>
  <Pages>11</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TejaSree akkiraju</cp:lastModifiedBy>
  <cp:revision>20</cp:revision>
  <cp:lastPrinted>1999-07-06T11:00:00Z</cp:lastPrinted>
  <dcterms:created xsi:type="dcterms:W3CDTF">2014-10-25T14:34:00Z</dcterms:created>
  <dcterms:modified xsi:type="dcterms:W3CDTF">2026-04-06T09:40:00Z</dcterms:modified>
</cp:coreProperties>
</file>