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DC339" w14:textId="77777777" w:rsidR="004C5C1B" w:rsidRDefault="004C5C1B" w:rsidP="00441B6F">
      <w:pPr>
        <w:pStyle w:val="Author"/>
        <w:spacing w:line="240" w:lineRule="auto"/>
        <w:rPr>
          <w:rFonts w:ascii="Arial" w:hAnsi="Arial" w:cs="Arial"/>
          <w:bCs/>
          <w:iCs/>
          <w:kern w:val="28"/>
          <w:sz w:val="36"/>
        </w:rPr>
      </w:pPr>
    </w:p>
    <w:p w14:paraId="6E9D69E1" w14:textId="2026FBA3" w:rsidR="00163BC4" w:rsidRPr="00163BC4" w:rsidRDefault="004A486A" w:rsidP="00441B6F">
      <w:pPr>
        <w:pStyle w:val="Author"/>
        <w:spacing w:line="240" w:lineRule="auto"/>
        <w:rPr>
          <w:rFonts w:ascii="Arial" w:hAnsi="Arial" w:cs="Arial"/>
          <w:bCs/>
          <w:iCs/>
          <w:kern w:val="28"/>
          <w:sz w:val="36"/>
        </w:rPr>
      </w:pPr>
      <w:r w:rsidRPr="004A486A">
        <w:rPr>
          <w:rFonts w:ascii="Arial" w:hAnsi="Arial" w:cs="Arial"/>
          <w:bCs/>
          <w:iCs/>
          <w:kern w:val="28"/>
          <w:sz w:val="36"/>
        </w:rPr>
        <w:t xml:space="preserve">A Multinomial Logit Analysis of Livelihood Assets and Household Strategies in </w:t>
      </w:r>
      <w:proofErr w:type="spellStart"/>
      <w:r w:rsidRPr="004A486A">
        <w:rPr>
          <w:rFonts w:ascii="Arial" w:hAnsi="Arial" w:cs="Arial"/>
          <w:bCs/>
          <w:iCs/>
          <w:kern w:val="28"/>
          <w:sz w:val="36"/>
        </w:rPr>
        <w:t>Kanem</w:t>
      </w:r>
      <w:proofErr w:type="spellEnd"/>
      <w:r w:rsidRPr="004A486A">
        <w:rPr>
          <w:rFonts w:ascii="Arial" w:hAnsi="Arial" w:cs="Arial"/>
          <w:bCs/>
          <w:iCs/>
          <w:kern w:val="28"/>
          <w:sz w:val="36"/>
        </w:rPr>
        <w:t>, Chad</w:t>
      </w:r>
      <w:r w:rsidR="00231920">
        <w:rPr>
          <w:rFonts w:ascii="Arial" w:hAnsi="Arial" w:cs="Arial"/>
          <w:bCs/>
          <w:iCs/>
          <w:kern w:val="28"/>
          <w:sz w:val="36"/>
        </w:rPr>
        <w:t xml:space="preserve"> </w:t>
      </w:r>
    </w:p>
    <w:p w14:paraId="27F3D287" w14:textId="77777777" w:rsidR="00A258C3" w:rsidRPr="00790ADA" w:rsidRDefault="00A258C3" w:rsidP="00441B6F">
      <w:pPr>
        <w:pStyle w:val="Author"/>
        <w:spacing w:line="240" w:lineRule="auto"/>
        <w:jc w:val="both"/>
        <w:rPr>
          <w:rFonts w:ascii="Arial" w:hAnsi="Arial" w:cs="Arial"/>
          <w:sz w:val="36"/>
        </w:rPr>
      </w:pPr>
    </w:p>
    <w:p w14:paraId="7DAB07FD" w14:textId="77777777" w:rsidR="002C57D2" w:rsidRPr="00FB3A86" w:rsidRDefault="002C57D2" w:rsidP="00441B6F">
      <w:pPr>
        <w:pStyle w:val="Affiliation"/>
        <w:spacing w:after="0" w:line="240" w:lineRule="auto"/>
        <w:jc w:val="both"/>
        <w:rPr>
          <w:rFonts w:ascii="Arial" w:hAnsi="Arial" w:cs="Arial"/>
        </w:rPr>
      </w:pPr>
    </w:p>
    <w:p w14:paraId="255E8034" w14:textId="77777777" w:rsidR="00B01FCD" w:rsidRPr="00FB3A86" w:rsidRDefault="00A22F11" w:rsidP="00441B6F">
      <w:pPr>
        <w:pStyle w:val="Copyright"/>
        <w:spacing w:after="0" w:line="240" w:lineRule="auto"/>
        <w:jc w:val="both"/>
        <w:rPr>
          <w:rFonts w:ascii="Arial" w:hAnsi="Arial" w:cs="Arial"/>
        </w:rPr>
        <w:sectPr w:rsidR="00B01FCD" w:rsidRPr="00FB3A86" w:rsidSect="000B53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E6AD30F" wp14:editId="732FB319">
                <wp:extent cx="5303520" cy="0"/>
                <wp:effectExtent l="11430" t="9525" r="9525" b="95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643B0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r90o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CFF512" w14:textId="77777777" w:rsidTr="004A486A">
        <w:tc>
          <w:tcPr>
            <w:tcW w:w="8424" w:type="dxa"/>
            <w:shd w:val="clear" w:color="auto" w:fill="F2F2F2"/>
          </w:tcPr>
          <w:p w14:paraId="35691825" w14:textId="77777777" w:rsidR="004A486A" w:rsidRPr="004A486A" w:rsidRDefault="004A486A" w:rsidP="004A486A">
            <w:pPr>
              <w:pStyle w:val="Body"/>
              <w:spacing w:after="120"/>
              <w:rPr>
                <w:rFonts w:ascii="Arial" w:eastAsia="Calibri" w:hAnsi="Arial" w:cs="Arial"/>
                <w:b/>
                <w:sz w:val="22"/>
                <w:szCs w:val="22"/>
              </w:rPr>
            </w:pPr>
            <w:r w:rsidRPr="004A486A">
              <w:rPr>
                <w:rFonts w:ascii="Arial" w:eastAsia="Calibri" w:hAnsi="Arial" w:cs="Arial"/>
                <w:b/>
                <w:sz w:val="22"/>
                <w:szCs w:val="22"/>
              </w:rPr>
              <w:t>Abstract:</w:t>
            </w:r>
          </w:p>
          <w:p w14:paraId="1BD00156" w14:textId="2398743E" w:rsidR="00505F06" w:rsidRPr="00BA1B01" w:rsidRDefault="0044679F" w:rsidP="004A486A">
            <w:pPr>
              <w:pStyle w:val="Body"/>
              <w:spacing w:after="120"/>
              <w:rPr>
                <w:rFonts w:ascii="Arial" w:eastAsia="Calibri" w:hAnsi="Arial" w:cs="Arial"/>
                <w:szCs w:val="22"/>
              </w:rPr>
            </w:pPr>
            <w:r w:rsidRPr="0044679F">
              <w:rPr>
                <w:rFonts w:ascii="Arial" w:eastAsia="Calibri" w:hAnsi="Arial" w:cs="Arial"/>
                <w:sz w:val="22"/>
                <w:szCs w:val="22"/>
              </w:rPr>
              <w:t xml:space="preserve">In sub-Saharan Africa, including </w:t>
            </w:r>
            <w:proofErr w:type="spellStart"/>
            <w:r w:rsidRPr="0044679F">
              <w:rPr>
                <w:rFonts w:ascii="Arial" w:eastAsia="Calibri" w:hAnsi="Arial" w:cs="Arial"/>
                <w:sz w:val="22"/>
                <w:szCs w:val="22"/>
              </w:rPr>
              <w:t>Kanem</w:t>
            </w:r>
            <w:proofErr w:type="spellEnd"/>
            <w:r w:rsidRPr="0044679F">
              <w:rPr>
                <w:rFonts w:ascii="Arial" w:eastAsia="Calibri" w:hAnsi="Arial" w:cs="Arial"/>
                <w:sz w:val="22"/>
                <w:szCs w:val="22"/>
              </w:rPr>
              <w:t>, Chad, households diversify livelihoods using agricultural and non-farm activities to manage risks and enhance sustainability, guided by the Sustainable Livelihood Framework.</w:t>
            </w:r>
            <w:r>
              <w:rPr>
                <w:rFonts w:ascii="Arial" w:eastAsia="Calibri" w:hAnsi="Arial" w:cs="Arial"/>
                <w:sz w:val="22"/>
                <w:szCs w:val="22"/>
              </w:rPr>
              <w:t xml:space="preserve"> </w:t>
            </w:r>
            <w:r w:rsidR="004A486A" w:rsidRPr="004A486A">
              <w:rPr>
                <w:rFonts w:ascii="Arial" w:eastAsia="Calibri" w:hAnsi="Arial" w:cs="Arial"/>
                <w:sz w:val="22"/>
                <w:szCs w:val="22"/>
              </w:rPr>
              <w:t xml:space="preserve">This article aims to </w:t>
            </w:r>
            <w:proofErr w:type="spellStart"/>
            <w:r w:rsidR="004A486A" w:rsidRPr="004A486A">
              <w:rPr>
                <w:rFonts w:ascii="Arial" w:eastAsia="Calibri" w:hAnsi="Arial" w:cs="Arial"/>
                <w:sz w:val="22"/>
                <w:szCs w:val="22"/>
              </w:rPr>
              <w:t>analyse</w:t>
            </w:r>
            <w:proofErr w:type="spellEnd"/>
            <w:r w:rsidR="004A486A" w:rsidRPr="004A486A">
              <w:rPr>
                <w:rFonts w:ascii="Arial" w:eastAsia="Calibri" w:hAnsi="Arial" w:cs="Arial"/>
                <w:sz w:val="22"/>
                <w:szCs w:val="22"/>
              </w:rPr>
              <w:t xml:space="preserve"> the livelihood assets that influence the strategies of agricultural households in the </w:t>
            </w:r>
            <w:proofErr w:type="spellStart"/>
            <w:r w:rsidR="004A486A" w:rsidRPr="004A486A">
              <w:rPr>
                <w:rFonts w:ascii="Arial" w:eastAsia="Calibri" w:hAnsi="Arial" w:cs="Arial"/>
                <w:sz w:val="22"/>
                <w:szCs w:val="22"/>
              </w:rPr>
              <w:t>Kanem</w:t>
            </w:r>
            <w:proofErr w:type="spellEnd"/>
            <w:r w:rsidR="004A486A" w:rsidRPr="004A486A">
              <w:rPr>
                <w:rFonts w:ascii="Arial" w:eastAsia="Calibri" w:hAnsi="Arial" w:cs="Arial"/>
                <w:sz w:val="22"/>
                <w:szCs w:val="22"/>
              </w:rPr>
              <w:t xml:space="preserve"> region of Chad. The study employed a multinomial logit model to determine the relationship between livelihood assets and the strategies adopted. The mean value of the livelihood asset index in the province stands at 0.297, reflecting an </w:t>
            </w:r>
            <w:proofErr w:type="spellStart"/>
            <w:r w:rsidR="004A486A" w:rsidRPr="004A486A">
              <w:rPr>
                <w:rFonts w:ascii="Arial" w:eastAsia="Calibri" w:hAnsi="Arial" w:cs="Arial"/>
                <w:sz w:val="22"/>
                <w:szCs w:val="22"/>
              </w:rPr>
              <w:t>unfavourable</w:t>
            </w:r>
            <w:proofErr w:type="spellEnd"/>
            <w:r w:rsidR="004A486A" w:rsidRPr="004A486A">
              <w:rPr>
                <w:rFonts w:ascii="Arial" w:eastAsia="Calibri" w:hAnsi="Arial" w:cs="Arial"/>
                <w:sz w:val="22"/>
                <w:szCs w:val="22"/>
              </w:rPr>
              <w:t xml:space="preserve"> situation in terms of the resources available to farming households. This result underscores their precarious living conditions and limited prospects for economic development. The findings of the study reveal that human capital, financial capital, and social capital have a positive and significant effect on livelihood strategy choices, particularly for Type II rural households (households primarily dependent on agriculture). Households with greater access to these three forms of capital are more likely to adopt strategies associated with Type II and Type III livelihoods. Physical capital also demonstrates a marginally significant positive influence on strategy selection among Type III households. In other words, the more physical capital an agricultural household possesses, the more likely it is to engage in activities corresponding to this model. The findings of this study argue for a shift by public authorities towards integrated development policies, replacing traditional sectoral approaches with synergistic interventions that combine the strengthening of human capital (training), facilitated access to financial capital (credit), and the consolidation of social capital (structuring farmer organizations). This multisectoral approach constitutes an indispensable lever for optimizing the valorization of livelihood assets and fostering the adoption of strategies with enhanced resilience and economic profitability by farm households in </w:t>
            </w:r>
            <w:proofErr w:type="spellStart"/>
            <w:r w:rsidR="004A486A" w:rsidRPr="004A486A">
              <w:rPr>
                <w:rFonts w:ascii="Arial" w:eastAsia="Calibri" w:hAnsi="Arial" w:cs="Arial"/>
                <w:sz w:val="22"/>
                <w:szCs w:val="22"/>
              </w:rPr>
              <w:t>Kanem</w:t>
            </w:r>
            <w:proofErr w:type="spellEnd"/>
            <w:r w:rsidR="004A486A" w:rsidRPr="004A486A">
              <w:rPr>
                <w:rFonts w:ascii="Arial" w:eastAsia="Calibri" w:hAnsi="Arial" w:cs="Arial"/>
                <w:sz w:val="22"/>
                <w:szCs w:val="22"/>
              </w:rPr>
              <w:t>.</w:t>
            </w:r>
          </w:p>
        </w:tc>
      </w:tr>
    </w:tbl>
    <w:p w14:paraId="65F96930" w14:textId="77777777" w:rsidR="00636EB2" w:rsidRDefault="00636EB2" w:rsidP="00441B6F">
      <w:pPr>
        <w:pStyle w:val="Body"/>
        <w:spacing w:after="0"/>
        <w:rPr>
          <w:rFonts w:ascii="Arial" w:hAnsi="Arial" w:cs="Arial"/>
          <w:i/>
        </w:rPr>
      </w:pPr>
    </w:p>
    <w:p w14:paraId="2C453260" w14:textId="77777777" w:rsidR="00A24E7E" w:rsidRDefault="00A24E7E" w:rsidP="00441B6F">
      <w:pPr>
        <w:pStyle w:val="Body"/>
        <w:spacing w:after="0"/>
        <w:rPr>
          <w:rFonts w:ascii="Arial" w:hAnsi="Arial" w:cs="Arial"/>
          <w:i/>
        </w:rPr>
      </w:pPr>
      <w:r>
        <w:rPr>
          <w:rFonts w:ascii="Arial" w:hAnsi="Arial" w:cs="Arial"/>
          <w:i/>
        </w:rPr>
        <w:t xml:space="preserve">Keywords: </w:t>
      </w:r>
      <w:r w:rsidR="004A486A" w:rsidRPr="004A486A">
        <w:rPr>
          <w:rFonts w:ascii="Arial" w:hAnsi="Arial" w:cs="Arial"/>
          <w:i/>
        </w:rPr>
        <w:t xml:space="preserve">livelihood strategies; livelihood assets; agricultural households; multinomial logit model; </w:t>
      </w:r>
      <w:proofErr w:type="spellStart"/>
      <w:r w:rsidR="004A486A" w:rsidRPr="004A486A">
        <w:rPr>
          <w:rFonts w:ascii="Arial" w:hAnsi="Arial" w:cs="Arial"/>
          <w:i/>
        </w:rPr>
        <w:t>Kanem</w:t>
      </w:r>
      <w:proofErr w:type="spellEnd"/>
      <w:r w:rsidR="004A486A" w:rsidRPr="004A486A">
        <w:rPr>
          <w:rFonts w:ascii="Arial" w:hAnsi="Arial" w:cs="Arial"/>
          <w:i/>
        </w:rPr>
        <w:t>; Chad.</w:t>
      </w:r>
    </w:p>
    <w:p w14:paraId="75AA61D7" w14:textId="77777777" w:rsidR="00790ADA" w:rsidRDefault="00790ADA" w:rsidP="00441B6F">
      <w:pPr>
        <w:pStyle w:val="Body"/>
        <w:spacing w:after="0"/>
        <w:rPr>
          <w:rFonts w:ascii="Arial" w:hAnsi="Arial" w:cs="Arial"/>
          <w:i/>
        </w:rPr>
      </w:pPr>
    </w:p>
    <w:p w14:paraId="2478748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1C6ABD" w14:textId="77777777" w:rsidR="00790ADA" w:rsidRPr="00FB3A86" w:rsidRDefault="00790ADA" w:rsidP="00441B6F">
      <w:pPr>
        <w:pStyle w:val="AbstHead"/>
        <w:spacing w:after="0"/>
        <w:jc w:val="both"/>
        <w:rPr>
          <w:rFonts w:ascii="Arial" w:hAnsi="Arial" w:cs="Arial"/>
        </w:rPr>
      </w:pPr>
    </w:p>
    <w:p w14:paraId="2937B7DE" w14:textId="60BDA88A" w:rsidR="004A486A" w:rsidRPr="00F328F3" w:rsidRDefault="004A486A" w:rsidP="00F328F3">
      <w:pPr>
        <w:spacing w:line="276" w:lineRule="auto"/>
        <w:jc w:val="both"/>
        <w:rPr>
          <w:rFonts w:ascii="Times New Roman" w:hAnsi="Times New Roman"/>
          <w:sz w:val="24"/>
        </w:rPr>
      </w:pPr>
      <w:r w:rsidRPr="004A486A">
        <w:rPr>
          <w:rFonts w:ascii="Arial" w:hAnsi="Arial" w:cs="Arial"/>
          <w:sz w:val="22"/>
        </w:rPr>
        <w:t>Livelihoods refer to the combination of capabilities, assets (both material and social), and activities that enable individuals to sustain their survival (</w:t>
      </w:r>
      <w:proofErr w:type="spellStart"/>
      <w:r w:rsidRPr="004A486A">
        <w:rPr>
          <w:rFonts w:ascii="Arial" w:hAnsi="Arial" w:cs="Arial"/>
          <w:sz w:val="22"/>
        </w:rPr>
        <w:t>Babulo</w:t>
      </w:r>
      <w:proofErr w:type="spellEnd"/>
      <w:r w:rsidRPr="004A486A">
        <w:rPr>
          <w:rFonts w:ascii="Arial" w:hAnsi="Arial" w:cs="Arial"/>
          <w:sz w:val="22"/>
        </w:rPr>
        <w:t xml:space="preserve"> et al., 2008).</w:t>
      </w:r>
      <w:r w:rsidR="00CA7693">
        <w:rPr>
          <w:rFonts w:ascii="Arial" w:hAnsi="Arial" w:cs="Arial"/>
          <w:sz w:val="22"/>
        </w:rPr>
        <w:t xml:space="preserve"> </w:t>
      </w:r>
      <w:r w:rsidR="00CA7693" w:rsidRPr="00502500">
        <w:rPr>
          <w:rFonts w:ascii="Times New Roman" w:hAnsi="Times New Roman"/>
          <w:sz w:val="24"/>
        </w:rPr>
        <w:t xml:space="preserve">Recent empirical studies have reinforced the relevance of the Sustainable Livelihood Framework for analyzing household strategies in sub-Saharan Africa (Hassan et al., 2024; </w:t>
      </w:r>
      <w:proofErr w:type="spellStart"/>
      <w:r w:rsidR="00CA7693" w:rsidRPr="00502500">
        <w:rPr>
          <w:rFonts w:ascii="Times New Roman" w:hAnsi="Times New Roman"/>
          <w:sz w:val="24"/>
        </w:rPr>
        <w:t>Azumah</w:t>
      </w:r>
      <w:proofErr w:type="spellEnd"/>
      <w:r w:rsidR="00CA7693" w:rsidRPr="00502500">
        <w:rPr>
          <w:rFonts w:ascii="Times New Roman" w:hAnsi="Times New Roman"/>
          <w:sz w:val="24"/>
        </w:rPr>
        <w:t xml:space="preserve"> et al., 2023).</w:t>
      </w:r>
      <w:r w:rsidRPr="004A486A">
        <w:rPr>
          <w:rFonts w:ascii="Arial" w:hAnsi="Arial" w:cs="Arial"/>
          <w:sz w:val="22"/>
        </w:rPr>
        <w:t xml:space="preserve"> The diversity and combination of these </w:t>
      </w:r>
      <w:r w:rsidRPr="004A486A">
        <w:rPr>
          <w:rFonts w:ascii="Arial" w:hAnsi="Arial" w:cs="Arial"/>
          <w:sz w:val="22"/>
        </w:rPr>
        <w:lastRenderedPageBreak/>
        <w:t>activities, along with the choices made to achieve livelihood objectives, constitute what are known as livelihood strategies (He et al., 2013). Over the past decades, livelihood diversification has garnered significant interest among researchers and policymakers, who view it as a promising pathway to reduce poverty and stimulate economic growth in sub-Saharan Africa.</w:t>
      </w:r>
    </w:p>
    <w:p w14:paraId="59958601" w14:textId="2C540C63" w:rsidR="004A486A" w:rsidRPr="00F328F3" w:rsidRDefault="004A486A" w:rsidP="00F328F3">
      <w:pPr>
        <w:spacing w:line="276" w:lineRule="auto"/>
        <w:jc w:val="both"/>
        <w:rPr>
          <w:rFonts w:ascii="Times New Roman" w:hAnsi="Times New Roman"/>
          <w:sz w:val="24"/>
        </w:rPr>
      </w:pPr>
      <w:r w:rsidRPr="004A486A">
        <w:rPr>
          <w:rFonts w:ascii="Arial" w:hAnsi="Arial" w:cs="Arial"/>
          <w:sz w:val="22"/>
        </w:rPr>
        <w:t>In sub-Saharan Africa, smallholder farmers are increasingly diversifying their livelihoods by engaging in non-farm activities and migration (</w:t>
      </w:r>
      <w:proofErr w:type="spellStart"/>
      <w:r w:rsidRPr="004A486A">
        <w:rPr>
          <w:rFonts w:ascii="Arial" w:hAnsi="Arial" w:cs="Arial"/>
          <w:sz w:val="22"/>
        </w:rPr>
        <w:t>Freguin</w:t>
      </w:r>
      <w:proofErr w:type="spellEnd"/>
      <w:r w:rsidRPr="004A486A">
        <w:rPr>
          <w:rFonts w:ascii="Arial" w:hAnsi="Arial" w:cs="Arial"/>
          <w:sz w:val="22"/>
        </w:rPr>
        <w:t xml:space="preserve"> et al., 2012). </w:t>
      </w:r>
      <w:r w:rsidR="00CA7693" w:rsidRPr="00502500">
        <w:rPr>
          <w:rFonts w:ascii="Times New Roman" w:hAnsi="Times New Roman"/>
          <w:sz w:val="24"/>
        </w:rPr>
        <w:t>More recent evidence suggests that diversification patterns have intensified over the past decade, driven by climate variability and structural transformation processes (</w:t>
      </w:r>
      <w:proofErr w:type="spellStart"/>
      <w:r w:rsidR="00CA7693" w:rsidRPr="00502500">
        <w:rPr>
          <w:rFonts w:ascii="Times New Roman" w:hAnsi="Times New Roman"/>
          <w:sz w:val="24"/>
        </w:rPr>
        <w:t>Losch</w:t>
      </w:r>
      <w:proofErr w:type="spellEnd"/>
      <w:r w:rsidR="00CA7693" w:rsidRPr="00502500">
        <w:rPr>
          <w:rFonts w:ascii="Times New Roman" w:hAnsi="Times New Roman"/>
          <w:sz w:val="24"/>
        </w:rPr>
        <w:t xml:space="preserve"> et al., 2023).</w:t>
      </w:r>
      <w:r w:rsidRPr="004A486A">
        <w:rPr>
          <w:rFonts w:ascii="Arial" w:hAnsi="Arial" w:cs="Arial"/>
          <w:sz w:val="22"/>
        </w:rPr>
        <w:t>This trend toward diversification can be attributed to factors such as infrastructure development, the emergence of rural towns, and improved accessibility to urban areas (</w:t>
      </w:r>
      <w:proofErr w:type="spellStart"/>
      <w:r w:rsidRPr="004A486A">
        <w:rPr>
          <w:rFonts w:ascii="Arial" w:hAnsi="Arial" w:cs="Arial"/>
          <w:sz w:val="22"/>
        </w:rPr>
        <w:t>Losch</w:t>
      </w:r>
      <w:proofErr w:type="spellEnd"/>
      <w:r w:rsidRPr="004A486A">
        <w:rPr>
          <w:rFonts w:ascii="Arial" w:hAnsi="Arial" w:cs="Arial"/>
          <w:sz w:val="22"/>
        </w:rPr>
        <w:t xml:space="preserve">, </w:t>
      </w:r>
      <w:proofErr w:type="spellStart"/>
      <w:r w:rsidRPr="004A486A">
        <w:rPr>
          <w:rFonts w:ascii="Arial" w:hAnsi="Arial" w:cs="Arial"/>
          <w:sz w:val="22"/>
        </w:rPr>
        <w:t>Magrin</w:t>
      </w:r>
      <w:proofErr w:type="spellEnd"/>
      <w:r w:rsidRPr="004A486A">
        <w:rPr>
          <w:rFonts w:ascii="Arial" w:hAnsi="Arial" w:cs="Arial"/>
          <w:sz w:val="22"/>
        </w:rPr>
        <w:t xml:space="preserve"> &amp; </w:t>
      </w:r>
      <w:proofErr w:type="spellStart"/>
      <w:r w:rsidRPr="004A486A">
        <w:rPr>
          <w:rFonts w:ascii="Arial" w:hAnsi="Arial" w:cs="Arial"/>
          <w:sz w:val="22"/>
        </w:rPr>
        <w:t>Imbernon</w:t>
      </w:r>
      <w:proofErr w:type="spellEnd"/>
      <w:r w:rsidRPr="004A486A">
        <w:rPr>
          <w:rFonts w:ascii="Arial" w:hAnsi="Arial" w:cs="Arial"/>
          <w:sz w:val="22"/>
        </w:rPr>
        <w:t>, 2013).</w:t>
      </w:r>
    </w:p>
    <w:p w14:paraId="5842C3B5"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 xml:space="preserve">In Chad, particularly in the </w:t>
      </w:r>
      <w:proofErr w:type="spellStart"/>
      <w:r w:rsidRPr="004A486A">
        <w:rPr>
          <w:rFonts w:ascii="Arial" w:hAnsi="Arial" w:cs="Arial"/>
          <w:sz w:val="22"/>
        </w:rPr>
        <w:t>Kanem</w:t>
      </w:r>
      <w:proofErr w:type="spellEnd"/>
      <w:r w:rsidRPr="004A486A">
        <w:rPr>
          <w:rFonts w:ascii="Arial" w:hAnsi="Arial" w:cs="Arial"/>
          <w:sz w:val="22"/>
        </w:rPr>
        <w:t xml:space="preserve"> province, agricultural households face numerous challenges, including the vulnerability of their livelihoods to climate change. To address these challenges, one commonly adopted strategy is income diversification. According to Carter (1997), this diversification involves combining agricultural activities (such as crop cultivation and livestock rearing) with non-farm activities, thereby enabling households to generate supplementary income alongside their primary occupation. Livelihood strategies encompass the range of choices and activities implemented by households to sustain their livelihoods, including both investment strategies and production activities (Liu et al., 2018). Chambers and Conway (1992) argue that households with a broader range of livelihood options generally experience better living conditions than those with limited opportunities. The evolution of agricultural households' livelihood strategies plays a crucial role in sustainable development, livelihood sustainability, ecological security, and rural land-use transformations (Liu et al., 2018). To manage risks and enhance their economic situation, farming households may adopt various strategies, including migration, agricultural intensification or </w:t>
      </w:r>
      <w:proofErr w:type="spellStart"/>
      <w:r w:rsidRPr="004A486A">
        <w:rPr>
          <w:rFonts w:ascii="Arial" w:hAnsi="Arial" w:cs="Arial"/>
          <w:sz w:val="22"/>
        </w:rPr>
        <w:t>extensification</w:t>
      </w:r>
      <w:proofErr w:type="spellEnd"/>
      <w:r w:rsidRPr="004A486A">
        <w:rPr>
          <w:rFonts w:ascii="Arial" w:hAnsi="Arial" w:cs="Arial"/>
          <w:sz w:val="22"/>
        </w:rPr>
        <w:t>, and livelihood diversification (Lingam, 2015).</w:t>
      </w:r>
    </w:p>
    <w:p w14:paraId="145ACD73"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 xml:space="preserve">Agriculture remains vital for sustaining livelihoods in </w:t>
      </w:r>
      <w:proofErr w:type="spellStart"/>
      <w:r w:rsidRPr="004A486A">
        <w:rPr>
          <w:rFonts w:ascii="Arial" w:hAnsi="Arial" w:cs="Arial"/>
          <w:sz w:val="22"/>
        </w:rPr>
        <w:t>Kanem</w:t>
      </w:r>
      <w:proofErr w:type="spellEnd"/>
      <w:r w:rsidRPr="004A486A">
        <w:rPr>
          <w:rFonts w:ascii="Arial" w:hAnsi="Arial" w:cs="Arial"/>
          <w:sz w:val="22"/>
        </w:rPr>
        <w:t xml:space="preserve"> Province. However, its potential to enhance social welfare has been overlooked by policymakers preoccupied with addressing the country's security challenges. This neglect has hindered rural economic development, trapping local populations in persistent poverty and worsening food insecurity while restricting their access to markets and essential public services crucial for economic growth.</w:t>
      </w:r>
    </w:p>
    <w:p w14:paraId="7A886E52"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 xml:space="preserve">Yet rural development encompasses more than just increasing production and incomes; it also involves improving quality of life (Maqbool &amp; Bashir, 2009). This context has spurred the emergence of a non-farm sector (Malik, 2008), thereby transforming rural livelihood strategies. These shifts have profound implications for land use patterns, livelihood sustainability, and ecological security (Liu et al., 2018). Agricultural production, the primary source of income for a significant portion of the </w:t>
      </w:r>
      <w:r w:rsidRPr="004A486A">
        <w:rPr>
          <w:rFonts w:ascii="Arial" w:hAnsi="Arial" w:cs="Arial"/>
          <w:sz w:val="22"/>
        </w:rPr>
        <w:lastRenderedPageBreak/>
        <w:t>rural population, requires substantial investments to ensure its sustainability (Udoh et al., 2017). However, environmental disruptions are causing a radical transformation of livelihood assets, compelling farming households to adapt their strategies (Liu et al., 2018). Today, rural populations are increasingly turning to non-agricultural activities, such as casual labor, small businesses, employment in the public and private sectors, as well as domestic and international remittances (</w:t>
      </w:r>
      <w:proofErr w:type="spellStart"/>
      <w:r w:rsidRPr="004A486A">
        <w:rPr>
          <w:rFonts w:ascii="Arial" w:hAnsi="Arial" w:cs="Arial"/>
          <w:sz w:val="22"/>
        </w:rPr>
        <w:t>Yishak</w:t>
      </w:r>
      <w:proofErr w:type="spellEnd"/>
      <w:r w:rsidRPr="004A486A">
        <w:rPr>
          <w:rFonts w:ascii="Arial" w:hAnsi="Arial" w:cs="Arial"/>
          <w:sz w:val="22"/>
        </w:rPr>
        <w:t xml:space="preserve"> et al., 2014).</w:t>
      </w:r>
    </w:p>
    <w:p w14:paraId="5EFD2CCF"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The Sustainable Livelihood Framework (SLF), developed by the UK’s Department for International Development (DFID), identifies five key livelihood asset capitals: Human Capital (HC), Physical Capital (PC), Natural Capital (NC), Social Capital (SC), and Financial Capital (FC), which represent the cornerstones of livelihood. These capitals form the foundation of livelihood strategies for populations. This framework enables the analysis, description, and identification of factors influencing livelihood patterns. The relevance of this classification has been confirmed by two expert groups. The Working Group on Statistics for Sustainable Development (WGSSD) and its predecessor, the Task Force on Measuring Sustainable Development (TFSD), during the Conference of European Statisticians in 2005, emphasized that the capital-based approach provides a robust conceptual framework for assessing sustainable development. However, access to and reliance on these assets vary significantly across households. These differences can be attributed to resource endowments, demographic structure, economic characteristics, and external factors (technology, prices, public policies, market dynamics) (Su &amp; Shang, 2012). The livelihood assets held by farming households constitute a fundamental basis for understanding their opportunity sets, livelihood strategies, and exposure to environmental risks (Liu et al., 2018). Within the sustainable livelihoods literature, numerous studies have examined the determinants of livelihood diversification (Hassan et al., 2024).</w:t>
      </w:r>
    </w:p>
    <w:p w14:paraId="31ACE621"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 xml:space="preserve">In Chad, particularly in the </w:t>
      </w:r>
      <w:proofErr w:type="spellStart"/>
      <w:r w:rsidRPr="004A486A">
        <w:rPr>
          <w:rFonts w:ascii="Arial" w:hAnsi="Arial" w:cs="Arial"/>
          <w:sz w:val="22"/>
        </w:rPr>
        <w:t>Kanem</w:t>
      </w:r>
      <w:proofErr w:type="spellEnd"/>
      <w:r w:rsidRPr="004A486A">
        <w:rPr>
          <w:rFonts w:ascii="Arial" w:hAnsi="Arial" w:cs="Arial"/>
          <w:sz w:val="22"/>
        </w:rPr>
        <w:t xml:space="preserve"> province, research on livelihood assets and farming households' strategies remains limited. To date, no study has specifically focused on the assets and livelihood strategies of smallholder farmers in this region. Yet, such empirical analysis is crucial: it would provide a deeper understanding of rural populations' living conditions and inform more effective poverty reduction policies (Liu et al., 2018).The findings of this study will contribute to the existing literature and provide policymakers with essential data to guide rural development programs. By documenting livelihood sources in the </w:t>
      </w:r>
      <w:proofErr w:type="spellStart"/>
      <w:r w:rsidRPr="004A486A">
        <w:rPr>
          <w:rFonts w:ascii="Arial" w:hAnsi="Arial" w:cs="Arial"/>
          <w:sz w:val="22"/>
        </w:rPr>
        <w:t>Kanem</w:t>
      </w:r>
      <w:proofErr w:type="spellEnd"/>
      <w:r w:rsidRPr="004A486A">
        <w:rPr>
          <w:rFonts w:ascii="Arial" w:hAnsi="Arial" w:cs="Arial"/>
          <w:sz w:val="22"/>
        </w:rPr>
        <w:t xml:space="preserve"> province, this research will strengthen institutional capacities and support local populations in their efforts to combat poverty. Indeed, access to productive assets is a key lever for sustainable development. Furthermore, this study will identify priority intervention areas, offering policymakers actionable pathways to enhance livelihood sustainability.</w:t>
      </w:r>
    </w:p>
    <w:p w14:paraId="51054D2A" w14:textId="77777777" w:rsidR="004A486A" w:rsidRPr="004A486A" w:rsidRDefault="004A486A" w:rsidP="00F328F3">
      <w:pPr>
        <w:pStyle w:val="Body"/>
        <w:spacing w:after="120" w:line="276" w:lineRule="auto"/>
        <w:rPr>
          <w:rFonts w:ascii="Arial" w:hAnsi="Arial" w:cs="Arial"/>
          <w:sz w:val="22"/>
        </w:rPr>
      </w:pPr>
      <w:r w:rsidRPr="004A486A">
        <w:rPr>
          <w:rFonts w:ascii="Arial" w:hAnsi="Arial" w:cs="Arial"/>
          <w:sz w:val="22"/>
        </w:rPr>
        <w:t xml:space="preserve">For some time now, it has become evident that rural populations no longer rely solely on agriculture or livestock farming but instead combine diverse occupations to </w:t>
      </w:r>
      <w:r w:rsidRPr="004A486A">
        <w:rPr>
          <w:rFonts w:ascii="Arial" w:hAnsi="Arial" w:cs="Arial"/>
          <w:sz w:val="22"/>
        </w:rPr>
        <w:lastRenderedPageBreak/>
        <w:t xml:space="preserve">build a diversified portfolio of activities. To address issues of food insecurity, unemployment, poverty, income inequality, and the lack of critical socio-economic services in rural </w:t>
      </w:r>
      <w:proofErr w:type="spellStart"/>
      <w:r w:rsidRPr="004A486A">
        <w:rPr>
          <w:rFonts w:ascii="Arial" w:hAnsi="Arial" w:cs="Arial"/>
          <w:sz w:val="22"/>
        </w:rPr>
        <w:t>Kanem</w:t>
      </w:r>
      <w:proofErr w:type="spellEnd"/>
      <w:r w:rsidRPr="004A486A">
        <w:rPr>
          <w:rFonts w:ascii="Arial" w:hAnsi="Arial" w:cs="Arial"/>
          <w:sz w:val="22"/>
        </w:rPr>
        <w:t xml:space="preserve">, this study is designed with the following objectives: (i) to examine livelihood sources and assess rural households' level of engagement in various subsistence activities, and (ii) to analyze household livelihood strategies and their contribution to household income. Over the past several years, rural populations have increasingly moved away from exclusive dependence on agriculture or livestock, instead diversifying their activities to create composite livelihood portfolios. In response to challenges such as food insecurity, unemployment, income disparities, and inadequate socio-economic services in rural </w:t>
      </w:r>
      <w:proofErr w:type="spellStart"/>
      <w:r w:rsidRPr="004A486A">
        <w:rPr>
          <w:rFonts w:ascii="Arial" w:hAnsi="Arial" w:cs="Arial"/>
          <w:sz w:val="22"/>
        </w:rPr>
        <w:t>Kanem</w:t>
      </w:r>
      <w:proofErr w:type="spellEnd"/>
      <w:r w:rsidRPr="004A486A">
        <w:rPr>
          <w:rFonts w:ascii="Arial" w:hAnsi="Arial" w:cs="Arial"/>
          <w:sz w:val="22"/>
        </w:rPr>
        <w:t>, this study sets two primary objectives: (i) to evaluate livelihood sources and determine the extent of rural households' involvement in different income-generating activities, and (ii) to analyze household livelihood structures and quantify their contribution to family income.</w:t>
      </w:r>
    </w:p>
    <w:p w14:paraId="536E218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09B0CE" w14:textId="77777777" w:rsidR="00225D48" w:rsidRPr="00225D48" w:rsidRDefault="00225D48" w:rsidP="00225D48">
      <w:pPr>
        <w:pStyle w:val="ListParagraph"/>
        <w:numPr>
          <w:ilvl w:val="1"/>
          <w:numId w:val="33"/>
        </w:numPr>
        <w:spacing w:before="120" w:line="276" w:lineRule="auto"/>
        <w:rPr>
          <w:rFonts w:ascii="Arial" w:hAnsi="Arial" w:cs="Arial"/>
          <w:b/>
          <w:color w:val="000000" w:themeColor="text1"/>
          <w:sz w:val="20"/>
          <w:lang w:val="en-US"/>
        </w:rPr>
      </w:pPr>
      <w:r w:rsidRPr="00225D48">
        <w:rPr>
          <w:rFonts w:ascii="Arial" w:hAnsi="Arial" w:cs="Arial"/>
          <w:b/>
          <w:color w:val="000000" w:themeColor="text1"/>
          <w:sz w:val="20"/>
          <w:lang w:val="en-US"/>
        </w:rPr>
        <w:t>Study Area Selection and Data Sources</w:t>
      </w:r>
    </w:p>
    <w:p w14:paraId="65D0AA79"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This study was conducted in the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province of Chad, a region particularly vulnerable to the effects of climate change. A multi-stage sampling technique was employed to select farming households. Among the six departments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-Centre,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-Nord,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-Ouest,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-Est,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-Sud, and </w:t>
      </w:r>
      <w:proofErr w:type="spellStart"/>
      <w:r w:rsidRPr="00225D48">
        <w:rPr>
          <w:rFonts w:ascii="Arial" w:hAnsi="Arial" w:cs="Arial"/>
          <w:color w:val="000000" w:themeColor="text1"/>
          <w:sz w:val="22"/>
          <w:szCs w:val="22"/>
        </w:rPr>
        <w:t>Ziguéyé</w:t>
      </w:r>
      <w:proofErr w:type="spellEnd"/>
      <w:r w:rsidRPr="00225D48">
        <w:rPr>
          <w:rFonts w:ascii="Arial" w:hAnsi="Arial" w:cs="Arial"/>
          <w:color w:val="000000" w:themeColor="text1"/>
          <w:sz w:val="22"/>
          <w:szCs w:val="22"/>
        </w:rPr>
        <w:t xml:space="preserve">) that make up the province, two were randomly selected: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-Centre and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-Nord. Subsequently, one sub-prefecture was chosen from each of these departments. For village selection, a random sampling approach was used to survey two villages per sub-prefecture, resulting in a total of eight villages. These villages served as the basis for determining the sample size. The sampling unit for this study was smallholder farms. The selection of these farms across the eight villages followed a random sampling procedure, ensuring a representative distribution of agricultural households in the study area.</w:t>
      </w:r>
    </w:p>
    <w:p w14:paraId="04DC971E" w14:textId="77777777" w:rsidR="0044679F" w:rsidRDefault="00225D48" w:rsidP="00F328F3">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questionnaire enabled the collection of necessary data on operating systems and the analysis of the five capitals influencing the livelihood strategies of farming households (Hua et al., 2017). The typology was developed using multidimensional analyses based on data gathered from 1,874 farming households in the province covered by the National Agency for Rural Development (ANADER). In this study, a sample of 312 farming households was ultimately selected. A structured questionnaire was used for primary data collection. In suitable locations, interviews were conducted with respondents between January and May 2025. The survey employed participatory assessment tools, including semi-structured interviews, questionnaires, and in-depth interviews (Li et al., 2014). Prior to the survey, interviews and discussions were held with recognized community leaders from each administrative village.</w:t>
      </w:r>
    </w:p>
    <w:p w14:paraId="63DDA314" w14:textId="26D2ED0B" w:rsidR="00225D48" w:rsidRPr="00F328F3" w:rsidRDefault="00CA7693" w:rsidP="00F328F3">
      <w:pPr>
        <w:spacing w:before="120" w:line="276" w:lineRule="auto"/>
        <w:jc w:val="both"/>
        <w:rPr>
          <w:rFonts w:ascii="Arial" w:hAnsi="Arial" w:cs="Arial"/>
          <w:b/>
          <w:i/>
          <w:color w:val="000000" w:themeColor="text1"/>
        </w:rPr>
      </w:pPr>
      <w:r w:rsidRPr="00F328F3">
        <w:rPr>
          <w:rFonts w:ascii="Arial" w:hAnsi="Arial" w:cs="Arial"/>
          <w:b/>
          <w:i/>
          <w:color w:val="000000" w:themeColor="text1"/>
        </w:rPr>
        <w:lastRenderedPageBreak/>
        <w:t>2.2</w:t>
      </w:r>
      <w:r w:rsidR="00225D48" w:rsidRPr="00F328F3">
        <w:rPr>
          <w:rFonts w:ascii="Arial" w:hAnsi="Arial" w:cs="Arial"/>
          <w:b/>
          <w:i/>
          <w:color w:val="000000" w:themeColor="text1"/>
        </w:rPr>
        <w:t>Variable Selection</w:t>
      </w:r>
    </w:p>
    <w:p w14:paraId="48C633D8" w14:textId="77777777" w:rsidR="00225D48" w:rsidRPr="00225D48" w:rsidRDefault="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Subsistence assets play a crucial role in rural development processes and agricultural production. By addressing challenges related to the traditional livelihoods of farming households, these assets enhance their capacity for self-sufficiency and development (Su and Shang, 2012). The nature and conditions of the assets held by a household or individual largely determine their livelihood strategies, economic opportunities, and vulnerability to environmental risks (Liu et al., 2018). As such, these assets form a fundamental basis for analyzing rural populations' resilience and adaptation dynamics.</w:t>
      </w:r>
    </w:p>
    <w:p w14:paraId="76BFCFCA" w14:textId="19DC7C4B" w:rsidR="00225D48" w:rsidRPr="00F328F3" w:rsidRDefault="00225D48" w:rsidP="00F328F3">
      <w:pPr>
        <w:spacing w:line="276" w:lineRule="auto"/>
        <w:jc w:val="both"/>
        <w:rPr>
          <w:rFonts w:ascii="Times New Roman" w:hAnsi="Times New Roman"/>
          <w:sz w:val="24"/>
        </w:rPr>
      </w:pPr>
      <w:r w:rsidRPr="00225D48">
        <w:rPr>
          <w:rFonts w:ascii="Arial" w:hAnsi="Arial" w:cs="Arial"/>
          <w:color w:val="000000" w:themeColor="text1"/>
          <w:sz w:val="22"/>
          <w:szCs w:val="22"/>
        </w:rPr>
        <w:t xml:space="preserve">The selection of variables in livelihood studies is critical. Indeed, combining variables with differing definitions can influence research outcomes due to disparities in development levels and livelihood dimensions. This study adopts the livelihood asset classification framework proposed by the DFID (1999), while also incorporating insights from academic literature, including works by Ma et al. (2018), Liu et al. (2018), </w:t>
      </w:r>
      <w:proofErr w:type="spellStart"/>
      <w:r w:rsidRPr="00225D48">
        <w:rPr>
          <w:rFonts w:ascii="Arial" w:hAnsi="Arial" w:cs="Arial"/>
          <w:color w:val="000000" w:themeColor="text1"/>
          <w:sz w:val="22"/>
          <w:szCs w:val="22"/>
        </w:rPr>
        <w:t>Zhifei</w:t>
      </w:r>
      <w:proofErr w:type="spellEnd"/>
      <w:r w:rsidRPr="00225D48">
        <w:rPr>
          <w:rFonts w:ascii="Arial" w:hAnsi="Arial" w:cs="Arial"/>
          <w:color w:val="000000" w:themeColor="text1"/>
          <w:sz w:val="22"/>
          <w:szCs w:val="22"/>
        </w:rPr>
        <w:t xml:space="preserve"> et al. (2018), among others. The selected variables for human capital (HC) (DFID, 1999) include household size and composition, education level, knowledge and skills, age, health status, work capacity, as well as the number of active members and their labor aptitude.</w:t>
      </w:r>
      <w:r w:rsidR="00CA7693" w:rsidRPr="00CA7693">
        <w:rPr>
          <w:rFonts w:ascii="Times New Roman" w:hAnsi="Times New Roman"/>
          <w:sz w:val="24"/>
        </w:rPr>
        <w:t xml:space="preserve"> </w:t>
      </w:r>
      <w:r w:rsidR="00CA7693" w:rsidRPr="00502500">
        <w:rPr>
          <w:rFonts w:ascii="Times New Roman" w:hAnsi="Times New Roman"/>
          <w:sz w:val="24"/>
        </w:rPr>
        <w:t xml:space="preserve">The methodological approach to combining household income and asset data has been refined by </w:t>
      </w:r>
      <w:proofErr w:type="spellStart"/>
      <w:r w:rsidR="00CA7693" w:rsidRPr="00502500">
        <w:rPr>
          <w:rFonts w:ascii="Times New Roman" w:hAnsi="Times New Roman"/>
          <w:sz w:val="24"/>
        </w:rPr>
        <w:t>Walelign</w:t>
      </w:r>
      <w:proofErr w:type="spellEnd"/>
      <w:r w:rsidR="00CA7693" w:rsidRPr="00502500">
        <w:rPr>
          <w:rFonts w:ascii="Times New Roman" w:hAnsi="Times New Roman"/>
          <w:sz w:val="24"/>
        </w:rPr>
        <w:t xml:space="preserve"> et al. (2017), who demonstrated the importance of integrating both dimensions to accurately identify livelihood strategies and their dynamics over time.</w:t>
      </w:r>
    </w:p>
    <w:p w14:paraId="37936EEC" w14:textId="77777777" w:rsidR="00225D48" w:rsidRPr="00225D48" w:rsidRDefault="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term "natural capital" was first introduced by Schumacher in 1973 in his book Small Is Beautiful (Schumacher, 1973). It was later expanded upon by Herman Daly, Robert Costanza, and other ecological economists as part of a critique of conventional economics' limitations (Costanza and Daly, 1992). Natural capital refers to the resources provided by nature (</w:t>
      </w:r>
      <w:proofErr w:type="spellStart"/>
      <w:r w:rsidRPr="00225D48">
        <w:rPr>
          <w:rFonts w:ascii="Arial" w:hAnsi="Arial" w:cs="Arial"/>
          <w:color w:val="000000" w:themeColor="text1"/>
          <w:sz w:val="22"/>
          <w:szCs w:val="22"/>
        </w:rPr>
        <w:t>Guerry</w:t>
      </w:r>
      <w:proofErr w:type="spellEnd"/>
      <w:r w:rsidRPr="00225D48">
        <w:rPr>
          <w:rFonts w:ascii="Arial" w:hAnsi="Arial" w:cs="Arial"/>
          <w:color w:val="000000" w:themeColor="text1"/>
          <w:sz w:val="22"/>
          <w:szCs w:val="22"/>
        </w:rPr>
        <w:t xml:space="preserve"> et al., 2015), such as land, forests, biodiversity, wildlife, rivers, and more. Among these, rural households' land resources constitute a particularly important form of natural capital (</w:t>
      </w:r>
      <w:proofErr w:type="spellStart"/>
      <w:r w:rsidRPr="00225D48">
        <w:rPr>
          <w:rFonts w:ascii="Arial" w:hAnsi="Arial" w:cs="Arial"/>
          <w:color w:val="000000" w:themeColor="text1"/>
          <w:sz w:val="22"/>
          <w:szCs w:val="22"/>
        </w:rPr>
        <w:t>Bazezew</w:t>
      </w:r>
      <w:proofErr w:type="spellEnd"/>
      <w:r w:rsidRPr="00225D48">
        <w:rPr>
          <w:rFonts w:ascii="Arial" w:hAnsi="Arial" w:cs="Arial"/>
          <w:color w:val="000000" w:themeColor="text1"/>
          <w:sz w:val="22"/>
          <w:szCs w:val="22"/>
        </w:rPr>
        <w:t xml:space="preserve"> et al., 2013). In this study, household land area, land tenure rights, and soil quality were selected as indicators of natural capital. Physical capital, like financial, human, social, and cognitive capital, is a key component of livelihood assets (</w:t>
      </w:r>
      <w:proofErr w:type="spellStart"/>
      <w:r w:rsidRPr="00225D48">
        <w:rPr>
          <w:rFonts w:ascii="Arial" w:hAnsi="Arial" w:cs="Arial"/>
          <w:color w:val="000000" w:themeColor="text1"/>
          <w:sz w:val="22"/>
          <w:szCs w:val="22"/>
        </w:rPr>
        <w:t>Guerry</w:t>
      </w:r>
      <w:proofErr w:type="spellEnd"/>
      <w:r w:rsidRPr="00225D48">
        <w:rPr>
          <w:rFonts w:ascii="Arial" w:hAnsi="Arial" w:cs="Arial"/>
          <w:color w:val="000000" w:themeColor="text1"/>
          <w:sz w:val="22"/>
          <w:szCs w:val="22"/>
        </w:rPr>
        <w:t xml:space="preserve"> et al., 2015). It encompasses infrastructure and productive means (housing, communication, healthcare, etc.) that households rely on to sustain their livelihoods.</w:t>
      </w:r>
    </w:p>
    <w:p w14:paraId="2E131500" w14:textId="77777777" w:rsidR="00225D48" w:rsidRPr="00225D48" w:rsidRDefault="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Financial capital includes cash, savings, credit, and other economic resources that enable households to accumulate wealth, invest, and strengthen their livelihood strategies (</w:t>
      </w:r>
      <w:proofErr w:type="spellStart"/>
      <w:r w:rsidRPr="00225D48">
        <w:rPr>
          <w:rFonts w:ascii="Arial" w:hAnsi="Arial" w:cs="Arial"/>
          <w:color w:val="000000" w:themeColor="text1"/>
          <w:sz w:val="22"/>
          <w:szCs w:val="22"/>
        </w:rPr>
        <w:t>Azumah</w:t>
      </w:r>
      <w:proofErr w:type="spellEnd"/>
      <w:r w:rsidRPr="00225D48">
        <w:rPr>
          <w:rFonts w:ascii="Arial" w:hAnsi="Arial" w:cs="Arial"/>
          <w:color w:val="000000" w:themeColor="text1"/>
          <w:sz w:val="22"/>
          <w:szCs w:val="22"/>
        </w:rPr>
        <w:t xml:space="preserve"> et al., 2023). According to </w:t>
      </w:r>
      <w:proofErr w:type="spellStart"/>
      <w:r w:rsidRPr="00225D48">
        <w:rPr>
          <w:rFonts w:ascii="Arial" w:hAnsi="Arial" w:cs="Arial"/>
          <w:color w:val="000000" w:themeColor="text1"/>
          <w:sz w:val="22"/>
          <w:szCs w:val="22"/>
        </w:rPr>
        <w:t>Azumah</w:t>
      </w:r>
      <w:proofErr w:type="spellEnd"/>
      <w:r w:rsidRPr="00225D48">
        <w:rPr>
          <w:rFonts w:ascii="Arial" w:hAnsi="Arial" w:cs="Arial"/>
          <w:color w:val="000000" w:themeColor="text1"/>
          <w:sz w:val="22"/>
          <w:szCs w:val="22"/>
        </w:rPr>
        <w:t xml:space="preserve"> et al. (2023), it comprises liquid assets (cash, deposits, livestock) and income sources (agricultural and non-agricultural activities, remittances, transfers). Access to financial capital enhances economic stability and improves household productivity (Nancy et al., 2011). Social capital is grounded in norms, mutual support networks, and trust within a community. It encompasses familial and friendship ties, voluntary associations, and </w:t>
      </w:r>
      <w:r w:rsidRPr="00225D48">
        <w:rPr>
          <w:rFonts w:ascii="Arial" w:hAnsi="Arial" w:cs="Arial"/>
          <w:color w:val="000000" w:themeColor="text1"/>
          <w:sz w:val="22"/>
          <w:szCs w:val="22"/>
        </w:rPr>
        <w:lastRenderedPageBreak/>
        <w:t>both formal and informal groups (</w:t>
      </w:r>
      <w:proofErr w:type="spellStart"/>
      <w:r w:rsidRPr="00225D48">
        <w:rPr>
          <w:rFonts w:ascii="Arial" w:hAnsi="Arial" w:cs="Arial"/>
          <w:color w:val="000000" w:themeColor="text1"/>
          <w:sz w:val="22"/>
          <w:szCs w:val="22"/>
        </w:rPr>
        <w:t>Erenstein</w:t>
      </w:r>
      <w:proofErr w:type="spellEnd"/>
      <w:r w:rsidRPr="00225D48">
        <w:rPr>
          <w:rFonts w:ascii="Arial" w:hAnsi="Arial" w:cs="Arial"/>
          <w:color w:val="000000" w:themeColor="text1"/>
          <w:sz w:val="22"/>
          <w:szCs w:val="22"/>
        </w:rPr>
        <w:t>, 2011). This social resource enables households to achieve their livelihood objectives by leveraging organizational memberships and social networks (Table 1).</w:t>
      </w:r>
    </w:p>
    <w:p w14:paraId="2D195C7F" w14:textId="77777777" w:rsidR="00225D48" w:rsidRPr="00225D48" w:rsidRDefault="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adaptive capacity of these households in the face of shocks and risks depends on the diversity of their asset portfolios. Thus, studying livelihood assets and their relationship with the strategies adopted by agricultural households provides a better understanding of their living conditions and enables the development of more effective poverty reduction policies (Liu et al., 2018). Household have been categorized in various ways in the literature. For instance, Hua et al. (2017) classified them into four types, while Liu et al. (2018) proposed a three-category typology based on total household income. Meanwhile, Xu et al. (2018) distinguished four types of strategies according to the share of agricultural income in total income.  </w:t>
      </w:r>
    </w:p>
    <w:p w14:paraId="40FE3028" w14:textId="77777777" w:rsidR="00225D48" w:rsidRPr="00225D48" w:rsidRDefault="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In this study, we adopt a post-positivist research paradigm. A descriptive design was selected to collect and analyze data on the influence of livelihood assets on the socio-economic outcomes of smallholder farmers. Specifically, the study assesses how these assets can be transformed through innovative strategies to sustainably improve the living conditions of rural populations who have lost their land in the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 xml:space="preserve"> province of Chad. Additionally, a correlational design was employed to precisely examine the impact of livelihood assets on the economic outcomes of smallholder farmers in this region.</w:t>
      </w:r>
    </w:p>
    <w:p w14:paraId="728A34F6" w14:textId="1D9DFE64" w:rsidR="00225D48" w:rsidRPr="00225D48" w:rsidRDefault="00225D48" w:rsidP="00225D48">
      <w:pPr>
        <w:spacing w:before="120" w:line="276" w:lineRule="auto"/>
        <w:jc w:val="both"/>
        <w:rPr>
          <w:rFonts w:ascii="Arial" w:hAnsi="Arial" w:cs="Arial"/>
          <w:b/>
          <w:sz w:val="22"/>
          <w:szCs w:val="22"/>
        </w:rPr>
      </w:pPr>
      <w:r>
        <w:rPr>
          <w:rFonts w:ascii="Arial" w:hAnsi="Arial" w:cs="Arial"/>
          <w:b/>
          <w:sz w:val="22"/>
          <w:szCs w:val="22"/>
        </w:rPr>
        <w:t>Table 1</w:t>
      </w:r>
      <w:r w:rsidRPr="00225D48">
        <w:rPr>
          <w:rFonts w:ascii="Arial" w:hAnsi="Arial" w:cs="Arial"/>
          <w:b/>
          <w:sz w:val="22"/>
          <w:szCs w:val="22"/>
        </w:rPr>
        <w:t>: Definition and description of variables.</w:t>
      </w:r>
    </w:p>
    <w:tbl>
      <w:tblPr>
        <w:tblStyle w:val="LightShading"/>
        <w:tblW w:w="0" w:type="auto"/>
        <w:tblLook w:val="04A0" w:firstRow="1" w:lastRow="0" w:firstColumn="1" w:lastColumn="0" w:noHBand="0" w:noVBand="1"/>
      </w:tblPr>
      <w:tblGrid>
        <w:gridCol w:w="1084"/>
        <w:gridCol w:w="1377"/>
        <w:gridCol w:w="1547"/>
        <w:gridCol w:w="1187"/>
        <w:gridCol w:w="3229"/>
      </w:tblGrid>
      <w:tr w:rsidR="009125F3" w:rsidRPr="009125F3" w14:paraId="041EB8E4" w14:textId="77777777" w:rsidTr="0091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tcPr>
          <w:p w14:paraId="3B1EB7AE" w14:textId="77777777" w:rsidR="00225D48" w:rsidRPr="009125F3" w:rsidRDefault="00225D48" w:rsidP="00225D48">
            <w:pPr>
              <w:rPr>
                <w:rFonts w:ascii="Arial" w:hAnsi="Arial" w:cs="Arial"/>
                <w:b w:val="0"/>
                <w:color w:val="auto"/>
                <w:shd w:val="clear" w:color="auto" w:fill="FFFFFF"/>
              </w:rPr>
            </w:pPr>
            <w:r w:rsidRPr="009125F3">
              <w:rPr>
                <w:rFonts w:ascii="Arial" w:hAnsi="Arial" w:cs="Arial"/>
                <w:b w:val="0"/>
                <w:color w:val="auto"/>
                <w:shd w:val="clear" w:color="auto" w:fill="FFFFFF"/>
              </w:rPr>
              <w:t xml:space="preserve">Capital </w:t>
            </w:r>
          </w:p>
        </w:tc>
        <w:tc>
          <w:tcPr>
            <w:tcW w:w="1413" w:type="dxa"/>
          </w:tcPr>
          <w:p w14:paraId="247960DC"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 xml:space="preserve">Variables </w:t>
            </w:r>
          </w:p>
        </w:tc>
        <w:tc>
          <w:tcPr>
            <w:tcW w:w="1684" w:type="dxa"/>
          </w:tcPr>
          <w:p w14:paraId="5F8598CF"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 xml:space="preserve">Definitions </w:t>
            </w:r>
          </w:p>
        </w:tc>
        <w:tc>
          <w:tcPr>
            <w:tcW w:w="1203" w:type="dxa"/>
          </w:tcPr>
          <w:p w14:paraId="23442294"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Unit</w:t>
            </w:r>
          </w:p>
        </w:tc>
        <w:tc>
          <w:tcPr>
            <w:tcW w:w="3963" w:type="dxa"/>
          </w:tcPr>
          <w:p w14:paraId="07EF5864" w14:textId="77777777" w:rsidR="00225D48" w:rsidRPr="009125F3" w:rsidRDefault="00225D48" w:rsidP="00225D48">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hd w:val="clear" w:color="auto" w:fill="FFFFFF"/>
              </w:rPr>
            </w:pPr>
            <w:r w:rsidRPr="009125F3">
              <w:rPr>
                <w:rFonts w:ascii="Arial" w:hAnsi="Arial" w:cs="Arial"/>
                <w:b w:val="0"/>
                <w:color w:val="auto"/>
                <w:shd w:val="clear" w:color="auto" w:fill="FFFFFF"/>
              </w:rPr>
              <w:t>Expected Effects</w:t>
            </w:r>
          </w:p>
        </w:tc>
      </w:tr>
      <w:tr w:rsidR="009125F3" w:rsidRPr="009125F3" w14:paraId="6FA9EEBA"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29A7BE06" w14:textId="77777777" w:rsidR="00225D48" w:rsidRPr="009125F3" w:rsidRDefault="00225D48" w:rsidP="00225D48">
            <w:pPr>
              <w:rPr>
                <w:rFonts w:ascii="Arial" w:hAnsi="Arial" w:cs="Arial"/>
                <w:color w:val="auto"/>
              </w:rPr>
            </w:pPr>
            <w:r w:rsidRPr="009125F3">
              <w:rPr>
                <w:rFonts w:ascii="Arial" w:hAnsi="Arial" w:cs="Arial"/>
                <w:color w:val="auto"/>
              </w:rPr>
              <w:t>Financial</w:t>
            </w:r>
          </w:p>
        </w:tc>
        <w:tc>
          <w:tcPr>
            <w:tcW w:w="1413" w:type="dxa"/>
            <w:shd w:val="clear" w:color="auto" w:fill="auto"/>
          </w:tcPr>
          <w:p w14:paraId="2331B2B0"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Livestock</w:t>
            </w:r>
          </w:p>
        </w:tc>
        <w:tc>
          <w:tcPr>
            <w:tcW w:w="1684" w:type="dxa"/>
            <w:shd w:val="clear" w:color="auto" w:fill="auto"/>
          </w:tcPr>
          <w:p w14:paraId="44A0E0DB"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Livestock units in tropical livestock units (TLU)</w:t>
            </w:r>
          </w:p>
        </w:tc>
        <w:tc>
          <w:tcPr>
            <w:tcW w:w="1203" w:type="dxa"/>
            <w:shd w:val="clear" w:color="auto" w:fill="auto"/>
          </w:tcPr>
          <w:p w14:paraId="6ADF000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Number</w:t>
            </w:r>
          </w:p>
        </w:tc>
        <w:tc>
          <w:tcPr>
            <w:tcW w:w="3963" w:type="dxa"/>
            <w:shd w:val="clear" w:color="auto" w:fill="auto"/>
          </w:tcPr>
          <w:p w14:paraId="08102D63"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larger herds are expected to have greater livelihood resources.</w:t>
            </w:r>
          </w:p>
        </w:tc>
      </w:tr>
      <w:tr w:rsidR="009125F3" w:rsidRPr="009125F3" w14:paraId="32A7BD5A"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65384583" w14:textId="77777777" w:rsidR="00225D48" w:rsidRPr="009125F3" w:rsidRDefault="00225D48" w:rsidP="00225D48">
            <w:pPr>
              <w:rPr>
                <w:rFonts w:ascii="Arial" w:hAnsi="Arial" w:cs="Arial"/>
                <w:color w:val="auto"/>
                <w:shd w:val="clear" w:color="auto" w:fill="FFFFFF"/>
              </w:rPr>
            </w:pPr>
          </w:p>
        </w:tc>
        <w:tc>
          <w:tcPr>
            <w:tcW w:w="1413" w:type="dxa"/>
          </w:tcPr>
          <w:p w14:paraId="3ACF9AD1"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Access to formal credit</w:t>
            </w:r>
          </w:p>
        </w:tc>
        <w:tc>
          <w:tcPr>
            <w:tcW w:w="1684" w:type="dxa"/>
          </w:tcPr>
          <w:p w14:paraId="497310CD"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Households obtain loans from formal financial institutions.</w:t>
            </w:r>
          </w:p>
        </w:tc>
        <w:tc>
          <w:tcPr>
            <w:tcW w:w="1203" w:type="dxa"/>
          </w:tcPr>
          <w:p w14:paraId="5E58703F"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tcPr>
          <w:p w14:paraId="01D710AF"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formal credit access are more likely to procure agricultural inputs on time, enhancing subsistence production.</w:t>
            </w:r>
          </w:p>
        </w:tc>
      </w:tr>
      <w:tr w:rsidR="009125F3" w:rsidRPr="009125F3" w14:paraId="490BBF4E"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6817ECE1" w14:textId="77777777" w:rsidR="00225D48" w:rsidRPr="009125F3" w:rsidRDefault="00225D48" w:rsidP="00225D48">
            <w:pPr>
              <w:rPr>
                <w:rFonts w:ascii="Arial" w:hAnsi="Arial" w:cs="Arial"/>
                <w:color w:val="auto"/>
              </w:rPr>
            </w:pPr>
            <w:r w:rsidRPr="009125F3">
              <w:rPr>
                <w:rFonts w:ascii="Arial" w:hAnsi="Arial" w:cs="Arial"/>
                <w:color w:val="auto"/>
              </w:rPr>
              <w:t>Social</w:t>
            </w:r>
          </w:p>
        </w:tc>
        <w:tc>
          <w:tcPr>
            <w:tcW w:w="1413" w:type="dxa"/>
            <w:shd w:val="clear" w:color="auto" w:fill="auto"/>
          </w:tcPr>
          <w:p w14:paraId="78E753A5"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Institutional membership</w:t>
            </w:r>
          </w:p>
        </w:tc>
        <w:tc>
          <w:tcPr>
            <w:tcW w:w="1684" w:type="dxa"/>
            <w:shd w:val="clear" w:color="auto" w:fill="auto"/>
          </w:tcPr>
          <w:p w14:paraId="5D80CDF6"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Membership in a cooperative, savings group, etc.</w:t>
            </w:r>
          </w:p>
        </w:tc>
        <w:tc>
          <w:tcPr>
            <w:tcW w:w="1203" w:type="dxa"/>
            <w:shd w:val="clear" w:color="auto" w:fill="auto"/>
          </w:tcPr>
          <w:p w14:paraId="316A3B4C"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shd w:val="clear" w:color="auto" w:fill="auto"/>
          </w:tcPr>
          <w:p w14:paraId="53719FC9"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belonging to such institutions tend to achieve higher food production.</w:t>
            </w:r>
          </w:p>
        </w:tc>
      </w:tr>
      <w:tr w:rsidR="009125F3" w:rsidRPr="009125F3" w14:paraId="5DA1A7D5"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62B6F2A5" w14:textId="77777777" w:rsidR="00225D48" w:rsidRPr="009125F3" w:rsidRDefault="00225D48" w:rsidP="00225D48">
            <w:pPr>
              <w:rPr>
                <w:rFonts w:ascii="Arial" w:hAnsi="Arial" w:cs="Arial"/>
                <w:color w:val="auto"/>
                <w:shd w:val="clear" w:color="auto" w:fill="FFFFFF"/>
              </w:rPr>
            </w:pPr>
          </w:p>
        </w:tc>
        <w:tc>
          <w:tcPr>
            <w:tcW w:w="1413" w:type="dxa"/>
          </w:tcPr>
          <w:p w14:paraId="1F877F95"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Service providers</w:t>
            </w:r>
          </w:p>
        </w:tc>
        <w:tc>
          <w:tcPr>
            <w:tcW w:w="1684" w:type="dxa"/>
          </w:tcPr>
          <w:p w14:paraId="2C36303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Access to agricultural extension services, as perceived by farmers.</w:t>
            </w:r>
          </w:p>
        </w:tc>
        <w:tc>
          <w:tcPr>
            <w:tcW w:w="1203" w:type="dxa"/>
          </w:tcPr>
          <w:p w14:paraId="35E4E448"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Yes = 1, No = 0</w:t>
            </w:r>
          </w:p>
        </w:tc>
        <w:tc>
          <w:tcPr>
            <w:tcW w:w="3963" w:type="dxa"/>
          </w:tcPr>
          <w:p w14:paraId="29167560"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access to advisory services are expected to exhibit higher agricultural productivity.</w:t>
            </w:r>
          </w:p>
        </w:tc>
      </w:tr>
      <w:tr w:rsidR="009125F3" w:rsidRPr="009125F3" w14:paraId="3B2B1204"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val="restart"/>
            <w:shd w:val="clear" w:color="auto" w:fill="auto"/>
          </w:tcPr>
          <w:p w14:paraId="1DB08CEB" w14:textId="77777777" w:rsidR="00225D48" w:rsidRPr="009125F3" w:rsidRDefault="00225D48" w:rsidP="00225D48">
            <w:pPr>
              <w:rPr>
                <w:rFonts w:ascii="Arial" w:hAnsi="Arial" w:cs="Arial"/>
                <w:color w:val="auto"/>
              </w:rPr>
            </w:pPr>
            <w:r w:rsidRPr="009125F3">
              <w:rPr>
                <w:rFonts w:ascii="Arial" w:hAnsi="Arial" w:cs="Arial"/>
                <w:color w:val="auto"/>
              </w:rPr>
              <w:t>Human</w:t>
            </w:r>
          </w:p>
        </w:tc>
        <w:tc>
          <w:tcPr>
            <w:tcW w:w="1413" w:type="dxa"/>
            <w:shd w:val="clear" w:color="auto" w:fill="auto"/>
          </w:tcPr>
          <w:p w14:paraId="191AD47D"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Labor capacity</w:t>
            </w:r>
          </w:p>
        </w:tc>
        <w:tc>
          <w:tcPr>
            <w:tcW w:w="1684" w:type="dxa"/>
            <w:shd w:val="clear" w:color="auto" w:fill="auto"/>
          </w:tcPr>
          <w:p w14:paraId="35566CF8"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 xml:space="preserve">Working-age members as a percentage of total </w:t>
            </w:r>
            <w:r w:rsidRPr="009125F3">
              <w:rPr>
                <w:rFonts w:ascii="Arial" w:hAnsi="Arial" w:cs="Arial"/>
                <w:color w:val="auto"/>
              </w:rPr>
              <w:lastRenderedPageBreak/>
              <w:t>household members.</w:t>
            </w:r>
          </w:p>
        </w:tc>
        <w:tc>
          <w:tcPr>
            <w:tcW w:w="1203" w:type="dxa"/>
            <w:shd w:val="clear" w:color="auto" w:fill="auto"/>
          </w:tcPr>
          <w:p w14:paraId="4F9F2A5A"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lastRenderedPageBreak/>
              <w:t>%</w:t>
            </w:r>
          </w:p>
        </w:tc>
        <w:tc>
          <w:tcPr>
            <w:tcW w:w="3963" w:type="dxa"/>
            <w:shd w:val="clear" w:color="auto" w:fill="auto"/>
          </w:tcPr>
          <w:p w14:paraId="2828AABE"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limited active labor tend to have lower food production.</w:t>
            </w:r>
          </w:p>
        </w:tc>
      </w:tr>
      <w:tr w:rsidR="009125F3" w:rsidRPr="009125F3" w14:paraId="25046C2A" w14:textId="77777777" w:rsidTr="009125F3">
        <w:tc>
          <w:tcPr>
            <w:cnfStyle w:val="001000000000" w:firstRow="0" w:lastRow="0" w:firstColumn="1" w:lastColumn="0" w:oddVBand="0" w:evenVBand="0" w:oddHBand="0" w:evenHBand="0" w:firstRowFirstColumn="0" w:firstRowLastColumn="0" w:lastRowFirstColumn="0" w:lastRowLastColumn="0"/>
            <w:tcW w:w="1025" w:type="dxa"/>
            <w:vMerge/>
          </w:tcPr>
          <w:p w14:paraId="7E5EF8DE" w14:textId="77777777" w:rsidR="00225D48" w:rsidRPr="009125F3" w:rsidRDefault="00225D48" w:rsidP="00225D48">
            <w:pPr>
              <w:rPr>
                <w:rFonts w:ascii="Arial" w:hAnsi="Arial" w:cs="Arial"/>
                <w:color w:val="auto"/>
                <w:shd w:val="clear" w:color="auto" w:fill="FFFFFF"/>
              </w:rPr>
            </w:pPr>
          </w:p>
        </w:tc>
        <w:tc>
          <w:tcPr>
            <w:tcW w:w="1413" w:type="dxa"/>
          </w:tcPr>
          <w:p w14:paraId="1C7E5F8D"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Health status</w:t>
            </w:r>
          </w:p>
        </w:tc>
        <w:tc>
          <w:tcPr>
            <w:tcW w:w="1684" w:type="dxa"/>
          </w:tcPr>
          <w:p w14:paraId="3724644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Presence of chronically ill members.</w:t>
            </w:r>
          </w:p>
        </w:tc>
        <w:tc>
          <w:tcPr>
            <w:tcW w:w="1203" w:type="dxa"/>
          </w:tcPr>
          <w:p w14:paraId="0A2829FA"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Number</w:t>
            </w:r>
          </w:p>
        </w:tc>
        <w:tc>
          <w:tcPr>
            <w:tcW w:w="3963" w:type="dxa"/>
          </w:tcPr>
          <w:p w14:paraId="41DF0D0C"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 multiple chronically ill members generally report lower incomes.</w:t>
            </w:r>
          </w:p>
        </w:tc>
      </w:tr>
      <w:tr w:rsidR="009125F3" w:rsidRPr="009125F3" w14:paraId="1D1E9EF3"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vMerge/>
            <w:shd w:val="clear" w:color="auto" w:fill="auto"/>
          </w:tcPr>
          <w:p w14:paraId="35B642D4"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2C2E8201"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Education level</w:t>
            </w:r>
          </w:p>
        </w:tc>
        <w:tc>
          <w:tcPr>
            <w:tcW w:w="1684" w:type="dxa"/>
            <w:shd w:val="clear" w:color="auto" w:fill="auto"/>
          </w:tcPr>
          <w:p w14:paraId="0F3E22AE"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Average years of education among working-age household members.</w:t>
            </w:r>
          </w:p>
        </w:tc>
        <w:tc>
          <w:tcPr>
            <w:tcW w:w="1203" w:type="dxa"/>
            <w:shd w:val="clear" w:color="auto" w:fill="auto"/>
          </w:tcPr>
          <w:p w14:paraId="5DC5172B"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Years</w:t>
            </w:r>
          </w:p>
        </w:tc>
        <w:tc>
          <w:tcPr>
            <w:tcW w:w="3963" w:type="dxa"/>
            <w:shd w:val="clear" w:color="auto" w:fill="auto"/>
          </w:tcPr>
          <w:p w14:paraId="6D16C208"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 xml:space="preserve">Educated households diversify income sources more </w:t>
            </w:r>
            <w:proofErr w:type="gramStart"/>
            <w:r w:rsidRPr="009125F3">
              <w:rPr>
                <w:rFonts w:ascii="Arial" w:hAnsi="Arial" w:cs="Arial"/>
                <w:color w:val="auto"/>
                <w:shd w:val="clear" w:color="auto" w:fill="FFFFFF"/>
              </w:rPr>
              <w:t>easily..</w:t>
            </w:r>
            <w:proofErr w:type="gramEnd"/>
          </w:p>
        </w:tc>
      </w:tr>
      <w:tr w:rsidR="009125F3" w:rsidRPr="009125F3" w14:paraId="627F5899" w14:textId="77777777" w:rsidTr="009125F3">
        <w:tc>
          <w:tcPr>
            <w:cnfStyle w:val="001000000000" w:firstRow="0" w:lastRow="0" w:firstColumn="1" w:lastColumn="0" w:oddVBand="0" w:evenVBand="0" w:oddHBand="0" w:evenHBand="0" w:firstRowFirstColumn="0" w:firstRowLastColumn="0" w:lastRowFirstColumn="0" w:lastRowLastColumn="0"/>
            <w:tcW w:w="1025" w:type="dxa"/>
          </w:tcPr>
          <w:p w14:paraId="3AC49570" w14:textId="77777777" w:rsidR="00225D48" w:rsidRPr="009125F3" w:rsidRDefault="00225D48" w:rsidP="00225D48">
            <w:pPr>
              <w:rPr>
                <w:rFonts w:ascii="Arial" w:hAnsi="Arial" w:cs="Arial"/>
                <w:color w:val="auto"/>
              </w:rPr>
            </w:pPr>
            <w:r w:rsidRPr="009125F3">
              <w:rPr>
                <w:rFonts w:ascii="Arial" w:hAnsi="Arial" w:cs="Arial"/>
                <w:color w:val="auto"/>
              </w:rPr>
              <w:t>Natural</w:t>
            </w:r>
          </w:p>
        </w:tc>
        <w:tc>
          <w:tcPr>
            <w:tcW w:w="1413" w:type="dxa"/>
          </w:tcPr>
          <w:p w14:paraId="22A5B644"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Agricultural land area</w:t>
            </w:r>
          </w:p>
        </w:tc>
        <w:tc>
          <w:tcPr>
            <w:tcW w:w="1684" w:type="dxa"/>
          </w:tcPr>
          <w:p w14:paraId="4A4E1A9B"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Land owned by the household (communal land excluded).</w:t>
            </w:r>
          </w:p>
        </w:tc>
        <w:tc>
          <w:tcPr>
            <w:tcW w:w="1203" w:type="dxa"/>
          </w:tcPr>
          <w:p w14:paraId="315F8639"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Hectares (ha)</w:t>
            </w:r>
          </w:p>
        </w:tc>
        <w:tc>
          <w:tcPr>
            <w:tcW w:w="3963" w:type="dxa"/>
          </w:tcPr>
          <w:p w14:paraId="38AD1159"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Households without land tenure typically exhibit reduced subsistence production capacity.</w:t>
            </w:r>
          </w:p>
        </w:tc>
      </w:tr>
      <w:tr w:rsidR="009125F3" w:rsidRPr="009125F3" w14:paraId="69E1181E"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4A76DA8B"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4CAAF517"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Soil quality</w:t>
            </w:r>
          </w:p>
        </w:tc>
        <w:tc>
          <w:tcPr>
            <w:tcW w:w="1684" w:type="dxa"/>
            <w:shd w:val="clear" w:color="auto" w:fill="auto"/>
          </w:tcPr>
          <w:p w14:paraId="55895117"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Perceived soil fertility by farmers.</w:t>
            </w:r>
          </w:p>
        </w:tc>
        <w:tc>
          <w:tcPr>
            <w:tcW w:w="1203" w:type="dxa"/>
            <w:shd w:val="clear" w:color="auto" w:fill="auto"/>
          </w:tcPr>
          <w:p w14:paraId="0FF8C21D"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Poor = 0, Good = 1</w:t>
            </w:r>
          </w:p>
        </w:tc>
        <w:tc>
          <w:tcPr>
            <w:tcW w:w="3963" w:type="dxa"/>
            <w:shd w:val="clear" w:color="auto" w:fill="auto"/>
          </w:tcPr>
          <w:p w14:paraId="553B957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Higher soil quality increases crop yields, thereby improving household subsistence production.</w:t>
            </w:r>
          </w:p>
        </w:tc>
      </w:tr>
      <w:tr w:rsidR="009125F3" w:rsidRPr="009125F3" w14:paraId="1FE2DF38" w14:textId="77777777" w:rsidTr="009125F3">
        <w:tc>
          <w:tcPr>
            <w:cnfStyle w:val="001000000000" w:firstRow="0" w:lastRow="0" w:firstColumn="1" w:lastColumn="0" w:oddVBand="0" w:evenVBand="0" w:oddHBand="0" w:evenHBand="0" w:firstRowFirstColumn="0" w:firstRowLastColumn="0" w:lastRowFirstColumn="0" w:lastRowLastColumn="0"/>
            <w:tcW w:w="1025" w:type="dxa"/>
          </w:tcPr>
          <w:p w14:paraId="7B6731B4" w14:textId="77777777" w:rsidR="00225D48" w:rsidRPr="009125F3" w:rsidRDefault="00225D48" w:rsidP="00225D48">
            <w:pPr>
              <w:rPr>
                <w:rFonts w:ascii="Arial" w:hAnsi="Arial" w:cs="Arial"/>
                <w:color w:val="auto"/>
              </w:rPr>
            </w:pPr>
            <w:r w:rsidRPr="009125F3">
              <w:rPr>
                <w:rFonts w:ascii="Arial" w:hAnsi="Arial" w:cs="Arial"/>
                <w:color w:val="auto"/>
              </w:rPr>
              <w:t>Physical</w:t>
            </w:r>
          </w:p>
        </w:tc>
        <w:tc>
          <w:tcPr>
            <w:tcW w:w="1413" w:type="dxa"/>
          </w:tcPr>
          <w:p w14:paraId="40EABB6E"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Housing conditions</w:t>
            </w:r>
          </w:p>
        </w:tc>
        <w:tc>
          <w:tcPr>
            <w:tcW w:w="1684" w:type="dxa"/>
          </w:tcPr>
          <w:p w14:paraId="08253A50"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Persons per dwelling area.</w:t>
            </w:r>
          </w:p>
        </w:tc>
        <w:tc>
          <w:tcPr>
            <w:tcW w:w="1203" w:type="dxa"/>
          </w:tcPr>
          <w:p w14:paraId="173AD041"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9125F3">
              <w:rPr>
                <w:rFonts w:ascii="Arial" w:hAnsi="Arial" w:cs="Arial"/>
                <w:color w:val="auto"/>
              </w:rPr>
              <w:t>ha/person</w:t>
            </w:r>
          </w:p>
        </w:tc>
        <w:tc>
          <w:tcPr>
            <w:tcW w:w="3963" w:type="dxa"/>
          </w:tcPr>
          <w:p w14:paraId="46540223" w14:textId="77777777" w:rsidR="00225D48" w:rsidRPr="009125F3" w:rsidRDefault="00225D48" w:rsidP="00225D48">
            <w:pPr>
              <w:cnfStyle w:val="000000000000" w:firstRow="0" w:lastRow="0" w:firstColumn="0" w:lastColumn="0" w:oddVBand="0" w:evenVBand="0" w:oddHBand="0"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ab/>
              <w:t>Households with more living space per capita generally show better psychological well-being and physical health, potentially enhancing productivity</w:t>
            </w:r>
          </w:p>
        </w:tc>
      </w:tr>
      <w:tr w:rsidR="009125F3" w:rsidRPr="009125F3" w14:paraId="4ECC3C1B"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 w:type="dxa"/>
            <w:shd w:val="clear" w:color="auto" w:fill="auto"/>
          </w:tcPr>
          <w:p w14:paraId="5D9A2D66" w14:textId="77777777" w:rsidR="00225D48" w:rsidRPr="009125F3" w:rsidRDefault="00225D48" w:rsidP="00225D48">
            <w:pPr>
              <w:rPr>
                <w:rFonts w:ascii="Arial" w:hAnsi="Arial" w:cs="Arial"/>
                <w:color w:val="auto"/>
                <w:shd w:val="clear" w:color="auto" w:fill="FFFFFF"/>
              </w:rPr>
            </w:pPr>
          </w:p>
        </w:tc>
        <w:tc>
          <w:tcPr>
            <w:tcW w:w="1413" w:type="dxa"/>
            <w:shd w:val="clear" w:color="auto" w:fill="auto"/>
          </w:tcPr>
          <w:p w14:paraId="7ECC9BE2"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Proximity to public services</w:t>
            </w:r>
          </w:p>
        </w:tc>
        <w:tc>
          <w:tcPr>
            <w:tcW w:w="1684" w:type="dxa"/>
            <w:shd w:val="clear" w:color="auto" w:fill="auto"/>
          </w:tcPr>
          <w:p w14:paraId="0A853AA5"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Distance to essential services (healthcare, education, markets).</w:t>
            </w:r>
          </w:p>
        </w:tc>
        <w:tc>
          <w:tcPr>
            <w:tcW w:w="1203" w:type="dxa"/>
            <w:shd w:val="clear" w:color="auto" w:fill="auto"/>
          </w:tcPr>
          <w:p w14:paraId="34278410"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9125F3">
              <w:rPr>
                <w:rFonts w:ascii="Arial" w:hAnsi="Arial" w:cs="Arial"/>
                <w:color w:val="auto"/>
              </w:rPr>
              <w:t>Kilometers (km)</w:t>
            </w:r>
          </w:p>
        </w:tc>
        <w:tc>
          <w:tcPr>
            <w:tcW w:w="3963" w:type="dxa"/>
            <w:shd w:val="clear" w:color="auto" w:fill="auto"/>
          </w:tcPr>
          <w:p w14:paraId="6B023586" w14:textId="77777777" w:rsidR="00225D48" w:rsidRPr="009125F3" w:rsidRDefault="00225D48" w:rsidP="00225D48">
            <w:pPr>
              <w:cnfStyle w:val="000000100000" w:firstRow="0" w:lastRow="0" w:firstColumn="0" w:lastColumn="0" w:oddVBand="0" w:evenVBand="0" w:oddHBand="1" w:evenHBand="0" w:firstRowFirstColumn="0" w:firstRowLastColumn="0" w:lastRowFirstColumn="0" w:lastRowLastColumn="0"/>
              <w:rPr>
                <w:rFonts w:ascii="Arial" w:hAnsi="Arial" w:cs="Arial"/>
                <w:color w:val="auto"/>
                <w:shd w:val="clear" w:color="auto" w:fill="FFFFFF"/>
              </w:rPr>
            </w:pPr>
            <w:r w:rsidRPr="009125F3">
              <w:rPr>
                <w:rFonts w:ascii="Arial" w:hAnsi="Arial" w:cs="Arial"/>
                <w:color w:val="auto"/>
                <w:shd w:val="clear" w:color="auto" w:fill="FFFFFF"/>
              </w:rPr>
              <w:t>Closer proximity to public services correlates with improved living conditions and livelihoods.</w:t>
            </w:r>
          </w:p>
        </w:tc>
      </w:tr>
    </w:tbl>
    <w:p w14:paraId="0C2ABD57" w14:textId="77777777" w:rsidR="00225D48" w:rsidRPr="00225D48" w:rsidRDefault="00225D48" w:rsidP="00225D48">
      <w:pPr>
        <w:spacing w:line="360" w:lineRule="auto"/>
        <w:jc w:val="both"/>
        <w:rPr>
          <w:rFonts w:ascii="Arial" w:hAnsi="Arial" w:cs="Arial"/>
          <w:b/>
          <w:sz w:val="22"/>
          <w:szCs w:val="22"/>
        </w:rPr>
      </w:pPr>
      <w:r w:rsidRPr="00225D48">
        <w:rPr>
          <w:rFonts w:ascii="Arial" w:hAnsi="Arial" w:cs="Arial"/>
          <w:b/>
          <w:sz w:val="22"/>
          <w:szCs w:val="22"/>
        </w:rPr>
        <w:t xml:space="preserve">Sources: Authors, 2025  </w:t>
      </w:r>
    </w:p>
    <w:p w14:paraId="5EAE6ACD"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In this study, livelihood strategies are classified into three types, allowing households to be categorized according to their primary activities. Non-agricultural households (Type I) derive most of their income from non-agricultural activities, particularly wage labor or self-employment (trade, services, etc.). Agriculture-dependent households (Type II), while engaging in some complementary off-farm activities (processing, selling agricultural products, etc.), rely primarily on crop cultivation and livestock for their subsistence. Finally, purely agricultural households (Type III) depend exclusively on agriculture for their livelihood, without significant diversification into other sectors. According to Liu et al. (2018), the choice of livelihood strategy by the </w:t>
      </w:r>
      <w:proofErr w:type="spellStart"/>
      <w:r w:rsidRPr="00225D48">
        <w:rPr>
          <w:rFonts w:ascii="Arial" w:hAnsi="Arial" w:cs="Arial"/>
          <w:color w:val="000000" w:themeColor="text1"/>
          <w:sz w:val="22"/>
          <w:szCs w:val="22"/>
        </w:rPr>
        <w:t>i-th</w:t>
      </w:r>
      <w:proofErr w:type="spellEnd"/>
      <w:r w:rsidRPr="00225D48">
        <w:rPr>
          <w:rFonts w:ascii="Arial" w:hAnsi="Arial" w:cs="Arial"/>
          <w:color w:val="000000" w:themeColor="text1"/>
          <w:sz w:val="22"/>
          <w:szCs w:val="22"/>
        </w:rPr>
        <w:t xml:space="preserve"> agricultural household can be modeled using a latent variable function. This function is expressed as follows:</w:t>
      </w:r>
    </w:p>
    <w:p w14:paraId="64441D27" w14:textId="77777777" w:rsidR="00225D48" w:rsidRPr="00225D48" w:rsidRDefault="00225D48" w:rsidP="00225D48">
      <w:pPr>
        <w:shd w:val="clear" w:color="auto" w:fill="FFFFFF" w:themeFill="background1"/>
        <w:spacing w:before="240" w:after="240" w:line="276" w:lineRule="auto"/>
        <w:jc w:val="center"/>
        <w:rPr>
          <w:rFonts w:ascii="Arial" w:hAnsi="Arial" w:cs="Arial"/>
          <w:b/>
          <w:color w:val="000000" w:themeColor="text1"/>
          <w:sz w:val="22"/>
          <w:szCs w:val="22"/>
          <w:shd w:val="clear" w:color="auto" w:fill="FFFFFF"/>
        </w:rPr>
      </w:pPr>
      <w:proofErr w:type="spellStart"/>
      <w:r w:rsidRPr="00225D48">
        <w:rPr>
          <w:rFonts w:ascii="Arial" w:hAnsi="Arial" w:cs="Arial"/>
          <w:b/>
          <w:color w:val="000000" w:themeColor="text1"/>
          <w:sz w:val="22"/>
          <w:szCs w:val="22"/>
          <w:shd w:val="clear" w:color="auto" w:fill="FFFFFF"/>
        </w:rPr>
        <w:t>n</w:t>
      </w:r>
      <w:r w:rsidRPr="00225D48">
        <w:rPr>
          <w:rFonts w:ascii="Arial" w:hAnsi="Arial" w:cs="Arial"/>
          <w:b/>
          <w:color w:val="000000" w:themeColor="text1"/>
          <w:sz w:val="22"/>
          <w:szCs w:val="22"/>
          <w:shd w:val="clear" w:color="auto" w:fill="FFFFFF"/>
          <w:vertAlign w:val="subscript"/>
        </w:rPr>
        <w:t>ij</w:t>
      </w:r>
      <w:proofErr w:type="spellEnd"/>
      <w:r w:rsidRPr="00225D48">
        <w:rPr>
          <w:rFonts w:ascii="Arial" w:hAnsi="Arial" w:cs="Arial"/>
          <w:b/>
          <w:color w:val="000000" w:themeColor="text1"/>
          <w:sz w:val="22"/>
          <w:szCs w:val="22"/>
          <w:shd w:val="clear" w:color="auto" w:fill="FFFFFF"/>
          <w:vertAlign w:val="subscript"/>
        </w:rPr>
        <w:t xml:space="preserve"> = </w:t>
      </w:r>
      <w:proofErr w:type="spellStart"/>
      <w:r w:rsidRPr="00225D48">
        <w:rPr>
          <w:rFonts w:ascii="Arial" w:hAnsi="Arial" w:cs="Arial"/>
          <w:b/>
          <w:color w:val="000000" w:themeColor="text1"/>
          <w:sz w:val="22"/>
          <w:szCs w:val="22"/>
          <w:shd w:val="clear" w:color="auto" w:fill="FFFFFF"/>
        </w:rPr>
        <w:t>X</w:t>
      </w:r>
      <w:r w:rsidRPr="00225D48">
        <w:rPr>
          <w:rFonts w:ascii="Arial" w:hAnsi="Arial" w:cs="Arial"/>
          <w:b/>
          <w:color w:val="000000" w:themeColor="text1"/>
          <w:sz w:val="22"/>
          <w:szCs w:val="22"/>
          <w:shd w:val="clear" w:color="auto" w:fill="FFFFFF"/>
          <w:vertAlign w:val="subscript"/>
        </w:rPr>
        <w:t>i</w:t>
      </w:r>
      <w:r w:rsidRPr="00225D48">
        <w:rPr>
          <w:rFonts w:ascii="Arial" w:hAnsi="Arial" w:cs="Arial"/>
          <w:b/>
          <w:color w:val="000000" w:themeColor="text1"/>
          <w:sz w:val="22"/>
          <w:szCs w:val="22"/>
          <w:shd w:val="clear" w:color="auto" w:fill="FFFFFF"/>
        </w:rPr>
        <w:t>a</w:t>
      </w:r>
      <w:r w:rsidRPr="00225D48">
        <w:rPr>
          <w:rFonts w:ascii="Arial" w:hAnsi="Arial" w:cs="Arial"/>
          <w:b/>
          <w:color w:val="000000" w:themeColor="text1"/>
          <w:sz w:val="22"/>
          <w:szCs w:val="22"/>
          <w:shd w:val="clear" w:color="auto" w:fill="FFFFFF"/>
          <w:vertAlign w:val="subscript"/>
        </w:rPr>
        <w:t>j</w:t>
      </w:r>
      <w:proofErr w:type="spellEnd"/>
      <w:r w:rsidRPr="00225D48">
        <w:rPr>
          <w:rFonts w:ascii="Arial" w:hAnsi="Arial" w:cs="Arial"/>
          <w:b/>
          <w:color w:val="000000" w:themeColor="text1"/>
          <w:sz w:val="22"/>
          <w:szCs w:val="22"/>
          <w:shd w:val="clear" w:color="auto" w:fill="FFFFFF"/>
        </w:rPr>
        <w:t xml:space="preserve"> + </w:t>
      </w:r>
      <w:proofErr w:type="spellStart"/>
      <w:r w:rsidRPr="00225D48">
        <w:rPr>
          <w:rFonts w:ascii="Arial" w:hAnsi="Arial" w:cs="Arial"/>
          <w:b/>
          <w:color w:val="000000" w:themeColor="text1"/>
          <w:sz w:val="22"/>
          <w:szCs w:val="22"/>
          <w:shd w:val="clear" w:color="auto" w:fill="FFFFFF"/>
        </w:rPr>
        <w:t>Є</w:t>
      </w:r>
      <w:r w:rsidRPr="00225D48">
        <w:rPr>
          <w:rFonts w:ascii="Arial" w:hAnsi="Arial" w:cs="Arial"/>
          <w:b/>
          <w:color w:val="000000" w:themeColor="text1"/>
          <w:sz w:val="22"/>
          <w:szCs w:val="22"/>
          <w:shd w:val="clear" w:color="auto" w:fill="FFFFFF"/>
          <w:vertAlign w:val="subscript"/>
        </w:rPr>
        <w:t>ij</w:t>
      </w:r>
      <w:proofErr w:type="spellEnd"/>
      <w:r w:rsidRPr="00225D48">
        <w:rPr>
          <w:rFonts w:ascii="Arial" w:hAnsi="Arial" w:cs="Arial"/>
          <w:b/>
          <w:color w:val="000000" w:themeColor="text1"/>
          <w:sz w:val="22"/>
          <w:szCs w:val="22"/>
          <w:shd w:val="clear" w:color="auto" w:fill="FFFFFF"/>
          <w:vertAlign w:val="subscript"/>
        </w:rPr>
        <w:t xml:space="preserve"> </w:t>
      </w:r>
      <w:r w:rsidRPr="00225D48">
        <w:rPr>
          <w:rFonts w:ascii="Arial" w:hAnsi="Arial" w:cs="Arial"/>
          <w:b/>
          <w:color w:val="000000" w:themeColor="text1"/>
          <w:sz w:val="22"/>
          <w:szCs w:val="22"/>
          <w:shd w:val="clear" w:color="auto" w:fill="FFFFFF"/>
        </w:rPr>
        <w:t>(j=1,2,3)         (1)</w:t>
      </w:r>
    </w:p>
    <w:p w14:paraId="241F437A" w14:textId="77777777" w:rsidR="00225D48" w:rsidRPr="00225D48" w:rsidRDefault="00225D48" w:rsidP="00225D48">
      <w:pPr>
        <w:pStyle w:val="ds-markdown-paragraph"/>
        <w:shd w:val="clear" w:color="auto" w:fill="FFFFFF"/>
        <w:tabs>
          <w:tab w:val="left" w:pos="284"/>
        </w:tabs>
        <w:spacing w:after="206" w:afterAutospacing="0" w:line="276" w:lineRule="auto"/>
        <w:jc w:val="both"/>
        <w:rPr>
          <w:rFonts w:ascii="Arial" w:hAnsi="Arial" w:cs="Arial"/>
          <w:color w:val="000000" w:themeColor="text1"/>
          <w:sz w:val="22"/>
          <w:szCs w:val="22"/>
          <w:lang w:val="en-US"/>
        </w:rPr>
      </w:pPr>
      <w:r w:rsidRPr="00225D48">
        <w:rPr>
          <w:rFonts w:ascii="Arial" w:hAnsi="Arial" w:cs="Arial"/>
          <w:color w:val="000000" w:themeColor="text1"/>
          <w:sz w:val="22"/>
          <w:szCs w:val="22"/>
          <w:lang w:val="en-US"/>
        </w:rPr>
        <w:t>Where:</w:t>
      </w:r>
    </w:p>
    <w:p w14:paraId="5E6C5EC8"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proofErr w:type="spellStart"/>
      <w:r w:rsidRPr="00225D48">
        <w:rPr>
          <w:rStyle w:val="mord"/>
          <w:rFonts w:ascii="Arial" w:hAnsi="Arial" w:cs="Arial"/>
          <w:b/>
          <w:bCs/>
          <w:iCs/>
          <w:color w:val="000000" w:themeColor="text1"/>
          <w:sz w:val="22"/>
          <w:szCs w:val="22"/>
          <w:lang w:val="en-US"/>
        </w:rPr>
        <w:lastRenderedPageBreak/>
        <w:t>n</w:t>
      </w:r>
      <w:r w:rsidRPr="00225D48">
        <w:rPr>
          <w:rStyle w:val="mord"/>
          <w:rFonts w:ascii="Arial" w:hAnsi="Arial" w:cs="Arial"/>
          <w:b/>
          <w:bCs/>
          <w:iCs/>
          <w:color w:val="000000" w:themeColor="text1"/>
          <w:sz w:val="22"/>
          <w:szCs w:val="22"/>
          <w:vertAlign w:val="subscript"/>
          <w:lang w:val="en-US"/>
        </w:rPr>
        <w:t>ij</w:t>
      </w:r>
      <w:proofErr w:type="spellEnd"/>
      <w:r w:rsidRPr="00225D48">
        <w:rPr>
          <w:rStyle w:val="mord"/>
          <w:rFonts w:ascii="Arial" w:hAnsi="Arial" w:cs="Arial"/>
          <w:b/>
          <w:bCs/>
          <w:iCs/>
          <w:color w:val="000000" w:themeColor="text1"/>
          <w:sz w:val="22"/>
          <w:szCs w:val="22"/>
          <w:lang w:val="en-US"/>
        </w:rPr>
        <w:t xml:space="preserve"> </w:t>
      </w:r>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represents a latent variable denoting the </w:t>
      </w:r>
      <w:r w:rsidRPr="00225D48">
        <w:rPr>
          <w:rStyle w:val="Emphasis"/>
          <w:rFonts w:ascii="Arial" w:hAnsi="Arial" w:cs="Arial"/>
          <w:color w:val="000000" w:themeColor="text1"/>
          <w:sz w:val="22"/>
          <w:szCs w:val="22"/>
          <w:lang w:val="en-US"/>
        </w:rPr>
        <w:t>benefit</w:t>
      </w:r>
      <w:r w:rsidRPr="00225D48">
        <w:rPr>
          <w:rFonts w:ascii="Arial" w:hAnsi="Arial" w:cs="Arial"/>
          <w:color w:val="000000" w:themeColor="text1"/>
          <w:sz w:val="22"/>
          <w:szCs w:val="22"/>
          <w:lang w:val="en-US"/>
        </w:rPr>
        <w:t> derived from the chosen livelihood strategy (assuming agricultural households select strategies that maximize their expected benefits within tolerable risk levels);</w:t>
      </w:r>
    </w:p>
    <w:p w14:paraId="7E7D1916"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proofErr w:type="spellStart"/>
      <w:r w:rsidRPr="00225D48">
        <w:rPr>
          <w:rStyle w:val="mord"/>
          <w:rFonts w:ascii="Arial" w:hAnsi="Arial" w:cs="Arial"/>
          <w:b/>
          <w:bCs/>
          <w:iCs/>
          <w:color w:val="000000" w:themeColor="text1"/>
          <w:sz w:val="22"/>
          <w:szCs w:val="22"/>
          <w:lang w:val="en-US"/>
        </w:rPr>
        <w:t>aj</w:t>
      </w:r>
      <w:proofErr w:type="spellEnd"/>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 is a </w:t>
      </w:r>
      <w:r w:rsidRPr="00225D48">
        <w:rPr>
          <w:rStyle w:val="katex-mathml"/>
          <w:rFonts w:ascii="Arial" w:hAnsi="Arial" w:cs="Arial"/>
          <w:color w:val="000000" w:themeColor="text1"/>
          <w:sz w:val="22"/>
          <w:szCs w:val="22"/>
          <w:bdr w:val="none" w:sz="0" w:space="0" w:color="auto" w:frame="1"/>
          <w:lang w:val="en-US"/>
        </w:rPr>
        <w:t>q×1</w:t>
      </w:r>
      <w:r w:rsidRPr="00225D48">
        <w:rPr>
          <w:rFonts w:ascii="Arial" w:hAnsi="Arial" w:cs="Arial"/>
          <w:color w:val="000000" w:themeColor="text1"/>
          <w:sz w:val="22"/>
          <w:szCs w:val="22"/>
          <w:lang w:val="en-US"/>
        </w:rPr>
        <w:t> vector of household-specific characteristics for the </w:t>
      </w:r>
      <w:proofErr w:type="spellStart"/>
      <w:r w:rsidRPr="00225D48">
        <w:rPr>
          <w:rStyle w:val="katex-mathml"/>
          <w:rFonts w:ascii="Arial" w:hAnsi="Arial" w:cs="Arial"/>
          <w:color w:val="000000" w:themeColor="text1"/>
          <w:sz w:val="22"/>
          <w:szCs w:val="22"/>
          <w:bdr w:val="none" w:sz="0" w:space="0" w:color="auto" w:frame="1"/>
          <w:lang w:val="en-US"/>
        </w:rPr>
        <w:t>i</w:t>
      </w:r>
      <w:r w:rsidRPr="00225D48">
        <w:rPr>
          <w:rFonts w:ascii="Arial" w:hAnsi="Arial" w:cs="Arial"/>
          <w:color w:val="000000" w:themeColor="text1"/>
          <w:sz w:val="22"/>
          <w:szCs w:val="22"/>
          <w:lang w:val="en-US"/>
        </w:rPr>
        <w:t>-th</w:t>
      </w:r>
      <w:proofErr w:type="spellEnd"/>
      <w:r w:rsidRPr="00225D48">
        <w:rPr>
          <w:rFonts w:ascii="Arial" w:hAnsi="Arial" w:cs="Arial"/>
          <w:color w:val="000000" w:themeColor="text1"/>
          <w:sz w:val="22"/>
          <w:szCs w:val="22"/>
          <w:lang w:val="en-US"/>
        </w:rPr>
        <w:t xml:space="preserve"> agricultural household, i.e., the factors influencing livelihood strategy choice (in this study, these correspond to the household’s livelihood assets);</w:t>
      </w:r>
    </w:p>
    <w:p w14:paraId="2038598E" w14:textId="77777777" w:rsidR="00225D48" w:rsidRPr="00225D48" w:rsidRDefault="00225D48" w:rsidP="00225D48">
      <w:pPr>
        <w:pStyle w:val="ds-markdown-paragraph"/>
        <w:numPr>
          <w:ilvl w:val="0"/>
          <w:numId w:val="31"/>
        </w:numPr>
        <w:shd w:val="clear" w:color="auto" w:fill="FFFFFF"/>
        <w:tabs>
          <w:tab w:val="left" w:pos="284"/>
        </w:tabs>
        <w:spacing w:before="0" w:beforeAutospacing="0" w:line="276" w:lineRule="auto"/>
        <w:ind w:left="0"/>
        <w:jc w:val="both"/>
        <w:rPr>
          <w:rFonts w:ascii="Arial" w:hAnsi="Arial" w:cs="Arial"/>
          <w:color w:val="000000" w:themeColor="text1"/>
          <w:sz w:val="22"/>
          <w:szCs w:val="22"/>
          <w:lang w:val="en-US"/>
        </w:rPr>
      </w:pPr>
      <w:r w:rsidRPr="00225D48">
        <w:rPr>
          <w:rStyle w:val="mord"/>
          <w:rFonts w:ascii="Arial" w:hAnsi="Arial" w:cs="Arial"/>
          <w:b/>
          <w:bCs/>
          <w:iCs/>
          <w:color w:val="000000" w:themeColor="text1"/>
          <w:sz w:val="22"/>
          <w:szCs w:val="22"/>
        </w:rPr>
        <w:t>α</w:t>
      </w:r>
      <w:r w:rsidRPr="00225D48">
        <w:rPr>
          <w:rStyle w:val="mord"/>
          <w:rFonts w:ascii="Arial" w:hAnsi="Arial" w:cs="Arial"/>
          <w:b/>
          <w:bCs/>
          <w:iCs/>
          <w:color w:val="000000" w:themeColor="text1"/>
          <w:sz w:val="22"/>
          <w:szCs w:val="22"/>
          <w:lang w:val="en-US"/>
        </w:rPr>
        <w:t>j</w:t>
      </w:r>
      <w:r w:rsidRPr="00225D48">
        <w:rPr>
          <w:rStyle w:val="vlist-s"/>
          <w:rFonts w:ascii="Arial" w:hAnsi="Arial" w:cs="Arial"/>
          <w:b/>
          <w:bCs/>
          <w:color w:val="000000" w:themeColor="text1"/>
          <w:sz w:val="22"/>
          <w:szCs w:val="22"/>
          <w:lang w:val="en-US"/>
        </w:rPr>
        <w:t>​</w:t>
      </w:r>
      <w:r w:rsidRPr="00225D48">
        <w:rPr>
          <w:rFonts w:ascii="Arial" w:hAnsi="Arial" w:cs="Arial"/>
          <w:color w:val="000000" w:themeColor="text1"/>
          <w:sz w:val="22"/>
          <w:szCs w:val="22"/>
          <w:lang w:val="en-US"/>
        </w:rPr>
        <w:t> is a </w:t>
      </w:r>
      <w:r w:rsidRPr="00225D48">
        <w:rPr>
          <w:rStyle w:val="katex-mathml"/>
          <w:rFonts w:ascii="Arial" w:hAnsi="Arial" w:cs="Arial"/>
          <w:color w:val="000000" w:themeColor="text1"/>
          <w:sz w:val="22"/>
          <w:szCs w:val="22"/>
          <w:bdr w:val="none" w:sz="0" w:space="0" w:color="auto" w:frame="1"/>
          <w:lang w:val="en-US"/>
        </w:rPr>
        <w:t>q×1</w:t>
      </w:r>
      <w:r w:rsidRPr="00225D48">
        <w:rPr>
          <w:rFonts w:ascii="Arial" w:hAnsi="Arial" w:cs="Arial"/>
          <w:color w:val="000000" w:themeColor="text1"/>
          <w:sz w:val="22"/>
          <w:szCs w:val="22"/>
          <w:lang w:val="en-US"/>
        </w:rPr>
        <w:t> vector of coefficients for strategy </w:t>
      </w:r>
      <w:r w:rsidRPr="00225D48">
        <w:rPr>
          <w:rStyle w:val="mord"/>
          <w:rFonts w:ascii="Arial" w:hAnsi="Arial" w:cs="Arial"/>
          <w:iCs/>
          <w:color w:val="000000" w:themeColor="text1"/>
          <w:sz w:val="22"/>
          <w:szCs w:val="22"/>
          <w:lang w:val="en-US"/>
        </w:rPr>
        <w:t>j</w:t>
      </w:r>
      <w:r w:rsidRPr="00225D48">
        <w:rPr>
          <w:rFonts w:ascii="Arial" w:hAnsi="Arial" w:cs="Arial"/>
          <w:color w:val="000000" w:themeColor="text1"/>
          <w:sz w:val="22"/>
          <w:szCs w:val="22"/>
          <w:lang w:val="en-US"/>
        </w:rPr>
        <w:t>.</w:t>
      </w:r>
    </w:p>
    <w:p w14:paraId="2CD05A1B" w14:textId="77777777" w:rsidR="00225D48" w:rsidRPr="00225D48" w:rsidRDefault="00225D48" w:rsidP="00225D48">
      <w:pPr>
        <w:pStyle w:val="ListParagraph"/>
        <w:shd w:val="clear" w:color="auto" w:fill="FFFFFF" w:themeFill="background1"/>
        <w:spacing w:before="240" w:after="240" w:line="360" w:lineRule="auto"/>
        <w:jc w:val="center"/>
        <w:rPr>
          <w:rFonts w:ascii="Arial" w:hAnsi="Arial" w:cs="Arial"/>
          <w:b/>
          <w:color w:val="000000" w:themeColor="text1"/>
          <w:shd w:val="clear" w:color="auto" w:fill="FFFFFF"/>
          <w:lang w:val="en-US"/>
        </w:rPr>
      </w:pPr>
      <w:r w:rsidRPr="00225D48">
        <w:rPr>
          <w:rFonts w:ascii="Arial" w:hAnsi="Arial" w:cs="Arial"/>
          <w:b/>
          <w:color w:val="000000" w:themeColor="text1"/>
          <w:shd w:val="clear" w:color="auto" w:fill="FFFFFF"/>
          <w:lang w:val="en-US"/>
        </w:rPr>
        <w:t>ȹ</w:t>
      </w:r>
      <w:proofErr w:type="spell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 </w:t>
      </w:r>
      <w:proofErr w:type="spellStart"/>
      <w:r w:rsidRPr="00225D48">
        <w:rPr>
          <w:rFonts w:ascii="Arial" w:hAnsi="Arial" w:cs="Arial"/>
          <w:b/>
          <w:color w:val="000000" w:themeColor="text1"/>
          <w:shd w:val="clear" w:color="auto" w:fill="FFFFFF"/>
          <w:lang w:val="en-US"/>
        </w:rPr>
        <w:t>n</w:t>
      </w:r>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n</w:t>
      </w:r>
      <w:r w:rsidRPr="00225D48">
        <w:rPr>
          <w:rFonts w:ascii="Arial" w:hAnsi="Arial" w:cs="Arial"/>
          <w:b/>
          <w:color w:val="000000" w:themeColor="text1"/>
          <w:shd w:val="clear" w:color="auto" w:fill="FFFFFF"/>
          <w:vertAlign w:val="subscript"/>
          <w:lang w:val="en-US"/>
        </w:rPr>
        <w:t>ik</w:t>
      </w:r>
      <w:proofErr w:type="spellEnd"/>
      <w:r w:rsidRPr="00225D48">
        <w:rPr>
          <w:rFonts w:ascii="Arial" w:hAnsi="Arial" w:cs="Arial"/>
          <w:b/>
          <w:color w:val="000000" w:themeColor="text1"/>
          <w:shd w:val="clear" w:color="auto" w:fill="FFFFFF"/>
          <w:lang w:val="en-US"/>
        </w:rPr>
        <w:t xml:space="preserve"> = X</w:t>
      </w:r>
      <w:r w:rsidRPr="00225D48">
        <w:rPr>
          <w:rFonts w:ascii="Arial" w:hAnsi="Arial" w:cs="Arial"/>
          <w:b/>
          <w:color w:val="000000" w:themeColor="text1"/>
          <w:shd w:val="clear" w:color="auto" w:fill="FFFFFF"/>
          <w:vertAlign w:val="subscript"/>
          <w:lang w:val="en-US"/>
        </w:rPr>
        <w:t>i</w:t>
      </w:r>
      <w:r w:rsidRPr="00225D48">
        <w:rPr>
          <w:rFonts w:ascii="Arial" w:hAnsi="Arial" w:cs="Arial"/>
          <w:b/>
          <w:color w:val="000000" w:themeColor="text1"/>
          <w:shd w:val="clear" w:color="auto" w:fill="FFFFFF"/>
          <w:lang w:val="en-US"/>
        </w:rPr>
        <w:t xml:space="preserve"> (</w:t>
      </w:r>
      <w:proofErr w:type="spellStart"/>
      <w:r w:rsidRPr="00225D48">
        <w:rPr>
          <w:rFonts w:ascii="Arial" w:hAnsi="Arial" w:cs="Arial"/>
          <w:b/>
          <w:color w:val="000000" w:themeColor="text1"/>
          <w:shd w:val="clear" w:color="auto" w:fill="FFFFFF"/>
          <w:lang w:val="en-US"/>
        </w:rPr>
        <w:t>a</w:t>
      </w:r>
      <w:r w:rsidRPr="00225D48">
        <w:rPr>
          <w:rFonts w:ascii="Arial" w:hAnsi="Arial" w:cs="Arial"/>
          <w:b/>
          <w:color w:val="000000" w:themeColor="text1"/>
          <w:shd w:val="clear" w:color="auto" w:fill="FFFFFF"/>
          <w:vertAlign w:val="subscript"/>
          <w:lang w:val="en-US"/>
        </w:rPr>
        <w:t>j</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a</w:t>
      </w:r>
      <w:r w:rsidRPr="00225D48">
        <w:rPr>
          <w:rFonts w:ascii="Arial" w:hAnsi="Arial" w:cs="Arial"/>
          <w:b/>
          <w:color w:val="000000" w:themeColor="text1"/>
          <w:shd w:val="clear" w:color="auto" w:fill="FFFFFF"/>
          <w:vertAlign w:val="subscript"/>
          <w:lang w:val="en-US"/>
        </w:rPr>
        <w:t>k</w:t>
      </w:r>
      <w:proofErr w:type="spellEnd"/>
      <w:r w:rsidRPr="00225D48">
        <w:rPr>
          <w:rFonts w:ascii="Arial" w:hAnsi="Arial" w:cs="Arial"/>
          <w:b/>
          <w:color w:val="000000" w:themeColor="text1"/>
          <w:shd w:val="clear" w:color="auto" w:fill="FFFFFF"/>
          <w:lang w:val="en-US"/>
        </w:rPr>
        <w:t>) + (</w:t>
      </w:r>
      <w:r w:rsidRPr="00225D48">
        <w:rPr>
          <w:rFonts w:ascii="Arial" w:hAnsi="Arial" w:cs="Arial"/>
          <w:b/>
          <w:color w:val="000000" w:themeColor="text1"/>
          <w:shd w:val="clear" w:color="auto" w:fill="FFFFFF"/>
        </w:rPr>
        <w:t>Є</w:t>
      </w:r>
      <w:proofErr w:type="spell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w:t>
      </w:r>
      <w:r w:rsidRPr="00225D48">
        <w:rPr>
          <w:rFonts w:ascii="Arial" w:hAnsi="Arial" w:cs="Arial"/>
          <w:b/>
          <w:color w:val="000000" w:themeColor="text1"/>
          <w:shd w:val="clear" w:color="auto" w:fill="FFFFFF"/>
          <w:lang w:val="en-US"/>
        </w:rPr>
        <w:t xml:space="preserve">- </w:t>
      </w:r>
      <w:r w:rsidRPr="00225D48">
        <w:rPr>
          <w:rFonts w:ascii="Arial" w:hAnsi="Arial" w:cs="Arial"/>
          <w:b/>
          <w:color w:val="000000" w:themeColor="text1"/>
          <w:shd w:val="clear" w:color="auto" w:fill="FFFFFF"/>
        </w:rPr>
        <w:t>Є</w:t>
      </w:r>
      <w:proofErr w:type="spellStart"/>
      <w:r w:rsidRPr="00225D48">
        <w:rPr>
          <w:rFonts w:ascii="Arial" w:hAnsi="Arial" w:cs="Arial"/>
          <w:b/>
          <w:color w:val="000000" w:themeColor="text1"/>
          <w:shd w:val="clear" w:color="auto" w:fill="FFFFFF"/>
          <w:vertAlign w:val="subscript"/>
          <w:lang w:val="en-US"/>
        </w:rPr>
        <w:t>ik</w:t>
      </w:r>
      <w:proofErr w:type="spellEnd"/>
      <w:r w:rsidRPr="00225D48">
        <w:rPr>
          <w:rFonts w:ascii="Arial" w:hAnsi="Arial" w:cs="Arial"/>
          <w:b/>
          <w:color w:val="000000" w:themeColor="text1"/>
          <w:shd w:val="clear" w:color="auto" w:fill="FFFFFF"/>
          <w:lang w:val="en-US"/>
        </w:rPr>
        <w:t xml:space="preserve">)  = </w:t>
      </w:r>
      <w:proofErr w:type="spellStart"/>
      <w:r w:rsidRPr="00225D48">
        <w:rPr>
          <w:rFonts w:ascii="Arial" w:hAnsi="Arial" w:cs="Arial"/>
          <w:b/>
          <w:color w:val="000000" w:themeColor="text1"/>
          <w:shd w:val="clear" w:color="auto" w:fill="FFFFFF"/>
          <w:lang w:val="en-US"/>
        </w:rPr>
        <w:t>X</w:t>
      </w:r>
      <w:r w:rsidRPr="00225D48">
        <w:rPr>
          <w:rFonts w:ascii="Arial" w:hAnsi="Arial" w:cs="Arial"/>
          <w:b/>
          <w:color w:val="000000" w:themeColor="text1"/>
          <w:shd w:val="clear" w:color="auto" w:fill="FFFFFF"/>
          <w:vertAlign w:val="subscript"/>
          <w:lang w:val="en-US"/>
        </w:rPr>
        <w:t>i</w:t>
      </w:r>
      <w:r w:rsidRPr="00225D48">
        <w:rPr>
          <w:rFonts w:ascii="Arial" w:hAnsi="Arial" w:cs="Arial"/>
          <w:b/>
          <w:color w:val="000000" w:themeColor="text1"/>
          <w:shd w:val="clear" w:color="auto" w:fill="FFFFFF"/>
          <w:lang w:val="en-US"/>
        </w:rPr>
        <w:t>Y</w:t>
      </w:r>
      <w:r w:rsidRPr="00225D48">
        <w:rPr>
          <w:rFonts w:ascii="Arial" w:hAnsi="Arial" w:cs="Arial"/>
          <w:b/>
          <w:color w:val="000000" w:themeColor="text1"/>
          <w:shd w:val="clear" w:color="auto" w:fill="FFFFFF"/>
          <w:vertAlign w:val="subscript"/>
          <w:lang w:val="en-US"/>
        </w:rPr>
        <w:t>j</w:t>
      </w:r>
      <w:proofErr w:type="spellEnd"/>
      <w:r w:rsidRPr="00225D48">
        <w:rPr>
          <w:rFonts w:ascii="Arial" w:hAnsi="Arial" w:cs="Arial"/>
          <w:b/>
          <w:color w:val="000000" w:themeColor="text1"/>
          <w:shd w:val="clear" w:color="auto" w:fill="FFFFFF"/>
          <w:lang w:val="en-US"/>
        </w:rPr>
        <w:t xml:space="preserve"> + </w:t>
      </w:r>
      <w:r w:rsidRPr="00225D48">
        <w:rPr>
          <w:rFonts w:ascii="Arial" w:hAnsi="Arial" w:cs="Arial"/>
          <w:b/>
          <w:color w:val="000000" w:themeColor="text1"/>
          <w:shd w:val="clear" w:color="auto" w:fill="FFFFFF"/>
        </w:rPr>
        <w:t>Є</w:t>
      </w:r>
      <w:proofErr w:type="spellStart"/>
      <w:r w:rsidRPr="00225D48">
        <w:rPr>
          <w:rFonts w:ascii="Arial" w:hAnsi="Arial" w:cs="Arial"/>
          <w:b/>
          <w:color w:val="000000" w:themeColor="text1"/>
          <w:shd w:val="clear" w:color="auto" w:fill="FFFFFF"/>
          <w:vertAlign w:val="subscript"/>
          <w:lang w:val="en-US"/>
        </w:rPr>
        <w:t>ij</w:t>
      </w:r>
      <w:proofErr w:type="spellEnd"/>
      <w:r w:rsidRPr="00225D48">
        <w:rPr>
          <w:rFonts w:ascii="Arial" w:hAnsi="Arial" w:cs="Arial"/>
          <w:b/>
          <w:color w:val="000000" w:themeColor="text1"/>
          <w:shd w:val="clear" w:color="auto" w:fill="FFFFFF"/>
          <w:vertAlign w:val="subscript"/>
          <w:lang w:val="en-US"/>
        </w:rPr>
        <w:t xml:space="preserve">      </w:t>
      </w:r>
      <w:r w:rsidRPr="00225D48">
        <w:rPr>
          <w:rFonts w:ascii="Arial" w:hAnsi="Arial" w:cs="Arial"/>
          <w:b/>
          <w:color w:val="000000" w:themeColor="text1"/>
          <w:shd w:val="clear" w:color="auto" w:fill="FFFFFF"/>
          <w:lang w:val="en-US"/>
        </w:rPr>
        <w:t xml:space="preserve">   (2)</w:t>
      </w:r>
    </w:p>
    <w:p w14:paraId="501D7627" w14:textId="77777777" w:rsidR="00225D48" w:rsidRPr="00225D48" w:rsidRDefault="00225D48" w:rsidP="00225D48">
      <w:pPr>
        <w:pStyle w:val="ds-markdown-paragraph"/>
        <w:shd w:val="clear" w:color="auto" w:fill="FFFFFF"/>
        <w:tabs>
          <w:tab w:val="left" w:pos="284"/>
        </w:tabs>
        <w:spacing w:before="0" w:beforeAutospacing="0" w:line="360" w:lineRule="auto"/>
        <w:jc w:val="both"/>
        <w:rPr>
          <w:rFonts w:ascii="Arial" w:hAnsi="Arial" w:cs="Arial"/>
          <w:color w:val="000000" w:themeColor="text1"/>
          <w:sz w:val="22"/>
          <w:szCs w:val="22"/>
          <w:lang w:val="en-US"/>
        </w:rPr>
      </w:pPr>
      <w:r w:rsidRPr="00225D48">
        <w:rPr>
          <w:rFonts w:ascii="Arial" w:hAnsi="Arial" w:cs="Arial"/>
          <w:color w:val="000000" w:themeColor="text1"/>
          <w:sz w:val="22"/>
          <w:szCs w:val="22"/>
          <w:lang w:val="en-US"/>
        </w:rPr>
        <w:t xml:space="preserve">where: </w:t>
      </w:r>
    </w:p>
    <w:p w14:paraId="154AA6CA" w14:textId="77777777" w:rsidR="00225D48" w:rsidRPr="00225D48" w:rsidRDefault="00225D48" w:rsidP="00225D48">
      <w:pPr>
        <w:pStyle w:val="ds-markdown-paragraph"/>
        <w:shd w:val="clear" w:color="auto" w:fill="FFFFFF"/>
        <w:tabs>
          <w:tab w:val="left" w:pos="284"/>
        </w:tabs>
        <w:spacing w:before="0" w:beforeAutospacing="0" w:line="360" w:lineRule="auto"/>
        <w:jc w:val="both"/>
        <w:rPr>
          <w:rFonts w:ascii="Arial" w:hAnsi="Arial" w:cs="Arial"/>
          <w:color w:val="000000" w:themeColor="text1"/>
          <w:sz w:val="22"/>
          <w:szCs w:val="22"/>
          <w:lang w:val="en-US"/>
        </w:rPr>
      </w:pPr>
      <w:r w:rsidRPr="00225D48">
        <w:rPr>
          <w:rFonts w:ascii="Arial" w:hAnsi="Arial" w:cs="Arial"/>
          <w:noProof/>
          <w:color w:val="000000" w:themeColor="text1"/>
          <w:sz w:val="22"/>
          <w:szCs w:val="22"/>
          <w:shd w:val="clear" w:color="auto" w:fill="FFFFFF"/>
        </w:rPr>
        <w:drawing>
          <wp:inline distT="0" distB="0" distL="0" distR="0" wp14:anchorId="07F6BF52" wp14:editId="20165C5F">
            <wp:extent cx="2463994" cy="45371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64890" cy="453875"/>
                    </a:xfrm>
                    <a:prstGeom prst="rect">
                      <a:avLst/>
                    </a:prstGeom>
                  </pic:spPr>
                </pic:pic>
              </a:graphicData>
            </a:graphic>
          </wp:inline>
        </w:drawing>
      </w:r>
    </w:p>
    <w:p w14:paraId="6BED4715" w14:textId="77777777" w:rsidR="00225D48" w:rsidRPr="00225D48" w:rsidRDefault="00225D48" w:rsidP="00225D48">
      <w:pPr>
        <w:spacing w:before="120" w:line="276" w:lineRule="auto"/>
        <w:jc w:val="both"/>
        <w:rPr>
          <w:rFonts w:ascii="Arial" w:hAnsi="Arial" w:cs="Arial"/>
          <w:color w:val="000000" w:themeColor="text1"/>
          <w:sz w:val="22"/>
          <w:szCs w:val="22"/>
          <w:shd w:val="clear" w:color="auto" w:fill="FFFFFF"/>
        </w:rPr>
      </w:pPr>
      <w:r w:rsidRPr="00225D48">
        <w:rPr>
          <w:rFonts w:ascii="Arial" w:hAnsi="Arial" w:cs="Arial"/>
          <w:color w:val="000000" w:themeColor="text1"/>
          <w:sz w:val="22"/>
          <w:szCs w:val="22"/>
          <w:shd w:val="clear" w:color="auto" w:fill="FFFFFF"/>
        </w:rPr>
        <w:t>The multinomial logit model was selected and estimated in this study, assuming that the random error ϵ</w:t>
      </w:r>
      <w:proofErr w:type="spellStart"/>
      <w:r w:rsidRPr="00225D48">
        <w:rPr>
          <w:rFonts w:ascii="Arial" w:hAnsi="Arial" w:cs="Arial"/>
          <w:color w:val="000000" w:themeColor="text1"/>
          <w:sz w:val="22"/>
          <w:szCs w:val="22"/>
          <w:shd w:val="clear" w:color="auto" w:fill="FFFFFF"/>
        </w:rPr>
        <w:t>ij</w:t>
      </w:r>
      <w:proofErr w:type="spellEnd"/>
      <w:r w:rsidRPr="00225D48">
        <w:rPr>
          <w:rFonts w:ascii="Arial" w:hAnsi="Arial" w:cs="Arial"/>
          <w:color w:val="000000" w:themeColor="text1"/>
          <w:sz w:val="22"/>
          <w:szCs w:val="22"/>
          <w:shd w:val="clear" w:color="auto" w:fill="FFFFFF"/>
        </w:rPr>
        <w:t xml:space="preserve"> was mutually independent and followed a logistic distribution. To ensure the identifiability of the model, a</w:t>
      </w:r>
      <w:r w:rsidRPr="00225D48">
        <w:rPr>
          <w:rFonts w:ascii="Cambria Math" w:hAnsi="Cambria Math" w:cs="Cambria Math"/>
          <w:color w:val="000000" w:themeColor="text1"/>
          <w:sz w:val="22"/>
          <w:szCs w:val="22"/>
          <w:shd w:val="clear" w:color="auto" w:fill="FFFFFF"/>
        </w:rPr>
        <w:t>ₘ</w:t>
      </w:r>
      <w:r w:rsidRPr="00225D48">
        <w:rPr>
          <w:rFonts w:ascii="Arial" w:hAnsi="Arial" w:cs="Arial"/>
          <w:color w:val="000000" w:themeColor="text1"/>
          <w:sz w:val="22"/>
          <w:szCs w:val="22"/>
          <w:shd w:val="clear" w:color="auto" w:fill="FFFFFF"/>
        </w:rPr>
        <w:t xml:space="preserve"> = 0, where m is the base category (the base category was Type I agricultural households). Consequently, the probability of the k-</w:t>
      </w:r>
      <w:proofErr w:type="spellStart"/>
      <w:r w:rsidRPr="00225D48">
        <w:rPr>
          <w:rFonts w:ascii="Arial" w:hAnsi="Arial" w:cs="Arial"/>
          <w:color w:val="000000" w:themeColor="text1"/>
          <w:sz w:val="22"/>
          <w:szCs w:val="22"/>
          <w:shd w:val="clear" w:color="auto" w:fill="FFFFFF"/>
        </w:rPr>
        <w:t>th</w:t>
      </w:r>
      <w:proofErr w:type="spellEnd"/>
      <w:r w:rsidRPr="00225D48">
        <w:rPr>
          <w:rFonts w:ascii="Arial" w:hAnsi="Arial" w:cs="Arial"/>
          <w:color w:val="000000" w:themeColor="text1"/>
          <w:sz w:val="22"/>
          <w:szCs w:val="22"/>
          <w:shd w:val="clear" w:color="auto" w:fill="FFFFFF"/>
        </w:rPr>
        <w:t xml:space="preserve"> livelihood strategy being chosen by the </w:t>
      </w:r>
      <w:proofErr w:type="spellStart"/>
      <w:r w:rsidRPr="00225D48">
        <w:rPr>
          <w:rFonts w:ascii="Arial" w:hAnsi="Arial" w:cs="Arial"/>
          <w:color w:val="000000" w:themeColor="text1"/>
          <w:sz w:val="22"/>
          <w:szCs w:val="22"/>
          <w:shd w:val="clear" w:color="auto" w:fill="FFFFFF"/>
        </w:rPr>
        <w:t>i-th</w:t>
      </w:r>
      <w:proofErr w:type="spellEnd"/>
      <w:r w:rsidRPr="00225D48">
        <w:rPr>
          <w:rFonts w:ascii="Arial" w:hAnsi="Arial" w:cs="Arial"/>
          <w:color w:val="000000" w:themeColor="text1"/>
          <w:sz w:val="22"/>
          <w:szCs w:val="22"/>
          <w:shd w:val="clear" w:color="auto" w:fill="FFFFFF"/>
        </w:rPr>
        <w:t xml:space="preserve"> agricultural household is as follows:</w:t>
      </w:r>
    </w:p>
    <w:p w14:paraId="08CCD736" w14:textId="77777777" w:rsidR="00225D48" w:rsidRPr="00225D48" w:rsidRDefault="00225D48" w:rsidP="00225D48">
      <w:pPr>
        <w:spacing w:before="120" w:line="360" w:lineRule="auto"/>
        <w:jc w:val="center"/>
        <w:rPr>
          <w:rFonts w:ascii="Arial" w:hAnsi="Arial" w:cs="Arial"/>
          <w:color w:val="000000" w:themeColor="text1"/>
          <w:sz w:val="22"/>
          <w:szCs w:val="22"/>
        </w:rPr>
      </w:pPr>
      <w:r w:rsidRPr="00225D48">
        <w:rPr>
          <w:rFonts w:ascii="Arial" w:hAnsi="Arial" w:cs="Arial"/>
          <w:noProof/>
          <w:color w:val="000000" w:themeColor="text1"/>
          <w:sz w:val="22"/>
          <w:szCs w:val="22"/>
          <w:shd w:val="clear" w:color="auto" w:fill="FFFFFF"/>
          <w:lang w:val="fr-FR" w:eastAsia="fr-FR"/>
        </w:rPr>
        <w:drawing>
          <wp:inline distT="0" distB="0" distL="0" distR="0" wp14:anchorId="14E2691A" wp14:editId="4CE6D3F3">
            <wp:extent cx="5542241" cy="572372"/>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43550" cy="572507"/>
                    </a:xfrm>
                    <a:prstGeom prst="rect">
                      <a:avLst/>
                    </a:prstGeom>
                  </pic:spPr>
                </pic:pic>
              </a:graphicData>
            </a:graphic>
          </wp:inline>
        </w:drawing>
      </w:r>
    </w:p>
    <w:p w14:paraId="3568D9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2674E61" w14:textId="77777777" w:rsidR="00225D48" w:rsidRPr="00D42DC7" w:rsidRDefault="00225D48" w:rsidP="00D42DC7">
      <w:pPr>
        <w:pStyle w:val="ListParagraph"/>
        <w:numPr>
          <w:ilvl w:val="1"/>
          <w:numId w:val="35"/>
        </w:numPr>
        <w:spacing w:before="120" w:line="276" w:lineRule="auto"/>
        <w:rPr>
          <w:rFonts w:ascii="Arial" w:hAnsi="Arial" w:cs="Arial"/>
          <w:b/>
          <w:color w:val="000000" w:themeColor="text1"/>
        </w:rPr>
      </w:pPr>
      <w:proofErr w:type="spellStart"/>
      <w:r w:rsidRPr="00D42DC7">
        <w:rPr>
          <w:rFonts w:ascii="Arial" w:hAnsi="Arial" w:cs="Arial"/>
          <w:b/>
          <w:color w:val="000000" w:themeColor="text1"/>
        </w:rPr>
        <w:t>Results</w:t>
      </w:r>
      <w:proofErr w:type="spellEnd"/>
      <w:r w:rsidRPr="00D42DC7">
        <w:rPr>
          <w:rFonts w:ascii="Arial" w:hAnsi="Arial" w:cs="Arial"/>
          <w:b/>
          <w:color w:val="000000" w:themeColor="text1"/>
        </w:rPr>
        <w:t xml:space="preserve"> </w:t>
      </w:r>
    </w:p>
    <w:p w14:paraId="20369C4F" w14:textId="77777777" w:rsidR="00225D48" w:rsidRPr="00D42DC7" w:rsidRDefault="00225D48" w:rsidP="00D42DC7">
      <w:pPr>
        <w:pStyle w:val="ListParagraph"/>
        <w:numPr>
          <w:ilvl w:val="2"/>
          <w:numId w:val="35"/>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Livelihood Assets in the Surveyed Region</w:t>
      </w:r>
    </w:p>
    <w:p w14:paraId="6A173799"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subsistence capital coefficient ranged between 0 and 1, with a higher score indicating a better situation. The empirical findings of this study reveal that the overall mean value of household livelihood assets was 0.297. Among the different capital components, natural capital had the highest value (0.429), followed by social capital (0.383), human capital (0.271), financial capital (0.202), and finally physical capital, which recorded the lowest value (0.201) (Table 2).</w:t>
      </w:r>
    </w:p>
    <w:p w14:paraId="17BCCB91" w14:textId="77777777" w:rsidR="00225D48" w:rsidRPr="00225D48" w:rsidRDefault="00225D48" w:rsidP="00225D48">
      <w:pPr>
        <w:spacing w:before="120" w:line="276" w:lineRule="auto"/>
        <w:jc w:val="both"/>
        <w:rPr>
          <w:rFonts w:ascii="Arial" w:hAnsi="Arial" w:cs="Arial"/>
          <w:b/>
          <w:color w:val="000000" w:themeColor="text1"/>
          <w:sz w:val="22"/>
          <w:szCs w:val="22"/>
        </w:rPr>
      </w:pPr>
      <w:r w:rsidRPr="00225D48">
        <w:rPr>
          <w:rFonts w:ascii="Arial" w:hAnsi="Arial" w:cs="Arial"/>
          <w:b/>
          <w:color w:val="000000" w:themeColor="text1"/>
          <w:sz w:val="22"/>
          <w:szCs w:val="22"/>
        </w:rPr>
        <w:t>Table 2: Livelihood Assets by Strategy in the Study Area</w:t>
      </w:r>
    </w:p>
    <w:tbl>
      <w:tblPr>
        <w:tblStyle w:val="LightShading"/>
        <w:tblW w:w="0" w:type="auto"/>
        <w:tblLook w:val="04A0" w:firstRow="1" w:lastRow="0" w:firstColumn="1" w:lastColumn="0" w:noHBand="0" w:noVBand="1"/>
      </w:tblPr>
      <w:tblGrid>
        <w:gridCol w:w="1379"/>
        <w:gridCol w:w="836"/>
        <w:gridCol w:w="895"/>
        <w:gridCol w:w="884"/>
        <w:gridCol w:w="886"/>
        <w:gridCol w:w="886"/>
        <w:gridCol w:w="886"/>
        <w:gridCol w:w="886"/>
        <w:gridCol w:w="886"/>
      </w:tblGrid>
      <w:tr w:rsidR="00D42DC7" w:rsidRPr="00D42DC7" w14:paraId="153957A4" w14:textId="77777777" w:rsidTr="0091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bottom w:val="single" w:sz="4" w:space="0" w:color="auto"/>
            </w:tcBorders>
          </w:tcPr>
          <w:p w14:paraId="40DA2B21" w14:textId="77777777" w:rsidR="00225D48" w:rsidRPr="00D42DC7" w:rsidRDefault="00225D48" w:rsidP="00225D48">
            <w:pPr>
              <w:spacing w:line="276" w:lineRule="auto"/>
              <w:rPr>
                <w:rFonts w:ascii="Arial" w:hAnsi="Arial" w:cs="Arial"/>
                <w:b w:val="0"/>
                <w:color w:val="0F1115"/>
                <w:sz w:val="18"/>
              </w:rPr>
            </w:pPr>
            <w:r w:rsidRPr="00D42DC7">
              <w:rPr>
                <w:rFonts w:ascii="Arial" w:hAnsi="Arial" w:cs="Arial"/>
                <w:b w:val="0"/>
                <w:color w:val="0F1115"/>
                <w:sz w:val="18"/>
              </w:rPr>
              <w:t>Assets / Capitals</w:t>
            </w:r>
          </w:p>
        </w:tc>
        <w:tc>
          <w:tcPr>
            <w:tcW w:w="1896" w:type="dxa"/>
            <w:gridSpan w:val="2"/>
            <w:tcBorders>
              <w:bottom w:val="single" w:sz="4" w:space="0" w:color="auto"/>
            </w:tcBorders>
          </w:tcPr>
          <w:p w14:paraId="0CB56656"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 Rural Households (n=104)</w:t>
            </w:r>
          </w:p>
        </w:tc>
        <w:tc>
          <w:tcPr>
            <w:tcW w:w="1953" w:type="dxa"/>
            <w:gridSpan w:val="2"/>
            <w:tcBorders>
              <w:bottom w:val="single" w:sz="4" w:space="0" w:color="auto"/>
            </w:tcBorders>
          </w:tcPr>
          <w:p w14:paraId="2623A073"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II Rural Households (n=104)</w:t>
            </w:r>
          </w:p>
        </w:tc>
        <w:tc>
          <w:tcPr>
            <w:tcW w:w="1956" w:type="dxa"/>
            <w:gridSpan w:val="2"/>
            <w:tcBorders>
              <w:bottom w:val="single" w:sz="4" w:space="0" w:color="auto"/>
            </w:tcBorders>
          </w:tcPr>
          <w:p w14:paraId="3FCF1FE3"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Type III Rural Households (n=104)</w:t>
            </w:r>
          </w:p>
        </w:tc>
        <w:tc>
          <w:tcPr>
            <w:tcW w:w="1956" w:type="dxa"/>
            <w:gridSpan w:val="2"/>
            <w:tcBorders>
              <w:bottom w:val="single" w:sz="4" w:space="0" w:color="auto"/>
            </w:tcBorders>
          </w:tcPr>
          <w:p w14:paraId="08072594" w14:textId="77777777" w:rsidR="00225D48" w:rsidRPr="00D42DC7" w:rsidRDefault="00225D48" w:rsidP="00D42DC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sz w:val="18"/>
              </w:rPr>
            </w:pPr>
            <w:r w:rsidRPr="00D42DC7">
              <w:rPr>
                <w:rFonts w:ascii="Arial" w:hAnsi="Arial" w:cs="Arial"/>
                <w:b w:val="0"/>
                <w:color w:val="0F1115"/>
                <w:sz w:val="18"/>
              </w:rPr>
              <w:t>Total (n=312)</w:t>
            </w:r>
          </w:p>
        </w:tc>
      </w:tr>
      <w:tr w:rsidR="00D42DC7" w:rsidRPr="00D42DC7" w14:paraId="277AC895" w14:textId="77777777" w:rsidTr="0091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tcBorders>
            <w:shd w:val="clear" w:color="auto" w:fill="auto"/>
          </w:tcPr>
          <w:p w14:paraId="53E3DCE2" w14:textId="77777777" w:rsidR="00225D48" w:rsidRPr="00D42DC7" w:rsidRDefault="00225D48" w:rsidP="00225D48">
            <w:pPr>
              <w:spacing w:line="276" w:lineRule="auto"/>
              <w:rPr>
                <w:rFonts w:ascii="Arial" w:hAnsi="Arial" w:cs="Arial"/>
                <w:b w:val="0"/>
                <w:sz w:val="18"/>
                <w:shd w:val="clear" w:color="auto" w:fill="FFFFFF"/>
              </w:rPr>
            </w:pPr>
          </w:p>
        </w:tc>
        <w:tc>
          <w:tcPr>
            <w:tcW w:w="906" w:type="dxa"/>
            <w:tcBorders>
              <w:top w:val="single" w:sz="4" w:space="0" w:color="auto"/>
            </w:tcBorders>
            <w:shd w:val="clear" w:color="auto" w:fill="auto"/>
          </w:tcPr>
          <w:p w14:paraId="679DADAE"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90" w:type="dxa"/>
            <w:tcBorders>
              <w:top w:val="single" w:sz="4" w:space="0" w:color="auto"/>
            </w:tcBorders>
            <w:shd w:val="clear" w:color="auto" w:fill="auto"/>
          </w:tcPr>
          <w:p w14:paraId="271CD569"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5" w:type="dxa"/>
            <w:tcBorders>
              <w:top w:val="single" w:sz="4" w:space="0" w:color="auto"/>
            </w:tcBorders>
            <w:shd w:val="clear" w:color="auto" w:fill="auto"/>
          </w:tcPr>
          <w:p w14:paraId="1833F7E3"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1CB971A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8" w:type="dxa"/>
            <w:tcBorders>
              <w:top w:val="single" w:sz="4" w:space="0" w:color="auto"/>
            </w:tcBorders>
            <w:shd w:val="clear" w:color="auto" w:fill="auto"/>
          </w:tcPr>
          <w:p w14:paraId="114A7B6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716DB0F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c>
          <w:tcPr>
            <w:tcW w:w="978" w:type="dxa"/>
            <w:tcBorders>
              <w:top w:val="single" w:sz="4" w:space="0" w:color="auto"/>
            </w:tcBorders>
            <w:shd w:val="clear" w:color="auto" w:fill="auto"/>
          </w:tcPr>
          <w:p w14:paraId="182A6ED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Mean</w:t>
            </w:r>
          </w:p>
        </w:tc>
        <w:tc>
          <w:tcPr>
            <w:tcW w:w="978" w:type="dxa"/>
            <w:tcBorders>
              <w:top w:val="single" w:sz="4" w:space="0" w:color="auto"/>
            </w:tcBorders>
            <w:shd w:val="clear" w:color="auto" w:fill="auto"/>
          </w:tcPr>
          <w:p w14:paraId="2EEBCF41"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1115"/>
                <w:sz w:val="18"/>
              </w:rPr>
            </w:pPr>
            <w:r w:rsidRPr="00D42DC7">
              <w:rPr>
                <w:rFonts w:ascii="Arial" w:hAnsi="Arial" w:cs="Arial"/>
                <w:color w:val="0F1115"/>
                <w:sz w:val="18"/>
              </w:rPr>
              <w:t>Std. Dev.</w:t>
            </w:r>
          </w:p>
        </w:tc>
      </w:tr>
      <w:tr w:rsidR="00225D48" w:rsidRPr="00D42DC7" w14:paraId="690E7F00"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2C6DB90C"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Livelihood </w:t>
            </w:r>
            <w:r w:rsidRPr="00D42DC7">
              <w:rPr>
                <w:rFonts w:ascii="Arial" w:hAnsi="Arial" w:cs="Arial"/>
                <w:b w:val="0"/>
                <w:sz w:val="18"/>
                <w:shd w:val="clear" w:color="auto" w:fill="FFFFFF"/>
              </w:rPr>
              <w:lastRenderedPageBreak/>
              <w:t>Asset</w:t>
            </w:r>
          </w:p>
        </w:tc>
        <w:tc>
          <w:tcPr>
            <w:tcW w:w="906" w:type="dxa"/>
          </w:tcPr>
          <w:p w14:paraId="0860CEB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lastRenderedPageBreak/>
              <w:t>0.255</w:t>
            </w:r>
          </w:p>
        </w:tc>
        <w:tc>
          <w:tcPr>
            <w:tcW w:w="990" w:type="dxa"/>
          </w:tcPr>
          <w:p w14:paraId="04E5FAC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0.122</w:t>
            </w:r>
          </w:p>
        </w:tc>
        <w:tc>
          <w:tcPr>
            <w:tcW w:w="975" w:type="dxa"/>
          </w:tcPr>
          <w:p w14:paraId="05D33B2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0.336</w:t>
            </w:r>
          </w:p>
        </w:tc>
        <w:tc>
          <w:tcPr>
            <w:tcW w:w="978" w:type="dxa"/>
          </w:tcPr>
          <w:p w14:paraId="139209B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0.116</w:t>
            </w:r>
          </w:p>
        </w:tc>
        <w:tc>
          <w:tcPr>
            <w:tcW w:w="978" w:type="dxa"/>
          </w:tcPr>
          <w:p w14:paraId="648C49B6"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0.370</w:t>
            </w:r>
          </w:p>
        </w:tc>
        <w:tc>
          <w:tcPr>
            <w:tcW w:w="978" w:type="dxa"/>
          </w:tcPr>
          <w:p w14:paraId="74F4B1D7"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0.105</w:t>
            </w:r>
          </w:p>
        </w:tc>
        <w:tc>
          <w:tcPr>
            <w:tcW w:w="978" w:type="dxa"/>
          </w:tcPr>
          <w:p w14:paraId="6A57866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0.320</w:t>
            </w:r>
          </w:p>
        </w:tc>
        <w:tc>
          <w:tcPr>
            <w:tcW w:w="978" w:type="dxa"/>
          </w:tcPr>
          <w:p w14:paraId="3ACD1795"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0.114</w:t>
            </w:r>
          </w:p>
        </w:tc>
      </w:tr>
      <w:tr w:rsidR="00D42DC7" w:rsidRPr="00D42DC7" w14:paraId="7D2FA2BC"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6C2B14F7"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Natural </w:t>
            </w:r>
          </w:p>
        </w:tc>
        <w:tc>
          <w:tcPr>
            <w:tcW w:w="906" w:type="dxa"/>
            <w:shd w:val="clear" w:color="auto" w:fill="auto"/>
          </w:tcPr>
          <w:p w14:paraId="4BD02C22"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0.403</w:t>
            </w:r>
          </w:p>
        </w:tc>
        <w:tc>
          <w:tcPr>
            <w:tcW w:w="990" w:type="dxa"/>
            <w:shd w:val="clear" w:color="auto" w:fill="auto"/>
          </w:tcPr>
          <w:p w14:paraId="0C39FD7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0.240</w:t>
            </w:r>
          </w:p>
        </w:tc>
        <w:tc>
          <w:tcPr>
            <w:tcW w:w="975" w:type="dxa"/>
            <w:shd w:val="clear" w:color="auto" w:fill="auto"/>
          </w:tcPr>
          <w:p w14:paraId="27BE051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0.451</w:t>
            </w:r>
          </w:p>
        </w:tc>
        <w:tc>
          <w:tcPr>
            <w:tcW w:w="978" w:type="dxa"/>
            <w:shd w:val="clear" w:color="auto" w:fill="auto"/>
          </w:tcPr>
          <w:p w14:paraId="3FD6200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0.239</w:t>
            </w:r>
          </w:p>
        </w:tc>
        <w:tc>
          <w:tcPr>
            <w:tcW w:w="978" w:type="dxa"/>
            <w:shd w:val="clear" w:color="auto" w:fill="auto"/>
          </w:tcPr>
          <w:p w14:paraId="149813E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0.478</w:t>
            </w:r>
          </w:p>
        </w:tc>
        <w:tc>
          <w:tcPr>
            <w:tcW w:w="978" w:type="dxa"/>
            <w:shd w:val="clear" w:color="auto" w:fill="auto"/>
          </w:tcPr>
          <w:p w14:paraId="29411AFB"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0.259</w:t>
            </w:r>
          </w:p>
        </w:tc>
        <w:tc>
          <w:tcPr>
            <w:tcW w:w="978" w:type="dxa"/>
            <w:shd w:val="clear" w:color="auto" w:fill="auto"/>
          </w:tcPr>
          <w:p w14:paraId="41B4C54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0.444</w:t>
            </w:r>
          </w:p>
        </w:tc>
        <w:tc>
          <w:tcPr>
            <w:tcW w:w="978" w:type="dxa"/>
            <w:shd w:val="clear" w:color="auto" w:fill="auto"/>
          </w:tcPr>
          <w:p w14:paraId="4F013A8A"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0.246</w:t>
            </w:r>
          </w:p>
        </w:tc>
      </w:tr>
      <w:tr w:rsidR="00225D48" w:rsidRPr="00D42DC7" w14:paraId="51FD607B"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27830800"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Human </w:t>
            </w:r>
          </w:p>
        </w:tc>
        <w:tc>
          <w:tcPr>
            <w:tcW w:w="906" w:type="dxa"/>
          </w:tcPr>
          <w:p w14:paraId="68D6ABA8"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0.229</w:t>
            </w:r>
          </w:p>
        </w:tc>
        <w:tc>
          <w:tcPr>
            <w:tcW w:w="990" w:type="dxa"/>
          </w:tcPr>
          <w:p w14:paraId="0E844D1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0.140</w:t>
            </w:r>
          </w:p>
        </w:tc>
        <w:tc>
          <w:tcPr>
            <w:tcW w:w="975" w:type="dxa"/>
          </w:tcPr>
          <w:p w14:paraId="048D0A0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0.298</w:t>
            </w:r>
          </w:p>
        </w:tc>
        <w:tc>
          <w:tcPr>
            <w:tcW w:w="978" w:type="dxa"/>
          </w:tcPr>
          <w:p w14:paraId="31C740C8"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0.186</w:t>
            </w:r>
          </w:p>
        </w:tc>
        <w:tc>
          <w:tcPr>
            <w:tcW w:w="978" w:type="dxa"/>
          </w:tcPr>
          <w:p w14:paraId="440D0B01"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0.356</w:t>
            </w:r>
          </w:p>
        </w:tc>
        <w:tc>
          <w:tcPr>
            <w:tcW w:w="978" w:type="dxa"/>
          </w:tcPr>
          <w:p w14:paraId="436BF0B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0.175</w:t>
            </w:r>
          </w:p>
        </w:tc>
        <w:tc>
          <w:tcPr>
            <w:tcW w:w="978" w:type="dxa"/>
          </w:tcPr>
          <w:p w14:paraId="1EFF7886"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0.294</w:t>
            </w:r>
          </w:p>
        </w:tc>
        <w:tc>
          <w:tcPr>
            <w:tcW w:w="978" w:type="dxa"/>
          </w:tcPr>
          <w:p w14:paraId="49BF7BCE"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0.167</w:t>
            </w:r>
          </w:p>
        </w:tc>
      </w:tr>
      <w:tr w:rsidR="00D42DC7" w:rsidRPr="00D42DC7" w14:paraId="7E97005D"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006B35F0"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 xml:space="preserve">Physical </w:t>
            </w:r>
          </w:p>
        </w:tc>
        <w:tc>
          <w:tcPr>
            <w:tcW w:w="906" w:type="dxa"/>
            <w:shd w:val="clear" w:color="auto" w:fill="auto"/>
          </w:tcPr>
          <w:p w14:paraId="2C00F73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0.180</w:t>
            </w:r>
          </w:p>
        </w:tc>
        <w:tc>
          <w:tcPr>
            <w:tcW w:w="990" w:type="dxa"/>
            <w:shd w:val="clear" w:color="auto" w:fill="auto"/>
          </w:tcPr>
          <w:p w14:paraId="3C18568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0.115</w:t>
            </w:r>
          </w:p>
        </w:tc>
        <w:tc>
          <w:tcPr>
            <w:tcW w:w="975" w:type="dxa"/>
            <w:shd w:val="clear" w:color="auto" w:fill="auto"/>
          </w:tcPr>
          <w:p w14:paraId="0CBBD60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0.202</w:t>
            </w:r>
          </w:p>
        </w:tc>
        <w:tc>
          <w:tcPr>
            <w:tcW w:w="978" w:type="dxa"/>
            <w:shd w:val="clear" w:color="auto" w:fill="auto"/>
          </w:tcPr>
          <w:p w14:paraId="1D0E2156"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0.113</w:t>
            </w:r>
          </w:p>
        </w:tc>
        <w:tc>
          <w:tcPr>
            <w:tcW w:w="978" w:type="dxa"/>
            <w:shd w:val="clear" w:color="auto" w:fill="auto"/>
          </w:tcPr>
          <w:p w14:paraId="422197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0.256</w:t>
            </w:r>
          </w:p>
        </w:tc>
        <w:tc>
          <w:tcPr>
            <w:tcW w:w="978" w:type="dxa"/>
            <w:shd w:val="clear" w:color="auto" w:fill="auto"/>
          </w:tcPr>
          <w:p w14:paraId="1DBC850D"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0.141</w:t>
            </w:r>
          </w:p>
        </w:tc>
        <w:tc>
          <w:tcPr>
            <w:tcW w:w="978" w:type="dxa"/>
            <w:shd w:val="clear" w:color="auto" w:fill="auto"/>
          </w:tcPr>
          <w:p w14:paraId="64490EE0"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0.212</w:t>
            </w:r>
          </w:p>
        </w:tc>
        <w:tc>
          <w:tcPr>
            <w:tcW w:w="978" w:type="dxa"/>
            <w:shd w:val="clear" w:color="auto" w:fill="auto"/>
          </w:tcPr>
          <w:p w14:paraId="61CC8855"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0.123</w:t>
            </w:r>
          </w:p>
        </w:tc>
      </w:tr>
      <w:tr w:rsidR="00225D48" w:rsidRPr="00D42DC7" w14:paraId="482CEBC0" w14:textId="77777777" w:rsidTr="00D42DC7">
        <w:tc>
          <w:tcPr>
            <w:cnfStyle w:val="001000000000" w:firstRow="0" w:lastRow="0" w:firstColumn="1" w:lastColumn="0" w:oddVBand="0" w:evenVBand="0" w:oddHBand="0" w:evenHBand="0" w:firstRowFirstColumn="0" w:firstRowLastColumn="0" w:lastRowFirstColumn="0" w:lastRowLastColumn="0"/>
            <w:tcW w:w="1525" w:type="dxa"/>
          </w:tcPr>
          <w:p w14:paraId="01F5E7AD"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Financial</w:t>
            </w:r>
          </w:p>
        </w:tc>
        <w:tc>
          <w:tcPr>
            <w:tcW w:w="906" w:type="dxa"/>
          </w:tcPr>
          <w:p w14:paraId="51C57CF0"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0.161</w:t>
            </w:r>
          </w:p>
        </w:tc>
        <w:tc>
          <w:tcPr>
            <w:tcW w:w="990" w:type="dxa"/>
          </w:tcPr>
          <w:p w14:paraId="2056D9A9"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0.227</w:t>
            </w:r>
          </w:p>
        </w:tc>
        <w:tc>
          <w:tcPr>
            <w:tcW w:w="975" w:type="dxa"/>
          </w:tcPr>
          <w:p w14:paraId="3EE8E40A"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0.232</w:t>
            </w:r>
          </w:p>
        </w:tc>
        <w:tc>
          <w:tcPr>
            <w:tcW w:w="978" w:type="dxa"/>
          </w:tcPr>
          <w:p w14:paraId="07811D97"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0.255</w:t>
            </w:r>
          </w:p>
        </w:tc>
        <w:tc>
          <w:tcPr>
            <w:tcW w:w="978" w:type="dxa"/>
          </w:tcPr>
          <w:p w14:paraId="7F58E80B"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0.282</w:t>
            </w:r>
          </w:p>
        </w:tc>
        <w:tc>
          <w:tcPr>
            <w:tcW w:w="978" w:type="dxa"/>
          </w:tcPr>
          <w:p w14:paraId="10CAE50F"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0.234</w:t>
            </w:r>
          </w:p>
        </w:tc>
        <w:tc>
          <w:tcPr>
            <w:tcW w:w="978" w:type="dxa"/>
          </w:tcPr>
          <w:p w14:paraId="52C23C0D"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0.225</w:t>
            </w:r>
          </w:p>
        </w:tc>
        <w:tc>
          <w:tcPr>
            <w:tcW w:w="978" w:type="dxa"/>
          </w:tcPr>
          <w:p w14:paraId="0086A321" w14:textId="77777777" w:rsidR="00225D48" w:rsidRPr="00D42DC7" w:rsidRDefault="00225D48" w:rsidP="00D42DC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2DC7">
              <w:rPr>
                <w:rFonts w:ascii="Arial" w:hAnsi="Arial" w:cs="Arial"/>
                <w:sz w:val="18"/>
              </w:rPr>
              <w:t>0.238</w:t>
            </w:r>
          </w:p>
        </w:tc>
      </w:tr>
      <w:tr w:rsidR="00D42DC7" w:rsidRPr="00D42DC7" w14:paraId="66864ACF"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shd w:val="clear" w:color="auto" w:fill="auto"/>
          </w:tcPr>
          <w:p w14:paraId="7E5CF884" w14:textId="77777777" w:rsidR="00225D48" w:rsidRPr="00D42DC7" w:rsidRDefault="00225D48" w:rsidP="00225D48">
            <w:pPr>
              <w:spacing w:line="276" w:lineRule="auto"/>
              <w:rPr>
                <w:rFonts w:ascii="Arial" w:hAnsi="Arial" w:cs="Arial"/>
                <w:b w:val="0"/>
                <w:sz w:val="18"/>
                <w:shd w:val="clear" w:color="auto" w:fill="FFFFFF"/>
              </w:rPr>
            </w:pPr>
            <w:r w:rsidRPr="00D42DC7">
              <w:rPr>
                <w:rFonts w:ascii="Arial" w:hAnsi="Arial" w:cs="Arial"/>
                <w:b w:val="0"/>
                <w:sz w:val="18"/>
                <w:shd w:val="clear" w:color="auto" w:fill="FFFFFF"/>
              </w:rPr>
              <w:t>Social</w:t>
            </w:r>
          </w:p>
        </w:tc>
        <w:tc>
          <w:tcPr>
            <w:tcW w:w="906" w:type="dxa"/>
            <w:shd w:val="clear" w:color="auto" w:fill="auto"/>
          </w:tcPr>
          <w:p w14:paraId="4FB6EE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0.303</w:t>
            </w:r>
          </w:p>
        </w:tc>
        <w:tc>
          <w:tcPr>
            <w:tcW w:w="990" w:type="dxa"/>
            <w:shd w:val="clear" w:color="auto" w:fill="auto"/>
          </w:tcPr>
          <w:p w14:paraId="37E737A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0.334</w:t>
            </w:r>
          </w:p>
        </w:tc>
        <w:tc>
          <w:tcPr>
            <w:tcW w:w="975" w:type="dxa"/>
            <w:shd w:val="clear" w:color="auto" w:fill="auto"/>
          </w:tcPr>
          <w:p w14:paraId="3C4ED523"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0.500</w:t>
            </w:r>
          </w:p>
        </w:tc>
        <w:tc>
          <w:tcPr>
            <w:tcW w:w="978" w:type="dxa"/>
            <w:shd w:val="clear" w:color="auto" w:fill="auto"/>
          </w:tcPr>
          <w:p w14:paraId="375386E4"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0.348</w:t>
            </w:r>
          </w:p>
        </w:tc>
        <w:tc>
          <w:tcPr>
            <w:tcW w:w="978" w:type="dxa"/>
            <w:shd w:val="clear" w:color="auto" w:fill="auto"/>
          </w:tcPr>
          <w:p w14:paraId="1A6AB73E"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hd w:val="clear" w:color="auto" w:fill="FFFFFF"/>
              </w:rPr>
            </w:pPr>
            <w:r w:rsidRPr="00D42DC7">
              <w:rPr>
                <w:rFonts w:ascii="Arial" w:hAnsi="Arial" w:cs="Arial"/>
                <w:sz w:val="18"/>
              </w:rPr>
              <w:t>0.477</w:t>
            </w:r>
          </w:p>
        </w:tc>
        <w:tc>
          <w:tcPr>
            <w:tcW w:w="978" w:type="dxa"/>
            <w:shd w:val="clear" w:color="auto" w:fill="auto"/>
          </w:tcPr>
          <w:p w14:paraId="0B0473E8"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0.347</w:t>
            </w:r>
          </w:p>
        </w:tc>
        <w:tc>
          <w:tcPr>
            <w:tcW w:w="978" w:type="dxa"/>
            <w:shd w:val="clear" w:color="auto" w:fill="auto"/>
          </w:tcPr>
          <w:p w14:paraId="44DF4F77"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0.426</w:t>
            </w:r>
          </w:p>
        </w:tc>
        <w:tc>
          <w:tcPr>
            <w:tcW w:w="978" w:type="dxa"/>
            <w:shd w:val="clear" w:color="auto" w:fill="auto"/>
          </w:tcPr>
          <w:p w14:paraId="45F86D4F" w14:textId="77777777" w:rsidR="00225D48" w:rsidRPr="00D42DC7" w:rsidRDefault="00225D48" w:rsidP="00D42DC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2DC7">
              <w:rPr>
                <w:rFonts w:ascii="Arial" w:hAnsi="Arial" w:cs="Arial"/>
                <w:sz w:val="18"/>
              </w:rPr>
              <w:t>0.343</w:t>
            </w:r>
          </w:p>
        </w:tc>
      </w:tr>
    </w:tbl>
    <w:p w14:paraId="48F0E29B" w14:textId="77777777" w:rsidR="00225D48" w:rsidRPr="00225D48" w:rsidRDefault="00225D48" w:rsidP="00225D48">
      <w:pPr>
        <w:spacing w:before="120" w:line="276" w:lineRule="auto"/>
        <w:jc w:val="both"/>
        <w:rPr>
          <w:rFonts w:ascii="Arial" w:hAnsi="Arial" w:cs="Arial"/>
          <w:b/>
          <w:color w:val="000000" w:themeColor="text1"/>
          <w:sz w:val="22"/>
          <w:szCs w:val="22"/>
        </w:rPr>
      </w:pPr>
      <w:r w:rsidRPr="00225D48">
        <w:rPr>
          <w:rFonts w:ascii="Arial" w:hAnsi="Arial" w:cs="Arial"/>
          <w:b/>
          <w:color w:val="000000" w:themeColor="text1"/>
          <w:sz w:val="22"/>
          <w:szCs w:val="22"/>
        </w:rPr>
        <w:t xml:space="preserve">Sources: Surveys 2025  </w:t>
      </w:r>
    </w:p>
    <w:p w14:paraId="5C32345E"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Social capital plays a crucial role in individuals' well-being by strengthening their sense of honor, belonging, and identity. It directly influences other forms of capital by facilitating efficient economic relations (financial capital), enabling the exchange of ideas and experiences within associations and institutions, and promoting knowledge sharing (human capital). The human capital of the sampled respondents was found to be insufficient for the optimal utilization of other forms of capital.</w:t>
      </w:r>
    </w:p>
    <w:p w14:paraId="0D0FCEBF"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The sampled households are compelled to work for modest wages due to a lack of human capital, which may incentivize them to adopt conventional agricultural production systems. Adaptation to new technologies, diversification into non-agricultural activities, and innovation require financial capital, the possession of which remains limited in the study area. Moreover, farming households face difficulties accessing formal financial institutions, particularly due to the stringent procedures required to obtain loans. The precarious financial conditions of households in the province also hinder mutual support mechanisms, such as informal loans among relatives or friends. Moreover, the livelihood assets of the sampled farming households vary according to their livelihood strategies. Type I rural households possessed the fewest livelihood assets (0.255), followed by Type II (0.336) and Type III (0.370). Type I households exhibited deficits in all forms of capital, preventing them from adopting modern agricultural techniques. To analyze the impact of livelihood assets on household strategies in the study area, a multinomial logistic model was estimated, using Type I rural households as the reference category. Overall, this model was statistically significant and demonstrated a good fit to the data (Chi² 138.223, P-value 0.000) (Table 3).</w:t>
      </w:r>
    </w:p>
    <w:p w14:paraId="327B2BA3" w14:textId="77777777" w:rsidR="00225D48" w:rsidRPr="00D42DC7" w:rsidRDefault="00225D48" w:rsidP="00D42DC7">
      <w:pPr>
        <w:pStyle w:val="ListParagraph"/>
        <w:numPr>
          <w:ilvl w:val="2"/>
          <w:numId w:val="35"/>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Human Capital</w:t>
      </w:r>
    </w:p>
    <w:p w14:paraId="3A45D32C" w14:textId="77777777" w:rsidR="00225D48" w:rsidRPr="00D42DC7" w:rsidRDefault="00225D48" w:rsidP="00225D48">
      <w:pPr>
        <w:spacing w:before="120" w:line="276" w:lineRule="auto"/>
        <w:jc w:val="both"/>
        <w:rPr>
          <w:rFonts w:ascii="Arial" w:hAnsi="Arial" w:cs="Arial"/>
          <w:b/>
          <w:color w:val="000000" w:themeColor="text1"/>
          <w:szCs w:val="22"/>
        </w:rPr>
      </w:pPr>
      <w:r w:rsidRPr="00D42DC7">
        <w:rPr>
          <w:rFonts w:ascii="Arial" w:hAnsi="Arial" w:cs="Arial"/>
          <w:b/>
          <w:color w:val="000000" w:themeColor="text1"/>
          <w:szCs w:val="22"/>
        </w:rPr>
        <w:t>Table 3: Multinomial logit model estimation of farming households' livelihood strategies based on their livelihood assets</w:t>
      </w:r>
    </w:p>
    <w:tbl>
      <w:tblPr>
        <w:tblStyle w:val="LightShading"/>
        <w:tblW w:w="0" w:type="auto"/>
        <w:tblLook w:val="04A0" w:firstRow="1" w:lastRow="0" w:firstColumn="1" w:lastColumn="0" w:noHBand="0" w:noVBand="1"/>
      </w:tblPr>
      <w:tblGrid>
        <w:gridCol w:w="1303"/>
        <w:gridCol w:w="1221"/>
        <w:gridCol w:w="1280"/>
        <w:gridCol w:w="1125"/>
        <w:gridCol w:w="951"/>
        <w:gridCol w:w="1133"/>
        <w:gridCol w:w="1411"/>
      </w:tblGrid>
      <w:tr w:rsidR="00225D48" w:rsidRPr="00D42DC7" w14:paraId="3F880E2D" w14:textId="77777777" w:rsidTr="00D42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23C3195A" w14:textId="77777777" w:rsidR="00225D48" w:rsidRPr="00D42DC7" w:rsidRDefault="00225D48" w:rsidP="00225D48">
            <w:pPr>
              <w:spacing w:after="120" w:line="276" w:lineRule="auto"/>
              <w:rPr>
                <w:rFonts w:ascii="Arial" w:hAnsi="Arial" w:cs="Arial"/>
                <w:b w:val="0"/>
                <w:color w:val="0F1115"/>
              </w:rPr>
            </w:pPr>
            <w:r w:rsidRPr="00D42DC7">
              <w:rPr>
                <w:rFonts w:ascii="Arial" w:hAnsi="Arial" w:cs="Arial"/>
                <w:b w:val="0"/>
                <w:color w:val="0F1115"/>
              </w:rPr>
              <w:t>Strategy</w:t>
            </w:r>
          </w:p>
        </w:tc>
        <w:tc>
          <w:tcPr>
            <w:tcW w:w="1316" w:type="dxa"/>
          </w:tcPr>
          <w:p w14:paraId="0EB0476C"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Asset</w:t>
            </w:r>
          </w:p>
        </w:tc>
        <w:tc>
          <w:tcPr>
            <w:tcW w:w="1336" w:type="dxa"/>
          </w:tcPr>
          <w:p w14:paraId="1BB0B6C7"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Coefficient</w:t>
            </w:r>
          </w:p>
        </w:tc>
        <w:tc>
          <w:tcPr>
            <w:tcW w:w="1316" w:type="dxa"/>
          </w:tcPr>
          <w:p w14:paraId="6560C123"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SE</w:t>
            </w:r>
          </w:p>
        </w:tc>
        <w:tc>
          <w:tcPr>
            <w:tcW w:w="1061" w:type="dxa"/>
          </w:tcPr>
          <w:p w14:paraId="4BDE5B8B"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P&gt;z</w:t>
            </w:r>
          </w:p>
        </w:tc>
        <w:tc>
          <w:tcPr>
            <w:tcW w:w="1276" w:type="dxa"/>
          </w:tcPr>
          <w:p w14:paraId="2C6AB8B1"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Odds Ratio</w:t>
            </w:r>
          </w:p>
        </w:tc>
        <w:tc>
          <w:tcPr>
            <w:tcW w:w="1611" w:type="dxa"/>
          </w:tcPr>
          <w:p w14:paraId="153C25EF" w14:textId="77777777" w:rsidR="00225D48" w:rsidRPr="00D42DC7" w:rsidRDefault="00225D48" w:rsidP="009125F3">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F1115"/>
              </w:rPr>
            </w:pPr>
            <w:r w:rsidRPr="00D42DC7">
              <w:rPr>
                <w:rFonts w:ascii="Arial" w:hAnsi="Arial" w:cs="Arial"/>
                <w:b w:val="0"/>
                <w:color w:val="0F1115"/>
              </w:rPr>
              <w:t>Marginal Effects</w:t>
            </w:r>
          </w:p>
        </w:tc>
      </w:tr>
      <w:tr w:rsidR="00D42DC7" w:rsidRPr="00D42DC7" w14:paraId="4CC406BB"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auto"/>
          </w:tcPr>
          <w:p w14:paraId="6194B1B5" w14:textId="77777777" w:rsidR="00225D48" w:rsidRPr="00D42DC7" w:rsidRDefault="00225D48" w:rsidP="00225D48">
            <w:pPr>
              <w:spacing w:line="276" w:lineRule="auto"/>
              <w:rPr>
                <w:rFonts w:ascii="Arial" w:hAnsi="Arial" w:cs="Arial"/>
                <w:b w:val="0"/>
                <w:shd w:val="clear" w:color="auto" w:fill="FFFFFF"/>
              </w:rPr>
            </w:pPr>
            <w:r w:rsidRPr="00D42DC7">
              <w:rPr>
                <w:rFonts w:ascii="Arial" w:hAnsi="Arial" w:cs="Arial"/>
                <w:b w:val="0"/>
                <w:shd w:val="clear" w:color="auto" w:fill="FFFFFF"/>
              </w:rPr>
              <w:t>Type II Rural Households</w:t>
            </w:r>
          </w:p>
        </w:tc>
        <w:tc>
          <w:tcPr>
            <w:tcW w:w="1316" w:type="dxa"/>
            <w:shd w:val="clear" w:color="auto" w:fill="auto"/>
          </w:tcPr>
          <w:p w14:paraId="20725309"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Human</w:t>
            </w:r>
          </w:p>
        </w:tc>
        <w:tc>
          <w:tcPr>
            <w:tcW w:w="1336" w:type="dxa"/>
            <w:shd w:val="clear" w:color="auto" w:fill="auto"/>
          </w:tcPr>
          <w:p w14:paraId="5CE8316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1.652</w:t>
            </w:r>
          </w:p>
        </w:tc>
        <w:tc>
          <w:tcPr>
            <w:tcW w:w="1316" w:type="dxa"/>
            <w:shd w:val="clear" w:color="auto" w:fill="auto"/>
          </w:tcPr>
          <w:p w14:paraId="52BCDC1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1.000</w:t>
            </w:r>
          </w:p>
        </w:tc>
        <w:tc>
          <w:tcPr>
            <w:tcW w:w="1061" w:type="dxa"/>
            <w:shd w:val="clear" w:color="auto" w:fill="auto"/>
          </w:tcPr>
          <w:p w14:paraId="32535E3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0.098</w:t>
            </w:r>
          </w:p>
        </w:tc>
        <w:tc>
          <w:tcPr>
            <w:tcW w:w="1276" w:type="dxa"/>
            <w:shd w:val="clear" w:color="auto" w:fill="auto"/>
          </w:tcPr>
          <w:p w14:paraId="4352C00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5.219</w:t>
            </w:r>
          </w:p>
        </w:tc>
        <w:tc>
          <w:tcPr>
            <w:tcW w:w="1611" w:type="dxa"/>
            <w:shd w:val="clear" w:color="auto" w:fill="auto"/>
          </w:tcPr>
          <w:p w14:paraId="589E523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0.134</w:t>
            </w:r>
          </w:p>
        </w:tc>
      </w:tr>
      <w:tr w:rsidR="00225D48" w:rsidRPr="00D42DC7" w14:paraId="7E8BD02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1743011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08E6C76"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Natural</w:t>
            </w:r>
          </w:p>
        </w:tc>
        <w:tc>
          <w:tcPr>
            <w:tcW w:w="1336" w:type="dxa"/>
          </w:tcPr>
          <w:p w14:paraId="72E3A3CF"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0.475</w:t>
            </w:r>
          </w:p>
        </w:tc>
        <w:tc>
          <w:tcPr>
            <w:tcW w:w="1316" w:type="dxa"/>
          </w:tcPr>
          <w:p w14:paraId="22103E34"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0.634</w:t>
            </w:r>
          </w:p>
        </w:tc>
        <w:tc>
          <w:tcPr>
            <w:tcW w:w="1061" w:type="dxa"/>
          </w:tcPr>
          <w:p w14:paraId="642F159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0.453</w:t>
            </w:r>
          </w:p>
        </w:tc>
        <w:tc>
          <w:tcPr>
            <w:tcW w:w="1276" w:type="dxa"/>
          </w:tcPr>
          <w:p w14:paraId="7D5C7E1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1.608</w:t>
            </w:r>
          </w:p>
        </w:tc>
        <w:tc>
          <w:tcPr>
            <w:tcW w:w="1611" w:type="dxa"/>
          </w:tcPr>
          <w:p w14:paraId="605D838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0.058</w:t>
            </w:r>
          </w:p>
        </w:tc>
      </w:tr>
      <w:tr w:rsidR="00D42DC7" w:rsidRPr="00D42DC7" w14:paraId="12D482F5"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54BD102E"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4228E8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Financial</w:t>
            </w:r>
          </w:p>
        </w:tc>
        <w:tc>
          <w:tcPr>
            <w:tcW w:w="1336" w:type="dxa"/>
            <w:shd w:val="clear" w:color="auto" w:fill="auto"/>
          </w:tcPr>
          <w:p w14:paraId="6CC388E4"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1.152</w:t>
            </w:r>
          </w:p>
        </w:tc>
        <w:tc>
          <w:tcPr>
            <w:tcW w:w="1316" w:type="dxa"/>
            <w:shd w:val="clear" w:color="auto" w:fill="auto"/>
          </w:tcPr>
          <w:p w14:paraId="246792B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0.638</w:t>
            </w:r>
          </w:p>
        </w:tc>
        <w:tc>
          <w:tcPr>
            <w:tcW w:w="1061" w:type="dxa"/>
            <w:shd w:val="clear" w:color="auto" w:fill="auto"/>
          </w:tcPr>
          <w:p w14:paraId="3474EC2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0.071</w:t>
            </w:r>
          </w:p>
        </w:tc>
        <w:tc>
          <w:tcPr>
            <w:tcW w:w="1276" w:type="dxa"/>
            <w:shd w:val="clear" w:color="auto" w:fill="auto"/>
          </w:tcPr>
          <w:p w14:paraId="04951E78"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3.164</w:t>
            </w:r>
          </w:p>
        </w:tc>
        <w:tc>
          <w:tcPr>
            <w:tcW w:w="1611" w:type="dxa"/>
            <w:shd w:val="clear" w:color="auto" w:fill="auto"/>
          </w:tcPr>
          <w:p w14:paraId="67BE83D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0.130</w:t>
            </w:r>
          </w:p>
        </w:tc>
      </w:tr>
      <w:tr w:rsidR="00225D48" w:rsidRPr="00D42DC7" w14:paraId="07E48DF6"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DB0BF27"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0A2265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Physical</w:t>
            </w:r>
          </w:p>
        </w:tc>
        <w:tc>
          <w:tcPr>
            <w:tcW w:w="1336" w:type="dxa"/>
          </w:tcPr>
          <w:p w14:paraId="67A4C1AC"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0.946</w:t>
            </w:r>
          </w:p>
        </w:tc>
        <w:tc>
          <w:tcPr>
            <w:tcW w:w="1316" w:type="dxa"/>
          </w:tcPr>
          <w:p w14:paraId="36A6D1E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1.323</w:t>
            </w:r>
          </w:p>
        </w:tc>
        <w:tc>
          <w:tcPr>
            <w:tcW w:w="1061" w:type="dxa"/>
          </w:tcPr>
          <w:p w14:paraId="38D072B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0.475</w:t>
            </w:r>
          </w:p>
        </w:tc>
        <w:tc>
          <w:tcPr>
            <w:tcW w:w="1276" w:type="dxa"/>
          </w:tcPr>
          <w:p w14:paraId="2FCE063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2.575</w:t>
            </w:r>
          </w:p>
        </w:tc>
        <w:tc>
          <w:tcPr>
            <w:tcW w:w="1611" w:type="dxa"/>
          </w:tcPr>
          <w:p w14:paraId="0DD03742"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0.013</w:t>
            </w:r>
          </w:p>
        </w:tc>
      </w:tr>
      <w:tr w:rsidR="00D42DC7" w:rsidRPr="00D42DC7" w14:paraId="043733B7"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6626C592"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8765C8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Social</w:t>
            </w:r>
          </w:p>
        </w:tc>
        <w:tc>
          <w:tcPr>
            <w:tcW w:w="1336" w:type="dxa"/>
            <w:shd w:val="clear" w:color="auto" w:fill="auto"/>
          </w:tcPr>
          <w:p w14:paraId="6FC7EBB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1.380</w:t>
            </w:r>
          </w:p>
        </w:tc>
        <w:tc>
          <w:tcPr>
            <w:tcW w:w="1316" w:type="dxa"/>
            <w:shd w:val="clear" w:color="auto" w:fill="auto"/>
          </w:tcPr>
          <w:p w14:paraId="63AA114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0.456</w:t>
            </w:r>
          </w:p>
        </w:tc>
        <w:tc>
          <w:tcPr>
            <w:tcW w:w="1061" w:type="dxa"/>
            <w:shd w:val="clear" w:color="auto" w:fill="auto"/>
          </w:tcPr>
          <w:p w14:paraId="0E650C16"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0.002</w:t>
            </w:r>
          </w:p>
        </w:tc>
        <w:tc>
          <w:tcPr>
            <w:tcW w:w="1276" w:type="dxa"/>
            <w:shd w:val="clear" w:color="auto" w:fill="auto"/>
          </w:tcPr>
          <w:p w14:paraId="558D6C2D"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3.973</w:t>
            </w:r>
          </w:p>
        </w:tc>
        <w:tc>
          <w:tcPr>
            <w:tcW w:w="1611" w:type="dxa"/>
            <w:shd w:val="clear" w:color="auto" w:fill="auto"/>
          </w:tcPr>
          <w:p w14:paraId="2D7BDF6D"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0.204</w:t>
            </w:r>
          </w:p>
        </w:tc>
      </w:tr>
      <w:tr w:rsidR="00225D48" w:rsidRPr="00D42DC7" w14:paraId="5E6B3F6C"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54C7A229"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09A4DEF5"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Constant</w:t>
            </w:r>
          </w:p>
        </w:tc>
        <w:tc>
          <w:tcPr>
            <w:tcW w:w="1336" w:type="dxa"/>
          </w:tcPr>
          <w:p w14:paraId="150A0B3D"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-2.549</w:t>
            </w:r>
          </w:p>
        </w:tc>
        <w:tc>
          <w:tcPr>
            <w:tcW w:w="1316" w:type="dxa"/>
          </w:tcPr>
          <w:p w14:paraId="3D5DD96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0.464</w:t>
            </w:r>
          </w:p>
        </w:tc>
        <w:tc>
          <w:tcPr>
            <w:tcW w:w="1061" w:type="dxa"/>
          </w:tcPr>
          <w:p w14:paraId="546A581A"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0.000</w:t>
            </w:r>
          </w:p>
        </w:tc>
        <w:tc>
          <w:tcPr>
            <w:tcW w:w="1276" w:type="dxa"/>
          </w:tcPr>
          <w:p w14:paraId="0EC2B7D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0.078</w:t>
            </w:r>
          </w:p>
        </w:tc>
        <w:tc>
          <w:tcPr>
            <w:tcW w:w="1611" w:type="dxa"/>
          </w:tcPr>
          <w:p w14:paraId="5F125C4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C7" w:rsidRPr="00D42DC7" w14:paraId="533A31D2"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val="restart"/>
            <w:shd w:val="clear" w:color="auto" w:fill="auto"/>
          </w:tcPr>
          <w:p w14:paraId="536D0972" w14:textId="77777777" w:rsidR="00225D48" w:rsidRPr="00D42DC7" w:rsidRDefault="00225D48" w:rsidP="00225D48">
            <w:pPr>
              <w:spacing w:line="276" w:lineRule="auto"/>
              <w:rPr>
                <w:rFonts w:ascii="Arial" w:hAnsi="Arial" w:cs="Arial"/>
                <w:b w:val="0"/>
                <w:shd w:val="clear" w:color="auto" w:fill="FFFFFF"/>
              </w:rPr>
            </w:pPr>
            <w:r w:rsidRPr="00D42DC7">
              <w:rPr>
                <w:rFonts w:ascii="Arial" w:hAnsi="Arial" w:cs="Arial"/>
                <w:b w:val="0"/>
                <w:shd w:val="clear" w:color="auto" w:fill="FFFFFF"/>
              </w:rPr>
              <w:lastRenderedPageBreak/>
              <w:t>Type III Rural Households</w:t>
            </w:r>
          </w:p>
        </w:tc>
        <w:tc>
          <w:tcPr>
            <w:tcW w:w="1316" w:type="dxa"/>
            <w:shd w:val="clear" w:color="auto" w:fill="auto"/>
          </w:tcPr>
          <w:p w14:paraId="191033E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Human</w:t>
            </w:r>
          </w:p>
        </w:tc>
        <w:tc>
          <w:tcPr>
            <w:tcW w:w="1336" w:type="dxa"/>
            <w:shd w:val="clear" w:color="auto" w:fill="auto"/>
          </w:tcPr>
          <w:p w14:paraId="1DA313EF"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3.655</w:t>
            </w:r>
          </w:p>
        </w:tc>
        <w:tc>
          <w:tcPr>
            <w:tcW w:w="1316" w:type="dxa"/>
            <w:shd w:val="clear" w:color="auto" w:fill="auto"/>
          </w:tcPr>
          <w:p w14:paraId="14407F7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0.995</w:t>
            </w:r>
          </w:p>
        </w:tc>
        <w:tc>
          <w:tcPr>
            <w:tcW w:w="1061" w:type="dxa"/>
            <w:shd w:val="clear" w:color="auto" w:fill="auto"/>
          </w:tcPr>
          <w:p w14:paraId="096677DC"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0.000</w:t>
            </w:r>
          </w:p>
        </w:tc>
        <w:tc>
          <w:tcPr>
            <w:tcW w:w="1276" w:type="dxa"/>
            <w:shd w:val="clear" w:color="auto" w:fill="auto"/>
          </w:tcPr>
          <w:p w14:paraId="3B10E9E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38.657</w:t>
            </w:r>
          </w:p>
        </w:tc>
        <w:tc>
          <w:tcPr>
            <w:tcW w:w="1611" w:type="dxa"/>
            <w:shd w:val="clear" w:color="auto" w:fill="auto"/>
          </w:tcPr>
          <w:p w14:paraId="12EAC2A7"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0.487</w:t>
            </w:r>
          </w:p>
        </w:tc>
      </w:tr>
      <w:tr w:rsidR="00225D48" w:rsidRPr="00D42DC7" w14:paraId="21AF512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A96251E"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6D1AFC5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Natural</w:t>
            </w:r>
          </w:p>
        </w:tc>
        <w:tc>
          <w:tcPr>
            <w:tcW w:w="1336" w:type="dxa"/>
          </w:tcPr>
          <w:p w14:paraId="3F4E723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0.601</w:t>
            </w:r>
          </w:p>
        </w:tc>
        <w:tc>
          <w:tcPr>
            <w:tcW w:w="1316" w:type="dxa"/>
          </w:tcPr>
          <w:p w14:paraId="3F7F6F4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0.673</w:t>
            </w:r>
          </w:p>
        </w:tc>
        <w:tc>
          <w:tcPr>
            <w:tcW w:w="1061" w:type="dxa"/>
          </w:tcPr>
          <w:p w14:paraId="16DD00D0"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0.371</w:t>
            </w:r>
          </w:p>
        </w:tc>
        <w:tc>
          <w:tcPr>
            <w:tcW w:w="1276" w:type="dxa"/>
          </w:tcPr>
          <w:p w14:paraId="3774F55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1.825</w:t>
            </w:r>
          </w:p>
        </w:tc>
        <w:tc>
          <w:tcPr>
            <w:tcW w:w="1611" w:type="dxa"/>
          </w:tcPr>
          <w:p w14:paraId="1CF5EDC5"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0.071</w:t>
            </w:r>
          </w:p>
        </w:tc>
      </w:tr>
      <w:tr w:rsidR="00D42DC7" w:rsidRPr="00D42DC7" w14:paraId="4450EFB6"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5DC8C338"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79F61FD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Financial</w:t>
            </w:r>
          </w:p>
        </w:tc>
        <w:tc>
          <w:tcPr>
            <w:tcW w:w="1336" w:type="dxa"/>
            <w:shd w:val="clear" w:color="auto" w:fill="auto"/>
          </w:tcPr>
          <w:p w14:paraId="722FAB6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1.700</w:t>
            </w:r>
          </w:p>
        </w:tc>
        <w:tc>
          <w:tcPr>
            <w:tcW w:w="1316" w:type="dxa"/>
            <w:shd w:val="clear" w:color="auto" w:fill="auto"/>
          </w:tcPr>
          <w:p w14:paraId="29CE9E41"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0.659</w:t>
            </w:r>
          </w:p>
        </w:tc>
        <w:tc>
          <w:tcPr>
            <w:tcW w:w="1061" w:type="dxa"/>
            <w:shd w:val="clear" w:color="auto" w:fill="auto"/>
          </w:tcPr>
          <w:p w14:paraId="7699DA62"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0.010</w:t>
            </w:r>
          </w:p>
        </w:tc>
        <w:tc>
          <w:tcPr>
            <w:tcW w:w="1276" w:type="dxa"/>
            <w:shd w:val="clear" w:color="auto" w:fill="auto"/>
          </w:tcPr>
          <w:p w14:paraId="075BD957"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5.472</w:t>
            </w:r>
          </w:p>
        </w:tc>
        <w:tc>
          <w:tcPr>
            <w:tcW w:w="1611" w:type="dxa"/>
            <w:shd w:val="clear" w:color="auto" w:fill="auto"/>
          </w:tcPr>
          <w:p w14:paraId="69AD9C4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0.210</w:t>
            </w:r>
          </w:p>
        </w:tc>
      </w:tr>
      <w:tr w:rsidR="00225D48" w:rsidRPr="00D42DC7" w14:paraId="6706C195"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7009017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248B1997"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Physical</w:t>
            </w:r>
          </w:p>
        </w:tc>
        <w:tc>
          <w:tcPr>
            <w:tcW w:w="1336" w:type="dxa"/>
          </w:tcPr>
          <w:p w14:paraId="07616F08"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3.584</w:t>
            </w:r>
          </w:p>
        </w:tc>
        <w:tc>
          <w:tcPr>
            <w:tcW w:w="1316" w:type="dxa"/>
          </w:tcPr>
          <w:p w14:paraId="3FED29B9"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1.257</w:t>
            </w:r>
          </w:p>
        </w:tc>
        <w:tc>
          <w:tcPr>
            <w:tcW w:w="1061" w:type="dxa"/>
          </w:tcPr>
          <w:p w14:paraId="0866714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0.004</w:t>
            </w:r>
          </w:p>
        </w:tc>
        <w:tc>
          <w:tcPr>
            <w:tcW w:w="1276" w:type="dxa"/>
          </w:tcPr>
          <w:p w14:paraId="5D1581AB"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36.008</w:t>
            </w:r>
          </w:p>
        </w:tc>
        <w:tc>
          <w:tcPr>
            <w:tcW w:w="1611" w:type="dxa"/>
          </w:tcPr>
          <w:p w14:paraId="1D1C7023"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0.506</w:t>
            </w:r>
          </w:p>
        </w:tc>
      </w:tr>
      <w:tr w:rsidR="00D42DC7" w:rsidRPr="00D42DC7" w14:paraId="04253A89" w14:textId="77777777" w:rsidTr="00D4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Merge/>
            <w:shd w:val="clear" w:color="auto" w:fill="auto"/>
          </w:tcPr>
          <w:p w14:paraId="093D6D4A" w14:textId="77777777" w:rsidR="00225D48" w:rsidRPr="00D42DC7" w:rsidRDefault="00225D48" w:rsidP="00225D48">
            <w:pPr>
              <w:spacing w:line="276" w:lineRule="auto"/>
              <w:rPr>
                <w:rFonts w:ascii="Arial" w:hAnsi="Arial" w:cs="Arial"/>
                <w:b w:val="0"/>
                <w:shd w:val="clear" w:color="auto" w:fill="FFFFFF"/>
              </w:rPr>
            </w:pPr>
          </w:p>
        </w:tc>
        <w:tc>
          <w:tcPr>
            <w:tcW w:w="1316" w:type="dxa"/>
            <w:shd w:val="clear" w:color="auto" w:fill="auto"/>
          </w:tcPr>
          <w:p w14:paraId="1496628A"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Social</w:t>
            </w:r>
          </w:p>
        </w:tc>
        <w:tc>
          <w:tcPr>
            <w:tcW w:w="1336" w:type="dxa"/>
            <w:shd w:val="clear" w:color="auto" w:fill="auto"/>
          </w:tcPr>
          <w:p w14:paraId="684EF384"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0.900</w:t>
            </w:r>
          </w:p>
        </w:tc>
        <w:tc>
          <w:tcPr>
            <w:tcW w:w="1316" w:type="dxa"/>
            <w:shd w:val="clear" w:color="auto" w:fill="auto"/>
          </w:tcPr>
          <w:p w14:paraId="37E0EF50"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0.477</w:t>
            </w:r>
          </w:p>
        </w:tc>
        <w:tc>
          <w:tcPr>
            <w:tcW w:w="1061" w:type="dxa"/>
            <w:shd w:val="clear" w:color="auto" w:fill="auto"/>
          </w:tcPr>
          <w:p w14:paraId="4B499A2B"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0.059</w:t>
            </w:r>
          </w:p>
        </w:tc>
        <w:tc>
          <w:tcPr>
            <w:tcW w:w="1276" w:type="dxa"/>
            <w:shd w:val="clear" w:color="auto" w:fill="auto"/>
          </w:tcPr>
          <w:p w14:paraId="61AC2FBF"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2.460</w:t>
            </w:r>
          </w:p>
        </w:tc>
        <w:tc>
          <w:tcPr>
            <w:tcW w:w="1611" w:type="dxa"/>
            <w:shd w:val="clear" w:color="auto" w:fill="auto"/>
          </w:tcPr>
          <w:p w14:paraId="25B0A135" w14:textId="77777777" w:rsidR="00225D48" w:rsidRPr="00D42DC7" w:rsidRDefault="00225D48" w:rsidP="009125F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42DC7">
              <w:rPr>
                <w:rFonts w:ascii="Arial" w:hAnsi="Arial" w:cs="Arial"/>
              </w:rPr>
              <w:t>0.078</w:t>
            </w:r>
          </w:p>
        </w:tc>
      </w:tr>
      <w:tr w:rsidR="00225D48" w:rsidRPr="00D42DC7" w14:paraId="3CFAE230" w14:textId="77777777" w:rsidTr="00D42DC7">
        <w:tc>
          <w:tcPr>
            <w:cnfStyle w:val="001000000000" w:firstRow="0" w:lastRow="0" w:firstColumn="1" w:lastColumn="0" w:oddVBand="0" w:evenVBand="0" w:oddHBand="0" w:evenHBand="0" w:firstRowFirstColumn="0" w:firstRowLastColumn="0" w:lastRowFirstColumn="0" w:lastRowLastColumn="0"/>
            <w:tcW w:w="1316" w:type="dxa"/>
            <w:vMerge/>
          </w:tcPr>
          <w:p w14:paraId="234349CD" w14:textId="77777777" w:rsidR="00225D48" w:rsidRPr="00D42DC7" w:rsidRDefault="00225D48" w:rsidP="00225D48">
            <w:pPr>
              <w:spacing w:line="276" w:lineRule="auto"/>
              <w:rPr>
                <w:rFonts w:ascii="Arial" w:hAnsi="Arial" w:cs="Arial"/>
                <w:b w:val="0"/>
                <w:shd w:val="clear" w:color="auto" w:fill="FFFFFF"/>
              </w:rPr>
            </w:pPr>
          </w:p>
        </w:tc>
        <w:tc>
          <w:tcPr>
            <w:tcW w:w="1316" w:type="dxa"/>
          </w:tcPr>
          <w:p w14:paraId="6773018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r w:rsidRPr="00D42DC7">
              <w:rPr>
                <w:rFonts w:ascii="Arial" w:hAnsi="Arial" w:cs="Arial"/>
                <w:shd w:val="clear" w:color="auto" w:fill="FFFFFF"/>
              </w:rPr>
              <w:t>Constant</w:t>
            </w:r>
          </w:p>
        </w:tc>
        <w:tc>
          <w:tcPr>
            <w:tcW w:w="1336" w:type="dxa"/>
          </w:tcPr>
          <w:p w14:paraId="420DAF5E"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-3.793</w:t>
            </w:r>
          </w:p>
        </w:tc>
        <w:tc>
          <w:tcPr>
            <w:tcW w:w="1316" w:type="dxa"/>
          </w:tcPr>
          <w:p w14:paraId="220D8C8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0.523</w:t>
            </w:r>
          </w:p>
        </w:tc>
        <w:tc>
          <w:tcPr>
            <w:tcW w:w="1061" w:type="dxa"/>
          </w:tcPr>
          <w:p w14:paraId="7CD40527"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0.000</w:t>
            </w:r>
          </w:p>
        </w:tc>
        <w:tc>
          <w:tcPr>
            <w:tcW w:w="1276" w:type="dxa"/>
          </w:tcPr>
          <w:p w14:paraId="6CD6B6A1"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42DC7">
              <w:rPr>
                <w:rFonts w:ascii="Arial" w:hAnsi="Arial" w:cs="Arial"/>
              </w:rPr>
              <w:t>0.023</w:t>
            </w:r>
          </w:p>
        </w:tc>
        <w:tc>
          <w:tcPr>
            <w:tcW w:w="1611" w:type="dxa"/>
          </w:tcPr>
          <w:p w14:paraId="04293C4C" w14:textId="77777777" w:rsidR="00225D48" w:rsidRPr="00D42DC7" w:rsidRDefault="00225D48" w:rsidP="009125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FFFFFF"/>
              </w:rPr>
            </w:pPr>
          </w:p>
        </w:tc>
      </w:tr>
      <w:tr w:rsidR="00225D48" w:rsidRPr="00D42DC7" w14:paraId="140B18AD" w14:textId="77777777" w:rsidTr="00D42DC7">
        <w:trPr>
          <w:cnfStyle w:val="000000100000" w:firstRow="0" w:lastRow="0" w:firstColumn="0" w:lastColumn="0" w:oddVBand="0" w:evenVBand="0" w:oddHBand="1" w:evenHBand="0" w:firstRowFirstColumn="0" w:firstRowLastColumn="0" w:lastRowFirstColumn="0" w:lastRowLastColumn="0"/>
          <w:trHeight w:val="1702"/>
        </w:trPr>
        <w:tc>
          <w:tcPr>
            <w:cnfStyle w:val="001000000000" w:firstRow="0" w:lastRow="0" w:firstColumn="1" w:lastColumn="0" w:oddVBand="0" w:evenVBand="0" w:oddHBand="0" w:evenHBand="0" w:firstRowFirstColumn="0" w:firstRowLastColumn="0" w:lastRowFirstColumn="0" w:lastRowLastColumn="0"/>
            <w:tcW w:w="9232" w:type="dxa"/>
            <w:gridSpan w:val="7"/>
            <w:shd w:val="clear" w:color="auto" w:fill="auto"/>
          </w:tcPr>
          <w:p w14:paraId="7FC41636" w14:textId="77777777" w:rsidR="00225D48" w:rsidRPr="00D42DC7" w:rsidRDefault="00225D48" w:rsidP="00225D48">
            <w:pPr>
              <w:shd w:val="clear" w:color="auto" w:fill="FFFFFF"/>
              <w:spacing w:line="276" w:lineRule="auto"/>
              <w:rPr>
                <w:rFonts w:ascii="Arial" w:hAnsi="Arial" w:cs="Arial"/>
                <w:b w:val="0"/>
                <w:color w:val="0F1115"/>
                <w:lang w:eastAsia="fr-FR"/>
              </w:rPr>
            </w:pPr>
            <w:r w:rsidRPr="00D42DC7">
              <w:rPr>
                <w:rFonts w:ascii="Arial" w:hAnsi="Arial" w:cs="Arial"/>
                <w:b w:val="0"/>
                <w:color w:val="0F1115"/>
                <w:lang w:eastAsia="fr-FR"/>
              </w:rPr>
              <w:t>Model Statistics:</w:t>
            </w:r>
            <w:r w:rsidRPr="00D42DC7">
              <w:rPr>
                <w:rFonts w:ascii="Arial" w:hAnsi="Arial" w:cs="Arial"/>
                <w:b w:val="0"/>
                <w:color w:val="0F1115"/>
                <w:lang w:eastAsia="fr-FR"/>
              </w:rPr>
              <w:br/>
              <w:t>Observations: 312</w:t>
            </w:r>
            <w:r w:rsidRPr="00D42DC7">
              <w:rPr>
                <w:rFonts w:ascii="Arial" w:hAnsi="Arial" w:cs="Arial"/>
                <w:b w:val="0"/>
                <w:color w:val="0F1115"/>
                <w:lang w:eastAsia="fr-FR"/>
              </w:rPr>
              <w:br/>
              <w:t>LR chi2(10): 62.240</w:t>
            </w:r>
            <w:r w:rsidRPr="00D42DC7">
              <w:rPr>
                <w:rFonts w:ascii="Arial" w:hAnsi="Arial" w:cs="Arial"/>
                <w:b w:val="0"/>
                <w:color w:val="0F1115"/>
                <w:lang w:eastAsia="fr-FR"/>
              </w:rPr>
              <w:br/>
              <w:t>Prob &gt; chi2: 0.000</w:t>
            </w:r>
            <w:r w:rsidRPr="00D42DC7">
              <w:rPr>
                <w:rFonts w:ascii="Arial" w:hAnsi="Arial" w:cs="Arial"/>
                <w:b w:val="0"/>
                <w:color w:val="0F1115"/>
                <w:lang w:eastAsia="fr-FR"/>
              </w:rPr>
              <w:br/>
              <w:t>Log-likelihood: -270.137</w:t>
            </w:r>
            <w:r w:rsidRPr="00D42DC7">
              <w:rPr>
                <w:rFonts w:ascii="Arial" w:hAnsi="Arial" w:cs="Arial"/>
                <w:b w:val="0"/>
                <w:color w:val="0F1115"/>
                <w:lang w:eastAsia="fr-FR"/>
              </w:rPr>
              <w:br/>
              <w:t>Pseudo R2: 0.1033</w:t>
            </w:r>
          </w:p>
          <w:p w14:paraId="20952076" w14:textId="77777777" w:rsidR="00225D48" w:rsidRPr="00D42DC7" w:rsidRDefault="00225D48" w:rsidP="00225D48">
            <w:pPr>
              <w:shd w:val="clear" w:color="auto" w:fill="FFFFFF"/>
              <w:spacing w:line="276" w:lineRule="auto"/>
              <w:rPr>
                <w:rFonts w:ascii="Arial" w:hAnsi="Arial" w:cs="Arial"/>
                <w:b w:val="0"/>
                <w:color w:val="0F1115"/>
                <w:lang w:eastAsia="fr-FR"/>
              </w:rPr>
            </w:pPr>
            <w:r w:rsidRPr="00D42DC7">
              <w:rPr>
                <w:rFonts w:ascii="Arial" w:hAnsi="Arial" w:cs="Arial"/>
                <w:b w:val="0"/>
                <w:color w:val="0F1115"/>
                <w:lang w:eastAsia="fr-FR"/>
              </w:rPr>
              <w:t>Reference category: Type I Rural Households</w:t>
            </w:r>
          </w:p>
        </w:tc>
      </w:tr>
    </w:tbl>
    <w:p w14:paraId="08BE551B" w14:textId="77777777" w:rsidR="00225D48" w:rsidRPr="00225D48" w:rsidRDefault="00225D48" w:rsidP="00225D48">
      <w:pPr>
        <w:spacing w:before="120" w:line="276" w:lineRule="auto"/>
        <w:ind w:firstLine="708"/>
        <w:jc w:val="both"/>
        <w:rPr>
          <w:rFonts w:ascii="Arial" w:hAnsi="Arial" w:cs="Arial"/>
          <w:color w:val="000000" w:themeColor="text1"/>
          <w:sz w:val="22"/>
          <w:szCs w:val="22"/>
        </w:rPr>
      </w:pPr>
      <w:r w:rsidRPr="00225D48">
        <w:rPr>
          <w:rFonts w:ascii="Arial" w:hAnsi="Arial" w:cs="Arial"/>
          <w:b/>
          <w:color w:val="000000" w:themeColor="text1"/>
          <w:sz w:val="22"/>
          <w:szCs w:val="22"/>
        </w:rPr>
        <w:t>Sources: Surveys, 2025</w:t>
      </w:r>
    </w:p>
    <w:p w14:paraId="08D39F64"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results showed that human capital had a significant and positive influence on the livelihood strategy choices of farming households. In the models for Type II and Type III rural households (using Type I as the reference), a one-unit increase in human capital led to a positive variation in coefficients of 1.652 for Type II households and 3.655 for Type III households. Marginal effects indicated that, all else being equal (i.e., holding other model variables at their means), the probability of households transitioning from Type I to Type II increased by 0.134 times, and from Type I to Type III by 0.487 times (Table 3).  </w:t>
      </w:r>
    </w:p>
    <w:p w14:paraId="399663BE" w14:textId="77777777" w:rsidR="00225D48" w:rsidRPr="00D42DC7" w:rsidRDefault="00D42DC7" w:rsidP="00D42DC7">
      <w:pPr>
        <w:spacing w:before="120" w:line="276" w:lineRule="auto"/>
        <w:rPr>
          <w:rFonts w:ascii="Arial" w:hAnsi="Arial" w:cs="Arial"/>
          <w:b/>
          <w:i/>
          <w:color w:val="000000" w:themeColor="text1"/>
        </w:rPr>
      </w:pPr>
      <w:r>
        <w:rPr>
          <w:rFonts w:ascii="Arial" w:hAnsi="Arial" w:cs="Arial"/>
          <w:b/>
          <w:i/>
          <w:color w:val="000000" w:themeColor="text1"/>
        </w:rPr>
        <w:t>3.1.3</w:t>
      </w:r>
      <w:r w:rsidR="00225D48" w:rsidRPr="00D42DC7">
        <w:rPr>
          <w:rFonts w:ascii="Arial" w:hAnsi="Arial" w:cs="Arial"/>
          <w:b/>
          <w:i/>
          <w:color w:val="000000" w:themeColor="text1"/>
        </w:rPr>
        <w:t xml:space="preserve"> Livelihood Strategies Influenced by Natural Capital</w:t>
      </w:r>
    </w:p>
    <w:p w14:paraId="597D5480"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results show that natural capital has no significant effect on the choice of livelihood strategies for farming households, whether in the Type II or Type III rural household models (using Type I as the reference). This lack of effect may be explained by the poverty status of smallholder farmers in the region, as well as the presence of tenants unable to invest in their land to improve productivity, trapping them in a vicious cycle. Future studies should consider variables such as soil quality, water access (with its varying characteristics), firewood availability, land leasing, tree presence, and other factors.  </w:t>
      </w:r>
    </w:p>
    <w:p w14:paraId="381FA298"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Physical Capital</w:t>
      </w:r>
    </w:p>
    <w:p w14:paraId="30AD70DE"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The study's results reveal that physical capital differentially influences livelihood strategies depending on the type of rural household. While it has no significant impact on the choices of Type II households (reference: Type I), its effect becomes significant and positive (+3.584; p&lt;0.05) for Type III households. Specifically, a one-unit increase in physical capital leads to a 3.584-point rise in the probability of adopting livelihood strategies for Type III households compared to Type I. Marginal analysis indicates that Type III households are 0.506 times more likely to opt for alternative strategies compared to Type I, all else being equal (Table 3). </w:t>
      </w:r>
    </w:p>
    <w:p w14:paraId="08CFD1B7"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Financial Capital</w:t>
      </w:r>
    </w:p>
    <w:p w14:paraId="27ACFD86" w14:textId="77777777" w:rsidR="00225D48" w:rsidRPr="00225D48" w:rsidRDefault="00225D48" w:rsidP="00225D48">
      <w:pPr>
        <w:spacing w:before="120" w:line="276" w:lineRule="auto"/>
        <w:jc w:val="both"/>
        <w:rPr>
          <w:rFonts w:ascii="Arial" w:hAnsi="Arial" w:cs="Arial"/>
          <w:color w:val="FF0000"/>
          <w:sz w:val="22"/>
          <w:szCs w:val="22"/>
        </w:rPr>
      </w:pPr>
      <w:r w:rsidRPr="00225D48">
        <w:rPr>
          <w:rFonts w:ascii="Arial" w:hAnsi="Arial" w:cs="Arial"/>
          <w:color w:val="000000" w:themeColor="text1"/>
          <w:sz w:val="22"/>
          <w:szCs w:val="22"/>
        </w:rPr>
        <w:lastRenderedPageBreak/>
        <w:t>Financial capital (FC) has a significant and positive effect on the choice of livelihood strategies for farming households, particularly for Type II and Type III rural households compared to Type I (reference). Estimated coefficients indicate that a one-unit increase in financial capital leads to a positive variation of 1.152 for Type II households and 1.70 for Type III households. Marginal effects showed that households are 0.130 and 0.210 times more likely to transition from Type I to Type II and Type III, respectively, when holding all other model variables at their means (Table 3).</w:t>
      </w:r>
      <w:r w:rsidRPr="00225D48">
        <w:rPr>
          <w:rFonts w:ascii="Arial" w:hAnsi="Arial" w:cs="Arial"/>
          <w:color w:val="FF0000"/>
          <w:sz w:val="22"/>
          <w:szCs w:val="22"/>
        </w:rPr>
        <w:t xml:space="preserve"> </w:t>
      </w:r>
    </w:p>
    <w:p w14:paraId="3286BF51" w14:textId="77777777" w:rsidR="00225D48" w:rsidRPr="00D42DC7" w:rsidRDefault="00225D48" w:rsidP="00D42DC7">
      <w:pPr>
        <w:pStyle w:val="ListParagraph"/>
        <w:numPr>
          <w:ilvl w:val="2"/>
          <w:numId w:val="36"/>
        </w:numPr>
        <w:spacing w:before="120" w:line="276" w:lineRule="auto"/>
        <w:rPr>
          <w:rFonts w:ascii="Arial" w:hAnsi="Arial" w:cs="Arial"/>
          <w:b/>
          <w:i/>
          <w:color w:val="000000" w:themeColor="text1"/>
          <w:sz w:val="20"/>
          <w:lang w:val="en-US"/>
        </w:rPr>
      </w:pPr>
      <w:r w:rsidRPr="00D42DC7">
        <w:rPr>
          <w:rFonts w:ascii="Arial" w:hAnsi="Arial" w:cs="Arial"/>
          <w:b/>
          <w:i/>
          <w:color w:val="000000" w:themeColor="text1"/>
          <w:sz w:val="20"/>
          <w:lang w:val="en-US"/>
        </w:rPr>
        <w:t xml:space="preserve"> Livelihood Strategies Influenced by Social Capital  </w:t>
      </w:r>
    </w:p>
    <w:p w14:paraId="766664C2"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According to Table 3, in a multinomial logit model (with Type I households as the reference), social capital significantly and positively affects the probability of adopting Type II or Type III livelihood strategies. The social capital coefficient indicates that a one-unit increase raises the likelihood by 1.380 for Type II rural households and 0.90 for Type III rural households compared to Type I (reference). Marginal effects show that, all else being equal (other model variables fixed at their means), the probability of households belonging to Type II and Type III rural categories (rather than Type I) increases by factors of 0.204 and 0.078, respectively.  </w:t>
      </w:r>
    </w:p>
    <w:p w14:paraId="51345A9D" w14:textId="77777777" w:rsidR="00225D48" w:rsidRPr="00AA6D96" w:rsidRDefault="00225D48">
      <w:pPr>
        <w:pStyle w:val="ListParagraph"/>
        <w:numPr>
          <w:ilvl w:val="1"/>
          <w:numId w:val="36"/>
        </w:numPr>
        <w:spacing w:before="120" w:line="276" w:lineRule="auto"/>
        <w:rPr>
          <w:rFonts w:ascii="Arial" w:hAnsi="Arial" w:cs="Arial"/>
          <w:b/>
          <w:color w:val="000000" w:themeColor="text1"/>
        </w:rPr>
      </w:pPr>
      <w:bookmarkStart w:id="0" w:name="_GoBack"/>
      <w:r w:rsidRPr="00AA6D96">
        <w:rPr>
          <w:rFonts w:ascii="Arial" w:hAnsi="Arial" w:cs="Arial"/>
          <w:b/>
          <w:color w:val="000000" w:themeColor="text1"/>
        </w:rPr>
        <w:t>Discus</w:t>
      </w:r>
      <w:bookmarkEnd w:id="0"/>
      <w:r w:rsidRPr="00AA6D96">
        <w:rPr>
          <w:rFonts w:ascii="Arial" w:hAnsi="Arial" w:cs="Arial"/>
          <w:b/>
          <w:color w:val="000000" w:themeColor="text1"/>
        </w:rPr>
        <w:t>sion</w:t>
      </w:r>
    </w:p>
    <w:p w14:paraId="608527DA" w14:textId="77777777" w:rsidR="00225D48" w:rsidRPr="00F328F3" w:rsidRDefault="00225D48">
      <w:pPr>
        <w:pStyle w:val="ListParagraph"/>
        <w:numPr>
          <w:ilvl w:val="2"/>
          <w:numId w:val="37"/>
        </w:numPr>
        <w:spacing w:before="120" w:line="276" w:lineRule="auto"/>
        <w:rPr>
          <w:rFonts w:ascii="Arial" w:hAnsi="Arial" w:cs="Arial"/>
          <w:b/>
          <w:i/>
          <w:color w:val="000000" w:themeColor="text1"/>
          <w:lang w:val="en-US"/>
        </w:rPr>
      </w:pPr>
      <w:r w:rsidRPr="00F328F3">
        <w:rPr>
          <w:rFonts w:ascii="Arial" w:hAnsi="Arial" w:cs="Arial"/>
          <w:b/>
          <w:i/>
          <w:color w:val="000000" w:themeColor="text1"/>
          <w:lang w:val="en-US"/>
        </w:rPr>
        <w:t>Livelihood Assets in the Surveyed Region</w:t>
      </w:r>
    </w:p>
    <w:p w14:paraId="6F56C8D5" w14:textId="77777777" w:rsidR="00225D48" w:rsidRPr="00AA6D96" w:rsidRDefault="00225D48">
      <w:pPr>
        <w:spacing w:before="120" w:line="276" w:lineRule="auto"/>
        <w:jc w:val="both"/>
        <w:rPr>
          <w:rFonts w:ascii="Arial" w:hAnsi="Arial" w:cs="Arial"/>
          <w:color w:val="000000" w:themeColor="text1"/>
          <w:sz w:val="22"/>
          <w:szCs w:val="22"/>
        </w:rPr>
      </w:pPr>
      <w:r w:rsidRPr="00AA6D96">
        <w:rPr>
          <w:rFonts w:ascii="Arial" w:hAnsi="Arial" w:cs="Arial"/>
          <w:color w:val="000000" w:themeColor="text1"/>
          <w:sz w:val="22"/>
          <w:szCs w:val="22"/>
        </w:rPr>
        <w:t xml:space="preserve">In this context of financial capital scarcity, agricultural households remain trapped in poverty and find themselves with surplus labor in the agricultural sector. Additionally, the available physical capital is insufficient and poorly utilized by these households. Yet, these assets play a key role in the production process. Their absence results in low productivity, necessitating the development of equipment tailored to geographical characteristics, the socio-economic conditions of households, as well as cultural and regional realities. The study's findings align with those of Liu et al. (2018), albeit with different variables. They confirm that livelihood strategies vary among farming households depending on the quantity and type of capital they possess. Thus, the composition of livelihood assets significantly influences the choice of strategies adopted by these households. </w:t>
      </w:r>
    </w:p>
    <w:p w14:paraId="6F639022" w14:textId="77777777" w:rsidR="00225D48" w:rsidRPr="00F328F3" w:rsidRDefault="00225D48">
      <w:pPr>
        <w:pStyle w:val="ListParagraph"/>
        <w:numPr>
          <w:ilvl w:val="2"/>
          <w:numId w:val="37"/>
        </w:numPr>
        <w:spacing w:before="120" w:line="276" w:lineRule="auto"/>
        <w:rPr>
          <w:rFonts w:ascii="Arial" w:hAnsi="Arial" w:cs="Arial"/>
          <w:b/>
          <w:i/>
          <w:color w:val="000000" w:themeColor="text1"/>
          <w:lang w:val="en-US"/>
        </w:rPr>
      </w:pPr>
      <w:r w:rsidRPr="00F328F3">
        <w:rPr>
          <w:rFonts w:ascii="Arial" w:hAnsi="Arial" w:cs="Arial"/>
          <w:b/>
          <w:i/>
          <w:color w:val="000000" w:themeColor="text1"/>
          <w:lang w:val="en-US"/>
        </w:rPr>
        <w:t xml:space="preserve"> Livelihood Strategies Influenced by Human Capital</w:t>
      </w:r>
    </w:p>
    <w:p w14:paraId="599D52D3" w14:textId="5CCF046F" w:rsidR="00225D48" w:rsidRPr="00F328F3" w:rsidRDefault="00225D48" w:rsidP="00F328F3">
      <w:pPr>
        <w:spacing w:line="276" w:lineRule="auto"/>
        <w:jc w:val="both"/>
        <w:rPr>
          <w:rFonts w:ascii="Arial" w:hAnsi="Arial" w:cs="Arial"/>
          <w:sz w:val="22"/>
          <w:szCs w:val="22"/>
        </w:rPr>
      </w:pPr>
      <w:r w:rsidRPr="00AA6D96">
        <w:rPr>
          <w:rFonts w:ascii="Arial" w:hAnsi="Arial" w:cs="Arial"/>
          <w:color w:val="000000" w:themeColor="text1"/>
          <w:sz w:val="22"/>
          <w:szCs w:val="22"/>
        </w:rPr>
        <w:t xml:space="preserve">Generally, improving human capital enables farming households to adopt more satisfactory livelihood strategies. </w:t>
      </w:r>
      <w:r w:rsidR="007D07A1" w:rsidRPr="00F328F3">
        <w:rPr>
          <w:rFonts w:ascii="Arial" w:hAnsi="Arial" w:cs="Arial"/>
          <w:sz w:val="22"/>
          <w:szCs w:val="22"/>
        </w:rPr>
        <w:t xml:space="preserve">This dynamic aligns with the observations of </w:t>
      </w:r>
      <w:proofErr w:type="spellStart"/>
      <w:r w:rsidR="007D07A1" w:rsidRPr="00F328F3">
        <w:rPr>
          <w:rFonts w:ascii="Arial" w:hAnsi="Arial" w:cs="Arial"/>
          <w:sz w:val="22"/>
          <w:szCs w:val="22"/>
        </w:rPr>
        <w:t>Walelign</w:t>
      </w:r>
      <w:proofErr w:type="spellEnd"/>
      <w:r w:rsidR="007D07A1" w:rsidRPr="00F328F3">
        <w:rPr>
          <w:rFonts w:ascii="Arial" w:hAnsi="Arial" w:cs="Arial"/>
          <w:sz w:val="22"/>
          <w:szCs w:val="22"/>
        </w:rPr>
        <w:t xml:space="preserve"> et al. (2017), who emphasized that education and skill levels are key determinants of households’ ability to transition from agriculture</w:t>
      </w:r>
      <w:r w:rsidR="007D07A1" w:rsidRPr="00F328F3">
        <w:rPr>
          <w:rFonts w:ascii="Cambria Math" w:hAnsi="Cambria Math" w:cs="Cambria Math"/>
          <w:sz w:val="22"/>
          <w:szCs w:val="22"/>
        </w:rPr>
        <w:t>‑</w:t>
      </w:r>
      <w:r w:rsidR="007D07A1" w:rsidRPr="00F328F3">
        <w:rPr>
          <w:rFonts w:ascii="Arial" w:hAnsi="Arial" w:cs="Arial"/>
          <w:sz w:val="22"/>
          <w:szCs w:val="22"/>
        </w:rPr>
        <w:t xml:space="preserve">dependent to more diversified livelihood portfolios. </w:t>
      </w:r>
      <w:r w:rsidRPr="00AA6D96">
        <w:rPr>
          <w:rFonts w:ascii="Arial" w:hAnsi="Arial" w:cs="Arial"/>
          <w:color w:val="000000" w:themeColor="text1"/>
          <w:sz w:val="22"/>
          <w:szCs w:val="22"/>
        </w:rPr>
        <w:t xml:space="preserve">The quality and accessibility of this capital play a crucial role in their economic choices. Increased human capital can thus encourage livelihood diversification and promote engagement in non-farming activities. Moreover, a skilled workforce with strong education and training is more likely to </w:t>
      </w:r>
      <w:r w:rsidRPr="00AA6D96">
        <w:rPr>
          <w:rFonts w:ascii="Arial" w:hAnsi="Arial" w:cs="Arial"/>
          <w:color w:val="000000" w:themeColor="text1"/>
          <w:sz w:val="22"/>
          <w:szCs w:val="22"/>
        </w:rPr>
        <w:lastRenderedPageBreak/>
        <w:t xml:space="preserve">leave the agricultural sector for off-farm activities, while less-skilled workers tend to remain in farming (Liu et al., 2018). This dynamic is explained by a greater capacity for risk-taking and economic opportunity maximization among better-trained workers.  </w:t>
      </w:r>
      <w:r w:rsidR="007D07A1" w:rsidRPr="00F328F3">
        <w:rPr>
          <w:rFonts w:ascii="Arial" w:hAnsi="Arial" w:cs="Arial"/>
          <w:sz w:val="22"/>
          <w:szCs w:val="22"/>
        </w:rPr>
        <w:t xml:space="preserve">These findings are consistent with recent work by Hassan et al. (2024) in Pakistan, who found that livelihood asset portfolios significantly shape the probability of adopting different livelihood strategies. Similarly, </w:t>
      </w:r>
      <w:proofErr w:type="spellStart"/>
      <w:r w:rsidR="007D07A1" w:rsidRPr="00F328F3">
        <w:rPr>
          <w:rFonts w:ascii="Arial" w:hAnsi="Arial" w:cs="Arial"/>
          <w:sz w:val="22"/>
          <w:szCs w:val="22"/>
        </w:rPr>
        <w:t>Azumah</w:t>
      </w:r>
      <w:proofErr w:type="spellEnd"/>
      <w:r w:rsidR="007D07A1" w:rsidRPr="00F328F3">
        <w:rPr>
          <w:rFonts w:ascii="Arial" w:hAnsi="Arial" w:cs="Arial"/>
          <w:sz w:val="22"/>
          <w:szCs w:val="22"/>
        </w:rPr>
        <w:t xml:space="preserve"> et al. (2023) in northern Ghana reported that households with higher asset endowments are more likely to pursue diversified livelihood pathways.</w:t>
      </w:r>
    </w:p>
    <w:p w14:paraId="037F46D7" w14:textId="77777777" w:rsidR="00225D48" w:rsidRPr="00F328F3" w:rsidRDefault="00225D48">
      <w:pPr>
        <w:pStyle w:val="ListParagraph"/>
        <w:numPr>
          <w:ilvl w:val="2"/>
          <w:numId w:val="37"/>
        </w:numPr>
        <w:spacing w:before="120" w:line="276" w:lineRule="auto"/>
        <w:rPr>
          <w:rFonts w:ascii="Arial" w:hAnsi="Arial" w:cs="Arial"/>
          <w:b/>
          <w:i/>
          <w:color w:val="000000" w:themeColor="text1"/>
          <w:lang w:val="en-US"/>
        </w:rPr>
      </w:pPr>
      <w:r w:rsidRPr="00F328F3">
        <w:rPr>
          <w:rFonts w:ascii="Arial" w:hAnsi="Arial" w:cs="Arial"/>
          <w:b/>
          <w:i/>
          <w:color w:val="000000" w:themeColor="text1"/>
          <w:lang w:val="en-US"/>
        </w:rPr>
        <w:t xml:space="preserve"> The livelihood strategies influenced by natural, physical capital and financial</w:t>
      </w:r>
    </w:p>
    <w:p w14:paraId="44CD65F2" w14:textId="1D32F62D" w:rsidR="00225D48" w:rsidRPr="00F328F3" w:rsidRDefault="00225D48" w:rsidP="00F328F3">
      <w:pPr>
        <w:spacing w:line="276" w:lineRule="auto"/>
        <w:jc w:val="both"/>
        <w:rPr>
          <w:rFonts w:ascii="Arial" w:hAnsi="Arial" w:cs="Arial"/>
          <w:sz w:val="22"/>
          <w:szCs w:val="22"/>
        </w:rPr>
      </w:pPr>
      <w:r w:rsidRPr="00AA6D96">
        <w:rPr>
          <w:rFonts w:ascii="Arial" w:hAnsi="Arial" w:cs="Arial"/>
          <w:color w:val="000000" w:themeColor="text1"/>
          <w:sz w:val="22"/>
          <w:szCs w:val="22"/>
        </w:rPr>
        <w:t xml:space="preserve">The diversity of farming households' livelihood strategies depends on natural capital (Guangdong et al., 2014). Households with large agricultural landholdings generally enjoy more favorable economic conditions, enabling more sustainable livelihoods through optimal organization of farming activities (Udoh et al., 2017). Conversely, households with small farms may experience less sustainable livelihoods. Theoretically, resource access capacity influences the allocation of livelihood assets among farming households. These findings partially contradict those of Liu et al. (2018), who observed a significant negative effect of additional material assets on farming households' choices. The findings of Liu et al. (2018) also demonstrated a positive and significant effect on farming households' livelihood strategy choices in part-time and non-farming household models. Thus, improving FC helps households adopt more satisfactory livelihood strategies. </w:t>
      </w:r>
      <w:r w:rsidR="007D07A1" w:rsidRPr="00F328F3">
        <w:rPr>
          <w:rFonts w:ascii="Arial" w:hAnsi="Arial" w:cs="Arial"/>
          <w:sz w:val="22"/>
          <w:szCs w:val="22"/>
        </w:rPr>
        <w:t>Recent evidence from the Sahel region (</w:t>
      </w:r>
      <w:proofErr w:type="spellStart"/>
      <w:r w:rsidR="007D07A1" w:rsidRPr="00F328F3">
        <w:rPr>
          <w:rFonts w:ascii="Arial" w:hAnsi="Arial" w:cs="Arial"/>
          <w:sz w:val="22"/>
          <w:szCs w:val="22"/>
        </w:rPr>
        <w:t>Ouedraogo</w:t>
      </w:r>
      <w:proofErr w:type="spellEnd"/>
      <w:r w:rsidR="007D07A1" w:rsidRPr="00F328F3">
        <w:rPr>
          <w:rFonts w:ascii="Arial" w:hAnsi="Arial" w:cs="Arial"/>
          <w:sz w:val="22"/>
          <w:szCs w:val="22"/>
        </w:rPr>
        <w:t xml:space="preserve"> et al., 2022) confirms that access to microcredit and savings services significantly enhances households’ capacity to invest in non</w:t>
      </w:r>
      <w:r w:rsidR="007D07A1" w:rsidRPr="00F328F3">
        <w:rPr>
          <w:rFonts w:ascii="Cambria Math" w:hAnsi="Cambria Math" w:cs="Cambria Math"/>
          <w:sz w:val="22"/>
          <w:szCs w:val="22"/>
        </w:rPr>
        <w:t>‑</w:t>
      </w:r>
      <w:r w:rsidR="007D07A1" w:rsidRPr="00F328F3">
        <w:rPr>
          <w:rFonts w:ascii="Arial" w:hAnsi="Arial" w:cs="Arial"/>
          <w:sz w:val="22"/>
          <w:szCs w:val="22"/>
        </w:rPr>
        <w:t>farm activities, thereby improving income stability and resilience to climate shocks.</w:t>
      </w:r>
      <w:r w:rsidRPr="00AA6D96">
        <w:rPr>
          <w:rFonts w:ascii="Arial" w:hAnsi="Arial" w:cs="Arial"/>
          <w:color w:val="000000" w:themeColor="text1"/>
          <w:sz w:val="22"/>
          <w:szCs w:val="22"/>
        </w:rPr>
        <w:t xml:space="preserve"> </w:t>
      </w:r>
    </w:p>
    <w:p w14:paraId="16CCC577" w14:textId="0AEE5E3F" w:rsidR="00225D48" w:rsidRPr="00AA6D96" w:rsidRDefault="00225D48" w:rsidP="00D42DC7">
      <w:pPr>
        <w:pStyle w:val="ListParagraph"/>
        <w:numPr>
          <w:ilvl w:val="0"/>
          <w:numId w:val="37"/>
        </w:numPr>
        <w:spacing w:before="120" w:line="276" w:lineRule="auto"/>
        <w:rPr>
          <w:rFonts w:ascii="Arial" w:hAnsi="Arial" w:cs="Arial"/>
          <w:b/>
          <w:color w:val="000000" w:themeColor="text1"/>
          <w:lang w:val="en-US"/>
        </w:rPr>
      </w:pPr>
      <w:r w:rsidRPr="00AA6D96">
        <w:rPr>
          <w:rFonts w:ascii="Arial" w:hAnsi="Arial" w:cs="Arial"/>
          <w:b/>
          <w:color w:val="000000" w:themeColor="text1"/>
          <w:lang w:val="en-US"/>
        </w:rPr>
        <w:t xml:space="preserve"> Conclusions </w:t>
      </w:r>
      <w:r w:rsidR="0044679F">
        <w:rPr>
          <w:rFonts w:ascii="Arial" w:hAnsi="Arial" w:cs="Arial"/>
          <w:b/>
          <w:color w:val="000000" w:themeColor="text1"/>
          <w:lang w:val="en-US"/>
        </w:rPr>
        <w:t xml:space="preserve">and Recommendation: </w:t>
      </w:r>
    </w:p>
    <w:p w14:paraId="48C023D2" w14:textId="77777777" w:rsidR="00225D48" w:rsidRPr="00AA6D96" w:rsidRDefault="00225D48" w:rsidP="00225D48">
      <w:pPr>
        <w:spacing w:before="120" w:line="276" w:lineRule="auto"/>
        <w:jc w:val="both"/>
        <w:rPr>
          <w:rFonts w:ascii="Arial" w:hAnsi="Arial" w:cs="Arial"/>
          <w:color w:val="000000" w:themeColor="text1"/>
          <w:sz w:val="22"/>
          <w:szCs w:val="22"/>
        </w:rPr>
      </w:pPr>
      <w:r w:rsidRPr="00AA6D96">
        <w:rPr>
          <w:rFonts w:ascii="Arial" w:hAnsi="Arial" w:cs="Arial"/>
          <w:color w:val="000000" w:themeColor="text1"/>
          <w:sz w:val="22"/>
          <w:szCs w:val="22"/>
        </w:rPr>
        <w:t xml:space="preserve">This study aimed to analyze the livelihood strategies of farming households in </w:t>
      </w:r>
      <w:proofErr w:type="spellStart"/>
      <w:r w:rsidRPr="00AA6D96">
        <w:rPr>
          <w:rFonts w:ascii="Arial" w:hAnsi="Arial" w:cs="Arial"/>
          <w:color w:val="000000" w:themeColor="text1"/>
          <w:sz w:val="22"/>
          <w:szCs w:val="22"/>
        </w:rPr>
        <w:t>Kanem</w:t>
      </w:r>
      <w:proofErr w:type="spellEnd"/>
      <w:r w:rsidRPr="00AA6D96">
        <w:rPr>
          <w:rFonts w:ascii="Arial" w:hAnsi="Arial" w:cs="Arial"/>
          <w:color w:val="000000" w:themeColor="text1"/>
          <w:sz w:val="22"/>
          <w:szCs w:val="22"/>
        </w:rPr>
        <w:t xml:space="preserve"> Province, Chad, based on their livelihood assets. The results reveal that small rural farming households generally lack sufficient livelihood assets, with variations depending on the strategies adopted. Overall, these households have a low standard of living and limited utilization of already scarce assets. Among the different types of capital, natural capital is the most significant, followed by social capital, human capital, financial capital, and finally physical capital, which ranks last. Among rural households, Type I households possess the fewest livelihood assets, followed by Type II, while Type III households have the most.   Human capital, financial capital, and social capital have a significant and positive influence on livelihood strategy choices in Type II and Type III rural household models. Additionally, physical capital (PC) has a significant and positive impact on the livelihood strategy choices of Type III rural households.  The absence of a significant short-term effect of natural capital is likely due to advanced land degradation and tenure insecurity, which diminish its productive value. </w:t>
      </w:r>
      <w:r w:rsidRPr="00AA6D96">
        <w:rPr>
          <w:rFonts w:ascii="Arial" w:hAnsi="Arial" w:cs="Arial"/>
          <w:color w:val="000000" w:themeColor="text1"/>
          <w:sz w:val="22"/>
          <w:szCs w:val="22"/>
        </w:rPr>
        <w:lastRenderedPageBreak/>
        <w:t>Consequently, policy reforms aimed at enhancing this capital – particularly through securing land tenure and promoting soil regeneration – are indispensable to make it an effective driver of sustainable development that can support all livelihood strategies.</w:t>
      </w:r>
    </w:p>
    <w:p w14:paraId="0E2B14F8" w14:textId="77777777" w:rsidR="00225D48" w:rsidRPr="00AA6D96" w:rsidRDefault="00225D48" w:rsidP="00225D48">
      <w:pPr>
        <w:spacing w:before="120" w:line="276" w:lineRule="auto"/>
        <w:jc w:val="both"/>
        <w:rPr>
          <w:rFonts w:ascii="Arial" w:hAnsi="Arial" w:cs="Arial"/>
          <w:color w:val="000000" w:themeColor="text1"/>
          <w:sz w:val="22"/>
          <w:szCs w:val="22"/>
        </w:rPr>
      </w:pPr>
      <w:r w:rsidRPr="00AA6D96">
        <w:rPr>
          <w:rFonts w:ascii="Arial" w:hAnsi="Arial" w:cs="Arial"/>
          <w:color w:val="000000" w:themeColor="text1"/>
          <w:sz w:val="22"/>
          <w:szCs w:val="22"/>
        </w:rPr>
        <w:t xml:space="preserve">Therefore, it is recommended that the Chadian public authorities and development actors operating in the province of </w:t>
      </w:r>
      <w:proofErr w:type="spellStart"/>
      <w:r w:rsidRPr="00AA6D96">
        <w:rPr>
          <w:rFonts w:ascii="Arial" w:hAnsi="Arial" w:cs="Arial"/>
          <w:color w:val="000000" w:themeColor="text1"/>
          <w:sz w:val="22"/>
          <w:szCs w:val="22"/>
        </w:rPr>
        <w:t>Kanem</w:t>
      </w:r>
      <w:proofErr w:type="spellEnd"/>
      <w:r w:rsidRPr="00AA6D96">
        <w:rPr>
          <w:rFonts w:ascii="Arial" w:hAnsi="Arial" w:cs="Arial"/>
          <w:color w:val="000000" w:themeColor="text1"/>
          <w:sz w:val="22"/>
          <w:szCs w:val="22"/>
        </w:rPr>
        <w:t xml:space="preserve"> focus on the following areas:</w:t>
      </w:r>
    </w:p>
    <w:p w14:paraId="25D0343B"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1- </w:t>
      </w:r>
      <w:r w:rsidRPr="00225D48">
        <w:rPr>
          <w:rFonts w:ascii="Arial" w:hAnsi="Arial" w:cs="Arial"/>
          <w:b/>
          <w:color w:val="000000" w:themeColor="text1"/>
          <w:sz w:val="22"/>
          <w:szCs w:val="22"/>
        </w:rPr>
        <w:t>Strengthen Human Capital through Adapted Education and Training.</w:t>
      </w:r>
      <w:r w:rsidRPr="00225D48">
        <w:rPr>
          <w:rFonts w:ascii="Arial" w:hAnsi="Arial" w:cs="Arial"/>
          <w:color w:val="000000" w:themeColor="text1"/>
          <w:sz w:val="22"/>
          <w:szCs w:val="22"/>
        </w:rPr>
        <w:t xml:space="preserve"> The objective is to improve the quality of the workforce to enable income diversification and the adoption of modern agricultural practices.</w:t>
      </w:r>
    </w:p>
    <w:p w14:paraId="3F706F82"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In terms of basic education and functional literacy: implement adult literacy programs, specifically targeting youth and female-headed households.</w:t>
      </w:r>
    </w:p>
    <w:p w14:paraId="5772B148"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In terms of technical and vocational training: develop training centers offering short courses on resilient agricultural techniques and promote non-agricultural trades to create alternatives to farming.</w:t>
      </w:r>
    </w:p>
    <w:p w14:paraId="6607F5F0"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2- Facilitate Access to Financial Capital and Develop Rural Financial Services.</w:t>
      </w:r>
      <w:r w:rsidRPr="00225D48">
        <w:rPr>
          <w:rFonts w:ascii="Arial" w:hAnsi="Arial" w:cs="Arial"/>
          <w:color w:val="000000" w:themeColor="text1"/>
          <w:sz w:val="22"/>
          <w:szCs w:val="22"/>
        </w:rPr>
        <w:t xml:space="preserve"> The goal is to break the vicious cycle of poverty by enabling households to save, invest, and cope with shocks. To achieve this, it is necessary to:</w:t>
      </w:r>
    </w:p>
    <w:p w14:paraId="5A72EFC6"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Promote inclusive microfinance by supporting the creation and strengthening of Microfinance Institutions (MFIs) and Village Savings and Credit Associations (VSCAs) adapted to the rural context.</w:t>
      </w:r>
    </w:p>
    <w:p w14:paraId="066554E0"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Develop indexed agricultural insurance products to protect households from climate risks (drought, flood) that could wipe out their crops and livestock.</w:t>
      </w:r>
    </w:p>
    <w:p w14:paraId="7875D5F6"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3- Enhance and Strengthen Existing Social Capital.</w:t>
      </w:r>
      <w:r w:rsidRPr="00225D48">
        <w:rPr>
          <w:rFonts w:ascii="Arial" w:hAnsi="Arial" w:cs="Arial"/>
          <w:color w:val="000000" w:themeColor="text1"/>
          <w:sz w:val="22"/>
          <w:szCs w:val="22"/>
        </w:rPr>
        <w:t xml:space="preserve"> The aim is to use social networks and community institutions as levers to disseminate information, pool risks, and access markets. To this end, it is appropriate to:</w:t>
      </w:r>
    </w:p>
    <w:p w14:paraId="5B9E2E3C"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Support farmers' organizations (FOs) by strengthening the capacities of cooperatives, self-help groups, and producers' associations so they can better negotiate prices, purchase inputs in bulk, and access advisory services.</w:t>
      </w:r>
    </w:p>
    <w:p w14:paraId="5E6094FA"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Facilitate linkages between actors by creating dialogue platforms that connect producer organizations with service providers (banks, input suppliers, buyers).</w:t>
      </w:r>
    </w:p>
    <w:p w14:paraId="3A402B37"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4- Improve Physical Capital through Targeted Infrastructure Investments.</w:t>
      </w:r>
      <w:r w:rsidRPr="00225D48">
        <w:rPr>
          <w:rFonts w:ascii="Arial" w:hAnsi="Arial" w:cs="Arial"/>
          <w:color w:val="000000" w:themeColor="text1"/>
          <w:sz w:val="22"/>
          <w:szCs w:val="22"/>
        </w:rPr>
        <w:t xml:space="preserve"> The objective is to enhance economic productivity and living conditions.</w:t>
      </w:r>
    </w:p>
    <w:p w14:paraId="4AC6A224"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Develop basic infrastructure: prioritize investments in rural roads to open up production areas and reduce transport costs to markets.</w:t>
      </w:r>
    </w:p>
    <w:p w14:paraId="41470BA8"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lastRenderedPageBreak/>
        <w:t>Improve access to water and energy: invest in potable water points and promote solar energy for lighting and small-scale irrigation, which would particularly benefit the most vulnerable households.</w:t>
      </w:r>
    </w:p>
    <w:p w14:paraId="5D96F7EF" w14:textId="77777777" w:rsidR="00225D48" w:rsidRPr="00225D48"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b/>
          <w:color w:val="000000" w:themeColor="text1"/>
          <w:sz w:val="22"/>
          <w:szCs w:val="22"/>
        </w:rPr>
        <w:t>5- Revise Agricultural Policies to Enhance Natural Capital.</w:t>
      </w:r>
      <w:r w:rsidRPr="00225D48">
        <w:rPr>
          <w:rFonts w:ascii="Arial" w:hAnsi="Arial" w:cs="Arial"/>
          <w:color w:val="000000" w:themeColor="text1"/>
          <w:sz w:val="22"/>
          <w:szCs w:val="22"/>
        </w:rPr>
        <w:t xml:space="preserve"> The goal is to transform natural capital (the best-endowed asset) into a genuine lever for productive development. This involves:</w:t>
      </w:r>
    </w:p>
    <w:p w14:paraId="03B265BE"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Securing land rights by conducting land certification campaigns to encourage households, particularly tenants, to invest in the long-term improvement of their plots.</w:t>
      </w:r>
    </w:p>
    <w:p w14:paraId="6DF5DC4C"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Promoting practices to improve soil fertility by training and supporting farmers in combating land degradation (conservation techniques, compost use, crop rotation).</w:t>
      </w:r>
    </w:p>
    <w:p w14:paraId="0C114B3F" w14:textId="77777777" w:rsidR="00225D48" w:rsidRPr="00225D48" w:rsidRDefault="00225D48" w:rsidP="00225D48">
      <w:pPr>
        <w:pStyle w:val="ListParagraph"/>
        <w:numPr>
          <w:ilvl w:val="0"/>
          <w:numId w:val="34"/>
        </w:numPr>
        <w:spacing w:before="120" w:line="276" w:lineRule="auto"/>
        <w:rPr>
          <w:rFonts w:ascii="Arial" w:hAnsi="Arial" w:cs="Arial"/>
          <w:color w:val="000000" w:themeColor="text1"/>
          <w:lang w:val="en-US"/>
        </w:rPr>
      </w:pPr>
      <w:r w:rsidRPr="00225D48">
        <w:rPr>
          <w:rFonts w:ascii="Arial" w:hAnsi="Arial" w:cs="Arial"/>
          <w:color w:val="000000" w:themeColor="text1"/>
          <w:lang w:val="en-US"/>
        </w:rPr>
        <w:t>Diversifying into high-value-added crops by identifying, with local stakeholders, resilient and marketable crops (beyond staple crops) to increase income per hectare.</w:t>
      </w:r>
    </w:p>
    <w:p w14:paraId="239CC556" w14:textId="77777777" w:rsidR="007D07A1" w:rsidRDefault="00225D48" w:rsidP="00225D48">
      <w:pPr>
        <w:spacing w:before="120" w:line="276" w:lineRule="auto"/>
        <w:jc w:val="both"/>
        <w:rPr>
          <w:rFonts w:ascii="Arial" w:hAnsi="Arial" w:cs="Arial"/>
          <w:color w:val="000000" w:themeColor="text1"/>
          <w:sz w:val="22"/>
          <w:szCs w:val="22"/>
        </w:rPr>
      </w:pPr>
      <w:r w:rsidRPr="00225D48">
        <w:rPr>
          <w:rFonts w:ascii="Arial" w:hAnsi="Arial" w:cs="Arial"/>
          <w:color w:val="000000" w:themeColor="text1"/>
          <w:sz w:val="22"/>
          <w:szCs w:val="22"/>
        </w:rPr>
        <w:t xml:space="preserve">We emphasize that an integrated and multi-sectoral approach is essential. Interventions must simultaneously target several forms of capital to have a significant and sustainable impact on the livelihoods and well-being of farming households in </w:t>
      </w:r>
      <w:proofErr w:type="spellStart"/>
      <w:r w:rsidRPr="00225D48">
        <w:rPr>
          <w:rFonts w:ascii="Arial" w:hAnsi="Arial" w:cs="Arial"/>
          <w:color w:val="000000" w:themeColor="text1"/>
          <w:sz w:val="22"/>
          <w:szCs w:val="22"/>
        </w:rPr>
        <w:t>Kanem</w:t>
      </w:r>
      <w:proofErr w:type="spellEnd"/>
      <w:r w:rsidRPr="00225D48">
        <w:rPr>
          <w:rFonts w:ascii="Arial" w:hAnsi="Arial" w:cs="Arial"/>
          <w:color w:val="000000" w:themeColor="text1"/>
          <w:sz w:val="22"/>
          <w:szCs w:val="22"/>
        </w:rPr>
        <w:t>.</w:t>
      </w:r>
      <w:r w:rsidR="007D07A1">
        <w:rPr>
          <w:rFonts w:ascii="Arial" w:hAnsi="Arial" w:cs="Arial"/>
          <w:color w:val="000000" w:themeColor="text1"/>
          <w:sz w:val="22"/>
          <w:szCs w:val="22"/>
        </w:rPr>
        <w:t xml:space="preserve"> </w:t>
      </w:r>
    </w:p>
    <w:p w14:paraId="0E805847" w14:textId="504B356E" w:rsidR="00225D48" w:rsidRPr="00AA6D96" w:rsidRDefault="007D07A1">
      <w:pPr>
        <w:spacing w:before="120" w:line="276" w:lineRule="auto"/>
        <w:jc w:val="both"/>
        <w:rPr>
          <w:rFonts w:ascii="Arial" w:hAnsi="Arial" w:cs="Arial"/>
          <w:color w:val="000000" w:themeColor="text1"/>
          <w:sz w:val="22"/>
          <w:szCs w:val="22"/>
        </w:rPr>
      </w:pPr>
      <w:r w:rsidRPr="00AA6D96">
        <w:rPr>
          <w:rFonts w:ascii="Arial" w:hAnsi="Arial" w:cs="Arial"/>
          <w:color w:val="000000" w:themeColor="text1"/>
          <w:sz w:val="22"/>
          <w:szCs w:val="22"/>
        </w:rPr>
        <w:t>Future research should explore the dynamics of livelihood strategies over time using longitudinal data and incorporate qualitative methods to better understand the decision</w:t>
      </w:r>
      <w:r w:rsidRPr="00AA6D96">
        <w:rPr>
          <w:rFonts w:ascii="Cambria Math" w:hAnsi="Cambria Math" w:cs="Cambria Math"/>
          <w:color w:val="000000" w:themeColor="text1"/>
          <w:sz w:val="22"/>
          <w:szCs w:val="22"/>
        </w:rPr>
        <w:t>‑</w:t>
      </w:r>
      <w:r w:rsidRPr="00AA6D96">
        <w:rPr>
          <w:rFonts w:ascii="Arial" w:hAnsi="Arial" w:cs="Arial"/>
          <w:color w:val="000000" w:themeColor="text1"/>
          <w:sz w:val="22"/>
          <w:szCs w:val="22"/>
        </w:rPr>
        <w:t>making processes underlying household choices.</w:t>
      </w:r>
    </w:p>
    <w:p w14:paraId="6F815493" w14:textId="63DC47B5" w:rsidR="00CA7693" w:rsidRPr="00F328F3" w:rsidRDefault="00CA7693" w:rsidP="00F328F3">
      <w:pPr>
        <w:spacing w:before="120" w:line="276" w:lineRule="auto"/>
        <w:jc w:val="both"/>
        <w:rPr>
          <w:rFonts w:ascii="Arial" w:hAnsi="Arial" w:cs="Arial"/>
          <w:b/>
          <w:szCs w:val="22"/>
        </w:rPr>
      </w:pPr>
      <w:r w:rsidRPr="00F328F3">
        <w:rPr>
          <w:rFonts w:ascii="Arial" w:hAnsi="Arial" w:cs="Arial"/>
          <w:b/>
          <w:szCs w:val="22"/>
        </w:rPr>
        <w:t>4.1 Limitations of the Study</w:t>
      </w:r>
    </w:p>
    <w:p w14:paraId="4F968C5A" w14:textId="77777777" w:rsidR="00CA7693" w:rsidRPr="00F328F3" w:rsidRDefault="00CA7693" w:rsidP="00F328F3">
      <w:pPr>
        <w:spacing w:before="120" w:line="276" w:lineRule="auto"/>
        <w:jc w:val="both"/>
        <w:rPr>
          <w:rFonts w:ascii="Arial" w:hAnsi="Arial" w:cs="Arial"/>
          <w:sz w:val="22"/>
          <w:szCs w:val="22"/>
        </w:rPr>
      </w:pPr>
      <w:r w:rsidRPr="00F328F3">
        <w:rPr>
          <w:rFonts w:ascii="Arial" w:hAnsi="Arial" w:cs="Arial"/>
          <w:sz w:val="22"/>
          <w:szCs w:val="22"/>
        </w:rPr>
        <w:t>Several limitations should be acknowledged. First, the cross</w:t>
      </w:r>
      <w:r w:rsidRPr="00F328F3">
        <w:rPr>
          <w:rFonts w:ascii="Cambria Math" w:hAnsi="Cambria Math" w:cs="Cambria Math"/>
          <w:sz w:val="22"/>
          <w:szCs w:val="22"/>
        </w:rPr>
        <w:t>‑</w:t>
      </w:r>
      <w:r w:rsidRPr="00F328F3">
        <w:rPr>
          <w:rFonts w:ascii="Arial" w:hAnsi="Arial" w:cs="Arial"/>
          <w:sz w:val="22"/>
          <w:szCs w:val="22"/>
        </w:rPr>
        <w:t>sectional nature of the data captures livelihood strategies at a single point in time, which does not allow for an analysis of their dynamics or the temporal effects of shocks and interventions. Second, the measurement of certain livelihood assets, particularly social capital and perceived soil quality, relies on self</w:t>
      </w:r>
      <w:r w:rsidRPr="00F328F3">
        <w:rPr>
          <w:rFonts w:ascii="Cambria Math" w:hAnsi="Cambria Math" w:cs="Cambria Math"/>
          <w:sz w:val="22"/>
          <w:szCs w:val="22"/>
        </w:rPr>
        <w:t>‑</w:t>
      </w:r>
      <w:r w:rsidRPr="00F328F3">
        <w:rPr>
          <w:rFonts w:ascii="Arial" w:hAnsi="Arial" w:cs="Arial"/>
          <w:sz w:val="22"/>
          <w:szCs w:val="22"/>
        </w:rPr>
        <w:t xml:space="preserve">reported indicators that may be subject to recall bias or social desirability bias. Third, while the sample of 312 households provides a solid statistical basis for the </w:t>
      </w:r>
      <w:proofErr w:type="spellStart"/>
      <w:r w:rsidRPr="00F328F3">
        <w:rPr>
          <w:rFonts w:ascii="Arial" w:hAnsi="Arial" w:cs="Arial"/>
          <w:sz w:val="22"/>
          <w:szCs w:val="22"/>
        </w:rPr>
        <w:t>Kanem</w:t>
      </w:r>
      <w:proofErr w:type="spellEnd"/>
      <w:r w:rsidRPr="00F328F3">
        <w:rPr>
          <w:rFonts w:ascii="Arial" w:hAnsi="Arial" w:cs="Arial"/>
          <w:sz w:val="22"/>
          <w:szCs w:val="22"/>
        </w:rPr>
        <w:t xml:space="preserve"> province, the findings may not be generalizable to other regions of Chad with different agro</w:t>
      </w:r>
      <w:r w:rsidRPr="00F328F3">
        <w:rPr>
          <w:rFonts w:ascii="Cambria Math" w:hAnsi="Cambria Math" w:cs="Cambria Math"/>
          <w:sz w:val="22"/>
          <w:szCs w:val="22"/>
        </w:rPr>
        <w:t>‑</w:t>
      </w:r>
      <w:r w:rsidRPr="00F328F3">
        <w:rPr>
          <w:rFonts w:ascii="Arial" w:hAnsi="Arial" w:cs="Arial"/>
          <w:sz w:val="22"/>
          <w:szCs w:val="22"/>
        </w:rPr>
        <w:t>ecological and socio</w:t>
      </w:r>
      <w:r w:rsidRPr="00F328F3">
        <w:rPr>
          <w:rFonts w:ascii="Cambria Math" w:hAnsi="Cambria Math" w:cs="Cambria Math"/>
          <w:sz w:val="22"/>
          <w:szCs w:val="22"/>
        </w:rPr>
        <w:t>‑</w:t>
      </w:r>
      <w:r w:rsidRPr="00F328F3">
        <w:rPr>
          <w:rFonts w:ascii="Arial" w:hAnsi="Arial" w:cs="Arial"/>
          <w:sz w:val="22"/>
          <w:szCs w:val="22"/>
        </w:rPr>
        <w:t>economic conditions. Fourth, the absence of qualitative data limits the depth of understanding of the decision</w:t>
      </w:r>
      <w:r w:rsidRPr="00F328F3">
        <w:rPr>
          <w:rFonts w:ascii="Cambria Math" w:hAnsi="Cambria Math" w:cs="Cambria Math"/>
          <w:sz w:val="22"/>
          <w:szCs w:val="22"/>
        </w:rPr>
        <w:t>‑</w:t>
      </w:r>
      <w:r w:rsidRPr="00F328F3">
        <w:rPr>
          <w:rFonts w:ascii="Arial" w:hAnsi="Arial" w:cs="Arial"/>
          <w:sz w:val="22"/>
          <w:szCs w:val="22"/>
        </w:rPr>
        <w:t>making processes behind livelihood strategy choices. Future research should employ longitudinal designs and mixed methods to address these gaps.</w:t>
      </w:r>
    </w:p>
    <w:p w14:paraId="6CC74B98" w14:textId="77777777" w:rsidR="00225D48" w:rsidRDefault="00225D48" w:rsidP="00441B6F">
      <w:pPr>
        <w:pStyle w:val="Body"/>
        <w:spacing w:after="0"/>
        <w:rPr>
          <w:rFonts w:ascii="Arial" w:hAnsi="Arial" w:cs="Arial"/>
        </w:rPr>
      </w:pPr>
    </w:p>
    <w:p w14:paraId="6C4016D7" w14:textId="71B92034" w:rsidR="00AD09D3" w:rsidRDefault="00AD09D3" w:rsidP="00D42DC7">
      <w:pPr>
        <w:spacing w:before="120" w:line="276" w:lineRule="auto"/>
        <w:rPr>
          <w:rFonts w:ascii="Arial" w:hAnsi="Arial" w:cs="Arial"/>
          <w:color w:val="000000" w:themeColor="text1"/>
          <w:sz w:val="22"/>
          <w:szCs w:val="22"/>
        </w:rPr>
      </w:pPr>
    </w:p>
    <w:p w14:paraId="5A257E3B" w14:textId="77777777" w:rsidR="00AD09D3" w:rsidRPr="0044679F" w:rsidRDefault="00AD09D3" w:rsidP="00AD09D3">
      <w:pPr>
        <w:pStyle w:val="NoSpacing"/>
        <w:rPr>
          <w:rFonts w:ascii="Arial" w:hAnsi="Arial" w:cs="Arial"/>
          <w:b/>
          <w:highlight w:val="yellow"/>
        </w:rPr>
      </w:pPr>
      <w:bookmarkStart w:id="1" w:name="_Hlk219284361"/>
      <w:bookmarkStart w:id="2" w:name="_Hlk225937769"/>
      <w:bookmarkStart w:id="3" w:name="_Hlk198031404"/>
      <w:r w:rsidRPr="0044679F">
        <w:rPr>
          <w:rFonts w:ascii="Arial" w:hAnsi="Arial" w:cs="Arial"/>
          <w:b/>
          <w:highlight w:val="yellow"/>
        </w:rPr>
        <w:t>Disclaimer (Artificial intelligence)</w:t>
      </w:r>
    </w:p>
    <w:p w14:paraId="6B687732" w14:textId="77777777" w:rsidR="00AD09D3" w:rsidRPr="00005ED1" w:rsidRDefault="00AD09D3" w:rsidP="00AD09D3">
      <w:pPr>
        <w:pStyle w:val="NoSpacing"/>
        <w:rPr>
          <w:rFonts w:ascii="Arial" w:hAnsi="Arial" w:cs="Arial"/>
          <w:highlight w:val="yellow"/>
        </w:rPr>
      </w:pPr>
    </w:p>
    <w:p w14:paraId="21B1AA3C" w14:textId="77777777" w:rsidR="00AD09D3" w:rsidRPr="00005ED1" w:rsidRDefault="00AD09D3" w:rsidP="00AD09D3">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bookmarkEnd w:id="2"/>
    </w:p>
    <w:bookmarkEnd w:id="3"/>
    <w:p w14:paraId="07DA506A" w14:textId="77777777" w:rsidR="00D42DC7" w:rsidRPr="00D42DC7" w:rsidRDefault="00D42DC7" w:rsidP="00D42DC7">
      <w:pPr>
        <w:spacing w:before="120" w:line="276" w:lineRule="auto"/>
        <w:rPr>
          <w:rFonts w:ascii="Arial" w:hAnsi="Arial" w:cs="Arial"/>
          <w:b/>
          <w:sz w:val="22"/>
          <w:szCs w:val="22"/>
        </w:rPr>
      </w:pPr>
      <w:r w:rsidRPr="00D42DC7">
        <w:rPr>
          <w:rFonts w:ascii="Arial" w:hAnsi="Arial" w:cs="Arial"/>
          <w:b/>
          <w:sz w:val="22"/>
          <w:szCs w:val="22"/>
        </w:rPr>
        <w:t>References</w:t>
      </w:r>
    </w:p>
    <w:p w14:paraId="4538AF9C"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Azumah</w:t>
      </w:r>
      <w:proofErr w:type="spellEnd"/>
      <w:r w:rsidRPr="00C26BA8">
        <w:rPr>
          <w:rFonts w:ascii="Arial" w:hAnsi="Arial" w:cs="Arial"/>
          <w:color w:val="0F1115"/>
          <w:sz w:val="22"/>
          <w:szCs w:val="22"/>
          <w:lang w:val="en-US"/>
        </w:rPr>
        <w:t xml:space="preserve">, O., </w:t>
      </w:r>
      <w:proofErr w:type="spellStart"/>
      <w:r w:rsidRPr="00C26BA8">
        <w:rPr>
          <w:rFonts w:ascii="Arial" w:hAnsi="Arial" w:cs="Arial"/>
          <w:color w:val="0F1115"/>
          <w:sz w:val="22"/>
          <w:szCs w:val="22"/>
          <w:lang w:val="en-US"/>
        </w:rPr>
        <w:t>Muchwa</w:t>
      </w:r>
      <w:proofErr w:type="spellEnd"/>
      <w:r w:rsidRPr="00C26BA8">
        <w:rPr>
          <w:rFonts w:ascii="Arial" w:hAnsi="Arial" w:cs="Arial"/>
          <w:color w:val="0F1115"/>
          <w:sz w:val="22"/>
          <w:szCs w:val="22"/>
          <w:lang w:val="en-US"/>
        </w:rPr>
        <w:t xml:space="preserve">, S., &amp; Charles, E. (2023). Influence of livelihoods on the livelihood outcomes of smallholder farmers in the Bawku East district in northern Ghana. Open Journal of Social Sciences, 11, 129-144.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10.4236/jss.2023.115011</w:t>
      </w:r>
    </w:p>
    <w:p w14:paraId="2AB5BF80"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Babulo</w:t>
      </w:r>
      <w:proofErr w:type="spellEnd"/>
      <w:r w:rsidRPr="00C26BA8">
        <w:rPr>
          <w:rFonts w:ascii="Arial" w:hAnsi="Arial" w:cs="Arial"/>
          <w:color w:val="0F1115"/>
          <w:sz w:val="22"/>
          <w:szCs w:val="22"/>
          <w:lang w:val="en-US"/>
        </w:rPr>
        <w:t xml:space="preserve">, B., </w:t>
      </w:r>
      <w:proofErr w:type="spellStart"/>
      <w:r w:rsidRPr="00C26BA8">
        <w:rPr>
          <w:rFonts w:ascii="Arial" w:hAnsi="Arial" w:cs="Arial"/>
          <w:color w:val="0F1115"/>
          <w:sz w:val="22"/>
          <w:szCs w:val="22"/>
          <w:lang w:val="en-US"/>
        </w:rPr>
        <w:t>Muys</w:t>
      </w:r>
      <w:proofErr w:type="spellEnd"/>
      <w:r w:rsidRPr="00C26BA8">
        <w:rPr>
          <w:rFonts w:ascii="Arial" w:hAnsi="Arial" w:cs="Arial"/>
          <w:color w:val="0F1115"/>
          <w:sz w:val="22"/>
          <w:szCs w:val="22"/>
          <w:lang w:val="en-US"/>
        </w:rPr>
        <w:t xml:space="preserve">, B., </w:t>
      </w:r>
      <w:proofErr w:type="spellStart"/>
      <w:r w:rsidRPr="00C26BA8">
        <w:rPr>
          <w:rFonts w:ascii="Arial" w:hAnsi="Arial" w:cs="Arial"/>
          <w:color w:val="0F1115"/>
          <w:sz w:val="22"/>
          <w:szCs w:val="22"/>
          <w:lang w:val="en-US"/>
        </w:rPr>
        <w:t>Nega</w:t>
      </w:r>
      <w:proofErr w:type="spellEnd"/>
      <w:r w:rsidRPr="00C26BA8">
        <w:rPr>
          <w:rFonts w:ascii="Arial" w:hAnsi="Arial" w:cs="Arial"/>
          <w:color w:val="0F1115"/>
          <w:sz w:val="22"/>
          <w:szCs w:val="22"/>
          <w:lang w:val="en-US"/>
        </w:rPr>
        <w:t xml:space="preserve">, F., Tollens, E., Nyssen, J., </w:t>
      </w:r>
      <w:proofErr w:type="spellStart"/>
      <w:r w:rsidRPr="00C26BA8">
        <w:rPr>
          <w:rFonts w:ascii="Arial" w:hAnsi="Arial" w:cs="Arial"/>
          <w:color w:val="0F1115"/>
          <w:sz w:val="22"/>
          <w:szCs w:val="22"/>
          <w:lang w:val="en-US"/>
        </w:rPr>
        <w:t>Deckers</w:t>
      </w:r>
      <w:proofErr w:type="spellEnd"/>
      <w:r w:rsidRPr="00C26BA8">
        <w:rPr>
          <w:rFonts w:ascii="Arial" w:hAnsi="Arial" w:cs="Arial"/>
          <w:color w:val="0F1115"/>
          <w:sz w:val="22"/>
          <w:szCs w:val="22"/>
          <w:lang w:val="en-US"/>
        </w:rPr>
        <w:t xml:space="preserve">, J., &amp; </w:t>
      </w:r>
      <w:proofErr w:type="spellStart"/>
      <w:r w:rsidRPr="00C26BA8">
        <w:rPr>
          <w:rFonts w:ascii="Arial" w:hAnsi="Arial" w:cs="Arial"/>
          <w:color w:val="0F1115"/>
          <w:sz w:val="22"/>
          <w:szCs w:val="22"/>
          <w:lang w:val="en-US"/>
        </w:rPr>
        <w:t>Mathijs</w:t>
      </w:r>
      <w:proofErr w:type="spellEnd"/>
      <w:r w:rsidRPr="00C26BA8">
        <w:rPr>
          <w:rFonts w:ascii="Arial" w:hAnsi="Arial" w:cs="Arial"/>
          <w:color w:val="0F1115"/>
          <w:sz w:val="22"/>
          <w:szCs w:val="22"/>
          <w:lang w:val="en-US"/>
        </w:rPr>
        <w:t xml:space="preserve">, E. (2008). Household livelihood strategies and forest dependence in the highlands of Tigray, Northern Ethiopia. Agricultural Systems, 98(2), 147-155.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10.1016/j.agsy.2008.06.001</w:t>
      </w:r>
    </w:p>
    <w:p w14:paraId="19806473"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Bazezew</w:t>
      </w:r>
      <w:proofErr w:type="spellEnd"/>
      <w:r w:rsidRPr="00C26BA8">
        <w:rPr>
          <w:rFonts w:ascii="Arial" w:hAnsi="Arial" w:cs="Arial"/>
          <w:color w:val="0F1115"/>
          <w:sz w:val="22"/>
          <w:szCs w:val="22"/>
          <w:lang w:val="en-US"/>
        </w:rPr>
        <w:t xml:space="preserve">, A., </w:t>
      </w:r>
      <w:proofErr w:type="spellStart"/>
      <w:r w:rsidRPr="00C26BA8">
        <w:rPr>
          <w:rFonts w:ascii="Arial" w:hAnsi="Arial" w:cs="Arial"/>
          <w:color w:val="0F1115"/>
          <w:sz w:val="22"/>
          <w:szCs w:val="22"/>
          <w:lang w:val="en-US"/>
        </w:rPr>
        <w:t>Bewket</w:t>
      </w:r>
      <w:proofErr w:type="spellEnd"/>
      <w:r w:rsidRPr="00C26BA8">
        <w:rPr>
          <w:rFonts w:ascii="Arial" w:hAnsi="Arial" w:cs="Arial"/>
          <w:color w:val="0F1115"/>
          <w:sz w:val="22"/>
          <w:szCs w:val="22"/>
          <w:lang w:val="en-US"/>
        </w:rPr>
        <w:t xml:space="preserve">, W., &amp; </w:t>
      </w:r>
      <w:proofErr w:type="spellStart"/>
      <w:r w:rsidRPr="00C26BA8">
        <w:rPr>
          <w:rFonts w:ascii="Arial" w:hAnsi="Arial" w:cs="Arial"/>
          <w:color w:val="0F1115"/>
          <w:sz w:val="22"/>
          <w:szCs w:val="22"/>
          <w:lang w:val="en-US"/>
        </w:rPr>
        <w:t>Nicolau</w:t>
      </w:r>
      <w:proofErr w:type="spellEnd"/>
      <w:r w:rsidRPr="00C26BA8">
        <w:rPr>
          <w:rFonts w:ascii="Arial" w:hAnsi="Arial" w:cs="Arial"/>
          <w:color w:val="0F1115"/>
          <w:sz w:val="22"/>
          <w:szCs w:val="22"/>
          <w:lang w:val="en-US"/>
        </w:rPr>
        <w:t xml:space="preserve">, M. (2013). Assets, strategies, and outcomes of rural household livelihoods in drought-prone areas of the Amhara region, Ethiopia: a case study in the Lay </w:t>
      </w:r>
      <w:proofErr w:type="spellStart"/>
      <w:r w:rsidRPr="00C26BA8">
        <w:rPr>
          <w:rFonts w:ascii="Arial" w:hAnsi="Arial" w:cs="Arial"/>
          <w:color w:val="0F1115"/>
          <w:sz w:val="22"/>
          <w:szCs w:val="22"/>
          <w:lang w:val="en-US"/>
        </w:rPr>
        <w:t>Gaint</w:t>
      </w:r>
      <w:proofErr w:type="spellEnd"/>
      <w:r w:rsidRPr="00C26BA8">
        <w:rPr>
          <w:rFonts w:ascii="Arial" w:hAnsi="Arial" w:cs="Arial"/>
          <w:color w:val="0F1115"/>
          <w:sz w:val="22"/>
          <w:szCs w:val="22"/>
          <w:lang w:val="en-US"/>
        </w:rPr>
        <w:t xml:space="preserve"> district. African Journal of Agricultural Research, 8(46), 5716-5727.</w:t>
      </w:r>
    </w:p>
    <w:p w14:paraId="6D9A462C"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Carter, R.E. (1997). Working with texts: a core book for language analysis. Routledge.</w:t>
      </w:r>
    </w:p>
    <w:p w14:paraId="5283013E"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Chambers, R., &amp; Conway, G.R. (1992). Sustainable rural livelihoods: practical concepts for the 21st century (Discussion Paper 296). Institute of Development Studies. Available at: https://www.ids.ac.uk/publications/sustainable-rural-livelihoods-practical-concepts-for-the-21st-century/ </w:t>
      </w:r>
    </w:p>
    <w:p w14:paraId="06D379B9"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Costanza, R., &amp; Daly, H.E. (1992). Natural capital and sustainable development. Conservation Biology, 6(1), 37-46.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10.1046/j.1523-1739.</w:t>
      </w:r>
      <w:proofErr w:type="gramStart"/>
      <w:r w:rsidRPr="00C26BA8">
        <w:rPr>
          <w:rFonts w:ascii="Arial" w:hAnsi="Arial" w:cs="Arial"/>
          <w:color w:val="0F1115"/>
          <w:sz w:val="22"/>
          <w:szCs w:val="22"/>
          <w:lang w:val="en-US"/>
        </w:rPr>
        <w:t>1992.610037.x</w:t>
      </w:r>
      <w:proofErr w:type="gramEnd"/>
    </w:p>
    <w:p w14:paraId="79F16BA5" w14:textId="35BAFFDB"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Department for I</w:t>
      </w:r>
      <w:r w:rsidR="00C32303">
        <w:rPr>
          <w:rFonts w:ascii="Arial" w:hAnsi="Arial" w:cs="Arial"/>
          <w:color w:val="0F1115"/>
          <w:sz w:val="22"/>
          <w:szCs w:val="22"/>
          <w:lang w:val="en-US"/>
        </w:rPr>
        <w:t>nternational Development (DFID)</w:t>
      </w:r>
      <w:r w:rsidRPr="00C26BA8">
        <w:rPr>
          <w:rFonts w:ascii="Arial" w:hAnsi="Arial" w:cs="Arial"/>
          <w:color w:val="0F1115"/>
          <w:sz w:val="22"/>
          <w:szCs w:val="22"/>
          <w:lang w:val="en-US"/>
        </w:rPr>
        <w:t xml:space="preserve"> (1999). Sustainable livelihoods guidance sheets. DFID</w:t>
      </w:r>
      <w:proofErr w:type="gramStart"/>
      <w:r w:rsidRPr="00C26BA8">
        <w:rPr>
          <w:rFonts w:ascii="Arial" w:hAnsi="Arial" w:cs="Arial"/>
          <w:color w:val="0F1115"/>
          <w:sz w:val="22"/>
          <w:szCs w:val="22"/>
          <w:lang w:val="en-US"/>
        </w:rPr>
        <w:t>. :</w:t>
      </w:r>
      <w:proofErr w:type="gramEnd"/>
      <w:r w:rsidRPr="00C26BA8">
        <w:rPr>
          <w:rFonts w:ascii="Arial" w:hAnsi="Arial" w:cs="Arial"/>
          <w:color w:val="0F1115"/>
          <w:sz w:val="22"/>
          <w:szCs w:val="22"/>
          <w:lang w:val="en-US"/>
        </w:rPr>
        <w:t xml:space="preserve"> https://www.ennonline.net/attachments/872/section2.pdf</w:t>
      </w:r>
    </w:p>
    <w:p w14:paraId="3DBB970C"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F328F3">
        <w:rPr>
          <w:rFonts w:ascii="Arial" w:hAnsi="Arial" w:cs="Arial"/>
          <w:color w:val="0F1115"/>
          <w:sz w:val="22"/>
          <w:szCs w:val="22"/>
        </w:rPr>
        <w:t xml:space="preserve">Ellis-Jones, J., &amp; Mason, T. (1999). </w:t>
      </w:r>
      <w:r w:rsidRPr="00C26BA8">
        <w:rPr>
          <w:rFonts w:ascii="Arial" w:hAnsi="Arial" w:cs="Arial"/>
          <w:color w:val="0F1115"/>
          <w:sz w:val="22"/>
          <w:szCs w:val="22"/>
          <w:lang w:val="en-US"/>
        </w:rPr>
        <w:t>Livelihood strategies and assets of small farmers in the evaluation of soil and water management practices in the temperate Inter-Andean valleys of Bolivia. Mountain Research and Development, 19(3), 221-234.</w:t>
      </w:r>
    </w:p>
    <w:p w14:paraId="3A1A66DB"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Erenstein</w:t>
      </w:r>
      <w:proofErr w:type="spellEnd"/>
      <w:r w:rsidRPr="00C26BA8">
        <w:rPr>
          <w:rFonts w:ascii="Arial" w:hAnsi="Arial" w:cs="Arial"/>
          <w:color w:val="0F1115"/>
          <w:sz w:val="22"/>
          <w:szCs w:val="22"/>
          <w:lang w:val="en-US"/>
        </w:rPr>
        <w:t xml:space="preserve">, O. (2011). Livelihoods as a multidimensional inverse indicator of poverty: an analysis at the district level of the Indian Indo-Gangetic Plains. Journal of Human Development and Capabilities, 12(2), 283-302.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10.1080/19452829.2011.571094</w:t>
      </w:r>
    </w:p>
    <w:p w14:paraId="21E8C58A"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Freguin-Gresh</w:t>
      </w:r>
      <w:proofErr w:type="spellEnd"/>
      <w:r w:rsidRPr="00C26BA8">
        <w:rPr>
          <w:rFonts w:ascii="Arial" w:hAnsi="Arial" w:cs="Arial"/>
          <w:color w:val="0F1115"/>
          <w:sz w:val="22"/>
          <w:szCs w:val="22"/>
          <w:lang w:val="en-US"/>
        </w:rPr>
        <w:t xml:space="preserve">, S., </w:t>
      </w:r>
      <w:proofErr w:type="spellStart"/>
      <w:r w:rsidRPr="00C26BA8">
        <w:rPr>
          <w:rFonts w:ascii="Arial" w:hAnsi="Arial" w:cs="Arial"/>
          <w:color w:val="0F1115"/>
          <w:sz w:val="22"/>
          <w:szCs w:val="22"/>
          <w:lang w:val="en-US"/>
        </w:rPr>
        <w:t>Losch</w:t>
      </w:r>
      <w:proofErr w:type="spellEnd"/>
      <w:r w:rsidRPr="00C26BA8">
        <w:rPr>
          <w:rFonts w:ascii="Arial" w:hAnsi="Arial" w:cs="Arial"/>
          <w:color w:val="0F1115"/>
          <w:sz w:val="22"/>
          <w:szCs w:val="22"/>
          <w:lang w:val="en-US"/>
        </w:rPr>
        <w:t xml:space="preserve">, B., &amp; White, E.T. (2012). Structural transformation and rural change revisited: challenges for late developing countries in a globalizing world. World Bank.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10.1596/978-0-8213-9512-7</w:t>
      </w:r>
    </w:p>
    <w:p w14:paraId="79EEFAC6"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Guangdong, L., </w:t>
      </w:r>
      <w:proofErr w:type="spellStart"/>
      <w:r w:rsidRPr="00C26BA8">
        <w:rPr>
          <w:rFonts w:ascii="Arial" w:hAnsi="Arial" w:cs="Arial"/>
          <w:color w:val="0F1115"/>
          <w:sz w:val="22"/>
          <w:szCs w:val="22"/>
          <w:lang w:val="en-US"/>
        </w:rPr>
        <w:t>Chuanglin</w:t>
      </w:r>
      <w:proofErr w:type="spellEnd"/>
      <w:r w:rsidRPr="00C26BA8">
        <w:rPr>
          <w:rFonts w:ascii="Arial" w:hAnsi="Arial" w:cs="Arial"/>
          <w:color w:val="0F1115"/>
          <w:sz w:val="22"/>
          <w:szCs w:val="22"/>
          <w:lang w:val="en-US"/>
        </w:rPr>
        <w:t xml:space="preserve">, F., </w:t>
      </w:r>
      <w:proofErr w:type="spellStart"/>
      <w:r w:rsidRPr="00C26BA8">
        <w:rPr>
          <w:rFonts w:ascii="Arial" w:hAnsi="Arial" w:cs="Arial"/>
          <w:color w:val="0F1115"/>
          <w:sz w:val="22"/>
          <w:szCs w:val="22"/>
          <w:lang w:val="en-US"/>
        </w:rPr>
        <w:t>Daochi</w:t>
      </w:r>
      <w:proofErr w:type="spellEnd"/>
      <w:r w:rsidRPr="00C26BA8">
        <w:rPr>
          <w:rFonts w:ascii="Arial" w:hAnsi="Arial" w:cs="Arial"/>
          <w:color w:val="0F1115"/>
          <w:sz w:val="22"/>
          <w:szCs w:val="22"/>
          <w:lang w:val="en-US"/>
        </w:rPr>
        <w:t xml:space="preserve">, Q., &amp; </w:t>
      </w:r>
      <w:proofErr w:type="spellStart"/>
      <w:r w:rsidRPr="00C26BA8">
        <w:rPr>
          <w:rFonts w:ascii="Arial" w:hAnsi="Arial" w:cs="Arial"/>
          <w:color w:val="0F1115"/>
          <w:sz w:val="22"/>
          <w:szCs w:val="22"/>
          <w:lang w:val="en-US"/>
        </w:rPr>
        <w:t>Liping</w:t>
      </w:r>
      <w:proofErr w:type="spellEnd"/>
      <w:r w:rsidRPr="00C26BA8">
        <w:rPr>
          <w:rFonts w:ascii="Arial" w:hAnsi="Arial" w:cs="Arial"/>
          <w:color w:val="0F1115"/>
          <w:sz w:val="22"/>
          <w:szCs w:val="22"/>
          <w:lang w:val="en-US"/>
        </w:rPr>
        <w:t xml:space="preserve">, W. (2014). Impact of farmer households’ livelihood assets on their options of economic compensation patterns </w:t>
      </w:r>
      <w:r w:rsidRPr="00C26BA8">
        <w:rPr>
          <w:rFonts w:ascii="Arial" w:hAnsi="Arial" w:cs="Arial"/>
          <w:color w:val="0F1115"/>
          <w:sz w:val="22"/>
          <w:szCs w:val="22"/>
          <w:lang w:val="en-US"/>
        </w:rPr>
        <w:lastRenderedPageBreak/>
        <w:t xml:space="preserve">for cultivated land protection. Journal of Geographical Sciences, 24(2), 331-348.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10.1007/s11442-014-1091-5</w:t>
      </w:r>
    </w:p>
    <w:p w14:paraId="60176E3F"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Guerry</w:t>
      </w:r>
      <w:proofErr w:type="spellEnd"/>
      <w:r w:rsidRPr="00C26BA8">
        <w:rPr>
          <w:rFonts w:ascii="Arial" w:hAnsi="Arial" w:cs="Arial"/>
          <w:color w:val="0F1115"/>
          <w:sz w:val="22"/>
          <w:szCs w:val="22"/>
          <w:lang w:val="en-US"/>
        </w:rPr>
        <w:t xml:space="preserve">, A.D., </w:t>
      </w:r>
      <w:proofErr w:type="spellStart"/>
      <w:r w:rsidRPr="00C26BA8">
        <w:rPr>
          <w:rFonts w:ascii="Arial" w:hAnsi="Arial" w:cs="Arial"/>
          <w:color w:val="0F1115"/>
          <w:sz w:val="22"/>
          <w:szCs w:val="22"/>
          <w:lang w:val="en-US"/>
        </w:rPr>
        <w:t>Polasky</w:t>
      </w:r>
      <w:proofErr w:type="spellEnd"/>
      <w:r w:rsidRPr="00C26BA8">
        <w:rPr>
          <w:rFonts w:ascii="Arial" w:hAnsi="Arial" w:cs="Arial"/>
          <w:color w:val="0F1115"/>
          <w:sz w:val="22"/>
          <w:szCs w:val="22"/>
          <w:lang w:val="en-US"/>
        </w:rPr>
        <w:t xml:space="preserve">, S., Lubchenco, J., et al. (2015). Natural capital and ecosystem services informing decisions: From promise to practice. Proceedings of the National Academy of Sciences, 112(24), 7348-7355.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10.1073/pnas.1503751112</w:t>
      </w:r>
    </w:p>
    <w:p w14:paraId="7DED4B83"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Hassan, A., Akhtar, S., &amp; </w:t>
      </w:r>
      <w:proofErr w:type="spellStart"/>
      <w:r w:rsidRPr="00C26BA8">
        <w:rPr>
          <w:rFonts w:ascii="Arial" w:hAnsi="Arial" w:cs="Arial"/>
          <w:color w:val="0F1115"/>
          <w:sz w:val="22"/>
          <w:szCs w:val="22"/>
          <w:lang w:val="en-US"/>
        </w:rPr>
        <w:t>Ishaq</w:t>
      </w:r>
      <w:proofErr w:type="spellEnd"/>
      <w:r w:rsidRPr="00C26BA8">
        <w:rPr>
          <w:rFonts w:ascii="Arial" w:hAnsi="Arial" w:cs="Arial"/>
          <w:color w:val="0F1115"/>
          <w:sz w:val="22"/>
          <w:szCs w:val="22"/>
          <w:lang w:val="en-US"/>
        </w:rPr>
        <w:t xml:space="preserve">, M. (2024). Analysis of livelihood asset of agricultural households influencing livelihood strategies in Khyber Pakhtunkhwa Pakistan. </w:t>
      </w:r>
      <w:proofErr w:type="spellStart"/>
      <w:r w:rsidRPr="00C26BA8">
        <w:rPr>
          <w:rFonts w:ascii="Arial" w:hAnsi="Arial" w:cs="Arial"/>
          <w:color w:val="0F1115"/>
          <w:sz w:val="22"/>
          <w:szCs w:val="22"/>
          <w:lang w:val="en-US"/>
        </w:rPr>
        <w:t>Sarhad</w:t>
      </w:r>
      <w:proofErr w:type="spellEnd"/>
      <w:r w:rsidRPr="00C26BA8">
        <w:rPr>
          <w:rFonts w:ascii="Arial" w:hAnsi="Arial" w:cs="Arial"/>
          <w:color w:val="0F1115"/>
          <w:sz w:val="22"/>
          <w:szCs w:val="22"/>
          <w:lang w:val="en-US"/>
        </w:rPr>
        <w:t xml:space="preserve"> Journal of Agriculture, 40(1), 54-63.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10.17582/</w:t>
      </w:r>
      <w:proofErr w:type="spellStart"/>
      <w:r w:rsidRPr="00C26BA8">
        <w:rPr>
          <w:rFonts w:ascii="Arial" w:hAnsi="Arial" w:cs="Arial"/>
          <w:color w:val="0F1115"/>
          <w:sz w:val="22"/>
          <w:szCs w:val="22"/>
          <w:lang w:val="en-US"/>
        </w:rPr>
        <w:t>journal.sja</w:t>
      </w:r>
      <w:proofErr w:type="spellEnd"/>
      <w:r w:rsidRPr="00C26BA8">
        <w:rPr>
          <w:rFonts w:ascii="Arial" w:hAnsi="Arial" w:cs="Arial"/>
          <w:color w:val="0F1115"/>
          <w:sz w:val="22"/>
          <w:szCs w:val="22"/>
          <w:lang w:val="en-US"/>
        </w:rPr>
        <w:t>/2024/40.1.54.63</w:t>
      </w:r>
    </w:p>
    <w:p w14:paraId="1376DE9F" w14:textId="77777777" w:rsidR="00C26BA8" w:rsidRPr="00F328F3"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rPr>
      </w:pPr>
      <w:r w:rsidRPr="00C26BA8">
        <w:rPr>
          <w:rFonts w:ascii="Arial" w:hAnsi="Arial" w:cs="Arial"/>
          <w:color w:val="0F1115"/>
          <w:sz w:val="22"/>
          <w:szCs w:val="22"/>
          <w:lang w:val="en-US"/>
        </w:rPr>
        <w:t xml:space="preserve">He, H., Ma, F., Yang, R., Chen, L., Jia, B., &amp; Cui, Y. (2013). Performance of rice and water use efficiency under plastic mulch with drip irrigation. </w:t>
      </w:r>
      <w:r w:rsidRPr="00F328F3">
        <w:rPr>
          <w:rFonts w:ascii="Arial" w:hAnsi="Arial" w:cs="Arial"/>
          <w:color w:val="0F1115"/>
          <w:sz w:val="22"/>
          <w:szCs w:val="22"/>
        </w:rPr>
        <w:t xml:space="preserve">PLOS ONE, 8(12), e83103. </w:t>
      </w:r>
      <w:proofErr w:type="spellStart"/>
      <w:proofErr w:type="gramStart"/>
      <w:r w:rsidRPr="00F328F3">
        <w:rPr>
          <w:rFonts w:ascii="Arial" w:hAnsi="Arial" w:cs="Arial"/>
          <w:color w:val="0F1115"/>
          <w:sz w:val="22"/>
          <w:szCs w:val="22"/>
        </w:rPr>
        <w:t>doi</w:t>
      </w:r>
      <w:proofErr w:type="spellEnd"/>
      <w:r w:rsidRPr="00F328F3">
        <w:rPr>
          <w:rFonts w:ascii="Arial" w:hAnsi="Arial" w:cs="Arial"/>
          <w:color w:val="0F1115"/>
          <w:sz w:val="22"/>
          <w:szCs w:val="22"/>
        </w:rPr>
        <w:t>:</w:t>
      </w:r>
      <w:proofErr w:type="gramEnd"/>
      <w:r w:rsidRPr="00F328F3">
        <w:rPr>
          <w:rFonts w:ascii="Arial" w:hAnsi="Arial" w:cs="Arial"/>
          <w:color w:val="0F1115"/>
          <w:sz w:val="22"/>
          <w:szCs w:val="22"/>
        </w:rPr>
        <w:t xml:space="preserve"> 10.1371/journal.pone.0083103</w:t>
      </w:r>
    </w:p>
    <w:p w14:paraId="52474151"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F328F3">
        <w:rPr>
          <w:rFonts w:ascii="Arial" w:hAnsi="Arial" w:cs="Arial"/>
          <w:color w:val="0F1115"/>
          <w:sz w:val="22"/>
          <w:szCs w:val="22"/>
        </w:rPr>
        <w:t xml:space="preserve">Hua, X., Yan, J., &amp; Zhang, Y. (2017). </w:t>
      </w:r>
      <w:r w:rsidRPr="00C26BA8">
        <w:rPr>
          <w:rFonts w:ascii="Arial" w:hAnsi="Arial" w:cs="Arial"/>
          <w:color w:val="0F1115"/>
          <w:sz w:val="22"/>
          <w:szCs w:val="22"/>
          <w:lang w:val="en-US"/>
        </w:rPr>
        <w:t xml:space="preserve">Evaluating the role of livelihood assets in suitable livelihood strategies: Protocol for anti-poverty policy in the Eastern Tibetan Plateau, China. Ecological Indicators, 78, 62-74.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10.1016/j.ecolind.2017.03.009</w:t>
      </w:r>
    </w:p>
    <w:p w14:paraId="12A1AC2D"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Li, T., Zheng, X., Dai, Y., Yang, C., Chen, Z., Zhang, S., Wu, G., Wang, Z., Huang, C., Shen, Y., &amp; Liao, R. (2014). The relationships between magnetic susceptibility and elemental variations for mineralized rocks. Journal of Geochemical Exploration, 146, 17-26.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10.1016/j.gexplo.2014.07.010</w:t>
      </w:r>
    </w:p>
    <w:p w14:paraId="5F56F577"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Lingam, L. (2015). Household livelihood strategies. In N.A. Naples (Ed.), The Wiley Blackwell Encyclopedia of Gender and Sexuality Studies (pp. 1-5). John Wiley &amp; Sons.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10.1002/9781118663219.wbegss141</w:t>
      </w:r>
    </w:p>
    <w:p w14:paraId="2613BC23"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Liu, Z., Chen, Q., &amp; </w:t>
      </w:r>
      <w:proofErr w:type="spellStart"/>
      <w:r w:rsidRPr="00C26BA8">
        <w:rPr>
          <w:rFonts w:ascii="Arial" w:hAnsi="Arial" w:cs="Arial"/>
          <w:color w:val="0F1115"/>
          <w:sz w:val="22"/>
          <w:szCs w:val="22"/>
          <w:lang w:val="en-US"/>
        </w:rPr>
        <w:t>Xie</w:t>
      </w:r>
      <w:proofErr w:type="spellEnd"/>
      <w:r w:rsidRPr="00C26BA8">
        <w:rPr>
          <w:rFonts w:ascii="Arial" w:hAnsi="Arial" w:cs="Arial"/>
          <w:color w:val="0F1115"/>
          <w:sz w:val="22"/>
          <w:szCs w:val="22"/>
          <w:lang w:val="en-US"/>
        </w:rPr>
        <w:t xml:space="preserve">, H. (2018). Influence of the farmer’s livelihood assets on livelihood strategies in the western mountainous area, China. Sustainability, 10(3), 875.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10.3390/su10030875</w:t>
      </w:r>
    </w:p>
    <w:p w14:paraId="5E253F63"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Losch</w:t>
      </w:r>
      <w:proofErr w:type="spellEnd"/>
      <w:r w:rsidRPr="00C26BA8">
        <w:rPr>
          <w:rFonts w:ascii="Arial" w:hAnsi="Arial" w:cs="Arial"/>
          <w:color w:val="0F1115"/>
          <w:sz w:val="22"/>
          <w:szCs w:val="22"/>
          <w:lang w:val="en-US"/>
        </w:rPr>
        <w:t xml:space="preserve">, B., </w:t>
      </w:r>
      <w:proofErr w:type="spellStart"/>
      <w:r w:rsidRPr="00C26BA8">
        <w:rPr>
          <w:rFonts w:ascii="Arial" w:hAnsi="Arial" w:cs="Arial"/>
          <w:color w:val="0F1115"/>
          <w:sz w:val="22"/>
          <w:szCs w:val="22"/>
          <w:lang w:val="en-US"/>
        </w:rPr>
        <w:t>Freguin-Gresh</w:t>
      </w:r>
      <w:proofErr w:type="spellEnd"/>
      <w:r w:rsidRPr="00C26BA8">
        <w:rPr>
          <w:rFonts w:ascii="Arial" w:hAnsi="Arial" w:cs="Arial"/>
          <w:color w:val="0F1115"/>
          <w:sz w:val="22"/>
          <w:szCs w:val="22"/>
          <w:lang w:val="en-US"/>
        </w:rPr>
        <w:t>, S., &amp; White, E.T. (2012). Structural transformation and rural change revisited: challenges for late developing countries in a globalizing world. The World Bank.</w:t>
      </w:r>
    </w:p>
    <w:p w14:paraId="55FDAD67"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Losch</w:t>
      </w:r>
      <w:proofErr w:type="spellEnd"/>
      <w:r w:rsidRPr="00C26BA8">
        <w:rPr>
          <w:rFonts w:ascii="Arial" w:hAnsi="Arial" w:cs="Arial"/>
          <w:color w:val="0F1115"/>
          <w:sz w:val="22"/>
          <w:szCs w:val="22"/>
          <w:lang w:val="en-US"/>
        </w:rPr>
        <w:t xml:space="preserve">, B., </w:t>
      </w:r>
      <w:proofErr w:type="spellStart"/>
      <w:r w:rsidRPr="00C26BA8">
        <w:rPr>
          <w:rFonts w:ascii="Arial" w:hAnsi="Arial" w:cs="Arial"/>
          <w:color w:val="0F1115"/>
          <w:sz w:val="22"/>
          <w:szCs w:val="22"/>
          <w:lang w:val="en-US"/>
        </w:rPr>
        <w:t>Magrin</w:t>
      </w:r>
      <w:proofErr w:type="spellEnd"/>
      <w:r w:rsidRPr="00C26BA8">
        <w:rPr>
          <w:rFonts w:ascii="Arial" w:hAnsi="Arial" w:cs="Arial"/>
          <w:color w:val="0F1115"/>
          <w:sz w:val="22"/>
          <w:szCs w:val="22"/>
          <w:lang w:val="en-US"/>
        </w:rPr>
        <w:t xml:space="preserve">, G., &amp; </w:t>
      </w:r>
      <w:proofErr w:type="spellStart"/>
      <w:r w:rsidRPr="00C26BA8">
        <w:rPr>
          <w:rFonts w:ascii="Arial" w:hAnsi="Arial" w:cs="Arial"/>
          <w:color w:val="0F1115"/>
          <w:sz w:val="22"/>
          <w:szCs w:val="22"/>
          <w:lang w:val="en-US"/>
        </w:rPr>
        <w:t>Imbernon</w:t>
      </w:r>
      <w:proofErr w:type="spellEnd"/>
      <w:r w:rsidRPr="00C26BA8">
        <w:rPr>
          <w:rFonts w:ascii="Arial" w:hAnsi="Arial" w:cs="Arial"/>
          <w:color w:val="0F1115"/>
          <w:sz w:val="22"/>
          <w:szCs w:val="22"/>
          <w:lang w:val="en-US"/>
        </w:rPr>
        <w:t xml:space="preserve">, J. (2013). A new emerging rural world: an overview of rural change in Africa. CIRAD.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10.4000/com.6880</w:t>
      </w:r>
    </w:p>
    <w:p w14:paraId="7FF22C98" w14:textId="77777777" w:rsidR="00C26BA8" w:rsidRPr="00F328F3"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rPr>
      </w:pPr>
      <w:proofErr w:type="spellStart"/>
      <w:r w:rsidRPr="00C26BA8">
        <w:rPr>
          <w:rFonts w:ascii="Arial" w:hAnsi="Arial" w:cs="Arial"/>
          <w:color w:val="0F1115"/>
          <w:sz w:val="22"/>
          <w:szCs w:val="22"/>
          <w:lang w:val="en-US"/>
        </w:rPr>
        <w:t>Losch</w:t>
      </w:r>
      <w:proofErr w:type="spellEnd"/>
      <w:r w:rsidRPr="00C26BA8">
        <w:rPr>
          <w:rFonts w:ascii="Arial" w:hAnsi="Arial" w:cs="Arial"/>
          <w:color w:val="0F1115"/>
          <w:sz w:val="22"/>
          <w:szCs w:val="22"/>
          <w:lang w:val="en-US"/>
        </w:rPr>
        <w:t xml:space="preserve">, B., </w:t>
      </w:r>
      <w:proofErr w:type="spellStart"/>
      <w:r w:rsidRPr="00C26BA8">
        <w:rPr>
          <w:rFonts w:ascii="Arial" w:hAnsi="Arial" w:cs="Arial"/>
          <w:color w:val="0F1115"/>
          <w:sz w:val="22"/>
          <w:szCs w:val="22"/>
          <w:lang w:val="en-US"/>
        </w:rPr>
        <w:t>Magrin</w:t>
      </w:r>
      <w:proofErr w:type="spellEnd"/>
      <w:r w:rsidRPr="00C26BA8">
        <w:rPr>
          <w:rFonts w:ascii="Arial" w:hAnsi="Arial" w:cs="Arial"/>
          <w:color w:val="0F1115"/>
          <w:sz w:val="22"/>
          <w:szCs w:val="22"/>
          <w:lang w:val="en-US"/>
        </w:rPr>
        <w:t xml:space="preserve">, G., &amp; </w:t>
      </w:r>
      <w:proofErr w:type="spellStart"/>
      <w:r w:rsidRPr="00C26BA8">
        <w:rPr>
          <w:rFonts w:ascii="Arial" w:hAnsi="Arial" w:cs="Arial"/>
          <w:color w:val="0F1115"/>
          <w:sz w:val="22"/>
          <w:szCs w:val="22"/>
          <w:lang w:val="en-US"/>
        </w:rPr>
        <w:t>Imbernon</w:t>
      </w:r>
      <w:proofErr w:type="spellEnd"/>
      <w:r w:rsidRPr="00C26BA8">
        <w:rPr>
          <w:rFonts w:ascii="Arial" w:hAnsi="Arial" w:cs="Arial"/>
          <w:color w:val="0F1115"/>
          <w:sz w:val="22"/>
          <w:szCs w:val="22"/>
          <w:lang w:val="en-US"/>
        </w:rPr>
        <w:t xml:space="preserve">, J. (2023). Structural transformation and rural change in sub-Saharan Africa: New perspectives. </w:t>
      </w:r>
      <w:r w:rsidRPr="00F328F3">
        <w:rPr>
          <w:rFonts w:ascii="Arial" w:hAnsi="Arial" w:cs="Arial"/>
          <w:color w:val="0F1115"/>
          <w:sz w:val="22"/>
          <w:szCs w:val="22"/>
        </w:rPr>
        <w:t xml:space="preserve">Cahiers Agricultures, 32, 1-12. </w:t>
      </w:r>
      <w:proofErr w:type="spellStart"/>
      <w:proofErr w:type="gramStart"/>
      <w:r w:rsidRPr="00F328F3">
        <w:rPr>
          <w:rFonts w:ascii="Arial" w:hAnsi="Arial" w:cs="Arial"/>
          <w:color w:val="0F1115"/>
          <w:sz w:val="22"/>
          <w:szCs w:val="22"/>
        </w:rPr>
        <w:t>doi</w:t>
      </w:r>
      <w:proofErr w:type="spellEnd"/>
      <w:r w:rsidRPr="00F328F3">
        <w:rPr>
          <w:rFonts w:ascii="Arial" w:hAnsi="Arial" w:cs="Arial"/>
          <w:color w:val="0F1115"/>
          <w:sz w:val="22"/>
          <w:szCs w:val="22"/>
        </w:rPr>
        <w:t>:</w:t>
      </w:r>
      <w:proofErr w:type="gramEnd"/>
      <w:r w:rsidRPr="00F328F3">
        <w:rPr>
          <w:rFonts w:ascii="Arial" w:hAnsi="Arial" w:cs="Arial"/>
          <w:color w:val="0F1115"/>
          <w:sz w:val="22"/>
          <w:szCs w:val="22"/>
        </w:rPr>
        <w:t xml:space="preserve"> 10.1051/</w:t>
      </w:r>
      <w:proofErr w:type="spellStart"/>
      <w:r w:rsidRPr="00F328F3">
        <w:rPr>
          <w:rFonts w:ascii="Arial" w:hAnsi="Arial" w:cs="Arial"/>
          <w:color w:val="0F1115"/>
          <w:sz w:val="22"/>
          <w:szCs w:val="22"/>
        </w:rPr>
        <w:t>cagri</w:t>
      </w:r>
      <w:proofErr w:type="spellEnd"/>
      <w:r w:rsidRPr="00F328F3">
        <w:rPr>
          <w:rFonts w:ascii="Arial" w:hAnsi="Arial" w:cs="Arial"/>
          <w:color w:val="0F1115"/>
          <w:sz w:val="22"/>
          <w:szCs w:val="22"/>
        </w:rPr>
        <w:t>/2023004</w:t>
      </w:r>
    </w:p>
    <w:p w14:paraId="08A5BDCE"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F328F3">
        <w:rPr>
          <w:rFonts w:ascii="Arial" w:hAnsi="Arial" w:cs="Arial"/>
          <w:color w:val="0F1115"/>
          <w:sz w:val="22"/>
          <w:szCs w:val="22"/>
        </w:rPr>
        <w:t xml:space="preserve">Ma, J., Zhang, J., Li, L., Zeng, Z., Sun, J., Zhou, Q., &amp; Zhang, Y. (2018). </w:t>
      </w:r>
      <w:r w:rsidRPr="00C26BA8">
        <w:rPr>
          <w:rFonts w:ascii="Arial" w:hAnsi="Arial" w:cs="Arial"/>
          <w:color w:val="0F1115"/>
          <w:sz w:val="22"/>
          <w:szCs w:val="22"/>
          <w:lang w:val="en-US"/>
        </w:rPr>
        <w:t xml:space="preserve">Study on livelihood assets based spatial differentiation of the income of natural tourism communities. Sustainability, 10(2), 353.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xml:space="preserve">: 10.3390/su10020353 </w:t>
      </w:r>
    </w:p>
    <w:p w14:paraId="596F419B"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lastRenderedPageBreak/>
        <w:t xml:space="preserve">Malik, S.J. (2008). Rethinking development strategy: the importance of the rural non-farm economy in growth and poverty reduction in Pakistan. Lahore Journal of Economics, Special Edition, 189-204.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10.35536/lje.2008.v13.isp.a11</w:t>
      </w:r>
    </w:p>
    <w:p w14:paraId="1C34B2E0"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Maqbool, A., &amp; Bashir, M.K. (2009). Rural development in Pakistan: Issues and future strategies. Paper presented at the conference Agriculture: Challenges, Opportunities and Options under Free Trade Regime, University of Agriculture, Faisalabad, Pakistan, 17-19 March. https://www.researchgate.net/publication/216413804_Rural_Development_in_Pakistan_Issues_and_Future_Strategies </w:t>
      </w:r>
    </w:p>
    <w:p w14:paraId="2CBEED81"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Ouedraogo</w:t>
      </w:r>
      <w:proofErr w:type="spellEnd"/>
      <w:r w:rsidRPr="00C26BA8">
        <w:rPr>
          <w:rFonts w:ascii="Arial" w:hAnsi="Arial" w:cs="Arial"/>
          <w:color w:val="0F1115"/>
          <w:sz w:val="22"/>
          <w:szCs w:val="22"/>
          <w:lang w:val="en-US"/>
        </w:rPr>
        <w:t xml:space="preserve">, I., Diouf, N.S., &amp; </w:t>
      </w:r>
      <w:proofErr w:type="spellStart"/>
      <w:r w:rsidRPr="00C26BA8">
        <w:rPr>
          <w:rFonts w:ascii="Arial" w:hAnsi="Arial" w:cs="Arial"/>
          <w:color w:val="0F1115"/>
          <w:sz w:val="22"/>
          <w:szCs w:val="22"/>
          <w:lang w:val="en-US"/>
        </w:rPr>
        <w:t>Zougmoré</w:t>
      </w:r>
      <w:proofErr w:type="spellEnd"/>
      <w:r w:rsidRPr="00C26BA8">
        <w:rPr>
          <w:rFonts w:ascii="Arial" w:hAnsi="Arial" w:cs="Arial"/>
          <w:color w:val="0F1115"/>
          <w:sz w:val="22"/>
          <w:szCs w:val="22"/>
          <w:lang w:val="en-US"/>
        </w:rPr>
        <w:t xml:space="preserve">, R.B. (2022). Livelihood diversification and resilience to climate shocks in the Sahel. Climate and Development, 14(5), 456-468.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10.1080/17565529.2021.1956412</w:t>
      </w:r>
    </w:p>
    <w:p w14:paraId="33AA3532"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Schumacher, E.F. (1973). Small is beautiful: a study of economics as if people mattered. Blond &amp; Briggs.</w:t>
      </w:r>
    </w:p>
    <w:p w14:paraId="23C79602"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Su, F., &amp; Shang, H.Y. (2012). Relationship analysis between livelihood assets and livelihood strategies: A </w:t>
      </w:r>
      <w:proofErr w:type="spellStart"/>
      <w:r w:rsidRPr="00C26BA8">
        <w:rPr>
          <w:rFonts w:ascii="Arial" w:hAnsi="Arial" w:cs="Arial"/>
          <w:color w:val="0F1115"/>
          <w:sz w:val="22"/>
          <w:szCs w:val="22"/>
          <w:lang w:val="en-US"/>
        </w:rPr>
        <w:t>Heihe</w:t>
      </w:r>
      <w:proofErr w:type="spellEnd"/>
      <w:r w:rsidRPr="00C26BA8">
        <w:rPr>
          <w:rFonts w:ascii="Arial" w:hAnsi="Arial" w:cs="Arial"/>
          <w:color w:val="0F1115"/>
          <w:sz w:val="22"/>
          <w:szCs w:val="22"/>
          <w:lang w:val="en-US"/>
        </w:rPr>
        <w:t xml:space="preserve"> river basin example. Sciences in Cold and Arid Regions, 4(3), 265-274.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10.3724/SP.J.1226.2012.00265</w:t>
      </w:r>
    </w:p>
    <w:p w14:paraId="3AD29235"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Udoh, E.J., Akpan, S.B., &amp; </w:t>
      </w:r>
      <w:proofErr w:type="spellStart"/>
      <w:r w:rsidRPr="00C26BA8">
        <w:rPr>
          <w:rFonts w:ascii="Arial" w:hAnsi="Arial" w:cs="Arial"/>
          <w:color w:val="0F1115"/>
          <w:sz w:val="22"/>
          <w:szCs w:val="22"/>
          <w:lang w:val="en-US"/>
        </w:rPr>
        <w:t>Uko</w:t>
      </w:r>
      <w:proofErr w:type="spellEnd"/>
      <w:r w:rsidRPr="00C26BA8">
        <w:rPr>
          <w:rFonts w:ascii="Arial" w:hAnsi="Arial" w:cs="Arial"/>
          <w:color w:val="0F1115"/>
          <w:sz w:val="22"/>
          <w:szCs w:val="22"/>
          <w:lang w:val="en-US"/>
        </w:rPr>
        <w:t xml:space="preserve">, E.F. (2017). Assessment of sustainable livelihood assets of farming households in </w:t>
      </w:r>
      <w:proofErr w:type="spellStart"/>
      <w:r w:rsidRPr="00C26BA8">
        <w:rPr>
          <w:rFonts w:ascii="Arial" w:hAnsi="Arial" w:cs="Arial"/>
          <w:color w:val="0F1115"/>
          <w:sz w:val="22"/>
          <w:szCs w:val="22"/>
          <w:lang w:val="en-US"/>
        </w:rPr>
        <w:t>Akwa</w:t>
      </w:r>
      <w:proofErr w:type="spellEnd"/>
      <w:r w:rsidRPr="00C26BA8">
        <w:rPr>
          <w:rFonts w:ascii="Arial" w:hAnsi="Arial" w:cs="Arial"/>
          <w:color w:val="0F1115"/>
          <w:sz w:val="22"/>
          <w:szCs w:val="22"/>
          <w:lang w:val="en-US"/>
        </w:rPr>
        <w:t xml:space="preserve"> Ibom State, Nigeria. Journal of Sustainable Development, 10(4), 83-96.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10.5539/</w:t>
      </w:r>
      <w:proofErr w:type="gramStart"/>
      <w:r w:rsidRPr="00C26BA8">
        <w:rPr>
          <w:rFonts w:ascii="Arial" w:hAnsi="Arial" w:cs="Arial"/>
          <w:color w:val="0F1115"/>
          <w:sz w:val="22"/>
          <w:szCs w:val="22"/>
          <w:lang w:val="en-US"/>
        </w:rPr>
        <w:t>jsd.v</w:t>
      </w:r>
      <w:proofErr w:type="gramEnd"/>
      <w:r w:rsidRPr="00C26BA8">
        <w:rPr>
          <w:rFonts w:ascii="Arial" w:hAnsi="Arial" w:cs="Arial"/>
          <w:color w:val="0F1115"/>
          <w:sz w:val="22"/>
          <w:szCs w:val="22"/>
          <w:lang w:val="en-US"/>
        </w:rPr>
        <w:t>10n4p83</w:t>
      </w:r>
    </w:p>
    <w:p w14:paraId="3B3FE008"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C26BA8">
        <w:rPr>
          <w:rFonts w:ascii="Arial" w:hAnsi="Arial" w:cs="Arial"/>
          <w:color w:val="0F1115"/>
          <w:sz w:val="22"/>
          <w:szCs w:val="22"/>
          <w:lang w:val="en-US"/>
        </w:rPr>
        <w:t>Walelign</w:t>
      </w:r>
      <w:proofErr w:type="spellEnd"/>
      <w:r w:rsidRPr="00C26BA8">
        <w:rPr>
          <w:rFonts w:ascii="Arial" w:hAnsi="Arial" w:cs="Arial"/>
          <w:color w:val="0F1115"/>
          <w:sz w:val="22"/>
          <w:szCs w:val="22"/>
          <w:lang w:val="en-US"/>
        </w:rPr>
        <w:t xml:space="preserve">, S.Z., </w:t>
      </w:r>
      <w:proofErr w:type="spellStart"/>
      <w:r w:rsidRPr="00C26BA8">
        <w:rPr>
          <w:rFonts w:ascii="Arial" w:hAnsi="Arial" w:cs="Arial"/>
          <w:color w:val="0F1115"/>
          <w:sz w:val="22"/>
          <w:szCs w:val="22"/>
          <w:lang w:val="en-US"/>
        </w:rPr>
        <w:t>Pouliot</w:t>
      </w:r>
      <w:proofErr w:type="spellEnd"/>
      <w:r w:rsidRPr="00C26BA8">
        <w:rPr>
          <w:rFonts w:ascii="Arial" w:hAnsi="Arial" w:cs="Arial"/>
          <w:color w:val="0F1115"/>
          <w:sz w:val="22"/>
          <w:szCs w:val="22"/>
          <w:lang w:val="en-US"/>
        </w:rPr>
        <w:t xml:space="preserve">, M., Larsen, H.O., &amp; Smith-Hall, C. (2017). Combining household income and asset data to identify livelihood strategies and their dynamics. The Journal of Development Studies, 53(6), 769-787.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10.1080/00220388.2016.1199856</w:t>
      </w:r>
    </w:p>
    <w:p w14:paraId="1C827883" w14:textId="77777777" w:rsidR="00C26BA8" w:rsidRP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r w:rsidRPr="00C26BA8">
        <w:rPr>
          <w:rFonts w:ascii="Arial" w:hAnsi="Arial" w:cs="Arial"/>
          <w:color w:val="0F1115"/>
          <w:sz w:val="22"/>
          <w:szCs w:val="22"/>
          <w:lang w:val="en-US"/>
        </w:rPr>
        <w:t xml:space="preserve">Xu, D., Deng, X., Guo, S., &amp; Liu, S. (2018). Sensitivity of livelihood strategy to livelihood capital: An empirical investigation using nationally representative survey data from rural China. Social Indicators Research, 143, 1147-1169.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10.1007/s11205-018-2037-6</w:t>
      </w:r>
    </w:p>
    <w:p w14:paraId="5455F8C1" w14:textId="77777777" w:rsidR="00C26BA8" w:rsidRPr="00F328F3"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rPr>
      </w:pPr>
      <w:proofErr w:type="spellStart"/>
      <w:r w:rsidRPr="00C26BA8">
        <w:rPr>
          <w:rFonts w:ascii="Arial" w:hAnsi="Arial" w:cs="Arial"/>
          <w:color w:val="0F1115"/>
          <w:sz w:val="22"/>
          <w:szCs w:val="22"/>
          <w:lang w:val="en-US"/>
        </w:rPr>
        <w:t>Yishak</w:t>
      </w:r>
      <w:proofErr w:type="spellEnd"/>
      <w:r w:rsidRPr="00C26BA8">
        <w:rPr>
          <w:rFonts w:ascii="Arial" w:hAnsi="Arial" w:cs="Arial"/>
          <w:color w:val="0F1115"/>
          <w:sz w:val="22"/>
          <w:szCs w:val="22"/>
          <w:lang w:val="en-US"/>
        </w:rPr>
        <w:t xml:space="preserve">, G., </w:t>
      </w:r>
      <w:proofErr w:type="spellStart"/>
      <w:r w:rsidRPr="00C26BA8">
        <w:rPr>
          <w:rFonts w:ascii="Arial" w:hAnsi="Arial" w:cs="Arial"/>
          <w:color w:val="0F1115"/>
          <w:sz w:val="22"/>
          <w:szCs w:val="22"/>
          <w:lang w:val="en-US"/>
        </w:rPr>
        <w:t>Ayele</w:t>
      </w:r>
      <w:proofErr w:type="spellEnd"/>
      <w:r w:rsidRPr="00C26BA8">
        <w:rPr>
          <w:rFonts w:ascii="Arial" w:hAnsi="Arial" w:cs="Arial"/>
          <w:color w:val="0F1115"/>
          <w:sz w:val="22"/>
          <w:szCs w:val="22"/>
          <w:lang w:val="en-US"/>
        </w:rPr>
        <w:t xml:space="preserve">, G., Lemma, T., &amp; Alemu, D. (2014). Rural Household Livelihood Strategies: Options and Determinants in the Case of </w:t>
      </w:r>
      <w:proofErr w:type="spellStart"/>
      <w:r w:rsidRPr="00C26BA8">
        <w:rPr>
          <w:rFonts w:ascii="Arial" w:hAnsi="Arial" w:cs="Arial"/>
          <w:color w:val="0F1115"/>
          <w:sz w:val="22"/>
          <w:szCs w:val="22"/>
          <w:lang w:val="en-US"/>
        </w:rPr>
        <w:t>Wolaita</w:t>
      </w:r>
      <w:proofErr w:type="spellEnd"/>
      <w:r w:rsidRPr="00C26BA8">
        <w:rPr>
          <w:rFonts w:ascii="Arial" w:hAnsi="Arial" w:cs="Arial"/>
          <w:color w:val="0F1115"/>
          <w:sz w:val="22"/>
          <w:szCs w:val="22"/>
          <w:lang w:val="en-US"/>
        </w:rPr>
        <w:t xml:space="preserve"> Zone, Southern Ethiopia. </w:t>
      </w:r>
      <w:r w:rsidRPr="00F328F3">
        <w:rPr>
          <w:rFonts w:ascii="Arial" w:hAnsi="Arial" w:cs="Arial"/>
          <w:color w:val="0F1115"/>
          <w:sz w:val="22"/>
          <w:szCs w:val="22"/>
        </w:rPr>
        <w:t xml:space="preserve">Social Sciences, 3(3), 92-104. </w:t>
      </w:r>
      <w:proofErr w:type="spellStart"/>
      <w:proofErr w:type="gramStart"/>
      <w:r w:rsidRPr="00F328F3">
        <w:rPr>
          <w:rFonts w:ascii="Arial" w:hAnsi="Arial" w:cs="Arial"/>
          <w:color w:val="0F1115"/>
          <w:sz w:val="22"/>
          <w:szCs w:val="22"/>
        </w:rPr>
        <w:t>doi</w:t>
      </w:r>
      <w:proofErr w:type="spellEnd"/>
      <w:r w:rsidRPr="00F328F3">
        <w:rPr>
          <w:rFonts w:ascii="Arial" w:hAnsi="Arial" w:cs="Arial"/>
          <w:color w:val="0F1115"/>
          <w:sz w:val="22"/>
          <w:szCs w:val="22"/>
        </w:rPr>
        <w:t>:</w:t>
      </w:r>
      <w:proofErr w:type="gramEnd"/>
      <w:r w:rsidRPr="00F328F3">
        <w:rPr>
          <w:rFonts w:ascii="Arial" w:hAnsi="Arial" w:cs="Arial"/>
          <w:color w:val="0F1115"/>
          <w:sz w:val="22"/>
          <w:szCs w:val="22"/>
        </w:rPr>
        <w:t xml:space="preserve"> 10.11648/j.ss.20140303.15</w:t>
      </w:r>
    </w:p>
    <w:p w14:paraId="64E8C32A" w14:textId="77777777" w:rsidR="00C26BA8" w:rsidRDefault="00C26BA8" w:rsidP="00F328F3">
      <w:pPr>
        <w:pStyle w:val="ds-markdown-paragraph"/>
        <w:shd w:val="clear" w:color="auto" w:fill="FFFFFF"/>
        <w:spacing w:before="120" w:beforeAutospacing="0" w:after="0" w:afterAutospacing="0" w:line="276" w:lineRule="auto"/>
        <w:jc w:val="both"/>
        <w:rPr>
          <w:rFonts w:ascii="Arial" w:hAnsi="Arial" w:cs="Arial"/>
          <w:color w:val="0F1115"/>
          <w:sz w:val="22"/>
          <w:szCs w:val="22"/>
          <w:lang w:val="en-US"/>
        </w:rPr>
      </w:pPr>
      <w:proofErr w:type="spellStart"/>
      <w:r w:rsidRPr="00F328F3">
        <w:rPr>
          <w:rFonts w:ascii="Arial" w:hAnsi="Arial" w:cs="Arial"/>
          <w:color w:val="0F1115"/>
          <w:sz w:val="22"/>
          <w:szCs w:val="22"/>
        </w:rPr>
        <w:t>Zhifei</w:t>
      </w:r>
      <w:proofErr w:type="spellEnd"/>
      <w:r w:rsidRPr="00F328F3">
        <w:rPr>
          <w:rFonts w:ascii="Arial" w:hAnsi="Arial" w:cs="Arial"/>
          <w:color w:val="0F1115"/>
          <w:sz w:val="22"/>
          <w:szCs w:val="22"/>
        </w:rPr>
        <w:t xml:space="preserve">, L., </w:t>
      </w:r>
      <w:proofErr w:type="spellStart"/>
      <w:r w:rsidRPr="00F328F3">
        <w:rPr>
          <w:rFonts w:ascii="Arial" w:hAnsi="Arial" w:cs="Arial"/>
          <w:color w:val="0F1115"/>
          <w:sz w:val="22"/>
          <w:szCs w:val="22"/>
        </w:rPr>
        <w:t>Qianru</w:t>
      </w:r>
      <w:proofErr w:type="spellEnd"/>
      <w:r w:rsidRPr="00F328F3">
        <w:rPr>
          <w:rFonts w:ascii="Arial" w:hAnsi="Arial" w:cs="Arial"/>
          <w:color w:val="0F1115"/>
          <w:sz w:val="22"/>
          <w:szCs w:val="22"/>
        </w:rPr>
        <w:t xml:space="preserve">, C., &amp; </w:t>
      </w:r>
      <w:proofErr w:type="spellStart"/>
      <w:r w:rsidRPr="00F328F3">
        <w:rPr>
          <w:rFonts w:ascii="Arial" w:hAnsi="Arial" w:cs="Arial"/>
          <w:color w:val="0F1115"/>
          <w:sz w:val="22"/>
          <w:szCs w:val="22"/>
        </w:rPr>
        <w:t>Hualin</w:t>
      </w:r>
      <w:proofErr w:type="spellEnd"/>
      <w:r w:rsidRPr="00F328F3">
        <w:rPr>
          <w:rFonts w:ascii="Arial" w:hAnsi="Arial" w:cs="Arial"/>
          <w:color w:val="0F1115"/>
          <w:sz w:val="22"/>
          <w:szCs w:val="22"/>
        </w:rPr>
        <w:t xml:space="preserve">, X. (2018). </w:t>
      </w:r>
      <w:r w:rsidRPr="00C26BA8">
        <w:rPr>
          <w:rFonts w:ascii="Arial" w:hAnsi="Arial" w:cs="Arial"/>
          <w:color w:val="0F1115"/>
          <w:sz w:val="22"/>
          <w:szCs w:val="22"/>
          <w:lang w:val="en-US"/>
        </w:rPr>
        <w:t xml:space="preserve">Comprehensive evaluation of farm household livelihood assets in a western mountainous area of China: A case study in </w:t>
      </w:r>
      <w:proofErr w:type="spellStart"/>
      <w:r w:rsidRPr="00C26BA8">
        <w:rPr>
          <w:rFonts w:ascii="Arial" w:hAnsi="Arial" w:cs="Arial"/>
          <w:color w:val="0F1115"/>
          <w:sz w:val="22"/>
          <w:szCs w:val="22"/>
          <w:lang w:val="en-US"/>
        </w:rPr>
        <w:t>Zunyi</w:t>
      </w:r>
      <w:proofErr w:type="spellEnd"/>
      <w:r w:rsidRPr="00C26BA8">
        <w:rPr>
          <w:rFonts w:ascii="Arial" w:hAnsi="Arial" w:cs="Arial"/>
          <w:color w:val="0F1115"/>
          <w:sz w:val="22"/>
          <w:szCs w:val="22"/>
          <w:lang w:val="en-US"/>
        </w:rPr>
        <w:t xml:space="preserve"> city. Journal of Resources and Ecology, 9(2), 154-163. </w:t>
      </w:r>
      <w:proofErr w:type="spellStart"/>
      <w:r w:rsidRPr="00C26BA8">
        <w:rPr>
          <w:rFonts w:ascii="Arial" w:hAnsi="Arial" w:cs="Arial"/>
          <w:color w:val="0F1115"/>
          <w:sz w:val="22"/>
          <w:szCs w:val="22"/>
          <w:lang w:val="en-US"/>
        </w:rPr>
        <w:t>doi</w:t>
      </w:r>
      <w:proofErr w:type="spellEnd"/>
      <w:r w:rsidRPr="00C26BA8">
        <w:rPr>
          <w:rFonts w:ascii="Arial" w:hAnsi="Arial" w:cs="Arial"/>
          <w:color w:val="0F1115"/>
          <w:sz w:val="22"/>
          <w:szCs w:val="22"/>
          <w:lang w:val="en-US"/>
        </w:rPr>
        <w:t>: 10.5814/j.issn.1674-764x.2018.02.005</w:t>
      </w:r>
    </w:p>
    <w:p w14:paraId="597FF99A" w14:textId="77777777" w:rsidR="00C26BA8" w:rsidRDefault="00C26BA8" w:rsidP="00C26BA8">
      <w:pPr>
        <w:pStyle w:val="ds-markdown-paragraph"/>
        <w:shd w:val="clear" w:color="auto" w:fill="FFFFFF"/>
        <w:spacing w:before="0" w:beforeAutospacing="0" w:after="120" w:afterAutospacing="0" w:line="276" w:lineRule="auto"/>
        <w:jc w:val="both"/>
        <w:rPr>
          <w:rFonts w:ascii="Arial" w:hAnsi="Arial" w:cs="Arial"/>
          <w:color w:val="0F1115"/>
          <w:sz w:val="22"/>
          <w:szCs w:val="22"/>
          <w:lang w:val="en-US"/>
        </w:rPr>
      </w:pPr>
    </w:p>
    <w:p w14:paraId="4752CC0C" w14:textId="77777777" w:rsidR="00790ADA" w:rsidRPr="00FB3A86" w:rsidRDefault="00790ADA" w:rsidP="00441B6F">
      <w:pPr>
        <w:pStyle w:val="ReferHead"/>
        <w:spacing w:after="0"/>
        <w:jc w:val="both"/>
        <w:rPr>
          <w:rFonts w:ascii="Arial" w:hAnsi="Arial" w:cs="Arial"/>
        </w:rPr>
      </w:pPr>
    </w:p>
    <w:sectPr w:rsidR="00790ADA" w:rsidRPr="00FB3A86" w:rsidSect="000B53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03BC" w14:textId="77777777" w:rsidR="00712E9C" w:rsidRDefault="00712E9C" w:rsidP="00C37E61">
      <w:r>
        <w:separator/>
      </w:r>
    </w:p>
  </w:endnote>
  <w:endnote w:type="continuationSeparator" w:id="0">
    <w:p w14:paraId="1686B937" w14:textId="77777777" w:rsidR="00712E9C" w:rsidRDefault="00712E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46EF" w14:textId="77777777" w:rsidR="000B5313" w:rsidRDefault="000B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F2E1" w14:textId="77777777" w:rsidR="000B5313" w:rsidRDefault="000B5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AE58" w14:textId="77777777" w:rsidR="00225D48" w:rsidRDefault="00225D48">
    <w:pPr>
      <w:pStyle w:val="Footer"/>
      <w:rPr>
        <w:rFonts w:ascii="Arial" w:hAnsi="Arial" w:cs="Arial"/>
        <w:sz w:val="16"/>
      </w:rPr>
    </w:pPr>
  </w:p>
  <w:p w14:paraId="0D972E21" w14:textId="77777777" w:rsidR="00225D48" w:rsidRDefault="00225D4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BD15863" w14:textId="77777777" w:rsidR="00225D48" w:rsidRDefault="00225D48">
    <w:pPr>
      <w:pStyle w:val="Footer"/>
      <w:rPr>
        <w:rFonts w:ascii="Arial" w:hAnsi="Arial" w:cs="Arial"/>
        <w:sz w:val="16"/>
      </w:rPr>
    </w:pPr>
  </w:p>
  <w:p w14:paraId="2938DB35" w14:textId="77777777" w:rsidR="00225D48" w:rsidRPr="009E048A" w:rsidRDefault="00225D4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6AA9" w14:textId="77777777" w:rsidR="00712E9C" w:rsidRDefault="00712E9C" w:rsidP="00C37E61">
      <w:r>
        <w:separator/>
      </w:r>
    </w:p>
  </w:footnote>
  <w:footnote w:type="continuationSeparator" w:id="0">
    <w:p w14:paraId="00DEFAD8" w14:textId="77777777" w:rsidR="00712E9C" w:rsidRDefault="00712E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7928" w14:textId="4AE92F48" w:rsidR="000B5313" w:rsidRDefault="00712E9C">
    <w:pPr>
      <w:pStyle w:val="Header"/>
    </w:pPr>
    <w:r>
      <w:rPr>
        <w:noProof/>
      </w:rPr>
      <w:pict w14:anchorId="48B46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26CD" w14:textId="3928AB8E" w:rsidR="000B5313" w:rsidRDefault="00712E9C">
    <w:pPr>
      <w:pStyle w:val="Header"/>
    </w:pPr>
    <w:r>
      <w:rPr>
        <w:noProof/>
      </w:rPr>
      <w:pict w14:anchorId="0F1F2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2CD7A" w14:textId="464F8C89" w:rsidR="00225D48" w:rsidRPr="00296529" w:rsidRDefault="00712E9C" w:rsidP="00296529">
    <w:pPr>
      <w:ind w:left="2160"/>
      <w:jc w:val="center"/>
      <w:rPr>
        <w:rFonts w:ascii="Times New Roman" w:eastAsia="Calibri" w:hAnsi="Times New Roman"/>
        <w:i/>
        <w:sz w:val="18"/>
        <w:szCs w:val="22"/>
      </w:rPr>
    </w:pPr>
    <w:r>
      <w:rPr>
        <w:noProof/>
      </w:rPr>
      <w:pict w14:anchorId="13B29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29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B171E0" w14:textId="77777777" w:rsidR="00225D48" w:rsidRPr="00296529" w:rsidRDefault="00225D4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6A6CD4" w14:textId="77777777" w:rsidR="00225D48" w:rsidRPr="00296529" w:rsidRDefault="00225D4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DDBB4E" w14:textId="77777777" w:rsidR="00225D48" w:rsidRPr="00296529" w:rsidRDefault="00225D4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67ABAD" w14:textId="77777777" w:rsidR="00225D48" w:rsidRDefault="00225D4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31EDEE" w14:textId="77777777" w:rsidR="00225D48" w:rsidRDefault="00225D4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819462" w14:textId="77777777" w:rsidR="00225D48" w:rsidRDefault="00225D4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8E04E9"/>
    <w:multiLevelType w:val="multilevel"/>
    <w:tmpl w:val="3F20402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C9205D"/>
    <w:multiLevelType w:val="multilevel"/>
    <w:tmpl w:val="9E464B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43145"/>
    <w:multiLevelType w:val="multilevel"/>
    <w:tmpl w:val="A27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A257B3"/>
    <w:multiLevelType w:val="multilevel"/>
    <w:tmpl w:val="8DEE70C4"/>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67786"/>
    <w:multiLevelType w:val="hybridMultilevel"/>
    <w:tmpl w:val="492EEC8A"/>
    <w:lvl w:ilvl="0" w:tplc="E95048D8">
      <w:start w:val="1"/>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5DCF"/>
    <w:multiLevelType w:val="multilevel"/>
    <w:tmpl w:val="46F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BD52447"/>
    <w:multiLevelType w:val="multilevel"/>
    <w:tmpl w:val="EDE4E92E"/>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6C1D6AE1"/>
    <w:multiLevelType w:val="multilevel"/>
    <w:tmpl w:val="FD7C4B1E"/>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3"/>
  </w:num>
  <w:num w:numId="10">
    <w:abstractNumId w:val="2"/>
  </w:num>
  <w:num w:numId="11">
    <w:abstractNumId w:val="24"/>
  </w:num>
  <w:num w:numId="12">
    <w:abstractNumId w:val="3"/>
  </w:num>
  <w:num w:numId="13">
    <w:abstractNumId w:val="23"/>
  </w:num>
  <w:num w:numId="14">
    <w:abstractNumId w:val="9"/>
  </w:num>
  <w:num w:numId="15">
    <w:abstractNumId w:val="29"/>
  </w:num>
  <w:num w:numId="16">
    <w:abstractNumId w:val="5"/>
  </w:num>
  <w:num w:numId="17">
    <w:abstractNumId w:val="30"/>
  </w:num>
  <w:num w:numId="18">
    <w:abstractNumId w:val="15"/>
  </w:num>
  <w:num w:numId="19">
    <w:abstractNumId w:val="36"/>
  </w:num>
  <w:num w:numId="20">
    <w:abstractNumId w:val="12"/>
  </w:num>
  <w:num w:numId="21">
    <w:abstractNumId w:val="10"/>
  </w:num>
  <w:num w:numId="22">
    <w:abstractNumId w:val="14"/>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1"/>
  </w:num>
  <w:num w:numId="31">
    <w:abstractNumId w:val="17"/>
  </w:num>
  <w:num w:numId="32">
    <w:abstractNumId w:val="19"/>
  </w:num>
  <w:num w:numId="33">
    <w:abstractNumId w:val="25"/>
  </w:num>
  <w:num w:numId="34">
    <w:abstractNumId w:val="21"/>
  </w:num>
  <w:num w:numId="35">
    <w:abstractNumId w:val="16"/>
  </w:num>
  <w:num w:numId="36">
    <w:abstractNumId w:val="7"/>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1DF3"/>
    <w:rsid w:val="00030174"/>
    <w:rsid w:val="0004579C"/>
    <w:rsid w:val="000A47FA"/>
    <w:rsid w:val="000A65D3"/>
    <w:rsid w:val="000B1E33"/>
    <w:rsid w:val="000B5313"/>
    <w:rsid w:val="000D689F"/>
    <w:rsid w:val="000E7B7B"/>
    <w:rsid w:val="000E7D62"/>
    <w:rsid w:val="00103357"/>
    <w:rsid w:val="00123C9F"/>
    <w:rsid w:val="00126190"/>
    <w:rsid w:val="00130F17"/>
    <w:rsid w:val="001320BF"/>
    <w:rsid w:val="00156C9B"/>
    <w:rsid w:val="00163BC4"/>
    <w:rsid w:val="00191062"/>
    <w:rsid w:val="00192B72"/>
    <w:rsid w:val="00196F71"/>
    <w:rsid w:val="001A29D8"/>
    <w:rsid w:val="001A555A"/>
    <w:rsid w:val="001A5CAA"/>
    <w:rsid w:val="001B0427"/>
    <w:rsid w:val="001D3A51"/>
    <w:rsid w:val="001E10D2"/>
    <w:rsid w:val="001E25B4"/>
    <w:rsid w:val="001E44FE"/>
    <w:rsid w:val="00200595"/>
    <w:rsid w:val="00204835"/>
    <w:rsid w:val="00225D48"/>
    <w:rsid w:val="00231920"/>
    <w:rsid w:val="0023195C"/>
    <w:rsid w:val="0024282C"/>
    <w:rsid w:val="002460DC"/>
    <w:rsid w:val="00250985"/>
    <w:rsid w:val="002556F6"/>
    <w:rsid w:val="00283105"/>
    <w:rsid w:val="00284C4C"/>
    <w:rsid w:val="00287E68"/>
    <w:rsid w:val="00296529"/>
    <w:rsid w:val="002A4EFA"/>
    <w:rsid w:val="002B27FB"/>
    <w:rsid w:val="002B685A"/>
    <w:rsid w:val="002C57D2"/>
    <w:rsid w:val="002E0D56"/>
    <w:rsid w:val="002E245D"/>
    <w:rsid w:val="003078D0"/>
    <w:rsid w:val="00315186"/>
    <w:rsid w:val="0033343E"/>
    <w:rsid w:val="003512C2"/>
    <w:rsid w:val="00371FB6"/>
    <w:rsid w:val="003763C1"/>
    <w:rsid w:val="00376BBE"/>
    <w:rsid w:val="0039224F"/>
    <w:rsid w:val="003A43A4"/>
    <w:rsid w:val="003A7E18"/>
    <w:rsid w:val="003C4C86"/>
    <w:rsid w:val="003C6258"/>
    <w:rsid w:val="003E2904"/>
    <w:rsid w:val="003F2673"/>
    <w:rsid w:val="00401927"/>
    <w:rsid w:val="0041027F"/>
    <w:rsid w:val="00412475"/>
    <w:rsid w:val="00423789"/>
    <w:rsid w:val="00440F43"/>
    <w:rsid w:val="00441B6F"/>
    <w:rsid w:val="00446221"/>
    <w:rsid w:val="0044679F"/>
    <w:rsid w:val="00450E62"/>
    <w:rsid w:val="004539DB"/>
    <w:rsid w:val="00471A80"/>
    <w:rsid w:val="004A486A"/>
    <w:rsid w:val="004C5C1B"/>
    <w:rsid w:val="004D05F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E9C"/>
    <w:rsid w:val="00732759"/>
    <w:rsid w:val="007369E6"/>
    <w:rsid w:val="00746E59"/>
    <w:rsid w:val="00754C9A"/>
    <w:rsid w:val="0075599A"/>
    <w:rsid w:val="00761D52"/>
    <w:rsid w:val="00771F8D"/>
    <w:rsid w:val="0077749E"/>
    <w:rsid w:val="00790ADA"/>
    <w:rsid w:val="007D07A1"/>
    <w:rsid w:val="007D2288"/>
    <w:rsid w:val="007E088F"/>
    <w:rsid w:val="007F7B32"/>
    <w:rsid w:val="00804BC2"/>
    <w:rsid w:val="0081431A"/>
    <w:rsid w:val="0083216F"/>
    <w:rsid w:val="008407D3"/>
    <w:rsid w:val="00860000"/>
    <w:rsid w:val="00863BD3"/>
    <w:rsid w:val="008641ED"/>
    <w:rsid w:val="00866D66"/>
    <w:rsid w:val="008671C6"/>
    <w:rsid w:val="00875803"/>
    <w:rsid w:val="008B459E"/>
    <w:rsid w:val="008E13AE"/>
    <w:rsid w:val="008E1506"/>
    <w:rsid w:val="008E710C"/>
    <w:rsid w:val="008F69D6"/>
    <w:rsid w:val="00902823"/>
    <w:rsid w:val="009125F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F11"/>
    <w:rsid w:val="00A24E7E"/>
    <w:rsid w:val="00A258C3"/>
    <w:rsid w:val="00A347C0"/>
    <w:rsid w:val="00A51431"/>
    <w:rsid w:val="00A539AD"/>
    <w:rsid w:val="00A94063"/>
    <w:rsid w:val="00AA6219"/>
    <w:rsid w:val="00AA6D96"/>
    <w:rsid w:val="00AA74E0"/>
    <w:rsid w:val="00AB703F"/>
    <w:rsid w:val="00AC6BB8"/>
    <w:rsid w:val="00AD09D3"/>
    <w:rsid w:val="00AE008F"/>
    <w:rsid w:val="00B01FCD"/>
    <w:rsid w:val="00B1776C"/>
    <w:rsid w:val="00B52583"/>
    <w:rsid w:val="00B52896"/>
    <w:rsid w:val="00B95236"/>
    <w:rsid w:val="00B96BD9"/>
    <w:rsid w:val="00BA1B01"/>
    <w:rsid w:val="00BA2641"/>
    <w:rsid w:val="00BB37AA"/>
    <w:rsid w:val="00BC53A0"/>
    <w:rsid w:val="00BD3CE7"/>
    <w:rsid w:val="00BE62AD"/>
    <w:rsid w:val="00BF121F"/>
    <w:rsid w:val="00BF1F80"/>
    <w:rsid w:val="00C166EF"/>
    <w:rsid w:val="00C17EB0"/>
    <w:rsid w:val="00C26BA8"/>
    <w:rsid w:val="00C27F5F"/>
    <w:rsid w:val="00C30A0F"/>
    <w:rsid w:val="00C32303"/>
    <w:rsid w:val="00C37E61"/>
    <w:rsid w:val="00C667B7"/>
    <w:rsid w:val="00C70F1B"/>
    <w:rsid w:val="00C71A47"/>
    <w:rsid w:val="00C7464C"/>
    <w:rsid w:val="00C85588"/>
    <w:rsid w:val="00CA7693"/>
    <w:rsid w:val="00CD6755"/>
    <w:rsid w:val="00CD6856"/>
    <w:rsid w:val="00CE0089"/>
    <w:rsid w:val="00CE793C"/>
    <w:rsid w:val="00CF193C"/>
    <w:rsid w:val="00D173F1"/>
    <w:rsid w:val="00D42DC7"/>
    <w:rsid w:val="00D74CB0"/>
    <w:rsid w:val="00D8295D"/>
    <w:rsid w:val="00D83CA6"/>
    <w:rsid w:val="00DC2A65"/>
    <w:rsid w:val="00DE15F0"/>
    <w:rsid w:val="00DE5663"/>
    <w:rsid w:val="00DE78AA"/>
    <w:rsid w:val="00E053D0"/>
    <w:rsid w:val="00E1406C"/>
    <w:rsid w:val="00E15994"/>
    <w:rsid w:val="00E3114E"/>
    <w:rsid w:val="00E31A70"/>
    <w:rsid w:val="00E35B02"/>
    <w:rsid w:val="00E35F2B"/>
    <w:rsid w:val="00E66496"/>
    <w:rsid w:val="00E66B35"/>
    <w:rsid w:val="00E66E10"/>
    <w:rsid w:val="00E769F6"/>
    <w:rsid w:val="00E8407C"/>
    <w:rsid w:val="00E84F3C"/>
    <w:rsid w:val="00EA012C"/>
    <w:rsid w:val="00EC6A55"/>
    <w:rsid w:val="00ED0288"/>
    <w:rsid w:val="00EE52CB"/>
    <w:rsid w:val="00EF2E21"/>
    <w:rsid w:val="00EF581D"/>
    <w:rsid w:val="00EF7FD8"/>
    <w:rsid w:val="00F06F59"/>
    <w:rsid w:val="00F17988"/>
    <w:rsid w:val="00F328F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269F37"/>
  <w15:docId w15:val="{F759F131-0150-41E2-9B5E-C85E9CF2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s-markdown-paragraph">
    <w:name w:val="ds-markdown-paragraph"/>
    <w:basedOn w:val="Normal"/>
    <w:rsid w:val="00225D48"/>
    <w:pPr>
      <w:spacing w:before="100" w:beforeAutospacing="1" w:after="100" w:afterAutospacing="1"/>
    </w:pPr>
    <w:rPr>
      <w:rFonts w:ascii="Times New Roman" w:hAnsi="Times New Roman"/>
      <w:sz w:val="24"/>
      <w:szCs w:val="24"/>
      <w:lang w:val="fr-FR" w:eastAsia="fr-FR"/>
    </w:rPr>
  </w:style>
  <w:style w:type="character" w:customStyle="1" w:styleId="katex-mathml">
    <w:name w:val="katex-mathml"/>
    <w:basedOn w:val="DefaultParagraphFont"/>
    <w:rsid w:val="00225D48"/>
  </w:style>
  <w:style w:type="character" w:customStyle="1" w:styleId="mord">
    <w:name w:val="mord"/>
    <w:basedOn w:val="DefaultParagraphFont"/>
    <w:rsid w:val="00225D48"/>
  </w:style>
  <w:style w:type="character" w:customStyle="1" w:styleId="vlist-s">
    <w:name w:val="vlist-s"/>
    <w:basedOn w:val="DefaultParagraphFont"/>
    <w:rsid w:val="00225D48"/>
  </w:style>
  <w:style w:type="paragraph" w:styleId="ListParagraph">
    <w:name w:val="List Paragraph"/>
    <w:basedOn w:val="Normal"/>
    <w:uiPriority w:val="34"/>
    <w:qFormat/>
    <w:rsid w:val="00225D48"/>
    <w:pPr>
      <w:spacing w:line="480" w:lineRule="auto"/>
      <w:ind w:left="720"/>
      <w:contextualSpacing/>
      <w:jc w:val="both"/>
    </w:pPr>
    <w:rPr>
      <w:rFonts w:asciiTheme="minorHAnsi" w:eastAsiaTheme="minorHAnsi" w:hAnsiTheme="minorHAnsi" w:cstheme="minorBidi"/>
      <w:sz w:val="22"/>
      <w:szCs w:val="22"/>
      <w:lang w:val="fr-FR"/>
    </w:rPr>
  </w:style>
  <w:style w:type="table" w:styleId="ColorfulGrid">
    <w:name w:val="Colorful Grid"/>
    <w:basedOn w:val="TableNormal"/>
    <w:uiPriority w:val="73"/>
    <w:rsid w:val="00225D48"/>
    <w:pPr>
      <w:jc w:val="both"/>
    </w:pPr>
    <w:rPr>
      <w:rFonts w:asciiTheme="minorHAnsi" w:eastAsiaTheme="minorHAnsi" w:hAnsiTheme="minorHAnsi" w:cstheme="minorBidi"/>
      <w:color w:val="000000" w:themeColor="text1"/>
      <w:sz w:val="22"/>
      <w:szCs w:val="22"/>
      <w:lang w:val="fr-FR"/>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225D48"/>
    <w:pPr>
      <w:jc w:val="both"/>
    </w:pPr>
    <w:rPr>
      <w:rFonts w:asciiTheme="minorHAnsi" w:eastAsiaTheme="minorHAnsi" w:hAnsiTheme="minorHAnsi" w:cstheme="minorBidi"/>
      <w:color w:val="000000" w:themeColor="text1"/>
      <w:sz w:val="22"/>
      <w:szCs w:val="22"/>
      <w:lang w:val="fr-F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2-Accent1">
    <w:name w:val="Medium List 2 Accent 1"/>
    <w:basedOn w:val="TableNormal"/>
    <w:uiPriority w:val="66"/>
    <w:rsid w:val="00D42DC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D42DC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1 Accent 4"/>
    <w:basedOn w:val="TableNormal"/>
    <w:uiPriority w:val="65"/>
    <w:rsid w:val="00D42DC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
    <w:name w:val="Light Shading"/>
    <w:basedOn w:val="TableNormal"/>
    <w:uiPriority w:val="60"/>
    <w:rsid w:val="00D42DC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D42DC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9125F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UnresolvedMention2">
    <w:name w:val="Unresolved Mention2"/>
    <w:basedOn w:val="DefaultParagraphFont"/>
    <w:uiPriority w:val="99"/>
    <w:semiHidden/>
    <w:unhideWhenUsed/>
    <w:rsid w:val="00C667B7"/>
    <w:rPr>
      <w:color w:val="605E5C"/>
      <w:shd w:val="clear" w:color="auto" w:fill="E1DFDD"/>
    </w:rPr>
  </w:style>
  <w:style w:type="paragraph" w:styleId="NoSpacing">
    <w:name w:val="No Spacing"/>
    <w:uiPriority w:val="1"/>
    <w:qFormat/>
    <w:rsid w:val="00AD09D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7315244">
      <w:bodyDiv w:val="1"/>
      <w:marLeft w:val="0"/>
      <w:marRight w:val="0"/>
      <w:marTop w:val="0"/>
      <w:marBottom w:val="0"/>
      <w:divBdr>
        <w:top w:val="none" w:sz="0" w:space="0" w:color="auto"/>
        <w:left w:val="none" w:sz="0" w:space="0" w:color="auto"/>
        <w:bottom w:val="none" w:sz="0" w:space="0" w:color="auto"/>
        <w:right w:val="none" w:sz="0" w:space="0" w:color="auto"/>
      </w:divBdr>
    </w:div>
    <w:div w:id="3952058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53399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5266-660F-4E43-BD3D-4D9DF318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17</Pages>
  <Words>6775</Words>
  <Characters>38624</Characters>
  <Application>Microsoft Office Word</Application>
  <DocSecurity>0</DocSecurity>
  <Lines>321</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cp:revision>
  <cp:lastPrinted>1999-07-06T11:00:00Z</cp:lastPrinted>
  <dcterms:created xsi:type="dcterms:W3CDTF">2026-04-01T13:44:00Z</dcterms:created>
  <dcterms:modified xsi:type="dcterms:W3CDTF">2026-04-03T08:45:00Z</dcterms:modified>
</cp:coreProperties>
</file>