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C1D" w:rsidRPr="00177083" w:rsidRDefault="00AF3C1D" w:rsidP="00177083">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177083">
        <w:rPr>
          <w:rFonts w:ascii="Times New Roman" w:eastAsia="Times New Roman" w:hAnsi="Times New Roman" w:cs="Times New Roman"/>
          <w:b/>
          <w:bCs/>
          <w:kern w:val="36"/>
          <w:sz w:val="24"/>
          <w:szCs w:val="24"/>
        </w:rPr>
        <w:t>Recent Advances and Mechanistic Insights into Hydrotropic Solubilization: From Conventional Agents to Novel Combination Strategies</w:t>
      </w:r>
    </w:p>
    <w:p w:rsidR="00AF3C1D" w:rsidRPr="00177083" w:rsidRDefault="00AF3C1D" w:rsidP="00177083">
      <w:pPr>
        <w:spacing w:before="100" w:beforeAutospacing="1" w:after="100" w:afterAutospacing="1" w:line="240" w:lineRule="auto"/>
        <w:outlineLvl w:val="1"/>
        <w:rPr>
          <w:rFonts w:ascii="Times New Roman" w:eastAsia="Times New Roman" w:hAnsi="Times New Roman" w:cs="Times New Roman"/>
          <w:b/>
          <w:bCs/>
          <w:sz w:val="24"/>
          <w:szCs w:val="24"/>
        </w:rPr>
      </w:pPr>
      <w:r w:rsidRPr="00177083">
        <w:rPr>
          <w:rFonts w:ascii="Times New Roman" w:eastAsia="Times New Roman" w:hAnsi="Times New Roman" w:cs="Times New Roman"/>
          <w:b/>
          <w:bCs/>
          <w:sz w:val="24"/>
          <w:szCs w:val="24"/>
        </w:rPr>
        <w:t>Abstract</w:t>
      </w:r>
    </w:p>
    <w:p w:rsidR="00AF3C1D" w:rsidRPr="00177083" w:rsidRDefault="00AF3C1D" w:rsidP="00E823AB">
      <w:pPr>
        <w:spacing w:before="100" w:beforeAutospacing="1" w:after="100" w:afterAutospacing="1" w:line="240" w:lineRule="auto"/>
        <w:jc w:val="both"/>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The poor aqueous solubility of emerging drug candidates remains a formidable challenge in pharmaceutical development, directly limiting oral bioavailability and therapeutic efficacy. Hydrotropic solubilization has gained significant attention as a versatile, cost-effective, and environmentally friendly technique to enhance the solubility of hydrophobic drugs without the need for organic solvents. This review provides a comprehensive overview of recent advances in the fundamental mechanisms underlying hydrotropy, including molecular self-aggregation, complexation, and the role of the Minimum Hydrotropic Concentration in initiating the solubilization process. The discussion categorizes hydrotropic agents into synthetic, natural, and novel classes, highlighting a strategic </w:t>
      </w:r>
      <w:r w:rsidR="00B52B91">
        <w:rPr>
          <w:rFonts w:ascii="Times New Roman" w:eastAsia="Times New Roman" w:hAnsi="Times New Roman" w:cs="Times New Roman"/>
          <w:sz w:val="24"/>
          <w:szCs w:val="24"/>
        </w:rPr>
        <w:t>shift toward biocompatible and green</w:t>
      </w:r>
      <w:r w:rsidRPr="00177083">
        <w:rPr>
          <w:rFonts w:ascii="Times New Roman" w:eastAsia="Times New Roman" w:hAnsi="Times New Roman" w:cs="Times New Roman"/>
          <w:sz w:val="24"/>
          <w:szCs w:val="24"/>
        </w:rPr>
        <w:t xml:space="preserve"> alternatives. Findings from literature revealed recent advances in formulation strategies, such as the development of hyd</w:t>
      </w:r>
      <w:r w:rsidR="00B52B91">
        <w:rPr>
          <w:rFonts w:ascii="Times New Roman" w:eastAsia="Times New Roman" w:hAnsi="Times New Roman" w:cs="Times New Roman"/>
          <w:sz w:val="24"/>
          <w:szCs w:val="24"/>
        </w:rPr>
        <w:t>rotropic solid dispersions and mixed hydrotropy</w:t>
      </w:r>
      <w:r w:rsidRPr="00177083">
        <w:rPr>
          <w:rFonts w:ascii="Times New Roman" w:eastAsia="Times New Roman" w:hAnsi="Times New Roman" w:cs="Times New Roman"/>
          <w:sz w:val="24"/>
          <w:szCs w:val="24"/>
        </w:rPr>
        <w:t>: a synergistic approach that achieves multifold solubility enhancement while minimizing individual agent concentrations and potential toxicity. By integrating advanced characterization techniques; including spectroscopic, microscopic, and thermodynamic studies with a critical analysis of regulatory and safety considerations for the commercia</w:t>
      </w:r>
      <w:r w:rsidR="00B52B91">
        <w:rPr>
          <w:rFonts w:ascii="Times New Roman" w:eastAsia="Times New Roman" w:hAnsi="Times New Roman" w:cs="Times New Roman"/>
          <w:sz w:val="24"/>
          <w:szCs w:val="24"/>
        </w:rPr>
        <w:t>lization of hydrotropic systems. T</w:t>
      </w:r>
      <w:r w:rsidRPr="00177083">
        <w:rPr>
          <w:rFonts w:ascii="Times New Roman" w:eastAsia="Times New Roman" w:hAnsi="Times New Roman" w:cs="Times New Roman"/>
          <w:sz w:val="24"/>
          <w:szCs w:val="24"/>
        </w:rPr>
        <w:t>hese insights provide a structural framework for overcoming the solubility barrier and optimizing the delivery of next-generation therapeutic agents using hydrotropes.</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Keywords: Hydrotropy, hydrotropes, solubility enhancement, drug delivery</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b/>
          <w:bCs/>
          <w:sz w:val="24"/>
          <w:szCs w:val="24"/>
        </w:rPr>
        <w:t>1.0 Introduction</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A significant challenge in pharmaceutical development remains the poor aqueous solubility of many drug candidates, which can severely limit their systemic absorption therapeutic efficacy (Nakmode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2022). Approximately 90% of new drug candidates classified under Biopharmaceutics Classification System classes II and IV exhibit poor aqueous solubility, posing a significant hurdle for effective oral drug delivery (Shen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2023). This inherent challenge posed by low solubility in pharmaceutical development underscores the critical need for effective solubilization strategies (Kuchekar et al., 2021). The escalating number of poorly water-soluble compounds in drug discovery intensifies this challenge, hindering the development of formulations with optimal bioavailability (Kuchekar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2021). Therefore, understanding and applying effective solubility enhancement techniques are crucial for improving drug absorption and overall therapeutic outcomes (Bhalani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2022) (Rahman &amp; Haider, 2023). Among the various strategies to overcome this, hydrotropic solubilization stands out as a unique technique that improves the aqueous solubility of poorly soluble drugs by disrupting intermolecular interactions without requiring chemical modification of the drug substance (Tambe, 2025). Hydrotropy, as a specific solubility enhancement technique, offers a promising avenue for improving the bioavailability of such challenging compounds (Bhalani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2022). It presents a unique mechanism that differentiates it from other solubilization methods, offering distinct </w:t>
      </w:r>
      <w:r w:rsidRPr="00177083">
        <w:rPr>
          <w:rFonts w:ascii="Times New Roman" w:eastAsia="Times New Roman" w:hAnsi="Times New Roman" w:cs="Times New Roman"/>
          <w:sz w:val="24"/>
          <w:szCs w:val="24"/>
        </w:rPr>
        <w:lastRenderedPageBreak/>
        <w:t xml:space="preserve">advantages for drug formulation (Ibrahim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2020). This process involves the use of hydrotropic agents, which are compounds that significantly increase the aqueous solubility of hydrophobic molecules through self-aggregation, forming micelle-like structures that encapsulate the drug (Tambe, 2025). This distinguishes hydrotropic agents from conventional surfactants, which operate via self-assembly into micelles above a critical micelle concentration to encapsulate hydrophobic molecules (O’Shea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2021). Unlike other solubilization methods such as co-solvency or solid dispersion technologies, hydrotropy offers the advantage of not requiring organic solvents or complex modification of hydrophobic substances (Kuchekar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2021). This method is recognized for its cost-effectiveness, environmental friendliness, and safety, presenting a viable alternative to solvent evaporation techniques that necessitate organic solvents (Kuchekar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2021). This approach not only enhances drug absorption and bioavailability but also offers greater flexibility in formulating various dosage forms, including liquid oral solutions, which exhibit superior bioavailability and faster onset of action compared to suspensions (Kuchekar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2021; Tambe, 2025). The simplicity, effectiveness, and cost-efficiency of hydrotropic formulations, which often utilize readily available agents like urea or sodium benzoate, further support their adoption for large-scale pharmaceutical production (Kuchekar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2021; Tambe, 2025). Given the expanding applications of hydrotropic systems, especially within the pharmaceutical sector, it becomes imperative to further explore their mechanistic intricacies, particularly concerning drug formulation and delivery (Hossain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2023). For instance, the use of hydrotropes is advantageous in parenteral drug formulations where the avoidance of harmful organic solvents is crucial for patient safety</w:t>
      </w:r>
      <w:r w:rsidR="00B52B91">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 xml:space="preserve">(Mirzapure, 2024). This has prompted extensive research into the physicochemical parameters and interaction mechanisms of hydrotropes, including their aggregation behavior and influence on drug-surfactant systems (Hossain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2023). Future investigations should focus on elucidating the precise molecular interactions between hydrotropes, target solutes, and biological matrices to optimize their efficacy and safety profiles for diverse therapeutic applications (Abranches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2020) (Lal et al., 2023). This understanding is crucial for harnessing hydrotropic effects to enhance drug penetration, particularly in transdermal and other localized delivery systems, while minimizing potential side effects (Hossain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2023) (Kováčik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2020). This could lead to novel strategies for improving the bioavailability of poorly soluble drugs and for developing more efficient and patient-friendly drug delivery platforms. Moreover, hydrotropy offers a sustainable alternative to traditional organic solvents in various industrial processes, including extraction and catalysis, aligning with principles of green chemistry (Sharma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2024)</w:t>
      </w:r>
      <w:r w:rsidR="00B52B91">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 xml:space="preserve">This review aims to explore the recent advancements in hydrotropic solubilization techniques, detailing their mechanisms and applications in enhancing the aqueous solubility of poorly soluble drugs. It also delineates the various classes of hydrotropic agents, critically analyzing their proposed mechanisms of action, and discusses their practical applications in drug formulation, emphasizing the potential for enhanced therapeutic delivery. Future endeavors should focus on leveraging computational modeling and advanced analytical techniques to elucidate the precise molecular mechanisms governing hydrotropic solubilization, thereby facilitating the rational design of novel hydrotropes with enhanced efficacy and selectivity for a broader range of poorly soluble active pharmaceutical ingredients (Kravanja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2022).</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b/>
          <w:bCs/>
          <w:sz w:val="24"/>
          <w:szCs w:val="24"/>
        </w:rPr>
        <w:t>2.0 Poor Aqueous Solubility: Challenges in Drug Discovery and Delivery</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lastRenderedPageBreak/>
        <w:t xml:space="preserve">This challenge is exacerbated by the fact that low solubility often translates to reduced drugability, making it a critical barrier in bringing new drug molecules to the market (Gupta </w:t>
      </w:r>
      <w:r w:rsidRPr="00B52B91">
        <w:rPr>
          <w:rFonts w:ascii="Times New Roman" w:eastAsia="Times New Roman" w:hAnsi="Times New Roman" w:cs="Times New Roman"/>
          <w:i/>
          <w:sz w:val="24"/>
          <w:szCs w:val="24"/>
        </w:rPr>
        <w:t>et al.,</w:t>
      </w:r>
      <w:r w:rsidRPr="00177083">
        <w:rPr>
          <w:rFonts w:ascii="Times New Roman" w:eastAsia="Times New Roman" w:hAnsi="Times New Roman" w:cs="Times New Roman"/>
          <w:sz w:val="24"/>
          <w:szCs w:val="24"/>
        </w:rPr>
        <w:t xml:space="preserve"> 2023). This pervasive issue often results in low bioavailability, diminished therapeutic effects, and necessitates dosage escalation, thereby underscoring the urgent need for effective solubilization strategies (Kumari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2023). Traditional approaches to address this problem include the use of cosolvents, micronization, salt formation, and solid dispersions; however, these methods often present their own limitations such as toxicity, poor stability, or complex manufacturing processes (Rahman &amp; Haider, 2023; Rupvate </w:t>
      </w:r>
      <w:r w:rsidRPr="00B52B91">
        <w:rPr>
          <w:rFonts w:ascii="Times New Roman" w:eastAsia="Times New Roman" w:hAnsi="Times New Roman" w:cs="Times New Roman"/>
          <w:i/>
          <w:sz w:val="24"/>
          <w:szCs w:val="24"/>
        </w:rPr>
        <w:t>et al.,</w:t>
      </w:r>
      <w:r w:rsidRPr="00177083">
        <w:rPr>
          <w:rFonts w:ascii="Times New Roman" w:eastAsia="Times New Roman" w:hAnsi="Times New Roman" w:cs="Times New Roman"/>
          <w:sz w:val="24"/>
          <w:szCs w:val="24"/>
        </w:rPr>
        <w:t xml:space="preserve"> 2022). Therefore, ongoing research consistently seeks innovative strategies to overcome these solubility hurdles and improve the overall performance of pharmaceutical compounds (NARMADA, 2023). Indeed, poor solubility is a primary factor contributing to issues such as inconsistent, limited, and highly variable bioavailability of lead drug candidates and marketed products, posing a significant obstacle in drug discovery, delivery, and administration (Gupta </w:t>
      </w:r>
      <w:r w:rsidRPr="00B52B91">
        <w:rPr>
          <w:rFonts w:ascii="Times New Roman" w:eastAsia="Times New Roman" w:hAnsi="Times New Roman" w:cs="Times New Roman"/>
          <w:i/>
          <w:sz w:val="24"/>
          <w:szCs w:val="24"/>
        </w:rPr>
        <w:t>et al.,</w:t>
      </w:r>
      <w:r w:rsidRPr="00177083">
        <w:rPr>
          <w:rFonts w:ascii="Times New Roman" w:eastAsia="Times New Roman" w:hAnsi="Times New Roman" w:cs="Times New Roman"/>
          <w:sz w:val="24"/>
          <w:szCs w:val="24"/>
        </w:rPr>
        <w:t xml:space="preserve"> 2023). </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b/>
          <w:bCs/>
          <w:sz w:val="24"/>
          <w:szCs w:val="24"/>
        </w:rPr>
        <w:t>3.0 Limitations of Traditional Solubilization Techniques</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While techniques, such as solid dispersion, have shown efficacy in improving solubility for various drugs like Griseofulvin and Ketoprofen, they frequently present challenges related to manufacturing complexity, stability, and scalability (Patil &amp; Patel, 2025). For instance, micronization, despite increasing surface area, may not sufficiently enhance dissolution for extremely hydrophobic compounds</w:t>
      </w:r>
      <w:r w:rsidR="00B52B91">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 xml:space="preserve">(Rupvate </w:t>
      </w:r>
      <w:r w:rsidRPr="00B52B91">
        <w:rPr>
          <w:rFonts w:ascii="Times New Roman" w:eastAsia="Times New Roman" w:hAnsi="Times New Roman" w:cs="Times New Roman"/>
          <w:i/>
          <w:sz w:val="24"/>
          <w:szCs w:val="24"/>
        </w:rPr>
        <w:t>et al.,</w:t>
      </w:r>
      <w:r w:rsidRPr="00177083">
        <w:rPr>
          <w:rFonts w:ascii="Times New Roman" w:eastAsia="Times New Roman" w:hAnsi="Times New Roman" w:cs="Times New Roman"/>
          <w:sz w:val="24"/>
          <w:szCs w:val="24"/>
        </w:rPr>
        <w:t xml:space="preserve"> 2022), and pH adjustment is often limited by the physiological pH range and potential drug degradation</w:t>
      </w:r>
      <w:r w:rsidR="00B52B91">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 xml:space="preserve">(Haznar-Garbacz </w:t>
      </w:r>
      <w:r w:rsidRPr="00B52B91">
        <w:rPr>
          <w:rFonts w:ascii="Times New Roman" w:eastAsia="Times New Roman" w:hAnsi="Times New Roman" w:cs="Times New Roman"/>
          <w:i/>
          <w:sz w:val="24"/>
          <w:szCs w:val="24"/>
        </w:rPr>
        <w:t>et al.,</w:t>
      </w:r>
      <w:r w:rsidRPr="00177083">
        <w:rPr>
          <w:rFonts w:ascii="Times New Roman" w:eastAsia="Times New Roman" w:hAnsi="Times New Roman" w:cs="Times New Roman"/>
          <w:sz w:val="24"/>
          <w:szCs w:val="24"/>
        </w:rPr>
        <w:t xml:space="preserve"> 2022). Moreover, the employment of cosolvents, while effective in some cases, often raises concerns regarding potential toxicity and formulation palatability, further complicating their broad application in pharmaceutical formulations</w:t>
      </w:r>
      <w:r w:rsidR="00B52B91">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 xml:space="preserve">(Khiabani </w:t>
      </w:r>
      <w:r w:rsidRPr="00B52B91">
        <w:rPr>
          <w:rFonts w:ascii="Times New Roman" w:eastAsia="Times New Roman" w:hAnsi="Times New Roman" w:cs="Times New Roman"/>
          <w:i/>
          <w:sz w:val="24"/>
          <w:szCs w:val="24"/>
        </w:rPr>
        <w:t>et al.,</w:t>
      </w:r>
      <w:r w:rsidRPr="00177083">
        <w:rPr>
          <w:rFonts w:ascii="Times New Roman" w:eastAsia="Times New Roman" w:hAnsi="Times New Roman" w:cs="Times New Roman"/>
          <w:sz w:val="24"/>
          <w:szCs w:val="24"/>
        </w:rPr>
        <w:t xml:space="preserve"> 2025). Consequently, the inherent limitations of these conventional methods often impede the comprehensive resolution of solubility issues for a significant proportion of drug candidates, highlighting the persistent need for novel and more versatile solubilization approaches</w:t>
      </w:r>
      <w:r w:rsidR="00B52B91">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 xml:space="preserve">(Nyamba </w:t>
      </w:r>
      <w:r w:rsidRPr="00B52B91">
        <w:rPr>
          <w:rFonts w:ascii="Times New Roman" w:eastAsia="Times New Roman" w:hAnsi="Times New Roman" w:cs="Times New Roman"/>
          <w:i/>
          <w:sz w:val="24"/>
          <w:szCs w:val="24"/>
        </w:rPr>
        <w:t>et al.,</w:t>
      </w:r>
      <w:r w:rsidRPr="00177083">
        <w:rPr>
          <w:rFonts w:ascii="Times New Roman" w:eastAsia="Times New Roman" w:hAnsi="Times New Roman" w:cs="Times New Roman"/>
          <w:sz w:val="24"/>
          <w:szCs w:val="24"/>
        </w:rPr>
        <w:t xml:space="preserve"> 2024). This necessitates the exploration of alternative strategies that can effectively overcome these challenges without compromising drug stability or patient safety. This underscores the importance of hydrotropic solubilization as a viable alternative, offering a unique mechanism to enhance solubility without the drawbacks associated with many conventional methods. Hydrotropic agents offer advantages such as high selectivity, non-inflammability, environmental friendliness, and cost-effectiveness, making them an attractive option for overcoming solubility limitations</w:t>
      </w:r>
      <w:r w:rsidR="00B52B91">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(Mirzapure, 2024). These characteristics position hydrotropy as a promising avenue for developing advanced drug delivery systems, particularly for compounds with inherent poor aqueous solubility</w:t>
      </w:r>
      <w:r w:rsidR="00B52B91">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 xml:space="preserve">(Gupta </w:t>
      </w:r>
      <w:r w:rsidRPr="00B52B91">
        <w:rPr>
          <w:rFonts w:ascii="Times New Roman" w:eastAsia="Times New Roman" w:hAnsi="Times New Roman" w:cs="Times New Roman"/>
          <w:i/>
          <w:sz w:val="24"/>
          <w:szCs w:val="24"/>
        </w:rPr>
        <w:t>et al.</w:t>
      </w:r>
      <w:r w:rsidRPr="00177083">
        <w:rPr>
          <w:rFonts w:ascii="Times New Roman" w:eastAsia="Times New Roman" w:hAnsi="Times New Roman" w:cs="Times New Roman"/>
          <w:sz w:val="24"/>
          <w:szCs w:val="24"/>
        </w:rPr>
        <w:t>, 2023). Given the continuous influx of novel drugs with poor aqueous solubility stemming from modern drug discovery techniques like combinatorial chemistry and high-throughput screening, the development of sophisticated solubilization techniques remains paramount</w:t>
      </w:r>
      <w:r w:rsidR="00B52B91">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 xml:space="preserve">(Gupta </w:t>
      </w:r>
      <w:r w:rsidRPr="00B52B91">
        <w:rPr>
          <w:rFonts w:ascii="Times New Roman" w:eastAsia="Times New Roman" w:hAnsi="Times New Roman" w:cs="Times New Roman"/>
          <w:i/>
          <w:sz w:val="24"/>
          <w:szCs w:val="24"/>
        </w:rPr>
        <w:t>et al.,</w:t>
      </w:r>
      <w:r w:rsidRPr="00177083">
        <w:rPr>
          <w:rFonts w:ascii="Times New Roman" w:eastAsia="Times New Roman" w:hAnsi="Times New Roman" w:cs="Times New Roman"/>
          <w:sz w:val="24"/>
          <w:szCs w:val="24"/>
        </w:rPr>
        <w:t xml:space="preserve"> 2023). Therefore, understanding and optimizing hydrotropic solubilization is crucial for the successful development of new drug formulations (Mirzapure, 2024). </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b/>
          <w:bCs/>
          <w:sz w:val="24"/>
          <w:szCs w:val="24"/>
        </w:rPr>
        <w:t xml:space="preserve">4.0 Fundamentals of Hydrotropy </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Hydrotropy is distinct from micellar solubilization and salting-in, involves the use of hydrotropic agents; structurally diverse compounds typically characterized by a short, bulky, and compact </w:t>
      </w:r>
      <w:r w:rsidRPr="00177083">
        <w:rPr>
          <w:rFonts w:ascii="Times New Roman" w:eastAsia="Times New Roman" w:hAnsi="Times New Roman" w:cs="Times New Roman"/>
          <w:sz w:val="24"/>
          <w:szCs w:val="24"/>
        </w:rPr>
        <w:lastRenderedPageBreak/>
        <w:t>moiety that possesses both hydrophilic and hydrophobic characteristics, yet lacks the long hydrocarbon chains typical of surfactants (Mirzapure, 2024; Tambe, 2025). This structural characteristic enables hydrotropes to significantly increase the aqueous solubility of sparingly soluble compounds, primarily through weak intermolecular interactions rather than the formation of organized micellar structures</w:t>
      </w:r>
      <w:r w:rsidR="00B52B91">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 xml:space="preserve">(Nasrallah &amp; Minceva, 2025). This phenomenon, first defined by Carl Neuberg in 1916, highlights hydrotropy as an effective and relatively simple approach for enhancing the solubility of active pharmaceutical ingredients (Nasrallah &amp; Minceva, 2025). The mechanism underpinning hydrotropic solubilization is thought to involve the disruption of water’s ordered structure around the solute, facilitating its entry into the aqueous phase, or through direct interaction between the hydrotrope and the poorly soluble drug molecule (Mirzapure, 2024). Unlike cosolvency, which alters the entire solvent environment, hydrotropy achieves solubility enhancement through the addition of specific agents that interact directly with the drug without extensively modifying the bulk solvent properties (Hamd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2024). This distinction is critical for pharmaceutical applications, as it often translates to lower toxicity and greater biocompatibility compared to high concentrations of organic cosolvents (Hamd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2024). Examples of hydrotropic agents include sodium benzoate, urea, nicotinamide, and lysine, all of which have been shown to significantly improve the solubility of various poorly water-soluble drugs (Kazi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2022). The self-assembly of these ionic organic salts in solution, driven by a balance between their hydrophobic and hydrophilic components, facilitates the "salting in" of non-electrolytes through complexation rather than micellar encapsulation (Chavan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2023; Tambe, 2025). Neuberg's initial definition emphasized that these amphiphilic compounds facilitate solubility through mechanisms distinct from micellar solubilization, primarily involving an anionic group for aqueous solubility and a hydrophobic aromatic ring for interaction with the solute (Dhahir, 2022; Nasrallah &amp; Minceva, 2025). </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3.0.1 Major Advantages of hydrotropy:</w:t>
      </w:r>
    </w:p>
    <w:p w:rsidR="00AF3C1D" w:rsidRPr="00177083" w:rsidRDefault="00AF3C1D" w:rsidP="001770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It can solubilize a wide range of hydrophobic drugs that are poorly soluble in water</w:t>
      </w:r>
      <w:r w:rsidR="00B52B91">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(Joshi et al., 2019).</w:t>
      </w:r>
    </w:p>
    <w:p w:rsidR="00AF3C1D" w:rsidRPr="00177083" w:rsidRDefault="00AF3C1D" w:rsidP="001770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It can avoid the use of organic solvents, which are costly, volatile, toxic, and polluting</w:t>
      </w:r>
      <w:r w:rsidR="00B52B91">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(Ansari, 2019).</w:t>
      </w:r>
    </w:p>
    <w:p w:rsidR="00AF3C1D" w:rsidRPr="00177083" w:rsidRDefault="00AF3C1D" w:rsidP="001770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It can enhance the bioavailability and therapeutic efficacy of drugs by increasing their dissolution rate</w:t>
      </w:r>
      <w:r w:rsidR="00B52B91">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(Shah et al., 2024).</w:t>
      </w:r>
    </w:p>
    <w:p w:rsidR="00AF3C1D" w:rsidRPr="00177083" w:rsidRDefault="00AF3C1D" w:rsidP="001770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It can be environmentally friendly, non-inflammable, easily available, and cost-effective</w:t>
      </w:r>
      <w:r w:rsidR="00B52B91">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(Ansari, 2019).</w:t>
      </w:r>
    </w:p>
    <w:p w:rsidR="00AF3C1D" w:rsidRPr="00177083" w:rsidRDefault="00AF3C1D" w:rsidP="001770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It can have high selectivity and specificity for certain </w:t>
      </w:r>
      <w:proofErr w:type="gramStart"/>
      <w:r w:rsidRPr="00177083">
        <w:rPr>
          <w:rFonts w:ascii="Times New Roman" w:eastAsia="Times New Roman" w:hAnsi="Times New Roman" w:cs="Times New Roman"/>
          <w:sz w:val="24"/>
          <w:szCs w:val="24"/>
        </w:rPr>
        <w:t>solutes(</w:t>
      </w:r>
      <w:proofErr w:type="gramEnd"/>
      <w:r w:rsidRPr="00177083">
        <w:rPr>
          <w:rFonts w:ascii="Times New Roman" w:eastAsia="Times New Roman" w:hAnsi="Times New Roman" w:cs="Times New Roman"/>
          <w:sz w:val="24"/>
          <w:szCs w:val="24"/>
        </w:rPr>
        <w:t>Mirzapure, 2024).</w:t>
      </w:r>
    </w:p>
    <w:p w:rsidR="00AF3C1D" w:rsidRPr="00177083" w:rsidRDefault="00AF3C1D" w:rsidP="001770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It can reduce the surface tension and facilitate the emulsification of fat</w:t>
      </w:r>
      <w:r w:rsidR="00B52B91">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(Ansari, 2019; Sharma &amp; Saroha, 2023).</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b/>
          <w:bCs/>
          <w:sz w:val="24"/>
          <w:szCs w:val="24"/>
        </w:rPr>
        <w:t>3.0.2 Fewer Surmountable Disadvantages of hydrotropy:</w:t>
      </w:r>
    </w:p>
    <w:p w:rsidR="00AF3C1D" w:rsidRPr="00177083" w:rsidRDefault="00AF3C1D" w:rsidP="0017708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They may require high concentrations to achieve significant solubilization, which may increase the cost, toxicity, and environmental hazards of the formulation</w:t>
      </w:r>
      <w:r w:rsidR="00B52B91">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(Ansari, 2019; Mirzapure, 2024).</w:t>
      </w:r>
    </w:p>
    <w:p w:rsidR="00AF3C1D" w:rsidRPr="00177083" w:rsidRDefault="00AF3C1D" w:rsidP="00177083">
      <w:pPr>
        <w:numPr>
          <w:ilvl w:val="0"/>
          <w:numId w:val="2"/>
        </w:numPr>
        <w:spacing w:beforeAutospacing="1" w:after="0" w:afterAutospacing="1" w:line="240" w:lineRule="auto"/>
        <w:rPr>
          <w:rFonts w:ascii="Times New Roman" w:eastAsia="Times New Roman" w:hAnsi="Times New Roman" w:cs="Times New Roman"/>
          <w:sz w:val="24"/>
          <w:szCs w:val="24"/>
        </w:rPr>
      </w:pPr>
    </w:p>
    <w:p w:rsidR="00AF3C1D" w:rsidRPr="00177083" w:rsidRDefault="00AF3C1D" w:rsidP="0017708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lastRenderedPageBreak/>
        <w:t>They may interfere with the stability, bioavailability, or pharmacokinetics of the drug by altering its partition coefficient, diffusion rate, or metabolism</w:t>
      </w:r>
      <w:r w:rsidR="00B52B91">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(Mirzapure, 2024).</w:t>
      </w:r>
    </w:p>
    <w:p w:rsidR="00AF3C1D" w:rsidRPr="00177083" w:rsidRDefault="00AF3C1D" w:rsidP="0017708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They may cause precipitation or crystallization of the drug upon dilution or change in pH</w:t>
      </w:r>
      <w:r w:rsidR="00B52B91">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(Kazi et al., 2022; Rathi &amp; Gaikar, 2018).</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b/>
          <w:bCs/>
          <w:sz w:val="24"/>
          <w:szCs w:val="24"/>
        </w:rPr>
        <w:t>4.0 Mechanism of Action of Hydrotropes</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The precise molecular mechanism by which hydrotropes enhance solubility remains a subject of ongoing investigation, but prevailing theories suggest several pathways, including the alteration of solvent properties, reduction of the interfacial tension between the hydrophobic solute and water, and the formation of inclusion complexes (Tambe, 2025). One proposed mechanism involves the hydrotrope molecules associating with the hydrophobic drug molecules, forming loosely bound aggregates that increase the effective polarity of the drug and enhance its aqueous dispersion (Nasrallah &amp; Minceva, 2025). Another hypothesis posits that hydrotropes modify the water structure around the hydrophobic solute, thereby reducing the energetic penalty associated with solvent-solute interactions and facilitating solubilization (Nasrallah &amp; Minceva, 2025). Furthermore, some theories propose that hydrotropes function by reducing the cohesive forces of water or by increasing the dielectric constant of the solvent, both of which contribute to an augmented capacity for dissolving hydrophobic </w:t>
      </w:r>
      <w:proofErr w:type="gramStart"/>
      <w:r w:rsidRPr="00177083">
        <w:rPr>
          <w:rFonts w:ascii="Times New Roman" w:eastAsia="Times New Roman" w:hAnsi="Times New Roman" w:cs="Times New Roman"/>
          <w:sz w:val="24"/>
          <w:szCs w:val="24"/>
        </w:rPr>
        <w:t>compounds(</w:t>
      </w:r>
      <w:proofErr w:type="gramEnd"/>
      <w:r w:rsidRPr="00177083">
        <w:rPr>
          <w:rFonts w:ascii="Times New Roman" w:eastAsia="Times New Roman" w:hAnsi="Times New Roman" w:cs="Times New Roman"/>
          <w:sz w:val="24"/>
          <w:szCs w:val="24"/>
        </w:rPr>
        <w:t xml:space="preserve">Hossain et al., 2023). Additionally, it has been observed that hydrotropes can form stack-type aggregates through planar repulsive moieties, which are crucial for their solubilizing action, a mechanism distinct from typical micellar formation (Mirzapure, 2024). Despite these proposed mechanisms, information on the comprehensive understanding of hydrotropy is limited, with ongoing research attempting to better elucidate the exact processes (Kazi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2022). Specifically, researchers propose mechanisms such as hydrotrope self-aggregation, where hydrotropes form micelle-like structures that encapsulate the hydrophobic solute (Kazi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2022; Mirzapure, 2024), and complexation between the hydrotrope and the active pharmaceutical ingredient (Nasrallah &amp; Minceva, 2025; Tambe, 2025). It is believed that a stacking mechanism drives the self-aggregation of hydrotrope molecules, akin to surfactants, although the impact of hydrotropy on surface tension and other parameters deviates significantly from typical surfactant behavior</w:t>
      </w:r>
      <w:r w:rsidR="00B52B91">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 xml:space="preserve">(Mirzapure, 2024). </w:t>
      </w:r>
    </w:p>
    <w:p w:rsidR="00AF3C1D" w:rsidRPr="00177083" w:rsidRDefault="00AF3C1D" w:rsidP="00177083">
      <w:pPr>
        <w:spacing w:before="100" w:beforeAutospacing="1" w:after="100" w:afterAutospacing="1" w:line="240" w:lineRule="auto"/>
        <w:outlineLvl w:val="1"/>
        <w:rPr>
          <w:rFonts w:ascii="Times New Roman" w:eastAsia="Times New Roman" w:hAnsi="Times New Roman" w:cs="Times New Roman"/>
          <w:b/>
          <w:bCs/>
          <w:sz w:val="24"/>
          <w:szCs w:val="24"/>
        </w:rPr>
      </w:pPr>
      <w:r w:rsidRPr="00177083">
        <w:rPr>
          <w:rFonts w:ascii="Times New Roman" w:eastAsia="Times New Roman" w:hAnsi="Times New Roman" w:cs="Times New Roman"/>
          <w:b/>
          <w:bCs/>
          <w:sz w:val="24"/>
          <w:szCs w:val="24"/>
        </w:rPr>
        <w:t xml:space="preserve">THREE MAJOR MECHANISMS OF HYDROTROPE ACTION </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The mechanism for enhancement of water-solubility by hydrotrope rests on two supports. In the first lies the creation of homogenous connection between hydrotrope molecules, i.e., hydrotrope–hydrotrope association otherwise referred to as molecular self– association of hydrotrope (Nasrallah &amp; Minceva, 2025). Conversely, the other one deals with one of a heterogenous nature i.e., solute–hydrotrope molecules association (Nasrallah &amp; Minceva, 2025). Under thorough review of a number of documented theoretical postulations which focused on attempting to elucidate the mechanisms of hydrotrope action. Here, the researchesr confine the discussion to the minimum number of the three mechanisms, viz: </w:t>
      </w:r>
    </w:p>
    <w:p w:rsidR="00AF3C1D" w:rsidRPr="00177083" w:rsidRDefault="00AF3C1D" w:rsidP="0017708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Self-aggregation hypothesis</w:t>
      </w:r>
    </w:p>
    <w:p w:rsidR="00AF3C1D" w:rsidRPr="00177083" w:rsidRDefault="00AF3C1D" w:rsidP="0017708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Structure Making/Breaking hypothesis</w:t>
      </w:r>
    </w:p>
    <w:p w:rsidR="00AF3C1D" w:rsidRDefault="00AF3C1D" w:rsidP="0017708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Ability to form micelles–like structure. </w:t>
      </w:r>
    </w:p>
    <w:p w:rsidR="00B52B91" w:rsidRPr="00177083" w:rsidRDefault="00B52B91" w:rsidP="00B52B91">
      <w:pPr>
        <w:spacing w:before="100" w:beforeAutospacing="1" w:after="100" w:afterAutospacing="1" w:line="240" w:lineRule="auto"/>
        <w:rPr>
          <w:rFonts w:ascii="Times New Roman" w:eastAsia="Times New Roman" w:hAnsi="Times New Roman" w:cs="Times New Roman"/>
          <w:sz w:val="24"/>
          <w:szCs w:val="24"/>
        </w:rPr>
      </w:pPr>
      <w:r w:rsidRPr="00C22762">
        <w:rPr>
          <w:rFonts w:ascii="Times New Roman" w:hAnsi="Times New Roman" w:cs="Times New Roman"/>
          <w:noProof/>
          <w:sz w:val="24"/>
          <w:szCs w:val="24"/>
        </w:rPr>
        <w:lastRenderedPageBreak/>
        <w:drawing>
          <wp:inline distT="0" distB="0" distL="0" distR="0" wp14:anchorId="0A8698B8" wp14:editId="689D8A88">
            <wp:extent cx="5838824" cy="6581775"/>
            <wp:effectExtent l="0" t="0" r="0" b="0"/>
            <wp:docPr id="10" name="Picture 1" descr="Fi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2.5"/>
                    <pic:cNvPicPr>
                      <a:picLocks noChangeAspect="1" noChangeArrowheads="1"/>
                    </pic:cNvPicPr>
                  </pic:nvPicPr>
                  <pic:blipFill>
                    <a:blip r:embed="rId5"/>
                    <a:srcRect/>
                    <a:stretch>
                      <a:fillRect/>
                    </a:stretch>
                  </pic:blipFill>
                  <pic:spPr bwMode="auto">
                    <a:xfrm>
                      <a:off x="0" y="0"/>
                      <a:ext cx="5844249" cy="6587890"/>
                    </a:xfrm>
                    <a:prstGeom prst="rect">
                      <a:avLst/>
                    </a:prstGeom>
                    <a:noFill/>
                    <a:ln w="9525">
                      <a:noFill/>
                      <a:miter lim="800000"/>
                      <a:headEnd/>
                      <a:tailEnd/>
                    </a:ln>
                  </pic:spPr>
                </pic:pic>
              </a:graphicData>
            </a:graphic>
          </wp:inline>
        </w:drawing>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Fig 1. Hydrotropy techniques and its mechanism for solubility enhancement of poorly soluble </w:t>
      </w:r>
      <w:proofErr w:type="gramStart"/>
      <w:r w:rsidRPr="00177083">
        <w:rPr>
          <w:rFonts w:ascii="Times New Roman" w:eastAsia="Times New Roman" w:hAnsi="Times New Roman" w:cs="Times New Roman"/>
          <w:sz w:val="24"/>
          <w:szCs w:val="24"/>
        </w:rPr>
        <w:t>drug(</w:t>
      </w:r>
      <w:proofErr w:type="gramEnd"/>
      <w:r w:rsidRPr="00177083">
        <w:rPr>
          <w:rFonts w:ascii="Times New Roman" w:eastAsia="Times New Roman" w:hAnsi="Times New Roman" w:cs="Times New Roman"/>
          <w:sz w:val="24"/>
          <w:szCs w:val="24"/>
        </w:rPr>
        <w:t xml:space="preserve">Tambe, 2025) </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b/>
          <w:bCs/>
          <w:sz w:val="24"/>
          <w:szCs w:val="24"/>
        </w:rPr>
        <w:t>5.0 Factors Influencing Hydrotropic Solubilization</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The effectiveness of hydrotropic solubilization is highly dependent on a variety of physicochemical parameters, including the concentration and chemical structure of the hydrotrope, the properties of the poorly soluble drug, temperature, and pH of the solution. For </w:t>
      </w:r>
      <w:r w:rsidRPr="00177083">
        <w:rPr>
          <w:rFonts w:ascii="Times New Roman" w:eastAsia="Times New Roman" w:hAnsi="Times New Roman" w:cs="Times New Roman"/>
          <w:sz w:val="24"/>
          <w:szCs w:val="24"/>
        </w:rPr>
        <w:lastRenderedPageBreak/>
        <w:t>instance, the optimal hydrotrope concentration often lies within a specific range, beyond which self-aggregation can occur, potentially altering solubilization efficiency</w:t>
      </w:r>
      <w:r w:rsidR="00B52B91">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 xml:space="preserve">(Kuchekar </w:t>
      </w:r>
      <w:r w:rsidRPr="00B52B91">
        <w:rPr>
          <w:rFonts w:ascii="Times New Roman" w:eastAsia="Times New Roman" w:hAnsi="Times New Roman" w:cs="Times New Roman"/>
          <w:i/>
          <w:sz w:val="24"/>
          <w:szCs w:val="24"/>
        </w:rPr>
        <w:t>et al.,</w:t>
      </w:r>
      <w:r w:rsidRPr="00177083">
        <w:rPr>
          <w:rFonts w:ascii="Times New Roman" w:eastAsia="Times New Roman" w:hAnsi="Times New Roman" w:cs="Times New Roman"/>
          <w:sz w:val="24"/>
          <w:szCs w:val="24"/>
        </w:rPr>
        <w:t xml:space="preserve"> 2021). Additionally, the electrostatic forces between donor-acceptor molecules within the hydrotrope-water mixture surrounding the drug are critical, influencing whether the hydrotrope acts as a structure breaker (chaotrope) or structure maker (kosmotrope) and thereby affecting the cloud point and solubility enhancement (Kazi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2022). The amphiphilic nature of hydrotropes, characterized by both hydrophilic and hydrophobic moieties, enables them to self-aggregate in solution, a process that is crucial for their solubilizing activity, yet distinct from classical micelle formation (Nasrallah &amp; Minceva, 2025). </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b/>
          <w:bCs/>
          <w:sz w:val="24"/>
          <w:szCs w:val="24"/>
        </w:rPr>
        <w:t>6.0 Blended/Mixed hydrotropy</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The phenomenon of mixed hydrotropic solubilization technique is used to increase the solubility of medications that are not very soluble in water in mixtures of hydrotropic agents that have the potential to significantly improve the solubility of poorly water soluble drugs when combined. These agents can also be used to formulate water insoluble drug dosage forms and lower the concentration of individual hydrotropic agents to reduce side effects (Ugodi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2024). For example, instead of using a large concentration of one hydrotrope, a blend of five hydrotropes can be used in 1/5th concentrations, reducing their individual toxicities (Maheshwari et al., 2010). In the research carried out by Deore </w:t>
      </w:r>
      <w:r w:rsidRPr="00177083">
        <w:rPr>
          <w:rFonts w:ascii="Times New Roman" w:eastAsia="Times New Roman" w:hAnsi="Times New Roman" w:cs="Times New Roman"/>
          <w:i/>
          <w:iCs/>
          <w:sz w:val="24"/>
          <w:szCs w:val="24"/>
        </w:rPr>
        <w:t>et al, (2021</w:t>
      </w:r>
      <w:r w:rsidRPr="00177083">
        <w:rPr>
          <w:rFonts w:ascii="Times New Roman" w:eastAsia="Times New Roman" w:hAnsi="Times New Roman" w:cs="Times New Roman"/>
          <w:sz w:val="24"/>
          <w:szCs w:val="24"/>
        </w:rPr>
        <w:t xml:space="preserve">) on Application of mixed hydrotropy for solubility enhancement, valsartan was used. Valsartan is an orally active antihypertensive drug belongs to BCS class II category (Ugodi </w:t>
      </w:r>
      <w:r w:rsidRPr="00177083">
        <w:rPr>
          <w:rFonts w:ascii="Times New Roman" w:eastAsia="Times New Roman" w:hAnsi="Times New Roman" w:cs="Times New Roman"/>
          <w:i/>
          <w:iCs/>
          <w:sz w:val="24"/>
          <w:szCs w:val="24"/>
        </w:rPr>
        <w:t xml:space="preserve">et al., </w:t>
      </w:r>
      <w:r w:rsidRPr="00177083">
        <w:rPr>
          <w:rFonts w:ascii="Times New Roman" w:eastAsia="Times New Roman" w:hAnsi="Times New Roman" w:cs="Times New Roman"/>
          <w:sz w:val="24"/>
          <w:szCs w:val="24"/>
        </w:rPr>
        <w:t>2024). The objective of the study was to improve the solubility of valsartan using hydrotropic solid dispersion by use of hydrotropic combination so that oral bioavailability can be increased. Beers law was obeyed at the concentration of 5 to 25μg/ml. The solutio</w:t>
      </w:r>
      <w:r w:rsidR="00FD3787">
        <w:rPr>
          <w:rFonts w:ascii="Times New Roman" w:eastAsia="Times New Roman" w:hAnsi="Times New Roman" w:cs="Times New Roman"/>
          <w:sz w:val="24"/>
          <w:szCs w:val="24"/>
        </w:rPr>
        <w:t>ns of hydrotropic agents like; n</w:t>
      </w:r>
      <w:r w:rsidRPr="00177083">
        <w:rPr>
          <w:rFonts w:ascii="Times New Roman" w:eastAsia="Times New Roman" w:hAnsi="Times New Roman" w:cs="Times New Roman"/>
          <w:sz w:val="24"/>
          <w:szCs w:val="24"/>
        </w:rPr>
        <w:t>icotinamide (N), sodium benzoate (SB), sodium acetate (SA), ammonium acetate (AA) and lactose (L) at 5%, 10%, 20%, 30%, 40% w/v were prepared in distilled water.Based on results obtained, th</w:t>
      </w:r>
      <w:r w:rsidR="00FD3787">
        <w:rPr>
          <w:rFonts w:ascii="Times New Roman" w:eastAsia="Times New Roman" w:hAnsi="Times New Roman" w:cs="Times New Roman"/>
          <w:sz w:val="24"/>
          <w:szCs w:val="24"/>
        </w:rPr>
        <w:t>e enhancement in solubility of v</w:t>
      </w:r>
      <w:r w:rsidRPr="00177083">
        <w:rPr>
          <w:rFonts w:ascii="Times New Roman" w:eastAsia="Times New Roman" w:hAnsi="Times New Roman" w:cs="Times New Roman"/>
          <w:sz w:val="24"/>
          <w:szCs w:val="24"/>
        </w:rPr>
        <w:t>alsartan through formation of hydrotropic solid dispersion has resulted into nine thousand one hundred and sixty times greater solubility than that of water alone. The mixed hydrotropic blend with 15</w:t>
      </w:r>
      <w:r w:rsidR="00FD3787">
        <w:rPr>
          <w:rFonts w:ascii="Times New Roman" w:eastAsia="Times New Roman" w:hAnsi="Times New Roman" w:cs="Times New Roman"/>
          <w:sz w:val="24"/>
          <w:szCs w:val="24"/>
        </w:rPr>
        <w:t>:15:5:5 concentration ratio of n</w:t>
      </w:r>
      <w:r w:rsidRPr="00177083">
        <w:rPr>
          <w:rFonts w:ascii="Times New Roman" w:eastAsia="Times New Roman" w:hAnsi="Times New Roman" w:cs="Times New Roman"/>
          <w:sz w:val="24"/>
          <w:szCs w:val="24"/>
        </w:rPr>
        <w:t>icotinamide: sodium benzoate: Ammonium acetate: sodium acetate was optimized on the basis of results obtained from solubility study conducted by shake flask method. The major advantage of mixed hydrotropy or blended hydrotropy is reduced toxicity as a result of the reduce concentration of individual hydrotropic agents necessary to produce modest increase in solubility by employing combination of agents in lower concentration (Maheshwarial</w:t>
      </w:r>
      <w:r w:rsidRPr="00177083">
        <w:rPr>
          <w:rFonts w:ascii="Times New Roman" w:eastAsia="Times New Roman" w:hAnsi="Times New Roman" w:cs="Times New Roman"/>
          <w:i/>
          <w:iCs/>
          <w:sz w:val="24"/>
          <w:szCs w:val="24"/>
        </w:rPr>
        <w:t xml:space="preserve"> et al,</w:t>
      </w:r>
      <w:r w:rsidRPr="00177083">
        <w:rPr>
          <w:rFonts w:ascii="Times New Roman" w:eastAsia="Times New Roman" w:hAnsi="Times New Roman" w:cs="Times New Roman"/>
          <w:sz w:val="24"/>
          <w:szCs w:val="24"/>
        </w:rPr>
        <w:t xml:space="preserve"> 2010).</w:t>
      </w:r>
    </w:p>
    <w:p w:rsidR="00AF3C1D" w:rsidRPr="00FD3787" w:rsidRDefault="00AF3C1D" w:rsidP="00FD3787">
      <w:pPr>
        <w:tabs>
          <w:tab w:val="left" w:pos="7380"/>
        </w:tabs>
        <w:spacing w:before="100" w:beforeAutospacing="1" w:after="100" w:afterAutospacing="1" w:line="240" w:lineRule="auto"/>
        <w:rPr>
          <w:rFonts w:ascii="Times New Roman" w:eastAsia="Times New Roman" w:hAnsi="Times New Roman" w:cs="Times New Roman"/>
          <w:b/>
          <w:sz w:val="24"/>
          <w:szCs w:val="24"/>
        </w:rPr>
      </w:pPr>
      <w:r w:rsidRPr="00177083">
        <w:rPr>
          <w:rFonts w:ascii="Times New Roman" w:eastAsia="Times New Roman" w:hAnsi="Times New Roman" w:cs="Times New Roman"/>
          <w:b/>
          <w:bCs/>
          <w:sz w:val="24"/>
          <w:szCs w:val="24"/>
        </w:rPr>
        <w:t xml:space="preserve">7.0 Hydrotropic solubilization of some poorly </w:t>
      </w:r>
      <w:proofErr w:type="gramStart"/>
      <w:r w:rsidRPr="00177083">
        <w:rPr>
          <w:rFonts w:ascii="Times New Roman" w:eastAsia="Times New Roman" w:hAnsi="Times New Roman" w:cs="Times New Roman"/>
          <w:b/>
          <w:bCs/>
          <w:sz w:val="24"/>
          <w:szCs w:val="24"/>
        </w:rPr>
        <w:t>water soluble</w:t>
      </w:r>
      <w:proofErr w:type="gramEnd"/>
      <w:r w:rsidRPr="00177083">
        <w:rPr>
          <w:rFonts w:ascii="Times New Roman" w:eastAsia="Times New Roman" w:hAnsi="Times New Roman" w:cs="Times New Roman"/>
          <w:b/>
          <w:bCs/>
          <w:sz w:val="24"/>
          <w:szCs w:val="24"/>
        </w:rPr>
        <w:t xml:space="preserve"> drugs</w:t>
      </w:r>
      <w:r w:rsidR="00FD3787" w:rsidRPr="00FD3787">
        <w:rPr>
          <w:rFonts w:ascii="Times New Roman" w:eastAsia="Times New Roman" w:hAnsi="Times New Roman" w:cs="Times New Roman"/>
          <w:b/>
          <w:bCs/>
          <w:sz w:val="24"/>
          <w:szCs w:val="24"/>
        </w:rPr>
        <w:tab/>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FD3787">
        <w:rPr>
          <w:rFonts w:ascii="Times New Roman" w:eastAsia="Times New Roman" w:hAnsi="Times New Roman" w:cs="Times New Roman"/>
          <w:b/>
          <w:sz w:val="24"/>
          <w:szCs w:val="24"/>
        </w:rPr>
        <w:t xml:space="preserve">Table 1: Some poorly </w:t>
      </w:r>
      <w:proofErr w:type="gramStart"/>
      <w:r w:rsidRPr="00FD3787">
        <w:rPr>
          <w:rFonts w:ascii="Times New Roman" w:eastAsia="Times New Roman" w:hAnsi="Times New Roman" w:cs="Times New Roman"/>
          <w:b/>
          <w:sz w:val="24"/>
          <w:szCs w:val="24"/>
        </w:rPr>
        <w:t>water soluble</w:t>
      </w:r>
      <w:proofErr w:type="gramEnd"/>
      <w:r w:rsidRPr="00FD3787">
        <w:rPr>
          <w:rFonts w:ascii="Times New Roman" w:eastAsia="Times New Roman" w:hAnsi="Times New Roman" w:cs="Times New Roman"/>
          <w:b/>
          <w:sz w:val="24"/>
          <w:szCs w:val="24"/>
        </w:rPr>
        <w:t xml:space="preserve"> drugs and hydrotropes used for their solubility enhancemen</w:t>
      </w:r>
      <w:r w:rsidRPr="00177083">
        <w:rPr>
          <w:rFonts w:ascii="Times New Roman" w:eastAsia="Times New Roman" w:hAnsi="Times New Roman" w:cs="Times New Roman"/>
          <w:sz w:val="24"/>
          <w:szCs w:val="24"/>
        </w:rPr>
        <w:t>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3"/>
        <w:gridCol w:w="5172"/>
        <w:gridCol w:w="1875"/>
      </w:tblGrid>
      <w:tr w:rsidR="00AF3C1D" w:rsidRPr="00177083" w:rsidTr="00AF3C1D">
        <w:trPr>
          <w:tblCellSpacing w:w="15" w:type="dxa"/>
        </w:trPr>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b/>
                <w:bCs/>
                <w:sz w:val="24"/>
                <w:szCs w:val="24"/>
              </w:rPr>
              <w:t>Drugs</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b/>
                <w:bCs/>
                <w:sz w:val="24"/>
                <w:szCs w:val="24"/>
              </w:rPr>
              <w:t>Hydrotropes</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b/>
                <w:bCs/>
                <w:sz w:val="24"/>
                <w:szCs w:val="24"/>
              </w:rPr>
              <w:t xml:space="preserve">References </w:t>
            </w:r>
          </w:p>
        </w:tc>
      </w:tr>
      <w:tr w:rsidR="00AF3C1D" w:rsidRPr="00177083" w:rsidTr="00AF3C1D">
        <w:trPr>
          <w:tblCellSpacing w:w="15" w:type="dxa"/>
        </w:trPr>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Ibuprofen</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Sodium acetate, Sodium benzoate, Sodium toluene sulfonate, Sodium salicylate and Sodium toluate</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Patel</w:t>
            </w:r>
            <w:r w:rsidRPr="00177083">
              <w:rPr>
                <w:rFonts w:ascii="Times New Roman" w:eastAsia="Times New Roman" w:hAnsi="Times New Roman" w:cs="Times New Roman"/>
                <w:b/>
                <w:bCs/>
                <w:sz w:val="24"/>
                <w:szCs w:val="24"/>
              </w:rPr>
              <w:t xml:space="preserve">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b/>
                <w:bCs/>
                <w:sz w:val="24"/>
                <w:szCs w:val="24"/>
              </w:rPr>
              <w:t xml:space="preserve"> </w:t>
            </w:r>
            <w:r w:rsidRPr="00177083">
              <w:rPr>
                <w:rFonts w:ascii="Times New Roman" w:eastAsia="Times New Roman" w:hAnsi="Times New Roman" w:cs="Times New Roman"/>
                <w:sz w:val="24"/>
                <w:szCs w:val="24"/>
              </w:rPr>
              <w:t>2011</w:t>
            </w:r>
          </w:p>
        </w:tc>
      </w:tr>
      <w:tr w:rsidR="00AF3C1D" w:rsidRPr="00177083" w:rsidTr="00AF3C1D">
        <w:trPr>
          <w:tblCellSpacing w:w="15" w:type="dxa"/>
        </w:trPr>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Ketoprofen</w:t>
            </w:r>
          </w:p>
        </w:tc>
        <w:tc>
          <w:tcPr>
            <w:tcW w:w="0" w:type="auto"/>
            <w:vAlign w:val="center"/>
            <w:hideMark/>
          </w:tcPr>
          <w:p w:rsidR="00AF3C1D" w:rsidRPr="00177083" w:rsidRDefault="00AF3C1D" w:rsidP="00FD3787">
            <w:pPr>
              <w:pStyle w:val="NormalWeb"/>
            </w:pPr>
            <w:r w:rsidRPr="00177083">
              <w:t>Potassium acetate</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Pandey</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lastRenderedPageBreak/>
              <w:t>&amp;</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Maheshwari, 2010</w:t>
            </w:r>
          </w:p>
        </w:tc>
      </w:tr>
      <w:tr w:rsidR="00AF3C1D" w:rsidRPr="00177083" w:rsidTr="00AF3C1D">
        <w:trPr>
          <w:tblCellSpacing w:w="15" w:type="dxa"/>
        </w:trPr>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lastRenderedPageBreak/>
              <w:t>Naproxen</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Niacinamide</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Maheshwari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,2010</w:t>
            </w:r>
          </w:p>
        </w:tc>
      </w:tr>
      <w:tr w:rsidR="00AF3C1D" w:rsidRPr="00177083" w:rsidTr="00AF3C1D">
        <w:trPr>
          <w:tblCellSpacing w:w="15" w:type="dxa"/>
        </w:trPr>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Piroxicam</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Ibuprofen sodium</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Maheshwari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,2010</w:t>
            </w:r>
          </w:p>
        </w:tc>
      </w:tr>
      <w:tr w:rsidR="00AF3C1D" w:rsidRPr="00177083" w:rsidTr="00AF3C1D">
        <w:trPr>
          <w:tblCellSpacing w:w="15" w:type="dxa"/>
        </w:trPr>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Olanzepine</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Sodium benzoate, sodium acetate, sodium bicarbonate, sodium chloride, sodium gluconate, thiourea, trisodium citrate and urea.</w:t>
            </w:r>
          </w:p>
        </w:tc>
        <w:tc>
          <w:tcPr>
            <w:tcW w:w="0" w:type="auto"/>
            <w:vAlign w:val="center"/>
            <w:hideMark/>
          </w:tcPr>
          <w:p w:rsidR="00AF3C1D" w:rsidRPr="00177083" w:rsidRDefault="00AF3C1D" w:rsidP="00177083">
            <w:pPr>
              <w:spacing w:after="0" w:line="240" w:lineRule="auto"/>
              <w:rPr>
                <w:rFonts w:ascii="Times New Roman" w:eastAsia="Times New Roman" w:hAnsi="Times New Roman" w:cs="Times New Roman"/>
                <w:sz w:val="24"/>
                <w:szCs w:val="24"/>
              </w:rPr>
            </w:pPr>
          </w:p>
        </w:tc>
      </w:tr>
      <w:tr w:rsidR="00AF3C1D" w:rsidRPr="00177083" w:rsidTr="00AF3C1D">
        <w:trPr>
          <w:tblCellSpacing w:w="15" w:type="dxa"/>
        </w:trPr>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Lornoxicam and Paracetamol</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Urea</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(Akhil et al., 2015)</w:t>
            </w:r>
          </w:p>
        </w:tc>
      </w:tr>
      <w:tr w:rsidR="00AF3C1D" w:rsidRPr="00177083" w:rsidTr="00AF3C1D">
        <w:trPr>
          <w:tblCellSpacing w:w="15" w:type="dxa"/>
        </w:trPr>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Aceclofenac</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Urea and sodium citrate</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Tiwari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2011</w:t>
            </w:r>
          </w:p>
        </w:tc>
      </w:tr>
      <w:tr w:rsidR="00AF3C1D" w:rsidRPr="00177083" w:rsidTr="00AF3C1D">
        <w:trPr>
          <w:tblCellSpacing w:w="15" w:type="dxa"/>
        </w:trPr>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Theophylline</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Urea and sodium citrate</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Jayakumar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2012</w:t>
            </w:r>
          </w:p>
        </w:tc>
      </w:tr>
      <w:tr w:rsidR="00AF3C1D" w:rsidRPr="00177083" w:rsidTr="00AF3C1D">
        <w:trPr>
          <w:tblCellSpacing w:w="15" w:type="dxa"/>
        </w:trPr>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Glipizide</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PEG (Polyethylene glycol) 4000, mannitol and urea</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Shukla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2010</w:t>
            </w:r>
          </w:p>
        </w:tc>
      </w:tr>
      <w:tr w:rsidR="00AF3C1D" w:rsidRPr="00177083" w:rsidTr="00AF3C1D">
        <w:trPr>
          <w:tblCellSpacing w:w="15" w:type="dxa"/>
        </w:trPr>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Escitalopram</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Naicinamide</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Choudhary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2010</w:t>
            </w:r>
          </w:p>
        </w:tc>
      </w:tr>
      <w:tr w:rsidR="00AF3C1D" w:rsidRPr="00177083" w:rsidTr="00AF3C1D">
        <w:trPr>
          <w:tblCellSpacing w:w="15" w:type="dxa"/>
        </w:trPr>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Chlorobenzene</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Citric acid, sodium benzoate and urea</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Natarajan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2012</w:t>
            </w:r>
          </w:p>
        </w:tc>
      </w:tr>
      <w:tr w:rsidR="00AF3C1D" w:rsidRPr="00177083" w:rsidTr="00AF3C1D">
        <w:trPr>
          <w:tblCellSpacing w:w="15" w:type="dxa"/>
        </w:trPr>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1,1/1,2diphenylethane</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Diethylnicotinamide, sodium pseudocumenesulfonate and sodium thiocyanate</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Dhinakarane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2012</w:t>
            </w:r>
          </w:p>
        </w:tc>
      </w:tr>
      <w:tr w:rsidR="00AF3C1D" w:rsidRPr="00177083" w:rsidTr="00AF3C1D">
        <w:trPr>
          <w:tblCellSpacing w:w="15" w:type="dxa"/>
        </w:trPr>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L-Tyrosine</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Caffeine, Nicotinamide, Sodium salicylate and Sodium Benzoate</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Rakesh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,2012</w:t>
            </w:r>
          </w:p>
        </w:tc>
      </w:tr>
      <w:tr w:rsidR="00AF3C1D" w:rsidRPr="00177083" w:rsidTr="00AF3C1D">
        <w:trPr>
          <w:tblCellSpacing w:w="15" w:type="dxa"/>
        </w:trPr>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m/p– amino nitrobenzene</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Sodium benzoate, sodium saccharin, dimethyl benzamide</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Dhinakaran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2012</w:t>
            </w:r>
          </w:p>
        </w:tc>
      </w:tr>
      <w:tr w:rsidR="00AF3C1D" w:rsidRPr="00177083" w:rsidTr="00AF3C1D">
        <w:trPr>
          <w:tblCellSpacing w:w="15" w:type="dxa"/>
        </w:trPr>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Methyl benzoate</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Citric acid, urea and nicotinamide</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Senthil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2009</w:t>
            </w:r>
          </w:p>
        </w:tc>
      </w:tr>
      <w:tr w:rsidR="00AF3C1D" w:rsidRPr="00177083" w:rsidTr="00AF3C1D">
        <w:trPr>
          <w:tblCellSpacing w:w="15" w:type="dxa"/>
        </w:trPr>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Furfural</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Urea, tri-sodium citrate, sodium toluate and sodium benzoate</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JayaKumar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2009</w:t>
            </w:r>
          </w:p>
        </w:tc>
      </w:tr>
      <w:tr w:rsidR="00AF3C1D" w:rsidRPr="00177083" w:rsidTr="00AF3C1D">
        <w:trPr>
          <w:tblCellSpacing w:w="15" w:type="dxa"/>
        </w:trPr>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Acetylsalicylic acid</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Sodium salicylate, sodium benzoate, nicotinamide and urea</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Thenesh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,2012</w:t>
            </w:r>
          </w:p>
        </w:tc>
      </w:tr>
      <w:tr w:rsidR="00AF3C1D" w:rsidRPr="00177083" w:rsidTr="00AF3C1D">
        <w:trPr>
          <w:tblCellSpacing w:w="15" w:type="dxa"/>
        </w:trPr>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m/paminoacetophe none</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Diethyl nicotinamide, sodium pseudocumenesulfonate and sodium thiocyanate</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Dhinakaran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2014</w:t>
            </w:r>
          </w:p>
        </w:tc>
      </w:tr>
      <w:tr w:rsidR="00AF3C1D" w:rsidRPr="00177083" w:rsidTr="00AF3C1D">
        <w:trPr>
          <w:tblCellSpacing w:w="15" w:type="dxa"/>
        </w:trPr>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Nimodipine</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Sodium salicylate, sodium benzoate, nicotinamide and urea</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Ibrahim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2020</w:t>
            </w:r>
          </w:p>
        </w:tc>
      </w:tr>
      <w:tr w:rsidR="00AF3C1D" w:rsidRPr="00177083" w:rsidTr="00AF3C1D">
        <w:trPr>
          <w:tblCellSpacing w:w="15" w:type="dxa"/>
        </w:trPr>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Pazopanib</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Urea, tri-sodium citrate, sodium toluate and sodium benzoate</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Karajgi, S., &amp; Potadar, S. (2020).</w:t>
            </w:r>
          </w:p>
        </w:tc>
      </w:tr>
      <w:tr w:rsidR="00AF3C1D" w:rsidRPr="00177083" w:rsidTr="00AF3C1D">
        <w:trPr>
          <w:tblCellSpacing w:w="15" w:type="dxa"/>
        </w:trPr>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Tenoxicam</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Urea, tri-sodium citrate, sodium toluate and sodium benzoate</w:t>
            </w:r>
          </w:p>
        </w:tc>
        <w:tc>
          <w:tcPr>
            <w:tcW w:w="0" w:type="auto"/>
            <w:vAlign w:val="center"/>
            <w:hideMark/>
          </w:tcPr>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Ugodi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2024</w:t>
            </w:r>
          </w:p>
        </w:tc>
      </w:tr>
    </w:tbl>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b/>
          <w:bCs/>
          <w:sz w:val="24"/>
          <w:szCs w:val="24"/>
        </w:rPr>
        <w:t>8.0 Classification of Hydrotropes</w:t>
      </w:r>
    </w:p>
    <w:p w:rsidR="00AF3C1D" w:rsidRPr="00177083" w:rsidRDefault="00AF3C1D" w:rsidP="00FD3787">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lastRenderedPageBreak/>
        <w:t xml:space="preserve">Hydrotropes are broadly classified based on their chemical structure, typically featuring an aromatic ring and an ionic group, but their diverse molecular architectures make a universal classification challenging (Kazi </w:t>
      </w:r>
      <w:r w:rsidRPr="00FD3787">
        <w:rPr>
          <w:rFonts w:ascii="Times New Roman" w:eastAsia="Times New Roman" w:hAnsi="Times New Roman" w:cs="Times New Roman"/>
          <w:i/>
          <w:sz w:val="24"/>
          <w:szCs w:val="24"/>
        </w:rPr>
        <w:t>et al.,</w:t>
      </w:r>
      <w:r w:rsidRPr="00177083">
        <w:rPr>
          <w:rFonts w:ascii="Times New Roman" w:eastAsia="Times New Roman" w:hAnsi="Times New Roman" w:cs="Times New Roman"/>
          <w:sz w:val="24"/>
          <w:szCs w:val="24"/>
        </w:rPr>
        <w:t xml:space="preserve"> 2022). Nonetheless, distinctions can be made based on whether they possess a single aromatic ring or multiple rings, and the nature of their ionic functionalities (e.g., anionic, cationic, or zwitterionic). For example, compounds like sodium benzoate exemplify single-ring hydrotropes with a carboxylate group, while more complex structures might incorporate naphthalene derivatives or sulfonate functionalities. Hydrotropes can also be classified according </w:t>
      </w:r>
      <w:r w:rsidR="00FD3787">
        <w:rPr>
          <w:rFonts w:ascii="Times New Roman" w:eastAsia="Times New Roman" w:hAnsi="Times New Roman" w:cs="Times New Roman"/>
          <w:sz w:val="24"/>
          <w:szCs w:val="24"/>
        </w:rPr>
        <w:t>to different criteria, such as:</w:t>
      </w:r>
    </w:p>
    <w:p w:rsidR="00AF3C1D" w:rsidRPr="00177083" w:rsidRDefault="00AF3C1D" w:rsidP="0017708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The charge of the hydrotrope: cationic, anionic, or </w:t>
      </w:r>
      <w:r w:rsidR="00FD3787">
        <w:rPr>
          <w:rFonts w:ascii="Times New Roman" w:eastAsia="Times New Roman" w:hAnsi="Times New Roman" w:cs="Times New Roman"/>
          <w:sz w:val="24"/>
          <w:szCs w:val="24"/>
        </w:rPr>
        <w:t>neutral</w:t>
      </w:r>
      <w:r w:rsidRPr="00177083">
        <w:rPr>
          <w:rFonts w:ascii="Times New Roman" w:eastAsia="Times New Roman" w:hAnsi="Times New Roman" w:cs="Times New Roman"/>
          <w:sz w:val="24"/>
          <w:szCs w:val="24"/>
        </w:rPr>
        <w:t>l</w:t>
      </w:r>
      <w:r w:rsidR="00FD3787">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(Mirzapure, 2024).</w:t>
      </w:r>
    </w:p>
    <w:p w:rsidR="00AF3C1D" w:rsidRPr="00177083" w:rsidRDefault="00AF3C1D" w:rsidP="0017708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The polarity of the hydrotrope: hydrophilic or hydrophobic</w:t>
      </w:r>
      <w:r w:rsidR="00FD3787">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(Kazi et al., 2022).</w:t>
      </w:r>
    </w:p>
    <w:p w:rsidR="00AF3C1D" w:rsidRPr="00177083" w:rsidRDefault="00AF3C1D" w:rsidP="0017708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The structure of the hydrotrope: anionic group and aromatic ring (conventional Neuberg's hydrotropes), or other types of functional groups</w:t>
      </w:r>
      <w:r w:rsidR="00FD3787">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(Dhahir, 2022).</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b/>
          <w:bCs/>
          <w:sz w:val="24"/>
          <w:szCs w:val="24"/>
        </w:rPr>
        <w:t>8.0.1 Synthetic Hydrotropes</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These synthetically derived compounds are often characterized by their tailored amphiphilic structures, designed to optimize the balance between hydrophilic and hydrophobic domains for enhanced solubilization (Nasrallah &amp; Minceva, 2025). Many synthetic hydrotropes feature an anionic head group and an aromatic moiety, with structural variations, such as isomerism, influencing their efficacy in promoting solubilization</w:t>
      </w:r>
      <w:r w:rsidR="00FD3787">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 xml:space="preserve">(Chavan </w:t>
      </w:r>
      <w:r w:rsidRPr="00FD3787">
        <w:rPr>
          <w:rFonts w:ascii="Times New Roman" w:eastAsia="Times New Roman" w:hAnsi="Times New Roman" w:cs="Times New Roman"/>
          <w:i/>
          <w:sz w:val="24"/>
          <w:szCs w:val="24"/>
        </w:rPr>
        <w:t>et al.,</w:t>
      </w:r>
      <w:r w:rsidRPr="00177083">
        <w:rPr>
          <w:rFonts w:ascii="Times New Roman" w:eastAsia="Times New Roman" w:hAnsi="Times New Roman" w:cs="Times New Roman"/>
          <w:sz w:val="24"/>
          <w:szCs w:val="24"/>
        </w:rPr>
        <w:t xml:space="preserve"> 2023). Such structural modifications can include altering the alkyl chain length, varying the position of the ionic group, or incorporating additional polar functionalities to fine-tune their interaction with hydrophobic drug molecules and the aqueous environment (Mirzapure, 2024). Further advancements in synthetic hydrotrope design involve the development of alkyl-hydrotropes, which bridge the structural and solution property gap between traditional hydrotropes and conventional surfactants (Mirzapure, 2024). This often involves manipulating the ratio of hydrophilic to hydrophobic elements within the molecular structure, ensuring the hydrophobic portion is substantial enough to prevent spontaneous self-aggregation while maintaining a hydrophilic component for aqueous solubility (Mirzapure, 2024). </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b/>
          <w:bCs/>
          <w:sz w:val="24"/>
          <w:szCs w:val="24"/>
        </w:rPr>
        <w:t>8.0.2 Natural Hydrotropes</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These organic compounds often derived from biological sources, exhibit hydrotropic properties through diverse structural features, such as glycosidic linkages</w:t>
      </w:r>
      <w:r w:rsidR="00FD3787">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 xml:space="preserve">(Schaub </w:t>
      </w:r>
      <w:r w:rsidRPr="00FD3787">
        <w:rPr>
          <w:rFonts w:ascii="Times New Roman" w:eastAsia="Times New Roman" w:hAnsi="Times New Roman" w:cs="Times New Roman"/>
          <w:i/>
          <w:sz w:val="24"/>
          <w:szCs w:val="24"/>
        </w:rPr>
        <w:t>et al.,</w:t>
      </w:r>
      <w:r w:rsidRPr="00177083">
        <w:rPr>
          <w:rFonts w:ascii="Times New Roman" w:eastAsia="Times New Roman" w:hAnsi="Times New Roman" w:cs="Times New Roman"/>
          <w:sz w:val="24"/>
          <w:szCs w:val="24"/>
        </w:rPr>
        <w:t xml:space="preserve"> 2021), amino acid residues, or nucleotide bases</w:t>
      </w:r>
      <w:r w:rsidR="00FD3787">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 xml:space="preserve">(Pandey </w:t>
      </w:r>
      <w:r w:rsidRPr="00FD3787">
        <w:rPr>
          <w:rFonts w:ascii="Times New Roman" w:eastAsia="Times New Roman" w:hAnsi="Times New Roman" w:cs="Times New Roman"/>
          <w:i/>
          <w:sz w:val="24"/>
          <w:szCs w:val="24"/>
        </w:rPr>
        <w:t>et al.,</w:t>
      </w:r>
      <w:r w:rsidRPr="00177083">
        <w:rPr>
          <w:rFonts w:ascii="Times New Roman" w:eastAsia="Times New Roman" w:hAnsi="Times New Roman" w:cs="Times New Roman"/>
          <w:sz w:val="24"/>
          <w:szCs w:val="24"/>
        </w:rPr>
        <w:t xml:space="preserve"> 2022), allowing them to enhance the solubility of poorly water-soluble substances in biological systems. Examples include certain bile salts and organic acids, which play crucial roles in nutrient absorption and metabolic processes by facilitating the solubilization of hydrophobic compounds within the body (Pavlović </w:t>
      </w:r>
      <w:r w:rsidRPr="00FD3787">
        <w:rPr>
          <w:rFonts w:ascii="Times New Roman" w:eastAsia="Times New Roman" w:hAnsi="Times New Roman" w:cs="Times New Roman"/>
          <w:i/>
          <w:sz w:val="24"/>
          <w:szCs w:val="24"/>
        </w:rPr>
        <w:t>et al.,</w:t>
      </w:r>
      <w:r w:rsidRPr="00177083">
        <w:rPr>
          <w:rFonts w:ascii="Times New Roman" w:eastAsia="Times New Roman" w:hAnsi="Times New Roman" w:cs="Times New Roman"/>
          <w:sz w:val="24"/>
          <w:szCs w:val="24"/>
        </w:rPr>
        <w:t xml:space="preserve"> 2018). The unique molecular architectures of natural hydrotropes often contribute to their biocompatibility and biodegradability</w:t>
      </w:r>
      <w:r w:rsidR="00B52B91">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 xml:space="preserve">(Joshi </w:t>
      </w:r>
      <w:r w:rsidRPr="00FD3787">
        <w:rPr>
          <w:rFonts w:ascii="Times New Roman" w:eastAsia="Times New Roman" w:hAnsi="Times New Roman" w:cs="Times New Roman"/>
          <w:i/>
          <w:sz w:val="24"/>
          <w:szCs w:val="24"/>
        </w:rPr>
        <w:t>et al.,</w:t>
      </w:r>
      <w:r w:rsidRPr="00177083">
        <w:rPr>
          <w:rFonts w:ascii="Times New Roman" w:eastAsia="Times New Roman" w:hAnsi="Times New Roman" w:cs="Times New Roman"/>
          <w:sz w:val="24"/>
          <w:szCs w:val="24"/>
        </w:rPr>
        <w:t xml:space="preserve"> 2019; Sharma &amp; Saroha, 2023), offering advantages in pharmaceutical and biotechnological applications where synthetic alternatives may pose toxicity concerns. Beyond their intrinsic solubilizing capacity, natural hydrotropes often exhibit additional biological activities, such as antioxidant or anti-inflammatory effects</w:t>
      </w:r>
      <w:r w:rsidR="00FD3787">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 xml:space="preserve">(Mirzapure, 2024), which can contribute to the overall therapeutic profile when incorporated into drug formulations. </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b/>
          <w:bCs/>
          <w:sz w:val="24"/>
          <w:szCs w:val="24"/>
        </w:rPr>
        <w:lastRenderedPageBreak/>
        <w:t>9.0 Novel Hydrotropic Agents</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The continuous exploration into novel hydrotropic agents focuses on identifying compounds with enhanced solubilization efficiencies, lower critical hydrotrope concentrations, and improved safety profiles, often through high-throughput screening and computational design</w:t>
      </w:r>
      <w:r w:rsidR="00FD3787">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 xml:space="preserve">(Aime </w:t>
      </w:r>
      <w:r w:rsidRPr="00FD3787">
        <w:rPr>
          <w:rFonts w:ascii="Times New Roman" w:eastAsia="Times New Roman" w:hAnsi="Times New Roman" w:cs="Times New Roman"/>
          <w:i/>
          <w:sz w:val="24"/>
          <w:szCs w:val="24"/>
        </w:rPr>
        <w:t>et al.,</w:t>
      </w:r>
      <w:r w:rsidRPr="00177083">
        <w:rPr>
          <w:rFonts w:ascii="Times New Roman" w:eastAsia="Times New Roman" w:hAnsi="Times New Roman" w:cs="Times New Roman"/>
          <w:sz w:val="24"/>
          <w:szCs w:val="24"/>
        </w:rPr>
        <w:t xml:space="preserve"> 2024; Joshi et al., 2019). This includes the investigation of mixed hydrotropy systems, where combinations of hydrotropes are employed to achieve synergistic solubility enhancements beyond what individual agents can accomplish (Mirzapure, 2024). These mixed systems often leverage distinct interaction mechanisms, such as preferential solvation and hydrophobic association, to collectively augment drug solubility more effectively than a single hydrotrope could achieve alone (Mirzapure, 2024). The self-aggregation potential of hydrotropes, where molecules begin to combine at a minimum hydrotropic concentration, also plays a critical role in their solubilization power, influenced by the amphiphilic properties and solute type (Kazi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2022). Recent technological advancements and ongoing research have broadened the understanding and application of hydrotropes beyond solubility enhancement to include their utility in medicinal compound extraction, as additives in plastic products, and in various drug delivery systems (Mirzapure, 2024). The invention of mixed hydrotropy, driven by its cost-effectiveness, non-toxicity, and eco-friendliness, has led to a notable increase in solubility due to the synergistic action of hydrotropic agents (Mirzapure, 2024). However, accurately predicting the extent of solubilization in such complex systems often necessitates a quasi-equilibrium transport analysis, particularly when an unstirred water layer presents a significant barrier to drug dissolution (Mirzapure, 2024). </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b/>
          <w:bCs/>
          <w:sz w:val="24"/>
          <w:szCs w:val="24"/>
        </w:rPr>
        <w:t>10.0 Recent Advances in Hydrotropic Solubilization</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Recent advancements have elucidated the utility of hydrotropes not only for enhancing the aqueous solubility of poorly water-soluble drugs but also for modulating their permeation, facilitating specialized drug delivery, and enabling the extraction of active pharmaceutical ingredients from crude sources (Mirzapure, 2024). Notably, while hydrotropy significantly boosts aqueous solubility, its impact on the permeability of lipophilic drugs during solubilization warrants further investigation to optimize oral bioavailability and overall drug exposure </w:t>
      </w:r>
      <w:r w:rsidR="00041E50">
        <w:rPr>
          <w:rFonts w:ascii="Times New Roman" w:eastAsia="Times New Roman" w:hAnsi="Times New Roman" w:cs="Times New Roman"/>
          <w:sz w:val="24"/>
          <w:szCs w:val="24"/>
        </w:rPr>
        <w:t>(</w:t>
      </w:r>
      <w:r w:rsidR="00041E50" w:rsidRPr="00177083">
        <w:rPr>
          <w:rFonts w:ascii="Times New Roman" w:eastAsia="Times New Roman" w:hAnsi="Times New Roman" w:cs="Times New Roman"/>
          <w:sz w:val="24"/>
          <w:szCs w:val="24"/>
        </w:rPr>
        <w:t xml:space="preserve">Tanga </w:t>
      </w:r>
      <w:r w:rsidR="00041E50" w:rsidRPr="00177083">
        <w:rPr>
          <w:rFonts w:ascii="Times New Roman" w:eastAsia="Times New Roman" w:hAnsi="Times New Roman" w:cs="Times New Roman"/>
          <w:i/>
          <w:iCs/>
          <w:sz w:val="24"/>
          <w:szCs w:val="24"/>
        </w:rPr>
        <w:t>et al.,</w:t>
      </w:r>
      <w:r w:rsidR="00041E50" w:rsidRPr="00177083">
        <w:rPr>
          <w:rFonts w:ascii="Times New Roman" w:eastAsia="Times New Roman" w:hAnsi="Times New Roman" w:cs="Times New Roman"/>
          <w:sz w:val="24"/>
          <w:szCs w:val="24"/>
        </w:rPr>
        <w:t xml:space="preserve"> 2025</w:t>
      </w:r>
      <w:r w:rsidRPr="00177083">
        <w:rPr>
          <w:rFonts w:ascii="Times New Roman" w:eastAsia="Times New Roman" w:hAnsi="Times New Roman" w:cs="Times New Roman"/>
          <w:sz w:val="24"/>
          <w:szCs w:val="24"/>
        </w:rPr>
        <w:t xml:space="preserve">). This is particularly crucial given the solubility–permeability tradeoff, where increased equilibrium solubility can reduce a drug's partitioning and overall permeability, a phenomenon distinct from the supersaturation achieved by amorphous solid dispersions </w:t>
      </w:r>
      <w:r w:rsidR="00FD3787">
        <w:rPr>
          <w:rFonts w:ascii="Times New Roman" w:eastAsia="Times New Roman" w:hAnsi="Times New Roman" w:cs="Times New Roman"/>
          <w:sz w:val="24"/>
          <w:szCs w:val="24"/>
        </w:rPr>
        <w:t>(</w:t>
      </w:r>
      <w:r w:rsidR="00FD3787" w:rsidRPr="00177083">
        <w:rPr>
          <w:rFonts w:ascii="Times New Roman" w:eastAsia="Times New Roman" w:hAnsi="Times New Roman" w:cs="Times New Roman"/>
          <w:sz w:val="24"/>
          <w:szCs w:val="24"/>
        </w:rPr>
        <w:t xml:space="preserve">Kazi </w:t>
      </w:r>
      <w:r w:rsidR="00FD3787" w:rsidRPr="00177083">
        <w:rPr>
          <w:rFonts w:ascii="Times New Roman" w:eastAsia="Times New Roman" w:hAnsi="Times New Roman" w:cs="Times New Roman"/>
          <w:i/>
          <w:iCs/>
          <w:sz w:val="24"/>
          <w:szCs w:val="24"/>
        </w:rPr>
        <w:t>et al.,</w:t>
      </w:r>
      <w:r w:rsidR="00FD3787" w:rsidRPr="00177083">
        <w:rPr>
          <w:rFonts w:ascii="Times New Roman" w:eastAsia="Times New Roman" w:hAnsi="Times New Roman" w:cs="Times New Roman"/>
          <w:sz w:val="24"/>
          <w:szCs w:val="24"/>
        </w:rPr>
        <w:t xml:space="preserve"> 2022</w:t>
      </w:r>
      <w:r w:rsidRPr="00177083">
        <w:rPr>
          <w:rFonts w:ascii="Times New Roman" w:eastAsia="Times New Roman" w:hAnsi="Times New Roman" w:cs="Times New Roman"/>
          <w:sz w:val="24"/>
          <w:szCs w:val="24"/>
        </w:rPr>
        <w:t xml:space="preserve">). This solubility-permeability compromise, where enhanced solubilization by hydrotropes can inadvertently decrease drug penetrability, necessitates a meticulous balance between maximizing solubility and maintaining adequate membrane flux for optimal in vivo performance </w:t>
      </w:r>
      <w:r w:rsidR="00FD3787">
        <w:rPr>
          <w:rFonts w:ascii="Times New Roman" w:eastAsia="Times New Roman" w:hAnsi="Times New Roman" w:cs="Times New Roman"/>
          <w:sz w:val="24"/>
          <w:szCs w:val="24"/>
        </w:rPr>
        <w:t>(</w:t>
      </w:r>
      <w:r w:rsidR="00FD3787" w:rsidRPr="00177083">
        <w:rPr>
          <w:rFonts w:ascii="Times New Roman" w:eastAsia="Times New Roman" w:hAnsi="Times New Roman" w:cs="Times New Roman"/>
          <w:sz w:val="24"/>
          <w:szCs w:val="24"/>
        </w:rPr>
        <w:t>Tambe, 2025</w:t>
      </w:r>
      <w:r w:rsidRPr="00177083">
        <w:rPr>
          <w:rFonts w:ascii="Times New Roman" w:eastAsia="Times New Roman" w:hAnsi="Times New Roman" w:cs="Times New Roman"/>
          <w:sz w:val="24"/>
          <w:szCs w:val="24"/>
        </w:rPr>
        <w:t xml:space="preserve">). Therefore, ongoing research focuses on engineering hydrotrope-drug complexes that not only achieve requisite solubility but also maintain or enhance membrane permeability, potentially through tailored hydrotrope-drug interactions or co-formulations with permeation enhancers. Furthermore, the application of hydrotropic solubilization extends to titrimetric analysis, offering a cost-effective and environmentally friendly alternative to traditional organic solvents for the quantitative evaluation of weakly water-soluble pharmaceutical compounds. This comprehensive review highlights the discovery of atypical hydrotropic drugs, such as ibuprofen sodium and metformin HCl, and emphasizes the prevalence of mono hydrotropy over mixed approaches for enhanced solubilization (Mirzapure, 2024). This </w:t>
      </w:r>
      <w:r w:rsidRPr="00177083">
        <w:rPr>
          <w:rFonts w:ascii="Times New Roman" w:eastAsia="Times New Roman" w:hAnsi="Times New Roman" w:cs="Times New Roman"/>
          <w:sz w:val="24"/>
          <w:szCs w:val="24"/>
        </w:rPr>
        <w:lastRenderedPageBreak/>
        <w:t xml:space="preserve">nuanced understanding underscores the imperative for precision in selecting and designing hydrotropic systems to overcome the inherent challenges associated with poorly soluble compounds, particularly within the context of oral drug delivery </w:t>
      </w:r>
      <w:r w:rsidR="00FD3787">
        <w:rPr>
          <w:rFonts w:ascii="Times New Roman" w:eastAsia="Times New Roman" w:hAnsi="Times New Roman" w:cs="Times New Roman"/>
          <w:sz w:val="24"/>
          <w:szCs w:val="24"/>
        </w:rPr>
        <w:t>(</w:t>
      </w:r>
      <w:r w:rsidR="00FD3787" w:rsidRPr="00177083">
        <w:rPr>
          <w:rFonts w:ascii="Times New Roman" w:eastAsia="Times New Roman" w:hAnsi="Times New Roman" w:cs="Times New Roman"/>
          <w:sz w:val="24"/>
          <w:szCs w:val="24"/>
        </w:rPr>
        <w:t xml:space="preserve">Kazi </w:t>
      </w:r>
      <w:r w:rsidR="00FD3787" w:rsidRPr="00177083">
        <w:rPr>
          <w:rFonts w:ascii="Times New Roman" w:eastAsia="Times New Roman" w:hAnsi="Times New Roman" w:cs="Times New Roman"/>
          <w:i/>
          <w:iCs/>
          <w:sz w:val="24"/>
          <w:szCs w:val="24"/>
        </w:rPr>
        <w:t>et al.,</w:t>
      </w:r>
      <w:r w:rsidR="00FD3787" w:rsidRPr="00177083">
        <w:rPr>
          <w:rFonts w:ascii="Times New Roman" w:eastAsia="Times New Roman" w:hAnsi="Times New Roman" w:cs="Times New Roman"/>
          <w:sz w:val="24"/>
          <w:szCs w:val="24"/>
        </w:rPr>
        <w:t xml:space="preserve"> 2022</w:t>
      </w:r>
      <w:r w:rsidRPr="00177083">
        <w:rPr>
          <w:rFonts w:ascii="Times New Roman" w:eastAsia="Times New Roman" w:hAnsi="Times New Roman" w:cs="Times New Roman"/>
          <w:sz w:val="24"/>
          <w:szCs w:val="24"/>
        </w:rPr>
        <w:t>). The inherent advantages of hydrotropy, such as its cost-effectiveness, environmental benignity, and capacity for enhancing aqueous solubility without chemical modification of the drug, position it as a promising technique for improving the formulation and therapeutic efficacy of poorly soluble active pharmaceutical ingredients</w:t>
      </w:r>
      <w:r w:rsidR="00FD3787">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 xml:space="preserve">(Mirzapure, 2024). </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b/>
          <w:bCs/>
          <w:sz w:val="24"/>
          <w:szCs w:val="24"/>
        </w:rPr>
        <w:t>11.0 Formulation Strategies Using Hydrotropes</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b/>
          <w:bCs/>
          <w:sz w:val="24"/>
          <w:szCs w:val="24"/>
        </w:rPr>
        <w:t>11.0.1 Applications in Different Drug Classes</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The application of hydrotropic solubilization spans a diverse range of drug classes, demonstrating efficacy in improving the aqueous solubility of various therapeutic agents, from antibiotics and anti-inflammatory drugs to cardiovascular medications</w:t>
      </w:r>
      <w:r w:rsidR="00FD3787">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 xml:space="preserve">(Kuchekar </w:t>
      </w:r>
      <w:r w:rsidRPr="00FD3787">
        <w:rPr>
          <w:rFonts w:ascii="Times New Roman" w:eastAsia="Times New Roman" w:hAnsi="Times New Roman" w:cs="Times New Roman"/>
          <w:i/>
          <w:sz w:val="24"/>
          <w:szCs w:val="24"/>
        </w:rPr>
        <w:t>et al.,</w:t>
      </w:r>
      <w:r w:rsidRPr="00177083">
        <w:rPr>
          <w:rFonts w:ascii="Times New Roman" w:eastAsia="Times New Roman" w:hAnsi="Times New Roman" w:cs="Times New Roman"/>
          <w:sz w:val="24"/>
          <w:szCs w:val="24"/>
        </w:rPr>
        <w:t xml:space="preserve"> 2021; Mirzapure, 2024). These applications often involve a careful selection of hydrotropic agents based on the specific physicochemical properties of the drug, aiming to achieve optimal solubilization efficiency without compromising drug stability or pharmacological activity</w:t>
      </w:r>
      <w:r w:rsidR="00FD3787">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(Mirzapure, 2024). Furthermore, the concentration of the hydrotrope plays a pivotal role, with higher concentrations generally leading to greater solubilizat</w:t>
      </w:r>
      <w:r w:rsidR="00FD3787">
        <w:rPr>
          <w:rFonts w:ascii="Times New Roman" w:eastAsia="Times New Roman" w:hAnsi="Times New Roman" w:cs="Times New Roman"/>
          <w:sz w:val="24"/>
          <w:szCs w:val="24"/>
        </w:rPr>
        <w:t>ion, a phenomenon analogous to salting in</w:t>
      </w:r>
      <w:r w:rsidRPr="00177083">
        <w:rPr>
          <w:rFonts w:ascii="Times New Roman" w:eastAsia="Times New Roman" w:hAnsi="Times New Roman" w:cs="Times New Roman"/>
          <w:sz w:val="24"/>
          <w:szCs w:val="24"/>
        </w:rPr>
        <w:t xml:space="preserve"> (Kazi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2022). However, it is crucial to note that excessive hydrotrope concentrations can sometimes lead to reduced solubilization or even drug precipitation due to complex phase behavior, underscoring the importance of determining the optimal hydrotrope concentration for each specific drug (Kazi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2022). This concentration-dependent effect exhibits a sigmoidal pattern rather than a monotonous linear increase, indicating a critical micelle-like concentration above which solubilization dramatically improves (Kazi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2022). Moreover, the mechanistic underpinnings of hydrotropic solubilization are increasingly understood to involve not only the disruption of solute-solute interactions but also the formation of dynamic aggregates that encapsulate or associate with the drug molecules, akin to pseudo-micellar structures (Tambe, 2025). This aggregation behavior, which often initiates above a minimum hydrotropic concentration, differentiates hydrotropic solubilization from simple co-solvency and is crucial for its enhanced solubilizing capacity (Tambe, 2025). </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b/>
          <w:bCs/>
          <w:sz w:val="24"/>
          <w:szCs w:val="24"/>
        </w:rPr>
        <w:t>11.0.2 Combination Approaches with Other Solubilization Techniques</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The synergistic integration of hydrotropic solubilization with other enhancement strategies, such as co-solvency, complexation with cyclodextrins, or nanoformulation, presents a promising avenue for overcoming the limitations of individual techniques and achieving superior solubility and bioavailability profiles. Another effective strategy involves the use of mixed hydrotropic solubilization, where combinations of hydrotropic agents can exhibit synergistic effects, allowing for enhanced drug solubility at lower overall concentrations and mitigating potential side effects associated with high individual hydrotrope usage (Parihar &amp; Maheshwari, 2022). </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b/>
          <w:bCs/>
          <w:sz w:val="24"/>
          <w:szCs w:val="24"/>
        </w:rPr>
        <w:t xml:space="preserve">12.0 Mechanistic Insights and Characterization Techniques </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lastRenderedPageBreak/>
        <w:t xml:space="preserve">Understanding the fundamental mechanisms governing hydrotropic solubilization is crucial for the rational design and optimization of hydrotrope-based formulations. This involves delving into the physicochemical interactions between hydrotropes and drug molecules, exploring phenomena such as weak intermolecular associations and self-aggregation behavior at specific concentrations (Kumar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2023; Tambe, 2025). Unlike surfactants, hydrotropes generally exhibit a lower propensity for true micelle formation due to their shorter hydrocarbon chains, resulting in a weaker hydrophobic effect and the formation of non-procedural micelles or dynamic aggregates that facilitate drug solubilization (Mirzapure, 2024). The precise nature of these aggregates, often characterized by techniques such as dynamic light scattering and nuclear magnetic resonance spectroscopy, is critical in elucidating the solute-hydrotrope interactions responsible for increased aqueous solubility</w:t>
      </w:r>
      <w:r w:rsidR="00FD3787">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 xml:space="preserve">(Shen </w:t>
      </w:r>
      <w:r w:rsidRPr="00FD3787">
        <w:rPr>
          <w:rFonts w:ascii="Times New Roman" w:eastAsia="Times New Roman" w:hAnsi="Times New Roman" w:cs="Times New Roman"/>
          <w:i/>
          <w:sz w:val="24"/>
          <w:szCs w:val="24"/>
        </w:rPr>
        <w:t>et al.,</w:t>
      </w:r>
      <w:r w:rsidRPr="00177083">
        <w:rPr>
          <w:rFonts w:ascii="Times New Roman" w:eastAsia="Times New Roman" w:hAnsi="Times New Roman" w:cs="Times New Roman"/>
          <w:sz w:val="24"/>
          <w:szCs w:val="24"/>
        </w:rPr>
        <w:t xml:space="preserve"> 2023; Subramanian &amp; Anisimov, 2013). Further investigation into the precise thermodynamic parameters governing these interactions, such as enthalpy and entropy changes during solubilization, provides a more comprehensive understanding of the driving forces behind hydrotropy. </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b/>
          <w:bCs/>
          <w:sz w:val="24"/>
          <w:szCs w:val="24"/>
        </w:rPr>
        <w:t>13.0 Safety and Toxicity Considerations of Hydrotropes</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The use of mixed hydrotropy further mitigates concerns regarding individual hydrotrope toxicity, as combining multiple agents at lower concentrations can achieve equivalent solubilization with reduced cumulative risk</w:t>
      </w:r>
      <w:r w:rsidR="00FD3787">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(Tambe, 2025). However, the potential for toxicity associated with excessive concentrations of hydrotropic agents remains a critical consideration in pharmaceutical development, necessitating rigorous toxicological assessments (Mirzapure, 2024). Consequently, the development of novel hydrotropes with improved safety profiles and enhanced solubilization efficiency remains an active area of research. For instance, mixed hydrotropic systems are advantageous because they avoid the use of organic solvents, which can reduce residual solvent toxicity, and often prove to be more cost-effective and environmentally benign than other solubilization techniques</w:t>
      </w:r>
      <w:r w:rsidR="00FD3787">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 xml:space="preserve">(Hamd </w:t>
      </w:r>
      <w:r w:rsidRPr="00FD3787">
        <w:rPr>
          <w:rFonts w:ascii="Times New Roman" w:eastAsia="Times New Roman" w:hAnsi="Times New Roman" w:cs="Times New Roman"/>
          <w:i/>
          <w:sz w:val="24"/>
          <w:szCs w:val="24"/>
        </w:rPr>
        <w:t>et al.,</w:t>
      </w:r>
      <w:r w:rsidRPr="00177083">
        <w:rPr>
          <w:rFonts w:ascii="Times New Roman" w:eastAsia="Times New Roman" w:hAnsi="Times New Roman" w:cs="Times New Roman"/>
          <w:sz w:val="24"/>
          <w:szCs w:val="24"/>
        </w:rPr>
        <w:t xml:space="preserve"> 2024). This approach often involves assessing parameters such as cytotoxicity, genotoxicity, and acute and chronic systemic toxicity to ensure the safety of pharmaceutical formulations containing hydrotropic agents</w:t>
      </w:r>
      <w:r w:rsidR="00FD3787">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 xml:space="preserve">(Olaru </w:t>
      </w:r>
      <w:r w:rsidRPr="00FD3787">
        <w:rPr>
          <w:rFonts w:ascii="Times New Roman" w:eastAsia="Times New Roman" w:hAnsi="Times New Roman" w:cs="Times New Roman"/>
          <w:i/>
          <w:sz w:val="24"/>
          <w:szCs w:val="24"/>
        </w:rPr>
        <w:t>et al.,</w:t>
      </w:r>
      <w:r w:rsidRPr="00177083">
        <w:rPr>
          <w:rFonts w:ascii="Times New Roman" w:eastAsia="Times New Roman" w:hAnsi="Times New Roman" w:cs="Times New Roman"/>
          <w:sz w:val="24"/>
          <w:szCs w:val="24"/>
        </w:rPr>
        <w:t xml:space="preserve"> 2025). Furthermore, the selection of appropriate hydrotropes involves a careful balance between solubilization efficiency and their toxicological profiles, often necessitating the exploration of novel, biocompatible hydrotropic compounds to meet stringent regulatory requirements. This underscores the necessity for comprehensive toxicological assessments and continuous innovation in identifying hydrotropic agents with optimal safety and efficacy for pharmaceutical applications. Moreover, the specific mechanisms of interaction between hydrotropes and drug molecules, including compound formation, molecular aggregation, and electrostatic forces, dictate the efficacy and safety profile of hydrotropic formulations (Mirzapure, 2024). </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b/>
          <w:bCs/>
          <w:sz w:val="24"/>
          <w:szCs w:val="24"/>
        </w:rPr>
        <w:t>14.0 Future Perspectives and Research Directions</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Further exploration into the synthesis of novel, biodegradable hydrotropes, potentially derived from natural sources, could significantly enhance the therapeutic index of poorly soluble drugs while minimizing environmental impact. Additionally, the application of in silico modeling and quantitative structure-activity relationship studies could streamline the prediction of hydrotrope efficacy and toxicity, accelerating the development of optimized formulations (Ashique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2023). Advanced characterization techniques, such as Transmission Electron Microscopy and </w:t>
      </w:r>
      <w:r w:rsidRPr="00177083">
        <w:rPr>
          <w:rFonts w:ascii="Times New Roman" w:eastAsia="Times New Roman" w:hAnsi="Times New Roman" w:cs="Times New Roman"/>
          <w:sz w:val="24"/>
          <w:szCs w:val="24"/>
        </w:rPr>
        <w:lastRenderedPageBreak/>
        <w:t>Scanning Electron Microscopy, along with Isothermal Titration Calorimetry and molecular dynamics simulations, can provide deeper insights into hydrotrope-drug interactions and system characteristics</w:t>
      </w:r>
      <w:r w:rsidR="00041E50">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 xml:space="preserve">(Aime </w:t>
      </w:r>
      <w:r w:rsidRPr="00041E50">
        <w:rPr>
          <w:rFonts w:ascii="Times New Roman" w:eastAsia="Times New Roman" w:hAnsi="Times New Roman" w:cs="Times New Roman"/>
          <w:i/>
          <w:sz w:val="24"/>
          <w:szCs w:val="24"/>
        </w:rPr>
        <w:t>et al.,</w:t>
      </w:r>
      <w:r w:rsidRPr="00177083">
        <w:rPr>
          <w:rFonts w:ascii="Times New Roman" w:eastAsia="Times New Roman" w:hAnsi="Times New Roman" w:cs="Times New Roman"/>
          <w:sz w:val="24"/>
          <w:szCs w:val="24"/>
        </w:rPr>
        <w:t xml:space="preserve"> 2024; DebolinaMitra, 2020). Moreover, bioinspired ionic liquids, particularly those based on choline, represent a promising avenue for novel hydrotrope development due to their favorable biodegradation and reduced toxicity profiles, addressing critical safety concerns associated with older generation hydrotropes (Navti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2022). The continued investigation into these innovative materials offers significant potential for overcoming the bioavailability limitations of poorly soluble active pharmaceutical ingredients (Navti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2022). This includes expanding the library of eutectic solvents by exploring various hydrogen bond acceptors beyond choline chloride and investigating hydrophilic ESs for broader applicability</w:t>
      </w:r>
      <w:r w:rsidR="00041E50">
        <w:rPr>
          <w:rFonts w:ascii="Times New Roman" w:eastAsia="Times New Roman" w:hAnsi="Times New Roman" w:cs="Times New Roman"/>
          <w:sz w:val="24"/>
          <w:szCs w:val="24"/>
        </w:rPr>
        <w:t xml:space="preserve"> </w:t>
      </w:r>
      <w:r w:rsidRPr="00177083">
        <w:rPr>
          <w:rFonts w:ascii="Times New Roman" w:eastAsia="Times New Roman" w:hAnsi="Times New Roman" w:cs="Times New Roman"/>
          <w:sz w:val="24"/>
          <w:szCs w:val="24"/>
        </w:rPr>
        <w:t xml:space="preserve">(Crespo </w:t>
      </w:r>
      <w:r w:rsidRPr="00041E50">
        <w:rPr>
          <w:rFonts w:ascii="Times New Roman" w:eastAsia="Times New Roman" w:hAnsi="Times New Roman" w:cs="Times New Roman"/>
          <w:i/>
          <w:sz w:val="24"/>
          <w:szCs w:val="24"/>
        </w:rPr>
        <w:t>et al.,</w:t>
      </w:r>
      <w:r w:rsidRPr="00177083">
        <w:rPr>
          <w:rFonts w:ascii="Times New Roman" w:eastAsia="Times New Roman" w:hAnsi="Times New Roman" w:cs="Times New Roman"/>
          <w:sz w:val="24"/>
          <w:szCs w:val="24"/>
        </w:rPr>
        <w:t xml:space="preserve"> 2019; Lo </w:t>
      </w:r>
      <w:r w:rsidRPr="00041E50">
        <w:rPr>
          <w:rFonts w:ascii="Times New Roman" w:eastAsia="Times New Roman" w:hAnsi="Times New Roman" w:cs="Times New Roman"/>
          <w:i/>
          <w:sz w:val="24"/>
          <w:szCs w:val="24"/>
        </w:rPr>
        <w:t>et al.,</w:t>
      </w:r>
      <w:r w:rsidRPr="00177083">
        <w:rPr>
          <w:rFonts w:ascii="Times New Roman" w:eastAsia="Times New Roman" w:hAnsi="Times New Roman" w:cs="Times New Roman"/>
          <w:sz w:val="24"/>
          <w:szCs w:val="24"/>
        </w:rPr>
        <w:t xml:space="preserve"> 2021). Furthermore, the exploration of lyotropic liquid crystals and lyotropic chromonic liquid crystals presents promising opportunities for drug delivery systems, particularly for improving solubility and achieving sustained release in parenteral formulations (Chavda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2022). Beyond solubilization, future research should also focus on integrating hydrotropic systems with advanced drug delivery platforms, such as targeted nanoparticles or stimuli-responsive hydrogels, to achieve enhanced therapeutic outcomes and reduce systemic exposure. The application of advanced analytical techniques, such as spectroscopy and microscopy, will be crucial in characterizing the formation of novel hydrotrope-drug complexes and evaluating their impact on drug solubility, permeability, and physicochemical stability (Iliopoulos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2022; Janbezar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2025). Moreover, continued advancements in computational chemistry, including molecular dynamics simulations and coarse-grained models, will be instrumental in predicting and understanding the intricate interactions between hydrotropes, drug molecules, and biological membranes, thereby informing the rational design of more effective drug delivery systems (Krstonošić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2023). Furthermore, the integration of artificial intelligence and machine learning with experimental formulation design is poised to accelerate the identification of optimal excipient combinations and predict long-term stability outcomes (Tanga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2025). However, the synthesis and purification of these advanced materials, such as specific framework materials, often present significant challenges in terms of cost and complexity, thereby limiting their immediate commercial viability (Chavda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2022). Addressing these challenges requires a concerted effort in developing more scalable and cost-effective synthetic methodologies, alongside exploring novel bio-based and sustainable gelators to achieve truly green soft materials (Souza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2023). </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b/>
          <w:bCs/>
          <w:sz w:val="24"/>
          <w:szCs w:val="24"/>
        </w:rPr>
        <w:t>15.0 Conclusion</w:t>
      </w:r>
    </w:p>
    <w:p w:rsidR="00AF3C1D" w:rsidRPr="00177083"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This review has comprehensively detailed the significant progress made in hydrotropic solubilization strategies for poorly aqueous soluble drugs, highlighting diverse approaches and their mechanistic support. From simple mixed hydrotropy to advanced applications involving supramolecular assemblies and innovative delivery systems like cubosomes and lyotropic liquid crystals, the field has evolved to offer multifaceted solutions for enhancing drug solubility and bioavailability (Chavda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2022; Mirzapure, 2024). Further advancements in hydrotropic formulations are anticipated to address challenges associated with new chemical entities by providing innovative solutions for their limited aqueous solubility and improving their overall pharmaceutical </w:t>
      </w:r>
      <w:proofErr w:type="gramStart"/>
      <w:r w:rsidRPr="00177083">
        <w:rPr>
          <w:rFonts w:ascii="Times New Roman" w:eastAsia="Times New Roman" w:hAnsi="Times New Roman" w:cs="Times New Roman"/>
          <w:sz w:val="24"/>
          <w:szCs w:val="24"/>
        </w:rPr>
        <w:t>profiles(</w:t>
      </w:r>
      <w:proofErr w:type="gramEnd"/>
      <w:r w:rsidRPr="00177083">
        <w:rPr>
          <w:rFonts w:ascii="Times New Roman" w:eastAsia="Times New Roman" w:hAnsi="Times New Roman" w:cs="Times New Roman"/>
          <w:sz w:val="24"/>
          <w:szCs w:val="24"/>
        </w:rPr>
        <w:t xml:space="preserve">Tambe, 2025). The ongoing research into innovative hydrogel formulations and lipid-based drug delivery systems further contributes to the overall goal of </w:t>
      </w:r>
      <w:r w:rsidRPr="00177083">
        <w:rPr>
          <w:rFonts w:ascii="Times New Roman" w:eastAsia="Times New Roman" w:hAnsi="Times New Roman" w:cs="Times New Roman"/>
          <w:sz w:val="24"/>
          <w:szCs w:val="24"/>
        </w:rPr>
        <w:lastRenderedPageBreak/>
        <w:t xml:space="preserve">enhancing the efficacy and bioavailability of poorly water-soluble drugs (Aher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2024; Mohite et al., 2023). Continued advancements in machine learning algorithms, particularly those predicting polymer properties and behavior, will facilitate the design of tailored hydrogels with optimized drug loading and release profiles (Sapra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2024). The integration of artificial intelligence in predicting dissolution profiles and optimizing solidification methods for formulations like solid self-nanoemulsifying drug delivery systems is also demonstrating significant potential for improving drug performance (Tanga </w:t>
      </w:r>
      <w:r w:rsidRPr="00177083">
        <w:rPr>
          <w:rFonts w:ascii="Times New Roman" w:eastAsia="Times New Roman" w:hAnsi="Times New Roman" w:cs="Times New Roman"/>
          <w:i/>
          <w:iCs/>
          <w:sz w:val="24"/>
          <w:szCs w:val="24"/>
        </w:rPr>
        <w:t>et al.,</w:t>
      </w:r>
      <w:r w:rsidRPr="00177083">
        <w:rPr>
          <w:rFonts w:ascii="Times New Roman" w:eastAsia="Times New Roman" w:hAnsi="Times New Roman" w:cs="Times New Roman"/>
          <w:sz w:val="24"/>
          <w:szCs w:val="24"/>
        </w:rPr>
        <w:t xml:space="preserve"> 2025). </w:t>
      </w:r>
    </w:p>
    <w:p w:rsidR="00AF3C1D" w:rsidRPr="00E8306A" w:rsidRDefault="00AF3C1D" w:rsidP="00177083">
      <w:pPr>
        <w:spacing w:before="100" w:beforeAutospacing="1" w:after="100" w:afterAutospacing="1" w:line="240" w:lineRule="auto"/>
        <w:rPr>
          <w:rFonts w:ascii="Times New Roman" w:eastAsia="Times New Roman" w:hAnsi="Times New Roman" w:cs="Times New Roman"/>
          <w:b/>
          <w:sz w:val="24"/>
          <w:szCs w:val="24"/>
        </w:rPr>
      </w:pPr>
      <w:r w:rsidRPr="00E8306A">
        <w:rPr>
          <w:rFonts w:ascii="Times New Roman" w:eastAsia="Times New Roman" w:hAnsi="Times New Roman" w:cs="Times New Roman"/>
          <w:b/>
          <w:sz w:val="24"/>
          <w:szCs w:val="24"/>
        </w:rPr>
        <w:t>Disclaimer (Artificial intelligence)</w:t>
      </w:r>
    </w:p>
    <w:p w:rsidR="00AF3C1D" w:rsidRDefault="00AF3C1D" w:rsidP="00177083">
      <w:pPr>
        <w:spacing w:before="100" w:beforeAutospacing="1" w:after="100" w:afterAutospacing="1" w:line="240" w:lineRule="auto"/>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Author(s) hereby declare that NO generative AI technologies such as Large Language Models (ChatGPT, COPILOT, etc.) and text-to-image gen</w:t>
      </w:r>
      <w:bookmarkStart w:id="0" w:name="_GoBack"/>
      <w:bookmarkEnd w:id="0"/>
      <w:r w:rsidRPr="00177083">
        <w:rPr>
          <w:rFonts w:ascii="Times New Roman" w:eastAsia="Times New Roman" w:hAnsi="Times New Roman" w:cs="Times New Roman"/>
          <w:sz w:val="24"/>
          <w:szCs w:val="24"/>
        </w:rPr>
        <w:t xml:space="preserve">erators have been used during the writing or editing of this manuscript. </w:t>
      </w:r>
    </w:p>
    <w:p w:rsidR="00177083" w:rsidRPr="00177083" w:rsidRDefault="00177083" w:rsidP="00177083">
      <w:pPr>
        <w:pStyle w:val="Heading3"/>
      </w:pPr>
      <w:r w:rsidRPr="00177083">
        <w:t>Reference</w:t>
      </w:r>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Abranches, D. O., Benfica, J., Shimizu, S., &amp; Coutinho, J. A. P. (2020). The Perspective of Cooperative Hydrotropy on the Solubility in Aqueous Solutions of Cyrene. </w:t>
      </w:r>
      <w:r w:rsidRPr="00177083">
        <w:rPr>
          <w:rFonts w:ascii="Times New Roman" w:eastAsia="Times New Roman" w:hAnsi="Times New Roman" w:cs="Times New Roman"/>
          <w:i/>
          <w:iCs/>
          <w:sz w:val="24"/>
          <w:szCs w:val="24"/>
        </w:rPr>
        <w:t>Industrial &amp; Engineering Chemistry Research</w:t>
      </w:r>
      <w:r w:rsidRPr="00177083">
        <w:rPr>
          <w:rFonts w:ascii="Times New Roman" w:eastAsia="Times New Roman" w:hAnsi="Times New Roman" w:cs="Times New Roman"/>
          <w:sz w:val="24"/>
          <w:szCs w:val="24"/>
        </w:rPr>
        <w:t xml:space="preserve">, </w:t>
      </w:r>
      <w:r w:rsidRPr="00177083">
        <w:rPr>
          <w:rFonts w:ascii="Times New Roman" w:eastAsia="Times New Roman" w:hAnsi="Times New Roman" w:cs="Times New Roman"/>
          <w:i/>
          <w:iCs/>
          <w:sz w:val="24"/>
          <w:szCs w:val="24"/>
        </w:rPr>
        <w:t>59</w:t>
      </w:r>
      <w:r w:rsidRPr="00177083">
        <w:rPr>
          <w:rFonts w:ascii="Times New Roman" w:eastAsia="Times New Roman" w:hAnsi="Times New Roman" w:cs="Times New Roman"/>
          <w:sz w:val="24"/>
          <w:szCs w:val="24"/>
        </w:rPr>
        <w:t xml:space="preserve">(41), 18649. </w:t>
      </w:r>
      <w:hyperlink r:id="rId6" w:tgtFrame="_blank" w:history="1">
        <w:r w:rsidRPr="00177083">
          <w:rPr>
            <w:rFonts w:ascii="Times New Roman" w:eastAsia="Times New Roman" w:hAnsi="Times New Roman" w:cs="Times New Roman"/>
            <w:color w:val="0000FF"/>
            <w:sz w:val="24"/>
            <w:szCs w:val="24"/>
            <w:u w:val="single"/>
          </w:rPr>
          <w:t>https://doi.org/10.1021/acs.iecr.0c02346</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Aher, S., Solanki, D., &amp; Jain, A. (2024). Nanotechnology at Work: Hydrogel Drug Delivery Architectures. </w:t>
      </w:r>
      <w:r w:rsidRPr="00177083">
        <w:rPr>
          <w:rFonts w:ascii="Times New Roman" w:eastAsia="Times New Roman" w:hAnsi="Times New Roman" w:cs="Times New Roman"/>
          <w:i/>
          <w:iCs/>
          <w:sz w:val="24"/>
          <w:szCs w:val="24"/>
        </w:rPr>
        <w:t>Journal of Drug Delivery and Therapeutics</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14</w:t>
      </w:r>
      <w:r w:rsidRPr="00177083">
        <w:rPr>
          <w:rFonts w:ascii="Times New Roman" w:eastAsia="Times New Roman" w:hAnsi="Times New Roman" w:cs="Times New Roman"/>
          <w:sz w:val="24"/>
          <w:szCs w:val="24"/>
        </w:rPr>
        <w:t>(3), 179. </w:t>
      </w:r>
      <w:hyperlink r:id="rId7" w:tgtFrame="_blank" w:history="1">
        <w:r w:rsidRPr="00177083">
          <w:rPr>
            <w:rFonts w:ascii="Times New Roman" w:eastAsia="Times New Roman" w:hAnsi="Times New Roman" w:cs="Times New Roman"/>
            <w:color w:val="0000FF"/>
            <w:sz w:val="24"/>
            <w:szCs w:val="24"/>
            <w:u w:val="single"/>
          </w:rPr>
          <w:t>https://doi.org/10.22270/jddt.v14i3.6465</w:t>
        </w:r>
      </w:hyperlink>
    </w:p>
    <w:p w:rsidR="00AF3C1D" w:rsidRPr="00177083" w:rsidRDefault="00AF3C1D" w:rsidP="00177083">
      <w:pPr>
        <w:shd w:val="clear" w:color="auto" w:fill="FFFFFF"/>
        <w:spacing w:before="100" w:beforeAutospacing="1" w:after="100" w:afterAutospacing="1" w:line="240" w:lineRule="auto"/>
        <w:ind w:left="720" w:hanging="720"/>
        <w:rPr>
          <w:rFonts w:ascii="Times New Roman" w:eastAsia="Times New Roman" w:hAnsi="Times New Roman" w:cs="Times New Roman"/>
          <w:color w:val="18181B"/>
          <w:sz w:val="24"/>
          <w:szCs w:val="24"/>
        </w:rPr>
      </w:pPr>
      <w:r w:rsidRPr="00177083">
        <w:rPr>
          <w:rFonts w:ascii="Times New Roman" w:eastAsia="Times New Roman" w:hAnsi="Times New Roman" w:cs="Times New Roman"/>
          <w:color w:val="18181B"/>
          <w:sz w:val="24"/>
          <w:szCs w:val="24"/>
        </w:rPr>
        <w:t xml:space="preserve">Aime, </w:t>
      </w:r>
      <w:proofErr w:type="gramStart"/>
      <w:r w:rsidRPr="00177083">
        <w:rPr>
          <w:rFonts w:ascii="Times New Roman" w:eastAsia="Times New Roman" w:hAnsi="Times New Roman" w:cs="Times New Roman"/>
          <w:color w:val="18181B"/>
          <w:sz w:val="24"/>
          <w:szCs w:val="24"/>
        </w:rPr>
        <w:t>A. .</w:t>
      </w:r>
      <w:proofErr w:type="gramEnd"/>
      <w:r w:rsidRPr="00177083">
        <w:rPr>
          <w:rFonts w:ascii="Times New Roman" w:eastAsia="Times New Roman" w:hAnsi="Times New Roman" w:cs="Times New Roman"/>
          <w:color w:val="18181B"/>
          <w:sz w:val="24"/>
          <w:szCs w:val="24"/>
        </w:rPr>
        <w:t>, Bagga, H., Chaudhari, G., &amp; Vyas, U. (2024). Novel Approaches and Emerging Trends in Hydrotropic Solubilization Technology. </w:t>
      </w:r>
      <w:r w:rsidRPr="00177083">
        <w:rPr>
          <w:rFonts w:ascii="Times New Roman" w:eastAsia="Times New Roman" w:hAnsi="Times New Roman" w:cs="Times New Roman"/>
          <w:i/>
          <w:iCs/>
          <w:color w:val="18181B"/>
          <w:sz w:val="24"/>
          <w:szCs w:val="24"/>
        </w:rPr>
        <w:t>International Journal of Drug Delivery Technology</w:t>
      </w:r>
      <w:r w:rsidRPr="00177083">
        <w:rPr>
          <w:rFonts w:ascii="Times New Roman" w:eastAsia="Times New Roman" w:hAnsi="Times New Roman" w:cs="Times New Roman"/>
          <w:color w:val="18181B"/>
          <w:sz w:val="24"/>
          <w:szCs w:val="24"/>
        </w:rPr>
        <w:t>, </w:t>
      </w:r>
      <w:r w:rsidRPr="00177083">
        <w:rPr>
          <w:rFonts w:ascii="Times New Roman" w:eastAsia="Times New Roman" w:hAnsi="Times New Roman" w:cs="Times New Roman"/>
          <w:i/>
          <w:iCs/>
          <w:color w:val="18181B"/>
          <w:sz w:val="24"/>
          <w:szCs w:val="24"/>
        </w:rPr>
        <w:t>14</w:t>
      </w:r>
      <w:r w:rsidRPr="00177083">
        <w:rPr>
          <w:rFonts w:ascii="Times New Roman" w:eastAsia="Times New Roman" w:hAnsi="Times New Roman" w:cs="Times New Roman"/>
          <w:color w:val="18181B"/>
          <w:sz w:val="24"/>
          <w:szCs w:val="24"/>
        </w:rPr>
        <w:t>(3), 1736. </w:t>
      </w:r>
      <w:hyperlink r:id="rId8" w:tgtFrame="_blank" w:history="1">
        <w:r w:rsidRPr="00177083">
          <w:rPr>
            <w:rFonts w:ascii="Times New Roman" w:eastAsia="Times New Roman" w:hAnsi="Times New Roman" w:cs="Times New Roman"/>
            <w:color w:val="0000FF"/>
            <w:sz w:val="24"/>
            <w:szCs w:val="24"/>
            <w:u w:val="single"/>
          </w:rPr>
          <w:t>https://doi.org/10.25258/ijddt.14.3.69</w:t>
        </w:r>
      </w:hyperlink>
    </w:p>
    <w:p w:rsidR="00AF3C1D" w:rsidRPr="00177083" w:rsidRDefault="00AF3C1D" w:rsidP="00177083">
      <w:pPr>
        <w:shd w:val="clear" w:color="auto" w:fill="FFFFFF"/>
        <w:spacing w:before="100" w:beforeAutospacing="1" w:after="100" w:afterAutospacing="1" w:line="240" w:lineRule="auto"/>
        <w:ind w:left="720" w:hanging="720"/>
        <w:rPr>
          <w:rFonts w:ascii="Times New Roman" w:eastAsia="Times New Roman" w:hAnsi="Times New Roman" w:cs="Times New Roman"/>
          <w:color w:val="18181B"/>
          <w:sz w:val="24"/>
          <w:szCs w:val="24"/>
        </w:rPr>
      </w:pPr>
      <w:r w:rsidRPr="00177083">
        <w:rPr>
          <w:rFonts w:ascii="Times New Roman" w:eastAsia="Times New Roman" w:hAnsi="Times New Roman" w:cs="Times New Roman"/>
          <w:color w:val="18181B"/>
          <w:sz w:val="24"/>
          <w:szCs w:val="24"/>
        </w:rPr>
        <w:t>Akhil, B., Chaitanya, R. K., Venkatesh, B., &amp; Annapurna, M. M. (2015). Simultaneous Derivative Spectrophotometric Determination of Lornoxicam and Paracetamolin Tablet Dosage Forms. </w:t>
      </w:r>
      <w:r w:rsidRPr="00177083">
        <w:rPr>
          <w:rFonts w:ascii="Times New Roman" w:eastAsia="Times New Roman" w:hAnsi="Times New Roman" w:cs="Times New Roman"/>
          <w:i/>
          <w:iCs/>
          <w:color w:val="18181B"/>
          <w:sz w:val="24"/>
          <w:szCs w:val="24"/>
        </w:rPr>
        <w:t>Pharmaceutical Methods</w:t>
      </w:r>
      <w:r w:rsidRPr="00177083">
        <w:rPr>
          <w:rFonts w:ascii="Times New Roman" w:eastAsia="Times New Roman" w:hAnsi="Times New Roman" w:cs="Times New Roman"/>
          <w:color w:val="18181B"/>
          <w:sz w:val="24"/>
          <w:szCs w:val="24"/>
        </w:rPr>
        <w:t>, </w:t>
      </w:r>
      <w:r w:rsidRPr="00177083">
        <w:rPr>
          <w:rFonts w:ascii="Times New Roman" w:eastAsia="Times New Roman" w:hAnsi="Times New Roman" w:cs="Times New Roman"/>
          <w:i/>
          <w:iCs/>
          <w:color w:val="18181B"/>
          <w:sz w:val="24"/>
          <w:szCs w:val="24"/>
        </w:rPr>
        <w:t>6</w:t>
      </w:r>
      <w:r w:rsidRPr="00177083">
        <w:rPr>
          <w:rFonts w:ascii="Times New Roman" w:eastAsia="Times New Roman" w:hAnsi="Times New Roman" w:cs="Times New Roman"/>
          <w:color w:val="18181B"/>
          <w:sz w:val="24"/>
          <w:szCs w:val="24"/>
        </w:rPr>
        <w:t>, 126. </w:t>
      </w:r>
      <w:hyperlink r:id="rId9" w:tgtFrame="_blank" w:history="1">
        <w:r w:rsidRPr="00177083">
          <w:rPr>
            <w:rFonts w:ascii="Times New Roman" w:eastAsia="Times New Roman" w:hAnsi="Times New Roman" w:cs="Times New Roman"/>
            <w:color w:val="0000FF"/>
            <w:sz w:val="24"/>
            <w:szCs w:val="24"/>
            <w:u w:val="single"/>
          </w:rPr>
          <w:t>https://doi.org/10.5530/phm.2015.6.19</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Alshamrani, M., Khan, M. K., Khan, B. A., Salawi, A., &amp; Almoshari, Y. (2022). Technologies for Solubility, Dissolution and Permeation Enhancement of Natural Compounds [Review of </w:t>
      </w:r>
      <w:r w:rsidRPr="00177083">
        <w:rPr>
          <w:rFonts w:ascii="Times New Roman" w:eastAsia="Times New Roman" w:hAnsi="Times New Roman" w:cs="Times New Roman"/>
          <w:i/>
          <w:iCs/>
          <w:sz w:val="24"/>
          <w:szCs w:val="24"/>
        </w:rPr>
        <w:t>Technologies for Solubility, Dissolution and Permeation Enhancement of Natural Compounds</w:t>
      </w:r>
      <w:r w:rsidRPr="00177083">
        <w:rPr>
          <w:rFonts w:ascii="Times New Roman" w:eastAsia="Times New Roman" w:hAnsi="Times New Roman" w:cs="Times New Roman"/>
          <w:sz w:val="24"/>
          <w:szCs w:val="24"/>
        </w:rPr>
        <w:t xml:space="preserve">]. </w:t>
      </w:r>
      <w:r w:rsidRPr="00177083">
        <w:rPr>
          <w:rFonts w:ascii="Times New Roman" w:eastAsia="Times New Roman" w:hAnsi="Times New Roman" w:cs="Times New Roman"/>
          <w:i/>
          <w:iCs/>
          <w:sz w:val="24"/>
          <w:szCs w:val="24"/>
        </w:rPr>
        <w:t>Pharmaceuticals</w:t>
      </w:r>
      <w:r w:rsidRPr="00177083">
        <w:rPr>
          <w:rFonts w:ascii="Times New Roman" w:eastAsia="Times New Roman" w:hAnsi="Times New Roman" w:cs="Times New Roman"/>
          <w:sz w:val="24"/>
          <w:szCs w:val="24"/>
        </w:rPr>
        <w:t xml:space="preserve">, </w:t>
      </w:r>
      <w:r w:rsidRPr="00177083">
        <w:rPr>
          <w:rFonts w:ascii="Times New Roman" w:eastAsia="Times New Roman" w:hAnsi="Times New Roman" w:cs="Times New Roman"/>
          <w:i/>
          <w:iCs/>
          <w:sz w:val="24"/>
          <w:szCs w:val="24"/>
        </w:rPr>
        <w:t>15</w:t>
      </w:r>
      <w:r w:rsidRPr="00177083">
        <w:rPr>
          <w:rFonts w:ascii="Times New Roman" w:eastAsia="Times New Roman" w:hAnsi="Times New Roman" w:cs="Times New Roman"/>
          <w:sz w:val="24"/>
          <w:szCs w:val="24"/>
        </w:rPr>
        <w:t xml:space="preserve">(6), 653. Multidisciplinary Digital Publishing Institute. </w:t>
      </w:r>
      <w:hyperlink r:id="rId10" w:tgtFrame="_blank" w:history="1">
        <w:r w:rsidRPr="00177083">
          <w:rPr>
            <w:rFonts w:ascii="Times New Roman" w:eastAsia="Times New Roman" w:hAnsi="Times New Roman" w:cs="Times New Roman"/>
            <w:color w:val="0000FF"/>
            <w:sz w:val="24"/>
            <w:szCs w:val="24"/>
            <w:u w:val="single"/>
          </w:rPr>
          <w:t>https://doi.org/10.3390/ph15060653</w:t>
        </w:r>
      </w:hyperlink>
    </w:p>
    <w:p w:rsidR="00AF3C1D" w:rsidRPr="00177083" w:rsidRDefault="00AF3C1D" w:rsidP="00177083">
      <w:pPr>
        <w:shd w:val="clear" w:color="auto" w:fill="FFFFFF"/>
        <w:spacing w:before="100" w:beforeAutospacing="1" w:after="100" w:afterAutospacing="1" w:line="240" w:lineRule="auto"/>
        <w:ind w:left="720" w:hanging="720"/>
        <w:rPr>
          <w:rFonts w:ascii="Times New Roman" w:eastAsia="Times New Roman" w:hAnsi="Times New Roman" w:cs="Times New Roman"/>
          <w:color w:val="18181B"/>
          <w:sz w:val="24"/>
          <w:szCs w:val="24"/>
        </w:rPr>
      </w:pPr>
      <w:r w:rsidRPr="00177083">
        <w:rPr>
          <w:rFonts w:ascii="Times New Roman" w:eastAsia="Times New Roman" w:hAnsi="Times New Roman" w:cs="Times New Roman"/>
          <w:color w:val="18181B"/>
          <w:sz w:val="24"/>
          <w:szCs w:val="24"/>
        </w:rPr>
        <w:t>Ansari, M. J. (2019). An overview of techniques for multifold enhancement in solubility of poorly soluble drugs. </w:t>
      </w:r>
      <w:r w:rsidRPr="00177083">
        <w:rPr>
          <w:rFonts w:ascii="Times New Roman" w:eastAsia="Times New Roman" w:hAnsi="Times New Roman" w:cs="Times New Roman"/>
          <w:i/>
          <w:iCs/>
          <w:color w:val="18181B"/>
          <w:sz w:val="24"/>
          <w:szCs w:val="24"/>
        </w:rPr>
        <w:t>Current Issues in Pharmacy and Medical Sciences</w:t>
      </w:r>
      <w:r w:rsidRPr="00177083">
        <w:rPr>
          <w:rFonts w:ascii="Times New Roman" w:eastAsia="Times New Roman" w:hAnsi="Times New Roman" w:cs="Times New Roman"/>
          <w:color w:val="18181B"/>
          <w:sz w:val="24"/>
          <w:szCs w:val="24"/>
        </w:rPr>
        <w:t>, </w:t>
      </w:r>
      <w:r w:rsidRPr="00177083">
        <w:rPr>
          <w:rFonts w:ascii="Times New Roman" w:eastAsia="Times New Roman" w:hAnsi="Times New Roman" w:cs="Times New Roman"/>
          <w:i/>
          <w:iCs/>
          <w:color w:val="18181B"/>
          <w:sz w:val="24"/>
          <w:szCs w:val="24"/>
        </w:rPr>
        <w:t>32</w:t>
      </w:r>
      <w:r w:rsidRPr="00177083">
        <w:rPr>
          <w:rFonts w:ascii="Times New Roman" w:eastAsia="Times New Roman" w:hAnsi="Times New Roman" w:cs="Times New Roman"/>
          <w:color w:val="18181B"/>
          <w:sz w:val="24"/>
          <w:szCs w:val="24"/>
        </w:rPr>
        <w:t>(4), 203. </w:t>
      </w:r>
      <w:hyperlink r:id="rId11" w:tgtFrame="_blank" w:history="1">
        <w:r w:rsidRPr="00177083">
          <w:rPr>
            <w:rFonts w:ascii="Times New Roman" w:eastAsia="Times New Roman" w:hAnsi="Times New Roman" w:cs="Times New Roman"/>
            <w:color w:val="0000FF"/>
            <w:sz w:val="24"/>
            <w:szCs w:val="24"/>
            <w:u w:val="single"/>
          </w:rPr>
          <w:t>https://doi.org/10.2478/cipms-2019-0035</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Ashique, S., Mishra, N., Mohanto, S., Gowda, B. H. J., Kumar, S., Raikar, A. S., Masand, P., Garg, A., Goswami, P., &amp; Kahwa, I. (2023). Overview of processed excipients in ocular </w:t>
      </w:r>
      <w:r w:rsidRPr="00177083">
        <w:rPr>
          <w:rFonts w:ascii="Times New Roman" w:eastAsia="Times New Roman" w:hAnsi="Times New Roman" w:cs="Times New Roman"/>
          <w:sz w:val="24"/>
          <w:szCs w:val="24"/>
        </w:rPr>
        <w:lastRenderedPageBreak/>
        <w:t>drug delivery: Opportunities so far and bottlenecks. </w:t>
      </w:r>
      <w:r w:rsidRPr="00177083">
        <w:rPr>
          <w:rFonts w:ascii="Times New Roman" w:eastAsia="Times New Roman" w:hAnsi="Times New Roman" w:cs="Times New Roman"/>
          <w:i/>
          <w:iCs/>
          <w:sz w:val="24"/>
          <w:szCs w:val="24"/>
        </w:rPr>
        <w:t>Heliyon</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10</w:t>
      </w:r>
      <w:r w:rsidRPr="00177083">
        <w:rPr>
          <w:rFonts w:ascii="Times New Roman" w:eastAsia="Times New Roman" w:hAnsi="Times New Roman" w:cs="Times New Roman"/>
          <w:sz w:val="24"/>
          <w:szCs w:val="24"/>
        </w:rPr>
        <w:t>(1). </w:t>
      </w:r>
      <w:hyperlink r:id="rId12" w:tgtFrame="_blank" w:history="1">
        <w:r w:rsidRPr="00177083">
          <w:rPr>
            <w:rFonts w:ascii="Times New Roman" w:eastAsia="Times New Roman" w:hAnsi="Times New Roman" w:cs="Times New Roman"/>
            <w:color w:val="0000FF"/>
            <w:sz w:val="24"/>
            <w:szCs w:val="24"/>
            <w:u w:val="single"/>
          </w:rPr>
          <w:t>https://doi.org/10.1016/j.heliyon.2023.e23810</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Banerjee T, Banerjee B, Jain P., Shukla G, and Banerjee A, (2012) Spectrophotometric estimation of lornoxicam and paracetamol tablet dosage form using hydrotropic solubilizing agent, </w:t>
      </w:r>
      <w:r w:rsidRPr="00177083">
        <w:rPr>
          <w:rFonts w:ascii="Times New Roman" w:eastAsia="Times New Roman" w:hAnsi="Times New Roman" w:cs="Times New Roman"/>
          <w:i/>
          <w:iCs/>
          <w:sz w:val="24"/>
          <w:szCs w:val="24"/>
        </w:rPr>
        <w:t>International Journal of ChemTech Research</w:t>
      </w:r>
      <w:r w:rsidRPr="00177083">
        <w:rPr>
          <w:rFonts w:ascii="Times New Roman" w:eastAsia="Times New Roman" w:hAnsi="Times New Roman" w:cs="Times New Roman"/>
          <w:sz w:val="24"/>
          <w:szCs w:val="24"/>
        </w:rPr>
        <w:t>, no. 1, 232–239, 2-s2.0-84856944302.</w:t>
      </w:r>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Bakrey, H., Abdu, A., Shivgotra, R., Soni, B., Sharma, M. K., Bakrey, A., &amp; Jain, S. K. (2025). Innovative Strategies and Advances in Drug Delivery Systems to Address Poor Solubility: A Comprehensive Review [Review of </w:t>
      </w:r>
      <w:r w:rsidRPr="00177083">
        <w:rPr>
          <w:rFonts w:ascii="Times New Roman" w:eastAsia="Times New Roman" w:hAnsi="Times New Roman" w:cs="Times New Roman"/>
          <w:i/>
          <w:iCs/>
          <w:sz w:val="24"/>
          <w:szCs w:val="24"/>
        </w:rPr>
        <w:t>Innovative Strategies and Advances in Drug Delivery Systems to Address Poor Solubility: A Comprehensive Review</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Current Drug Targets</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26</w:t>
      </w:r>
      <w:r w:rsidRPr="00177083">
        <w:rPr>
          <w:rFonts w:ascii="Times New Roman" w:eastAsia="Times New Roman" w:hAnsi="Times New Roman" w:cs="Times New Roman"/>
          <w:sz w:val="24"/>
          <w:szCs w:val="24"/>
        </w:rPr>
        <w:t>(13), 879. Bentham Science Publishers. </w:t>
      </w:r>
      <w:hyperlink r:id="rId13" w:tgtFrame="_blank" w:history="1">
        <w:r w:rsidRPr="00177083">
          <w:rPr>
            <w:rFonts w:ascii="Times New Roman" w:eastAsia="Times New Roman" w:hAnsi="Times New Roman" w:cs="Times New Roman"/>
            <w:color w:val="0000FF"/>
            <w:sz w:val="24"/>
            <w:szCs w:val="24"/>
            <w:u w:val="single"/>
          </w:rPr>
          <w:t>https://doi.org/10.2174/0113894501375776250713110838</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Bhalani, D. V., Nutan, B., Kumar, A., &amp; Chandel, A. K. S. (2022). Bioavailability Enhancement Techniques for Poorly Aqueous Soluble Drugs and Therapeutics [Review of </w:t>
      </w:r>
      <w:r w:rsidRPr="00177083">
        <w:rPr>
          <w:rFonts w:ascii="Times New Roman" w:eastAsia="Times New Roman" w:hAnsi="Times New Roman" w:cs="Times New Roman"/>
          <w:i/>
          <w:iCs/>
          <w:sz w:val="24"/>
          <w:szCs w:val="24"/>
        </w:rPr>
        <w:t>Bioavailability Enhancement Techniques for Poorly Aqueous Soluble Drugs and Therapeutics</w:t>
      </w:r>
      <w:r w:rsidRPr="00177083">
        <w:rPr>
          <w:rFonts w:ascii="Times New Roman" w:eastAsia="Times New Roman" w:hAnsi="Times New Roman" w:cs="Times New Roman"/>
          <w:sz w:val="24"/>
          <w:szCs w:val="24"/>
        </w:rPr>
        <w:t xml:space="preserve">]. </w:t>
      </w:r>
      <w:r w:rsidRPr="00177083">
        <w:rPr>
          <w:rFonts w:ascii="Times New Roman" w:eastAsia="Times New Roman" w:hAnsi="Times New Roman" w:cs="Times New Roman"/>
          <w:i/>
          <w:iCs/>
          <w:sz w:val="24"/>
          <w:szCs w:val="24"/>
        </w:rPr>
        <w:t>Biomedicines</w:t>
      </w:r>
      <w:r w:rsidRPr="00177083">
        <w:rPr>
          <w:rFonts w:ascii="Times New Roman" w:eastAsia="Times New Roman" w:hAnsi="Times New Roman" w:cs="Times New Roman"/>
          <w:sz w:val="24"/>
          <w:szCs w:val="24"/>
        </w:rPr>
        <w:t xml:space="preserve">, </w:t>
      </w:r>
      <w:r w:rsidRPr="00177083">
        <w:rPr>
          <w:rFonts w:ascii="Times New Roman" w:eastAsia="Times New Roman" w:hAnsi="Times New Roman" w:cs="Times New Roman"/>
          <w:i/>
          <w:iCs/>
          <w:sz w:val="24"/>
          <w:szCs w:val="24"/>
        </w:rPr>
        <w:t>10</w:t>
      </w:r>
      <w:r w:rsidRPr="00177083">
        <w:rPr>
          <w:rFonts w:ascii="Times New Roman" w:eastAsia="Times New Roman" w:hAnsi="Times New Roman" w:cs="Times New Roman"/>
          <w:sz w:val="24"/>
          <w:szCs w:val="24"/>
        </w:rPr>
        <w:t xml:space="preserve">(9), 2055. Multidisciplinary Digital Publishing Institute. </w:t>
      </w:r>
      <w:hyperlink r:id="rId14" w:tgtFrame="_blank" w:history="1">
        <w:r w:rsidRPr="00177083">
          <w:rPr>
            <w:rFonts w:ascii="Times New Roman" w:eastAsia="Times New Roman" w:hAnsi="Times New Roman" w:cs="Times New Roman"/>
            <w:color w:val="0000FF"/>
            <w:sz w:val="24"/>
            <w:szCs w:val="24"/>
            <w:u w:val="single"/>
          </w:rPr>
          <w:t>https://doi.org/10.3390/biomedicines10092055</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Chavan, K., Kamble, H., Waghmare, S., &amp; Dhoble, A. (2023). Solubility Enhancement Technique: A Review [Review of </w:t>
      </w:r>
      <w:r w:rsidRPr="00177083">
        <w:rPr>
          <w:rFonts w:ascii="Times New Roman" w:eastAsia="Times New Roman" w:hAnsi="Times New Roman" w:cs="Times New Roman"/>
          <w:i/>
          <w:iCs/>
          <w:sz w:val="24"/>
          <w:szCs w:val="24"/>
        </w:rPr>
        <w:t>Solubility Enhancement Technique: A Review</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International Research Journal of Modernization in Engineering Technology and Science</w:t>
      </w:r>
      <w:r w:rsidRPr="00177083">
        <w:rPr>
          <w:rFonts w:ascii="Times New Roman" w:eastAsia="Times New Roman" w:hAnsi="Times New Roman" w:cs="Times New Roman"/>
          <w:sz w:val="24"/>
          <w:szCs w:val="24"/>
        </w:rPr>
        <w:t>. </w:t>
      </w:r>
      <w:hyperlink r:id="rId15" w:tgtFrame="_blank" w:history="1">
        <w:r w:rsidRPr="00177083">
          <w:rPr>
            <w:rFonts w:ascii="Times New Roman" w:eastAsia="Times New Roman" w:hAnsi="Times New Roman" w:cs="Times New Roman"/>
            <w:color w:val="0000FF"/>
            <w:sz w:val="24"/>
            <w:szCs w:val="24"/>
            <w:u w:val="single"/>
          </w:rPr>
          <w:t>https://doi.org/10.56726/irjmets43891</w:t>
        </w:r>
      </w:hyperlink>
    </w:p>
    <w:p w:rsidR="00AF3C1D" w:rsidRPr="00177083" w:rsidRDefault="00AF3C1D" w:rsidP="00177083">
      <w:pPr>
        <w:shd w:val="clear" w:color="auto" w:fill="FFFFFF"/>
        <w:spacing w:before="100" w:beforeAutospacing="1" w:after="100" w:afterAutospacing="1" w:line="240" w:lineRule="auto"/>
        <w:ind w:left="720" w:hanging="720"/>
        <w:rPr>
          <w:rFonts w:ascii="Times New Roman" w:eastAsia="Times New Roman" w:hAnsi="Times New Roman" w:cs="Times New Roman"/>
          <w:color w:val="18181B"/>
          <w:sz w:val="24"/>
          <w:szCs w:val="24"/>
        </w:rPr>
      </w:pPr>
      <w:r w:rsidRPr="00177083">
        <w:rPr>
          <w:rFonts w:ascii="Times New Roman" w:eastAsia="Times New Roman" w:hAnsi="Times New Roman" w:cs="Times New Roman"/>
          <w:color w:val="18181B"/>
          <w:sz w:val="24"/>
          <w:szCs w:val="24"/>
        </w:rPr>
        <w:t>Chavan, K., Kamble, H., Waghmare, S., &amp; Dhoble, A. (2023). Solubility Enhancement Technique: A Review [Review of </w:t>
      </w:r>
      <w:r w:rsidRPr="00177083">
        <w:rPr>
          <w:rFonts w:ascii="Times New Roman" w:eastAsia="Times New Roman" w:hAnsi="Times New Roman" w:cs="Times New Roman"/>
          <w:i/>
          <w:iCs/>
          <w:color w:val="18181B"/>
          <w:sz w:val="24"/>
          <w:szCs w:val="24"/>
        </w:rPr>
        <w:t>Solubility Enhancement Technique: A Review</w:t>
      </w:r>
      <w:r w:rsidRPr="00177083">
        <w:rPr>
          <w:rFonts w:ascii="Times New Roman" w:eastAsia="Times New Roman" w:hAnsi="Times New Roman" w:cs="Times New Roman"/>
          <w:color w:val="18181B"/>
          <w:sz w:val="24"/>
          <w:szCs w:val="24"/>
        </w:rPr>
        <w:t>]. </w:t>
      </w:r>
      <w:r w:rsidRPr="00177083">
        <w:rPr>
          <w:rFonts w:ascii="Times New Roman" w:eastAsia="Times New Roman" w:hAnsi="Times New Roman" w:cs="Times New Roman"/>
          <w:i/>
          <w:iCs/>
          <w:color w:val="18181B"/>
          <w:sz w:val="24"/>
          <w:szCs w:val="24"/>
        </w:rPr>
        <w:t>International Research Journal of Modernization in Engineering Technology and Science</w:t>
      </w:r>
      <w:r w:rsidRPr="00177083">
        <w:rPr>
          <w:rFonts w:ascii="Times New Roman" w:eastAsia="Times New Roman" w:hAnsi="Times New Roman" w:cs="Times New Roman"/>
          <w:color w:val="18181B"/>
          <w:sz w:val="24"/>
          <w:szCs w:val="24"/>
        </w:rPr>
        <w:t>. </w:t>
      </w:r>
      <w:hyperlink r:id="rId16" w:tgtFrame="_blank" w:history="1">
        <w:r w:rsidRPr="00177083">
          <w:rPr>
            <w:rFonts w:ascii="Times New Roman" w:eastAsia="Times New Roman" w:hAnsi="Times New Roman" w:cs="Times New Roman"/>
            <w:color w:val="0000FF"/>
            <w:sz w:val="24"/>
            <w:szCs w:val="24"/>
            <w:u w:val="single"/>
          </w:rPr>
          <w:t>https://doi.org/10.56726/irjmets43891</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Chavda, V. P., Dawre, S., Pandya, A., Vora, L. K., Modh, D. H., Shah, V., Dave, D., &amp; Patravale, V. (2022). Lyotropic liquid crystals for parenteral drug delivery [Review of </w:t>
      </w:r>
      <w:r w:rsidRPr="00177083">
        <w:rPr>
          <w:rFonts w:ascii="Times New Roman" w:eastAsia="Times New Roman" w:hAnsi="Times New Roman" w:cs="Times New Roman"/>
          <w:i/>
          <w:iCs/>
          <w:sz w:val="24"/>
          <w:szCs w:val="24"/>
        </w:rPr>
        <w:t>Lyotropic liquid crystals for parenteral drug delivery</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Journal of Controlled Release</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349</w:t>
      </w:r>
      <w:r w:rsidRPr="00177083">
        <w:rPr>
          <w:rFonts w:ascii="Times New Roman" w:eastAsia="Times New Roman" w:hAnsi="Times New Roman" w:cs="Times New Roman"/>
          <w:sz w:val="24"/>
          <w:szCs w:val="24"/>
        </w:rPr>
        <w:t>, 533. Elsevier BV. </w:t>
      </w:r>
      <w:hyperlink r:id="rId17" w:tgtFrame="_blank" w:history="1">
        <w:r w:rsidRPr="00177083">
          <w:rPr>
            <w:rFonts w:ascii="Times New Roman" w:eastAsia="Times New Roman" w:hAnsi="Times New Roman" w:cs="Times New Roman"/>
            <w:color w:val="0000FF"/>
            <w:sz w:val="24"/>
            <w:szCs w:val="24"/>
            <w:u w:val="single"/>
          </w:rPr>
          <w:t>https://doi.org/10.1016/j.jconrel.2022.06.062</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Choudhary NH, kumbhar MS, dighe DA, Mujgond PS, Singh MC. (2010) Solubility Enhancement of Escitalopram Oxalate Using Hydrotrope.Int J Pharm Pharm Sci, 5(1), 121-125. 33)</w:t>
      </w:r>
    </w:p>
    <w:p w:rsidR="00AF3C1D" w:rsidRPr="00177083" w:rsidRDefault="00AF3C1D" w:rsidP="00177083">
      <w:pPr>
        <w:shd w:val="clear" w:color="auto" w:fill="FFFFFF"/>
        <w:spacing w:before="100" w:beforeAutospacing="1" w:after="100" w:afterAutospacing="1" w:line="240" w:lineRule="auto"/>
        <w:ind w:left="720" w:hanging="720"/>
        <w:rPr>
          <w:rFonts w:ascii="Times New Roman" w:eastAsia="Times New Roman" w:hAnsi="Times New Roman" w:cs="Times New Roman"/>
          <w:color w:val="18181B"/>
          <w:sz w:val="24"/>
          <w:szCs w:val="24"/>
        </w:rPr>
      </w:pPr>
      <w:r w:rsidRPr="00177083">
        <w:rPr>
          <w:rFonts w:ascii="Times New Roman" w:eastAsia="Times New Roman" w:hAnsi="Times New Roman" w:cs="Times New Roman"/>
          <w:color w:val="18181B"/>
          <w:sz w:val="24"/>
          <w:szCs w:val="24"/>
        </w:rPr>
        <w:t>Crespo, E. A., Costa, J. M. L., Palma, A. M., Soares, B., Martín, M. C., Segovia, J. J., Carvalho, P. J., &amp; Coutinho, J. A. P. (2019). Thermodynamic characterization of deep eutectic solvents at high pressures. </w:t>
      </w:r>
      <w:r w:rsidRPr="00177083">
        <w:rPr>
          <w:rFonts w:ascii="Times New Roman" w:eastAsia="Times New Roman" w:hAnsi="Times New Roman" w:cs="Times New Roman"/>
          <w:i/>
          <w:iCs/>
          <w:color w:val="18181B"/>
          <w:sz w:val="24"/>
          <w:szCs w:val="24"/>
        </w:rPr>
        <w:t>Fluid Phase Equilibria</w:t>
      </w:r>
      <w:r w:rsidRPr="00177083">
        <w:rPr>
          <w:rFonts w:ascii="Times New Roman" w:eastAsia="Times New Roman" w:hAnsi="Times New Roman" w:cs="Times New Roman"/>
          <w:color w:val="18181B"/>
          <w:sz w:val="24"/>
          <w:szCs w:val="24"/>
        </w:rPr>
        <w:t>, </w:t>
      </w:r>
      <w:r w:rsidRPr="00177083">
        <w:rPr>
          <w:rFonts w:ascii="Times New Roman" w:eastAsia="Times New Roman" w:hAnsi="Times New Roman" w:cs="Times New Roman"/>
          <w:i/>
          <w:iCs/>
          <w:color w:val="18181B"/>
          <w:sz w:val="24"/>
          <w:szCs w:val="24"/>
        </w:rPr>
        <w:t>500</w:t>
      </w:r>
      <w:r w:rsidRPr="00177083">
        <w:rPr>
          <w:rFonts w:ascii="Times New Roman" w:eastAsia="Times New Roman" w:hAnsi="Times New Roman" w:cs="Times New Roman"/>
          <w:color w:val="18181B"/>
          <w:sz w:val="24"/>
          <w:szCs w:val="24"/>
        </w:rPr>
        <w:t>, 112249. </w:t>
      </w:r>
      <w:hyperlink r:id="rId18" w:tgtFrame="_blank" w:history="1">
        <w:r w:rsidRPr="00177083">
          <w:rPr>
            <w:rFonts w:ascii="Times New Roman" w:eastAsia="Times New Roman" w:hAnsi="Times New Roman" w:cs="Times New Roman"/>
            <w:color w:val="0000FF"/>
            <w:sz w:val="24"/>
            <w:szCs w:val="24"/>
            <w:u w:val="single"/>
          </w:rPr>
          <w:t>https://doi.org/10.1016/j.fluid.2019.112249</w:t>
        </w:r>
      </w:hyperlink>
    </w:p>
    <w:p w:rsidR="004552C3" w:rsidRPr="00177083" w:rsidRDefault="004552C3" w:rsidP="00177083">
      <w:pPr>
        <w:shd w:val="clear" w:color="auto" w:fill="FFFFFF"/>
        <w:spacing w:before="100" w:beforeAutospacing="1" w:after="100" w:afterAutospacing="1" w:line="240" w:lineRule="auto"/>
        <w:ind w:left="720" w:hanging="720"/>
        <w:rPr>
          <w:rFonts w:ascii="Times New Roman" w:eastAsia="Times New Roman" w:hAnsi="Times New Roman" w:cs="Times New Roman"/>
          <w:color w:val="18181B"/>
          <w:sz w:val="24"/>
          <w:szCs w:val="24"/>
        </w:rPr>
      </w:pPr>
      <w:r w:rsidRPr="00AF3C1D">
        <w:rPr>
          <w:rFonts w:ascii="Times New Roman" w:eastAsia="Times New Roman" w:hAnsi="Times New Roman" w:cs="Times New Roman"/>
          <w:color w:val="18181B"/>
          <w:sz w:val="24"/>
          <w:szCs w:val="24"/>
        </w:rPr>
        <w:lastRenderedPageBreak/>
        <w:t>DebolinaMitra. (2020). Use of isothermal titration calorimetry to study various systems. </w:t>
      </w:r>
      <w:r w:rsidRPr="00AF3C1D">
        <w:rPr>
          <w:rFonts w:ascii="Times New Roman" w:eastAsia="Times New Roman" w:hAnsi="Times New Roman" w:cs="Times New Roman"/>
          <w:i/>
          <w:iCs/>
          <w:color w:val="18181B"/>
          <w:sz w:val="24"/>
          <w:szCs w:val="24"/>
        </w:rPr>
        <w:t>Materials Today Proceedings</w:t>
      </w:r>
      <w:r w:rsidRPr="00AF3C1D">
        <w:rPr>
          <w:rFonts w:ascii="Times New Roman" w:eastAsia="Times New Roman" w:hAnsi="Times New Roman" w:cs="Times New Roman"/>
          <w:color w:val="18181B"/>
          <w:sz w:val="24"/>
          <w:szCs w:val="24"/>
        </w:rPr>
        <w:t>, </w:t>
      </w:r>
      <w:r w:rsidRPr="00AF3C1D">
        <w:rPr>
          <w:rFonts w:ascii="Times New Roman" w:eastAsia="Times New Roman" w:hAnsi="Times New Roman" w:cs="Times New Roman"/>
          <w:i/>
          <w:iCs/>
          <w:color w:val="18181B"/>
          <w:sz w:val="24"/>
          <w:szCs w:val="24"/>
        </w:rPr>
        <w:t>23</w:t>
      </w:r>
      <w:r w:rsidRPr="00AF3C1D">
        <w:rPr>
          <w:rFonts w:ascii="Times New Roman" w:eastAsia="Times New Roman" w:hAnsi="Times New Roman" w:cs="Times New Roman"/>
          <w:color w:val="18181B"/>
          <w:sz w:val="24"/>
          <w:szCs w:val="24"/>
        </w:rPr>
        <w:t>, 284. </w:t>
      </w:r>
      <w:hyperlink r:id="rId19" w:tgtFrame="_blank" w:history="1">
        <w:r w:rsidRPr="00177083">
          <w:rPr>
            <w:rFonts w:ascii="Times New Roman" w:eastAsia="Times New Roman" w:hAnsi="Times New Roman" w:cs="Times New Roman"/>
            <w:color w:val="0000FF"/>
            <w:sz w:val="24"/>
            <w:szCs w:val="24"/>
            <w:u w:val="single"/>
          </w:rPr>
          <w:t>https://doi.org/10.1016/j.matpr.2020.02.027</w:t>
        </w:r>
      </w:hyperlink>
    </w:p>
    <w:p w:rsidR="004552C3" w:rsidRPr="00177083" w:rsidRDefault="004552C3" w:rsidP="00177083">
      <w:pPr>
        <w:shd w:val="clear" w:color="auto" w:fill="FFFFFF"/>
        <w:spacing w:before="100" w:beforeAutospacing="1" w:after="100" w:afterAutospacing="1" w:line="240" w:lineRule="auto"/>
        <w:ind w:left="720" w:hanging="720"/>
        <w:rPr>
          <w:rFonts w:ascii="Times New Roman" w:eastAsia="Times New Roman" w:hAnsi="Times New Roman" w:cs="Times New Roman"/>
          <w:color w:val="18181B"/>
          <w:sz w:val="24"/>
          <w:szCs w:val="24"/>
        </w:rPr>
      </w:pPr>
      <w:r w:rsidRPr="00177083">
        <w:rPr>
          <w:rFonts w:ascii="Times New Roman" w:eastAsia="Times New Roman" w:hAnsi="Times New Roman" w:cs="Times New Roman"/>
          <w:color w:val="18181B"/>
          <w:sz w:val="24"/>
          <w:szCs w:val="24"/>
        </w:rPr>
        <w:t>Dhahir, R. K. (2022). Solubility enhancement of piroxicam using different concentrations of the hydrotropic agent sodium benzoate. </w:t>
      </w:r>
      <w:r w:rsidRPr="00177083">
        <w:rPr>
          <w:rFonts w:ascii="Times New Roman" w:eastAsia="Times New Roman" w:hAnsi="Times New Roman" w:cs="Times New Roman"/>
          <w:i/>
          <w:iCs/>
          <w:color w:val="18181B"/>
          <w:sz w:val="24"/>
          <w:szCs w:val="24"/>
        </w:rPr>
        <w:t>Military Medical Science Letters</w:t>
      </w:r>
      <w:r w:rsidRPr="00177083">
        <w:rPr>
          <w:rFonts w:ascii="Times New Roman" w:eastAsia="Times New Roman" w:hAnsi="Times New Roman" w:cs="Times New Roman"/>
          <w:color w:val="18181B"/>
          <w:sz w:val="24"/>
          <w:szCs w:val="24"/>
        </w:rPr>
        <w:t>, </w:t>
      </w:r>
      <w:r w:rsidRPr="00177083">
        <w:rPr>
          <w:rFonts w:ascii="Times New Roman" w:eastAsia="Times New Roman" w:hAnsi="Times New Roman" w:cs="Times New Roman"/>
          <w:i/>
          <w:iCs/>
          <w:color w:val="18181B"/>
          <w:sz w:val="24"/>
          <w:szCs w:val="24"/>
        </w:rPr>
        <w:t>92</w:t>
      </w:r>
      <w:r w:rsidRPr="00177083">
        <w:rPr>
          <w:rFonts w:ascii="Times New Roman" w:eastAsia="Times New Roman" w:hAnsi="Times New Roman" w:cs="Times New Roman"/>
          <w:color w:val="18181B"/>
          <w:sz w:val="24"/>
          <w:szCs w:val="24"/>
        </w:rPr>
        <w:t>(2), 159. </w:t>
      </w:r>
      <w:hyperlink r:id="rId20" w:tgtFrame="_blank" w:history="1">
        <w:r w:rsidRPr="00177083">
          <w:rPr>
            <w:rFonts w:ascii="Times New Roman" w:eastAsia="Times New Roman" w:hAnsi="Times New Roman" w:cs="Times New Roman"/>
            <w:color w:val="0000FF"/>
            <w:sz w:val="24"/>
            <w:szCs w:val="24"/>
            <w:u w:val="single"/>
          </w:rPr>
          <w:t>https://doi.org/10.31482/mmsl.2022.033</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Dhinakaran M, Bertie AM, Gandhi N. (2012). Enhanced solubility and reflection of hydrotropy technique in the segregation of of m/p-aminonitrobenze. Chem Sci Trans. 1(2):261-268. 37) </w:t>
      </w:r>
      <w:hyperlink r:id="rId21" w:tgtFrame="_blank" w:history="1">
        <w:r w:rsidRPr="00177083">
          <w:rPr>
            <w:rFonts w:ascii="Times New Roman" w:eastAsia="Times New Roman" w:hAnsi="Times New Roman" w:cs="Times New Roman"/>
            <w:color w:val="0000FF"/>
            <w:sz w:val="24"/>
            <w:szCs w:val="24"/>
            <w:u w:val="single"/>
          </w:rPr>
          <w:t>https://www.biologydiscussion.com/biophysics/hydrotropy-definition-and-importance/36556. 12</w:t>
        </w:r>
      </w:hyperlink>
      <w:r w:rsidRPr="00177083">
        <w:rPr>
          <w:rFonts w:ascii="Times New Roman" w:eastAsia="Times New Roman" w:hAnsi="Times New Roman" w:cs="Times New Roman"/>
          <w:sz w:val="24"/>
          <w:szCs w:val="24"/>
        </w:rPr>
        <w:t xml:space="preserve">. </w:t>
      </w:r>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Gupta, K. R., Dakhole, M. R., Jinnawar, K. S., &amp; Umekar, M. (2023). Strategies for improving hydrophobic drugs solubility and bioavailability. </w:t>
      </w:r>
      <w:r w:rsidRPr="00177083">
        <w:rPr>
          <w:rFonts w:ascii="Times New Roman" w:eastAsia="Times New Roman" w:hAnsi="Times New Roman" w:cs="Times New Roman"/>
          <w:i/>
          <w:iCs/>
          <w:sz w:val="24"/>
          <w:szCs w:val="24"/>
        </w:rPr>
        <w:t>International Journal of Pharmaceutical Chemistry and Analysis</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10</w:t>
      </w:r>
      <w:r w:rsidRPr="00177083">
        <w:rPr>
          <w:rFonts w:ascii="Times New Roman" w:eastAsia="Times New Roman" w:hAnsi="Times New Roman" w:cs="Times New Roman"/>
          <w:sz w:val="24"/>
          <w:szCs w:val="24"/>
        </w:rPr>
        <w:t>(3), 164. </w:t>
      </w:r>
      <w:hyperlink r:id="rId22" w:tgtFrame="_blank" w:history="1">
        <w:r w:rsidRPr="00177083">
          <w:rPr>
            <w:rFonts w:ascii="Times New Roman" w:eastAsia="Times New Roman" w:hAnsi="Times New Roman" w:cs="Times New Roman"/>
            <w:color w:val="0000FF"/>
            <w:sz w:val="24"/>
            <w:szCs w:val="24"/>
            <w:u w:val="single"/>
          </w:rPr>
          <w:t>https://doi.org/10.18231/j.ijpca.2023.029</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Hamd, M. A. E., Obaydo, R. H., Nashed, D., El</w:t>
      </w:r>
      <w:r w:rsidRPr="00177083">
        <w:rPr>
          <w:rFonts w:ascii="Cambria Math" w:eastAsia="Times New Roman" w:hAnsi="Cambria Math" w:cs="Cambria Math"/>
          <w:sz w:val="24"/>
          <w:szCs w:val="24"/>
        </w:rPr>
        <w:t>‐</w:t>
      </w:r>
      <w:r w:rsidRPr="00177083">
        <w:rPr>
          <w:rFonts w:ascii="Times New Roman" w:eastAsia="Times New Roman" w:hAnsi="Times New Roman" w:cs="Times New Roman"/>
          <w:sz w:val="24"/>
          <w:szCs w:val="24"/>
        </w:rPr>
        <w:t>Maghrabey, M., &amp; Lotfy, H. M. (2024). Hydrotropy and co-solvency: Sustainable strategies for enhancing solubility of poorly soluble pharmaceutical active ingredients. </w:t>
      </w:r>
      <w:r w:rsidRPr="00177083">
        <w:rPr>
          <w:rFonts w:ascii="Times New Roman" w:eastAsia="Times New Roman" w:hAnsi="Times New Roman" w:cs="Times New Roman"/>
          <w:i/>
          <w:iCs/>
          <w:sz w:val="24"/>
          <w:szCs w:val="24"/>
        </w:rPr>
        <w:t>Talanta Open</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11</w:t>
      </w:r>
      <w:r w:rsidRPr="00177083">
        <w:rPr>
          <w:rFonts w:ascii="Times New Roman" w:eastAsia="Times New Roman" w:hAnsi="Times New Roman" w:cs="Times New Roman"/>
          <w:sz w:val="24"/>
          <w:szCs w:val="24"/>
        </w:rPr>
        <w:t>, 100391. </w:t>
      </w:r>
      <w:hyperlink r:id="rId23" w:tgtFrame="_blank" w:history="1">
        <w:r w:rsidRPr="00177083">
          <w:rPr>
            <w:rFonts w:ascii="Times New Roman" w:eastAsia="Times New Roman" w:hAnsi="Times New Roman" w:cs="Times New Roman"/>
            <w:color w:val="0000FF"/>
            <w:sz w:val="24"/>
            <w:szCs w:val="24"/>
            <w:u w:val="single"/>
          </w:rPr>
          <w:t>https://doi.org/10.1016/j.talo.2024.100391</w:t>
        </w:r>
      </w:hyperlink>
    </w:p>
    <w:p w:rsidR="004552C3" w:rsidRPr="00177083" w:rsidRDefault="004552C3" w:rsidP="00177083">
      <w:pPr>
        <w:shd w:val="clear" w:color="auto" w:fill="FFFFFF"/>
        <w:spacing w:before="100" w:beforeAutospacing="1" w:after="100" w:afterAutospacing="1" w:line="240" w:lineRule="auto"/>
        <w:ind w:left="720" w:hanging="720"/>
        <w:rPr>
          <w:rFonts w:ascii="Times New Roman" w:eastAsia="Times New Roman" w:hAnsi="Times New Roman" w:cs="Times New Roman"/>
          <w:color w:val="18181B"/>
          <w:sz w:val="24"/>
          <w:szCs w:val="24"/>
        </w:rPr>
      </w:pPr>
      <w:r w:rsidRPr="00177083">
        <w:rPr>
          <w:rFonts w:ascii="Times New Roman" w:eastAsia="Times New Roman" w:hAnsi="Times New Roman" w:cs="Times New Roman"/>
          <w:color w:val="18181B"/>
          <w:sz w:val="24"/>
          <w:szCs w:val="24"/>
        </w:rPr>
        <w:t>Haznar-Garbacz, D., Hoc, D., Garbacz, G., Lachman, M., Słomińska, D., &amp; Romański, M. (2022). Dissolution of a Biopharmaceutics Classification System Class II Free Acid from Immediate Release Tablets Containing a Microenvironmental pH Modulator: Comparison of a Biorelevant Bicarbonate Buffering System with Phosphate Buffers. </w:t>
      </w:r>
      <w:r w:rsidRPr="00177083">
        <w:rPr>
          <w:rFonts w:ascii="Times New Roman" w:eastAsia="Times New Roman" w:hAnsi="Times New Roman" w:cs="Times New Roman"/>
          <w:i/>
          <w:iCs/>
          <w:color w:val="18181B"/>
          <w:sz w:val="24"/>
          <w:szCs w:val="24"/>
        </w:rPr>
        <w:t>AAPS PharmSciTech</w:t>
      </w:r>
      <w:r w:rsidRPr="00177083">
        <w:rPr>
          <w:rFonts w:ascii="Times New Roman" w:eastAsia="Times New Roman" w:hAnsi="Times New Roman" w:cs="Times New Roman"/>
          <w:color w:val="18181B"/>
          <w:sz w:val="24"/>
          <w:szCs w:val="24"/>
        </w:rPr>
        <w:t>, </w:t>
      </w:r>
      <w:r w:rsidRPr="00177083">
        <w:rPr>
          <w:rFonts w:ascii="Times New Roman" w:eastAsia="Times New Roman" w:hAnsi="Times New Roman" w:cs="Times New Roman"/>
          <w:i/>
          <w:iCs/>
          <w:color w:val="18181B"/>
          <w:sz w:val="24"/>
          <w:szCs w:val="24"/>
        </w:rPr>
        <w:t>23</w:t>
      </w:r>
      <w:r w:rsidRPr="00177083">
        <w:rPr>
          <w:rFonts w:ascii="Times New Roman" w:eastAsia="Times New Roman" w:hAnsi="Times New Roman" w:cs="Times New Roman"/>
          <w:color w:val="18181B"/>
          <w:sz w:val="24"/>
          <w:szCs w:val="24"/>
        </w:rPr>
        <w:t>(6). </w:t>
      </w:r>
      <w:hyperlink r:id="rId24" w:tgtFrame="_blank" w:history="1">
        <w:r w:rsidRPr="00177083">
          <w:rPr>
            <w:rFonts w:ascii="Times New Roman" w:eastAsia="Times New Roman" w:hAnsi="Times New Roman" w:cs="Times New Roman"/>
            <w:color w:val="0000FF"/>
            <w:sz w:val="24"/>
            <w:szCs w:val="24"/>
            <w:u w:val="single"/>
          </w:rPr>
          <w:t>https://doi.org/10.1208/s12249-022-02310-z</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Hossain, M. A. A., Islam, T., Khan, J. M., Joy, Md. T. R., Mahbub, S., Khan, S. A., Ahmad, A., Rahman, M. M., Hoque, Md. A., &amp; Kabir, S. E. (2023). Physicochemical parameters and modes of interaction associated with the micelle formation of a mixture of tetradecyltrimethylammonium bromide and cefixime trihydrate: effects of hydrotropes and temperature. </w:t>
      </w:r>
      <w:r w:rsidRPr="00177083">
        <w:rPr>
          <w:rFonts w:ascii="Times New Roman" w:eastAsia="Times New Roman" w:hAnsi="Times New Roman" w:cs="Times New Roman"/>
          <w:i/>
          <w:iCs/>
          <w:sz w:val="24"/>
          <w:szCs w:val="24"/>
        </w:rPr>
        <w:t>RSC Advances</w:t>
      </w:r>
      <w:r w:rsidRPr="00177083">
        <w:rPr>
          <w:rFonts w:ascii="Times New Roman" w:eastAsia="Times New Roman" w:hAnsi="Times New Roman" w:cs="Times New Roman"/>
          <w:sz w:val="24"/>
          <w:szCs w:val="24"/>
        </w:rPr>
        <w:t xml:space="preserve">, </w:t>
      </w:r>
      <w:r w:rsidRPr="00177083">
        <w:rPr>
          <w:rFonts w:ascii="Times New Roman" w:eastAsia="Times New Roman" w:hAnsi="Times New Roman" w:cs="Times New Roman"/>
          <w:i/>
          <w:iCs/>
          <w:sz w:val="24"/>
          <w:szCs w:val="24"/>
        </w:rPr>
        <w:t>13</w:t>
      </w:r>
      <w:r w:rsidRPr="00177083">
        <w:rPr>
          <w:rFonts w:ascii="Times New Roman" w:eastAsia="Times New Roman" w:hAnsi="Times New Roman" w:cs="Times New Roman"/>
          <w:sz w:val="24"/>
          <w:szCs w:val="24"/>
        </w:rPr>
        <w:t xml:space="preserve">(43), 30429. </w:t>
      </w:r>
      <w:hyperlink r:id="rId25" w:tgtFrame="_blank" w:history="1">
        <w:r w:rsidRPr="00177083">
          <w:rPr>
            <w:rFonts w:ascii="Times New Roman" w:eastAsia="Times New Roman" w:hAnsi="Times New Roman" w:cs="Times New Roman"/>
            <w:color w:val="0000FF"/>
            <w:sz w:val="24"/>
            <w:szCs w:val="24"/>
            <w:u w:val="single"/>
          </w:rPr>
          <w:t>https://doi.org/10.1039/d3ra04748b</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Ibrahim, N., Smail, S. S., Hussein, N., &amp; Abdullah, T. (2020). Solubility enhancement of nimodipine using mixed hydrotropic solid dispersion technique. </w:t>
      </w:r>
      <w:r w:rsidRPr="00177083">
        <w:rPr>
          <w:rFonts w:ascii="Times New Roman" w:eastAsia="Times New Roman" w:hAnsi="Times New Roman" w:cs="Times New Roman"/>
          <w:i/>
          <w:iCs/>
          <w:sz w:val="24"/>
          <w:szCs w:val="24"/>
        </w:rPr>
        <w:t>Zanco Journal of Medical Sciences</w:t>
      </w:r>
      <w:r w:rsidRPr="00177083">
        <w:rPr>
          <w:rFonts w:ascii="Times New Roman" w:eastAsia="Times New Roman" w:hAnsi="Times New Roman" w:cs="Times New Roman"/>
          <w:sz w:val="24"/>
          <w:szCs w:val="24"/>
        </w:rPr>
        <w:t xml:space="preserve">, </w:t>
      </w:r>
      <w:r w:rsidRPr="00177083">
        <w:rPr>
          <w:rFonts w:ascii="Times New Roman" w:eastAsia="Times New Roman" w:hAnsi="Times New Roman" w:cs="Times New Roman"/>
          <w:i/>
          <w:iCs/>
          <w:sz w:val="24"/>
          <w:szCs w:val="24"/>
        </w:rPr>
        <w:t>24</w:t>
      </w:r>
      <w:r w:rsidRPr="00177083">
        <w:rPr>
          <w:rFonts w:ascii="Times New Roman" w:eastAsia="Times New Roman" w:hAnsi="Times New Roman" w:cs="Times New Roman"/>
          <w:sz w:val="24"/>
          <w:szCs w:val="24"/>
        </w:rPr>
        <w:t xml:space="preserve">(3), 386. </w:t>
      </w:r>
      <w:hyperlink r:id="rId26" w:tgtFrame="_blank" w:history="1">
        <w:r w:rsidRPr="00177083">
          <w:rPr>
            <w:rFonts w:ascii="Times New Roman" w:eastAsia="Times New Roman" w:hAnsi="Times New Roman" w:cs="Times New Roman"/>
            <w:color w:val="0000FF"/>
            <w:sz w:val="24"/>
            <w:szCs w:val="24"/>
            <w:u w:val="single"/>
          </w:rPr>
          <w:t>https://doi.org/10.15218/zjms.2020.046</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Iliopoulos, F., Sil, B. C., &amp; Evans, C. L. (2022). The role of excipients in promoting topical and transdermal delivery: Current limitations and future perspectives. </w:t>
      </w:r>
      <w:r w:rsidRPr="00177083">
        <w:rPr>
          <w:rFonts w:ascii="Times New Roman" w:eastAsia="Times New Roman" w:hAnsi="Times New Roman" w:cs="Times New Roman"/>
          <w:i/>
          <w:iCs/>
          <w:sz w:val="24"/>
          <w:szCs w:val="24"/>
        </w:rPr>
        <w:t>Frontiers in Drug Delivery</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2</w:t>
      </w:r>
      <w:r w:rsidRPr="00177083">
        <w:rPr>
          <w:rFonts w:ascii="Times New Roman" w:eastAsia="Times New Roman" w:hAnsi="Times New Roman" w:cs="Times New Roman"/>
          <w:sz w:val="24"/>
          <w:szCs w:val="24"/>
        </w:rPr>
        <w:t>. </w:t>
      </w:r>
      <w:hyperlink r:id="rId27" w:tgtFrame="_blank" w:history="1">
        <w:r w:rsidRPr="00177083">
          <w:rPr>
            <w:rFonts w:ascii="Times New Roman" w:eastAsia="Times New Roman" w:hAnsi="Times New Roman" w:cs="Times New Roman"/>
            <w:color w:val="0000FF"/>
            <w:sz w:val="24"/>
            <w:szCs w:val="24"/>
            <w:u w:val="single"/>
          </w:rPr>
          <w:t>https://doi.org/10.3389/fddev.2022.1049848</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Janbezar, E., Shekaari, H., Ghasemzadeh, S., &amp; Abad, M. B. H. (2025). The surface and micellar properties of ethanolamine based surface active ionic liquids in the presence of drug aspirin. </w:t>
      </w:r>
      <w:r w:rsidRPr="00177083">
        <w:rPr>
          <w:rFonts w:ascii="Times New Roman" w:eastAsia="Times New Roman" w:hAnsi="Times New Roman" w:cs="Times New Roman"/>
          <w:i/>
          <w:iCs/>
          <w:sz w:val="24"/>
          <w:szCs w:val="24"/>
        </w:rPr>
        <w:t>Scientific Reports</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15</w:t>
      </w:r>
      <w:r w:rsidRPr="00177083">
        <w:rPr>
          <w:rFonts w:ascii="Times New Roman" w:eastAsia="Times New Roman" w:hAnsi="Times New Roman" w:cs="Times New Roman"/>
          <w:sz w:val="24"/>
          <w:szCs w:val="24"/>
        </w:rPr>
        <w:t>(1). </w:t>
      </w:r>
      <w:hyperlink r:id="rId28" w:tgtFrame="_blank" w:history="1">
        <w:r w:rsidRPr="00177083">
          <w:rPr>
            <w:rFonts w:ascii="Times New Roman" w:eastAsia="Times New Roman" w:hAnsi="Times New Roman" w:cs="Times New Roman"/>
            <w:color w:val="0000FF"/>
            <w:sz w:val="24"/>
            <w:szCs w:val="24"/>
            <w:u w:val="single"/>
          </w:rPr>
          <w:t>https://doi.org/10.1038/s41598-025-20946-2</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lastRenderedPageBreak/>
        <w:t xml:space="preserve">Jayakumar C, bertiemorais A, Arunodhaya N, Gandhi </w:t>
      </w:r>
      <w:proofErr w:type="gramStart"/>
      <w:r w:rsidRPr="00177083">
        <w:rPr>
          <w:rFonts w:ascii="Times New Roman" w:eastAsia="Times New Roman" w:hAnsi="Times New Roman" w:cs="Times New Roman"/>
          <w:sz w:val="24"/>
          <w:szCs w:val="24"/>
        </w:rPr>
        <w:t>N.(</w:t>
      </w:r>
      <w:proofErr w:type="gramEnd"/>
      <w:r w:rsidRPr="00177083">
        <w:rPr>
          <w:rFonts w:ascii="Times New Roman" w:eastAsia="Times New Roman" w:hAnsi="Times New Roman" w:cs="Times New Roman"/>
          <w:sz w:val="24"/>
          <w:szCs w:val="24"/>
        </w:rPr>
        <w:t>2012). Solubility enhancement of theophylline drug using different solubilization techniques. International Journal of Pharmaceutical and Clinical Science. 2(1): 7-10. 31)</w:t>
      </w:r>
    </w:p>
    <w:p w:rsidR="004552C3" w:rsidRPr="00177083" w:rsidRDefault="004552C3"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color w:val="18181B"/>
          <w:sz w:val="24"/>
          <w:szCs w:val="24"/>
        </w:rPr>
        <w:t>Joshi, J., Nainwal, N., &amp; Saharan, V. A. (2019). A review on hydrotropy: a potential approach for the solubility enhancement of poorly soluble drug [review of </w:t>
      </w:r>
      <w:r w:rsidRPr="00177083">
        <w:rPr>
          <w:rFonts w:ascii="Times New Roman" w:eastAsia="Times New Roman" w:hAnsi="Times New Roman" w:cs="Times New Roman"/>
          <w:i/>
          <w:iCs/>
          <w:color w:val="18181B"/>
          <w:sz w:val="24"/>
          <w:szCs w:val="24"/>
        </w:rPr>
        <w:t>a review on hydrotropy: a potential approach for the solubility enhancement of poorly soluble drug</w:t>
      </w:r>
      <w:r w:rsidRPr="00177083">
        <w:rPr>
          <w:rFonts w:ascii="Times New Roman" w:eastAsia="Times New Roman" w:hAnsi="Times New Roman" w:cs="Times New Roman"/>
          <w:color w:val="18181B"/>
          <w:sz w:val="24"/>
          <w:szCs w:val="24"/>
        </w:rPr>
        <w:t>]. </w:t>
      </w:r>
      <w:r w:rsidRPr="00177083">
        <w:rPr>
          <w:rFonts w:ascii="Times New Roman" w:eastAsia="Times New Roman" w:hAnsi="Times New Roman" w:cs="Times New Roman"/>
          <w:i/>
          <w:iCs/>
          <w:color w:val="18181B"/>
          <w:sz w:val="24"/>
          <w:szCs w:val="24"/>
        </w:rPr>
        <w:t>Asian Journal of Pharmaceutical and Clinical Research</w:t>
      </w:r>
      <w:r w:rsidRPr="00177083">
        <w:rPr>
          <w:rFonts w:ascii="Times New Roman" w:eastAsia="Times New Roman" w:hAnsi="Times New Roman" w:cs="Times New Roman"/>
          <w:color w:val="18181B"/>
          <w:sz w:val="24"/>
          <w:szCs w:val="24"/>
        </w:rPr>
        <w:t>, 19. Innovare Academic Sciences. </w:t>
      </w:r>
      <w:hyperlink r:id="rId29" w:tgtFrame="_blank" w:history="1">
        <w:r w:rsidRPr="00177083">
          <w:rPr>
            <w:rFonts w:ascii="Times New Roman" w:eastAsia="Times New Roman" w:hAnsi="Times New Roman" w:cs="Times New Roman"/>
            <w:color w:val="0000FF"/>
            <w:sz w:val="24"/>
            <w:szCs w:val="24"/>
            <w:u w:val="single"/>
          </w:rPr>
          <w:t>https://doi.org/10.22159/ajpcr.2019.v12i10.34811</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Kabedev, A., Bergström, C. A. S., &amp; Larsson, P. (2023). Molecular dynamics study on micelle-small molecule interactions: developing a strategy for an extensive comparison. </w:t>
      </w:r>
      <w:r w:rsidRPr="00177083">
        <w:rPr>
          <w:rFonts w:ascii="Times New Roman" w:eastAsia="Times New Roman" w:hAnsi="Times New Roman" w:cs="Times New Roman"/>
          <w:i/>
          <w:iCs/>
          <w:sz w:val="24"/>
          <w:szCs w:val="24"/>
        </w:rPr>
        <w:t>Journal of Computer-Aided Molecular Design</w:t>
      </w:r>
      <w:r w:rsidRPr="00177083">
        <w:rPr>
          <w:rFonts w:ascii="Times New Roman" w:eastAsia="Times New Roman" w:hAnsi="Times New Roman" w:cs="Times New Roman"/>
          <w:sz w:val="24"/>
          <w:szCs w:val="24"/>
        </w:rPr>
        <w:t xml:space="preserve">, </w:t>
      </w:r>
      <w:r w:rsidRPr="00177083">
        <w:rPr>
          <w:rFonts w:ascii="Times New Roman" w:eastAsia="Times New Roman" w:hAnsi="Times New Roman" w:cs="Times New Roman"/>
          <w:i/>
          <w:iCs/>
          <w:sz w:val="24"/>
          <w:szCs w:val="24"/>
        </w:rPr>
        <w:t>38</w:t>
      </w:r>
      <w:r w:rsidRPr="00177083">
        <w:rPr>
          <w:rFonts w:ascii="Times New Roman" w:eastAsia="Times New Roman" w:hAnsi="Times New Roman" w:cs="Times New Roman"/>
          <w:sz w:val="24"/>
          <w:szCs w:val="24"/>
        </w:rPr>
        <w:t xml:space="preserve">(1). </w:t>
      </w:r>
      <w:hyperlink r:id="rId30" w:tgtFrame="_blank" w:history="1">
        <w:r w:rsidRPr="00177083">
          <w:rPr>
            <w:rFonts w:ascii="Times New Roman" w:eastAsia="Times New Roman" w:hAnsi="Times New Roman" w:cs="Times New Roman"/>
            <w:color w:val="0000FF"/>
            <w:sz w:val="24"/>
            <w:szCs w:val="24"/>
            <w:u w:val="single"/>
          </w:rPr>
          <w:t>https://doi.org/10.1007/s10822-023-00541-1</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Karajgi, S., &amp; Potadar, S. (2020). </w:t>
      </w:r>
      <w:r w:rsidR="004552C3" w:rsidRPr="00177083">
        <w:rPr>
          <w:rFonts w:ascii="Times New Roman" w:eastAsia="Times New Roman" w:hAnsi="Times New Roman" w:cs="Times New Roman"/>
          <w:sz w:val="24"/>
          <w:szCs w:val="24"/>
        </w:rPr>
        <w:t>Hydrotropic solubilization and linearity profile of pazopanib</w:t>
      </w:r>
      <w:r w:rsidRPr="00177083">
        <w:rPr>
          <w:rFonts w:ascii="Times New Roman" w:eastAsia="Times New Roman" w:hAnsi="Times New Roman" w:cs="Times New Roman"/>
          <w:sz w:val="24"/>
          <w:szCs w:val="24"/>
        </w:rPr>
        <w:t xml:space="preserve">. </w:t>
      </w:r>
      <w:r w:rsidRPr="00177083">
        <w:rPr>
          <w:rFonts w:ascii="Times New Roman" w:eastAsia="Times New Roman" w:hAnsi="Times New Roman" w:cs="Times New Roman"/>
          <w:i/>
          <w:iCs/>
          <w:sz w:val="24"/>
          <w:szCs w:val="24"/>
        </w:rPr>
        <w:t>International Journal of Current Pharmaceutical Research</w:t>
      </w:r>
      <w:r w:rsidRPr="00177083">
        <w:rPr>
          <w:rFonts w:ascii="Times New Roman" w:eastAsia="Times New Roman" w:hAnsi="Times New Roman" w:cs="Times New Roman"/>
          <w:sz w:val="24"/>
          <w:szCs w:val="24"/>
        </w:rPr>
        <w:t xml:space="preserve">, 66. </w:t>
      </w:r>
      <w:hyperlink r:id="rId31" w:tgtFrame="_blank" w:history="1">
        <w:r w:rsidRPr="00177083">
          <w:rPr>
            <w:rFonts w:ascii="Times New Roman" w:eastAsia="Times New Roman" w:hAnsi="Times New Roman" w:cs="Times New Roman"/>
            <w:color w:val="0000FF"/>
            <w:sz w:val="24"/>
            <w:szCs w:val="24"/>
            <w:u w:val="single"/>
          </w:rPr>
          <w:t>https://doi.org/10.22159/ijcpr.2020v12i4.39082</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Kazi, M. R., Gandhi, S., Desai, S. V., Barse, R., &amp; Jagtap, V. A. (2022). Review: Hydrotropy as Prominent Approach for Enhancement of Aqueous Solubility of Drugs. </w:t>
      </w:r>
      <w:r w:rsidRPr="00177083">
        <w:rPr>
          <w:rFonts w:ascii="Times New Roman" w:eastAsia="Times New Roman" w:hAnsi="Times New Roman" w:cs="Times New Roman"/>
          <w:i/>
          <w:iCs/>
          <w:sz w:val="24"/>
          <w:szCs w:val="24"/>
        </w:rPr>
        <w:t>Journal of Drug Delivery and Therapeutics</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12</w:t>
      </w:r>
      <w:r w:rsidRPr="00177083">
        <w:rPr>
          <w:rFonts w:ascii="Times New Roman" w:eastAsia="Times New Roman" w:hAnsi="Times New Roman" w:cs="Times New Roman"/>
          <w:sz w:val="24"/>
          <w:szCs w:val="24"/>
        </w:rPr>
        <w:t>(4), 231. </w:t>
      </w:r>
      <w:hyperlink r:id="rId32" w:tgtFrame="_blank" w:history="1">
        <w:r w:rsidRPr="00177083">
          <w:rPr>
            <w:rFonts w:ascii="Times New Roman" w:eastAsia="Times New Roman" w:hAnsi="Times New Roman" w:cs="Times New Roman"/>
            <w:color w:val="0000FF"/>
            <w:sz w:val="24"/>
            <w:szCs w:val="24"/>
            <w:u w:val="single"/>
          </w:rPr>
          <w:t>https://doi.org/10.22270/jddt.v12i4.5461</w:t>
        </w:r>
      </w:hyperlink>
    </w:p>
    <w:p w:rsidR="004552C3" w:rsidRPr="00177083" w:rsidRDefault="004552C3"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color w:val="18181B"/>
          <w:sz w:val="24"/>
          <w:szCs w:val="24"/>
        </w:rPr>
        <w:t>Khiabani, E. A., Jouyban, A., &amp; Azarbayjani, A. F. (2025). Application of cosolvency and cocrystallization approach to enhance acyclovir solubility. </w:t>
      </w:r>
      <w:r w:rsidRPr="00177083">
        <w:rPr>
          <w:rFonts w:ascii="Times New Roman" w:eastAsia="Times New Roman" w:hAnsi="Times New Roman" w:cs="Times New Roman"/>
          <w:i/>
          <w:iCs/>
          <w:color w:val="18181B"/>
          <w:sz w:val="24"/>
          <w:szCs w:val="24"/>
        </w:rPr>
        <w:t>BMC Chemistry</w:t>
      </w:r>
      <w:r w:rsidRPr="00177083">
        <w:rPr>
          <w:rFonts w:ascii="Times New Roman" w:eastAsia="Times New Roman" w:hAnsi="Times New Roman" w:cs="Times New Roman"/>
          <w:color w:val="18181B"/>
          <w:sz w:val="24"/>
          <w:szCs w:val="24"/>
        </w:rPr>
        <w:t>, </w:t>
      </w:r>
      <w:r w:rsidRPr="00177083">
        <w:rPr>
          <w:rFonts w:ascii="Times New Roman" w:eastAsia="Times New Roman" w:hAnsi="Times New Roman" w:cs="Times New Roman"/>
          <w:i/>
          <w:iCs/>
          <w:color w:val="18181B"/>
          <w:sz w:val="24"/>
          <w:szCs w:val="24"/>
        </w:rPr>
        <w:t>19</w:t>
      </w:r>
      <w:r w:rsidRPr="00177083">
        <w:rPr>
          <w:rFonts w:ascii="Times New Roman" w:eastAsia="Times New Roman" w:hAnsi="Times New Roman" w:cs="Times New Roman"/>
          <w:color w:val="18181B"/>
          <w:sz w:val="24"/>
          <w:szCs w:val="24"/>
        </w:rPr>
        <w:t>(1), 226. </w:t>
      </w:r>
      <w:hyperlink r:id="rId33" w:tgtFrame="_blank" w:history="1">
        <w:r w:rsidRPr="00177083">
          <w:rPr>
            <w:rFonts w:ascii="Times New Roman" w:eastAsia="Times New Roman" w:hAnsi="Times New Roman" w:cs="Times New Roman"/>
            <w:color w:val="0000FF"/>
            <w:sz w:val="24"/>
            <w:szCs w:val="24"/>
            <w:u w:val="single"/>
          </w:rPr>
          <w:t>https://doi.org/10.1186/s13065-025-01591-2</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Krstonošić, V., Pavlović, N., &amp; Ćirin, D. (2023). Principles and applications of interfacial rheology in (pre)formulation development of pharmaceutical preparations. </w:t>
      </w:r>
      <w:r w:rsidRPr="00177083">
        <w:rPr>
          <w:rFonts w:ascii="Times New Roman" w:eastAsia="Times New Roman" w:hAnsi="Times New Roman" w:cs="Times New Roman"/>
          <w:i/>
          <w:iCs/>
          <w:sz w:val="24"/>
          <w:szCs w:val="24"/>
        </w:rPr>
        <w:t>Arhiv Za Farmaciju</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73</w:t>
      </w:r>
      <w:r w:rsidRPr="00177083">
        <w:rPr>
          <w:rFonts w:ascii="Times New Roman" w:eastAsia="Times New Roman" w:hAnsi="Times New Roman" w:cs="Times New Roman"/>
          <w:sz w:val="24"/>
          <w:szCs w:val="24"/>
        </w:rPr>
        <w:t>(5), 337. </w:t>
      </w:r>
      <w:hyperlink r:id="rId34" w:tgtFrame="_blank" w:history="1">
        <w:r w:rsidRPr="00177083">
          <w:rPr>
            <w:rFonts w:ascii="Times New Roman" w:eastAsia="Times New Roman" w:hAnsi="Times New Roman" w:cs="Times New Roman"/>
            <w:color w:val="0000FF"/>
            <w:sz w:val="24"/>
            <w:szCs w:val="24"/>
            <w:u w:val="single"/>
          </w:rPr>
          <w:t>https://doi.org/10.5937/arhfarm73-46316</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Kuchekar, A., Gawade, A., &amp; Boldhane, S. (2021). Hydrotropic Solubilization: An Emerging Approach. </w:t>
      </w:r>
      <w:r w:rsidRPr="00177083">
        <w:rPr>
          <w:rFonts w:ascii="Times New Roman" w:eastAsia="Times New Roman" w:hAnsi="Times New Roman" w:cs="Times New Roman"/>
          <w:i/>
          <w:iCs/>
          <w:sz w:val="24"/>
          <w:szCs w:val="24"/>
        </w:rPr>
        <w:t>Journal of Drug Delivery and Therapeutics</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11</w:t>
      </w:r>
      <w:r w:rsidRPr="00177083">
        <w:rPr>
          <w:rFonts w:ascii="Times New Roman" w:eastAsia="Times New Roman" w:hAnsi="Times New Roman" w:cs="Times New Roman"/>
          <w:sz w:val="24"/>
          <w:szCs w:val="24"/>
        </w:rPr>
        <w:t>, 200. </w:t>
      </w:r>
      <w:hyperlink r:id="rId35" w:tgtFrame="_blank" w:history="1">
        <w:r w:rsidRPr="00177083">
          <w:rPr>
            <w:rFonts w:ascii="Times New Roman" w:eastAsia="Times New Roman" w:hAnsi="Times New Roman" w:cs="Times New Roman"/>
            <w:color w:val="0000FF"/>
            <w:sz w:val="24"/>
            <w:szCs w:val="24"/>
            <w:u w:val="single"/>
          </w:rPr>
          <w:t>https://doi.org/10.22270/jddt.v11i1-s.4724</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Kumar, R., RAJESH, M., &amp; SUBRAMANIAN, L. (2023). Solubility enhancement techniques: A comprehensive review [Review of </w:t>
      </w:r>
      <w:r w:rsidRPr="00177083">
        <w:rPr>
          <w:rFonts w:ascii="Times New Roman" w:eastAsia="Times New Roman" w:hAnsi="Times New Roman" w:cs="Times New Roman"/>
          <w:i/>
          <w:iCs/>
          <w:sz w:val="24"/>
          <w:szCs w:val="24"/>
        </w:rPr>
        <w:t>Solubility enhancement techniques: A comprehensive review</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World Journal of Biology Pharmacy and Health Sciences</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13</w:t>
      </w:r>
      <w:r w:rsidRPr="00177083">
        <w:rPr>
          <w:rFonts w:ascii="Times New Roman" w:eastAsia="Times New Roman" w:hAnsi="Times New Roman" w:cs="Times New Roman"/>
          <w:sz w:val="24"/>
          <w:szCs w:val="24"/>
        </w:rPr>
        <w:t>(3), 414. </w:t>
      </w:r>
      <w:hyperlink r:id="rId36" w:tgtFrame="_blank" w:history="1">
        <w:r w:rsidRPr="00177083">
          <w:rPr>
            <w:rFonts w:ascii="Times New Roman" w:eastAsia="Times New Roman" w:hAnsi="Times New Roman" w:cs="Times New Roman"/>
            <w:color w:val="0000FF"/>
            <w:sz w:val="24"/>
            <w:szCs w:val="24"/>
            <w:u w:val="single"/>
          </w:rPr>
          <w:t>https://doi.org/10.30574/wjbphs.2023.13.3.0125</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Kumari, L., Choudhari, Y., Patel, P., Gupta, G. D., Singh, D., Rosenholm, J. M., Bansal, K. K., &amp; Kurmi, B. D. (2023). Advancement in Solubilization Approaches: A Step towards Bioavailability Enhancement of Poorly Soluble Drugs [Review of </w:t>
      </w:r>
      <w:r w:rsidRPr="00177083">
        <w:rPr>
          <w:rFonts w:ascii="Times New Roman" w:eastAsia="Times New Roman" w:hAnsi="Times New Roman" w:cs="Times New Roman"/>
          <w:i/>
          <w:iCs/>
          <w:sz w:val="24"/>
          <w:szCs w:val="24"/>
        </w:rPr>
        <w:t>Advancement in Solubilization Approaches: A Step towards Bioavailability Enhancement of Poorly Soluble Drugs</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Life</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13</w:t>
      </w:r>
      <w:r w:rsidRPr="00177083">
        <w:rPr>
          <w:rFonts w:ascii="Times New Roman" w:eastAsia="Times New Roman" w:hAnsi="Times New Roman" w:cs="Times New Roman"/>
          <w:sz w:val="24"/>
          <w:szCs w:val="24"/>
        </w:rPr>
        <w:t>(5), 1099. Multidisciplinary Digital Publishing Institute. </w:t>
      </w:r>
      <w:hyperlink r:id="rId37" w:tgtFrame="_blank" w:history="1">
        <w:r w:rsidRPr="00177083">
          <w:rPr>
            <w:rFonts w:ascii="Times New Roman" w:eastAsia="Times New Roman" w:hAnsi="Times New Roman" w:cs="Times New Roman"/>
            <w:color w:val="0000FF"/>
            <w:sz w:val="24"/>
            <w:szCs w:val="24"/>
            <w:u w:val="single"/>
          </w:rPr>
          <w:t>https://doi.org/10.3390/life13051099</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lastRenderedPageBreak/>
        <w:t xml:space="preserve">Lal, D. K., Kumar, B., Saeedan, A. S., &amp; Ansari, M. N. (2023). An Overview of Nanoemulgels for Bioavailability Enhancement in Inflammatory Conditions via Topical Delivery [Review of </w:t>
      </w:r>
      <w:r w:rsidRPr="00177083">
        <w:rPr>
          <w:rFonts w:ascii="Times New Roman" w:eastAsia="Times New Roman" w:hAnsi="Times New Roman" w:cs="Times New Roman"/>
          <w:i/>
          <w:iCs/>
          <w:sz w:val="24"/>
          <w:szCs w:val="24"/>
        </w:rPr>
        <w:t>An Overview of Nanoemulgels for Bioavailability Enhancement in Inflammatory Conditions via Topical Delivery</w:t>
      </w:r>
      <w:r w:rsidRPr="00177083">
        <w:rPr>
          <w:rFonts w:ascii="Times New Roman" w:eastAsia="Times New Roman" w:hAnsi="Times New Roman" w:cs="Times New Roman"/>
          <w:sz w:val="24"/>
          <w:szCs w:val="24"/>
        </w:rPr>
        <w:t xml:space="preserve">]. </w:t>
      </w:r>
      <w:r w:rsidRPr="00177083">
        <w:rPr>
          <w:rFonts w:ascii="Times New Roman" w:eastAsia="Times New Roman" w:hAnsi="Times New Roman" w:cs="Times New Roman"/>
          <w:i/>
          <w:iCs/>
          <w:sz w:val="24"/>
          <w:szCs w:val="24"/>
        </w:rPr>
        <w:t>Pharmaceutics</w:t>
      </w:r>
      <w:r w:rsidRPr="00177083">
        <w:rPr>
          <w:rFonts w:ascii="Times New Roman" w:eastAsia="Times New Roman" w:hAnsi="Times New Roman" w:cs="Times New Roman"/>
          <w:sz w:val="24"/>
          <w:szCs w:val="24"/>
        </w:rPr>
        <w:t xml:space="preserve">, </w:t>
      </w:r>
      <w:r w:rsidRPr="00177083">
        <w:rPr>
          <w:rFonts w:ascii="Times New Roman" w:eastAsia="Times New Roman" w:hAnsi="Times New Roman" w:cs="Times New Roman"/>
          <w:i/>
          <w:iCs/>
          <w:sz w:val="24"/>
          <w:szCs w:val="24"/>
        </w:rPr>
        <w:t>15</w:t>
      </w:r>
      <w:r w:rsidRPr="00177083">
        <w:rPr>
          <w:rFonts w:ascii="Times New Roman" w:eastAsia="Times New Roman" w:hAnsi="Times New Roman" w:cs="Times New Roman"/>
          <w:sz w:val="24"/>
          <w:szCs w:val="24"/>
        </w:rPr>
        <w:t xml:space="preserve">(4), 1187. Multidisciplinary Digital Publishing Institute. </w:t>
      </w:r>
      <w:hyperlink r:id="rId38" w:tgtFrame="_blank" w:history="1">
        <w:r w:rsidRPr="00177083">
          <w:rPr>
            <w:rFonts w:ascii="Times New Roman" w:eastAsia="Times New Roman" w:hAnsi="Times New Roman" w:cs="Times New Roman"/>
            <w:color w:val="0000FF"/>
            <w:sz w:val="24"/>
            <w:szCs w:val="24"/>
            <w:u w:val="single"/>
          </w:rPr>
          <w:t>https://doi.org/10.3390/pharmaceutics15041187</w:t>
        </w:r>
      </w:hyperlink>
    </w:p>
    <w:p w:rsidR="00CA5D62" w:rsidRPr="00177083" w:rsidRDefault="00CA5D62" w:rsidP="00177083">
      <w:pPr>
        <w:shd w:val="clear" w:color="auto" w:fill="FFFFFF"/>
        <w:spacing w:before="100" w:beforeAutospacing="1" w:after="100" w:afterAutospacing="1" w:line="240" w:lineRule="auto"/>
        <w:ind w:left="720" w:hanging="720"/>
        <w:rPr>
          <w:rFonts w:ascii="Times New Roman" w:eastAsia="Times New Roman" w:hAnsi="Times New Roman" w:cs="Times New Roman"/>
          <w:color w:val="18181B"/>
          <w:sz w:val="24"/>
          <w:szCs w:val="24"/>
        </w:rPr>
      </w:pPr>
      <w:r w:rsidRPr="00177083">
        <w:rPr>
          <w:rFonts w:ascii="Times New Roman" w:eastAsia="Times New Roman" w:hAnsi="Times New Roman" w:cs="Times New Roman"/>
          <w:color w:val="18181B"/>
          <w:sz w:val="24"/>
          <w:szCs w:val="24"/>
        </w:rPr>
        <w:t>Lo, C., Semerel, J., Berg, C. van den, Wijffels, R. H., &amp; Eppink, M. H. M. (2021). Eutectic solvents with tuneable hydrophobicity: lipid dissolution and recovery. </w:t>
      </w:r>
      <w:r w:rsidRPr="00177083">
        <w:rPr>
          <w:rFonts w:ascii="Times New Roman" w:eastAsia="Times New Roman" w:hAnsi="Times New Roman" w:cs="Times New Roman"/>
          <w:i/>
          <w:iCs/>
          <w:color w:val="18181B"/>
          <w:sz w:val="24"/>
          <w:szCs w:val="24"/>
        </w:rPr>
        <w:t>RSC Advances</w:t>
      </w:r>
      <w:r w:rsidRPr="00177083">
        <w:rPr>
          <w:rFonts w:ascii="Times New Roman" w:eastAsia="Times New Roman" w:hAnsi="Times New Roman" w:cs="Times New Roman"/>
          <w:color w:val="18181B"/>
          <w:sz w:val="24"/>
          <w:szCs w:val="24"/>
        </w:rPr>
        <w:t>, </w:t>
      </w:r>
      <w:r w:rsidRPr="00177083">
        <w:rPr>
          <w:rFonts w:ascii="Times New Roman" w:eastAsia="Times New Roman" w:hAnsi="Times New Roman" w:cs="Times New Roman"/>
          <w:i/>
          <w:iCs/>
          <w:color w:val="18181B"/>
          <w:sz w:val="24"/>
          <w:szCs w:val="24"/>
        </w:rPr>
        <w:t>11</w:t>
      </w:r>
      <w:r w:rsidRPr="00177083">
        <w:rPr>
          <w:rFonts w:ascii="Times New Roman" w:eastAsia="Times New Roman" w:hAnsi="Times New Roman" w:cs="Times New Roman"/>
          <w:color w:val="18181B"/>
          <w:sz w:val="24"/>
          <w:szCs w:val="24"/>
        </w:rPr>
        <w:t>(14), 8142. </w:t>
      </w:r>
      <w:hyperlink r:id="rId39" w:tgtFrame="_blank" w:history="1">
        <w:r w:rsidRPr="00177083">
          <w:rPr>
            <w:rFonts w:ascii="Times New Roman" w:eastAsia="Times New Roman" w:hAnsi="Times New Roman" w:cs="Times New Roman"/>
            <w:color w:val="0000FF"/>
            <w:sz w:val="24"/>
            <w:szCs w:val="24"/>
            <w:u w:val="single"/>
          </w:rPr>
          <w:t>https://doi.org/10.1039/d1ra00306b</w:t>
        </w:r>
      </w:hyperlink>
    </w:p>
    <w:p w:rsidR="00CA5D62" w:rsidRPr="00177083" w:rsidRDefault="00CA5D62" w:rsidP="00177083">
      <w:pPr>
        <w:shd w:val="clear" w:color="auto" w:fill="FFFFFF"/>
        <w:spacing w:before="100" w:beforeAutospacing="1" w:after="100" w:afterAutospacing="1" w:line="240" w:lineRule="auto"/>
        <w:ind w:left="720" w:hanging="720"/>
        <w:rPr>
          <w:rFonts w:ascii="Times New Roman" w:eastAsia="Times New Roman" w:hAnsi="Times New Roman" w:cs="Times New Roman"/>
          <w:color w:val="18181B"/>
          <w:sz w:val="24"/>
          <w:szCs w:val="24"/>
        </w:rPr>
      </w:pPr>
      <w:r w:rsidRPr="00177083">
        <w:rPr>
          <w:rFonts w:ascii="Times New Roman" w:eastAsia="Times New Roman" w:hAnsi="Times New Roman" w:cs="Times New Roman"/>
          <w:color w:val="18181B"/>
          <w:sz w:val="24"/>
          <w:szCs w:val="24"/>
        </w:rPr>
        <w:t>Maheshwari, R., Prasad, S. D., Pandey, S. P., &amp; Wanare, G. (2010). Novel spectrophotometric analysis of piroxicam tablets using ibuprofen sodium as hydrotropic solubilizing agents. </w:t>
      </w:r>
      <w:r w:rsidRPr="00177083">
        <w:rPr>
          <w:rFonts w:ascii="Times New Roman" w:eastAsia="Times New Roman" w:hAnsi="Times New Roman" w:cs="Times New Roman"/>
          <w:i/>
          <w:iCs/>
          <w:color w:val="18181B"/>
          <w:sz w:val="24"/>
          <w:szCs w:val="24"/>
        </w:rPr>
        <w:t>International Journal of Pharmaceutical Sciences and Drug Research</w:t>
      </w:r>
      <w:r w:rsidRPr="00177083">
        <w:rPr>
          <w:rFonts w:ascii="Times New Roman" w:eastAsia="Times New Roman" w:hAnsi="Times New Roman" w:cs="Times New Roman"/>
          <w:color w:val="18181B"/>
          <w:sz w:val="24"/>
          <w:szCs w:val="24"/>
        </w:rPr>
        <w:t>, 210. </w:t>
      </w:r>
      <w:hyperlink r:id="rId40" w:tgtFrame="_blank" w:history="1">
        <w:r w:rsidRPr="00177083">
          <w:rPr>
            <w:rFonts w:ascii="Times New Roman" w:eastAsia="Times New Roman" w:hAnsi="Times New Roman" w:cs="Times New Roman"/>
            <w:color w:val="0000FF"/>
            <w:sz w:val="24"/>
            <w:szCs w:val="24"/>
            <w:u w:val="single"/>
          </w:rPr>
          <w:t>https://doi.org/10.25004/ijpsdr.2010.020309</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Majeed A., Raza SN &amp; Khan NA. (2019). Hydrotrophy: novel solubility enhancement technique: a review. International Journal of Scientific progress and research, 10(3), 10251036. 11. </w:t>
      </w:r>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Mohac, L. M. de, Raimi</w:t>
      </w:r>
      <w:r w:rsidRPr="00177083">
        <w:rPr>
          <w:rFonts w:ascii="Cambria Math" w:eastAsia="Times New Roman" w:hAnsi="Cambria Math" w:cs="Cambria Math"/>
          <w:sz w:val="24"/>
          <w:szCs w:val="24"/>
        </w:rPr>
        <w:t>‐</w:t>
      </w:r>
      <w:r w:rsidRPr="00177083">
        <w:rPr>
          <w:rFonts w:ascii="Times New Roman" w:eastAsia="Times New Roman" w:hAnsi="Times New Roman" w:cs="Times New Roman"/>
          <w:sz w:val="24"/>
          <w:szCs w:val="24"/>
        </w:rPr>
        <w:t xml:space="preserve">Abraham, B. T., Caruana, R., Giammona, G., &amp; Licciardi, M. (2020). Multicomponent solid dispersion a new generation of solid dispersion produced by spray-drying. </w:t>
      </w:r>
      <w:r w:rsidRPr="00177083">
        <w:rPr>
          <w:rFonts w:ascii="Times New Roman" w:eastAsia="Times New Roman" w:hAnsi="Times New Roman" w:cs="Times New Roman"/>
          <w:i/>
          <w:iCs/>
          <w:sz w:val="24"/>
          <w:szCs w:val="24"/>
        </w:rPr>
        <w:t>Journal of Drug Delivery Science and Technology</w:t>
      </w:r>
      <w:r w:rsidRPr="00177083">
        <w:rPr>
          <w:rFonts w:ascii="Times New Roman" w:eastAsia="Times New Roman" w:hAnsi="Times New Roman" w:cs="Times New Roman"/>
          <w:sz w:val="24"/>
          <w:szCs w:val="24"/>
        </w:rPr>
        <w:t xml:space="preserve">, </w:t>
      </w:r>
      <w:r w:rsidRPr="00177083">
        <w:rPr>
          <w:rFonts w:ascii="Times New Roman" w:eastAsia="Times New Roman" w:hAnsi="Times New Roman" w:cs="Times New Roman"/>
          <w:i/>
          <w:iCs/>
          <w:sz w:val="24"/>
          <w:szCs w:val="24"/>
        </w:rPr>
        <w:t>57</w:t>
      </w:r>
      <w:r w:rsidRPr="00177083">
        <w:rPr>
          <w:rFonts w:ascii="Times New Roman" w:eastAsia="Times New Roman" w:hAnsi="Times New Roman" w:cs="Times New Roman"/>
          <w:sz w:val="24"/>
          <w:szCs w:val="24"/>
        </w:rPr>
        <w:t xml:space="preserve">, 101750. </w:t>
      </w:r>
      <w:hyperlink r:id="rId41" w:tgtFrame="_blank" w:history="1">
        <w:r w:rsidRPr="00177083">
          <w:rPr>
            <w:rFonts w:ascii="Times New Roman" w:eastAsia="Times New Roman" w:hAnsi="Times New Roman" w:cs="Times New Roman"/>
            <w:color w:val="0000FF"/>
            <w:sz w:val="24"/>
            <w:szCs w:val="24"/>
            <w:u w:val="single"/>
          </w:rPr>
          <w:t>https://doi.org/10.1016/j.jddst.2020.101750</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Mirzapure, I. A. (2024). Advanced Solubility Science: Mixed Hydrotropy. </w:t>
      </w:r>
      <w:r w:rsidRPr="00177083">
        <w:rPr>
          <w:rFonts w:ascii="Times New Roman" w:eastAsia="Times New Roman" w:hAnsi="Times New Roman" w:cs="Times New Roman"/>
          <w:i/>
          <w:iCs/>
          <w:sz w:val="24"/>
          <w:szCs w:val="24"/>
        </w:rPr>
        <w:t>Asian Journal of Pharmaceutics</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18</w:t>
      </w:r>
      <w:r w:rsidRPr="00177083">
        <w:rPr>
          <w:rFonts w:ascii="Times New Roman" w:eastAsia="Times New Roman" w:hAnsi="Times New Roman" w:cs="Times New Roman"/>
          <w:sz w:val="24"/>
          <w:szCs w:val="24"/>
        </w:rPr>
        <w:t>(2). </w:t>
      </w:r>
      <w:hyperlink r:id="rId42" w:tgtFrame="_blank" w:history="1">
        <w:r w:rsidRPr="00177083">
          <w:rPr>
            <w:rFonts w:ascii="Times New Roman" w:eastAsia="Times New Roman" w:hAnsi="Times New Roman" w:cs="Times New Roman"/>
            <w:color w:val="0000FF"/>
            <w:sz w:val="24"/>
            <w:szCs w:val="24"/>
            <w:u w:val="single"/>
          </w:rPr>
          <w:t>https://doi.org/10.22377/ajp.v18i02.5440</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Mohite, P., Singh, S., Pawar, A., Sangale, A., &amp; Prajapati, B. G. (2023). Lipid-based oral formulation in capsules to improve the delivery of poorly water-soluble drugs [Review of </w:t>
      </w:r>
      <w:r w:rsidRPr="00177083">
        <w:rPr>
          <w:rFonts w:ascii="Times New Roman" w:eastAsia="Times New Roman" w:hAnsi="Times New Roman" w:cs="Times New Roman"/>
          <w:i/>
          <w:iCs/>
          <w:sz w:val="24"/>
          <w:szCs w:val="24"/>
        </w:rPr>
        <w:t>Lipid-based oral formulation in capsules to improve the delivery of poorly water-soluble drugs</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Frontiers in Drug Delivery</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3</w:t>
      </w:r>
      <w:r w:rsidRPr="00177083">
        <w:rPr>
          <w:rFonts w:ascii="Times New Roman" w:eastAsia="Times New Roman" w:hAnsi="Times New Roman" w:cs="Times New Roman"/>
          <w:sz w:val="24"/>
          <w:szCs w:val="24"/>
        </w:rPr>
        <w:t>. Frontiers Media. </w:t>
      </w:r>
      <w:hyperlink r:id="rId43" w:tgtFrame="_blank" w:history="1">
        <w:r w:rsidRPr="00177083">
          <w:rPr>
            <w:rFonts w:ascii="Times New Roman" w:eastAsia="Times New Roman" w:hAnsi="Times New Roman" w:cs="Times New Roman"/>
            <w:color w:val="0000FF"/>
            <w:sz w:val="24"/>
            <w:szCs w:val="24"/>
            <w:u w:val="single"/>
          </w:rPr>
          <w:t>https://doi.org/10.3389/fddev.2023.1232012</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Namdev B., Venkatachalam S, Jawahar N &amp; Chorsiya A. (2022). A Brief Review on Solubility Enhancement Technique: Hydrotropy. Indian Journal of Pharmaceutical Education and Research, 56(2), 347-355.</w:t>
      </w:r>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NARMADA, I. (2023). Contemporary Review on Solubility Enhancement Techniques. </w:t>
      </w:r>
      <w:r w:rsidRPr="00177083">
        <w:rPr>
          <w:rFonts w:ascii="Times New Roman" w:eastAsia="Times New Roman" w:hAnsi="Times New Roman" w:cs="Times New Roman"/>
          <w:i/>
          <w:iCs/>
          <w:sz w:val="24"/>
          <w:szCs w:val="24"/>
        </w:rPr>
        <w:t>Journal of Drug Delivery and Therapeutics</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13</w:t>
      </w:r>
      <w:r w:rsidRPr="00177083">
        <w:rPr>
          <w:rFonts w:ascii="Times New Roman" w:eastAsia="Times New Roman" w:hAnsi="Times New Roman" w:cs="Times New Roman"/>
          <w:sz w:val="24"/>
          <w:szCs w:val="24"/>
        </w:rPr>
        <w:t>(2), 110. </w:t>
      </w:r>
      <w:hyperlink r:id="rId44" w:tgtFrame="_blank" w:history="1">
        <w:r w:rsidRPr="00177083">
          <w:rPr>
            <w:rFonts w:ascii="Times New Roman" w:eastAsia="Times New Roman" w:hAnsi="Times New Roman" w:cs="Times New Roman"/>
            <w:color w:val="0000FF"/>
            <w:sz w:val="24"/>
            <w:szCs w:val="24"/>
            <w:u w:val="single"/>
          </w:rPr>
          <w:t>https://doi.org/10.22270/jddt.v13i2.5944</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Nasrallah, S., &amp; Minceva, M. (2025). Solubility Enhancement of Active Pharmaceutical Ingredients through Liquid Hydrotrope Addition: A Thermodynamic Analysis. </w:t>
      </w:r>
      <w:r w:rsidRPr="00177083">
        <w:rPr>
          <w:rFonts w:ascii="Times New Roman" w:eastAsia="Times New Roman" w:hAnsi="Times New Roman" w:cs="Times New Roman"/>
          <w:i/>
          <w:iCs/>
          <w:sz w:val="24"/>
          <w:szCs w:val="24"/>
        </w:rPr>
        <w:t>Molecular Pharmaceutics</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22</w:t>
      </w:r>
      <w:r w:rsidRPr="00177083">
        <w:rPr>
          <w:rFonts w:ascii="Times New Roman" w:eastAsia="Times New Roman" w:hAnsi="Times New Roman" w:cs="Times New Roman"/>
          <w:sz w:val="24"/>
          <w:szCs w:val="24"/>
        </w:rPr>
        <w:t>(3), 1408. </w:t>
      </w:r>
      <w:hyperlink r:id="rId45" w:tgtFrame="_blank" w:history="1">
        <w:r w:rsidRPr="00177083">
          <w:rPr>
            <w:rFonts w:ascii="Times New Roman" w:eastAsia="Times New Roman" w:hAnsi="Times New Roman" w:cs="Times New Roman"/>
            <w:color w:val="0000FF"/>
            <w:sz w:val="24"/>
            <w:szCs w:val="24"/>
            <w:u w:val="single"/>
          </w:rPr>
          <w:t>https://doi.org/10.1021/acs.molpharmaceut.4c01117</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Natarajan A, Chinnakannu J, Nagarajan N. (2012), Effect of Hydrotropes on Solubility and Mass Transfer Coefficient of Chlorobenzene.Res.J.Chem.Sci; 2(8) :9-13. 34)</w:t>
      </w:r>
    </w:p>
    <w:p w:rsidR="00CA5D62"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lastRenderedPageBreak/>
        <w:t>Navti, P. D., Pandey, A., Nikam, A. N., Padya, B. S., Kalthur, G., Koteshwara, K. B., &amp; Mutalik, S. (2022). Ionic Liquids Assisted Topical Drug Delivery for Permeation Enhancement: Formulation Strategies, Biomedical Applications, and Toxicological Perspective [Review of </w:t>
      </w:r>
      <w:r w:rsidRPr="00177083">
        <w:rPr>
          <w:rFonts w:ascii="Times New Roman" w:eastAsia="Times New Roman" w:hAnsi="Times New Roman" w:cs="Times New Roman"/>
          <w:i/>
          <w:iCs/>
          <w:sz w:val="24"/>
          <w:szCs w:val="24"/>
        </w:rPr>
        <w:t>Ionic Liquids Assisted Topical Drug Delivery for Permeation Enhancement: Formulation Strategies, Biomedical Applications, and Toxicological Perspective</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AAPS PharmSciTech</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23</w:t>
      </w:r>
      <w:r w:rsidRPr="00177083">
        <w:rPr>
          <w:rFonts w:ascii="Times New Roman" w:eastAsia="Times New Roman" w:hAnsi="Times New Roman" w:cs="Times New Roman"/>
          <w:sz w:val="24"/>
          <w:szCs w:val="24"/>
        </w:rPr>
        <w:t>(5). Springer Science+Business Media. </w:t>
      </w:r>
      <w:hyperlink r:id="rId46" w:tgtFrame="_blank" w:history="1">
        <w:r w:rsidRPr="00177083">
          <w:rPr>
            <w:rFonts w:ascii="Times New Roman" w:eastAsia="Times New Roman" w:hAnsi="Times New Roman" w:cs="Times New Roman"/>
            <w:color w:val="0000FF"/>
            <w:sz w:val="24"/>
            <w:szCs w:val="24"/>
            <w:u w:val="single"/>
          </w:rPr>
          <w:t>https://doi.org/10.1208/s12249-022-02313-w</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Noor, S., Taj, M. B., &amp; Ashar, A. (2021). Solubilization of cationic dye in single and mixed micellar media. </w:t>
      </w:r>
      <w:r w:rsidRPr="00177083">
        <w:rPr>
          <w:rFonts w:ascii="Times New Roman" w:eastAsia="Times New Roman" w:hAnsi="Times New Roman" w:cs="Times New Roman"/>
          <w:i/>
          <w:iCs/>
          <w:sz w:val="24"/>
          <w:szCs w:val="24"/>
        </w:rPr>
        <w:t>Journal of Molecular Liquids</w:t>
      </w:r>
      <w:r w:rsidRPr="00177083">
        <w:rPr>
          <w:rFonts w:ascii="Times New Roman" w:eastAsia="Times New Roman" w:hAnsi="Times New Roman" w:cs="Times New Roman"/>
          <w:sz w:val="24"/>
          <w:szCs w:val="24"/>
        </w:rPr>
        <w:t xml:space="preserve">, </w:t>
      </w:r>
      <w:r w:rsidRPr="00177083">
        <w:rPr>
          <w:rFonts w:ascii="Times New Roman" w:eastAsia="Times New Roman" w:hAnsi="Times New Roman" w:cs="Times New Roman"/>
          <w:i/>
          <w:iCs/>
          <w:sz w:val="24"/>
          <w:szCs w:val="24"/>
        </w:rPr>
        <w:t>330</w:t>
      </w:r>
      <w:r w:rsidRPr="00177083">
        <w:rPr>
          <w:rFonts w:ascii="Times New Roman" w:eastAsia="Times New Roman" w:hAnsi="Times New Roman" w:cs="Times New Roman"/>
          <w:sz w:val="24"/>
          <w:szCs w:val="24"/>
        </w:rPr>
        <w:t xml:space="preserve">, 115613. </w:t>
      </w:r>
      <w:hyperlink r:id="rId47" w:tgtFrame="_blank" w:history="1">
        <w:r w:rsidRPr="00177083">
          <w:rPr>
            <w:rFonts w:ascii="Times New Roman" w:eastAsia="Times New Roman" w:hAnsi="Times New Roman" w:cs="Times New Roman"/>
            <w:color w:val="0000FF"/>
            <w:sz w:val="24"/>
            <w:szCs w:val="24"/>
            <w:u w:val="single"/>
          </w:rPr>
          <w:t>https://doi.org/10.1016/j.molliq.2021.115613</w:t>
        </w:r>
      </w:hyperlink>
      <w:r w:rsidRPr="00177083">
        <w:rPr>
          <w:rFonts w:ascii="Times New Roman" w:eastAsia="Times New Roman" w:hAnsi="Times New Roman" w:cs="Times New Roman"/>
          <w:sz w:val="24"/>
          <w:szCs w:val="24"/>
        </w:rPr>
        <w:t xml:space="preserve"> </w:t>
      </w:r>
    </w:p>
    <w:p w:rsidR="00CA5D62" w:rsidRPr="00177083" w:rsidRDefault="00CA5D62" w:rsidP="00177083">
      <w:pPr>
        <w:shd w:val="clear" w:color="auto" w:fill="FFFFFF"/>
        <w:spacing w:before="100" w:beforeAutospacing="1" w:after="100" w:afterAutospacing="1" w:line="240" w:lineRule="auto"/>
        <w:ind w:left="720" w:hanging="720"/>
        <w:rPr>
          <w:rFonts w:ascii="Times New Roman" w:eastAsia="Times New Roman" w:hAnsi="Times New Roman" w:cs="Times New Roman"/>
          <w:color w:val="18181B"/>
          <w:sz w:val="24"/>
          <w:szCs w:val="24"/>
        </w:rPr>
      </w:pPr>
      <w:r w:rsidRPr="00177083">
        <w:rPr>
          <w:rFonts w:ascii="Times New Roman" w:eastAsia="Times New Roman" w:hAnsi="Times New Roman" w:cs="Times New Roman"/>
          <w:color w:val="18181B"/>
          <w:sz w:val="24"/>
          <w:szCs w:val="24"/>
        </w:rPr>
        <w:t>Olaru, I., Mihai, D. P., Olaru, O. T., Gîrd, C. E., Zanfirescu, A., Stancov, G., Andrei, C., Luță, E. A., &amp; Nițulescu, G. M. (2025). Comparative Toxicological Evaluation of Solubilizers and Hydrotropic Agents Using Daphnia magna as a Model Organism. </w:t>
      </w:r>
      <w:r w:rsidRPr="00177083">
        <w:rPr>
          <w:rFonts w:ascii="Times New Roman" w:eastAsia="Times New Roman" w:hAnsi="Times New Roman" w:cs="Times New Roman"/>
          <w:i/>
          <w:iCs/>
          <w:color w:val="18181B"/>
          <w:sz w:val="24"/>
          <w:szCs w:val="24"/>
        </w:rPr>
        <w:t>Environments</w:t>
      </w:r>
      <w:r w:rsidRPr="00177083">
        <w:rPr>
          <w:rFonts w:ascii="Times New Roman" w:eastAsia="Times New Roman" w:hAnsi="Times New Roman" w:cs="Times New Roman"/>
          <w:color w:val="18181B"/>
          <w:sz w:val="24"/>
          <w:szCs w:val="24"/>
        </w:rPr>
        <w:t>, </w:t>
      </w:r>
      <w:r w:rsidRPr="00177083">
        <w:rPr>
          <w:rFonts w:ascii="Times New Roman" w:eastAsia="Times New Roman" w:hAnsi="Times New Roman" w:cs="Times New Roman"/>
          <w:i/>
          <w:iCs/>
          <w:color w:val="18181B"/>
          <w:sz w:val="24"/>
          <w:szCs w:val="24"/>
        </w:rPr>
        <w:t>12</w:t>
      </w:r>
      <w:r w:rsidRPr="00177083">
        <w:rPr>
          <w:rFonts w:ascii="Times New Roman" w:eastAsia="Times New Roman" w:hAnsi="Times New Roman" w:cs="Times New Roman"/>
          <w:color w:val="18181B"/>
          <w:sz w:val="24"/>
          <w:szCs w:val="24"/>
        </w:rPr>
        <w:t>(5), 172. </w:t>
      </w:r>
      <w:hyperlink r:id="rId48" w:tgtFrame="_blank" w:history="1">
        <w:r w:rsidRPr="00177083">
          <w:rPr>
            <w:rFonts w:ascii="Times New Roman" w:eastAsia="Times New Roman" w:hAnsi="Times New Roman" w:cs="Times New Roman"/>
            <w:color w:val="0000FF"/>
            <w:sz w:val="24"/>
            <w:szCs w:val="24"/>
            <w:u w:val="single"/>
          </w:rPr>
          <w:t>https://doi.org/10.3390/environments12050172</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Nyamba, I., Sombié, C. B., Yabré, M., Zimé-Diawara, H., Yaméogo, J. B. G., Ouédraogo, S., Lechanteur, A., Semdé, R., &amp; Évrard, B. (2024). Pharmaceutical approaches for enhancing solubility and oral bioavailability of poorly soluble drugs [Review of </w:t>
      </w:r>
      <w:r w:rsidRPr="00177083">
        <w:rPr>
          <w:rFonts w:ascii="Times New Roman" w:eastAsia="Times New Roman" w:hAnsi="Times New Roman" w:cs="Times New Roman"/>
          <w:i/>
          <w:iCs/>
          <w:sz w:val="24"/>
          <w:szCs w:val="24"/>
        </w:rPr>
        <w:t>Pharmaceutical approaches for enhancing solubility and oral bioavailability of poorly soluble drugs</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European Journal of Pharmaceutics and Biopharmaceutics</w:t>
      </w:r>
      <w:r w:rsidRPr="00177083">
        <w:rPr>
          <w:rFonts w:ascii="Times New Roman" w:eastAsia="Times New Roman" w:hAnsi="Times New Roman" w:cs="Times New Roman"/>
          <w:sz w:val="24"/>
          <w:szCs w:val="24"/>
        </w:rPr>
        <w:t>, 114513. Elsevier BV. </w:t>
      </w:r>
      <w:hyperlink r:id="rId49" w:tgtFrame="_blank" w:history="1">
        <w:r w:rsidRPr="00177083">
          <w:rPr>
            <w:rFonts w:ascii="Times New Roman" w:eastAsia="Times New Roman" w:hAnsi="Times New Roman" w:cs="Times New Roman"/>
            <w:color w:val="0000FF"/>
            <w:sz w:val="24"/>
            <w:szCs w:val="24"/>
            <w:u w:val="single"/>
          </w:rPr>
          <w:t>https://doi.org/10.1016/j.ejpb.2024.114513</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Pandey, M. P., Sasidharan, S., Raghunathan, V. A., &amp; Khandelia, H. (2022). Molecular Mechanism of Hydrotropic Properties of GTP and ATP. </w:t>
      </w:r>
      <w:r w:rsidRPr="00177083">
        <w:rPr>
          <w:rFonts w:ascii="Times New Roman" w:eastAsia="Times New Roman" w:hAnsi="Times New Roman" w:cs="Times New Roman"/>
          <w:i/>
          <w:iCs/>
          <w:sz w:val="24"/>
          <w:szCs w:val="24"/>
        </w:rPr>
        <w:t>The Journal of Physical Chemistry B</w:t>
      </w:r>
      <w:r w:rsidRPr="00177083">
        <w:rPr>
          <w:rFonts w:ascii="Times New Roman" w:eastAsia="Times New Roman" w:hAnsi="Times New Roman" w:cs="Times New Roman"/>
          <w:sz w:val="24"/>
          <w:szCs w:val="24"/>
        </w:rPr>
        <w:t xml:space="preserve">, </w:t>
      </w:r>
      <w:r w:rsidRPr="00177083">
        <w:rPr>
          <w:rFonts w:ascii="Times New Roman" w:eastAsia="Times New Roman" w:hAnsi="Times New Roman" w:cs="Times New Roman"/>
          <w:i/>
          <w:iCs/>
          <w:sz w:val="24"/>
          <w:szCs w:val="24"/>
        </w:rPr>
        <w:t>126</w:t>
      </w:r>
      <w:r w:rsidRPr="00177083">
        <w:rPr>
          <w:rFonts w:ascii="Times New Roman" w:eastAsia="Times New Roman" w:hAnsi="Times New Roman" w:cs="Times New Roman"/>
          <w:sz w:val="24"/>
          <w:szCs w:val="24"/>
        </w:rPr>
        <w:t xml:space="preserve">(42), 8486. </w:t>
      </w:r>
      <w:hyperlink r:id="rId50" w:tgtFrame="_blank" w:history="1">
        <w:r w:rsidRPr="00177083">
          <w:rPr>
            <w:rFonts w:ascii="Times New Roman" w:eastAsia="Times New Roman" w:hAnsi="Times New Roman" w:cs="Times New Roman"/>
            <w:color w:val="0000FF"/>
            <w:sz w:val="24"/>
            <w:szCs w:val="24"/>
            <w:u w:val="single"/>
          </w:rPr>
          <w:t>https://doi.org/10.1021/acs.jpcb.2c06077</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Pandey S, Maheshwari R.K. (2010), A novel spectrophotometric method for the estimation of ketoprofen in tablet dosage form using hydrotropic solubilization phenomenon. Journal of Scientific Research. 6(3):209-212.</w:t>
      </w:r>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Patel SK, Amol DK, Waghmode P, Dhabale AS.(2011), Solubility enhancement of ibuprofen using hydrotropic agents. Int. J. of Pharm. and Life Sci. 2(2): 542-545.</w:t>
      </w:r>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Patil, P., &amp; Patel, S. (2025). </w:t>
      </w:r>
      <w:r w:rsidR="00CA5D62" w:rsidRPr="00177083">
        <w:rPr>
          <w:rFonts w:ascii="Times New Roman" w:eastAsia="Times New Roman" w:hAnsi="Times New Roman" w:cs="Times New Roman"/>
          <w:sz w:val="24"/>
          <w:szCs w:val="24"/>
        </w:rPr>
        <w:t>Solubility enhancement techniques</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International Journal of Biology Pharmacy and Allied Sciences</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14</w:t>
      </w:r>
      <w:r w:rsidRPr="00177083">
        <w:rPr>
          <w:rFonts w:ascii="Times New Roman" w:eastAsia="Times New Roman" w:hAnsi="Times New Roman" w:cs="Times New Roman"/>
          <w:sz w:val="24"/>
          <w:szCs w:val="24"/>
        </w:rPr>
        <w:t>(4). </w:t>
      </w:r>
      <w:hyperlink r:id="rId51" w:tgtFrame="_blank" w:history="1">
        <w:r w:rsidRPr="00177083">
          <w:rPr>
            <w:rFonts w:ascii="Times New Roman" w:eastAsia="Times New Roman" w:hAnsi="Times New Roman" w:cs="Times New Roman"/>
            <w:color w:val="0000FF"/>
            <w:sz w:val="24"/>
            <w:szCs w:val="24"/>
            <w:u w:val="single"/>
          </w:rPr>
          <w:t>https://doi.org/10.31032/ijbpas/2025/14.4.8878</w:t>
        </w:r>
      </w:hyperlink>
    </w:p>
    <w:p w:rsidR="00CA5D62" w:rsidRPr="00177083" w:rsidRDefault="00CA5D62" w:rsidP="00177083">
      <w:pPr>
        <w:shd w:val="clear" w:color="auto" w:fill="FFFFFF"/>
        <w:spacing w:before="100" w:beforeAutospacing="1" w:after="100" w:afterAutospacing="1" w:line="240" w:lineRule="auto"/>
        <w:ind w:left="720" w:hanging="720"/>
        <w:rPr>
          <w:rFonts w:ascii="Times New Roman" w:eastAsia="Times New Roman" w:hAnsi="Times New Roman" w:cs="Times New Roman"/>
          <w:color w:val="18181B"/>
          <w:sz w:val="24"/>
          <w:szCs w:val="24"/>
        </w:rPr>
      </w:pPr>
      <w:r w:rsidRPr="00177083">
        <w:rPr>
          <w:rFonts w:ascii="Times New Roman" w:eastAsia="Times New Roman" w:hAnsi="Times New Roman" w:cs="Times New Roman"/>
          <w:color w:val="18181B"/>
          <w:sz w:val="24"/>
          <w:szCs w:val="24"/>
        </w:rPr>
        <w:t>Pavlović, N., Goločorbin-Kon, S., Đanić, M., Stanimirov, B., Al</w:t>
      </w:r>
      <w:r w:rsidRPr="00177083">
        <w:rPr>
          <w:rFonts w:ascii="Cambria Math" w:eastAsia="Times New Roman" w:hAnsi="Cambria Math" w:cs="Cambria Math"/>
          <w:color w:val="18181B"/>
          <w:sz w:val="24"/>
          <w:szCs w:val="24"/>
        </w:rPr>
        <w:t>‐</w:t>
      </w:r>
      <w:r w:rsidRPr="00177083">
        <w:rPr>
          <w:rFonts w:ascii="Times New Roman" w:eastAsia="Times New Roman" w:hAnsi="Times New Roman" w:cs="Times New Roman"/>
          <w:color w:val="18181B"/>
          <w:sz w:val="24"/>
          <w:szCs w:val="24"/>
        </w:rPr>
        <w:t>Salami, H., Stankov, K., &amp; Mikov, M. (2018). Bile Acids and Their Derivatives as Potential Modifiers of Drug Release and Pharmacokinetic Profiles [Review of </w:t>
      </w:r>
      <w:r w:rsidRPr="00177083">
        <w:rPr>
          <w:rFonts w:ascii="Times New Roman" w:eastAsia="Times New Roman" w:hAnsi="Times New Roman" w:cs="Times New Roman"/>
          <w:i/>
          <w:iCs/>
          <w:color w:val="18181B"/>
          <w:sz w:val="24"/>
          <w:szCs w:val="24"/>
        </w:rPr>
        <w:t>Bile Acids and Their Derivatives as Potential Modifiers of Drug Release and Pharmacokinetic Profiles</w:t>
      </w:r>
      <w:r w:rsidRPr="00177083">
        <w:rPr>
          <w:rFonts w:ascii="Times New Roman" w:eastAsia="Times New Roman" w:hAnsi="Times New Roman" w:cs="Times New Roman"/>
          <w:color w:val="18181B"/>
          <w:sz w:val="24"/>
          <w:szCs w:val="24"/>
        </w:rPr>
        <w:t>]. </w:t>
      </w:r>
      <w:r w:rsidRPr="00177083">
        <w:rPr>
          <w:rFonts w:ascii="Times New Roman" w:eastAsia="Times New Roman" w:hAnsi="Times New Roman" w:cs="Times New Roman"/>
          <w:i/>
          <w:iCs/>
          <w:color w:val="18181B"/>
          <w:sz w:val="24"/>
          <w:szCs w:val="24"/>
        </w:rPr>
        <w:t>Frontiers in Pharmacology</w:t>
      </w:r>
      <w:r w:rsidRPr="00177083">
        <w:rPr>
          <w:rFonts w:ascii="Times New Roman" w:eastAsia="Times New Roman" w:hAnsi="Times New Roman" w:cs="Times New Roman"/>
          <w:color w:val="18181B"/>
          <w:sz w:val="24"/>
          <w:szCs w:val="24"/>
        </w:rPr>
        <w:t>, </w:t>
      </w:r>
      <w:r w:rsidRPr="00177083">
        <w:rPr>
          <w:rFonts w:ascii="Times New Roman" w:eastAsia="Times New Roman" w:hAnsi="Times New Roman" w:cs="Times New Roman"/>
          <w:i/>
          <w:iCs/>
          <w:color w:val="18181B"/>
          <w:sz w:val="24"/>
          <w:szCs w:val="24"/>
        </w:rPr>
        <w:t>9</w:t>
      </w:r>
      <w:r w:rsidRPr="00177083">
        <w:rPr>
          <w:rFonts w:ascii="Times New Roman" w:eastAsia="Times New Roman" w:hAnsi="Times New Roman" w:cs="Times New Roman"/>
          <w:color w:val="18181B"/>
          <w:sz w:val="24"/>
          <w:szCs w:val="24"/>
        </w:rPr>
        <w:t>. Frontiers Media. </w:t>
      </w:r>
      <w:hyperlink r:id="rId52" w:tgtFrame="_blank" w:history="1">
        <w:r w:rsidRPr="00177083">
          <w:rPr>
            <w:rFonts w:ascii="Times New Roman" w:eastAsia="Times New Roman" w:hAnsi="Times New Roman" w:cs="Times New Roman"/>
            <w:color w:val="0000FF"/>
            <w:sz w:val="24"/>
            <w:szCs w:val="24"/>
            <w:u w:val="single"/>
          </w:rPr>
          <w:t>https://doi.org/10.3389/fphar.2018.01283</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lastRenderedPageBreak/>
        <w:t xml:space="preserve">Pranjal D, Deore, Suvarna A. Katti and Vaibhav G. Bhamare. (2021). Application of mixed hydrotropy for solubility enhancement. World journal of pharmacy and pharmaceutical sciences. DOI: </w:t>
      </w:r>
      <w:hyperlink r:id="rId53" w:tgtFrame="_blank" w:history="1">
        <w:r w:rsidRPr="00177083">
          <w:rPr>
            <w:rFonts w:ascii="Times New Roman" w:eastAsia="Times New Roman" w:hAnsi="Times New Roman" w:cs="Times New Roman"/>
            <w:color w:val="0000FF"/>
            <w:sz w:val="24"/>
            <w:szCs w:val="24"/>
            <w:u w:val="single"/>
          </w:rPr>
          <w:t>https://doi.org/10.17605/OSF.IO/XG9JU</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Praveena AT, Arun JL. (2020) “A review on hydrotropic solubilization: A novel approach for solubility enhancement of poorly </w:t>
      </w:r>
      <w:proofErr w:type="gramStart"/>
      <w:r w:rsidRPr="00177083">
        <w:rPr>
          <w:rFonts w:ascii="Times New Roman" w:eastAsia="Times New Roman" w:hAnsi="Times New Roman" w:cs="Times New Roman"/>
          <w:sz w:val="24"/>
          <w:szCs w:val="24"/>
        </w:rPr>
        <w:t>water soluble</w:t>
      </w:r>
      <w:proofErr w:type="gramEnd"/>
      <w:r w:rsidRPr="00177083">
        <w:rPr>
          <w:rFonts w:ascii="Times New Roman" w:eastAsia="Times New Roman" w:hAnsi="Times New Roman" w:cs="Times New Roman"/>
          <w:sz w:val="24"/>
          <w:szCs w:val="24"/>
        </w:rPr>
        <w:t xml:space="preserve"> drugs”; International Journal of Research and Review. 7(10);472-483</w:t>
      </w:r>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Rahman, A., &amp; Haider, Md. F. (2023). Solubility of Drugs, Their Enhancement, Factors Affecting and Their Limitations: A Review [Review of </w:t>
      </w:r>
      <w:r w:rsidRPr="00177083">
        <w:rPr>
          <w:rFonts w:ascii="Times New Roman" w:eastAsia="Times New Roman" w:hAnsi="Times New Roman" w:cs="Times New Roman"/>
          <w:i/>
          <w:iCs/>
          <w:sz w:val="24"/>
          <w:szCs w:val="24"/>
        </w:rPr>
        <w:t>Solubility of Drugs, Their Enhancement, Factors Affecting and Their Limitations: A Review</w:t>
      </w:r>
      <w:r w:rsidRPr="00177083">
        <w:rPr>
          <w:rFonts w:ascii="Times New Roman" w:eastAsia="Times New Roman" w:hAnsi="Times New Roman" w:cs="Times New Roman"/>
          <w:sz w:val="24"/>
          <w:szCs w:val="24"/>
        </w:rPr>
        <w:t xml:space="preserve">]. </w:t>
      </w:r>
      <w:r w:rsidRPr="00177083">
        <w:rPr>
          <w:rFonts w:ascii="Times New Roman" w:eastAsia="Times New Roman" w:hAnsi="Times New Roman" w:cs="Times New Roman"/>
          <w:i/>
          <w:iCs/>
          <w:sz w:val="24"/>
          <w:szCs w:val="24"/>
        </w:rPr>
        <w:t>International Journal of Pharmaceutical Sciences Review and Research</w:t>
      </w:r>
      <w:r w:rsidRPr="00177083">
        <w:rPr>
          <w:rFonts w:ascii="Times New Roman" w:eastAsia="Times New Roman" w:hAnsi="Times New Roman" w:cs="Times New Roman"/>
          <w:sz w:val="24"/>
          <w:szCs w:val="24"/>
        </w:rPr>
        <w:t xml:space="preserve">, </w:t>
      </w:r>
      <w:r w:rsidRPr="00177083">
        <w:rPr>
          <w:rFonts w:ascii="Times New Roman" w:eastAsia="Times New Roman" w:hAnsi="Times New Roman" w:cs="Times New Roman"/>
          <w:i/>
          <w:iCs/>
          <w:sz w:val="24"/>
          <w:szCs w:val="24"/>
        </w:rPr>
        <w:t>79</w:t>
      </w:r>
      <w:r w:rsidRPr="00177083">
        <w:rPr>
          <w:rFonts w:ascii="Times New Roman" w:eastAsia="Times New Roman" w:hAnsi="Times New Roman" w:cs="Times New Roman"/>
          <w:sz w:val="24"/>
          <w:szCs w:val="24"/>
        </w:rPr>
        <w:t xml:space="preserve">(2). </w:t>
      </w:r>
      <w:hyperlink r:id="rId54" w:tgtFrame="_blank" w:history="1">
        <w:r w:rsidRPr="00177083">
          <w:rPr>
            <w:rFonts w:ascii="Times New Roman" w:eastAsia="Times New Roman" w:hAnsi="Times New Roman" w:cs="Times New Roman"/>
            <w:color w:val="0000FF"/>
            <w:sz w:val="24"/>
            <w:szCs w:val="24"/>
            <w:u w:val="single"/>
          </w:rPr>
          <w:t>https://doi.org/10.47583/ijpsrr.2023.v79i02.014</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Rehman, A., Nisa, M. un, Usman, M., Ahmad, Z., Bokhari, T. H., Rahman, H. M. A. U., Rasheed, A., &amp; Kiran, L. (2021). Application of cationic-nonionic surfactant based nanostructured dye carriers: Mixed micellar solubilization. </w:t>
      </w:r>
      <w:r w:rsidRPr="00177083">
        <w:rPr>
          <w:rFonts w:ascii="Times New Roman" w:eastAsia="Times New Roman" w:hAnsi="Times New Roman" w:cs="Times New Roman"/>
          <w:i/>
          <w:iCs/>
          <w:sz w:val="24"/>
          <w:szCs w:val="24"/>
        </w:rPr>
        <w:t>Journal of Molecular Liquids</w:t>
      </w:r>
      <w:r w:rsidRPr="00177083">
        <w:rPr>
          <w:rFonts w:ascii="Times New Roman" w:eastAsia="Times New Roman" w:hAnsi="Times New Roman" w:cs="Times New Roman"/>
          <w:sz w:val="24"/>
          <w:szCs w:val="24"/>
        </w:rPr>
        <w:t xml:space="preserve">, </w:t>
      </w:r>
      <w:r w:rsidRPr="00177083">
        <w:rPr>
          <w:rFonts w:ascii="Times New Roman" w:eastAsia="Times New Roman" w:hAnsi="Times New Roman" w:cs="Times New Roman"/>
          <w:i/>
          <w:iCs/>
          <w:sz w:val="24"/>
          <w:szCs w:val="24"/>
        </w:rPr>
        <w:t>326</w:t>
      </w:r>
      <w:r w:rsidRPr="00177083">
        <w:rPr>
          <w:rFonts w:ascii="Times New Roman" w:eastAsia="Times New Roman" w:hAnsi="Times New Roman" w:cs="Times New Roman"/>
          <w:sz w:val="24"/>
          <w:szCs w:val="24"/>
        </w:rPr>
        <w:t xml:space="preserve">, 115345. </w:t>
      </w:r>
      <w:hyperlink r:id="rId55" w:tgtFrame="_blank" w:history="1">
        <w:r w:rsidRPr="00177083">
          <w:rPr>
            <w:rFonts w:ascii="Times New Roman" w:eastAsia="Times New Roman" w:hAnsi="Times New Roman" w:cs="Times New Roman"/>
            <w:color w:val="0000FF"/>
            <w:sz w:val="24"/>
            <w:szCs w:val="24"/>
            <w:u w:val="single"/>
          </w:rPr>
          <w:t>https://doi.org/10.1016/j.molliq.2021.115345</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Rakesh K, Jayakumar C, Nagendra Gandhi. (2012), Extraction studies through hydrotropy–l-tyrosine.Int J Chem Sci Tech. 2(2): 13-19. 36)</w:t>
      </w:r>
    </w:p>
    <w:p w:rsidR="00CA5D62" w:rsidRPr="00177083" w:rsidRDefault="00CA5D62" w:rsidP="00177083">
      <w:pPr>
        <w:shd w:val="clear" w:color="auto" w:fill="FFFFFF"/>
        <w:spacing w:before="100" w:beforeAutospacing="1" w:after="100" w:afterAutospacing="1" w:line="240" w:lineRule="auto"/>
        <w:ind w:left="720" w:hanging="720"/>
        <w:rPr>
          <w:rFonts w:ascii="Times New Roman" w:eastAsia="Times New Roman" w:hAnsi="Times New Roman" w:cs="Times New Roman"/>
          <w:color w:val="18181B"/>
          <w:sz w:val="24"/>
          <w:szCs w:val="24"/>
        </w:rPr>
      </w:pPr>
      <w:r w:rsidRPr="00177083">
        <w:rPr>
          <w:rFonts w:ascii="Times New Roman" w:eastAsia="Times New Roman" w:hAnsi="Times New Roman" w:cs="Times New Roman"/>
          <w:color w:val="18181B"/>
          <w:sz w:val="24"/>
          <w:szCs w:val="24"/>
        </w:rPr>
        <w:t>Rahman, A., &amp; Haider, Md. F. (2023). Solubility of Drugs, Their Enhancement, Factors Affecting and Their Limitations: A Review. </w:t>
      </w:r>
      <w:r w:rsidRPr="00177083">
        <w:rPr>
          <w:rFonts w:ascii="Times New Roman" w:eastAsia="Times New Roman" w:hAnsi="Times New Roman" w:cs="Times New Roman"/>
          <w:i/>
          <w:iCs/>
          <w:color w:val="18181B"/>
          <w:sz w:val="24"/>
          <w:szCs w:val="24"/>
        </w:rPr>
        <w:t>International Journal of Pharmaceutical Sciences Review and Research</w:t>
      </w:r>
      <w:r w:rsidRPr="00177083">
        <w:rPr>
          <w:rFonts w:ascii="Times New Roman" w:eastAsia="Times New Roman" w:hAnsi="Times New Roman" w:cs="Times New Roman"/>
          <w:color w:val="18181B"/>
          <w:sz w:val="24"/>
          <w:szCs w:val="24"/>
        </w:rPr>
        <w:t>, </w:t>
      </w:r>
      <w:r w:rsidRPr="00177083">
        <w:rPr>
          <w:rFonts w:ascii="Times New Roman" w:eastAsia="Times New Roman" w:hAnsi="Times New Roman" w:cs="Times New Roman"/>
          <w:i/>
          <w:iCs/>
          <w:color w:val="18181B"/>
          <w:sz w:val="24"/>
          <w:szCs w:val="24"/>
        </w:rPr>
        <w:t>79</w:t>
      </w:r>
      <w:r w:rsidRPr="00177083">
        <w:rPr>
          <w:rFonts w:ascii="Times New Roman" w:eastAsia="Times New Roman" w:hAnsi="Times New Roman" w:cs="Times New Roman"/>
          <w:color w:val="18181B"/>
          <w:sz w:val="24"/>
          <w:szCs w:val="24"/>
        </w:rPr>
        <w:t>(2). </w:t>
      </w:r>
      <w:hyperlink r:id="rId56" w:tgtFrame="_blank" w:history="1">
        <w:r w:rsidRPr="00177083">
          <w:rPr>
            <w:rFonts w:ascii="Times New Roman" w:eastAsia="Times New Roman" w:hAnsi="Times New Roman" w:cs="Times New Roman"/>
            <w:color w:val="0000FF"/>
            <w:sz w:val="24"/>
            <w:szCs w:val="24"/>
            <w:u w:val="single"/>
          </w:rPr>
          <w:t>https://doi.org/10.47583/ijpsrr.2023.v79i02.014</w:t>
        </w:r>
      </w:hyperlink>
    </w:p>
    <w:p w:rsidR="00177083" w:rsidRPr="00177083" w:rsidRDefault="00177083" w:rsidP="00177083">
      <w:pPr>
        <w:shd w:val="clear" w:color="auto" w:fill="FFFFFF"/>
        <w:spacing w:before="100" w:beforeAutospacing="1" w:after="100" w:afterAutospacing="1" w:line="240" w:lineRule="auto"/>
        <w:ind w:left="720" w:hanging="720"/>
        <w:rPr>
          <w:rFonts w:ascii="Times New Roman" w:eastAsia="Times New Roman" w:hAnsi="Times New Roman" w:cs="Times New Roman"/>
          <w:color w:val="18181B"/>
          <w:sz w:val="24"/>
          <w:szCs w:val="24"/>
        </w:rPr>
      </w:pPr>
      <w:r w:rsidRPr="00177083">
        <w:rPr>
          <w:rFonts w:ascii="Times New Roman" w:eastAsia="Times New Roman" w:hAnsi="Times New Roman" w:cs="Times New Roman"/>
          <w:color w:val="18181B"/>
          <w:sz w:val="24"/>
          <w:szCs w:val="24"/>
        </w:rPr>
        <w:t>Rathi, N., &amp; Gaikar, V. G. (2018). Crystallization of Curcumin and Cinnamic Acid from Aqueous Solutions of Hydrotropes. </w:t>
      </w:r>
      <w:r w:rsidRPr="00177083">
        <w:rPr>
          <w:rFonts w:ascii="Times New Roman" w:eastAsia="Times New Roman" w:hAnsi="Times New Roman" w:cs="Times New Roman"/>
          <w:i/>
          <w:iCs/>
          <w:color w:val="18181B"/>
          <w:sz w:val="24"/>
          <w:szCs w:val="24"/>
        </w:rPr>
        <w:t>Journal of Crystallization Process and Technology</w:t>
      </w:r>
      <w:r w:rsidRPr="00177083">
        <w:rPr>
          <w:rFonts w:ascii="Times New Roman" w:eastAsia="Times New Roman" w:hAnsi="Times New Roman" w:cs="Times New Roman"/>
          <w:color w:val="18181B"/>
          <w:sz w:val="24"/>
          <w:szCs w:val="24"/>
        </w:rPr>
        <w:t>, </w:t>
      </w:r>
      <w:r w:rsidRPr="00177083">
        <w:rPr>
          <w:rFonts w:ascii="Times New Roman" w:eastAsia="Times New Roman" w:hAnsi="Times New Roman" w:cs="Times New Roman"/>
          <w:i/>
          <w:iCs/>
          <w:color w:val="18181B"/>
          <w:sz w:val="24"/>
          <w:szCs w:val="24"/>
        </w:rPr>
        <w:t>8</w:t>
      </w:r>
      <w:r w:rsidRPr="00177083">
        <w:rPr>
          <w:rFonts w:ascii="Times New Roman" w:eastAsia="Times New Roman" w:hAnsi="Times New Roman" w:cs="Times New Roman"/>
          <w:color w:val="18181B"/>
          <w:sz w:val="24"/>
          <w:szCs w:val="24"/>
        </w:rPr>
        <w:t>(3), 73. </w:t>
      </w:r>
      <w:hyperlink r:id="rId57" w:tgtFrame="_blank" w:history="1">
        <w:r w:rsidRPr="00177083">
          <w:rPr>
            <w:rFonts w:ascii="Times New Roman" w:eastAsia="Times New Roman" w:hAnsi="Times New Roman" w:cs="Times New Roman"/>
            <w:color w:val="0000FF"/>
            <w:sz w:val="24"/>
            <w:szCs w:val="24"/>
            <w:u w:val="single"/>
          </w:rPr>
          <w:t>https://doi.org/10.4236/jcpt.2018.83005</w:t>
        </w:r>
      </w:hyperlink>
    </w:p>
    <w:p w:rsidR="00177083" w:rsidRPr="00177083" w:rsidRDefault="00177083" w:rsidP="00177083">
      <w:pPr>
        <w:shd w:val="clear" w:color="auto" w:fill="FFFFFF"/>
        <w:spacing w:before="100" w:beforeAutospacing="1" w:after="100" w:afterAutospacing="1" w:line="240" w:lineRule="auto"/>
        <w:ind w:left="720" w:hanging="720"/>
        <w:rPr>
          <w:rFonts w:ascii="Times New Roman" w:eastAsia="Times New Roman" w:hAnsi="Times New Roman" w:cs="Times New Roman"/>
          <w:color w:val="18181B"/>
          <w:sz w:val="24"/>
          <w:szCs w:val="24"/>
        </w:rPr>
      </w:pPr>
      <w:r w:rsidRPr="00177083">
        <w:rPr>
          <w:rFonts w:ascii="Times New Roman" w:eastAsia="Times New Roman" w:hAnsi="Times New Roman" w:cs="Times New Roman"/>
          <w:color w:val="18181B"/>
          <w:sz w:val="24"/>
          <w:szCs w:val="24"/>
        </w:rPr>
        <w:t>Rupvate, S. R., Gangurde, S. A., Adavadkar, P. R., Ukhade, S. S., &amp; Lale, S. S. (2022). Solid self</w:t>
      </w:r>
      <w:r w:rsidRPr="00177083">
        <w:rPr>
          <w:rFonts w:ascii="Times New Roman" w:eastAsia="Times New Roman" w:hAnsi="Times New Roman" w:cs="Times New Roman"/>
          <w:color w:val="18181B"/>
          <w:sz w:val="24"/>
          <w:szCs w:val="24"/>
        </w:rPr>
        <w:noBreakHyphen/>
        <w:t>emulsifying pellets: Solubility enhancement for oral delivery of poorly soluble BCS Class II drug. </w:t>
      </w:r>
      <w:r w:rsidRPr="00177083">
        <w:rPr>
          <w:rFonts w:ascii="Times New Roman" w:eastAsia="Times New Roman" w:hAnsi="Times New Roman" w:cs="Times New Roman"/>
          <w:i/>
          <w:iCs/>
          <w:color w:val="18181B"/>
          <w:sz w:val="24"/>
          <w:szCs w:val="24"/>
        </w:rPr>
        <w:t>Journal of Drug Delivery and Therapeutics</w:t>
      </w:r>
      <w:r w:rsidRPr="00177083">
        <w:rPr>
          <w:rFonts w:ascii="Times New Roman" w:eastAsia="Times New Roman" w:hAnsi="Times New Roman" w:cs="Times New Roman"/>
          <w:color w:val="18181B"/>
          <w:sz w:val="24"/>
          <w:szCs w:val="24"/>
        </w:rPr>
        <w:t>, </w:t>
      </w:r>
      <w:r w:rsidRPr="00177083">
        <w:rPr>
          <w:rFonts w:ascii="Times New Roman" w:eastAsia="Times New Roman" w:hAnsi="Times New Roman" w:cs="Times New Roman"/>
          <w:i/>
          <w:iCs/>
          <w:color w:val="18181B"/>
          <w:sz w:val="24"/>
          <w:szCs w:val="24"/>
        </w:rPr>
        <w:t>12</w:t>
      </w:r>
      <w:r w:rsidRPr="00177083">
        <w:rPr>
          <w:rFonts w:ascii="Times New Roman" w:eastAsia="Times New Roman" w:hAnsi="Times New Roman" w:cs="Times New Roman"/>
          <w:color w:val="18181B"/>
          <w:sz w:val="24"/>
          <w:szCs w:val="24"/>
        </w:rPr>
        <w:t>, 171. </w:t>
      </w:r>
      <w:hyperlink r:id="rId58" w:tgtFrame="_blank" w:history="1">
        <w:r w:rsidRPr="00177083">
          <w:rPr>
            <w:rFonts w:ascii="Times New Roman" w:eastAsia="Times New Roman" w:hAnsi="Times New Roman" w:cs="Times New Roman"/>
            <w:color w:val="0000FF"/>
            <w:sz w:val="24"/>
            <w:szCs w:val="24"/>
            <w:u w:val="single"/>
          </w:rPr>
          <w:t>https://doi.org/10.22270/jddt.v12i4-s.5490</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Sable PN, Chaulang GM, Bhosale AV, Chaudhari PD. (2009), Novel Spectrophotometric Estimation of Olanzepine Using Hydrotropic Solubilizing Agent. Research J. Pharm. and Tech. 2(2):297-300. 28)\</w:t>
      </w:r>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Sapra, B., Parveen, S., Tiwari, A., &amp; Silakari, O. (2024). Design Strategies for Smart Hydrogels: From Concept to Application. In </w:t>
      </w:r>
      <w:r w:rsidRPr="00177083">
        <w:rPr>
          <w:rFonts w:ascii="Times New Roman" w:eastAsia="Times New Roman" w:hAnsi="Times New Roman" w:cs="Times New Roman"/>
          <w:i/>
          <w:iCs/>
          <w:sz w:val="24"/>
          <w:szCs w:val="24"/>
        </w:rPr>
        <w:t>IntechOpen eBooks</w:t>
      </w:r>
      <w:r w:rsidRPr="00177083">
        <w:rPr>
          <w:rFonts w:ascii="Times New Roman" w:eastAsia="Times New Roman" w:hAnsi="Times New Roman" w:cs="Times New Roman"/>
          <w:sz w:val="24"/>
          <w:szCs w:val="24"/>
        </w:rPr>
        <w:t>. IntechOpen. </w:t>
      </w:r>
      <w:hyperlink r:id="rId59" w:tgtFrame="_blank" w:history="1">
        <w:r w:rsidRPr="00177083">
          <w:rPr>
            <w:rFonts w:ascii="Times New Roman" w:eastAsia="Times New Roman" w:hAnsi="Times New Roman" w:cs="Times New Roman"/>
            <w:color w:val="0000FF"/>
            <w:sz w:val="24"/>
            <w:szCs w:val="24"/>
            <w:u w:val="single"/>
          </w:rPr>
          <w:t>https://doi.org/10.5772/intechopen.1006716</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S. C. D., -, A. A. deokate, -, S. B. S., &amp; -, T. P. G. (2023). Drug Solubility: Importance and Enhancement Techniques. </w:t>
      </w:r>
      <w:r w:rsidRPr="00177083">
        <w:rPr>
          <w:rFonts w:ascii="Times New Roman" w:eastAsia="Times New Roman" w:hAnsi="Times New Roman" w:cs="Times New Roman"/>
          <w:i/>
          <w:iCs/>
          <w:sz w:val="24"/>
          <w:szCs w:val="24"/>
        </w:rPr>
        <w:t xml:space="preserve">International Journal </w:t>
      </w:r>
      <w:proofErr w:type="gramStart"/>
      <w:r w:rsidRPr="00177083">
        <w:rPr>
          <w:rFonts w:ascii="Times New Roman" w:eastAsia="Times New Roman" w:hAnsi="Times New Roman" w:cs="Times New Roman"/>
          <w:i/>
          <w:iCs/>
          <w:sz w:val="24"/>
          <w:szCs w:val="24"/>
        </w:rPr>
        <w:t>For</w:t>
      </w:r>
      <w:proofErr w:type="gramEnd"/>
      <w:r w:rsidRPr="00177083">
        <w:rPr>
          <w:rFonts w:ascii="Times New Roman" w:eastAsia="Times New Roman" w:hAnsi="Times New Roman" w:cs="Times New Roman"/>
          <w:i/>
          <w:iCs/>
          <w:sz w:val="24"/>
          <w:szCs w:val="24"/>
        </w:rPr>
        <w:t xml:space="preserve"> Multidisciplinary Research</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5</w:t>
      </w:r>
      <w:r w:rsidRPr="00177083">
        <w:rPr>
          <w:rFonts w:ascii="Times New Roman" w:eastAsia="Times New Roman" w:hAnsi="Times New Roman" w:cs="Times New Roman"/>
          <w:sz w:val="24"/>
          <w:szCs w:val="24"/>
        </w:rPr>
        <w:t>(5). </w:t>
      </w:r>
      <w:hyperlink r:id="rId60" w:tgtFrame="_blank" w:history="1">
        <w:r w:rsidRPr="00177083">
          <w:rPr>
            <w:rFonts w:ascii="Times New Roman" w:eastAsia="Times New Roman" w:hAnsi="Times New Roman" w:cs="Times New Roman"/>
            <w:color w:val="0000FF"/>
            <w:sz w:val="24"/>
            <w:szCs w:val="24"/>
            <w:u w:val="single"/>
          </w:rPr>
          <w:t>https://doi.org/10.36948/ijfmr.2023.v05i05.7146</w:t>
        </w:r>
      </w:hyperlink>
    </w:p>
    <w:p w:rsidR="00177083" w:rsidRPr="00177083" w:rsidRDefault="00177083" w:rsidP="00177083">
      <w:pPr>
        <w:shd w:val="clear" w:color="auto" w:fill="FFFFFF"/>
        <w:spacing w:before="100" w:beforeAutospacing="1" w:after="100" w:afterAutospacing="1" w:line="240" w:lineRule="auto"/>
        <w:ind w:left="720" w:hanging="720"/>
        <w:rPr>
          <w:rFonts w:ascii="Times New Roman" w:eastAsia="Times New Roman" w:hAnsi="Times New Roman" w:cs="Times New Roman"/>
          <w:color w:val="18181B"/>
          <w:sz w:val="24"/>
          <w:szCs w:val="24"/>
        </w:rPr>
      </w:pPr>
      <w:r w:rsidRPr="00177083">
        <w:rPr>
          <w:rFonts w:ascii="Times New Roman" w:eastAsia="Times New Roman" w:hAnsi="Times New Roman" w:cs="Times New Roman"/>
          <w:color w:val="18181B"/>
          <w:sz w:val="24"/>
          <w:szCs w:val="24"/>
        </w:rPr>
        <w:lastRenderedPageBreak/>
        <w:t>Schaub, J., Zielesny, A., Steinbeck, C., &amp; Sorokina, M. (2021). Description and Analysis of Glycosidic Residues in the Largest Open Natural Products Database. </w:t>
      </w:r>
      <w:r w:rsidRPr="00177083">
        <w:rPr>
          <w:rFonts w:ascii="Times New Roman" w:eastAsia="Times New Roman" w:hAnsi="Times New Roman" w:cs="Times New Roman"/>
          <w:i/>
          <w:iCs/>
          <w:color w:val="18181B"/>
          <w:sz w:val="24"/>
          <w:szCs w:val="24"/>
        </w:rPr>
        <w:t>Biomolecules</w:t>
      </w:r>
      <w:r w:rsidRPr="00177083">
        <w:rPr>
          <w:rFonts w:ascii="Times New Roman" w:eastAsia="Times New Roman" w:hAnsi="Times New Roman" w:cs="Times New Roman"/>
          <w:color w:val="18181B"/>
          <w:sz w:val="24"/>
          <w:szCs w:val="24"/>
        </w:rPr>
        <w:t>, </w:t>
      </w:r>
      <w:r w:rsidRPr="00177083">
        <w:rPr>
          <w:rFonts w:ascii="Times New Roman" w:eastAsia="Times New Roman" w:hAnsi="Times New Roman" w:cs="Times New Roman"/>
          <w:i/>
          <w:iCs/>
          <w:color w:val="18181B"/>
          <w:sz w:val="24"/>
          <w:szCs w:val="24"/>
        </w:rPr>
        <w:t>11</w:t>
      </w:r>
      <w:r w:rsidRPr="00177083">
        <w:rPr>
          <w:rFonts w:ascii="Times New Roman" w:eastAsia="Times New Roman" w:hAnsi="Times New Roman" w:cs="Times New Roman"/>
          <w:color w:val="18181B"/>
          <w:sz w:val="24"/>
          <w:szCs w:val="24"/>
        </w:rPr>
        <w:t>(4), 486. </w:t>
      </w:r>
      <w:hyperlink r:id="rId61" w:tgtFrame="_blank" w:history="1">
        <w:r w:rsidRPr="00177083">
          <w:rPr>
            <w:rFonts w:ascii="Times New Roman" w:eastAsia="Times New Roman" w:hAnsi="Times New Roman" w:cs="Times New Roman"/>
            <w:color w:val="0000FF"/>
            <w:sz w:val="24"/>
            <w:szCs w:val="24"/>
            <w:u w:val="single"/>
          </w:rPr>
          <w:t>https://doi.org/10.3390/biom11040486</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Senthil N, Jayakumar C, Gandhi N. (2009),Eeffect of hydrotropes on solubility and mass transfer coefficient of methyl benzoate. Mod Appl Sci. 3(3):101-104. 38)</w:t>
      </w:r>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Shah, A., Islam, S. M. R., Albaqami, M. D., Hasan, T., Kumar, D., Wabaidur, S. M., Ansari, M. Z., Hoque, Md. A., Islam, D., &amp; Kabir, M. (2024). Study on the association and phase separation behavior of surfactants and promethazine hydrochloride: impact of ammonium electrolytes. </w:t>
      </w:r>
      <w:r w:rsidRPr="00177083">
        <w:rPr>
          <w:rFonts w:ascii="Times New Roman" w:eastAsia="Times New Roman" w:hAnsi="Times New Roman" w:cs="Times New Roman"/>
          <w:i/>
          <w:iCs/>
          <w:sz w:val="24"/>
          <w:szCs w:val="24"/>
        </w:rPr>
        <w:t>RSC Advances</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14</w:t>
      </w:r>
      <w:r w:rsidRPr="00177083">
        <w:rPr>
          <w:rFonts w:ascii="Times New Roman" w:eastAsia="Times New Roman" w:hAnsi="Times New Roman" w:cs="Times New Roman"/>
          <w:sz w:val="24"/>
          <w:szCs w:val="24"/>
        </w:rPr>
        <w:t>(9), 5981. </w:t>
      </w:r>
      <w:hyperlink r:id="rId62" w:tgtFrame="_blank" w:history="1">
        <w:r w:rsidRPr="00177083">
          <w:rPr>
            <w:rFonts w:ascii="Times New Roman" w:eastAsia="Times New Roman" w:hAnsi="Times New Roman" w:cs="Times New Roman"/>
            <w:color w:val="0000FF"/>
            <w:sz w:val="24"/>
            <w:szCs w:val="24"/>
            <w:u w:val="single"/>
          </w:rPr>
          <w:t>https://doi.org/10.1039/d3ra07493e</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Sharma, S., Gallou, F., &amp; Handa, S. (2024). Towards a sustainable tomorrow: advancing green practices in organic chemistry. </w:t>
      </w:r>
      <w:r w:rsidRPr="00177083">
        <w:rPr>
          <w:rFonts w:ascii="Times New Roman" w:eastAsia="Times New Roman" w:hAnsi="Times New Roman" w:cs="Times New Roman"/>
          <w:i/>
          <w:iCs/>
          <w:sz w:val="24"/>
          <w:szCs w:val="24"/>
        </w:rPr>
        <w:t>Green Chemistry</w:t>
      </w:r>
      <w:r w:rsidRPr="00177083">
        <w:rPr>
          <w:rFonts w:ascii="Times New Roman" w:eastAsia="Times New Roman" w:hAnsi="Times New Roman" w:cs="Times New Roman"/>
          <w:sz w:val="24"/>
          <w:szCs w:val="24"/>
        </w:rPr>
        <w:t xml:space="preserve">, </w:t>
      </w:r>
      <w:r w:rsidRPr="00177083">
        <w:rPr>
          <w:rFonts w:ascii="Times New Roman" w:eastAsia="Times New Roman" w:hAnsi="Times New Roman" w:cs="Times New Roman"/>
          <w:i/>
          <w:iCs/>
          <w:sz w:val="24"/>
          <w:szCs w:val="24"/>
        </w:rPr>
        <w:t>26</w:t>
      </w:r>
      <w:r w:rsidRPr="00177083">
        <w:rPr>
          <w:rFonts w:ascii="Times New Roman" w:eastAsia="Times New Roman" w:hAnsi="Times New Roman" w:cs="Times New Roman"/>
          <w:sz w:val="24"/>
          <w:szCs w:val="24"/>
        </w:rPr>
        <w:t xml:space="preserve">(11), 6289. </w:t>
      </w:r>
      <w:hyperlink r:id="rId63" w:tgtFrame="_blank" w:history="1">
        <w:r w:rsidRPr="00177083">
          <w:rPr>
            <w:rFonts w:ascii="Times New Roman" w:eastAsia="Times New Roman" w:hAnsi="Times New Roman" w:cs="Times New Roman"/>
            <w:color w:val="0000FF"/>
            <w:sz w:val="24"/>
            <w:szCs w:val="24"/>
            <w:u w:val="single"/>
          </w:rPr>
          <w:t>https://doi.org/10.1039/d4gc01826e</w:t>
        </w:r>
      </w:hyperlink>
    </w:p>
    <w:p w:rsidR="00177083" w:rsidRPr="00177083" w:rsidRDefault="00177083" w:rsidP="00177083">
      <w:pPr>
        <w:shd w:val="clear" w:color="auto" w:fill="FFFFFF"/>
        <w:spacing w:before="100" w:beforeAutospacing="1" w:after="100" w:afterAutospacing="1" w:line="240" w:lineRule="auto"/>
        <w:ind w:left="720" w:hanging="720"/>
        <w:rPr>
          <w:rFonts w:ascii="Times New Roman" w:eastAsia="Times New Roman" w:hAnsi="Times New Roman" w:cs="Times New Roman"/>
          <w:color w:val="18181B"/>
          <w:sz w:val="24"/>
          <w:szCs w:val="24"/>
        </w:rPr>
      </w:pPr>
      <w:r w:rsidRPr="00177083">
        <w:rPr>
          <w:rFonts w:ascii="Times New Roman" w:eastAsia="Times New Roman" w:hAnsi="Times New Roman" w:cs="Times New Roman"/>
          <w:color w:val="18181B"/>
          <w:sz w:val="24"/>
          <w:szCs w:val="24"/>
        </w:rPr>
        <w:t>Sharma, U., &amp; Saroha, K. (2023). A Review of Hydrotropic Solubilization Techniques for Enhancing the Bioavailability of Poorly Soluble Drugs. </w:t>
      </w:r>
      <w:r w:rsidRPr="00177083">
        <w:rPr>
          <w:rFonts w:ascii="Times New Roman" w:eastAsia="Times New Roman" w:hAnsi="Times New Roman" w:cs="Times New Roman"/>
          <w:i/>
          <w:iCs/>
          <w:color w:val="18181B"/>
          <w:sz w:val="24"/>
          <w:szCs w:val="24"/>
        </w:rPr>
        <w:t>International Journal of Toxicology</w:t>
      </w:r>
      <w:r w:rsidRPr="00177083">
        <w:rPr>
          <w:rFonts w:ascii="Times New Roman" w:eastAsia="Times New Roman" w:hAnsi="Times New Roman" w:cs="Times New Roman"/>
          <w:color w:val="18181B"/>
          <w:sz w:val="24"/>
          <w:szCs w:val="24"/>
        </w:rPr>
        <w:t>, </w:t>
      </w:r>
      <w:r w:rsidRPr="00177083">
        <w:rPr>
          <w:rFonts w:ascii="Times New Roman" w:eastAsia="Times New Roman" w:hAnsi="Times New Roman" w:cs="Times New Roman"/>
          <w:i/>
          <w:iCs/>
          <w:color w:val="18181B"/>
          <w:sz w:val="24"/>
          <w:szCs w:val="24"/>
        </w:rPr>
        <w:t>43</w:t>
      </w:r>
      <w:r w:rsidRPr="00177083">
        <w:rPr>
          <w:rFonts w:ascii="Times New Roman" w:eastAsia="Times New Roman" w:hAnsi="Times New Roman" w:cs="Times New Roman"/>
          <w:color w:val="18181B"/>
          <w:sz w:val="24"/>
          <w:szCs w:val="24"/>
        </w:rPr>
        <w:t>(1), 63. </w:t>
      </w:r>
      <w:hyperlink r:id="rId64" w:tgtFrame="_blank" w:history="1">
        <w:r w:rsidRPr="00177083">
          <w:rPr>
            <w:rFonts w:ascii="Times New Roman" w:eastAsia="Times New Roman" w:hAnsi="Times New Roman" w:cs="Times New Roman"/>
            <w:color w:val="0000FF"/>
            <w:sz w:val="24"/>
            <w:szCs w:val="24"/>
            <w:u w:val="single"/>
          </w:rPr>
          <w:t>https://doi.org/10.1177/10915818231216414</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Shen, P., Zhang, C.-F., Hu, E., Gao, Y., Qian, S., Zhang, J., Wei, Y., &amp; Heng, W. (2023). A prediction system: Regulating effect of small-molecule additives on properties of amorphous solid dispersions prepared by hot-melt extrusion technology. </w:t>
      </w:r>
      <w:r w:rsidRPr="00177083">
        <w:rPr>
          <w:rFonts w:ascii="Times New Roman" w:eastAsia="Times New Roman" w:hAnsi="Times New Roman" w:cs="Times New Roman"/>
          <w:i/>
          <w:iCs/>
          <w:sz w:val="24"/>
          <w:szCs w:val="24"/>
        </w:rPr>
        <w:t>European Journal of Pharmaceutics and Biopharmaceutics</w:t>
      </w:r>
      <w:r w:rsidRPr="00177083">
        <w:rPr>
          <w:rFonts w:ascii="Times New Roman" w:eastAsia="Times New Roman" w:hAnsi="Times New Roman" w:cs="Times New Roman"/>
          <w:sz w:val="24"/>
          <w:szCs w:val="24"/>
        </w:rPr>
        <w:t xml:space="preserve">, </w:t>
      </w:r>
      <w:r w:rsidRPr="00177083">
        <w:rPr>
          <w:rFonts w:ascii="Times New Roman" w:eastAsia="Times New Roman" w:hAnsi="Times New Roman" w:cs="Times New Roman"/>
          <w:i/>
          <w:iCs/>
          <w:sz w:val="24"/>
          <w:szCs w:val="24"/>
        </w:rPr>
        <w:t>189</w:t>
      </w:r>
      <w:r w:rsidRPr="00177083">
        <w:rPr>
          <w:rFonts w:ascii="Times New Roman" w:eastAsia="Times New Roman" w:hAnsi="Times New Roman" w:cs="Times New Roman"/>
          <w:sz w:val="24"/>
          <w:szCs w:val="24"/>
        </w:rPr>
        <w:t xml:space="preserve">, 56. </w:t>
      </w:r>
      <w:hyperlink r:id="rId65" w:tgtFrame="_blank" w:history="1">
        <w:r w:rsidRPr="00177083">
          <w:rPr>
            <w:rFonts w:ascii="Times New Roman" w:eastAsia="Times New Roman" w:hAnsi="Times New Roman" w:cs="Times New Roman"/>
            <w:color w:val="0000FF"/>
            <w:sz w:val="24"/>
            <w:szCs w:val="24"/>
            <w:u w:val="single"/>
          </w:rPr>
          <w:t>https://doi.org/10.1016/j.ejpb.2023.06.001</w:t>
        </w:r>
      </w:hyperlink>
    </w:p>
    <w:p w:rsidR="00177083" w:rsidRPr="00177083" w:rsidRDefault="00177083" w:rsidP="00177083">
      <w:pPr>
        <w:shd w:val="clear" w:color="auto" w:fill="FFFFFF"/>
        <w:spacing w:before="100" w:beforeAutospacing="1" w:after="100" w:afterAutospacing="1" w:line="240" w:lineRule="auto"/>
        <w:ind w:left="720" w:hanging="720"/>
        <w:rPr>
          <w:rFonts w:ascii="Times New Roman" w:eastAsia="Times New Roman" w:hAnsi="Times New Roman" w:cs="Times New Roman"/>
          <w:color w:val="18181B"/>
          <w:sz w:val="24"/>
          <w:szCs w:val="24"/>
        </w:rPr>
      </w:pPr>
      <w:r w:rsidRPr="00177083">
        <w:rPr>
          <w:rFonts w:ascii="Times New Roman" w:eastAsia="Times New Roman" w:hAnsi="Times New Roman" w:cs="Times New Roman"/>
          <w:color w:val="18181B"/>
          <w:sz w:val="24"/>
          <w:szCs w:val="24"/>
        </w:rPr>
        <w:t>Shen, Y., Xiao, Y., Edkins, R. M., Youngs, T. G. A., Hughes, T.-L., Tellam, J. P., &amp; Edkins, K. (2023). Elucidating the hydrotropism behaviour of aqueous caffeine and sodium benzoate solution through NMR and neutron total scattering analysis. </w:t>
      </w:r>
      <w:r w:rsidRPr="00177083">
        <w:rPr>
          <w:rFonts w:ascii="Times New Roman" w:eastAsia="Times New Roman" w:hAnsi="Times New Roman" w:cs="Times New Roman"/>
          <w:i/>
          <w:iCs/>
          <w:color w:val="18181B"/>
          <w:sz w:val="24"/>
          <w:szCs w:val="24"/>
        </w:rPr>
        <w:t>International Journal of Pharmaceutics</w:t>
      </w:r>
      <w:r w:rsidRPr="00177083">
        <w:rPr>
          <w:rFonts w:ascii="Times New Roman" w:eastAsia="Times New Roman" w:hAnsi="Times New Roman" w:cs="Times New Roman"/>
          <w:color w:val="18181B"/>
          <w:sz w:val="24"/>
          <w:szCs w:val="24"/>
        </w:rPr>
        <w:t>, </w:t>
      </w:r>
      <w:r w:rsidRPr="00177083">
        <w:rPr>
          <w:rFonts w:ascii="Times New Roman" w:eastAsia="Times New Roman" w:hAnsi="Times New Roman" w:cs="Times New Roman"/>
          <w:i/>
          <w:iCs/>
          <w:color w:val="18181B"/>
          <w:sz w:val="24"/>
          <w:szCs w:val="24"/>
        </w:rPr>
        <w:t>647</w:t>
      </w:r>
      <w:r w:rsidRPr="00177083">
        <w:rPr>
          <w:rFonts w:ascii="Times New Roman" w:eastAsia="Times New Roman" w:hAnsi="Times New Roman" w:cs="Times New Roman"/>
          <w:color w:val="18181B"/>
          <w:sz w:val="24"/>
          <w:szCs w:val="24"/>
        </w:rPr>
        <w:t>, 123520. </w:t>
      </w:r>
      <w:hyperlink r:id="rId66" w:tgtFrame="_blank" w:history="1">
        <w:r w:rsidRPr="00177083">
          <w:rPr>
            <w:rFonts w:ascii="Times New Roman" w:eastAsia="Times New Roman" w:hAnsi="Times New Roman" w:cs="Times New Roman"/>
            <w:color w:val="0000FF"/>
            <w:sz w:val="24"/>
            <w:szCs w:val="24"/>
            <w:u w:val="single"/>
          </w:rPr>
          <w:t>https://doi.org/10.1016/j.ijpharm.2023.123520</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Shukla M, Rathore P, Jain A, Nayak </w:t>
      </w:r>
      <w:proofErr w:type="gramStart"/>
      <w:r w:rsidRPr="00177083">
        <w:rPr>
          <w:rFonts w:ascii="Times New Roman" w:eastAsia="Times New Roman" w:hAnsi="Times New Roman" w:cs="Times New Roman"/>
          <w:sz w:val="24"/>
          <w:szCs w:val="24"/>
        </w:rPr>
        <w:t>S.(</w:t>
      </w:r>
      <w:proofErr w:type="gramEnd"/>
      <w:r w:rsidRPr="00177083">
        <w:rPr>
          <w:rFonts w:ascii="Times New Roman" w:eastAsia="Times New Roman" w:hAnsi="Times New Roman" w:cs="Times New Roman"/>
          <w:sz w:val="24"/>
          <w:szCs w:val="24"/>
        </w:rPr>
        <w:t>2010), Enhanced solubility study of glipizide usingdifferent solubilization techniques. Int J Pharm Pharm Sci. 2(2):46-48. 32)</w:t>
      </w:r>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Singh, K., Singh, P. A., Frank, A., Arora, S., Sharma, R., &amp; Bajwa, N. (2023). Solubility, the Main Concern for Poorly Water-soluble Drugs: Techniques and Alternatives. </w:t>
      </w:r>
      <w:r w:rsidRPr="00177083">
        <w:rPr>
          <w:rFonts w:ascii="Times New Roman" w:eastAsia="Times New Roman" w:hAnsi="Times New Roman" w:cs="Times New Roman"/>
          <w:i/>
          <w:iCs/>
          <w:sz w:val="24"/>
          <w:szCs w:val="24"/>
        </w:rPr>
        <w:t>Letters in Drug Design &amp; Discovery</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21</w:t>
      </w:r>
      <w:r w:rsidRPr="00177083">
        <w:rPr>
          <w:rFonts w:ascii="Times New Roman" w:eastAsia="Times New Roman" w:hAnsi="Times New Roman" w:cs="Times New Roman"/>
          <w:sz w:val="24"/>
          <w:szCs w:val="24"/>
        </w:rPr>
        <w:t>(12), 2248. </w:t>
      </w:r>
      <w:hyperlink r:id="rId67" w:tgtFrame="_blank" w:history="1">
        <w:r w:rsidRPr="00177083">
          <w:rPr>
            <w:rFonts w:ascii="Times New Roman" w:eastAsia="Times New Roman" w:hAnsi="Times New Roman" w:cs="Times New Roman"/>
            <w:color w:val="0000FF"/>
            <w:sz w:val="24"/>
            <w:szCs w:val="24"/>
            <w:u w:val="single"/>
          </w:rPr>
          <w:t>https://doi.org/10.2174/1570180820666230807163632</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Souza, G. de A. L. e, Pietro, M. E. D., &amp; Mele, A. (2023). Eutectic solvents and low molecular weight gelators for next-generation supramolecular eutectogels: a sustainable chemistry perspective. </w:t>
      </w:r>
      <w:r w:rsidRPr="00177083">
        <w:rPr>
          <w:rFonts w:ascii="Times New Roman" w:eastAsia="Times New Roman" w:hAnsi="Times New Roman" w:cs="Times New Roman"/>
          <w:i/>
          <w:iCs/>
          <w:sz w:val="24"/>
          <w:szCs w:val="24"/>
        </w:rPr>
        <w:t>RSC Sustainability</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2</w:t>
      </w:r>
      <w:r w:rsidRPr="00177083">
        <w:rPr>
          <w:rFonts w:ascii="Times New Roman" w:eastAsia="Times New Roman" w:hAnsi="Times New Roman" w:cs="Times New Roman"/>
          <w:sz w:val="24"/>
          <w:szCs w:val="24"/>
        </w:rPr>
        <w:t>(2), 288. </w:t>
      </w:r>
      <w:hyperlink r:id="rId68" w:tgtFrame="_blank" w:history="1">
        <w:r w:rsidRPr="00177083">
          <w:rPr>
            <w:rFonts w:ascii="Times New Roman" w:eastAsia="Times New Roman" w:hAnsi="Times New Roman" w:cs="Times New Roman"/>
            <w:color w:val="0000FF"/>
            <w:sz w:val="24"/>
            <w:szCs w:val="24"/>
            <w:u w:val="single"/>
          </w:rPr>
          <w:t>https://doi.org/10.1039/d3su00264k</w:t>
        </w:r>
      </w:hyperlink>
    </w:p>
    <w:p w:rsidR="00177083" w:rsidRPr="00177083" w:rsidRDefault="00177083" w:rsidP="00177083">
      <w:pPr>
        <w:shd w:val="clear" w:color="auto" w:fill="FFFFFF"/>
        <w:spacing w:before="100" w:beforeAutospacing="1" w:after="100" w:afterAutospacing="1" w:line="240" w:lineRule="auto"/>
        <w:ind w:left="720" w:hanging="720"/>
        <w:rPr>
          <w:rFonts w:ascii="Times New Roman" w:eastAsia="Times New Roman" w:hAnsi="Times New Roman" w:cs="Times New Roman"/>
          <w:color w:val="18181B"/>
          <w:sz w:val="24"/>
          <w:szCs w:val="24"/>
        </w:rPr>
      </w:pPr>
      <w:r w:rsidRPr="00177083">
        <w:rPr>
          <w:rFonts w:ascii="Times New Roman" w:eastAsia="Times New Roman" w:hAnsi="Times New Roman" w:cs="Times New Roman"/>
          <w:color w:val="18181B"/>
          <w:sz w:val="24"/>
          <w:szCs w:val="24"/>
        </w:rPr>
        <w:t>Subramanian, D., &amp; Anisimov, M. A. (2013). Phase behavior and mesoscale solubilization in aqueous solutions of\n hydrotropes. </w:t>
      </w:r>
      <w:r w:rsidRPr="00177083">
        <w:rPr>
          <w:rFonts w:ascii="Times New Roman" w:eastAsia="Times New Roman" w:hAnsi="Times New Roman" w:cs="Times New Roman"/>
          <w:i/>
          <w:iCs/>
          <w:color w:val="18181B"/>
          <w:sz w:val="24"/>
          <w:szCs w:val="24"/>
        </w:rPr>
        <w:t>arXiv (Cornell University)</w:t>
      </w:r>
      <w:r w:rsidRPr="00177083">
        <w:rPr>
          <w:rFonts w:ascii="Times New Roman" w:eastAsia="Times New Roman" w:hAnsi="Times New Roman" w:cs="Times New Roman"/>
          <w:color w:val="18181B"/>
          <w:sz w:val="24"/>
          <w:szCs w:val="24"/>
        </w:rPr>
        <w:t>. </w:t>
      </w:r>
      <w:hyperlink r:id="rId69" w:tgtFrame="_blank" w:history="1">
        <w:r w:rsidRPr="00177083">
          <w:rPr>
            <w:rFonts w:ascii="Times New Roman" w:eastAsia="Times New Roman" w:hAnsi="Times New Roman" w:cs="Times New Roman"/>
            <w:color w:val="0000FF"/>
            <w:sz w:val="24"/>
            <w:szCs w:val="24"/>
            <w:u w:val="single"/>
          </w:rPr>
          <w:t>https://doi.org/10.48550/arxiv.1309.7255</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lastRenderedPageBreak/>
        <w:t>Tambe, S. K., Purva Katore, Madhavi Tirkhunde, Rutuja Thorat, Harshada Padwal*, Dr. Vrushali. (2025). A Review on Solubility Enhancement of Poorly Soluble Drugs by Using Hydrotrophic Agents. </w:t>
      </w:r>
      <w:r w:rsidRPr="00177083">
        <w:rPr>
          <w:rFonts w:ascii="Times New Roman" w:eastAsia="Times New Roman" w:hAnsi="Times New Roman" w:cs="Times New Roman"/>
          <w:i/>
          <w:iCs/>
          <w:sz w:val="24"/>
          <w:szCs w:val="24"/>
        </w:rPr>
        <w:t>Zenodo (CERN European Organization for Nuclear Research)</w:t>
      </w:r>
      <w:r w:rsidRPr="00177083">
        <w:rPr>
          <w:rFonts w:ascii="Times New Roman" w:eastAsia="Times New Roman" w:hAnsi="Times New Roman" w:cs="Times New Roman"/>
          <w:sz w:val="24"/>
          <w:szCs w:val="24"/>
        </w:rPr>
        <w:t>. </w:t>
      </w:r>
      <w:hyperlink r:id="rId70" w:tgtFrame="_blank" w:history="1">
        <w:r w:rsidRPr="00177083">
          <w:rPr>
            <w:rFonts w:ascii="Times New Roman" w:eastAsia="Times New Roman" w:hAnsi="Times New Roman" w:cs="Times New Roman"/>
            <w:color w:val="0000FF"/>
            <w:sz w:val="24"/>
            <w:szCs w:val="24"/>
            <w:u w:val="single"/>
          </w:rPr>
          <w:t>https://doi.org/10.5281/zenodo.15099654</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Tanga, S., Ramburrun, P., &amp; Aucamp, M. (2025). From Liquid SNEDDS to Solid SNEDDS: A Comprehensive Review of Their Development and Pharmaceutical Applications [Review of </w:t>
      </w:r>
      <w:r w:rsidRPr="00177083">
        <w:rPr>
          <w:rFonts w:ascii="Times New Roman" w:eastAsia="Times New Roman" w:hAnsi="Times New Roman" w:cs="Times New Roman"/>
          <w:i/>
          <w:iCs/>
          <w:sz w:val="24"/>
          <w:szCs w:val="24"/>
        </w:rPr>
        <w:t>From Liquid SNEDDS to Solid SNEDDS: A Comprehensive Review of Their Development and Pharmaceutical Applications</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The AAPS Journal</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28</w:t>
      </w:r>
      <w:r w:rsidRPr="00177083">
        <w:rPr>
          <w:rFonts w:ascii="Times New Roman" w:eastAsia="Times New Roman" w:hAnsi="Times New Roman" w:cs="Times New Roman"/>
          <w:sz w:val="24"/>
          <w:szCs w:val="24"/>
        </w:rPr>
        <w:t>(1). Springer Science+Business Media. </w:t>
      </w:r>
      <w:hyperlink r:id="rId71" w:tgtFrame="_blank" w:history="1">
        <w:r w:rsidRPr="00177083">
          <w:rPr>
            <w:rFonts w:ascii="Times New Roman" w:eastAsia="Times New Roman" w:hAnsi="Times New Roman" w:cs="Times New Roman"/>
            <w:color w:val="0000FF"/>
            <w:sz w:val="24"/>
            <w:szCs w:val="24"/>
            <w:u w:val="single"/>
          </w:rPr>
          <w:t>https://doi.org/10.1208/s12248-025-01167-x</w:t>
        </w:r>
      </w:hyperlink>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Thenesh SK, Gandhi N. (2012), Aassociation model of hydrotropy for the effect of hydrotropes on solubility and mass transfer coefficient of acetylsalicylic acid. Int J Pharm Pharma 4(3):600-605. 40) </w:t>
      </w:r>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Tiwari BK, Gupta V, Jain A, Pandey A.(2011), Enhancement of solubility of aceclofenac by using different solubilization technique. Int. J. of Pharm. and Life Sci. 2(3): 620-624. 30)</w:t>
      </w:r>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 xml:space="preserve">Ugodi W Gerald, Mbah J Chika, Nwodo J Ngozi, Ozochi A Oluchi, Momoh Nafisa (2024). Utilization of Hydrotropes on Solubilization of Tenoxicam in Aqueous Solution. </w:t>
      </w:r>
      <w:r w:rsidRPr="00177083">
        <w:rPr>
          <w:rFonts w:ascii="Times New Roman" w:eastAsia="Times New Roman" w:hAnsi="Times New Roman" w:cs="Times New Roman"/>
          <w:i/>
          <w:iCs/>
          <w:sz w:val="24"/>
          <w:szCs w:val="24"/>
        </w:rPr>
        <w:t>Asian Journal of Chemical Sciences</w:t>
      </w:r>
      <w:r w:rsidRPr="00177083">
        <w:rPr>
          <w:rFonts w:ascii="Times New Roman" w:eastAsia="Times New Roman" w:hAnsi="Times New Roman" w:cs="Times New Roman"/>
          <w:sz w:val="24"/>
          <w:szCs w:val="24"/>
        </w:rPr>
        <w:t xml:space="preserve">, 14 (6), pp.98-105. DOI : </w:t>
      </w:r>
      <w:hyperlink r:id="rId72" w:tgtFrame="_blank" w:history="1">
        <w:r w:rsidRPr="00177083">
          <w:rPr>
            <w:rFonts w:ascii="Times New Roman" w:eastAsia="Times New Roman" w:hAnsi="Times New Roman" w:cs="Times New Roman"/>
            <w:color w:val="0000FF"/>
            <w:sz w:val="24"/>
            <w:szCs w:val="24"/>
            <w:u w:val="single"/>
          </w:rPr>
          <w:t xml:space="preserve">10.9734/ajocs/2024/v14i6337 </w:t>
        </w:r>
      </w:hyperlink>
      <w:hyperlink r:id="rId73" w:tgtFrame="_blank" w:history="1">
        <w:r w:rsidRPr="00177083">
          <w:rPr>
            <w:rFonts w:ascii="Cambria Math" w:eastAsia="Times New Roman" w:hAnsi="Cambria Math" w:cs="Cambria Math"/>
            <w:color w:val="0000FF"/>
            <w:sz w:val="24"/>
            <w:szCs w:val="24"/>
            <w:u w:val="single"/>
          </w:rPr>
          <w:t>⟨</w:t>
        </w:r>
        <w:r w:rsidRPr="00177083">
          <w:rPr>
            <w:rFonts w:ascii="Times New Roman" w:eastAsia="Times New Roman" w:hAnsi="Times New Roman" w:cs="Times New Roman"/>
            <w:color w:val="0000FF"/>
            <w:sz w:val="24"/>
            <w:szCs w:val="24"/>
            <w:u w:val="single"/>
          </w:rPr>
          <w:t>10.9734/ajocs/2024/v14i6337</w:t>
        </w:r>
        <w:r w:rsidRPr="00177083">
          <w:rPr>
            <w:rFonts w:ascii="Cambria Math" w:eastAsia="Times New Roman" w:hAnsi="Cambria Math" w:cs="Cambria Math"/>
            <w:color w:val="0000FF"/>
            <w:sz w:val="24"/>
            <w:szCs w:val="24"/>
            <w:u w:val="single"/>
          </w:rPr>
          <w:t>⟩</w:t>
        </w:r>
      </w:hyperlink>
      <w:r w:rsidRPr="00177083">
        <w:rPr>
          <w:rFonts w:ascii="Times New Roman" w:eastAsia="Times New Roman" w:hAnsi="Times New Roman" w:cs="Times New Roman"/>
          <w:sz w:val="24"/>
          <w:szCs w:val="24"/>
        </w:rPr>
        <w:t>.</w:t>
      </w:r>
    </w:p>
    <w:p w:rsidR="00AF3C1D" w:rsidRPr="00177083" w:rsidRDefault="00AF3C1D" w:rsidP="00177083">
      <w:pPr>
        <w:spacing w:before="100" w:beforeAutospacing="1" w:after="100" w:afterAutospacing="1" w:line="240" w:lineRule="auto"/>
        <w:ind w:left="720" w:hanging="720"/>
        <w:rPr>
          <w:rFonts w:ascii="Times New Roman" w:eastAsia="Times New Roman" w:hAnsi="Times New Roman" w:cs="Times New Roman"/>
          <w:sz w:val="24"/>
          <w:szCs w:val="24"/>
        </w:rPr>
      </w:pPr>
      <w:r w:rsidRPr="00177083">
        <w:rPr>
          <w:rFonts w:ascii="Times New Roman" w:eastAsia="Times New Roman" w:hAnsi="Times New Roman" w:cs="Times New Roman"/>
          <w:sz w:val="24"/>
          <w:szCs w:val="24"/>
        </w:rPr>
        <w:t>Xie, B., Liu, Y., Li, X., Yang, P., &amp; He, W. (2024). Solubilization techniques used for poorly water-soluble drugs [Review of </w:t>
      </w:r>
      <w:r w:rsidRPr="00177083">
        <w:rPr>
          <w:rFonts w:ascii="Times New Roman" w:eastAsia="Times New Roman" w:hAnsi="Times New Roman" w:cs="Times New Roman"/>
          <w:i/>
          <w:iCs/>
          <w:sz w:val="24"/>
          <w:szCs w:val="24"/>
        </w:rPr>
        <w:t>Solubilization techniques used for poorly water-soluble drugs</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Acta Pharmaceutica Sinica B</w:t>
      </w:r>
      <w:r w:rsidRPr="00177083">
        <w:rPr>
          <w:rFonts w:ascii="Times New Roman" w:eastAsia="Times New Roman" w:hAnsi="Times New Roman" w:cs="Times New Roman"/>
          <w:sz w:val="24"/>
          <w:szCs w:val="24"/>
        </w:rPr>
        <w:t>, </w:t>
      </w:r>
      <w:r w:rsidRPr="00177083">
        <w:rPr>
          <w:rFonts w:ascii="Times New Roman" w:eastAsia="Times New Roman" w:hAnsi="Times New Roman" w:cs="Times New Roman"/>
          <w:i/>
          <w:iCs/>
          <w:sz w:val="24"/>
          <w:szCs w:val="24"/>
        </w:rPr>
        <w:t>14</w:t>
      </w:r>
      <w:r w:rsidRPr="00177083">
        <w:rPr>
          <w:rFonts w:ascii="Times New Roman" w:eastAsia="Times New Roman" w:hAnsi="Times New Roman" w:cs="Times New Roman"/>
          <w:sz w:val="24"/>
          <w:szCs w:val="24"/>
        </w:rPr>
        <w:t>(11), 4683. Elsevier BV. </w:t>
      </w:r>
      <w:hyperlink r:id="rId74" w:tgtFrame="_blank" w:history="1">
        <w:r w:rsidRPr="00177083">
          <w:rPr>
            <w:rFonts w:ascii="Times New Roman" w:eastAsia="Times New Roman" w:hAnsi="Times New Roman" w:cs="Times New Roman"/>
            <w:color w:val="0000FF"/>
            <w:sz w:val="24"/>
            <w:szCs w:val="24"/>
            <w:u w:val="single"/>
          </w:rPr>
          <w:t>https://doi.org/10.1016/j.apsb.2024.08.027</w:t>
        </w:r>
      </w:hyperlink>
    </w:p>
    <w:p w:rsidR="00485019" w:rsidRPr="00177083" w:rsidRDefault="00485019" w:rsidP="00177083">
      <w:pPr>
        <w:spacing w:line="240" w:lineRule="auto"/>
        <w:ind w:left="720" w:hanging="720"/>
        <w:rPr>
          <w:rFonts w:ascii="Times New Roman" w:hAnsi="Times New Roman" w:cs="Times New Roman"/>
          <w:sz w:val="24"/>
          <w:szCs w:val="24"/>
        </w:rPr>
      </w:pPr>
    </w:p>
    <w:p w:rsidR="00AF3C1D" w:rsidRPr="00177083" w:rsidRDefault="00AF3C1D" w:rsidP="00177083">
      <w:pPr>
        <w:spacing w:line="240" w:lineRule="auto"/>
        <w:ind w:left="720" w:hanging="720"/>
        <w:rPr>
          <w:rFonts w:ascii="Times New Roman" w:hAnsi="Times New Roman" w:cs="Times New Roman"/>
          <w:sz w:val="24"/>
          <w:szCs w:val="24"/>
        </w:rPr>
      </w:pPr>
    </w:p>
    <w:p w:rsidR="00AF3C1D" w:rsidRPr="00177083" w:rsidRDefault="00AF3C1D" w:rsidP="00177083">
      <w:pPr>
        <w:shd w:val="clear" w:color="auto" w:fill="FFFFFF"/>
        <w:spacing w:before="100" w:beforeAutospacing="1" w:after="100" w:afterAutospacing="1" w:line="240" w:lineRule="auto"/>
        <w:ind w:left="720" w:hanging="720"/>
        <w:rPr>
          <w:rFonts w:ascii="Times New Roman" w:eastAsia="Times New Roman" w:hAnsi="Times New Roman" w:cs="Times New Roman"/>
          <w:color w:val="18181B"/>
          <w:sz w:val="24"/>
          <w:szCs w:val="24"/>
        </w:rPr>
      </w:pPr>
    </w:p>
    <w:p w:rsidR="00CA5D62" w:rsidRPr="00177083" w:rsidRDefault="00CA5D62" w:rsidP="00177083">
      <w:pPr>
        <w:shd w:val="clear" w:color="auto" w:fill="FFFFFF"/>
        <w:spacing w:before="100" w:beforeAutospacing="1" w:after="100" w:afterAutospacing="1" w:line="240" w:lineRule="auto"/>
        <w:ind w:left="720" w:hanging="720"/>
        <w:rPr>
          <w:rFonts w:ascii="Times New Roman" w:eastAsia="Times New Roman" w:hAnsi="Times New Roman" w:cs="Times New Roman"/>
          <w:color w:val="18181B"/>
          <w:sz w:val="24"/>
          <w:szCs w:val="24"/>
        </w:rPr>
      </w:pPr>
    </w:p>
    <w:p w:rsidR="00CA5D62" w:rsidRPr="00177083" w:rsidRDefault="00CA5D62" w:rsidP="00177083">
      <w:pPr>
        <w:shd w:val="clear" w:color="auto" w:fill="FFFFFF"/>
        <w:spacing w:before="100" w:beforeAutospacing="1" w:after="100" w:afterAutospacing="1" w:line="240" w:lineRule="auto"/>
        <w:ind w:left="720" w:hanging="720"/>
        <w:rPr>
          <w:rFonts w:ascii="Times New Roman" w:eastAsia="Times New Roman" w:hAnsi="Times New Roman" w:cs="Times New Roman"/>
          <w:color w:val="18181B"/>
          <w:sz w:val="24"/>
          <w:szCs w:val="24"/>
        </w:rPr>
      </w:pPr>
    </w:p>
    <w:p w:rsidR="00AF3C1D" w:rsidRDefault="00AF3C1D" w:rsidP="00177083">
      <w:pPr>
        <w:tabs>
          <w:tab w:val="left" w:pos="7110"/>
        </w:tabs>
        <w:spacing w:line="240" w:lineRule="auto"/>
        <w:ind w:left="720" w:hanging="720"/>
      </w:pPr>
      <w:r w:rsidRPr="00177083">
        <w:rPr>
          <w:rFonts w:ascii="Times New Roman" w:hAnsi="Times New Roman" w:cs="Times New Roman"/>
          <w:sz w:val="24"/>
          <w:szCs w:val="24"/>
        </w:rPr>
        <w:tab/>
      </w:r>
    </w:p>
    <w:sectPr w:rsidR="00AF3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D485C"/>
    <w:multiLevelType w:val="multilevel"/>
    <w:tmpl w:val="7F3EC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BF5169"/>
    <w:multiLevelType w:val="multilevel"/>
    <w:tmpl w:val="F1BA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93673"/>
    <w:multiLevelType w:val="multilevel"/>
    <w:tmpl w:val="5422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C46CCC"/>
    <w:multiLevelType w:val="multilevel"/>
    <w:tmpl w:val="4432A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DB387E"/>
    <w:multiLevelType w:val="multilevel"/>
    <w:tmpl w:val="FD1E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3MjA0MjEyMjUwNjNV0lEKTi0uzszPAykwrAUAHVnSZywAAAA="/>
  </w:docVars>
  <w:rsids>
    <w:rsidRoot w:val="00AF3C1D"/>
    <w:rsid w:val="00041E50"/>
    <w:rsid w:val="00177083"/>
    <w:rsid w:val="004552C3"/>
    <w:rsid w:val="00485019"/>
    <w:rsid w:val="005C0710"/>
    <w:rsid w:val="00AF3C1D"/>
    <w:rsid w:val="00B52B91"/>
    <w:rsid w:val="00CA5D62"/>
    <w:rsid w:val="00E823AB"/>
    <w:rsid w:val="00E8306A"/>
    <w:rsid w:val="00FD3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05F6B"/>
  <w15:docId w15:val="{F2E36242-0CF7-43CA-A072-4D5DCD81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F3C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F3C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177083"/>
    <w:pPr>
      <w:keepNext/>
      <w:spacing w:before="100" w:beforeAutospacing="1" w:after="100" w:afterAutospacing="1" w:line="240" w:lineRule="auto"/>
      <w:jc w:val="center"/>
      <w:outlineLvl w:val="2"/>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C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F3C1D"/>
    <w:rPr>
      <w:rFonts w:ascii="Times New Roman" w:eastAsia="Times New Roman" w:hAnsi="Times New Roman" w:cs="Times New Roman"/>
      <w:b/>
      <w:bCs/>
      <w:sz w:val="36"/>
      <w:szCs w:val="36"/>
    </w:rPr>
  </w:style>
  <w:style w:type="paragraph" w:styleId="NormalWeb">
    <w:name w:val="Normal (Web)"/>
    <w:basedOn w:val="Normal"/>
    <w:uiPriority w:val="99"/>
    <w:unhideWhenUsed/>
    <w:rsid w:val="00AF3C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3C1D"/>
    <w:rPr>
      <w:b/>
      <w:bCs/>
    </w:rPr>
  </w:style>
  <w:style w:type="character" w:styleId="Emphasis">
    <w:name w:val="Emphasis"/>
    <w:basedOn w:val="DefaultParagraphFont"/>
    <w:uiPriority w:val="20"/>
    <w:qFormat/>
    <w:rsid w:val="00AF3C1D"/>
    <w:rPr>
      <w:i/>
      <w:iCs/>
    </w:rPr>
  </w:style>
  <w:style w:type="character" w:styleId="Hyperlink">
    <w:name w:val="Hyperlink"/>
    <w:basedOn w:val="DefaultParagraphFont"/>
    <w:uiPriority w:val="99"/>
    <w:semiHidden/>
    <w:unhideWhenUsed/>
    <w:rsid w:val="00AF3C1D"/>
    <w:rPr>
      <w:color w:val="0000FF"/>
      <w:u w:val="single"/>
    </w:rPr>
  </w:style>
  <w:style w:type="character" w:customStyle="1" w:styleId="Heading3Char">
    <w:name w:val="Heading 3 Char"/>
    <w:basedOn w:val="DefaultParagraphFont"/>
    <w:link w:val="Heading3"/>
    <w:uiPriority w:val="9"/>
    <w:rsid w:val="00177083"/>
    <w:rPr>
      <w:rFonts w:ascii="Times New Roman" w:eastAsia="Times New Roman" w:hAnsi="Times New Roman" w:cs="Times New Roman"/>
      <w:b/>
      <w:sz w:val="24"/>
      <w:szCs w:val="24"/>
    </w:rPr>
  </w:style>
  <w:style w:type="paragraph" w:styleId="BalloonText">
    <w:name w:val="Balloon Text"/>
    <w:basedOn w:val="Normal"/>
    <w:link w:val="BalloonTextChar"/>
    <w:uiPriority w:val="99"/>
    <w:semiHidden/>
    <w:unhideWhenUsed/>
    <w:rsid w:val="00B52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B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371266">
      <w:bodyDiv w:val="1"/>
      <w:marLeft w:val="0"/>
      <w:marRight w:val="0"/>
      <w:marTop w:val="0"/>
      <w:marBottom w:val="0"/>
      <w:divBdr>
        <w:top w:val="none" w:sz="0" w:space="0" w:color="auto"/>
        <w:left w:val="none" w:sz="0" w:space="0" w:color="auto"/>
        <w:bottom w:val="none" w:sz="0" w:space="0" w:color="auto"/>
        <w:right w:val="none" w:sz="0" w:space="0" w:color="auto"/>
      </w:divBdr>
      <w:divsChild>
        <w:div w:id="1679574021">
          <w:marLeft w:val="0"/>
          <w:marRight w:val="0"/>
          <w:marTop w:val="0"/>
          <w:marBottom w:val="0"/>
          <w:divBdr>
            <w:top w:val="none" w:sz="0" w:space="0" w:color="auto"/>
            <w:left w:val="none" w:sz="0" w:space="0" w:color="auto"/>
            <w:bottom w:val="none" w:sz="0" w:space="0" w:color="auto"/>
            <w:right w:val="none" w:sz="0" w:space="0" w:color="auto"/>
          </w:divBdr>
          <w:divsChild>
            <w:div w:id="1887133865">
              <w:marLeft w:val="0"/>
              <w:marRight w:val="0"/>
              <w:marTop w:val="0"/>
              <w:marBottom w:val="0"/>
              <w:divBdr>
                <w:top w:val="none" w:sz="0" w:space="0" w:color="auto"/>
                <w:left w:val="none" w:sz="0" w:space="0" w:color="auto"/>
                <w:bottom w:val="none" w:sz="0" w:space="0" w:color="auto"/>
                <w:right w:val="none" w:sz="0" w:space="0" w:color="auto"/>
              </w:divBdr>
              <w:divsChild>
                <w:div w:id="1532650554">
                  <w:marLeft w:val="0"/>
                  <w:marRight w:val="0"/>
                  <w:marTop w:val="0"/>
                  <w:marBottom w:val="0"/>
                  <w:divBdr>
                    <w:top w:val="none" w:sz="0" w:space="0" w:color="auto"/>
                    <w:left w:val="none" w:sz="0" w:space="0" w:color="auto"/>
                    <w:bottom w:val="none" w:sz="0" w:space="0" w:color="auto"/>
                    <w:right w:val="none" w:sz="0" w:space="0" w:color="auto"/>
                  </w:divBdr>
                  <w:divsChild>
                    <w:div w:id="112748070">
                      <w:marLeft w:val="0"/>
                      <w:marRight w:val="0"/>
                      <w:marTop w:val="0"/>
                      <w:marBottom w:val="0"/>
                      <w:divBdr>
                        <w:top w:val="none" w:sz="0" w:space="0" w:color="auto"/>
                        <w:left w:val="none" w:sz="0" w:space="0" w:color="auto"/>
                        <w:bottom w:val="none" w:sz="0" w:space="0" w:color="auto"/>
                        <w:right w:val="none" w:sz="0" w:space="0" w:color="auto"/>
                      </w:divBdr>
                    </w:div>
                  </w:divsChild>
                </w:div>
                <w:div w:id="1103112201">
                  <w:marLeft w:val="0"/>
                  <w:marRight w:val="0"/>
                  <w:marTop w:val="0"/>
                  <w:marBottom w:val="0"/>
                  <w:divBdr>
                    <w:top w:val="none" w:sz="0" w:space="0" w:color="auto"/>
                    <w:left w:val="none" w:sz="0" w:space="0" w:color="auto"/>
                    <w:bottom w:val="none" w:sz="0" w:space="0" w:color="auto"/>
                    <w:right w:val="none" w:sz="0" w:space="0" w:color="auto"/>
                  </w:divBdr>
                  <w:divsChild>
                    <w:div w:id="552038763">
                      <w:marLeft w:val="0"/>
                      <w:marRight w:val="0"/>
                      <w:marTop w:val="0"/>
                      <w:marBottom w:val="0"/>
                      <w:divBdr>
                        <w:top w:val="none" w:sz="0" w:space="0" w:color="auto"/>
                        <w:left w:val="none" w:sz="0" w:space="0" w:color="auto"/>
                        <w:bottom w:val="none" w:sz="0" w:space="0" w:color="auto"/>
                        <w:right w:val="none" w:sz="0" w:space="0" w:color="auto"/>
                      </w:divBdr>
                    </w:div>
                  </w:divsChild>
                </w:div>
                <w:div w:id="54202118">
                  <w:marLeft w:val="0"/>
                  <w:marRight w:val="0"/>
                  <w:marTop w:val="0"/>
                  <w:marBottom w:val="0"/>
                  <w:divBdr>
                    <w:top w:val="none" w:sz="0" w:space="0" w:color="auto"/>
                    <w:left w:val="none" w:sz="0" w:space="0" w:color="auto"/>
                    <w:bottom w:val="none" w:sz="0" w:space="0" w:color="auto"/>
                    <w:right w:val="none" w:sz="0" w:space="0" w:color="auto"/>
                  </w:divBdr>
                  <w:divsChild>
                    <w:div w:id="2085638220">
                      <w:marLeft w:val="0"/>
                      <w:marRight w:val="0"/>
                      <w:marTop w:val="0"/>
                      <w:marBottom w:val="0"/>
                      <w:divBdr>
                        <w:top w:val="none" w:sz="0" w:space="0" w:color="auto"/>
                        <w:left w:val="none" w:sz="0" w:space="0" w:color="auto"/>
                        <w:bottom w:val="none" w:sz="0" w:space="0" w:color="auto"/>
                        <w:right w:val="none" w:sz="0" w:space="0" w:color="auto"/>
                      </w:divBdr>
                    </w:div>
                  </w:divsChild>
                </w:div>
                <w:div w:id="1123038962">
                  <w:marLeft w:val="0"/>
                  <w:marRight w:val="0"/>
                  <w:marTop w:val="0"/>
                  <w:marBottom w:val="0"/>
                  <w:divBdr>
                    <w:top w:val="none" w:sz="0" w:space="0" w:color="auto"/>
                    <w:left w:val="none" w:sz="0" w:space="0" w:color="auto"/>
                    <w:bottom w:val="none" w:sz="0" w:space="0" w:color="auto"/>
                    <w:right w:val="none" w:sz="0" w:space="0" w:color="auto"/>
                  </w:divBdr>
                  <w:divsChild>
                    <w:div w:id="1870141757">
                      <w:marLeft w:val="0"/>
                      <w:marRight w:val="0"/>
                      <w:marTop w:val="0"/>
                      <w:marBottom w:val="0"/>
                      <w:divBdr>
                        <w:top w:val="none" w:sz="0" w:space="0" w:color="auto"/>
                        <w:left w:val="none" w:sz="0" w:space="0" w:color="auto"/>
                        <w:bottom w:val="none" w:sz="0" w:space="0" w:color="auto"/>
                        <w:right w:val="none" w:sz="0" w:space="0" w:color="auto"/>
                      </w:divBdr>
                    </w:div>
                  </w:divsChild>
                </w:div>
                <w:div w:id="873886930">
                  <w:marLeft w:val="0"/>
                  <w:marRight w:val="0"/>
                  <w:marTop w:val="0"/>
                  <w:marBottom w:val="0"/>
                  <w:divBdr>
                    <w:top w:val="none" w:sz="0" w:space="0" w:color="auto"/>
                    <w:left w:val="none" w:sz="0" w:space="0" w:color="auto"/>
                    <w:bottom w:val="none" w:sz="0" w:space="0" w:color="auto"/>
                    <w:right w:val="none" w:sz="0" w:space="0" w:color="auto"/>
                  </w:divBdr>
                  <w:divsChild>
                    <w:div w:id="1963144958">
                      <w:marLeft w:val="0"/>
                      <w:marRight w:val="0"/>
                      <w:marTop w:val="0"/>
                      <w:marBottom w:val="0"/>
                      <w:divBdr>
                        <w:top w:val="none" w:sz="0" w:space="0" w:color="auto"/>
                        <w:left w:val="none" w:sz="0" w:space="0" w:color="auto"/>
                        <w:bottom w:val="none" w:sz="0" w:space="0" w:color="auto"/>
                        <w:right w:val="none" w:sz="0" w:space="0" w:color="auto"/>
                      </w:divBdr>
                    </w:div>
                  </w:divsChild>
                </w:div>
                <w:div w:id="766930006">
                  <w:marLeft w:val="0"/>
                  <w:marRight w:val="0"/>
                  <w:marTop w:val="0"/>
                  <w:marBottom w:val="0"/>
                  <w:divBdr>
                    <w:top w:val="none" w:sz="0" w:space="0" w:color="auto"/>
                    <w:left w:val="none" w:sz="0" w:space="0" w:color="auto"/>
                    <w:bottom w:val="none" w:sz="0" w:space="0" w:color="auto"/>
                    <w:right w:val="none" w:sz="0" w:space="0" w:color="auto"/>
                  </w:divBdr>
                  <w:divsChild>
                    <w:div w:id="1069881907">
                      <w:marLeft w:val="0"/>
                      <w:marRight w:val="0"/>
                      <w:marTop w:val="0"/>
                      <w:marBottom w:val="0"/>
                      <w:divBdr>
                        <w:top w:val="none" w:sz="0" w:space="0" w:color="auto"/>
                        <w:left w:val="none" w:sz="0" w:space="0" w:color="auto"/>
                        <w:bottom w:val="none" w:sz="0" w:space="0" w:color="auto"/>
                        <w:right w:val="none" w:sz="0" w:space="0" w:color="auto"/>
                      </w:divBdr>
                    </w:div>
                  </w:divsChild>
                </w:div>
                <w:div w:id="623973565">
                  <w:marLeft w:val="0"/>
                  <w:marRight w:val="0"/>
                  <w:marTop w:val="0"/>
                  <w:marBottom w:val="0"/>
                  <w:divBdr>
                    <w:top w:val="none" w:sz="0" w:space="0" w:color="auto"/>
                    <w:left w:val="none" w:sz="0" w:space="0" w:color="auto"/>
                    <w:bottom w:val="none" w:sz="0" w:space="0" w:color="auto"/>
                    <w:right w:val="none" w:sz="0" w:space="0" w:color="auto"/>
                  </w:divBdr>
                  <w:divsChild>
                    <w:div w:id="1117093271">
                      <w:marLeft w:val="0"/>
                      <w:marRight w:val="0"/>
                      <w:marTop w:val="0"/>
                      <w:marBottom w:val="0"/>
                      <w:divBdr>
                        <w:top w:val="none" w:sz="0" w:space="0" w:color="auto"/>
                        <w:left w:val="none" w:sz="0" w:space="0" w:color="auto"/>
                        <w:bottom w:val="none" w:sz="0" w:space="0" w:color="auto"/>
                        <w:right w:val="none" w:sz="0" w:space="0" w:color="auto"/>
                      </w:divBdr>
                    </w:div>
                  </w:divsChild>
                </w:div>
                <w:div w:id="2015301479">
                  <w:marLeft w:val="0"/>
                  <w:marRight w:val="0"/>
                  <w:marTop w:val="0"/>
                  <w:marBottom w:val="0"/>
                  <w:divBdr>
                    <w:top w:val="none" w:sz="0" w:space="0" w:color="auto"/>
                    <w:left w:val="none" w:sz="0" w:space="0" w:color="auto"/>
                    <w:bottom w:val="none" w:sz="0" w:space="0" w:color="auto"/>
                    <w:right w:val="none" w:sz="0" w:space="0" w:color="auto"/>
                  </w:divBdr>
                  <w:divsChild>
                    <w:div w:id="860238124">
                      <w:marLeft w:val="0"/>
                      <w:marRight w:val="0"/>
                      <w:marTop w:val="0"/>
                      <w:marBottom w:val="0"/>
                      <w:divBdr>
                        <w:top w:val="none" w:sz="0" w:space="0" w:color="auto"/>
                        <w:left w:val="none" w:sz="0" w:space="0" w:color="auto"/>
                        <w:bottom w:val="none" w:sz="0" w:space="0" w:color="auto"/>
                        <w:right w:val="none" w:sz="0" w:space="0" w:color="auto"/>
                      </w:divBdr>
                    </w:div>
                  </w:divsChild>
                </w:div>
                <w:div w:id="777679647">
                  <w:marLeft w:val="0"/>
                  <w:marRight w:val="0"/>
                  <w:marTop w:val="0"/>
                  <w:marBottom w:val="0"/>
                  <w:divBdr>
                    <w:top w:val="none" w:sz="0" w:space="0" w:color="auto"/>
                    <w:left w:val="none" w:sz="0" w:space="0" w:color="auto"/>
                    <w:bottom w:val="none" w:sz="0" w:space="0" w:color="auto"/>
                    <w:right w:val="none" w:sz="0" w:space="0" w:color="auto"/>
                  </w:divBdr>
                  <w:divsChild>
                    <w:div w:id="1542404748">
                      <w:marLeft w:val="0"/>
                      <w:marRight w:val="0"/>
                      <w:marTop w:val="0"/>
                      <w:marBottom w:val="0"/>
                      <w:divBdr>
                        <w:top w:val="none" w:sz="0" w:space="0" w:color="auto"/>
                        <w:left w:val="none" w:sz="0" w:space="0" w:color="auto"/>
                        <w:bottom w:val="none" w:sz="0" w:space="0" w:color="auto"/>
                        <w:right w:val="none" w:sz="0" w:space="0" w:color="auto"/>
                      </w:divBdr>
                    </w:div>
                  </w:divsChild>
                </w:div>
                <w:div w:id="2069179581">
                  <w:marLeft w:val="0"/>
                  <w:marRight w:val="0"/>
                  <w:marTop w:val="0"/>
                  <w:marBottom w:val="0"/>
                  <w:divBdr>
                    <w:top w:val="none" w:sz="0" w:space="0" w:color="auto"/>
                    <w:left w:val="none" w:sz="0" w:space="0" w:color="auto"/>
                    <w:bottom w:val="none" w:sz="0" w:space="0" w:color="auto"/>
                    <w:right w:val="none" w:sz="0" w:space="0" w:color="auto"/>
                  </w:divBdr>
                  <w:divsChild>
                    <w:div w:id="293221656">
                      <w:marLeft w:val="0"/>
                      <w:marRight w:val="0"/>
                      <w:marTop w:val="0"/>
                      <w:marBottom w:val="0"/>
                      <w:divBdr>
                        <w:top w:val="none" w:sz="0" w:space="0" w:color="auto"/>
                        <w:left w:val="none" w:sz="0" w:space="0" w:color="auto"/>
                        <w:bottom w:val="none" w:sz="0" w:space="0" w:color="auto"/>
                        <w:right w:val="none" w:sz="0" w:space="0" w:color="auto"/>
                      </w:divBdr>
                    </w:div>
                  </w:divsChild>
                </w:div>
                <w:div w:id="2080707904">
                  <w:marLeft w:val="0"/>
                  <w:marRight w:val="0"/>
                  <w:marTop w:val="0"/>
                  <w:marBottom w:val="0"/>
                  <w:divBdr>
                    <w:top w:val="none" w:sz="0" w:space="0" w:color="auto"/>
                    <w:left w:val="none" w:sz="0" w:space="0" w:color="auto"/>
                    <w:bottom w:val="none" w:sz="0" w:space="0" w:color="auto"/>
                    <w:right w:val="none" w:sz="0" w:space="0" w:color="auto"/>
                  </w:divBdr>
                  <w:divsChild>
                    <w:div w:id="1525553374">
                      <w:marLeft w:val="0"/>
                      <w:marRight w:val="0"/>
                      <w:marTop w:val="0"/>
                      <w:marBottom w:val="0"/>
                      <w:divBdr>
                        <w:top w:val="none" w:sz="0" w:space="0" w:color="auto"/>
                        <w:left w:val="none" w:sz="0" w:space="0" w:color="auto"/>
                        <w:bottom w:val="none" w:sz="0" w:space="0" w:color="auto"/>
                        <w:right w:val="none" w:sz="0" w:space="0" w:color="auto"/>
                      </w:divBdr>
                    </w:div>
                  </w:divsChild>
                </w:div>
                <w:div w:id="2133403242">
                  <w:marLeft w:val="0"/>
                  <w:marRight w:val="0"/>
                  <w:marTop w:val="0"/>
                  <w:marBottom w:val="0"/>
                  <w:divBdr>
                    <w:top w:val="none" w:sz="0" w:space="0" w:color="auto"/>
                    <w:left w:val="none" w:sz="0" w:space="0" w:color="auto"/>
                    <w:bottom w:val="none" w:sz="0" w:space="0" w:color="auto"/>
                    <w:right w:val="none" w:sz="0" w:space="0" w:color="auto"/>
                  </w:divBdr>
                  <w:divsChild>
                    <w:div w:id="1190874988">
                      <w:marLeft w:val="0"/>
                      <w:marRight w:val="0"/>
                      <w:marTop w:val="0"/>
                      <w:marBottom w:val="0"/>
                      <w:divBdr>
                        <w:top w:val="none" w:sz="0" w:space="0" w:color="auto"/>
                        <w:left w:val="none" w:sz="0" w:space="0" w:color="auto"/>
                        <w:bottom w:val="none" w:sz="0" w:space="0" w:color="auto"/>
                        <w:right w:val="none" w:sz="0" w:space="0" w:color="auto"/>
                      </w:divBdr>
                    </w:div>
                  </w:divsChild>
                </w:div>
                <w:div w:id="1801410456">
                  <w:marLeft w:val="0"/>
                  <w:marRight w:val="0"/>
                  <w:marTop w:val="0"/>
                  <w:marBottom w:val="0"/>
                  <w:divBdr>
                    <w:top w:val="none" w:sz="0" w:space="0" w:color="auto"/>
                    <w:left w:val="none" w:sz="0" w:space="0" w:color="auto"/>
                    <w:bottom w:val="none" w:sz="0" w:space="0" w:color="auto"/>
                    <w:right w:val="none" w:sz="0" w:space="0" w:color="auto"/>
                  </w:divBdr>
                  <w:divsChild>
                    <w:div w:id="849106045">
                      <w:marLeft w:val="0"/>
                      <w:marRight w:val="0"/>
                      <w:marTop w:val="0"/>
                      <w:marBottom w:val="0"/>
                      <w:divBdr>
                        <w:top w:val="none" w:sz="0" w:space="0" w:color="auto"/>
                        <w:left w:val="none" w:sz="0" w:space="0" w:color="auto"/>
                        <w:bottom w:val="none" w:sz="0" w:space="0" w:color="auto"/>
                        <w:right w:val="none" w:sz="0" w:space="0" w:color="auto"/>
                      </w:divBdr>
                    </w:div>
                  </w:divsChild>
                </w:div>
                <w:div w:id="1822118132">
                  <w:marLeft w:val="0"/>
                  <w:marRight w:val="0"/>
                  <w:marTop w:val="0"/>
                  <w:marBottom w:val="0"/>
                  <w:divBdr>
                    <w:top w:val="none" w:sz="0" w:space="0" w:color="auto"/>
                    <w:left w:val="none" w:sz="0" w:space="0" w:color="auto"/>
                    <w:bottom w:val="none" w:sz="0" w:space="0" w:color="auto"/>
                    <w:right w:val="none" w:sz="0" w:space="0" w:color="auto"/>
                  </w:divBdr>
                  <w:divsChild>
                    <w:div w:id="2129279703">
                      <w:marLeft w:val="0"/>
                      <w:marRight w:val="0"/>
                      <w:marTop w:val="0"/>
                      <w:marBottom w:val="0"/>
                      <w:divBdr>
                        <w:top w:val="none" w:sz="0" w:space="0" w:color="auto"/>
                        <w:left w:val="none" w:sz="0" w:space="0" w:color="auto"/>
                        <w:bottom w:val="none" w:sz="0" w:space="0" w:color="auto"/>
                        <w:right w:val="none" w:sz="0" w:space="0" w:color="auto"/>
                      </w:divBdr>
                    </w:div>
                  </w:divsChild>
                </w:div>
                <w:div w:id="1803034194">
                  <w:marLeft w:val="0"/>
                  <w:marRight w:val="0"/>
                  <w:marTop w:val="0"/>
                  <w:marBottom w:val="0"/>
                  <w:divBdr>
                    <w:top w:val="none" w:sz="0" w:space="0" w:color="auto"/>
                    <w:left w:val="none" w:sz="0" w:space="0" w:color="auto"/>
                    <w:bottom w:val="none" w:sz="0" w:space="0" w:color="auto"/>
                    <w:right w:val="none" w:sz="0" w:space="0" w:color="auto"/>
                  </w:divBdr>
                  <w:divsChild>
                    <w:div w:id="1341589097">
                      <w:marLeft w:val="0"/>
                      <w:marRight w:val="0"/>
                      <w:marTop w:val="0"/>
                      <w:marBottom w:val="0"/>
                      <w:divBdr>
                        <w:top w:val="none" w:sz="0" w:space="0" w:color="auto"/>
                        <w:left w:val="none" w:sz="0" w:space="0" w:color="auto"/>
                        <w:bottom w:val="none" w:sz="0" w:space="0" w:color="auto"/>
                        <w:right w:val="none" w:sz="0" w:space="0" w:color="auto"/>
                      </w:divBdr>
                    </w:div>
                  </w:divsChild>
                </w:div>
                <w:div w:id="857544926">
                  <w:marLeft w:val="0"/>
                  <w:marRight w:val="0"/>
                  <w:marTop w:val="0"/>
                  <w:marBottom w:val="0"/>
                  <w:divBdr>
                    <w:top w:val="none" w:sz="0" w:space="0" w:color="auto"/>
                    <w:left w:val="none" w:sz="0" w:space="0" w:color="auto"/>
                    <w:bottom w:val="none" w:sz="0" w:space="0" w:color="auto"/>
                    <w:right w:val="none" w:sz="0" w:space="0" w:color="auto"/>
                  </w:divBdr>
                  <w:divsChild>
                    <w:div w:id="1215659428">
                      <w:marLeft w:val="0"/>
                      <w:marRight w:val="0"/>
                      <w:marTop w:val="0"/>
                      <w:marBottom w:val="0"/>
                      <w:divBdr>
                        <w:top w:val="none" w:sz="0" w:space="0" w:color="auto"/>
                        <w:left w:val="none" w:sz="0" w:space="0" w:color="auto"/>
                        <w:bottom w:val="none" w:sz="0" w:space="0" w:color="auto"/>
                        <w:right w:val="none" w:sz="0" w:space="0" w:color="auto"/>
                      </w:divBdr>
                    </w:div>
                  </w:divsChild>
                </w:div>
                <w:div w:id="1099833424">
                  <w:marLeft w:val="0"/>
                  <w:marRight w:val="0"/>
                  <w:marTop w:val="0"/>
                  <w:marBottom w:val="0"/>
                  <w:divBdr>
                    <w:top w:val="none" w:sz="0" w:space="0" w:color="auto"/>
                    <w:left w:val="none" w:sz="0" w:space="0" w:color="auto"/>
                    <w:bottom w:val="none" w:sz="0" w:space="0" w:color="auto"/>
                    <w:right w:val="none" w:sz="0" w:space="0" w:color="auto"/>
                  </w:divBdr>
                  <w:divsChild>
                    <w:div w:id="10033996">
                      <w:marLeft w:val="0"/>
                      <w:marRight w:val="0"/>
                      <w:marTop w:val="0"/>
                      <w:marBottom w:val="0"/>
                      <w:divBdr>
                        <w:top w:val="none" w:sz="0" w:space="0" w:color="auto"/>
                        <w:left w:val="none" w:sz="0" w:space="0" w:color="auto"/>
                        <w:bottom w:val="none" w:sz="0" w:space="0" w:color="auto"/>
                        <w:right w:val="none" w:sz="0" w:space="0" w:color="auto"/>
                      </w:divBdr>
                    </w:div>
                  </w:divsChild>
                </w:div>
                <w:div w:id="1376274276">
                  <w:marLeft w:val="0"/>
                  <w:marRight w:val="0"/>
                  <w:marTop w:val="0"/>
                  <w:marBottom w:val="0"/>
                  <w:divBdr>
                    <w:top w:val="none" w:sz="0" w:space="0" w:color="auto"/>
                    <w:left w:val="none" w:sz="0" w:space="0" w:color="auto"/>
                    <w:bottom w:val="none" w:sz="0" w:space="0" w:color="auto"/>
                    <w:right w:val="none" w:sz="0" w:space="0" w:color="auto"/>
                  </w:divBdr>
                  <w:divsChild>
                    <w:div w:id="1052193054">
                      <w:marLeft w:val="0"/>
                      <w:marRight w:val="0"/>
                      <w:marTop w:val="0"/>
                      <w:marBottom w:val="0"/>
                      <w:divBdr>
                        <w:top w:val="none" w:sz="0" w:space="0" w:color="auto"/>
                        <w:left w:val="none" w:sz="0" w:space="0" w:color="auto"/>
                        <w:bottom w:val="none" w:sz="0" w:space="0" w:color="auto"/>
                        <w:right w:val="none" w:sz="0" w:space="0" w:color="auto"/>
                      </w:divBdr>
                    </w:div>
                  </w:divsChild>
                </w:div>
                <w:div w:id="625698097">
                  <w:marLeft w:val="0"/>
                  <w:marRight w:val="0"/>
                  <w:marTop w:val="0"/>
                  <w:marBottom w:val="0"/>
                  <w:divBdr>
                    <w:top w:val="none" w:sz="0" w:space="0" w:color="auto"/>
                    <w:left w:val="none" w:sz="0" w:space="0" w:color="auto"/>
                    <w:bottom w:val="none" w:sz="0" w:space="0" w:color="auto"/>
                    <w:right w:val="none" w:sz="0" w:space="0" w:color="auto"/>
                  </w:divBdr>
                  <w:divsChild>
                    <w:div w:id="1849101113">
                      <w:marLeft w:val="0"/>
                      <w:marRight w:val="0"/>
                      <w:marTop w:val="0"/>
                      <w:marBottom w:val="0"/>
                      <w:divBdr>
                        <w:top w:val="none" w:sz="0" w:space="0" w:color="auto"/>
                        <w:left w:val="none" w:sz="0" w:space="0" w:color="auto"/>
                        <w:bottom w:val="none" w:sz="0" w:space="0" w:color="auto"/>
                        <w:right w:val="none" w:sz="0" w:space="0" w:color="auto"/>
                      </w:divBdr>
                    </w:div>
                  </w:divsChild>
                </w:div>
                <w:div w:id="891966466">
                  <w:marLeft w:val="0"/>
                  <w:marRight w:val="0"/>
                  <w:marTop w:val="0"/>
                  <w:marBottom w:val="0"/>
                  <w:divBdr>
                    <w:top w:val="none" w:sz="0" w:space="0" w:color="auto"/>
                    <w:left w:val="none" w:sz="0" w:space="0" w:color="auto"/>
                    <w:bottom w:val="none" w:sz="0" w:space="0" w:color="auto"/>
                    <w:right w:val="none" w:sz="0" w:space="0" w:color="auto"/>
                  </w:divBdr>
                  <w:divsChild>
                    <w:div w:id="856653097">
                      <w:marLeft w:val="0"/>
                      <w:marRight w:val="0"/>
                      <w:marTop w:val="0"/>
                      <w:marBottom w:val="0"/>
                      <w:divBdr>
                        <w:top w:val="none" w:sz="0" w:space="0" w:color="auto"/>
                        <w:left w:val="none" w:sz="0" w:space="0" w:color="auto"/>
                        <w:bottom w:val="none" w:sz="0" w:space="0" w:color="auto"/>
                        <w:right w:val="none" w:sz="0" w:space="0" w:color="auto"/>
                      </w:divBdr>
                    </w:div>
                  </w:divsChild>
                </w:div>
                <w:div w:id="1101141745">
                  <w:marLeft w:val="0"/>
                  <w:marRight w:val="0"/>
                  <w:marTop w:val="0"/>
                  <w:marBottom w:val="0"/>
                  <w:divBdr>
                    <w:top w:val="none" w:sz="0" w:space="0" w:color="auto"/>
                    <w:left w:val="none" w:sz="0" w:space="0" w:color="auto"/>
                    <w:bottom w:val="none" w:sz="0" w:space="0" w:color="auto"/>
                    <w:right w:val="none" w:sz="0" w:space="0" w:color="auto"/>
                  </w:divBdr>
                  <w:divsChild>
                    <w:div w:id="1607883120">
                      <w:marLeft w:val="0"/>
                      <w:marRight w:val="0"/>
                      <w:marTop w:val="0"/>
                      <w:marBottom w:val="0"/>
                      <w:divBdr>
                        <w:top w:val="none" w:sz="0" w:space="0" w:color="auto"/>
                        <w:left w:val="none" w:sz="0" w:space="0" w:color="auto"/>
                        <w:bottom w:val="none" w:sz="0" w:space="0" w:color="auto"/>
                        <w:right w:val="none" w:sz="0" w:space="0" w:color="auto"/>
                      </w:divBdr>
                    </w:div>
                  </w:divsChild>
                </w:div>
                <w:div w:id="985206816">
                  <w:marLeft w:val="0"/>
                  <w:marRight w:val="0"/>
                  <w:marTop w:val="0"/>
                  <w:marBottom w:val="0"/>
                  <w:divBdr>
                    <w:top w:val="none" w:sz="0" w:space="0" w:color="auto"/>
                    <w:left w:val="none" w:sz="0" w:space="0" w:color="auto"/>
                    <w:bottom w:val="none" w:sz="0" w:space="0" w:color="auto"/>
                    <w:right w:val="none" w:sz="0" w:space="0" w:color="auto"/>
                  </w:divBdr>
                  <w:divsChild>
                    <w:div w:id="475225683">
                      <w:marLeft w:val="0"/>
                      <w:marRight w:val="0"/>
                      <w:marTop w:val="0"/>
                      <w:marBottom w:val="0"/>
                      <w:divBdr>
                        <w:top w:val="none" w:sz="0" w:space="0" w:color="auto"/>
                        <w:left w:val="none" w:sz="0" w:space="0" w:color="auto"/>
                        <w:bottom w:val="none" w:sz="0" w:space="0" w:color="auto"/>
                        <w:right w:val="none" w:sz="0" w:space="0" w:color="auto"/>
                      </w:divBdr>
                    </w:div>
                  </w:divsChild>
                </w:div>
                <w:div w:id="1930236665">
                  <w:marLeft w:val="0"/>
                  <w:marRight w:val="0"/>
                  <w:marTop w:val="0"/>
                  <w:marBottom w:val="0"/>
                  <w:divBdr>
                    <w:top w:val="none" w:sz="0" w:space="0" w:color="auto"/>
                    <w:left w:val="none" w:sz="0" w:space="0" w:color="auto"/>
                    <w:bottom w:val="none" w:sz="0" w:space="0" w:color="auto"/>
                    <w:right w:val="none" w:sz="0" w:space="0" w:color="auto"/>
                  </w:divBdr>
                  <w:divsChild>
                    <w:div w:id="823088007">
                      <w:marLeft w:val="0"/>
                      <w:marRight w:val="0"/>
                      <w:marTop w:val="0"/>
                      <w:marBottom w:val="0"/>
                      <w:divBdr>
                        <w:top w:val="none" w:sz="0" w:space="0" w:color="auto"/>
                        <w:left w:val="none" w:sz="0" w:space="0" w:color="auto"/>
                        <w:bottom w:val="none" w:sz="0" w:space="0" w:color="auto"/>
                        <w:right w:val="none" w:sz="0" w:space="0" w:color="auto"/>
                      </w:divBdr>
                    </w:div>
                  </w:divsChild>
                </w:div>
                <w:div w:id="264046728">
                  <w:marLeft w:val="0"/>
                  <w:marRight w:val="0"/>
                  <w:marTop w:val="0"/>
                  <w:marBottom w:val="0"/>
                  <w:divBdr>
                    <w:top w:val="none" w:sz="0" w:space="0" w:color="auto"/>
                    <w:left w:val="none" w:sz="0" w:space="0" w:color="auto"/>
                    <w:bottom w:val="none" w:sz="0" w:space="0" w:color="auto"/>
                    <w:right w:val="none" w:sz="0" w:space="0" w:color="auto"/>
                  </w:divBdr>
                  <w:divsChild>
                    <w:div w:id="1471704209">
                      <w:marLeft w:val="0"/>
                      <w:marRight w:val="0"/>
                      <w:marTop w:val="0"/>
                      <w:marBottom w:val="0"/>
                      <w:divBdr>
                        <w:top w:val="none" w:sz="0" w:space="0" w:color="auto"/>
                        <w:left w:val="none" w:sz="0" w:space="0" w:color="auto"/>
                        <w:bottom w:val="none" w:sz="0" w:space="0" w:color="auto"/>
                        <w:right w:val="none" w:sz="0" w:space="0" w:color="auto"/>
                      </w:divBdr>
                    </w:div>
                  </w:divsChild>
                </w:div>
                <w:div w:id="746004021">
                  <w:marLeft w:val="0"/>
                  <w:marRight w:val="0"/>
                  <w:marTop w:val="0"/>
                  <w:marBottom w:val="0"/>
                  <w:divBdr>
                    <w:top w:val="none" w:sz="0" w:space="0" w:color="auto"/>
                    <w:left w:val="none" w:sz="0" w:space="0" w:color="auto"/>
                    <w:bottom w:val="none" w:sz="0" w:space="0" w:color="auto"/>
                    <w:right w:val="none" w:sz="0" w:space="0" w:color="auto"/>
                  </w:divBdr>
                  <w:divsChild>
                    <w:div w:id="1430006234">
                      <w:marLeft w:val="0"/>
                      <w:marRight w:val="0"/>
                      <w:marTop w:val="0"/>
                      <w:marBottom w:val="0"/>
                      <w:divBdr>
                        <w:top w:val="none" w:sz="0" w:space="0" w:color="auto"/>
                        <w:left w:val="none" w:sz="0" w:space="0" w:color="auto"/>
                        <w:bottom w:val="none" w:sz="0" w:space="0" w:color="auto"/>
                        <w:right w:val="none" w:sz="0" w:space="0" w:color="auto"/>
                      </w:divBdr>
                    </w:div>
                  </w:divsChild>
                </w:div>
                <w:div w:id="1718239145">
                  <w:marLeft w:val="0"/>
                  <w:marRight w:val="0"/>
                  <w:marTop w:val="0"/>
                  <w:marBottom w:val="0"/>
                  <w:divBdr>
                    <w:top w:val="none" w:sz="0" w:space="0" w:color="auto"/>
                    <w:left w:val="none" w:sz="0" w:space="0" w:color="auto"/>
                    <w:bottom w:val="none" w:sz="0" w:space="0" w:color="auto"/>
                    <w:right w:val="none" w:sz="0" w:space="0" w:color="auto"/>
                  </w:divBdr>
                  <w:divsChild>
                    <w:div w:id="1905556027">
                      <w:marLeft w:val="0"/>
                      <w:marRight w:val="0"/>
                      <w:marTop w:val="0"/>
                      <w:marBottom w:val="0"/>
                      <w:divBdr>
                        <w:top w:val="none" w:sz="0" w:space="0" w:color="auto"/>
                        <w:left w:val="none" w:sz="0" w:space="0" w:color="auto"/>
                        <w:bottom w:val="none" w:sz="0" w:space="0" w:color="auto"/>
                        <w:right w:val="none" w:sz="0" w:space="0" w:color="auto"/>
                      </w:divBdr>
                    </w:div>
                  </w:divsChild>
                </w:div>
                <w:div w:id="762917494">
                  <w:marLeft w:val="0"/>
                  <w:marRight w:val="0"/>
                  <w:marTop w:val="0"/>
                  <w:marBottom w:val="0"/>
                  <w:divBdr>
                    <w:top w:val="none" w:sz="0" w:space="0" w:color="auto"/>
                    <w:left w:val="none" w:sz="0" w:space="0" w:color="auto"/>
                    <w:bottom w:val="none" w:sz="0" w:space="0" w:color="auto"/>
                    <w:right w:val="none" w:sz="0" w:space="0" w:color="auto"/>
                  </w:divBdr>
                  <w:divsChild>
                    <w:div w:id="1220820033">
                      <w:marLeft w:val="0"/>
                      <w:marRight w:val="0"/>
                      <w:marTop w:val="0"/>
                      <w:marBottom w:val="0"/>
                      <w:divBdr>
                        <w:top w:val="none" w:sz="0" w:space="0" w:color="auto"/>
                        <w:left w:val="none" w:sz="0" w:space="0" w:color="auto"/>
                        <w:bottom w:val="none" w:sz="0" w:space="0" w:color="auto"/>
                        <w:right w:val="none" w:sz="0" w:space="0" w:color="auto"/>
                      </w:divBdr>
                    </w:div>
                  </w:divsChild>
                </w:div>
                <w:div w:id="939407931">
                  <w:marLeft w:val="0"/>
                  <w:marRight w:val="0"/>
                  <w:marTop w:val="0"/>
                  <w:marBottom w:val="0"/>
                  <w:divBdr>
                    <w:top w:val="none" w:sz="0" w:space="0" w:color="auto"/>
                    <w:left w:val="none" w:sz="0" w:space="0" w:color="auto"/>
                    <w:bottom w:val="none" w:sz="0" w:space="0" w:color="auto"/>
                    <w:right w:val="none" w:sz="0" w:space="0" w:color="auto"/>
                  </w:divBdr>
                  <w:divsChild>
                    <w:div w:id="1679774851">
                      <w:marLeft w:val="0"/>
                      <w:marRight w:val="0"/>
                      <w:marTop w:val="0"/>
                      <w:marBottom w:val="0"/>
                      <w:divBdr>
                        <w:top w:val="none" w:sz="0" w:space="0" w:color="auto"/>
                        <w:left w:val="none" w:sz="0" w:space="0" w:color="auto"/>
                        <w:bottom w:val="none" w:sz="0" w:space="0" w:color="auto"/>
                        <w:right w:val="none" w:sz="0" w:space="0" w:color="auto"/>
                      </w:divBdr>
                    </w:div>
                  </w:divsChild>
                </w:div>
                <w:div w:id="1841003338">
                  <w:marLeft w:val="0"/>
                  <w:marRight w:val="0"/>
                  <w:marTop w:val="0"/>
                  <w:marBottom w:val="0"/>
                  <w:divBdr>
                    <w:top w:val="none" w:sz="0" w:space="0" w:color="auto"/>
                    <w:left w:val="none" w:sz="0" w:space="0" w:color="auto"/>
                    <w:bottom w:val="none" w:sz="0" w:space="0" w:color="auto"/>
                    <w:right w:val="none" w:sz="0" w:space="0" w:color="auto"/>
                  </w:divBdr>
                  <w:divsChild>
                    <w:div w:id="40440449">
                      <w:marLeft w:val="0"/>
                      <w:marRight w:val="0"/>
                      <w:marTop w:val="0"/>
                      <w:marBottom w:val="0"/>
                      <w:divBdr>
                        <w:top w:val="none" w:sz="0" w:space="0" w:color="auto"/>
                        <w:left w:val="none" w:sz="0" w:space="0" w:color="auto"/>
                        <w:bottom w:val="none" w:sz="0" w:space="0" w:color="auto"/>
                        <w:right w:val="none" w:sz="0" w:space="0" w:color="auto"/>
                      </w:divBdr>
                    </w:div>
                  </w:divsChild>
                </w:div>
                <w:div w:id="519666350">
                  <w:marLeft w:val="0"/>
                  <w:marRight w:val="0"/>
                  <w:marTop w:val="0"/>
                  <w:marBottom w:val="0"/>
                  <w:divBdr>
                    <w:top w:val="none" w:sz="0" w:space="0" w:color="auto"/>
                    <w:left w:val="none" w:sz="0" w:space="0" w:color="auto"/>
                    <w:bottom w:val="none" w:sz="0" w:space="0" w:color="auto"/>
                    <w:right w:val="none" w:sz="0" w:space="0" w:color="auto"/>
                  </w:divBdr>
                  <w:divsChild>
                    <w:div w:id="1960185904">
                      <w:marLeft w:val="0"/>
                      <w:marRight w:val="0"/>
                      <w:marTop w:val="0"/>
                      <w:marBottom w:val="0"/>
                      <w:divBdr>
                        <w:top w:val="none" w:sz="0" w:space="0" w:color="auto"/>
                        <w:left w:val="none" w:sz="0" w:space="0" w:color="auto"/>
                        <w:bottom w:val="none" w:sz="0" w:space="0" w:color="auto"/>
                        <w:right w:val="none" w:sz="0" w:space="0" w:color="auto"/>
                      </w:divBdr>
                    </w:div>
                  </w:divsChild>
                </w:div>
                <w:div w:id="934288593">
                  <w:marLeft w:val="0"/>
                  <w:marRight w:val="0"/>
                  <w:marTop w:val="0"/>
                  <w:marBottom w:val="0"/>
                  <w:divBdr>
                    <w:top w:val="none" w:sz="0" w:space="0" w:color="auto"/>
                    <w:left w:val="none" w:sz="0" w:space="0" w:color="auto"/>
                    <w:bottom w:val="none" w:sz="0" w:space="0" w:color="auto"/>
                    <w:right w:val="none" w:sz="0" w:space="0" w:color="auto"/>
                  </w:divBdr>
                  <w:divsChild>
                    <w:div w:id="182911498">
                      <w:marLeft w:val="0"/>
                      <w:marRight w:val="0"/>
                      <w:marTop w:val="0"/>
                      <w:marBottom w:val="0"/>
                      <w:divBdr>
                        <w:top w:val="none" w:sz="0" w:space="0" w:color="auto"/>
                        <w:left w:val="none" w:sz="0" w:space="0" w:color="auto"/>
                        <w:bottom w:val="none" w:sz="0" w:space="0" w:color="auto"/>
                        <w:right w:val="none" w:sz="0" w:space="0" w:color="auto"/>
                      </w:divBdr>
                    </w:div>
                  </w:divsChild>
                </w:div>
                <w:div w:id="1702239583">
                  <w:marLeft w:val="0"/>
                  <w:marRight w:val="0"/>
                  <w:marTop w:val="0"/>
                  <w:marBottom w:val="0"/>
                  <w:divBdr>
                    <w:top w:val="none" w:sz="0" w:space="0" w:color="auto"/>
                    <w:left w:val="none" w:sz="0" w:space="0" w:color="auto"/>
                    <w:bottom w:val="none" w:sz="0" w:space="0" w:color="auto"/>
                    <w:right w:val="none" w:sz="0" w:space="0" w:color="auto"/>
                  </w:divBdr>
                  <w:divsChild>
                    <w:div w:id="453907713">
                      <w:marLeft w:val="0"/>
                      <w:marRight w:val="0"/>
                      <w:marTop w:val="0"/>
                      <w:marBottom w:val="0"/>
                      <w:divBdr>
                        <w:top w:val="none" w:sz="0" w:space="0" w:color="auto"/>
                        <w:left w:val="none" w:sz="0" w:space="0" w:color="auto"/>
                        <w:bottom w:val="none" w:sz="0" w:space="0" w:color="auto"/>
                        <w:right w:val="none" w:sz="0" w:space="0" w:color="auto"/>
                      </w:divBdr>
                    </w:div>
                  </w:divsChild>
                </w:div>
                <w:div w:id="671299999">
                  <w:marLeft w:val="0"/>
                  <w:marRight w:val="0"/>
                  <w:marTop w:val="0"/>
                  <w:marBottom w:val="0"/>
                  <w:divBdr>
                    <w:top w:val="none" w:sz="0" w:space="0" w:color="auto"/>
                    <w:left w:val="none" w:sz="0" w:space="0" w:color="auto"/>
                    <w:bottom w:val="none" w:sz="0" w:space="0" w:color="auto"/>
                    <w:right w:val="none" w:sz="0" w:space="0" w:color="auto"/>
                  </w:divBdr>
                  <w:divsChild>
                    <w:div w:id="1643461383">
                      <w:marLeft w:val="0"/>
                      <w:marRight w:val="0"/>
                      <w:marTop w:val="0"/>
                      <w:marBottom w:val="0"/>
                      <w:divBdr>
                        <w:top w:val="none" w:sz="0" w:space="0" w:color="auto"/>
                        <w:left w:val="none" w:sz="0" w:space="0" w:color="auto"/>
                        <w:bottom w:val="none" w:sz="0" w:space="0" w:color="auto"/>
                        <w:right w:val="none" w:sz="0" w:space="0" w:color="auto"/>
                      </w:divBdr>
                    </w:div>
                  </w:divsChild>
                </w:div>
                <w:div w:id="1572084266">
                  <w:marLeft w:val="0"/>
                  <w:marRight w:val="0"/>
                  <w:marTop w:val="0"/>
                  <w:marBottom w:val="0"/>
                  <w:divBdr>
                    <w:top w:val="none" w:sz="0" w:space="0" w:color="auto"/>
                    <w:left w:val="none" w:sz="0" w:space="0" w:color="auto"/>
                    <w:bottom w:val="none" w:sz="0" w:space="0" w:color="auto"/>
                    <w:right w:val="none" w:sz="0" w:space="0" w:color="auto"/>
                  </w:divBdr>
                  <w:divsChild>
                    <w:div w:id="313488244">
                      <w:marLeft w:val="0"/>
                      <w:marRight w:val="0"/>
                      <w:marTop w:val="0"/>
                      <w:marBottom w:val="0"/>
                      <w:divBdr>
                        <w:top w:val="none" w:sz="0" w:space="0" w:color="auto"/>
                        <w:left w:val="none" w:sz="0" w:space="0" w:color="auto"/>
                        <w:bottom w:val="none" w:sz="0" w:space="0" w:color="auto"/>
                        <w:right w:val="none" w:sz="0" w:space="0" w:color="auto"/>
                      </w:divBdr>
                    </w:div>
                  </w:divsChild>
                </w:div>
                <w:div w:id="401873358">
                  <w:marLeft w:val="0"/>
                  <w:marRight w:val="0"/>
                  <w:marTop w:val="0"/>
                  <w:marBottom w:val="0"/>
                  <w:divBdr>
                    <w:top w:val="none" w:sz="0" w:space="0" w:color="auto"/>
                    <w:left w:val="none" w:sz="0" w:space="0" w:color="auto"/>
                    <w:bottom w:val="none" w:sz="0" w:space="0" w:color="auto"/>
                    <w:right w:val="none" w:sz="0" w:space="0" w:color="auto"/>
                  </w:divBdr>
                  <w:divsChild>
                    <w:div w:id="1260024744">
                      <w:marLeft w:val="0"/>
                      <w:marRight w:val="0"/>
                      <w:marTop w:val="0"/>
                      <w:marBottom w:val="0"/>
                      <w:divBdr>
                        <w:top w:val="none" w:sz="0" w:space="0" w:color="auto"/>
                        <w:left w:val="none" w:sz="0" w:space="0" w:color="auto"/>
                        <w:bottom w:val="none" w:sz="0" w:space="0" w:color="auto"/>
                        <w:right w:val="none" w:sz="0" w:space="0" w:color="auto"/>
                      </w:divBdr>
                    </w:div>
                  </w:divsChild>
                </w:div>
                <w:div w:id="25371580">
                  <w:marLeft w:val="0"/>
                  <w:marRight w:val="0"/>
                  <w:marTop w:val="0"/>
                  <w:marBottom w:val="0"/>
                  <w:divBdr>
                    <w:top w:val="none" w:sz="0" w:space="0" w:color="auto"/>
                    <w:left w:val="none" w:sz="0" w:space="0" w:color="auto"/>
                    <w:bottom w:val="none" w:sz="0" w:space="0" w:color="auto"/>
                    <w:right w:val="none" w:sz="0" w:space="0" w:color="auto"/>
                  </w:divBdr>
                  <w:divsChild>
                    <w:div w:id="3415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19613">
      <w:bodyDiv w:val="1"/>
      <w:marLeft w:val="0"/>
      <w:marRight w:val="0"/>
      <w:marTop w:val="0"/>
      <w:marBottom w:val="0"/>
      <w:divBdr>
        <w:top w:val="none" w:sz="0" w:space="0" w:color="auto"/>
        <w:left w:val="none" w:sz="0" w:space="0" w:color="auto"/>
        <w:bottom w:val="none" w:sz="0" w:space="0" w:color="auto"/>
        <w:right w:val="none" w:sz="0" w:space="0" w:color="auto"/>
      </w:divBdr>
      <w:divsChild>
        <w:div w:id="1412970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5218/zjms.2020.046" TargetMode="External"/><Relationship Id="rId21" Type="http://schemas.openxmlformats.org/officeDocument/2006/relationships/hyperlink" Target="https://www.biologydiscussion.com/biophysics/hydrotropy-definition-and-importance/36556.%2012" TargetMode="External"/><Relationship Id="rId42" Type="http://schemas.openxmlformats.org/officeDocument/2006/relationships/hyperlink" Target="https://doi.org/10.22377/ajp.v18i02.5440" TargetMode="External"/><Relationship Id="rId47" Type="http://schemas.openxmlformats.org/officeDocument/2006/relationships/hyperlink" Target="https://doi.org/10.1016/j.molliq.2021.115613" TargetMode="External"/><Relationship Id="rId63" Type="http://schemas.openxmlformats.org/officeDocument/2006/relationships/hyperlink" Target="https://doi.org/10.1039/d4gc01826e" TargetMode="External"/><Relationship Id="rId68" Type="http://schemas.openxmlformats.org/officeDocument/2006/relationships/hyperlink" Target="https://doi.org/10.1039/d3su00264k" TargetMode="External"/><Relationship Id="rId2" Type="http://schemas.openxmlformats.org/officeDocument/2006/relationships/styles" Target="styles.xml"/><Relationship Id="rId16" Type="http://schemas.openxmlformats.org/officeDocument/2006/relationships/hyperlink" Target="https://doi.org/10.56726/irjmets43891" TargetMode="External"/><Relationship Id="rId29" Type="http://schemas.openxmlformats.org/officeDocument/2006/relationships/hyperlink" Target="https://doi.org/10.22159/ajpcr.2019.v12i10.34811" TargetMode="External"/><Relationship Id="rId11" Type="http://schemas.openxmlformats.org/officeDocument/2006/relationships/hyperlink" Target="https://doi.org/10.2478/cipms-2019-0035" TargetMode="External"/><Relationship Id="rId24" Type="http://schemas.openxmlformats.org/officeDocument/2006/relationships/hyperlink" Target="https://doi.org/10.1208/s12249-022-02310-z" TargetMode="External"/><Relationship Id="rId32" Type="http://schemas.openxmlformats.org/officeDocument/2006/relationships/hyperlink" Target="https://doi.org/10.22270/jddt.v12i4.5461" TargetMode="External"/><Relationship Id="rId37" Type="http://schemas.openxmlformats.org/officeDocument/2006/relationships/hyperlink" Target="https://doi.org/10.3390/life13051099" TargetMode="External"/><Relationship Id="rId40" Type="http://schemas.openxmlformats.org/officeDocument/2006/relationships/hyperlink" Target="https://doi.org/10.25004/ijpsdr.2010.020309" TargetMode="External"/><Relationship Id="rId45" Type="http://schemas.openxmlformats.org/officeDocument/2006/relationships/hyperlink" Target="https://doi.org/10.1021/acs.molpharmaceut.4c01117" TargetMode="External"/><Relationship Id="rId53" Type="http://schemas.openxmlformats.org/officeDocument/2006/relationships/hyperlink" Target="https://doi.org/10.17605/OSF.IO/XG9JU" TargetMode="External"/><Relationship Id="rId58" Type="http://schemas.openxmlformats.org/officeDocument/2006/relationships/hyperlink" Target="https://doi.org/10.22270/jddt.v12i4-s.5490" TargetMode="External"/><Relationship Id="rId66" Type="http://schemas.openxmlformats.org/officeDocument/2006/relationships/hyperlink" Target="https://doi.org/10.1016/j.ijpharm.2023.123520" TargetMode="External"/><Relationship Id="rId74" Type="http://schemas.openxmlformats.org/officeDocument/2006/relationships/hyperlink" Target="https://doi.org/10.1016/j.apsb.2024.08.027" TargetMode="External"/><Relationship Id="rId5" Type="http://schemas.openxmlformats.org/officeDocument/2006/relationships/image" Target="media/image1.jpeg"/><Relationship Id="rId61" Type="http://schemas.openxmlformats.org/officeDocument/2006/relationships/hyperlink" Target="https://doi.org/10.3390/biom11040486" TargetMode="External"/><Relationship Id="rId19" Type="http://schemas.openxmlformats.org/officeDocument/2006/relationships/hyperlink" Target="https://doi.org/10.1016/j.matpr.2020.02.027" TargetMode="External"/><Relationship Id="rId14" Type="http://schemas.openxmlformats.org/officeDocument/2006/relationships/hyperlink" Target="https://doi.org/10.3390/biomedicines10092055" TargetMode="External"/><Relationship Id="rId22" Type="http://schemas.openxmlformats.org/officeDocument/2006/relationships/hyperlink" Target="https://doi.org/10.18231/j.ijpca.2023.029" TargetMode="External"/><Relationship Id="rId27" Type="http://schemas.openxmlformats.org/officeDocument/2006/relationships/hyperlink" Target="https://doi.org/10.3389/fddev.2022.1049848" TargetMode="External"/><Relationship Id="rId30" Type="http://schemas.openxmlformats.org/officeDocument/2006/relationships/hyperlink" Target="https://doi.org/10.1007/s10822-023-00541-1" TargetMode="External"/><Relationship Id="rId35" Type="http://schemas.openxmlformats.org/officeDocument/2006/relationships/hyperlink" Target="https://doi.org/10.22270/jddt.v11i1-s.4724" TargetMode="External"/><Relationship Id="rId43" Type="http://schemas.openxmlformats.org/officeDocument/2006/relationships/hyperlink" Target="https://doi.org/10.3389/fddev.2023.1232012" TargetMode="External"/><Relationship Id="rId48" Type="http://schemas.openxmlformats.org/officeDocument/2006/relationships/hyperlink" Target="https://doi.org/10.3390/environments12050172" TargetMode="External"/><Relationship Id="rId56" Type="http://schemas.openxmlformats.org/officeDocument/2006/relationships/hyperlink" Target="https://doi.org/10.47583/ijpsrr.2023.v79i02.014" TargetMode="External"/><Relationship Id="rId64" Type="http://schemas.openxmlformats.org/officeDocument/2006/relationships/hyperlink" Target="https://doi.org/10.1177/10915818231216414" TargetMode="External"/><Relationship Id="rId69" Type="http://schemas.openxmlformats.org/officeDocument/2006/relationships/hyperlink" Target="https://doi.org/10.48550/arxiv.1309.7255" TargetMode="External"/><Relationship Id="rId8" Type="http://schemas.openxmlformats.org/officeDocument/2006/relationships/hyperlink" Target="https://doi.org/10.25258/ijddt.14.3.69" TargetMode="External"/><Relationship Id="rId51" Type="http://schemas.openxmlformats.org/officeDocument/2006/relationships/hyperlink" Target="https://doi.org/10.31032/ijbpas/2025/14.4.8878" TargetMode="External"/><Relationship Id="rId72" Type="http://schemas.openxmlformats.org/officeDocument/2006/relationships/hyperlink" Target="https://dx.doi.org/10.9734/ajocs/2024/v14i6337" TargetMode="External"/><Relationship Id="rId3" Type="http://schemas.openxmlformats.org/officeDocument/2006/relationships/settings" Target="settings.xml"/><Relationship Id="rId12" Type="http://schemas.openxmlformats.org/officeDocument/2006/relationships/hyperlink" Target="https://doi.org/10.1016/j.heliyon.2023.e23810" TargetMode="External"/><Relationship Id="rId17" Type="http://schemas.openxmlformats.org/officeDocument/2006/relationships/hyperlink" Target="https://doi.org/10.1016/j.jconrel.2022.06.062" TargetMode="External"/><Relationship Id="rId25" Type="http://schemas.openxmlformats.org/officeDocument/2006/relationships/hyperlink" Target="https://doi.org/10.1039/d3ra04748b" TargetMode="External"/><Relationship Id="rId33" Type="http://schemas.openxmlformats.org/officeDocument/2006/relationships/hyperlink" Target="https://doi.org/10.1186/s13065-025-01591-2" TargetMode="External"/><Relationship Id="rId38" Type="http://schemas.openxmlformats.org/officeDocument/2006/relationships/hyperlink" Target="https://doi.org/10.3390/pharmaceutics15041187" TargetMode="External"/><Relationship Id="rId46" Type="http://schemas.openxmlformats.org/officeDocument/2006/relationships/hyperlink" Target="https://doi.org/10.1208/s12249-022-02313-w" TargetMode="External"/><Relationship Id="rId59" Type="http://schemas.openxmlformats.org/officeDocument/2006/relationships/hyperlink" Target="https://doi.org/10.5772/intechopen.1006716" TargetMode="External"/><Relationship Id="rId67" Type="http://schemas.openxmlformats.org/officeDocument/2006/relationships/hyperlink" Target="https://doi.org/10.2174/1570180820666230807163632" TargetMode="External"/><Relationship Id="rId20" Type="http://schemas.openxmlformats.org/officeDocument/2006/relationships/hyperlink" Target="https://doi.org/10.31482/mmsl.2022.033" TargetMode="External"/><Relationship Id="rId41" Type="http://schemas.openxmlformats.org/officeDocument/2006/relationships/hyperlink" Target="https://doi.org/10.1016/j.jddst.2020.101750" TargetMode="External"/><Relationship Id="rId54" Type="http://schemas.openxmlformats.org/officeDocument/2006/relationships/hyperlink" Target="https://doi.org/10.47583/ijpsrr.2023.v79i02.014" TargetMode="External"/><Relationship Id="rId62" Type="http://schemas.openxmlformats.org/officeDocument/2006/relationships/hyperlink" Target="https://doi.org/10.1039/d3ra07493e" TargetMode="External"/><Relationship Id="rId70" Type="http://schemas.openxmlformats.org/officeDocument/2006/relationships/hyperlink" Target="https://doi.org/10.5281/zenodo.15099654"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021/acs.iecr.0c02346" TargetMode="External"/><Relationship Id="rId15" Type="http://schemas.openxmlformats.org/officeDocument/2006/relationships/hyperlink" Target="https://doi.org/10.56726/irjmets43891" TargetMode="External"/><Relationship Id="rId23" Type="http://schemas.openxmlformats.org/officeDocument/2006/relationships/hyperlink" Target="https://doi.org/10.1016/j.talo.2024.100391" TargetMode="External"/><Relationship Id="rId28" Type="http://schemas.openxmlformats.org/officeDocument/2006/relationships/hyperlink" Target="https://doi.org/10.1038/s41598-025-20946-2" TargetMode="External"/><Relationship Id="rId36" Type="http://schemas.openxmlformats.org/officeDocument/2006/relationships/hyperlink" Target="https://doi.org/10.30574/wjbphs.2023.13.3.0125" TargetMode="External"/><Relationship Id="rId49" Type="http://schemas.openxmlformats.org/officeDocument/2006/relationships/hyperlink" Target="https://doi.org/10.1016/j.ejpb.2024.114513" TargetMode="External"/><Relationship Id="rId57" Type="http://schemas.openxmlformats.org/officeDocument/2006/relationships/hyperlink" Target="https://doi.org/10.4236/jcpt.2018.83005" TargetMode="External"/><Relationship Id="rId10" Type="http://schemas.openxmlformats.org/officeDocument/2006/relationships/hyperlink" Target="https://doi.org/10.3390/ph15060653" TargetMode="External"/><Relationship Id="rId31" Type="http://schemas.openxmlformats.org/officeDocument/2006/relationships/hyperlink" Target="https://doi.org/10.22159/ijcpr.2020v12i4.39082" TargetMode="External"/><Relationship Id="rId44" Type="http://schemas.openxmlformats.org/officeDocument/2006/relationships/hyperlink" Target="https://doi.org/10.22270/jddt.v13i2.5944" TargetMode="External"/><Relationship Id="rId52" Type="http://schemas.openxmlformats.org/officeDocument/2006/relationships/hyperlink" Target="https://doi.org/10.3389/fphar.2018.01283" TargetMode="External"/><Relationship Id="rId60" Type="http://schemas.openxmlformats.org/officeDocument/2006/relationships/hyperlink" Target="https://doi.org/10.36948/ijfmr.2023.v05i05.7146" TargetMode="External"/><Relationship Id="rId65" Type="http://schemas.openxmlformats.org/officeDocument/2006/relationships/hyperlink" Target="https://doi.org/10.1016/j.ejpb.2023.06.001" TargetMode="External"/><Relationship Id="rId73" Type="http://schemas.openxmlformats.org/officeDocument/2006/relationships/hyperlink" Target="https://dx.doi.org/10.9734/ajocs/2024/v14i6337" TargetMode="External"/><Relationship Id="rId4" Type="http://schemas.openxmlformats.org/officeDocument/2006/relationships/webSettings" Target="webSettings.xml"/><Relationship Id="rId9" Type="http://schemas.openxmlformats.org/officeDocument/2006/relationships/hyperlink" Target="https://doi.org/10.5530/phm.2015.6.19" TargetMode="External"/><Relationship Id="rId13" Type="http://schemas.openxmlformats.org/officeDocument/2006/relationships/hyperlink" Target="https://doi.org/10.2174/0113894501375776250713110838" TargetMode="External"/><Relationship Id="rId18" Type="http://schemas.openxmlformats.org/officeDocument/2006/relationships/hyperlink" Target="https://doi.org/10.1016/j.fluid.2019.112249" TargetMode="External"/><Relationship Id="rId39" Type="http://schemas.openxmlformats.org/officeDocument/2006/relationships/hyperlink" Target="https://doi.org/10.1039/d1ra00306b" TargetMode="External"/><Relationship Id="rId34" Type="http://schemas.openxmlformats.org/officeDocument/2006/relationships/hyperlink" Target="https://doi.org/10.5937/arhfarm73-46316" TargetMode="External"/><Relationship Id="rId50" Type="http://schemas.openxmlformats.org/officeDocument/2006/relationships/hyperlink" Target="https://doi.org/10.1021/acs.jpcb.2c06077" TargetMode="External"/><Relationship Id="rId55" Type="http://schemas.openxmlformats.org/officeDocument/2006/relationships/hyperlink" Target="https://doi.org/10.1016/j.molliq.2021.115345" TargetMode="External"/><Relationship Id="rId76" Type="http://schemas.openxmlformats.org/officeDocument/2006/relationships/theme" Target="theme/theme1.xml"/><Relationship Id="rId7" Type="http://schemas.openxmlformats.org/officeDocument/2006/relationships/hyperlink" Target="https://doi.org/10.22270/jddt.v14i3.6465" TargetMode="External"/><Relationship Id="rId71" Type="http://schemas.openxmlformats.org/officeDocument/2006/relationships/hyperlink" Target="https://doi.org/10.1208/s12248-025-01167-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22</Pages>
  <Words>10361</Words>
  <Characters>59059</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1020</cp:lastModifiedBy>
  <cp:revision>4</cp:revision>
  <dcterms:created xsi:type="dcterms:W3CDTF">2026-04-11T17:44:00Z</dcterms:created>
  <dcterms:modified xsi:type="dcterms:W3CDTF">2026-04-15T09:50:00Z</dcterms:modified>
</cp:coreProperties>
</file>