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E94A6" w14:textId="77777777" w:rsidR="00F33103" w:rsidRPr="00360A96" w:rsidRDefault="00F33103" w:rsidP="007710F4">
      <w:pPr>
        <w:spacing w:before="100" w:beforeAutospacing="1" w:after="100" w:afterAutospacing="1" w:line="276" w:lineRule="auto"/>
        <w:ind w:left="567"/>
        <w:jc w:val="both"/>
        <w:outlineLvl w:val="2"/>
        <w:rPr>
          <w:rFonts w:ascii="Times New Roman" w:eastAsia="Times New Roman" w:hAnsi="Times New Roman" w:cs="Times New Roman"/>
          <w:b/>
          <w:bCs/>
          <w:color w:val="000000" w:themeColor="text1"/>
          <w:kern w:val="0"/>
          <w:sz w:val="32"/>
          <w:szCs w:val="32"/>
          <w:lang w:val="tr-TR"/>
          <w14:ligatures w14:val="none"/>
        </w:rPr>
      </w:pPr>
      <w:r w:rsidRPr="00360A96">
        <w:rPr>
          <w:rFonts w:ascii="Times New Roman" w:eastAsia="Times New Roman" w:hAnsi="Times New Roman" w:cs="Times New Roman"/>
          <w:b/>
          <w:bCs/>
          <w:color w:val="000000" w:themeColor="text1"/>
          <w:kern w:val="0"/>
          <w:sz w:val="32"/>
          <w:szCs w:val="32"/>
          <w:lang w:val="tr-TR"/>
          <w14:ligatures w14:val="none"/>
        </w:rPr>
        <w:t>Review Article</w:t>
      </w:r>
    </w:p>
    <w:p w14:paraId="2409961F" w14:textId="6884252B" w:rsidR="00F33103" w:rsidRDefault="00F33103" w:rsidP="007710F4">
      <w:pPr>
        <w:spacing w:before="100" w:beforeAutospacing="1" w:after="100" w:afterAutospacing="1" w:line="276" w:lineRule="auto"/>
        <w:ind w:left="567" w:right="283"/>
        <w:jc w:val="both"/>
        <w:outlineLvl w:val="2"/>
        <w:rPr>
          <w:rFonts w:ascii="Arial" w:hAnsi="Arial" w:cs="Arial"/>
          <w:b/>
          <w:bCs/>
          <w:sz w:val="32"/>
          <w:szCs w:val="32"/>
        </w:rPr>
      </w:pPr>
      <w:r w:rsidRPr="00360A96">
        <w:rPr>
          <w:rFonts w:ascii="Arial" w:hAnsi="Arial" w:cs="Arial"/>
          <w:b/>
          <w:bCs/>
          <w:sz w:val="32"/>
          <w:szCs w:val="32"/>
        </w:rPr>
        <w:t>Integrating the Microbiome, Tumor Microenvironment, and miRNA in P</w:t>
      </w:r>
      <w:r>
        <w:rPr>
          <w:rFonts w:ascii="Arial" w:hAnsi="Arial" w:cs="Arial"/>
          <w:b/>
          <w:bCs/>
          <w:sz w:val="32"/>
          <w:szCs w:val="32"/>
          <w:lang w:val="tr-TR"/>
        </w:rPr>
        <w:t>ancreatic Ductal Adenocarcinoma</w:t>
      </w:r>
      <w:r w:rsidR="007C0ACD">
        <w:rPr>
          <w:rFonts w:ascii="Arial" w:hAnsi="Arial" w:cs="Arial"/>
          <w:b/>
          <w:bCs/>
          <w:sz w:val="32"/>
          <w:szCs w:val="32"/>
          <w:lang w:val="tr-TR"/>
        </w:rPr>
        <w:t>-</w:t>
      </w:r>
      <w:bookmarkStart w:id="0" w:name="_GoBack"/>
      <w:bookmarkEnd w:id="0"/>
      <w:r w:rsidR="004C4177">
        <w:rPr>
          <w:rFonts w:ascii="Arial" w:hAnsi="Arial" w:cs="Arial"/>
          <w:b/>
          <w:bCs/>
          <w:sz w:val="32"/>
          <w:szCs w:val="32"/>
        </w:rPr>
        <w:t xml:space="preserve"> </w:t>
      </w:r>
      <w:r w:rsidRPr="00360A96">
        <w:rPr>
          <w:rFonts w:ascii="Arial" w:hAnsi="Arial" w:cs="Arial"/>
          <w:b/>
          <w:bCs/>
          <w:sz w:val="32"/>
          <w:szCs w:val="32"/>
        </w:rPr>
        <w:t>Toward Precision Therapies</w:t>
      </w:r>
    </w:p>
    <w:p w14:paraId="1ED0F9BB" w14:textId="77777777" w:rsidR="00E54706" w:rsidRPr="00360A96" w:rsidRDefault="00E54706" w:rsidP="007710F4">
      <w:pPr>
        <w:spacing w:before="100" w:beforeAutospacing="1" w:after="100" w:afterAutospacing="1" w:line="276" w:lineRule="auto"/>
        <w:ind w:left="567" w:right="283"/>
        <w:jc w:val="both"/>
        <w:outlineLvl w:val="2"/>
        <w:rPr>
          <w:rFonts w:ascii="Arial" w:hAnsi="Arial" w:cs="Arial"/>
          <w:b/>
          <w:bCs/>
          <w:sz w:val="32"/>
          <w:szCs w:val="32"/>
        </w:rPr>
      </w:pPr>
    </w:p>
    <w:p w14:paraId="50D99088" w14:textId="77777777" w:rsidR="00A35D8B" w:rsidRPr="006367D4" w:rsidRDefault="00A35D8B" w:rsidP="00A35D8B">
      <w:pPr>
        <w:pStyle w:val="NormalWeb"/>
        <w:ind w:left="567"/>
        <w:jc w:val="both"/>
        <w:rPr>
          <w:rFonts w:ascii="Arial" w:hAnsi="Arial" w:cs="Arial"/>
          <w:b/>
          <w:bCs/>
          <w:sz w:val="22"/>
          <w:szCs w:val="22"/>
          <w:lang w:val="tr-TR"/>
        </w:rPr>
      </w:pPr>
      <w:r w:rsidRPr="006367D4">
        <w:rPr>
          <w:rFonts w:ascii="Arial" w:hAnsi="Arial" w:cs="Arial"/>
          <w:b/>
          <w:bCs/>
          <w:sz w:val="22"/>
          <w:szCs w:val="22"/>
          <w:lang w:val="tr-TR"/>
        </w:rPr>
        <w:t>Abstract</w:t>
      </w:r>
    </w:p>
    <w:p w14:paraId="060C7573" w14:textId="77777777" w:rsidR="00814794" w:rsidRPr="00814794" w:rsidRDefault="00814794" w:rsidP="00814794">
      <w:pPr>
        <w:pStyle w:val="NormalWeb"/>
        <w:ind w:left="567"/>
        <w:jc w:val="both"/>
        <w:rPr>
          <w:rFonts w:ascii="Arial" w:hAnsi="Arial" w:cs="Arial"/>
          <w:sz w:val="20"/>
          <w:szCs w:val="20"/>
        </w:rPr>
      </w:pPr>
      <w:r w:rsidRPr="00814794">
        <w:rPr>
          <w:rFonts w:ascii="Arial" w:hAnsi="Arial" w:cs="Arial"/>
          <w:sz w:val="20"/>
          <w:szCs w:val="20"/>
        </w:rPr>
        <w:t>Pancreatic ductal adenocarcinoma is a highly aggressive malignancy characterized by late diagnosis, rapid progression, and poor survival outcomes. Despite its higher incidence in older men, typically between the ages of 60 and 85, rising rates among younger populations and an incompletely understood etiology underscore the need for improved mechanistic insights and therapeutic strategies. Early detection remains challenging due to the lack of reliable biomarkers, and although surgical resection offers the only curative option, fewer than 20% of patients present with resectable disease. Current standard treatments rely primarily on chemotherapy, often combined with radiotherapy or surgery, but the overall prognosis remains poor.</w:t>
      </w:r>
    </w:p>
    <w:p w14:paraId="27028216" w14:textId="77777777" w:rsidR="00814794" w:rsidRPr="00814794" w:rsidRDefault="00814794" w:rsidP="00814794">
      <w:pPr>
        <w:pStyle w:val="NormalWeb"/>
        <w:ind w:left="567"/>
        <w:jc w:val="both"/>
        <w:rPr>
          <w:rFonts w:ascii="Arial" w:hAnsi="Arial" w:cs="Arial"/>
          <w:sz w:val="20"/>
          <w:szCs w:val="20"/>
        </w:rPr>
      </w:pPr>
      <w:r w:rsidRPr="00814794">
        <w:rPr>
          <w:rFonts w:ascii="Arial" w:hAnsi="Arial" w:cs="Arial"/>
          <w:sz w:val="20"/>
          <w:szCs w:val="20"/>
        </w:rPr>
        <w:t>This review synthesizes and critically evaluates emerging therapeutic approaches for pancreatic ductal adenocarcinoma, focusing on immunotherapeutic strategies, tumor microenvironment modulation, microbial-based interventions—including fecal microbiota transplantation and dietary modification—and microRNA (miRNA)-targeted diagnostics and therapeutics. Particular attention is given to the role of the tumor microenvironment in mediating immune resistance and shaping therapeutic responses.</w:t>
      </w:r>
    </w:p>
    <w:p w14:paraId="26456082" w14:textId="77777777" w:rsidR="00814794" w:rsidRPr="00814794" w:rsidRDefault="00814794" w:rsidP="00814794">
      <w:pPr>
        <w:pStyle w:val="NormalWeb"/>
        <w:ind w:left="567"/>
        <w:jc w:val="both"/>
        <w:rPr>
          <w:rFonts w:ascii="Arial" w:hAnsi="Arial" w:cs="Arial"/>
          <w:sz w:val="20"/>
          <w:szCs w:val="20"/>
        </w:rPr>
      </w:pPr>
      <w:r w:rsidRPr="00814794">
        <w:rPr>
          <w:rFonts w:ascii="Arial" w:hAnsi="Arial" w:cs="Arial"/>
          <w:sz w:val="20"/>
          <w:szCs w:val="20"/>
        </w:rPr>
        <w:t>Growing evidence highlights the influence of the microbiome, modulated by factors such as diet, obesity, and smoking, on pancreatic ductal adenocarcinoma progression and treatment efficacy. Integrating microbiome research with immunogenomic approaches presents novel therapeutic opportunities, although challenges such as donor selection and the optimization of microbiota-based therapies persist.</w:t>
      </w:r>
    </w:p>
    <w:p w14:paraId="4E941EE3" w14:textId="77777777" w:rsidR="00814794" w:rsidRPr="00814794" w:rsidRDefault="00814794" w:rsidP="00814794">
      <w:pPr>
        <w:pStyle w:val="NormalWeb"/>
        <w:ind w:left="567"/>
        <w:jc w:val="both"/>
        <w:rPr>
          <w:rFonts w:ascii="Arial" w:hAnsi="Arial" w:cs="Arial"/>
          <w:sz w:val="20"/>
          <w:szCs w:val="20"/>
        </w:rPr>
      </w:pPr>
      <w:r w:rsidRPr="00814794">
        <w:rPr>
          <w:rFonts w:ascii="Arial" w:hAnsi="Arial" w:cs="Arial"/>
          <w:sz w:val="20"/>
          <w:szCs w:val="20"/>
        </w:rPr>
        <w:t>By elucidating mechanistic interconnections among these modalities, this review assesses their translational potential and proposes integrative frameworks for future clinical development. Comprehensive strategies incorporating tumor microenvironment modulation, microbiome-based interventions, cancer stem cell targeting, and miRNA therapeutics within adaptive clinical trial designs are essential to advance precision medicine and improve patient outcomes in pancreatic ductal adenocarcinoma.</w:t>
      </w:r>
    </w:p>
    <w:p w14:paraId="39911E19" w14:textId="0E8C41DA" w:rsidR="00A35D8B" w:rsidRPr="00724185" w:rsidRDefault="00A35D8B" w:rsidP="00A35D8B">
      <w:pPr>
        <w:spacing w:before="100" w:beforeAutospacing="1" w:after="100" w:afterAutospacing="1"/>
        <w:ind w:left="567" w:right="283"/>
        <w:jc w:val="both"/>
        <w:rPr>
          <w:rFonts w:ascii="Arial" w:eastAsia="Times New Roman" w:hAnsi="Arial" w:cs="Arial"/>
          <w:kern w:val="0"/>
          <w:sz w:val="20"/>
          <w:szCs w:val="20"/>
          <w14:ligatures w14:val="none"/>
        </w:rPr>
      </w:pPr>
      <w:r w:rsidRPr="00724185">
        <w:rPr>
          <w:rFonts w:ascii="Arial" w:eastAsia="Times New Roman" w:hAnsi="Arial" w:cs="Arial"/>
          <w:b/>
          <w:bCs/>
          <w:kern w:val="0"/>
          <w:sz w:val="20"/>
          <w:szCs w:val="20"/>
          <w14:ligatures w14:val="none"/>
        </w:rPr>
        <w:t>Keywords:</w:t>
      </w:r>
      <w:r w:rsidRPr="00724185">
        <w:rPr>
          <w:rFonts w:ascii="Arial" w:eastAsia="Times New Roman" w:hAnsi="Arial" w:cs="Arial"/>
          <w:kern w:val="0"/>
          <w:sz w:val="20"/>
          <w:szCs w:val="20"/>
          <w14:ligatures w14:val="none"/>
        </w:rPr>
        <w:t xml:space="preserve"> Pancreatic cancer; Pancreatic ductal adenocarcinoma; High-risk factors</w:t>
      </w:r>
      <w:r w:rsidRPr="00724185">
        <w:rPr>
          <w:rFonts w:ascii="Arial" w:eastAsia="Times New Roman" w:hAnsi="Arial" w:cs="Arial"/>
          <w:kern w:val="0"/>
          <w:sz w:val="20"/>
          <w:szCs w:val="20"/>
          <w:lang w:val="tr-TR"/>
          <w14:ligatures w14:val="none"/>
        </w:rPr>
        <w:t>;</w:t>
      </w:r>
      <w:r w:rsidRPr="00724185">
        <w:rPr>
          <w:rFonts w:ascii="Arial" w:eastAsia="Times New Roman" w:hAnsi="Arial" w:cs="Arial"/>
          <w:kern w:val="0"/>
          <w:sz w:val="20"/>
          <w:szCs w:val="20"/>
          <w14:ligatures w14:val="none"/>
        </w:rPr>
        <w:t xml:space="preserve"> </w:t>
      </w:r>
      <w:r w:rsidRPr="00724185">
        <w:rPr>
          <w:rFonts w:ascii="Arial" w:eastAsia="Times New Roman" w:hAnsi="Arial" w:cs="Arial"/>
          <w:kern w:val="0"/>
          <w:sz w:val="20"/>
          <w:szCs w:val="20"/>
          <w:lang w:val="tr-TR"/>
          <w14:ligatures w14:val="none"/>
        </w:rPr>
        <w:t xml:space="preserve">Tumor microenvironment; </w:t>
      </w:r>
      <w:r w:rsidRPr="00724185">
        <w:rPr>
          <w:rFonts w:ascii="Arial" w:eastAsia="Times New Roman" w:hAnsi="Arial" w:cs="Arial"/>
          <w:kern w:val="0"/>
          <w:sz w:val="20"/>
          <w:szCs w:val="20"/>
          <w14:ligatures w14:val="none"/>
        </w:rPr>
        <w:t xml:space="preserve">Immunotherapy; Fecal microbiota transplantation; </w:t>
      </w:r>
      <w:r w:rsidRPr="00724185">
        <w:rPr>
          <w:rFonts w:ascii="Arial" w:eastAsia="Times New Roman" w:hAnsi="Arial" w:cs="Arial"/>
          <w:kern w:val="0"/>
          <w:sz w:val="20"/>
          <w:szCs w:val="20"/>
          <w:lang w:val="tr-TR"/>
          <w14:ligatures w14:val="none"/>
        </w:rPr>
        <w:t>m</w:t>
      </w:r>
      <w:r w:rsidRPr="00724185">
        <w:rPr>
          <w:rFonts w:ascii="Arial" w:eastAsia="Times New Roman" w:hAnsi="Arial" w:cs="Arial"/>
          <w:kern w:val="0"/>
          <w:sz w:val="20"/>
          <w:szCs w:val="20"/>
          <w14:ligatures w14:val="none"/>
        </w:rPr>
        <w:t xml:space="preserve">iRNA therapy </w:t>
      </w:r>
    </w:p>
    <w:p w14:paraId="0F3C7EED" w14:textId="77777777" w:rsidR="00E54706" w:rsidRDefault="00E54706" w:rsidP="00E54706">
      <w:pPr>
        <w:spacing w:before="100" w:beforeAutospacing="1" w:after="100" w:afterAutospacing="1" w:line="480" w:lineRule="auto"/>
        <w:ind w:left="851" w:right="283" w:hanging="284"/>
        <w:jc w:val="both"/>
        <w:outlineLvl w:val="1"/>
        <w:rPr>
          <w:rFonts w:ascii="Arial" w:eastAsia="Times New Roman" w:hAnsi="Arial" w:cs="Arial"/>
          <w:b/>
          <w:bCs/>
          <w:color w:val="000000" w:themeColor="text1"/>
          <w:kern w:val="0"/>
          <w:sz w:val="22"/>
          <w:szCs w:val="22"/>
          <w:lang w:val="tr-TR"/>
          <w14:ligatures w14:val="none"/>
        </w:rPr>
      </w:pPr>
    </w:p>
    <w:p w14:paraId="1EDDF569" w14:textId="77777777" w:rsidR="00E54706" w:rsidRDefault="00E54706" w:rsidP="00E54706">
      <w:pPr>
        <w:spacing w:before="100" w:beforeAutospacing="1" w:after="100" w:afterAutospacing="1" w:line="480" w:lineRule="auto"/>
        <w:ind w:left="851" w:right="283" w:hanging="284"/>
        <w:jc w:val="both"/>
        <w:outlineLvl w:val="1"/>
        <w:rPr>
          <w:rFonts w:ascii="Arial" w:eastAsia="Times New Roman" w:hAnsi="Arial" w:cs="Arial"/>
          <w:b/>
          <w:bCs/>
          <w:color w:val="000000" w:themeColor="text1"/>
          <w:kern w:val="0"/>
          <w:sz w:val="22"/>
          <w:szCs w:val="22"/>
          <w:lang w:val="tr-TR"/>
          <w14:ligatures w14:val="none"/>
        </w:rPr>
      </w:pPr>
    </w:p>
    <w:p w14:paraId="441C702C" w14:textId="77777777" w:rsidR="00E54706" w:rsidRDefault="00E54706" w:rsidP="00E54706">
      <w:pPr>
        <w:spacing w:before="100" w:beforeAutospacing="1" w:after="100" w:afterAutospacing="1" w:line="480" w:lineRule="auto"/>
        <w:ind w:left="851" w:right="283" w:hanging="284"/>
        <w:jc w:val="both"/>
        <w:outlineLvl w:val="1"/>
        <w:rPr>
          <w:rFonts w:ascii="Arial" w:eastAsia="Times New Roman" w:hAnsi="Arial" w:cs="Arial"/>
          <w:b/>
          <w:bCs/>
          <w:color w:val="000000" w:themeColor="text1"/>
          <w:kern w:val="0"/>
          <w:sz w:val="22"/>
          <w:szCs w:val="22"/>
          <w:lang w:val="tr-TR"/>
          <w14:ligatures w14:val="none"/>
        </w:rPr>
      </w:pPr>
    </w:p>
    <w:p w14:paraId="12081636" w14:textId="77777777" w:rsidR="00E54706" w:rsidRDefault="00E54706" w:rsidP="00E54706">
      <w:pPr>
        <w:spacing w:before="100" w:beforeAutospacing="1" w:after="100" w:afterAutospacing="1" w:line="480" w:lineRule="auto"/>
        <w:ind w:left="851" w:right="283" w:hanging="284"/>
        <w:jc w:val="both"/>
        <w:outlineLvl w:val="1"/>
        <w:rPr>
          <w:rFonts w:ascii="Arial" w:eastAsia="Times New Roman" w:hAnsi="Arial" w:cs="Arial"/>
          <w:b/>
          <w:bCs/>
          <w:color w:val="000000" w:themeColor="text1"/>
          <w:kern w:val="0"/>
          <w:sz w:val="22"/>
          <w:szCs w:val="22"/>
          <w:lang w:val="tr-TR"/>
          <w14:ligatures w14:val="none"/>
        </w:rPr>
      </w:pPr>
    </w:p>
    <w:p w14:paraId="5B48E15E" w14:textId="77777777" w:rsidR="00E54706" w:rsidRDefault="00E54706" w:rsidP="00E54706">
      <w:pPr>
        <w:spacing w:before="100" w:beforeAutospacing="1" w:after="100" w:afterAutospacing="1" w:line="480" w:lineRule="auto"/>
        <w:ind w:left="851" w:right="283" w:hanging="284"/>
        <w:jc w:val="both"/>
        <w:outlineLvl w:val="1"/>
        <w:rPr>
          <w:rFonts w:ascii="Arial" w:eastAsia="Times New Roman" w:hAnsi="Arial" w:cs="Arial"/>
          <w:b/>
          <w:bCs/>
          <w:color w:val="000000" w:themeColor="text1"/>
          <w:kern w:val="0"/>
          <w:sz w:val="22"/>
          <w:szCs w:val="22"/>
          <w:lang w:val="tr-TR"/>
          <w14:ligatures w14:val="none"/>
        </w:rPr>
      </w:pPr>
    </w:p>
    <w:p w14:paraId="15FAC57E" w14:textId="77777777" w:rsidR="00724185" w:rsidRDefault="00724185" w:rsidP="00E54706">
      <w:pPr>
        <w:spacing w:before="100" w:beforeAutospacing="1" w:after="100" w:afterAutospacing="1" w:line="480" w:lineRule="auto"/>
        <w:ind w:left="851" w:right="283" w:hanging="284"/>
        <w:jc w:val="both"/>
        <w:outlineLvl w:val="1"/>
        <w:rPr>
          <w:rFonts w:ascii="Arial" w:eastAsia="Times New Roman" w:hAnsi="Arial" w:cs="Arial"/>
          <w:b/>
          <w:bCs/>
          <w:color w:val="000000" w:themeColor="text1"/>
          <w:kern w:val="0"/>
          <w:sz w:val="20"/>
          <w:szCs w:val="20"/>
          <w:lang w:val="tr-TR"/>
          <w14:ligatures w14:val="none"/>
        </w:rPr>
      </w:pPr>
    </w:p>
    <w:p w14:paraId="07116AC5" w14:textId="77777777" w:rsidR="00E54706" w:rsidRPr="006367D4" w:rsidRDefault="00E54706" w:rsidP="006A56B1">
      <w:pPr>
        <w:spacing w:before="100" w:beforeAutospacing="1" w:after="100" w:afterAutospacing="1" w:line="480" w:lineRule="auto"/>
        <w:ind w:left="567" w:right="283"/>
        <w:jc w:val="both"/>
        <w:outlineLvl w:val="1"/>
        <w:rPr>
          <w:rFonts w:ascii="Arial" w:eastAsia="Times New Roman" w:hAnsi="Arial" w:cs="Arial"/>
          <w:b/>
          <w:bCs/>
          <w:color w:val="000000" w:themeColor="text1"/>
          <w:kern w:val="0"/>
          <w:sz w:val="22"/>
          <w:szCs w:val="22"/>
          <w:lang w:val="tr-TR"/>
          <w14:ligatures w14:val="none"/>
        </w:rPr>
      </w:pPr>
      <w:r w:rsidRPr="006367D4">
        <w:rPr>
          <w:rFonts w:ascii="Arial" w:eastAsia="Times New Roman" w:hAnsi="Arial" w:cs="Arial"/>
          <w:b/>
          <w:bCs/>
          <w:color w:val="000000" w:themeColor="text1"/>
          <w:kern w:val="0"/>
          <w:sz w:val="22"/>
          <w:szCs w:val="22"/>
          <w:lang w:val="tr-TR"/>
          <w14:ligatures w14:val="none"/>
        </w:rPr>
        <w:t>HIGHLIGHTS</w:t>
      </w:r>
    </w:p>
    <w:p w14:paraId="4239B6D9" w14:textId="77777777" w:rsidR="00E54706" w:rsidRPr="00724185" w:rsidRDefault="00E54706" w:rsidP="00E54706">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0"/>
          <w:szCs w:val="20"/>
          <w14:ligatures w14:val="none"/>
        </w:rPr>
      </w:pPr>
      <w:r w:rsidRPr="00724185">
        <w:rPr>
          <w:rFonts w:ascii="Arial" w:eastAsia="Times New Roman" w:hAnsi="Arial" w:cs="Arial"/>
          <w:kern w:val="0"/>
          <w:sz w:val="20"/>
          <w:szCs w:val="20"/>
          <w14:ligatures w14:val="none"/>
        </w:rPr>
        <w:t>Surgical resection offers the only curative option for pancreatic cancer (PC); however, fewer than 20% of patients are eligible for surgery at diagnosis due to the disease’s insidious progression.</w:t>
      </w:r>
    </w:p>
    <w:p w14:paraId="3B286DE9" w14:textId="77777777" w:rsidR="00E54706" w:rsidRPr="00724185" w:rsidRDefault="00E54706" w:rsidP="00E54706">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0"/>
          <w:szCs w:val="20"/>
          <w14:ligatures w14:val="none"/>
        </w:rPr>
      </w:pPr>
      <w:r w:rsidRPr="00724185">
        <w:rPr>
          <w:rFonts w:ascii="Arial" w:eastAsia="Times New Roman" w:hAnsi="Arial" w:cs="Arial"/>
          <w:kern w:val="0"/>
          <w:sz w:val="20"/>
          <w:szCs w:val="20"/>
          <w14:ligatures w14:val="none"/>
        </w:rPr>
        <w:t>Chemotherapy remains the cornerstone of conventional treatment, administered alone or in combination with surgery or radiotherapy, yet its efficacy remains limited.</w:t>
      </w:r>
    </w:p>
    <w:p w14:paraId="190D5DA3" w14:textId="77777777" w:rsidR="00E54706" w:rsidRPr="00724185" w:rsidRDefault="00E54706" w:rsidP="00E54706">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0"/>
          <w:szCs w:val="20"/>
          <w14:ligatures w14:val="none"/>
        </w:rPr>
      </w:pPr>
      <w:r w:rsidRPr="00724185">
        <w:rPr>
          <w:rFonts w:ascii="Arial" w:eastAsia="Times New Roman" w:hAnsi="Arial" w:cs="Arial"/>
          <w:kern w:val="0"/>
          <w:sz w:val="20"/>
          <w:szCs w:val="20"/>
          <w14:ligatures w14:val="none"/>
        </w:rPr>
        <w:t>Pancreatic ductal adenocarcinoma (PDAC) is highly lethal, with minimal benefit from current immunotherapies due to a profoundly immunosuppressive microenvironment and cancer stem cell–mediated resistance.</w:t>
      </w:r>
    </w:p>
    <w:p w14:paraId="30CDEF76" w14:textId="77777777" w:rsidR="00E54706" w:rsidRPr="00724185" w:rsidRDefault="00E54706" w:rsidP="00E54706">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0"/>
          <w:szCs w:val="20"/>
          <w14:ligatures w14:val="none"/>
        </w:rPr>
      </w:pPr>
      <w:r w:rsidRPr="00724185">
        <w:rPr>
          <w:rFonts w:ascii="Arial" w:eastAsia="Times New Roman" w:hAnsi="Arial" w:cs="Arial"/>
          <w:kern w:val="0"/>
          <w:sz w:val="20"/>
          <w:szCs w:val="20"/>
          <w14:ligatures w14:val="none"/>
        </w:rPr>
        <w:t>Targeting key signaling pathways—such as Hedgehog, Wnt, and Notch—alongside enhancement of CD40 signaling and T-cell activation shows considerable therapeutic promise.</w:t>
      </w:r>
    </w:p>
    <w:p w14:paraId="67685303" w14:textId="77777777" w:rsidR="00E54706" w:rsidRPr="00724185" w:rsidRDefault="00E54706" w:rsidP="00E54706">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0"/>
          <w:szCs w:val="20"/>
          <w14:ligatures w14:val="none"/>
        </w:rPr>
      </w:pPr>
      <w:r w:rsidRPr="00724185">
        <w:rPr>
          <w:rFonts w:ascii="Arial" w:eastAsia="Times New Roman" w:hAnsi="Arial" w:cs="Arial"/>
          <w:kern w:val="0"/>
          <w:sz w:val="20"/>
          <w:szCs w:val="20"/>
          <w14:ligatures w14:val="none"/>
        </w:rPr>
        <w:t>The gut microbiota acts as a critical regulator of antitumor immunity. Interventions such as fecal microbiota transplantation (FMT), dietary modulation, and selective antibiotic therapy may improve immunotherapy responsiveness and reduce recurrence.</w:t>
      </w:r>
    </w:p>
    <w:p w14:paraId="28458F6E" w14:textId="77777777" w:rsidR="00E54706" w:rsidRPr="00724185" w:rsidRDefault="00E54706" w:rsidP="00E54706">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0"/>
          <w:szCs w:val="20"/>
          <w14:ligatures w14:val="none"/>
        </w:rPr>
      </w:pPr>
      <w:r w:rsidRPr="00724185">
        <w:rPr>
          <w:rFonts w:ascii="Arial" w:eastAsia="Times New Roman" w:hAnsi="Arial" w:cs="Arial"/>
          <w:kern w:val="0"/>
          <w:sz w:val="20"/>
          <w:szCs w:val="20"/>
          <w14:ligatures w14:val="none"/>
        </w:rPr>
        <w:t>Dysregulated microRNAs (e.g., miR-21, miR-155, miR-221) represent potent diagnostic biomarkers and therapeutic targets to overcome chemo- and radioresistance. Integrating immunotherapy, microbiota modulation, and miRNA-based therapies could enable more effective, personalized treatment of PDAC through closer collaboration between researchers and clinicians.</w:t>
      </w:r>
    </w:p>
    <w:p w14:paraId="0F9C33AC" w14:textId="77777777" w:rsidR="00E54706" w:rsidRPr="006367D4" w:rsidRDefault="00E54706" w:rsidP="00E54706">
      <w:pPr>
        <w:pStyle w:val="ListParagraph"/>
        <w:spacing w:before="100" w:beforeAutospacing="1" w:after="100" w:afterAutospacing="1"/>
        <w:ind w:right="283"/>
        <w:jc w:val="both"/>
        <w:rPr>
          <w:rFonts w:ascii="Arial" w:hAnsi="Arial" w:cs="Arial"/>
          <w:b/>
          <w:bCs/>
          <w:sz w:val="22"/>
          <w:szCs w:val="22"/>
          <w:lang w:val="tr-TR"/>
        </w:rPr>
      </w:pPr>
      <w:r w:rsidRPr="006367D4">
        <w:rPr>
          <w:rFonts w:ascii="Arial" w:hAnsi="Arial" w:cs="Arial"/>
          <w:b/>
          <w:bCs/>
          <w:sz w:val="22"/>
          <w:szCs w:val="22"/>
          <w:lang w:val="tr-TR"/>
        </w:rPr>
        <w:t>Graphical abstract</w:t>
      </w:r>
    </w:p>
    <w:p w14:paraId="7677169D" w14:textId="77777777" w:rsidR="00724185" w:rsidRPr="00724185" w:rsidRDefault="00724185" w:rsidP="00CE76C2">
      <w:pPr>
        <w:spacing w:before="100" w:beforeAutospacing="1" w:after="100" w:afterAutospacing="1"/>
        <w:ind w:left="567" w:right="283"/>
        <w:jc w:val="both"/>
        <w:rPr>
          <w:rFonts w:ascii="Arial" w:eastAsia="Times New Roman" w:hAnsi="Arial" w:cs="Arial"/>
          <w:kern w:val="0"/>
          <w:sz w:val="20"/>
          <w:szCs w:val="20"/>
          <w14:ligatures w14:val="none"/>
        </w:rPr>
      </w:pPr>
      <w:r w:rsidRPr="00360A96">
        <w:rPr>
          <w:rFonts w:ascii="Arial" w:eastAsia="Times New Roman" w:hAnsi="Arial" w:cs="Arial"/>
          <w:kern w:val="0"/>
          <w:sz w:val="20"/>
          <w:szCs w:val="20"/>
          <w14:ligatures w14:val="none"/>
        </w:rPr>
        <w:t xml:space="preserve">Challenges, emerging </w:t>
      </w:r>
      <w:r>
        <w:t>opportunities</w:t>
      </w:r>
      <w:r w:rsidRPr="00360A96">
        <w:rPr>
          <w:rFonts w:ascii="Arial" w:eastAsia="Times New Roman" w:hAnsi="Arial" w:cs="Arial"/>
          <w:kern w:val="0"/>
          <w:sz w:val="20"/>
          <w:szCs w:val="20"/>
          <w14:ligatures w14:val="none"/>
        </w:rPr>
        <w:t xml:space="preserve">, and comprehensive therapeutic </w:t>
      </w:r>
      <w:r>
        <w:t>approaches</w:t>
      </w:r>
      <w:r w:rsidRPr="00360A96">
        <w:rPr>
          <w:rFonts w:ascii="Arial" w:eastAsia="Times New Roman" w:hAnsi="Arial" w:cs="Arial"/>
          <w:kern w:val="0"/>
          <w:sz w:val="20"/>
          <w:szCs w:val="20"/>
          <w14:ligatures w14:val="none"/>
        </w:rPr>
        <w:t xml:space="preserve"> in pancreatic ductal adenocarcinoma (PDAC)</w:t>
      </w:r>
    </w:p>
    <w:p w14:paraId="51AB69AA" w14:textId="77777777" w:rsidR="00E54706" w:rsidRPr="0019493F" w:rsidRDefault="00E54706" w:rsidP="00E54706">
      <w:pPr>
        <w:spacing w:before="100" w:beforeAutospacing="1" w:after="100" w:afterAutospacing="1"/>
        <w:ind w:left="851" w:right="283"/>
        <w:jc w:val="both"/>
        <w:rPr>
          <w:rFonts w:ascii="Arial" w:eastAsia="Times New Roman" w:hAnsi="Arial" w:cs="Arial"/>
          <w:kern w:val="0"/>
          <w:sz w:val="22"/>
          <w:szCs w:val="22"/>
          <w14:ligatures w14:val="none"/>
        </w:rPr>
      </w:pPr>
      <w:r w:rsidRPr="00572AF0">
        <w:rPr>
          <w:rFonts w:ascii="Times New Roman" w:hAnsi="Times New Roman" w:cs="Times New Roman"/>
          <w:b/>
          <w:bCs/>
          <w:noProof/>
          <w:sz w:val="22"/>
          <w:szCs w:val="22"/>
          <w:lang w:val="tr-TR"/>
        </w:rPr>
        <w:lastRenderedPageBreak/>
        <w:drawing>
          <wp:inline distT="0" distB="0" distL="0" distR="0" wp14:anchorId="7434F914" wp14:editId="2F4459CB">
            <wp:extent cx="5181600" cy="3723445"/>
            <wp:effectExtent l="0" t="0" r="0" b="0"/>
            <wp:docPr id="42389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90511" name=""/>
                    <pic:cNvPicPr/>
                  </pic:nvPicPr>
                  <pic:blipFill>
                    <a:blip r:embed="rId5"/>
                    <a:stretch>
                      <a:fillRect/>
                    </a:stretch>
                  </pic:blipFill>
                  <pic:spPr>
                    <a:xfrm>
                      <a:off x="0" y="0"/>
                      <a:ext cx="5198685" cy="3735722"/>
                    </a:xfrm>
                    <a:prstGeom prst="rect">
                      <a:avLst/>
                    </a:prstGeom>
                  </pic:spPr>
                </pic:pic>
              </a:graphicData>
            </a:graphic>
          </wp:inline>
        </w:drawing>
      </w:r>
    </w:p>
    <w:p w14:paraId="2B2BDAE0" w14:textId="77777777" w:rsidR="00E54706" w:rsidRPr="0019493F" w:rsidRDefault="00E54706" w:rsidP="007624C6">
      <w:pPr>
        <w:spacing w:before="100" w:beforeAutospacing="1" w:after="100" w:afterAutospacing="1"/>
        <w:ind w:left="567" w:right="283"/>
        <w:jc w:val="both"/>
        <w:outlineLvl w:val="1"/>
        <w:rPr>
          <w:rFonts w:ascii="Arial" w:eastAsia="Times New Roman" w:hAnsi="Arial" w:cs="Arial"/>
          <w:b/>
          <w:bCs/>
          <w:color w:val="000000" w:themeColor="text1"/>
          <w:kern w:val="0"/>
          <w:sz w:val="22"/>
          <w:szCs w:val="22"/>
          <w:lang w:val="tr-TR"/>
          <w14:ligatures w14:val="none"/>
        </w:rPr>
      </w:pPr>
      <w:r w:rsidRPr="0019493F">
        <w:rPr>
          <w:rFonts w:ascii="Arial" w:eastAsia="Times New Roman" w:hAnsi="Arial" w:cs="Arial"/>
          <w:b/>
          <w:bCs/>
          <w:color w:val="000000" w:themeColor="text1"/>
          <w:kern w:val="0"/>
          <w:sz w:val="22"/>
          <w:szCs w:val="22"/>
          <w14:ligatures w14:val="none"/>
        </w:rPr>
        <w:t>I</w:t>
      </w:r>
      <w:r w:rsidRPr="0019493F">
        <w:rPr>
          <w:rFonts w:ascii="Arial" w:eastAsia="Times New Roman" w:hAnsi="Arial" w:cs="Arial"/>
          <w:b/>
          <w:bCs/>
          <w:color w:val="000000" w:themeColor="text1"/>
          <w:kern w:val="0"/>
          <w:sz w:val="22"/>
          <w:szCs w:val="22"/>
          <w:lang w:val="tr-TR"/>
          <w14:ligatures w14:val="none"/>
        </w:rPr>
        <w:t>NTRODUCTION</w:t>
      </w:r>
    </w:p>
    <w:p w14:paraId="0AA00CA1" w14:textId="77777777" w:rsidR="004A11A6" w:rsidRPr="004A11A6" w:rsidRDefault="004A11A6" w:rsidP="004A11A6">
      <w:pPr>
        <w:pStyle w:val="NormalWeb"/>
        <w:ind w:left="567"/>
        <w:jc w:val="both"/>
        <w:rPr>
          <w:rFonts w:ascii="Arial" w:hAnsi="Arial" w:cs="Arial"/>
          <w:sz w:val="20"/>
          <w:szCs w:val="20"/>
        </w:rPr>
      </w:pPr>
      <w:r w:rsidRPr="004A11A6">
        <w:rPr>
          <w:rFonts w:ascii="Arial" w:hAnsi="Arial" w:cs="Arial"/>
          <w:sz w:val="20"/>
          <w:szCs w:val="20"/>
        </w:rPr>
        <w:t>Pancreatic cancer (PC) is a major global health burden. Its incidence ranks 12th among all cancers, with mortality rates nearly equal to incidence. Although it accounts for a relatively small proportion of total cancer diagnoses, pancreatic cancer contributes disproportionately to cancer-related mortality (Bray et al., 2024; Leiphrakpam et al., 2025).</w:t>
      </w:r>
    </w:p>
    <w:p w14:paraId="3911203B" w14:textId="77777777" w:rsidR="004A11A6" w:rsidRPr="004A11A6" w:rsidRDefault="004A11A6" w:rsidP="004A11A6">
      <w:pPr>
        <w:pStyle w:val="NormalWeb"/>
        <w:ind w:left="567"/>
        <w:jc w:val="both"/>
        <w:rPr>
          <w:rFonts w:ascii="Arial" w:hAnsi="Arial" w:cs="Arial"/>
          <w:sz w:val="20"/>
          <w:szCs w:val="20"/>
        </w:rPr>
      </w:pPr>
      <w:r w:rsidRPr="004A11A6">
        <w:rPr>
          <w:rFonts w:ascii="Arial" w:hAnsi="Arial" w:cs="Arial"/>
          <w:sz w:val="20"/>
          <w:szCs w:val="20"/>
        </w:rPr>
        <w:t>The incidence and mortality of pancreatic cancer have risen globally (Leiphrakpam et al., 2025; Huang et al., 2021), including in the United States (Siegel et al., 2025) and across Europe (Partyka et al., 2023; Carioli et al., 2021). The aggressive biology of the disease, combined with the absence of reliable early detection methods, results in poor survival outcomes for most patients. It predominantly affects individuals aged 65 to 85, but incidence is rising among younger individuals and women (Huang et al., 2021; Siegel et al., 2025).</w:t>
      </w:r>
    </w:p>
    <w:p w14:paraId="610E438F" w14:textId="77777777" w:rsidR="004A11A6" w:rsidRPr="004A11A6" w:rsidRDefault="004A11A6" w:rsidP="004A11A6">
      <w:pPr>
        <w:pStyle w:val="NormalWeb"/>
        <w:ind w:left="567"/>
        <w:jc w:val="both"/>
        <w:rPr>
          <w:rFonts w:ascii="Arial" w:hAnsi="Arial" w:cs="Arial"/>
          <w:sz w:val="20"/>
          <w:szCs w:val="20"/>
        </w:rPr>
      </w:pPr>
      <w:r w:rsidRPr="004A11A6">
        <w:rPr>
          <w:rFonts w:ascii="Arial" w:hAnsi="Arial" w:cs="Arial"/>
          <w:sz w:val="20"/>
          <w:szCs w:val="20"/>
        </w:rPr>
        <w:t>Due to its insidious nature, lack of early symptoms, and rapid invasion of adjacent tissues and organs, pancreatic cancer is considered one of the deadliest malignancies. It accounts for 2.6% of all cancers and 4.8% of cancer-related deaths (Bray et al., 2024).</w:t>
      </w:r>
    </w:p>
    <w:p w14:paraId="7B42B3C4" w14:textId="77777777" w:rsidR="004A11A6" w:rsidRPr="004A11A6" w:rsidRDefault="004A11A6" w:rsidP="004A11A6">
      <w:pPr>
        <w:pStyle w:val="NormalWeb"/>
        <w:ind w:left="567"/>
        <w:jc w:val="both"/>
        <w:rPr>
          <w:rFonts w:ascii="Arial" w:hAnsi="Arial" w:cs="Arial"/>
          <w:sz w:val="20"/>
          <w:szCs w:val="20"/>
        </w:rPr>
      </w:pPr>
      <w:r w:rsidRPr="004A11A6">
        <w:rPr>
          <w:rFonts w:ascii="Arial" w:hAnsi="Arial" w:cs="Arial"/>
          <w:sz w:val="20"/>
          <w:szCs w:val="20"/>
        </w:rPr>
        <w:t>Risk factors for pancreatic cancer are generally divided into non-modifiable and modifiable categories (Midha et al., 2016). Non-modifiable factors include sex, age, geography, blood type, genetic predisposition, family history, and diabetes (Midha et al., 2016; Bailey et al., 2016). Modifiable risk factors include gut microbiota dysbiosis, alcohol consumption (Naudin et al., 2025), smoking (Naudin et al., 2025; Korc et al., 2017; Lin et al., 2002), lifestyle factors (Subramanian et al., 2024; Klein, 2021), dietary patterns (Noe et al., 2024; Aune et al., 2012), and excessive intake of fructose-rich foods or high-fructose corn syrup (HFCS), which are associated with metabolic syndrome, obesity, insulin resistance, chronic pancreatitis, and pancreatic cancer (Aune et al., 2012; Laguna et al., 2021; Port et al., 2012; Navarrete-Muñoz et al., 2016; Bantle, 2009; Taskinen et al., 2019; Balakumar et al., 2016; Softic et al., 2020; Xu et al., 2018; Zhao et al., 2022; Nakagawa et al., 2020; Ting, 2024).</w:t>
      </w:r>
    </w:p>
    <w:p w14:paraId="48F758D8" w14:textId="77777777" w:rsidR="004A11A6" w:rsidRPr="004A11A6" w:rsidRDefault="004A11A6" w:rsidP="004A11A6">
      <w:pPr>
        <w:pStyle w:val="NormalWeb"/>
        <w:ind w:left="567"/>
        <w:jc w:val="both"/>
        <w:rPr>
          <w:rFonts w:ascii="Arial" w:hAnsi="Arial" w:cs="Arial"/>
          <w:sz w:val="20"/>
          <w:szCs w:val="20"/>
        </w:rPr>
      </w:pPr>
      <w:r w:rsidRPr="004A11A6">
        <w:rPr>
          <w:rFonts w:ascii="Arial" w:hAnsi="Arial" w:cs="Arial"/>
          <w:sz w:val="20"/>
          <w:szCs w:val="20"/>
        </w:rPr>
        <w:lastRenderedPageBreak/>
        <w:t>In the United States, pancreatic cancer is currently the fourth leading cause of cancer-related deaths and is projected to become the second by 2030 (Rahib et al., 2014). Pancreatic ductal adenocarcinoma (PDAC)—the predominant histological subtype—accounts for approximately 85% of all pancreatic malignancies and remains the principal contributor to pancreatic cancer mortality (Li et al., 2019; Garrido-Laguna et al., 2015).</w:t>
      </w:r>
    </w:p>
    <w:p w14:paraId="54182D03" w14:textId="77777777" w:rsidR="004A11A6" w:rsidRPr="004A11A6" w:rsidRDefault="004A11A6" w:rsidP="004A11A6">
      <w:pPr>
        <w:pStyle w:val="NormalWeb"/>
        <w:ind w:left="567"/>
        <w:jc w:val="both"/>
        <w:rPr>
          <w:rFonts w:ascii="Arial" w:hAnsi="Arial" w:cs="Arial"/>
          <w:sz w:val="20"/>
          <w:szCs w:val="20"/>
        </w:rPr>
      </w:pPr>
      <w:r w:rsidRPr="004A11A6">
        <w:rPr>
          <w:rFonts w:ascii="Arial" w:hAnsi="Arial" w:cs="Arial"/>
          <w:sz w:val="20"/>
          <w:szCs w:val="20"/>
        </w:rPr>
        <w:t>Incidence and mortality continue to rise globally, with 2025 estimates indicating approximately 510,992 new cases and 467,409 deaths worldwide, 67,440/51,980 in the USA, and 140,116/132,134 in the European Union, respectively (Table 1).</w:t>
      </w:r>
    </w:p>
    <w:p w14:paraId="732C1B02" w14:textId="77777777" w:rsidR="00E54706" w:rsidRPr="0019493F" w:rsidRDefault="00E54706" w:rsidP="004A11A6">
      <w:pPr>
        <w:pStyle w:val="NormalWeb"/>
        <w:ind w:right="283" w:firstLine="567"/>
        <w:jc w:val="both"/>
        <w:rPr>
          <w:rFonts w:ascii="Arial" w:hAnsi="Arial" w:cs="Arial"/>
          <w:color w:val="000000" w:themeColor="text1"/>
          <w:sz w:val="20"/>
          <w:szCs w:val="20"/>
        </w:rPr>
      </w:pPr>
      <w:r w:rsidRPr="0019493F">
        <w:rPr>
          <w:rFonts w:ascii="Arial" w:hAnsi="Arial" w:cs="Arial"/>
          <w:b/>
          <w:bCs/>
          <w:color w:val="000000" w:themeColor="text1"/>
          <w:sz w:val="20"/>
          <w:szCs w:val="20"/>
        </w:rPr>
        <w:t xml:space="preserve">Table 1. </w:t>
      </w:r>
      <w:r w:rsidRPr="0019493F">
        <w:rPr>
          <w:rFonts w:ascii="Arial" w:hAnsi="Arial" w:cs="Arial"/>
          <w:color w:val="000000" w:themeColor="text1"/>
          <w:sz w:val="20"/>
          <w:szCs w:val="20"/>
        </w:rPr>
        <w:t xml:space="preserve">Incidence and mortality of </w:t>
      </w:r>
      <w:r w:rsidR="009F1A14">
        <w:rPr>
          <w:rFonts w:ascii="Arial" w:hAnsi="Arial" w:cs="Arial"/>
          <w:color w:val="000000" w:themeColor="text1"/>
          <w:sz w:val="20"/>
          <w:szCs w:val="20"/>
          <w:lang w:val="tr-TR"/>
        </w:rPr>
        <w:t>PC</w:t>
      </w:r>
      <w:r w:rsidRPr="0019493F">
        <w:rPr>
          <w:rFonts w:ascii="Arial" w:hAnsi="Arial" w:cs="Arial"/>
          <w:color w:val="000000" w:themeColor="text1"/>
          <w:sz w:val="20"/>
          <w:szCs w:val="20"/>
        </w:rPr>
        <w:t xml:space="preserve"> in the world</w:t>
      </w:r>
      <w:r w:rsidR="00724185">
        <w:rPr>
          <w:rFonts w:ascii="Arial" w:hAnsi="Arial" w:cs="Arial"/>
          <w:color w:val="000000" w:themeColor="text1"/>
          <w:sz w:val="20"/>
          <w:szCs w:val="20"/>
          <w:lang w:val="tr-TR"/>
        </w:rPr>
        <w:t xml:space="preserve"> (185 countries)</w:t>
      </w:r>
      <w:r w:rsidRPr="0019493F">
        <w:rPr>
          <w:rFonts w:ascii="Arial" w:hAnsi="Arial" w:cs="Arial"/>
          <w:color w:val="000000" w:themeColor="text1"/>
          <w:sz w:val="20"/>
          <w:szCs w:val="20"/>
          <w:lang w:val="tr-TR"/>
        </w:rPr>
        <w:t>,</w:t>
      </w:r>
      <w:r w:rsidRPr="0019493F">
        <w:rPr>
          <w:rFonts w:ascii="Arial" w:hAnsi="Arial" w:cs="Arial"/>
          <w:color w:val="000000" w:themeColor="text1"/>
          <w:sz w:val="20"/>
          <w:szCs w:val="20"/>
        </w:rPr>
        <w:t xml:space="preserve"> </w:t>
      </w:r>
      <w:r w:rsidRPr="0019493F">
        <w:rPr>
          <w:rFonts w:ascii="Arial" w:hAnsi="Arial" w:cs="Arial"/>
          <w:color w:val="000000" w:themeColor="text1"/>
          <w:sz w:val="20"/>
          <w:szCs w:val="20"/>
          <w:lang w:val="tr-TR"/>
        </w:rPr>
        <w:t xml:space="preserve">USA, and </w:t>
      </w:r>
      <w:r w:rsidRPr="0019493F">
        <w:rPr>
          <w:rFonts w:ascii="Arial" w:hAnsi="Arial" w:cs="Arial"/>
          <w:color w:val="000000" w:themeColor="text1"/>
          <w:sz w:val="20"/>
          <w:szCs w:val="20"/>
        </w:rPr>
        <w:t>Europe.</w:t>
      </w:r>
    </w:p>
    <w:tbl>
      <w:tblPr>
        <w:tblStyle w:val="TableGrid"/>
        <w:tblW w:w="8789" w:type="dxa"/>
        <w:tblInd w:w="562" w:type="dxa"/>
        <w:tblLook w:val="04A0" w:firstRow="1" w:lastRow="0" w:firstColumn="1" w:lastColumn="0" w:noHBand="0" w:noVBand="1"/>
      </w:tblPr>
      <w:tblGrid>
        <w:gridCol w:w="3261"/>
        <w:gridCol w:w="1984"/>
        <w:gridCol w:w="1843"/>
        <w:gridCol w:w="1701"/>
      </w:tblGrid>
      <w:tr w:rsidR="00E54706" w:rsidRPr="0019493F" w14:paraId="49ECB7B0" w14:textId="77777777" w:rsidTr="006B7516">
        <w:tc>
          <w:tcPr>
            <w:tcW w:w="3261" w:type="dxa"/>
          </w:tcPr>
          <w:p w14:paraId="7E151ED9" w14:textId="77777777" w:rsidR="00E54706" w:rsidRPr="0019493F" w:rsidRDefault="00E54706" w:rsidP="009F1A14">
            <w:pPr>
              <w:spacing w:before="60"/>
              <w:ind w:left="851" w:right="284" w:hanging="851"/>
              <w:rPr>
                <w:rFonts w:ascii="Arial" w:hAnsi="Arial" w:cs="Arial"/>
                <w:color w:val="000000" w:themeColor="text1"/>
                <w:sz w:val="20"/>
                <w:szCs w:val="20"/>
                <w:lang w:val="tr-TR"/>
              </w:rPr>
            </w:pPr>
            <w:r w:rsidRPr="0019493F">
              <w:rPr>
                <w:rFonts w:ascii="Arial" w:hAnsi="Arial" w:cs="Arial"/>
                <w:color w:val="000000" w:themeColor="text1"/>
                <w:sz w:val="20"/>
                <w:szCs w:val="20"/>
                <w:lang w:val="tr-TR"/>
              </w:rPr>
              <w:t>Pancreatic cancer</w:t>
            </w:r>
          </w:p>
        </w:tc>
        <w:tc>
          <w:tcPr>
            <w:tcW w:w="1984" w:type="dxa"/>
          </w:tcPr>
          <w:p w14:paraId="0B4D663E"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World</w:t>
            </w:r>
            <w:r w:rsidRPr="0019493F">
              <w:rPr>
                <w:rFonts w:ascii="Arial" w:hAnsi="Arial" w:cs="Arial"/>
                <w:color w:val="000000" w:themeColor="text1"/>
                <w:sz w:val="20"/>
                <w:szCs w:val="20"/>
                <w:vertAlign w:val="superscript"/>
                <w:lang w:val="tr-TR"/>
              </w:rPr>
              <w:t>a</w:t>
            </w:r>
          </w:p>
        </w:tc>
        <w:tc>
          <w:tcPr>
            <w:tcW w:w="1843" w:type="dxa"/>
          </w:tcPr>
          <w:p w14:paraId="3358124B"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USA</w:t>
            </w:r>
            <w:r w:rsidRPr="0019493F">
              <w:rPr>
                <w:rFonts w:ascii="Arial" w:hAnsi="Arial" w:cs="Arial"/>
                <w:color w:val="000000" w:themeColor="text1"/>
                <w:sz w:val="20"/>
                <w:szCs w:val="20"/>
                <w:vertAlign w:val="superscript"/>
                <w:lang w:val="tr-TR"/>
              </w:rPr>
              <w:t>b</w:t>
            </w:r>
          </w:p>
        </w:tc>
        <w:tc>
          <w:tcPr>
            <w:tcW w:w="1701" w:type="dxa"/>
          </w:tcPr>
          <w:p w14:paraId="54C2A2CF"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Europe</w:t>
            </w:r>
          </w:p>
        </w:tc>
      </w:tr>
      <w:tr w:rsidR="00E54706" w:rsidRPr="0019493F" w14:paraId="5D01E705" w14:textId="77777777" w:rsidTr="006B7516">
        <w:tc>
          <w:tcPr>
            <w:tcW w:w="3261" w:type="dxa"/>
          </w:tcPr>
          <w:p w14:paraId="194FC8A3" w14:textId="77777777" w:rsidR="00E54706" w:rsidRPr="0019493F" w:rsidRDefault="00E54706" w:rsidP="009F1A14">
            <w:pPr>
              <w:spacing w:before="60"/>
              <w:ind w:left="851" w:right="284" w:hanging="851"/>
              <w:rPr>
                <w:rFonts w:ascii="Arial" w:hAnsi="Arial" w:cs="Arial"/>
                <w:color w:val="000000" w:themeColor="text1"/>
                <w:sz w:val="20"/>
                <w:szCs w:val="20"/>
                <w:lang w:val="tr-TR"/>
              </w:rPr>
            </w:pPr>
            <w:r w:rsidRPr="0019493F">
              <w:rPr>
                <w:rFonts w:ascii="Arial" w:hAnsi="Arial" w:cs="Arial"/>
                <w:color w:val="000000" w:themeColor="text1"/>
                <w:sz w:val="20"/>
                <w:szCs w:val="20"/>
                <w:lang w:val="tr-TR"/>
              </w:rPr>
              <w:t>Total number of cases</w:t>
            </w:r>
          </w:p>
        </w:tc>
        <w:tc>
          <w:tcPr>
            <w:tcW w:w="1984" w:type="dxa"/>
          </w:tcPr>
          <w:p w14:paraId="24D0C5B2"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510992</w:t>
            </w:r>
            <w:r w:rsidRPr="0019493F">
              <w:rPr>
                <w:rFonts w:ascii="Arial" w:hAnsi="Arial" w:cs="Arial"/>
                <w:color w:val="000000" w:themeColor="text1"/>
                <w:sz w:val="20"/>
                <w:szCs w:val="20"/>
                <w:vertAlign w:val="superscript"/>
                <w:lang w:val="tr-TR"/>
              </w:rPr>
              <w:t>a</w:t>
            </w:r>
          </w:p>
        </w:tc>
        <w:tc>
          <w:tcPr>
            <w:tcW w:w="1843" w:type="dxa"/>
          </w:tcPr>
          <w:p w14:paraId="783D0524"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67440</w:t>
            </w:r>
            <w:r w:rsidRPr="0019493F">
              <w:rPr>
                <w:rFonts w:ascii="Arial" w:hAnsi="Arial" w:cs="Arial"/>
                <w:color w:val="000000" w:themeColor="text1"/>
                <w:sz w:val="20"/>
                <w:szCs w:val="20"/>
                <w:vertAlign w:val="superscript"/>
                <w:lang w:val="tr-TR"/>
              </w:rPr>
              <w:t>b</w:t>
            </w:r>
          </w:p>
        </w:tc>
        <w:tc>
          <w:tcPr>
            <w:tcW w:w="1701" w:type="dxa"/>
          </w:tcPr>
          <w:p w14:paraId="57FB4138"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140116</w:t>
            </w:r>
            <w:r w:rsidRPr="0019493F">
              <w:rPr>
                <w:rFonts w:ascii="Arial" w:hAnsi="Arial" w:cs="Arial"/>
                <w:color w:val="000000" w:themeColor="text1"/>
                <w:sz w:val="20"/>
                <w:szCs w:val="20"/>
                <w:vertAlign w:val="superscript"/>
                <w:lang w:val="tr-TR"/>
              </w:rPr>
              <w:t>c</w:t>
            </w:r>
          </w:p>
        </w:tc>
      </w:tr>
      <w:tr w:rsidR="00E54706" w:rsidRPr="0019493F" w14:paraId="6D19AECE" w14:textId="77777777" w:rsidTr="006B7516">
        <w:tc>
          <w:tcPr>
            <w:tcW w:w="3261" w:type="dxa"/>
          </w:tcPr>
          <w:p w14:paraId="2D089750" w14:textId="77777777" w:rsidR="00E54706" w:rsidRPr="0019493F" w:rsidRDefault="00E54706" w:rsidP="009F1A14">
            <w:pPr>
              <w:spacing w:before="60"/>
              <w:ind w:left="851" w:right="284" w:hanging="851"/>
              <w:rPr>
                <w:rFonts w:ascii="Arial" w:hAnsi="Arial" w:cs="Arial"/>
                <w:color w:val="000000" w:themeColor="text1"/>
                <w:sz w:val="20"/>
                <w:szCs w:val="20"/>
                <w:lang w:val="tr-TR"/>
              </w:rPr>
            </w:pPr>
            <w:r w:rsidRPr="0019493F">
              <w:rPr>
                <w:rFonts w:ascii="Arial" w:hAnsi="Arial" w:cs="Arial"/>
                <w:color w:val="000000" w:themeColor="text1"/>
                <w:sz w:val="20"/>
                <w:szCs w:val="20"/>
                <w:lang w:val="tr-TR"/>
              </w:rPr>
              <w:t>Number of men with PC</w:t>
            </w:r>
          </w:p>
        </w:tc>
        <w:tc>
          <w:tcPr>
            <w:tcW w:w="1984" w:type="dxa"/>
          </w:tcPr>
          <w:p w14:paraId="3DA1B280"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269709</w:t>
            </w:r>
            <w:r w:rsidRPr="0019493F">
              <w:rPr>
                <w:rFonts w:ascii="Arial" w:hAnsi="Arial" w:cs="Arial"/>
                <w:color w:val="000000" w:themeColor="text1"/>
                <w:sz w:val="20"/>
                <w:szCs w:val="20"/>
                <w:vertAlign w:val="superscript"/>
                <w:lang w:val="tr-TR"/>
              </w:rPr>
              <w:t>a</w:t>
            </w:r>
          </w:p>
        </w:tc>
        <w:tc>
          <w:tcPr>
            <w:tcW w:w="1843" w:type="dxa"/>
          </w:tcPr>
          <w:p w14:paraId="7F49BB8D"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34950</w:t>
            </w:r>
            <w:r w:rsidRPr="0019493F">
              <w:rPr>
                <w:rFonts w:ascii="Arial" w:hAnsi="Arial" w:cs="Arial"/>
                <w:color w:val="000000" w:themeColor="text1"/>
                <w:sz w:val="20"/>
                <w:szCs w:val="20"/>
                <w:vertAlign w:val="superscript"/>
                <w:lang w:val="tr-TR"/>
              </w:rPr>
              <w:t>b</w:t>
            </w:r>
          </w:p>
        </w:tc>
        <w:tc>
          <w:tcPr>
            <w:tcW w:w="1701" w:type="dxa"/>
          </w:tcPr>
          <w:p w14:paraId="4AAD155F"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w:t>
            </w:r>
          </w:p>
        </w:tc>
      </w:tr>
      <w:tr w:rsidR="00E54706" w:rsidRPr="0019493F" w14:paraId="7C78BFCE" w14:textId="77777777" w:rsidTr="006B7516">
        <w:tc>
          <w:tcPr>
            <w:tcW w:w="3261" w:type="dxa"/>
          </w:tcPr>
          <w:p w14:paraId="0D54181D" w14:textId="77777777" w:rsidR="00E54706" w:rsidRPr="0019493F" w:rsidRDefault="00E54706" w:rsidP="009F1A14">
            <w:pPr>
              <w:spacing w:before="60"/>
              <w:ind w:left="851" w:right="284" w:hanging="851"/>
              <w:rPr>
                <w:rFonts w:ascii="Arial" w:hAnsi="Arial" w:cs="Arial"/>
                <w:color w:val="000000" w:themeColor="text1"/>
                <w:sz w:val="20"/>
                <w:szCs w:val="20"/>
                <w:lang w:val="tr-TR"/>
              </w:rPr>
            </w:pPr>
            <w:r w:rsidRPr="0019493F">
              <w:rPr>
                <w:rFonts w:ascii="Arial" w:hAnsi="Arial" w:cs="Arial"/>
                <w:color w:val="000000" w:themeColor="text1"/>
                <w:sz w:val="20"/>
                <w:szCs w:val="20"/>
                <w:lang w:val="tr-TR"/>
              </w:rPr>
              <w:t>Number of women with PC</w:t>
            </w:r>
          </w:p>
        </w:tc>
        <w:tc>
          <w:tcPr>
            <w:tcW w:w="1984" w:type="dxa"/>
          </w:tcPr>
          <w:p w14:paraId="6E2DCD00"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241283</w:t>
            </w:r>
            <w:r w:rsidRPr="0019493F">
              <w:rPr>
                <w:rFonts w:ascii="Arial" w:hAnsi="Arial" w:cs="Arial"/>
                <w:color w:val="000000" w:themeColor="text1"/>
                <w:sz w:val="20"/>
                <w:szCs w:val="20"/>
                <w:vertAlign w:val="superscript"/>
                <w:lang w:val="tr-TR"/>
              </w:rPr>
              <w:t>a</w:t>
            </w:r>
          </w:p>
        </w:tc>
        <w:tc>
          <w:tcPr>
            <w:tcW w:w="1843" w:type="dxa"/>
          </w:tcPr>
          <w:p w14:paraId="6E1E693D"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32490</w:t>
            </w:r>
            <w:r w:rsidRPr="0019493F">
              <w:rPr>
                <w:rFonts w:ascii="Arial" w:hAnsi="Arial" w:cs="Arial"/>
                <w:color w:val="000000" w:themeColor="text1"/>
                <w:sz w:val="20"/>
                <w:szCs w:val="20"/>
                <w:vertAlign w:val="superscript"/>
                <w:lang w:val="tr-TR"/>
              </w:rPr>
              <w:t>b</w:t>
            </w:r>
          </w:p>
        </w:tc>
        <w:tc>
          <w:tcPr>
            <w:tcW w:w="1701" w:type="dxa"/>
          </w:tcPr>
          <w:p w14:paraId="1FB84D43"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w:t>
            </w:r>
          </w:p>
        </w:tc>
      </w:tr>
      <w:tr w:rsidR="00E54706" w:rsidRPr="0019493F" w14:paraId="08F4ADAD" w14:textId="77777777" w:rsidTr="006B7516">
        <w:trPr>
          <w:trHeight w:val="51"/>
        </w:trPr>
        <w:tc>
          <w:tcPr>
            <w:tcW w:w="3261" w:type="dxa"/>
          </w:tcPr>
          <w:p w14:paraId="3F633214" w14:textId="77777777" w:rsidR="00E54706" w:rsidRPr="0019493F" w:rsidRDefault="00E54706" w:rsidP="009F1A14">
            <w:pPr>
              <w:spacing w:before="60"/>
              <w:ind w:left="851" w:right="284" w:hanging="851"/>
              <w:rPr>
                <w:rFonts w:ascii="Arial" w:hAnsi="Arial" w:cs="Arial"/>
                <w:color w:val="000000" w:themeColor="text1"/>
                <w:sz w:val="20"/>
                <w:szCs w:val="20"/>
                <w:lang w:val="tr-TR"/>
              </w:rPr>
            </w:pPr>
            <w:r w:rsidRPr="0019493F">
              <w:rPr>
                <w:rFonts w:ascii="Arial" w:hAnsi="Arial" w:cs="Arial"/>
                <w:color w:val="000000" w:themeColor="text1"/>
                <w:sz w:val="20"/>
                <w:szCs w:val="20"/>
                <w:lang w:val="tr-TR"/>
              </w:rPr>
              <w:t>Total number of deaths</w:t>
            </w:r>
          </w:p>
        </w:tc>
        <w:tc>
          <w:tcPr>
            <w:tcW w:w="1984" w:type="dxa"/>
          </w:tcPr>
          <w:p w14:paraId="5B850700" w14:textId="77777777" w:rsidR="00E54706" w:rsidRPr="0019493F" w:rsidRDefault="00E54706" w:rsidP="009F1A14">
            <w:pPr>
              <w:spacing w:before="60"/>
              <w:ind w:left="851" w:right="284" w:hanging="851"/>
              <w:jc w:val="center"/>
              <w:rPr>
                <w:rFonts w:ascii="Arial" w:hAnsi="Arial" w:cs="Arial"/>
                <w:color w:val="000000" w:themeColor="text1"/>
                <w:sz w:val="20"/>
                <w:szCs w:val="20"/>
              </w:rPr>
            </w:pPr>
            <w:r w:rsidRPr="0019493F">
              <w:rPr>
                <w:rFonts w:ascii="Arial" w:hAnsi="Arial" w:cs="Arial"/>
                <w:color w:val="000000" w:themeColor="text1"/>
                <w:sz w:val="20"/>
                <w:szCs w:val="20"/>
                <w:lang w:val="tr-TR"/>
              </w:rPr>
              <w:t>467409</w:t>
            </w:r>
            <w:r w:rsidRPr="0019493F">
              <w:rPr>
                <w:rFonts w:ascii="Arial" w:hAnsi="Arial" w:cs="Arial"/>
                <w:color w:val="000000" w:themeColor="text1"/>
                <w:sz w:val="20"/>
                <w:szCs w:val="20"/>
                <w:vertAlign w:val="superscript"/>
                <w:lang w:val="tr-TR"/>
              </w:rPr>
              <w:t>a</w:t>
            </w:r>
          </w:p>
        </w:tc>
        <w:tc>
          <w:tcPr>
            <w:tcW w:w="1843" w:type="dxa"/>
          </w:tcPr>
          <w:p w14:paraId="196A6DC2"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51980</w:t>
            </w:r>
            <w:r w:rsidRPr="0019493F">
              <w:rPr>
                <w:rFonts w:ascii="Arial" w:hAnsi="Arial" w:cs="Arial"/>
                <w:color w:val="000000" w:themeColor="text1"/>
                <w:sz w:val="20"/>
                <w:szCs w:val="20"/>
                <w:vertAlign w:val="superscript"/>
                <w:lang w:val="tr-TR"/>
              </w:rPr>
              <w:t>b</w:t>
            </w:r>
          </w:p>
        </w:tc>
        <w:tc>
          <w:tcPr>
            <w:tcW w:w="1701" w:type="dxa"/>
          </w:tcPr>
          <w:p w14:paraId="23016E64"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132134</w:t>
            </w:r>
            <w:r w:rsidRPr="0019493F">
              <w:rPr>
                <w:rFonts w:ascii="Arial" w:hAnsi="Arial" w:cs="Arial"/>
                <w:color w:val="000000" w:themeColor="text1"/>
                <w:sz w:val="20"/>
                <w:szCs w:val="20"/>
                <w:vertAlign w:val="superscript"/>
                <w:lang w:val="tr-TR"/>
              </w:rPr>
              <w:t>c</w:t>
            </w:r>
          </w:p>
        </w:tc>
      </w:tr>
      <w:tr w:rsidR="00E54706" w:rsidRPr="0019493F" w14:paraId="03950DC4" w14:textId="77777777" w:rsidTr="006B7516">
        <w:tc>
          <w:tcPr>
            <w:tcW w:w="3261" w:type="dxa"/>
          </w:tcPr>
          <w:p w14:paraId="2DB773EE" w14:textId="77777777" w:rsidR="00E54706" w:rsidRPr="0019493F" w:rsidRDefault="00E54706" w:rsidP="009F1A14">
            <w:pPr>
              <w:spacing w:before="60"/>
              <w:ind w:left="851" w:right="284" w:hanging="851"/>
              <w:rPr>
                <w:rFonts w:ascii="Arial" w:hAnsi="Arial" w:cs="Arial"/>
                <w:color w:val="000000" w:themeColor="text1"/>
                <w:sz w:val="20"/>
                <w:szCs w:val="20"/>
                <w:lang w:val="tr-TR"/>
              </w:rPr>
            </w:pPr>
            <w:r w:rsidRPr="0019493F">
              <w:rPr>
                <w:rFonts w:ascii="Arial" w:hAnsi="Arial" w:cs="Arial"/>
                <w:color w:val="000000" w:themeColor="text1"/>
                <w:sz w:val="20"/>
                <w:szCs w:val="20"/>
                <w:lang w:val="tr-TR"/>
              </w:rPr>
              <w:t>Men died due to PC</w:t>
            </w:r>
          </w:p>
        </w:tc>
        <w:tc>
          <w:tcPr>
            <w:tcW w:w="1984" w:type="dxa"/>
          </w:tcPr>
          <w:p w14:paraId="71E74022"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247589</w:t>
            </w:r>
            <w:r w:rsidRPr="0019493F">
              <w:rPr>
                <w:rFonts w:ascii="Arial" w:hAnsi="Arial" w:cs="Arial"/>
                <w:color w:val="000000" w:themeColor="text1"/>
                <w:sz w:val="20"/>
                <w:szCs w:val="20"/>
                <w:vertAlign w:val="superscript"/>
                <w:lang w:val="tr-TR"/>
              </w:rPr>
              <w:t>a</w:t>
            </w:r>
          </w:p>
        </w:tc>
        <w:tc>
          <w:tcPr>
            <w:tcW w:w="1843" w:type="dxa"/>
          </w:tcPr>
          <w:p w14:paraId="4F944DEA"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27050</w:t>
            </w:r>
            <w:r w:rsidRPr="0019493F">
              <w:rPr>
                <w:rFonts w:ascii="Arial" w:hAnsi="Arial" w:cs="Arial"/>
                <w:color w:val="000000" w:themeColor="text1"/>
                <w:sz w:val="20"/>
                <w:szCs w:val="20"/>
                <w:vertAlign w:val="superscript"/>
                <w:lang w:val="tr-TR"/>
              </w:rPr>
              <w:t>b</w:t>
            </w:r>
          </w:p>
        </w:tc>
        <w:tc>
          <w:tcPr>
            <w:tcW w:w="1701" w:type="dxa"/>
          </w:tcPr>
          <w:p w14:paraId="077DE3B3"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42300</w:t>
            </w:r>
            <w:r w:rsidRPr="0019493F">
              <w:rPr>
                <w:rFonts w:ascii="Arial" w:hAnsi="Arial" w:cs="Arial"/>
                <w:color w:val="000000" w:themeColor="text1"/>
                <w:sz w:val="20"/>
                <w:szCs w:val="20"/>
                <w:vertAlign w:val="superscript"/>
                <w:lang w:val="tr-TR"/>
              </w:rPr>
              <w:t>d</w:t>
            </w:r>
          </w:p>
        </w:tc>
      </w:tr>
      <w:tr w:rsidR="00E54706" w:rsidRPr="0019493F" w14:paraId="05D21822" w14:textId="77777777" w:rsidTr="006B7516">
        <w:tc>
          <w:tcPr>
            <w:tcW w:w="3261" w:type="dxa"/>
          </w:tcPr>
          <w:p w14:paraId="083DD37A" w14:textId="77777777" w:rsidR="00E54706" w:rsidRPr="0019493F" w:rsidRDefault="00E54706" w:rsidP="009F1A14">
            <w:pPr>
              <w:spacing w:before="60"/>
              <w:ind w:left="851" w:right="284" w:hanging="851"/>
              <w:rPr>
                <w:rFonts w:ascii="Arial" w:hAnsi="Arial" w:cs="Arial"/>
                <w:color w:val="000000" w:themeColor="text1"/>
                <w:sz w:val="20"/>
                <w:szCs w:val="20"/>
              </w:rPr>
            </w:pPr>
            <w:r w:rsidRPr="0019493F">
              <w:rPr>
                <w:rFonts w:ascii="Arial" w:hAnsi="Arial" w:cs="Arial"/>
                <w:color w:val="000000" w:themeColor="text1"/>
                <w:sz w:val="20"/>
                <w:szCs w:val="20"/>
                <w:lang w:val="tr-TR"/>
              </w:rPr>
              <w:t>Women died due to PC</w:t>
            </w:r>
          </w:p>
        </w:tc>
        <w:tc>
          <w:tcPr>
            <w:tcW w:w="1984" w:type="dxa"/>
          </w:tcPr>
          <w:p w14:paraId="46E6966F"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219820</w:t>
            </w:r>
            <w:r w:rsidRPr="0019493F">
              <w:rPr>
                <w:rFonts w:ascii="Arial" w:hAnsi="Arial" w:cs="Arial"/>
                <w:color w:val="000000" w:themeColor="text1"/>
                <w:sz w:val="20"/>
                <w:szCs w:val="20"/>
                <w:vertAlign w:val="superscript"/>
                <w:lang w:val="tr-TR"/>
              </w:rPr>
              <w:t>a</w:t>
            </w:r>
          </w:p>
        </w:tc>
        <w:tc>
          <w:tcPr>
            <w:tcW w:w="1843" w:type="dxa"/>
          </w:tcPr>
          <w:p w14:paraId="1725F31F"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24930</w:t>
            </w:r>
            <w:r w:rsidRPr="0019493F">
              <w:rPr>
                <w:rFonts w:ascii="Arial" w:hAnsi="Arial" w:cs="Arial"/>
                <w:color w:val="000000" w:themeColor="text1"/>
                <w:sz w:val="20"/>
                <w:szCs w:val="20"/>
                <w:vertAlign w:val="superscript"/>
                <w:lang w:val="tr-TR"/>
              </w:rPr>
              <w:t>b</w:t>
            </w:r>
          </w:p>
        </w:tc>
        <w:tc>
          <w:tcPr>
            <w:tcW w:w="1701" w:type="dxa"/>
          </w:tcPr>
          <w:p w14:paraId="25ECBB17" w14:textId="77777777" w:rsidR="00E54706" w:rsidRPr="0019493F" w:rsidRDefault="00E54706" w:rsidP="009F1A14">
            <w:pPr>
              <w:spacing w:before="60"/>
              <w:ind w:left="851" w:right="284" w:hanging="851"/>
              <w:jc w:val="center"/>
              <w:rPr>
                <w:rFonts w:ascii="Arial" w:hAnsi="Arial" w:cs="Arial"/>
                <w:color w:val="000000" w:themeColor="text1"/>
                <w:sz w:val="20"/>
                <w:szCs w:val="20"/>
                <w:lang w:val="tr-TR"/>
              </w:rPr>
            </w:pPr>
            <w:r w:rsidRPr="0019493F">
              <w:rPr>
                <w:rFonts w:ascii="Arial" w:hAnsi="Arial" w:cs="Arial"/>
                <w:color w:val="000000" w:themeColor="text1"/>
                <w:sz w:val="20"/>
                <w:szCs w:val="20"/>
                <w:lang w:val="tr-TR"/>
              </w:rPr>
              <w:t>41900</w:t>
            </w:r>
            <w:r w:rsidRPr="0019493F">
              <w:rPr>
                <w:rFonts w:ascii="Arial" w:hAnsi="Arial" w:cs="Arial"/>
                <w:color w:val="000000" w:themeColor="text1"/>
                <w:sz w:val="20"/>
                <w:szCs w:val="20"/>
                <w:vertAlign w:val="superscript"/>
                <w:lang w:val="tr-TR"/>
              </w:rPr>
              <w:t>d</w:t>
            </w:r>
          </w:p>
        </w:tc>
      </w:tr>
    </w:tbl>
    <w:p w14:paraId="67F47B5C" w14:textId="77777777" w:rsidR="00E54706" w:rsidRPr="007624C6" w:rsidRDefault="00E54706" w:rsidP="007624C6">
      <w:pPr>
        <w:spacing w:before="60"/>
        <w:ind w:left="567" w:right="284"/>
        <w:rPr>
          <w:rFonts w:ascii="Arial" w:hAnsi="Arial" w:cs="Arial"/>
          <w:color w:val="000000" w:themeColor="text1"/>
          <w:sz w:val="20"/>
          <w:szCs w:val="20"/>
          <w:lang w:val="tr-TR"/>
        </w:rPr>
      </w:pPr>
      <w:r w:rsidRPr="007624C6">
        <w:rPr>
          <w:rFonts w:ascii="Arial" w:hAnsi="Arial" w:cs="Arial"/>
          <w:color w:val="000000" w:themeColor="text1"/>
          <w:sz w:val="20"/>
          <w:szCs w:val="20"/>
          <w:vertAlign w:val="superscript"/>
          <w:lang w:val="tr-TR"/>
        </w:rPr>
        <w:t>a</w:t>
      </w:r>
      <w:r w:rsidRPr="007624C6">
        <w:rPr>
          <w:rFonts w:ascii="Arial" w:hAnsi="Arial" w:cs="Arial"/>
          <w:color w:val="000000" w:themeColor="text1"/>
          <w:sz w:val="20"/>
          <w:szCs w:val="20"/>
          <w:lang w:val="tr-TR"/>
        </w:rPr>
        <w:t xml:space="preserve">(Bray et al., 2024; Leiphrakpam et al., 2025; Huang et al., 2021); </w:t>
      </w:r>
      <w:r w:rsidRPr="007624C6">
        <w:rPr>
          <w:rFonts w:ascii="Arial" w:hAnsi="Arial" w:cs="Arial"/>
          <w:color w:val="000000" w:themeColor="text1"/>
          <w:sz w:val="20"/>
          <w:szCs w:val="20"/>
          <w:vertAlign w:val="superscript"/>
          <w:lang w:val="tr-TR"/>
        </w:rPr>
        <w:t>b</w:t>
      </w:r>
      <w:r w:rsidRPr="007624C6">
        <w:rPr>
          <w:rFonts w:ascii="Arial" w:hAnsi="Arial" w:cs="Arial"/>
          <w:color w:val="000000" w:themeColor="text1"/>
          <w:sz w:val="20"/>
          <w:szCs w:val="20"/>
          <w:lang w:val="tr-TR"/>
        </w:rPr>
        <w:t xml:space="preserve">(Siegel et al., 2025; </w:t>
      </w:r>
      <w:r w:rsidRPr="007624C6">
        <w:rPr>
          <w:rFonts w:ascii="Arial" w:eastAsia="Times New Roman" w:hAnsi="Arial" w:cs="Arial"/>
          <w:color w:val="000000" w:themeColor="text1"/>
          <w:kern w:val="0"/>
          <w:sz w:val="20"/>
          <w:szCs w:val="20"/>
          <w:lang w:val="tr-TR"/>
          <w14:ligatures w14:val="none"/>
        </w:rPr>
        <w:t>Rahib et al., 2014</w:t>
      </w:r>
      <w:r w:rsidRPr="007624C6">
        <w:rPr>
          <w:rFonts w:ascii="Arial" w:hAnsi="Arial" w:cs="Arial"/>
          <w:color w:val="000000" w:themeColor="text1"/>
          <w:sz w:val="20"/>
          <w:szCs w:val="20"/>
          <w:lang w:val="tr-TR"/>
        </w:rPr>
        <w:t xml:space="preserve">); </w:t>
      </w:r>
      <w:r w:rsidRPr="007624C6">
        <w:rPr>
          <w:rFonts w:ascii="Arial" w:hAnsi="Arial" w:cs="Arial"/>
          <w:color w:val="000000" w:themeColor="text1"/>
          <w:sz w:val="20"/>
          <w:szCs w:val="20"/>
          <w:vertAlign w:val="superscript"/>
          <w:lang w:val="tr-TR"/>
        </w:rPr>
        <w:t>c</w:t>
      </w:r>
      <w:r w:rsidRPr="007624C6">
        <w:rPr>
          <w:rFonts w:ascii="Arial" w:hAnsi="Arial" w:cs="Arial"/>
          <w:color w:val="000000" w:themeColor="text1"/>
          <w:sz w:val="20"/>
          <w:szCs w:val="20"/>
          <w:lang w:val="tr-TR"/>
        </w:rPr>
        <w:t>(</w:t>
      </w:r>
      <w:r w:rsidRPr="007624C6">
        <w:rPr>
          <w:rFonts w:ascii="Arial" w:eastAsia="Times New Roman" w:hAnsi="Arial" w:cs="Arial"/>
          <w:color w:val="000000" w:themeColor="text1"/>
          <w:kern w:val="0"/>
          <w:sz w:val="20"/>
          <w:szCs w:val="20"/>
          <w:lang w:val="tr-TR"/>
          <w14:ligatures w14:val="none"/>
        </w:rPr>
        <w:t>Partyka et al., 2023</w:t>
      </w:r>
      <w:r w:rsidRPr="007624C6">
        <w:rPr>
          <w:rFonts w:ascii="Arial" w:hAnsi="Arial" w:cs="Arial"/>
          <w:color w:val="000000" w:themeColor="text1"/>
          <w:sz w:val="20"/>
          <w:szCs w:val="20"/>
          <w:lang w:val="tr-TR"/>
        </w:rPr>
        <w:t xml:space="preserve">); </w:t>
      </w:r>
      <w:r w:rsidRPr="007624C6">
        <w:rPr>
          <w:rFonts w:ascii="Arial" w:hAnsi="Arial" w:cs="Arial"/>
          <w:color w:val="000000" w:themeColor="text1"/>
          <w:sz w:val="20"/>
          <w:szCs w:val="20"/>
          <w:vertAlign w:val="superscript"/>
          <w:lang w:val="tr-TR"/>
        </w:rPr>
        <w:t>d</w:t>
      </w:r>
      <w:r w:rsidRPr="007624C6">
        <w:rPr>
          <w:rFonts w:ascii="Arial" w:hAnsi="Arial" w:cs="Arial"/>
          <w:color w:val="000000" w:themeColor="text1"/>
          <w:sz w:val="20"/>
          <w:szCs w:val="20"/>
          <w:lang w:val="tr-TR"/>
        </w:rPr>
        <w:t>(</w:t>
      </w:r>
      <w:r w:rsidRPr="007624C6">
        <w:rPr>
          <w:rFonts w:ascii="Arial" w:eastAsia="Times New Roman" w:hAnsi="Arial" w:cs="Arial"/>
          <w:color w:val="000000" w:themeColor="text1"/>
          <w:kern w:val="0"/>
          <w:sz w:val="20"/>
          <w:szCs w:val="20"/>
          <w:lang w:val="tr-TR"/>
          <w14:ligatures w14:val="none"/>
        </w:rPr>
        <w:t>Carioli et al., 2021</w:t>
      </w:r>
      <w:r w:rsidRPr="007624C6">
        <w:rPr>
          <w:rFonts w:ascii="Arial" w:hAnsi="Arial" w:cs="Arial"/>
          <w:color w:val="000000" w:themeColor="text1"/>
          <w:sz w:val="20"/>
          <w:szCs w:val="20"/>
          <w:lang w:val="tr-TR"/>
        </w:rPr>
        <w:t xml:space="preserve">). </w:t>
      </w:r>
    </w:p>
    <w:p w14:paraId="292D5C4E" w14:textId="77777777" w:rsidR="00E54706" w:rsidRPr="0019493F" w:rsidRDefault="00E54706" w:rsidP="00E54706">
      <w:pPr>
        <w:spacing w:before="100" w:beforeAutospacing="1" w:after="100" w:afterAutospacing="1"/>
        <w:ind w:left="567" w:right="283"/>
        <w:jc w:val="both"/>
        <w:rPr>
          <w:rFonts w:ascii="Arial" w:eastAsia="Times New Roman" w:hAnsi="Arial" w:cs="Arial"/>
          <w:color w:val="000000" w:themeColor="text1"/>
          <w:kern w:val="0"/>
          <w:sz w:val="20"/>
          <w:szCs w:val="20"/>
          <w14:ligatures w14:val="none"/>
        </w:rPr>
      </w:pPr>
      <w:r w:rsidRPr="0019493F">
        <w:rPr>
          <w:rFonts w:ascii="Arial" w:eastAsia="Times New Roman" w:hAnsi="Arial" w:cs="Arial"/>
          <w:color w:val="000000" w:themeColor="text1"/>
          <w:kern w:val="0"/>
          <w:sz w:val="20"/>
          <w:szCs w:val="20"/>
          <w14:ligatures w14:val="none"/>
        </w:rPr>
        <w:t xml:space="preserve">Multiple factors contribute to PDAC’s dismal prognosis, including the absence of early diagnostic biomarkers, intrinsic drug resistance, and high recurrence rates </w:t>
      </w:r>
      <w:r w:rsidRPr="0019493F">
        <w:rPr>
          <w:rFonts w:ascii="Arial" w:eastAsia="Times New Roman" w:hAnsi="Arial" w:cs="Arial"/>
          <w:color w:val="000000" w:themeColor="text1"/>
          <w:kern w:val="0"/>
          <w:sz w:val="20"/>
          <w:szCs w:val="20"/>
          <w:lang w:val="tr-TR"/>
          <w14:ligatures w14:val="none"/>
        </w:rPr>
        <w:t>(</w:t>
      </w:r>
      <w:r w:rsidRPr="0019493F">
        <w:rPr>
          <w:rFonts w:ascii="Arial" w:hAnsi="Arial" w:cs="Arial"/>
          <w:color w:val="000000" w:themeColor="text1"/>
          <w:sz w:val="20"/>
          <w:szCs w:val="20"/>
          <w:lang w:val="tr-TR"/>
        </w:rPr>
        <w:t>Bray et al., 2024; Leiphrakpam et al., 2025;</w:t>
      </w:r>
      <w:r w:rsidRPr="0019493F">
        <w:rPr>
          <w:rFonts w:ascii="Arial" w:eastAsia="Times New Roman" w:hAnsi="Arial" w:cs="Arial"/>
          <w:color w:val="000000" w:themeColor="text1"/>
          <w:kern w:val="0"/>
          <w:sz w:val="20"/>
          <w:szCs w:val="20"/>
          <w14:ligatures w14:val="none"/>
        </w:rPr>
        <w:t xml:space="preserve"> </w:t>
      </w:r>
      <w:r w:rsidRPr="0019493F">
        <w:rPr>
          <w:rFonts w:ascii="Arial" w:eastAsia="Times New Roman" w:hAnsi="Arial" w:cs="Arial"/>
          <w:color w:val="000000" w:themeColor="text1"/>
          <w:kern w:val="0"/>
          <w:sz w:val="20"/>
          <w:szCs w:val="20"/>
          <w:lang w:val="en"/>
          <w14:ligatures w14:val="none"/>
        </w:rPr>
        <w:t xml:space="preserve">Huang et al., 2021; Siegel et al., 2025; </w:t>
      </w:r>
      <w:r w:rsidRPr="0019493F">
        <w:rPr>
          <w:rFonts w:ascii="Arial" w:eastAsia="Times New Roman" w:hAnsi="Arial" w:cs="Arial"/>
          <w:color w:val="000000" w:themeColor="text1"/>
          <w:kern w:val="0"/>
          <w:sz w:val="20"/>
          <w:szCs w:val="20"/>
          <w:lang w:val="tr-TR"/>
          <w14:ligatures w14:val="none"/>
        </w:rPr>
        <w:t>Partyka et al., 2023; Carioli et al., 2021; Rahib et al., 2014; Li et al., 2019; Garrido-Laguna et al., 2015; Zhu et al., 2018)</w:t>
      </w:r>
      <w:r w:rsidRPr="0019493F">
        <w:rPr>
          <w:rFonts w:ascii="Arial" w:eastAsia="Times New Roman" w:hAnsi="Arial" w:cs="Arial"/>
          <w:color w:val="000000" w:themeColor="text1"/>
          <w:kern w:val="0"/>
          <w:sz w:val="20"/>
          <w:szCs w:val="20"/>
          <w14:ligatures w14:val="none"/>
        </w:rPr>
        <w:t>. The overall five-year</w:t>
      </w:r>
      <w:r w:rsidRPr="0019493F">
        <w:rPr>
          <w:rFonts w:ascii="Arial" w:eastAsia="Times New Roman" w:hAnsi="Arial" w:cs="Arial"/>
          <w:b/>
          <w:bCs/>
          <w:color w:val="000000" w:themeColor="text1"/>
          <w:kern w:val="0"/>
          <w:sz w:val="20"/>
          <w:szCs w:val="20"/>
          <w14:ligatures w14:val="none"/>
        </w:rPr>
        <w:t xml:space="preserve"> </w:t>
      </w:r>
      <w:r w:rsidRPr="0019493F">
        <w:rPr>
          <w:rFonts w:ascii="Arial" w:eastAsia="Times New Roman" w:hAnsi="Arial" w:cs="Arial"/>
          <w:color w:val="000000" w:themeColor="text1"/>
          <w:kern w:val="0"/>
          <w:sz w:val="20"/>
          <w:szCs w:val="20"/>
          <w14:ligatures w14:val="none"/>
        </w:rPr>
        <w:t xml:space="preserve">survival rate remains 5–7%, and more than half of patients present with metastatic disease at diagnosis, with median survival ranging from 7 to 11 months </w:t>
      </w:r>
      <w:r w:rsidRPr="0019493F">
        <w:rPr>
          <w:rFonts w:ascii="Arial" w:eastAsia="Times New Roman" w:hAnsi="Arial" w:cs="Arial"/>
          <w:color w:val="000000" w:themeColor="text1"/>
          <w:kern w:val="0"/>
          <w:sz w:val="20"/>
          <w:szCs w:val="20"/>
          <w:lang w:val="tr-TR"/>
          <w14:ligatures w14:val="none"/>
        </w:rPr>
        <w:t>(Garrido-Laguna et al., 2015; Zhu et al., 2018; Ferlay et al., 2019)</w:t>
      </w:r>
      <w:r w:rsidRPr="0019493F">
        <w:rPr>
          <w:rFonts w:ascii="Arial" w:eastAsia="Times New Roman" w:hAnsi="Arial" w:cs="Arial"/>
          <w:color w:val="000000" w:themeColor="text1"/>
          <w:kern w:val="0"/>
          <w:sz w:val="20"/>
          <w:szCs w:val="20"/>
          <w14:ligatures w14:val="none"/>
        </w:rPr>
        <w:t>.</w:t>
      </w:r>
    </w:p>
    <w:p w14:paraId="4C3AD4AE" w14:textId="77777777" w:rsidR="00E54706" w:rsidRPr="0019493F" w:rsidRDefault="00E54706" w:rsidP="00E54706">
      <w:pPr>
        <w:spacing w:before="100" w:beforeAutospacing="1" w:after="100" w:afterAutospacing="1"/>
        <w:ind w:left="567" w:right="283"/>
        <w:jc w:val="both"/>
        <w:rPr>
          <w:rFonts w:ascii="Arial" w:eastAsia="Times New Roman" w:hAnsi="Arial" w:cs="Arial"/>
          <w:color w:val="000000" w:themeColor="text1"/>
          <w:kern w:val="0"/>
          <w:sz w:val="20"/>
          <w:szCs w:val="20"/>
          <w14:ligatures w14:val="none"/>
        </w:rPr>
      </w:pPr>
      <w:r w:rsidRPr="0019493F">
        <w:rPr>
          <w:rFonts w:ascii="Arial" w:eastAsia="Times New Roman" w:hAnsi="Arial" w:cs="Arial"/>
          <w:color w:val="000000" w:themeColor="text1"/>
          <w:kern w:val="0"/>
          <w:sz w:val="20"/>
          <w:szCs w:val="20"/>
          <w14:ligatures w14:val="none"/>
        </w:rPr>
        <w:t xml:space="preserve">Molecularly, PDAC is driven by key genetic alterations—such as activating mutations in KRAS and inactivating mutations in CDKN2A, TP53, and SMAD4—which collectively promote tumor initiation and progression </w:t>
      </w:r>
      <w:r w:rsidRPr="0019493F">
        <w:rPr>
          <w:rFonts w:ascii="Arial" w:eastAsia="Times New Roman" w:hAnsi="Arial" w:cs="Arial"/>
          <w:color w:val="000000" w:themeColor="text1"/>
          <w:kern w:val="0"/>
          <w:sz w:val="20"/>
          <w:szCs w:val="20"/>
          <w:lang w:val="tr-TR"/>
          <w14:ligatures w14:val="none"/>
        </w:rPr>
        <w:t>(Saiki et al., 2021)</w:t>
      </w:r>
      <w:r w:rsidRPr="0019493F">
        <w:rPr>
          <w:rFonts w:ascii="Arial" w:eastAsia="Times New Roman" w:hAnsi="Arial" w:cs="Arial"/>
          <w:color w:val="000000" w:themeColor="text1"/>
          <w:kern w:val="0"/>
          <w:sz w:val="20"/>
          <w:szCs w:val="20"/>
          <w14:ligatures w14:val="none"/>
        </w:rPr>
        <w:t xml:space="preserve">. Despite progress in screening and therapy, the ratio of new cases to deaths has remained essentially unchanged, reflecting minimal improvement in long-term outcomes </w:t>
      </w:r>
      <w:r w:rsidRPr="0019493F">
        <w:rPr>
          <w:rFonts w:ascii="Arial" w:eastAsia="Times New Roman" w:hAnsi="Arial" w:cs="Arial"/>
          <w:color w:val="000000" w:themeColor="text1"/>
          <w:kern w:val="0"/>
          <w:sz w:val="20"/>
          <w:szCs w:val="20"/>
          <w:lang w:val="tr-TR"/>
          <w14:ligatures w14:val="none"/>
        </w:rPr>
        <w:t>(Zhu et al., 2018; Ferlay et al., 2019; Saiki et al., 2021; Klein, 2021)</w:t>
      </w:r>
      <w:r w:rsidRPr="0019493F">
        <w:rPr>
          <w:rFonts w:ascii="Arial" w:eastAsia="Times New Roman" w:hAnsi="Arial" w:cs="Arial"/>
          <w:color w:val="000000" w:themeColor="text1"/>
          <w:kern w:val="0"/>
          <w:sz w:val="20"/>
          <w:szCs w:val="20"/>
          <w14:ligatures w14:val="none"/>
        </w:rPr>
        <w:t>.</w:t>
      </w:r>
    </w:p>
    <w:p w14:paraId="07FE07D5" w14:textId="77777777" w:rsidR="00E54706" w:rsidRPr="0019493F" w:rsidRDefault="00E54706" w:rsidP="00E54706">
      <w:pPr>
        <w:spacing w:before="100" w:beforeAutospacing="1" w:after="100" w:afterAutospacing="1"/>
        <w:ind w:left="567" w:right="283"/>
        <w:jc w:val="both"/>
        <w:rPr>
          <w:rFonts w:ascii="Arial" w:eastAsia="Times New Roman" w:hAnsi="Arial" w:cs="Arial"/>
          <w:color w:val="000000" w:themeColor="text1"/>
          <w:kern w:val="0"/>
          <w:sz w:val="20"/>
          <w:szCs w:val="20"/>
          <w14:ligatures w14:val="none"/>
        </w:rPr>
      </w:pPr>
      <w:r w:rsidRPr="0019493F">
        <w:rPr>
          <w:rFonts w:ascii="Arial" w:eastAsia="Times New Roman" w:hAnsi="Arial" w:cs="Arial"/>
          <w:color w:val="000000" w:themeColor="text1"/>
          <w:kern w:val="0"/>
          <w:sz w:val="20"/>
          <w:szCs w:val="20"/>
          <w14:ligatures w14:val="none"/>
        </w:rPr>
        <w:t xml:space="preserve">The aggressive nature of PDAC is compounded by its heterogeneity, tumor plasticity, and dense fibrotic stroma (desmoplasia), which impedes drug delivery and fosters therapeutic resistance. These features highlight the urgent need for new diagnostic markers and therapeutic strategies aimed at modulating the tumor microenvironment and overcoming resistance mechanisms </w:t>
      </w:r>
      <w:r w:rsidRPr="0019493F">
        <w:rPr>
          <w:rFonts w:ascii="Arial" w:eastAsia="Times New Roman" w:hAnsi="Arial" w:cs="Arial"/>
          <w:color w:val="000000" w:themeColor="text1"/>
          <w:kern w:val="0"/>
          <w:sz w:val="20"/>
          <w:szCs w:val="20"/>
          <w:lang w:val="tr-TR"/>
          <w14:ligatures w14:val="none"/>
        </w:rPr>
        <w:t>(Bailey et al., 2016)</w:t>
      </w:r>
      <w:r w:rsidRPr="0019493F">
        <w:rPr>
          <w:rFonts w:ascii="Arial" w:eastAsia="Times New Roman" w:hAnsi="Arial" w:cs="Arial"/>
          <w:color w:val="000000" w:themeColor="text1"/>
          <w:kern w:val="0"/>
          <w:sz w:val="20"/>
          <w:szCs w:val="20"/>
          <w14:ligatures w14:val="none"/>
        </w:rPr>
        <w:t>.</w:t>
      </w:r>
    </w:p>
    <w:p w14:paraId="377F2A15" w14:textId="77777777" w:rsidR="009F1A14" w:rsidRPr="006367D4" w:rsidRDefault="009F1A14" w:rsidP="009F1A14">
      <w:pPr>
        <w:pStyle w:val="Heading2"/>
        <w:spacing w:line="480" w:lineRule="auto"/>
        <w:ind w:left="567" w:right="283"/>
        <w:jc w:val="both"/>
        <w:rPr>
          <w:rFonts w:ascii="Arial" w:hAnsi="Arial" w:cs="Arial"/>
          <w:b w:val="0"/>
          <w:bCs w:val="0"/>
          <w:color w:val="000000" w:themeColor="text1"/>
          <w:sz w:val="22"/>
          <w:szCs w:val="22"/>
        </w:rPr>
      </w:pPr>
      <w:r w:rsidRPr="006367D4">
        <w:rPr>
          <w:rStyle w:val="Strong"/>
          <w:rFonts w:ascii="Arial" w:hAnsi="Arial" w:cs="Arial"/>
          <w:b/>
          <w:bCs/>
          <w:color w:val="000000" w:themeColor="text1"/>
          <w:sz w:val="22"/>
          <w:szCs w:val="22"/>
        </w:rPr>
        <w:t xml:space="preserve">Diagnosis and </w:t>
      </w:r>
      <w:r w:rsidRPr="006367D4">
        <w:rPr>
          <w:rStyle w:val="Strong"/>
          <w:rFonts w:ascii="Arial" w:hAnsi="Arial" w:cs="Arial"/>
          <w:b/>
          <w:bCs/>
          <w:color w:val="000000" w:themeColor="text1"/>
          <w:sz w:val="22"/>
          <w:szCs w:val="22"/>
          <w:lang w:val="tr-TR"/>
        </w:rPr>
        <w:t>S</w:t>
      </w:r>
      <w:proofErr w:type="spellStart"/>
      <w:r w:rsidRPr="006367D4">
        <w:rPr>
          <w:rStyle w:val="Strong"/>
          <w:rFonts w:ascii="Arial" w:hAnsi="Arial" w:cs="Arial"/>
          <w:b/>
          <w:bCs/>
          <w:color w:val="000000" w:themeColor="text1"/>
          <w:sz w:val="22"/>
          <w:szCs w:val="22"/>
        </w:rPr>
        <w:t>taging</w:t>
      </w:r>
      <w:proofErr w:type="spellEnd"/>
      <w:r w:rsidRPr="006367D4">
        <w:rPr>
          <w:rStyle w:val="Strong"/>
          <w:rFonts w:ascii="Arial" w:hAnsi="Arial" w:cs="Arial"/>
          <w:b/>
          <w:bCs/>
          <w:color w:val="000000" w:themeColor="text1"/>
          <w:sz w:val="22"/>
          <w:szCs w:val="22"/>
        </w:rPr>
        <w:t xml:space="preserve"> of PDAC</w:t>
      </w:r>
    </w:p>
    <w:p w14:paraId="247E27D8" w14:textId="77777777" w:rsidR="009F1A14" w:rsidRPr="00360A96" w:rsidRDefault="009F1A14" w:rsidP="009F1A1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Accurate diagnosis and staging of pancreatic ductal adenocarcinoma (PDAC) are essential for determining prognosis and guiding optimal therapeutic strategies. The management of PDAC remains particularly challenging due to the disease’s anatomical complexity, rapid progression, and the frequent absence of early symptoms.</w:t>
      </w:r>
    </w:p>
    <w:p w14:paraId="16CB567F" w14:textId="77777777" w:rsidR="009F1A14" w:rsidRPr="00360A96" w:rsidRDefault="009F1A14" w:rsidP="009F1A1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lastRenderedPageBreak/>
        <w:t xml:space="preserve">Clinically, PDAC is classified into four major categories based on resectability: </w:t>
      </w:r>
      <w:r w:rsidRPr="0076483E">
        <w:rPr>
          <w:rStyle w:val="Strong"/>
          <w:rFonts w:ascii="Arial" w:hAnsi="Arial" w:cs="Arial"/>
          <w:b w:val="0"/>
          <w:bCs w:val="0"/>
          <w:color w:val="000000" w:themeColor="text1"/>
          <w:sz w:val="20"/>
          <w:szCs w:val="20"/>
        </w:rPr>
        <w:t>resectable</w:t>
      </w:r>
      <w:r w:rsidRPr="0076483E">
        <w:rPr>
          <w:rFonts w:ascii="Arial" w:hAnsi="Arial" w:cs="Arial"/>
          <w:b/>
          <w:bCs/>
          <w:color w:val="000000" w:themeColor="text1"/>
          <w:sz w:val="20"/>
          <w:szCs w:val="20"/>
        </w:rPr>
        <w:t xml:space="preserve">, </w:t>
      </w:r>
      <w:r w:rsidRPr="0076483E">
        <w:rPr>
          <w:rStyle w:val="Strong"/>
          <w:rFonts w:ascii="Arial" w:hAnsi="Arial" w:cs="Arial"/>
          <w:b w:val="0"/>
          <w:bCs w:val="0"/>
          <w:color w:val="000000" w:themeColor="text1"/>
          <w:sz w:val="20"/>
          <w:szCs w:val="20"/>
        </w:rPr>
        <w:t>borderline resectable</w:t>
      </w:r>
      <w:r w:rsidRPr="0076483E">
        <w:rPr>
          <w:rFonts w:ascii="Arial" w:hAnsi="Arial" w:cs="Arial"/>
          <w:b/>
          <w:bCs/>
          <w:color w:val="000000" w:themeColor="text1"/>
          <w:sz w:val="20"/>
          <w:szCs w:val="20"/>
        </w:rPr>
        <w:t xml:space="preserve">, </w:t>
      </w:r>
      <w:r w:rsidRPr="0076483E">
        <w:rPr>
          <w:rStyle w:val="Strong"/>
          <w:rFonts w:ascii="Arial" w:hAnsi="Arial" w:cs="Arial"/>
          <w:b w:val="0"/>
          <w:bCs w:val="0"/>
          <w:color w:val="000000" w:themeColor="text1"/>
          <w:sz w:val="20"/>
          <w:szCs w:val="20"/>
        </w:rPr>
        <w:t>locally advanced/unresectable</w:t>
      </w:r>
      <w:r w:rsidRPr="0076483E">
        <w:rPr>
          <w:rFonts w:ascii="Arial" w:hAnsi="Arial" w:cs="Arial"/>
          <w:b/>
          <w:bCs/>
          <w:color w:val="000000" w:themeColor="text1"/>
          <w:sz w:val="20"/>
          <w:szCs w:val="20"/>
        </w:rPr>
        <w:t>, and</w:t>
      </w:r>
      <w:r w:rsidRPr="00360A96">
        <w:rPr>
          <w:rFonts w:ascii="Arial" w:hAnsi="Arial" w:cs="Arial"/>
          <w:color w:val="000000" w:themeColor="text1"/>
          <w:sz w:val="20"/>
          <w:szCs w:val="20"/>
        </w:rPr>
        <w:t xml:space="preserve"> </w:t>
      </w:r>
      <w:r w:rsidRPr="0076483E">
        <w:rPr>
          <w:rStyle w:val="Strong"/>
          <w:rFonts w:ascii="Arial" w:hAnsi="Arial" w:cs="Arial"/>
          <w:b w:val="0"/>
          <w:bCs w:val="0"/>
          <w:color w:val="000000" w:themeColor="text1"/>
          <w:sz w:val="20"/>
          <w:szCs w:val="20"/>
        </w:rPr>
        <w:t>metastatic</w:t>
      </w:r>
      <w:r w:rsidRPr="00360A96">
        <w:rPr>
          <w:rFonts w:ascii="Arial" w:hAnsi="Arial" w:cs="Arial"/>
          <w:color w:val="000000" w:themeColor="text1"/>
          <w:sz w:val="20"/>
          <w:szCs w:val="20"/>
        </w:rPr>
        <w:t xml:space="preserve"> disease </w:t>
      </w:r>
      <w:r w:rsidRPr="00360A96">
        <w:rPr>
          <w:rFonts w:ascii="Arial" w:hAnsi="Arial" w:cs="Arial"/>
          <w:color w:val="000000" w:themeColor="text1"/>
          <w:sz w:val="20"/>
          <w:szCs w:val="20"/>
          <w:lang w:val="tr-TR"/>
        </w:rPr>
        <w:t>(Boggi et al., 2024)</w:t>
      </w:r>
      <w:r w:rsidRPr="00360A96">
        <w:rPr>
          <w:rFonts w:ascii="Arial" w:hAnsi="Arial" w:cs="Arial"/>
          <w:color w:val="000000" w:themeColor="text1"/>
          <w:sz w:val="20"/>
          <w:szCs w:val="20"/>
        </w:rPr>
        <w:t xml:space="preserve">. This classification is primarily guided by the </w:t>
      </w:r>
      <w:r w:rsidRPr="0076483E">
        <w:rPr>
          <w:rStyle w:val="Strong"/>
          <w:rFonts w:ascii="Arial" w:hAnsi="Arial" w:cs="Arial"/>
          <w:b w:val="0"/>
          <w:bCs w:val="0"/>
          <w:color w:val="000000" w:themeColor="text1"/>
          <w:sz w:val="20"/>
          <w:szCs w:val="20"/>
        </w:rPr>
        <w:t>TNM system</w:t>
      </w:r>
      <w:r w:rsidRPr="0076483E">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evaluates tumor size (T), lymph node involvement (N), and the presence of distant metastases (M).</w:t>
      </w:r>
    </w:p>
    <w:p w14:paraId="11C2157D" w14:textId="77777777" w:rsidR="009F1A14" w:rsidRPr="00360A96" w:rsidRDefault="009F1A14" w:rsidP="009F1A14">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Imaging </w:t>
      </w:r>
      <w:r w:rsidRPr="00360A96">
        <w:rPr>
          <w:rStyle w:val="Strong"/>
          <w:rFonts w:ascii="Arial" w:hAnsi="Arial" w:cs="Arial"/>
          <w:color w:val="000000" w:themeColor="text1"/>
          <w:sz w:val="22"/>
          <w:szCs w:val="22"/>
          <w:lang w:val="tr-TR"/>
        </w:rPr>
        <w:t>M</w:t>
      </w:r>
      <w:proofErr w:type="spellStart"/>
      <w:r w:rsidRPr="00360A96">
        <w:rPr>
          <w:rStyle w:val="Strong"/>
          <w:rFonts w:ascii="Arial" w:hAnsi="Arial" w:cs="Arial"/>
          <w:color w:val="000000" w:themeColor="text1"/>
          <w:sz w:val="22"/>
          <w:szCs w:val="22"/>
        </w:rPr>
        <w:t>odalities</w:t>
      </w:r>
      <w:proofErr w:type="spellEnd"/>
    </w:p>
    <w:p w14:paraId="3DA10600" w14:textId="77777777" w:rsidR="00B02F3D" w:rsidRPr="00B02F3D" w:rsidRDefault="00B02F3D" w:rsidP="00B02F3D">
      <w:pPr>
        <w:pStyle w:val="NormalWeb"/>
        <w:ind w:left="567"/>
        <w:jc w:val="both"/>
        <w:rPr>
          <w:rFonts w:ascii="Arial" w:hAnsi="Arial" w:cs="Arial"/>
          <w:sz w:val="20"/>
          <w:szCs w:val="20"/>
        </w:rPr>
      </w:pPr>
      <w:r w:rsidRPr="00B02F3D">
        <w:rPr>
          <w:rFonts w:ascii="Arial" w:hAnsi="Arial" w:cs="Arial"/>
          <w:sz w:val="20"/>
          <w:szCs w:val="20"/>
        </w:rPr>
        <w:t>Modern imaging plays a central role in both diagnosis and staging. Multidetector computed tomography (CT) and magnetic resonance imaging (MRI)—often combined with magnetic resonance cholangiopancreatography (MRCP)—are the current standards of care (Shionoya et al., 2024; Boekestijn et al., 2024). Endoscopic ultrasound (EUS), frequently coupled with fine-needle aspiration or biopsy, provides high-resolution imaging and tissue confirmation, particularly for small or indeterminate lesions.</w:t>
      </w:r>
    </w:p>
    <w:p w14:paraId="65701327" w14:textId="77777777" w:rsidR="00B02F3D" w:rsidRPr="00B02F3D" w:rsidRDefault="00B02F3D" w:rsidP="00B02F3D">
      <w:pPr>
        <w:pStyle w:val="NormalWeb"/>
        <w:ind w:left="567"/>
        <w:jc w:val="both"/>
        <w:rPr>
          <w:rFonts w:ascii="Arial" w:hAnsi="Arial" w:cs="Arial"/>
          <w:sz w:val="20"/>
          <w:szCs w:val="20"/>
        </w:rPr>
      </w:pPr>
      <w:r w:rsidRPr="00B02F3D">
        <w:rPr>
          <w:rFonts w:ascii="Arial" w:hAnsi="Arial" w:cs="Arial"/>
          <w:sz w:val="20"/>
          <w:szCs w:val="20"/>
        </w:rPr>
        <w:t>However, CT has limitations in detecting peritoneal carcinomatosis and micrometastases in the liver, leading to underestimation of disease stage. Approximately 40% of pancreatic tumors smaller than 2 cm are missed on standard abdominal CT (Kang et al., 2021). To overcome these limitations, MRI offers superior soft-tissue contrast and higher sensitivity for small hepatic and peritoneal lesions.</w:t>
      </w:r>
    </w:p>
    <w:p w14:paraId="179BA140" w14:textId="77777777" w:rsidR="00B02F3D" w:rsidRPr="00B02F3D" w:rsidRDefault="00B02F3D" w:rsidP="00B02F3D">
      <w:pPr>
        <w:pStyle w:val="NormalWeb"/>
        <w:ind w:left="567"/>
        <w:jc w:val="both"/>
        <w:rPr>
          <w:rFonts w:ascii="Arial" w:hAnsi="Arial" w:cs="Arial"/>
          <w:sz w:val="20"/>
          <w:szCs w:val="20"/>
        </w:rPr>
      </w:pPr>
      <w:r w:rsidRPr="00B02F3D">
        <w:rPr>
          <w:rFonts w:ascii="Arial" w:hAnsi="Arial" w:cs="Arial"/>
          <w:sz w:val="20"/>
          <w:szCs w:val="20"/>
        </w:rPr>
        <w:t>Emerging technologies such as deep learning (DL)-based image analysis enhance diagnostic accuracy. Artificial intelligence–assisted algorithms have demonstrated improved sensitivity for detecting early-stage tumors (&lt;2 cm) and differentiating benign from malignant lesions, while also aiding in the identification of occult intraperitoneal metastases (Chen et al., 2023; Kikuyama, 2023; Manafi-Farid et al., 2022). These approaches represent promising tools for earlier detection and more precise surgical planning.</w:t>
      </w:r>
    </w:p>
    <w:p w14:paraId="499B0419" w14:textId="77777777" w:rsidR="006367D4" w:rsidRPr="00360A96" w:rsidRDefault="006367D4" w:rsidP="006367D4">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Biochemical and </w:t>
      </w:r>
      <w:r w:rsidRPr="00360A96">
        <w:rPr>
          <w:rStyle w:val="Strong"/>
          <w:rFonts w:ascii="Arial" w:hAnsi="Arial" w:cs="Arial"/>
          <w:color w:val="000000" w:themeColor="text1"/>
          <w:sz w:val="22"/>
          <w:szCs w:val="22"/>
          <w:lang w:val="tr-TR"/>
        </w:rPr>
        <w:t>M</w:t>
      </w:r>
      <w:proofErr w:type="spellStart"/>
      <w:r w:rsidRPr="00360A96">
        <w:rPr>
          <w:rStyle w:val="Strong"/>
          <w:rFonts w:ascii="Arial" w:hAnsi="Arial" w:cs="Arial"/>
          <w:color w:val="000000" w:themeColor="text1"/>
          <w:sz w:val="22"/>
          <w:szCs w:val="22"/>
        </w:rPr>
        <w:t>olecular</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M</w:t>
      </w:r>
      <w:proofErr w:type="spellStart"/>
      <w:r w:rsidRPr="00360A96">
        <w:rPr>
          <w:rStyle w:val="Strong"/>
          <w:rFonts w:ascii="Arial" w:hAnsi="Arial" w:cs="Arial"/>
          <w:color w:val="000000" w:themeColor="text1"/>
          <w:sz w:val="22"/>
          <w:szCs w:val="22"/>
        </w:rPr>
        <w:t>arkers</w:t>
      </w:r>
      <w:proofErr w:type="spellEnd"/>
    </w:p>
    <w:p w14:paraId="5AF91CCE"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Among biochemical markers, </w:t>
      </w:r>
      <w:r w:rsidRPr="0076483E">
        <w:rPr>
          <w:rStyle w:val="Strong"/>
          <w:rFonts w:ascii="Arial" w:hAnsi="Arial" w:cs="Arial"/>
          <w:b w:val="0"/>
          <w:bCs w:val="0"/>
          <w:color w:val="000000" w:themeColor="text1"/>
          <w:sz w:val="20"/>
          <w:szCs w:val="20"/>
        </w:rPr>
        <w:t>carbohydrate antigen 19-9 (CA19-9)</w:t>
      </w:r>
      <w:r w:rsidRPr="00360A96">
        <w:rPr>
          <w:rFonts w:ascii="Arial" w:hAnsi="Arial" w:cs="Arial"/>
          <w:color w:val="000000" w:themeColor="text1"/>
          <w:sz w:val="20"/>
          <w:szCs w:val="20"/>
        </w:rPr>
        <w:t xml:space="preserve"> remains the most widely used and clinically validated biomarker for pancreatic cancer </w:t>
      </w:r>
      <w:r w:rsidRPr="00360A96">
        <w:rPr>
          <w:rFonts w:ascii="Arial" w:hAnsi="Arial" w:cs="Arial"/>
          <w:color w:val="000000" w:themeColor="text1"/>
          <w:sz w:val="20"/>
          <w:szCs w:val="20"/>
          <w:lang w:val="tr-TR"/>
        </w:rPr>
        <w:t>(Luo et al., 2021)</w:t>
      </w:r>
      <w:r w:rsidRPr="00360A96">
        <w:rPr>
          <w:rFonts w:ascii="Arial" w:hAnsi="Arial" w:cs="Arial"/>
          <w:color w:val="000000" w:themeColor="text1"/>
          <w:sz w:val="20"/>
          <w:szCs w:val="20"/>
        </w:rPr>
        <w:t>. Elevated CA19-9 levels are associated with disease progression, tumor burden, and postoperative recurrence. However, its diagnostic sensitivity and specificity are limited, particularly in patients with Lewis antigen-negative phenotypes or obstructive jaundice.</w:t>
      </w:r>
    </w:p>
    <w:p w14:paraId="21D2EFFE"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Efforts are ongoing to identify novel serum and tissue-based biomarkers, including </w:t>
      </w:r>
      <w:r w:rsidRPr="0076483E">
        <w:rPr>
          <w:rStyle w:val="Strong"/>
          <w:rFonts w:ascii="Arial" w:hAnsi="Arial" w:cs="Arial"/>
          <w:b w:val="0"/>
          <w:bCs w:val="0"/>
          <w:color w:val="000000" w:themeColor="text1"/>
          <w:sz w:val="20"/>
          <w:szCs w:val="20"/>
        </w:rPr>
        <w:t>circulating tumor DNA (ctDNA)</w:t>
      </w:r>
      <w:r w:rsidRPr="0076483E">
        <w:rPr>
          <w:rFonts w:ascii="Arial" w:hAnsi="Arial" w:cs="Arial"/>
          <w:b/>
          <w:bCs/>
          <w:color w:val="000000" w:themeColor="text1"/>
          <w:sz w:val="20"/>
          <w:szCs w:val="20"/>
        </w:rPr>
        <w:t xml:space="preserve">, </w:t>
      </w:r>
      <w:r w:rsidRPr="0076483E">
        <w:rPr>
          <w:rStyle w:val="Strong"/>
          <w:rFonts w:ascii="Arial" w:hAnsi="Arial" w:cs="Arial"/>
          <w:b w:val="0"/>
          <w:bCs w:val="0"/>
          <w:color w:val="000000" w:themeColor="text1"/>
          <w:sz w:val="20"/>
          <w:szCs w:val="20"/>
        </w:rPr>
        <w:t>exosomal proteins</w:t>
      </w:r>
      <w:r w:rsidRPr="0076483E">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76483E">
        <w:rPr>
          <w:rStyle w:val="Strong"/>
          <w:rFonts w:ascii="Arial" w:hAnsi="Arial" w:cs="Arial"/>
          <w:b w:val="0"/>
          <w:bCs w:val="0"/>
          <w:color w:val="000000" w:themeColor="text1"/>
          <w:sz w:val="20"/>
          <w:szCs w:val="20"/>
        </w:rPr>
        <w:t>microRNAs (miRNAs)</w:t>
      </w:r>
      <w:r w:rsidRPr="0076483E">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may enhance early detection and real-time disease monitoring</w:t>
      </w:r>
      <w:r w:rsidRPr="00360A96">
        <w:rPr>
          <w:rFonts w:ascii="Arial" w:hAnsi="Arial" w:cs="Arial"/>
          <w:color w:val="000000" w:themeColor="text1"/>
          <w:sz w:val="20"/>
          <w:szCs w:val="20"/>
          <w:lang w:val="tr-TR"/>
        </w:rPr>
        <w:t xml:space="preserve"> (Kim et al., 2024)</w:t>
      </w:r>
      <w:r w:rsidRPr="00360A96">
        <w:rPr>
          <w:rFonts w:ascii="Arial" w:hAnsi="Arial" w:cs="Arial"/>
          <w:color w:val="000000" w:themeColor="text1"/>
          <w:sz w:val="20"/>
          <w:szCs w:val="20"/>
        </w:rPr>
        <w:t>. Integrating these molecular tools with imaging and clinical parameters could significantly improve diagnostic precision and facilitate individualized treatment planning.</w:t>
      </w:r>
    </w:p>
    <w:p w14:paraId="344D9EFE" w14:textId="77777777" w:rsidR="006367D4" w:rsidRPr="00360A96" w:rsidRDefault="006367D4" w:rsidP="006367D4">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Clinical </w:t>
      </w:r>
      <w:r w:rsidRPr="00360A96">
        <w:rPr>
          <w:rStyle w:val="Strong"/>
          <w:rFonts w:ascii="Arial" w:hAnsi="Arial" w:cs="Arial"/>
          <w:color w:val="000000" w:themeColor="text1"/>
          <w:sz w:val="22"/>
          <w:szCs w:val="22"/>
          <w:lang w:val="tr-TR"/>
        </w:rPr>
        <w:t>I</w:t>
      </w:r>
      <w:proofErr w:type="spellStart"/>
      <w:r w:rsidRPr="00360A96">
        <w:rPr>
          <w:rStyle w:val="Strong"/>
          <w:rFonts w:ascii="Arial" w:hAnsi="Arial" w:cs="Arial"/>
          <w:color w:val="000000" w:themeColor="text1"/>
          <w:sz w:val="22"/>
          <w:szCs w:val="22"/>
        </w:rPr>
        <w:t>mplications</w:t>
      </w:r>
      <w:proofErr w:type="spellEnd"/>
    </w:p>
    <w:p w14:paraId="20D94733"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Given the aggressive nature of PDAC, accurate staging at the time of diagnosis is critical for selecting appropriate therapeutic strategies. Patients with resectable tumors may benefit from upfront surgery, whereas those with borderline resectable or locally advanced disease often require </w:t>
      </w:r>
      <w:r w:rsidRPr="0076483E">
        <w:rPr>
          <w:rStyle w:val="Strong"/>
          <w:rFonts w:ascii="Arial" w:hAnsi="Arial" w:cs="Arial"/>
          <w:b w:val="0"/>
          <w:bCs w:val="0"/>
          <w:color w:val="000000" w:themeColor="text1"/>
          <w:sz w:val="20"/>
          <w:szCs w:val="20"/>
        </w:rPr>
        <w:t>neoadjuvant chemotherapy or chemoradiation</w:t>
      </w:r>
      <w:r w:rsidRPr="00360A96">
        <w:rPr>
          <w:rFonts w:ascii="Arial" w:hAnsi="Arial" w:cs="Arial"/>
          <w:color w:val="000000" w:themeColor="text1"/>
          <w:sz w:val="20"/>
          <w:szCs w:val="20"/>
        </w:rPr>
        <w:t xml:space="preserve"> to improve resectability rates. For patients with metastatic disease, systemic therapy remains the mainstay, emphasizing the importance of precise staging to avoid unnecessary surgical interventions.</w:t>
      </w:r>
    </w:p>
    <w:p w14:paraId="4A8D2999" w14:textId="77777777" w:rsidR="006367D4" w:rsidRPr="0076483E" w:rsidRDefault="006367D4" w:rsidP="006367D4">
      <w:pPr>
        <w:pStyle w:val="Heading2"/>
        <w:spacing w:line="480" w:lineRule="auto"/>
        <w:ind w:left="567" w:right="283"/>
        <w:jc w:val="both"/>
        <w:rPr>
          <w:rFonts w:ascii="Arial" w:hAnsi="Arial" w:cs="Arial"/>
          <w:b w:val="0"/>
          <w:bCs w:val="0"/>
          <w:color w:val="000000" w:themeColor="text1"/>
          <w:sz w:val="22"/>
          <w:szCs w:val="22"/>
        </w:rPr>
      </w:pPr>
      <w:r w:rsidRPr="0076483E">
        <w:rPr>
          <w:rStyle w:val="Strong"/>
          <w:rFonts w:ascii="Arial" w:hAnsi="Arial" w:cs="Arial"/>
          <w:b/>
          <w:bCs/>
          <w:color w:val="000000" w:themeColor="text1"/>
          <w:sz w:val="22"/>
          <w:szCs w:val="22"/>
        </w:rPr>
        <w:t xml:space="preserve">Treatment </w:t>
      </w:r>
      <w:r w:rsidRPr="0076483E">
        <w:rPr>
          <w:rStyle w:val="Strong"/>
          <w:rFonts w:ascii="Arial" w:hAnsi="Arial" w:cs="Arial"/>
          <w:b/>
          <w:bCs/>
          <w:color w:val="000000" w:themeColor="text1"/>
          <w:sz w:val="22"/>
          <w:szCs w:val="22"/>
          <w:lang w:val="tr-TR"/>
        </w:rPr>
        <w:t>M</w:t>
      </w:r>
      <w:proofErr w:type="spellStart"/>
      <w:r w:rsidRPr="0076483E">
        <w:rPr>
          <w:rStyle w:val="Strong"/>
          <w:rFonts w:ascii="Arial" w:hAnsi="Arial" w:cs="Arial"/>
          <w:b/>
          <w:bCs/>
          <w:color w:val="000000" w:themeColor="text1"/>
          <w:sz w:val="22"/>
          <w:szCs w:val="22"/>
        </w:rPr>
        <w:t>ethods</w:t>
      </w:r>
      <w:proofErr w:type="spellEnd"/>
    </w:p>
    <w:p w14:paraId="2481A3A8"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lastRenderedPageBreak/>
        <w:t xml:space="preserve">The therapeutic management of pancreatic ductal adenocarcinoma (PDAC) remains complex due to its late presentation, aggressive biology, and intrinsic resistance to most conventional therapies. Current treatment modalities include </w:t>
      </w:r>
      <w:r w:rsidRPr="0076483E">
        <w:rPr>
          <w:rStyle w:val="Strong"/>
          <w:rFonts w:ascii="Arial" w:hAnsi="Arial" w:cs="Arial"/>
          <w:b w:val="0"/>
          <w:bCs w:val="0"/>
          <w:color w:val="000000" w:themeColor="text1"/>
          <w:sz w:val="20"/>
          <w:szCs w:val="20"/>
        </w:rPr>
        <w:t>surgical resection</w:t>
      </w:r>
      <w:r w:rsidRPr="0076483E">
        <w:rPr>
          <w:rFonts w:ascii="Arial" w:hAnsi="Arial" w:cs="Arial"/>
          <w:b/>
          <w:bCs/>
          <w:color w:val="000000" w:themeColor="text1"/>
          <w:sz w:val="20"/>
          <w:szCs w:val="20"/>
        </w:rPr>
        <w:t xml:space="preserve">, </w:t>
      </w:r>
      <w:r w:rsidRPr="0076483E">
        <w:rPr>
          <w:rStyle w:val="Strong"/>
          <w:rFonts w:ascii="Arial" w:hAnsi="Arial" w:cs="Arial"/>
          <w:b w:val="0"/>
          <w:bCs w:val="0"/>
          <w:color w:val="000000" w:themeColor="text1"/>
          <w:sz w:val="20"/>
          <w:szCs w:val="20"/>
        </w:rPr>
        <w:t>chemotherapy</w:t>
      </w:r>
      <w:r w:rsidRPr="0076483E">
        <w:rPr>
          <w:rFonts w:ascii="Arial" w:hAnsi="Arial" w:cs="Arial"/>
          <w:b/>
          <w:bCs/>
          <w:color w:val="000000" w:themeColor="text1"/>
          <w:sz w:val="20"/>
          <w:szCs w:val="20"/>
        </w:rPr>
        <w:t xml:space="preserve">, </w:t>
      </w:r>
      <w:r w:rsidRPr="0076483E">
        <w:rPr>
          <w:rStyle w:val="Strong"/>
          <w:rFonts w:ascii="Arial" w:hAnsi="Arial" w:cs="Arial"/>
          <w:b w:val="0"/>
          <w:bCs w:val="0"/>
          <w:color w:val="000000" w:themeColor="text1"/>
          <w:sz w:val="20"/>
          <w:szCs w:val="20"/>
        </w:rPr>
        <w:t>chemoradiotherapy</w:t>
      </w:r>
      <w:r w:rsidRPr="0076483E">
        <w:rPr>
          <w:rFonts w:ascii="Arial" w:hAnsi="Arial" w:cs="Arial"/>
          <w:b/>
          <w:bCs/>
          <w:color w:val="000000" w:themeColor="text1"/>
          <w:sz w:val="20"/>
          <w:szCs w:val="20"/>
        </w:rPr>
        <w:t xml:space="preserve">, </w:t>
      </w:r>
      <w:r w:rsidRPr="0076483E">
        <w:rPr>
          <w:rStyle w:val="Strong"/>
          <w:rFonts w:ascii="Arial" w:hAnsi="Arial" w:cs="Arial"/>
          <w:b w:val="0"/>
          <w:bCs w:val="0"/>
          <w:color w:val="000000" w:themeColor="text1"/>
          <w:sz w:val="20"/>
          <w:szCs w:val="20"/>
        </w:rPr>
        <w:t>targeted therapy</w:t>
      </w:r>
      <w:r w:rsidRPr="0076483E">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76483E">
        <w:rPr>
          <w:rStyle w:val="Strong"/>
          <w:rFonts w:ascii="Arial" w:hAnsi="Arial" w:cs="Arial"/>
          <w:b w:val="0"/>
          <w:bCs w:val="0"/>
          <w:color w:val="000000" w:themeColor="text1"/>
          <w:sz w:val="20"/>
          <w:szCs w:val="20"/>
        </w:rPr>
        <w:t>immunotherapy</w:t>
      </w:r>
      <w:r w:rsidRPr="00360A96">
        <w:rPr>
          <w:rFonts w:ascii="Arial" w:hAnsi="Arial" w:cs="Arial"/>
          <w:color w:val="000000" w:themeColor="text1"/>
          <w:sz w:val="20"/>
          <w:szCs w:val="20"/>
        </w:rPr>
        <w:t xml:space="preserve"> </w:t>
      </w:r>
      <w:r w:rsidRPr="00360A96">
        <w:rPr>
          <w:rFonts w:ascii="Arial" w:hAnsi="Arial" w:cs="Arial"/>
          <w:color w:val="000000" w:themeColor="text1"/>
          <w:sz w:val="20"/>
          <w:szCs w:val="20"/>
          <w:lang w:val="tr-TR"/>
        </w:rPr>
        <w:t>(Luo et al., 2021; Kim et al., 2024; Quero et al., 2024: Han et al., 2021; Wei et al., 2021; Springfield et al., 2019; Chin et al., 2018; Kimura et al., 2019; Eser et al., 2014; Jones et al., 2008; Singh et al., 2015; Wang et al., 2024; Wojtukieicz et al., 2021; Tran et al., 2023; Henriksen et al., 2019; Andersson et al., 2024; Huang et al., 2021; Thoidingiam et al., 2024; Ye et al., 2024; Pourali et al., 2024; Jiang et al., 2022; De Castilhos et al., 2024)</w:t>
      </w:r>
      <w:r w:rsidRPr="00360A96">
        <w:rPr>
          <w:rFonts w:ascii="Arial" w:hAnsi="Arial" w:cs="Arial"/>
          <w:color w:val="000000" w:themeColor="text1"/>
          <w:sz w:val="20"/>
          <w:szCs w:val="20"/>
        </w:rPr>
        <w:t>. While each offers specific benefits, their overall impact on long-term survival remains limited, particularly for patients with advanced disease.</w:t>
      </w:r>
    </w:p>
    <w:p w14:paraId="1C702C0A" w14:textId="77777777" w:rsidR="006367D4" w:rsidRPr="00360A96" w:rsidRDefault="006367D4" w:rsidP="006367D4">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Surgical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herapy</w:t>
      </w:r>
      <w:proofErr w:type="spellEnd"/>
    </w:p>
    <w:p w14:paraId="16564477"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Surgical resection remains the only potentially curative option for PDAC, offering the best chance for prolonged survival when performed in carefully selected patients. However, due to the disease’s typically asymptomatic progression, fewer than </w:t>
      </w:r>
      <w:r w:rsidRPr="0076483E">
        <w:rPr>
          <w:rStyle w:val="Strong"/>
          <w:rFonts w:ascii="Arial" w:hAnsi="Arial" w:cs="Arial"/>
          <w:b w:val="0"/>
          <w:bCs w:val="0"/>
          <w:color w:val="000000" w:themeColor="text1"/>
          <w:sz w:val="20"/>
          <w:szCs w:val="20"/>
        </w:rPr>
        <w:t>20% of patients</w:t>
      </w:r>
      <w:r w:rsidRPr="00360A96">
        <w:rPr>
          <w:rFonts w:ascii="Arial" w:hAnsi="Arial" w:cs="Arial"/>
          <w:color w:val="000000" w:themeColor="text1"/>
          <w:sz w:val="20"/>
          <w:szCs w:val="20"/>
        </w:rPr>
        <w:t xml:space="preserve"> present with </w:t>
      </w:r>
      <w:r w:rsidRPr="0076483E">
        <w:rPr>
          <w:rStyle w:val="Strong"/>
          <w:rFonts w:ascii="Arial" w:hAnsi="Arial" w:cs="Arial"/>
          <w:b w:val="0"/>
          <w:bCs w:val="0"/>
          <w:color w:val="000000" w:themeColor="text1"/>
          <w:sz w:val="20"/>
          <w:szCs w:val="20"/>
        </w:rPr>
        <w:t>resectable tumors</w:t>
      </w:r>
      <w:r w:rsidRPr="0076483E">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at diagnosis </w:t>
      </w:r>
      <w:r w:rsidRPr="00360A96">
        <w:rPr>
          <w:rFonts w:ascii="Arial" w:hAnsi="Arial" w:cs="Arial"/>
          <w:color w:val="000000" w:themeColor="text1"/>
          <w:sz w:val="20"/>
          <w:szCs w:val="20"/>
          <w:lang w:val="tr-TR"/>
        </w:rPr>
        <w:t>(Luo et al., 2021; Kim et al., 2024; Quero et al., 2024: Han et al., 2021; Wei et al., 2021)</w:t>
      </w:r>
      <w:r w:rsidRPr="00360A96">
        <w:rPr>
          <w:rFonts w:ascii="Arial" w:hAnsi="Arial" w:cs="Arial"/>
          <w:color w:val="000000" w:themeColor="text1"/>
          <w:sz w:val="20"/>
          <w:szCs w:val="20"/>
        </w:rPr>
        <w:t>.</w:t>
      </w:r>
    </w:p>
    <w:p w14:paraId="068D51FD" w14:textId="77777777" w:rsidR="006367D4" w:rsidRPr="00360A96" w:rsidRDefault="006367D4" w:rsidP="006367D4">
      <w:pPr>
        <w:pStyle w:val="NormalWeb"/>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Staging and </w:t>
      </w:r>
      <w:r w:rsidRPr="00360A96">
        <w:rPr>
          <w:rStyle w:val="Strong"/>
          <w:rFonts w:ascii="Arial" w:hAnsi="Arial" w:cs="Arial"/>
          <w:color w:val="000000" w:themeColor="text1"/>
          <w:sz w:val="22"/>
          <w:szCs w:val="22"/>
          <w:lang w:val="tr-TR"/>
        </w:rPr>
        <w:t>S</w:t>
      </w:r>
      <w:r w:rsidRPr="00360A96">
        <w:rPr>
          <w:rStyle w:val="Strong"/>
          <w:rFonts w:ascii="Arial" w:hAnsi="Arial" w:cs="Arial"/>
          <w:color w:val="000000" w:themeColor="text1"/>
          <w:sz w:val="22"/>
          <w:szCs w:val="22"/>
        </w:rPr>
        <w:t xml:space="preserve">urgical </w:t>
      </w:r>
      <w:r w:rsidRPr="00360A96">
        <w:rPr>
          <w:rStyle w:val="Strong"/>
          <w:rFonts w:ascii="Arial" w:hAnsi="Arial" w:cs="Arial"/>
          <w:color w:val="000000" w:themeColor="text1"/>
          <w:sz w:val="22"/>
          <w:szCs w:val="22"/>
          <w:lang w:val="tr-TR"/>
        </w:rPr>
        <w:t>I</w:t>
      </w:r>
      <w:r w:rsidRPr="00360A96">
        <w:rPr>
          <w:rStyle w:val="Strong"/>
          <w:rFonts w:ascii="Arial" w:hAnsi="Arial" w:cs="Arial"/>
          <w:color w:val="000000" w:themeColor="text1"/>
          <w:sz w:val="22"/>
          <w:szCs w:val="22"/>
        </w:rPr>
        <w:t>ndications</w:t>
      </w:r>
    </w:p>
    <w:p w14:paraId="768F18B2"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Surgical eligibility is determined based on </w:t>
      </w:r>
      <w:r w:rsidRPr="0076483E">
        <w:rPr>
          <w:rStyle w:val="Strong"/>
          <w:rFonts w:ascii="Arial" w:hAnsi="Arial" w:cs="Arial"/>
          <w:b w:val="0"/>
          <w:bCs w:val="0"/>
          <w:color w:val="000000" w:themeColor="text1"/>
          <w:sz w:val="20"/>
          <w:szCs w:val="20"/>
        </w:rPr>
        <w:t>tumor size, vascular involvement, anatomical location, and patient performance status</w:t>
      </w:r>
      <w:r w:rsidRPr="0076483E">
        <w:rPr>
          <w:rFonts w:ascii="Arial" w:hAnsi="Arial" w:cs="Arial"/>
          <w:b/>
          <w:bCs/>
          <w:color w:val="000000" w:themeColor="text1"/>
          <w:sz w:val="20"/>
          <w:szCs w:val="20"/>
        </w:rPr>
        <w: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PDAC staging follows the </w:t>
      </w:r>
      <w:r w:rsidRPr="0076483E">
        <w:rPr>
          <w:rStyle w:val="Strong"/>
          <w:rFonts w:ascii="Arial" w:hAnsi="Arial" w:cs="Arial"/>
          <w:b w:val="0"/>
          <w:bCs w:val="0"/>
          <w:color w:val="000000" w:themeColor="text1"/>
          <w:sz w:val="20"/>
          <w:szCs w:val="20"/>
        </w:rPr>
        <w:t>TNM classification system</w:t>
      </w:r>
      <w:r w:rsidRPr="0076483E">
        <w:rPr>
          <w:rFonts w:ascii="Arial" w:hAnsi="Arial" w:cs="Arial"/>
          <w:b/>
          <w:bCs/>
          <w:color w:val="000000" w:themeColor="text1"/>
          <w:sz w:val="20"/>
          <w:szCs w:val="20"/>
        </w:rPr>
        <w:t xml:space="preserve">, </w:t>
      </w:r>
      <w:r w:rsidRPr="00360A96">
        <w:rPr>
          <w:rFonts w:ascii="Arial" w:hAnsi="Arial" w:cs="Arial"/>
          <w:color w:val="000000" w:themeColor="text1"/>
          <w:sz w:val="20"/>
          <w:szCs w:val="20"/>
        </w:rPr>
        <w:t>which stratifies tumors into four categories:</w:t>
      </w:r>
    </w:p>
    <w:p w14:paraId="6AB350EF" w14:textId="77777777" w:rsidR="006367D4" w:rsidRPr="00004A61" w:rsidRDefault="006367D4" w:rsidP="006367D4">
      <w:pPr>
        <w:pStyle w:val="NormalWeb"/>
        <w:numPr>
          <w:ilvl w:val="0"/>
          <w:numId w:val="2"/>
        </w:numPr>
        <w:tabs>
          <w:tab w:val="clear" w:pos="720"/>
        </w:tabs>
        <w:ind w:left="1134" w:right="283" w:hanging="567"/>
        <w:jc w:val="both"/>
        <w:rPr>
          <w:rFonts w:ascii="Arial" w:hAnsi="Arial" w:cs="Arial"/>
          <w:b/>
          <w:bCs/>
          <w:color w:val="000000" w:themeColor="text1"/>
          <w:sz w:val="20"/>
          <w:szCs w:val="20"/>
        </w:rPr>
      </w:pPr>
      <w:r w:rsidRPr="00004A61">
        <w:rPr>
          <w:rStyle w:val="Strong"/>
          <w:rFonts w:ascii="Arial" w:hAnsi="Arial" w:cs="Arial"/>
          <w:b w:val="0"/>
          <w:bCs w:val="0"/>
          <w:color w:val="000000" w:themeColor="text1"/>
          <w:sz w:val="20"/>
          <w:szCs w:val="20"/>
        </w:rPr>
        <w:t>Resectable</w:t>
      </w:r>
      <w:r w:rsidRPr="00004A61">
        <w:rPr>
          <w:rFonts w:ascii="Arial" w:hAnsi="Arial" w:cs="Arial"/>
          <w:b/>
          <w:bCs/>
          <w:color w:val="000000" w:themeColor="text1"/>
          <w:sz w:val="20"/>
          <w:szCs w:val="20"/>
        </w:rPr>
        <w:t>,</w:t>
      </w:r>
    </w:p>
    <w:p w14:paraId="7C34CCCB" w14:textId="77777777" w:rsidR="006367D4" w:rsidRPr="00004A61" w:rsidRDefault="006367D4" w:rsidP="006367D4">
      <w:pPr>
        <w:pStyle w:val="NormalWeb"/>
        <w:numPr>
          <w:ilvl w:val="0"/>
          <w:numId w:val="2"/>
        </w:numPr>
        <w:tabs>
          <w:tab w:val="clear" w:pos="720"/>
        </w:tabs>
        <w:ind w:left="1134" w:right="283" w:hanging="567"/>
        <w:jc w:val="both"/>
        <w:rPr>
          <w:rFonts w:ascii="Arial" w:hAnsi="Arial" w:cs="Arial"/>
          <w:b/>
          <w:bCs/>
          <w:color w:val="000000" w:themeColor="text1"/>
          <w:sz w:val="20"/>
          <w:szCs w:val="20"/>
        </w:rPr>
      </w:pPr>
      <w:r w:rsidRPr="00004A61">
        <w:rPr>
          <w:rStyle w:val="Strong"/>
          <w:rFonts w:ascii="Arial" w:hAnsi="Arial" w:cs="Arial"/>
          <w:b w:val="0"/>
          <w:bCs w:val="0"/>
          <w:color w:val="000000" w:themeColor="text1"/>
          <w:sz w:val="20"/>
          <w:szCs w:val="20"/>
        </w:rPr>
        <w:t>Borderline resectable</w:t>
      </w:r>
      <w:r w:rsidRPr="00004A61">
        <w:rPr>
          <w:rFonts w:ascii="Arial" w:hAnsi="Arial" w:cs="Arial"/>
          <w:b/>
          <w:bCs/>
          <w:color w:val="000000" w:themeColor="text1"/>
          <w:sz w:val="20"/>
          <w:szCs w:val="20"/>
        </w:rPr>
        <w:t>,</w:t>
      </w:r>
    </w:p>
    <w:p w14:paraId="10A17E23" w14:textId="77777777" w:rsidR="006367D4" w:rsidRPr="00360A96" w:rsidRDefault="006367D4" w:rsidP="006367D4">
      <w:pPr>
        <w:pStyle w:val="NormalWeb"/>
        <w:numPr>
          <w:ilvl w:val="0"/>
          <w:numId w:val="2"/>
        </w:numPr>
        <w:tabs>
          <w:tab w:val="clear" w:pos="720"/>
        </w:tabs>
        <w:ind w:left="1134" w:right="283" w:hanging="567"/>
        <w:jc w:val="both"/>
        <w:rPr>
          <w:rFonts w:ascii="Arial" w:hAnsi="Arial" w:cs="Arial"/>
          <w:color w:val="000000" w:themeColor="text1"/>
          <w:sz w:val="20"/>
          <w:szCs w:val="20"/>
        </w:rPr>
      </w:pPr>
      <w:r w:rsidRPr="00004A61">
        <w:rPr>
          <w:rStyle w:val="Strong"/>
          <w:rFonts w:ascii="Arial" w:hAnsi="Arial" w:cs="Arial"/>
          <w:b w:val="0"/>
          <w:bCs w:val="0"/>
          <w:color w:val="000000" w:themeColor="text1"/>
          <w:sz w:val="20"/>
          <w:szCs w:val="20"/>
        </w:rPr>
        <w:t>Locally advanced/unresectable</w:t>
      </w:r>
      <w:r w:rsidRPr="00004A61">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w:t>
      </w:r>
    </w:p>
    <w:p w14:paraId="1E70B7E5" w14:textId="77777777" w:rsidR="006367D4" w:rsidRPr="00360A96" w:rsidRDefault="006367D4" w:rsidP="006367D4">
      <w:pPr>
        <w:pStyle w:val="NormalWeb"/>
        <w:numPr>
          <w:ilvl w:val="0"/>
          <w:numId w:val="2"/>
        </w:numPr>
        <w:tabs>
          <w:tab w:val="clear" w:pos="720"/>
        </w:tabs>
        <w:ind w:left="1134" w:right="283" w:hanging="567"/>
        <w:jc w:val="both"/>
        <w:rPr>
          <w:rFonts w:ascii="Arial" w:hAnsi="Arial" w:cs="Arial"/>
          <w:color w:val="000000" w:themeColor="text1"/>
          <w:sz w:val="20"/>
          <w:szCs w:val="20"/>
        </w:rPr>
      </w:pPr>
      <w:r w:rsidRPr="00004A61">
        <w:rPr>
          <w:rStyle w:val="Strong"/>
          <w:rFonts w:ascii="Arial" w:hAnsi="Arial" w:cs="Arial"/>
          <w:b w:val="0"/>
          <w:bCs w:val="0"/>
          <w:color w:val="000000" w:themeColor="text1"/>
          <w:sz w:val="20"/>
          <w:szCs w:val="20"/>
        </w:rPr>
        <w:t>Metastatic</w:t>
      </w:r>
      <w:r w:rsidRPr="00004A61">
        <w:rPr>
          <w:rFonts w:ascii="Arial" w:hAnsi="Arial" w:cs="Arial"/>
          <w:b/>
          <w:bCs/>
          <w:color w:val="000000" w:themeColor="text1"/>
          <w:sz w:val="20"/>
          <w:szCs w:val="20"/>
        </w:rPr>
        <w:t xml:space="preserve"> </w:t>
      </w:r>
      <w:r w:rsidRPr="00360A96">
        <w:rPr>
          <w:rFonts w:ascii="Arial" w:hAnsi="Arial" w:cs="Arial"/>
          <w:color w:val="000000" w:themeColor="text1"/>
          <w:sz w:val="20"/>
          <w:szCs w:val="20"/>
          <w:lang w:val="tr-TR"/>
        </w:rPr>
        <w:t>(Boggi et al., 2024)</w:t>
      </w:r>
      <w:r w:rsidRPr="00360A96">
        <w:rPr>
          <w:rFonts w:ascii="Arial" w:hAnsi="Arial" w:cs="Arial"/>
          <w:color w:val="000000" w:themeColor="text1"/>
          <w:sz w:val="20"/>
          <w:szCs w:val="20"/>
        </w:rPr>
        <w:t>.</w:t>
      </w:r>
    </w:p>
    <w:p w14:paraId="654B81FD"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Tumors confined to the pancreas and without major vascular invasion are considered resectable, whereas borderline resectable and locally advanced tumors often require </w:t>
      </w:r>
      <w:r w:rsidRPr="0076483E">
        <w:rPr>
          <w:rStyle w:val="Strong"/>
          <w:rFonts w:ascii="Arial" w:hAnsi="Arial" w:cs="Arial"/>
          <w:b w:val="0"/>
          <w:bCs w:val="0"/>
          <w:color w:val="000000" w:themeColor="text1"/>
          <w:sz w:val="20"/>
          <w:szCs w:val="20"/>
        </w:rPr>
        <w:t>neoadjuvant therapy</w:t>
      </w:r>
      <w:r w:rsidRPr="00360A96">
        <w:rPr>
          <w:rFonts w:ascii="Arial" w:hAnsi="Arial" w:cs="Arial"/>
          <w:color w:val="000000" w:themeColor="text1"/>
          <w:sz w:val="20"/>
          <w:szCs w:val="20"/>
        </w:rPr>
        <w:t xml:space="preserve"> to achieve operability.</w:t>
      </w:r>
    </w:p>
    <w:p w14:paraId="1CC6B0C9" w14:textId="77777777" w:rsidR="006367D4" w:rsidRPr="00360A96" w:rsidRDefault="006367D4" w:rsidP="006367D4">
      <w:pPr>
        <w:pStyle w:val="Heading4"/>
        <w:spacing w:line="480" w:lineRule="auto"/>
        <w:ind w:left="567" w:right="283"/>
        <w:jc w:val="both"/>
        <w:rPr>
          <w:rFonts w:ascii="Arial" w:hAnsi="Arial" w:cs="Arial"/>
          <w:i w:val="0"/>
          <w:iCs w:val="0"/>
          <w:color w:val="000000" w:themeColor="text1"/>
          <w:sz w:val="22"/>
          <w:szCs w:val="22"/>
        </w:rPr>
      </w:pPr>
      <w:r w:rsidRPr="00360A96">
        <w:rPr>
          <w:rStyle w:val="Strong"/>
          <w:rFonts w:ascii="Arial" w:hAnsi="Arial" w:cs="Arial"/>
          <w:i w:val="0"/>
          <w:iCs w:val="0"/>
          <w:color w:val="000000" w:themeColor="text1"/>
          <w:sz w:val="22"/>
          <w:szCs w:val="22"/>
        </w:rPr>
        <w:t xml:space="preserve">Surgical </w:t>
      </w:r>
      <w:r w:rsidRPr="00360A96">
        <w:rPr>
          <w:rStyle w:val="Strong"/>
          <w:rFonts w:ascii="Arial" w:hAnsi="Arial" w:cs="Arial"/>
          <w:i w:val="0"/>
          <w:iCs w:val="0"/>
          <w:color w:val="000000" w:themeColor="text1"/>
          <w:sz w:val="22"/>
          <w:szCs w:val="22"/>
          <w:lang w:val="tr-TR"/>
        </w:rPr>
        <w:t>P</w:t>
      </w:r>
      <w:proofErr w:type="spellStart"/>
      <w:r w:rsidRPr="00360A96">
        <w:rPr>
          <w:rStyle w:val="Strong"/>
          <w:rFonts w:ascii="Arial" w:hAnsi="Arial" w:cs="Arial"/>
          <w:i w:val="0"/>
          <w:iCs w:val="0"/>
          <w:color w:val="000000" w:themeColor="text1"/>
          <w:sz w:val="22"/>
          <w:szCs w:val="22"/>
        </w:rPr>
        <w:t>rocedures</w:t>
      </w:r>
      <w:proofErr w:type="spellEnd"/>
    </w:p>
    <w:p w14:paraId="0D78DBC0"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The choice of surgical technique depends primarily on the tumor’s anatomical location:</w:t>
      </w:r>
    </w:p>
    <w:p w14:paraId="70930839" w14:textId="77777777" w:rsidR="006367D4" w:rsidRPr="00360A96" w:rsidRDefault="006367D4" w:rsidP="006367D4">
      <w:pPr>
        <w:pStyle w:val="NormalWeb"/>
        <w:numPr>
          <w:ilvl w:val="0"/>
          <w:numId w:val="3"/>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Pancreaticoduodenectomy (Whipple procedure)</w:t>
      </w:r>
      <w:r w:rsidRPr="00360A96">
        <w:rPr>
          <w:rFonts w:ascii="Arial" w:hAnsi="Arial" w:cs="Arial"/>
          <w:color w:val="000000" w:themeColor="text1"/>
          <w:sz w:val="20"/>
          <w:szCs w:val="20"/>
        </w:rPr>
        <w:t xml:space="preserve"> is the standard for tumors located in the pancreatic head. It has become increasingly safe in high-volume centers, with low operative mortality and acceptable morbidity rates.</w:t>
      </w:r>
    </w:p>
    <w:p w14:paraId="53AF6ABE" w14:textId="77777777" w:rsidR="006367D4" w:rsidRPr="00360A96" w:rsidRDefault="006367D4" w:rsidP="006367D4">
      <w:pPr>
        <w:pStyle w:val="NormalWeb"/>
        <w:numPr>
          <w:ilvl w:val="0"/>
          <w:numId w:val="3"/>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Distal pancreatectomy</w:t>
      </w:r>
      <w:r w:rsidRPr="00360A96">
        <w:rPr>
          <w:rFonts w:ascii="Arial" w:hAnsi="Arial" w:cs="Arial"/>
          <w:color w:val="000000" w:themeColor="text1"/>
          <w:sz w:val="20"/>
          <w:szCs w:val="20"/>
        </w:rPr>
        <w:t xml:space="preserve"> is indicated for lesions in the body or tail of the pancreas.</w:t>
      </w:r>
    </w:p>
    <w:p w14:paraId="0B9ED491" w14:textId="77777777" w:rsidR="006367D4" w:rsidRPr="00360A96" w:rsidRDefault="006367D4" w:rsidP="006367D4">
      <w:pPr>
        <w:pStyle w:val="NormalWeb"/>
        <w:numPr>
          <w:ilvl w:val="0"/>
          <w:numId w:val="3"/>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Total pancreatectomy</w:t>
      </w:r>
      <w:r w:rsidRPr="00360A96">
        <w:rPr>
          <w:rFonts w:ascii="Arial" w:hAnsi="Arial" w:cs="Arial"/>
          <w:color w:val="000000" w:themeColor="text1"/>
          <w:sz w:val="20"/>
          <w:szCs w:val="20"/>
        </w:rPr>
        <w:t xml:space="preserve"> is reserved for extensive or multifocal disease but is rarely performed due to the high risk of metabolic complications, including insulin-dependent diabetes and exocrine insufficiency </w:t>
      </w:r>
      <w:r w:rsidRPr="00360A96">
        <w:rPr>
          <w:rFonts w:ascii="Arial" w:hAnsi="Arial" w:cs="Arial"/>
          <w:color w:val="000000" w:themeColor="text1"/>
          <w:sz w:val="20"/>
          <w:szCs w:val="20"/>
          <w:lang w:val="tr-TR"/>
        </w:rPr>
        <w:t>(Quero et al., 2024)</w:t>
      </w:r>
      <w:r w:rsidRPr="00360A96">
        <w:rPr>
          <w:rFonts w:ascii="Arial" w:hAnsi="Arial" w:cs="Arial"/>
          <w:color w:val="000000" w:themeColor="text1"/>
          <w:sz w:val="20"/>
          <w:szCs w:val="20"/>
        </w:rPr>
        <w:t>.</w:t>
      </w:r>
    </w:p>
    <w:p w14:paraId="674D7479" w14:textId="77777777" w:rsidR="006367D4" w:rsidRPr="00360A96" w:rsidRDefault="006367D4" w:rsidP="006367D4">
      <w:pPr>
        <w:pStyle w:val="NormalWeb"/>
        <w:numPr>
          <w:ilvl w:val="0"/>
          <w:numId w:val="3"/>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Palliative surgery</w:t>
      </w:r>
      <w:r w:rsidRPr="00360A96">
        <w:rPr>
          <w:rFonts w:ascii="Arial" w:hAnsi="Arial" w:cs="Arial"/>
          <w:color w:val="000000" w:themeColor="text1"/>
          <w:sz w:val="20"/>
          <w:szCs w:val="20"/>
        </w:rPr>
        <w:t xml:space="preserve"> may be performed in cases of unresectable disease to relieve biliary or duodenal obstruction, improving quality of life</w:t>
      </w:r>
      <w:r w:rsidRPr="00360A96">
        <w:rPr>
          <w:rFonts w:ascii="Arial" w:hAnsi="Arial" w:cs="Arial"/>
          <w:color w:val="000000" w:themeColor="text1"/>
          <w:sz w:val="20"/>
          <w:szCs w:val="20"/>
          <w:lang w:val="tr-TR"/>
        </w:rPr>
        <w:t xml:space="preserve"> (Wu et al., 2025)</w:t>
      </w:r>
      <w:r w:rsidRPr="00360A96">
        <w:rPr>
          <w:rFonts w:ascii="Arial" w:hAnsi="Arial" w:cs="Arial"/>
          <w:color w:val="000000" w:themeColor="text1"/>
          <w:sz w:val="20"/>
          <w:szCs w:val="20"/>
        </w:rPr>
        <w:t>.</w:t>
      </w:r>
    </w:p>
    <w:p w14:paraId="217A2FD5"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Despite improvements in surgical techniques and perioperative care, recurrence rates remain high, and long-term survival is achieved only in a minority of patients. Consequently, </w:t>
      </w:r>
      <w:r w:rsidRPr="00004A61">
        <w:rPr>
          <w:rStyle w:val="Strong"/>
          <w:rFonts w:ascii="Arial" w:hAnsi="Arial" w:cs="Arial"/>
          <w:b w:val="0"/>
          <w:bCs w:val="0"/>
          <w:color w:val="000000" w:themeColor="text1"/>
          <w:sz w:val="20"/>
          <w:szCs w:val="20"/>
        </w:rPr>
        <w:t xml:space="preserve">multimodal </w:t>
      </w:r>
      <w:r w:rsidRPr="00004A61">
        <w:rPr>
          <w:rStyle w:val="Strong"/>
          <w:rFonts w:ascii="Arial" w:hAnsi="Arial" w:cs="Arial"/>
          <w:b w:val="0"/>
          <w:bCs w:val="0"/>
          <w:color w:val="000000" w:themeColor="text1"/>
          <w:sz w:val="20"/>
          <w:szCs w:val="20"/>
        </w:rPr>
        <w:lastRenderedPageBreak/>
        <w:t>therapy</w:t>
      </w:r>
      <w:r w:rsidRPr="00004A61">
        <w:rPr>
          <w:rFonts w:ascii="Arial" w:hAnsi="Arial" w:cs="Arial"/>
          <w:b/>
          <w:bCs/>
          <w:color w:val="000000" w:themeColor="text1"/>
          <w:sz w:val="20"/>
          <w:szCs w:val="20"/>
        </w:rPr>
        <w:t>,</w:t>
      </w:r>
      <w:r w:rsidRPr="00360A96">
        <w:rPr>
          <w:rFonts w:ascii="Arial" w:hAnsi="Arial" w:cs="Arial"/>
          <w:color w:val="000000" w:themeColor="text1"/>
          <w:sz w:val="20"/>
          <w:szCs w:val="20"/>
        </w:rPr>
        <w:t xml:space="preserve"> incorporating adjuvant or neoadjuvant treatment, has become standard in most clinical settings.</w:t>
      </w:r>
    </w:p>
    <w:p w14:paraId="6789CB1A" w14:textId="77777777" w:rsidR="006367D4" w:rsidRPr="00360A96" w:rsidRDefault="006367D4" w:rsidP="006367D4">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Chemotherapy and </w:t>
      </w:r>
      <w:r w:rsidRPr="00360A96">
        <w:rPr>
          <w:rStyle w:val="Strong"/>
          <w:rFonts w:ascii="Arial" w:hAnsi="Arial" w:cs="Arial"/>
          <w:color w:val="000000" w:themeColor="text1"/>
          <w:sz w:val="22"/>
          <w:szCs w:val="22"/>
          <w:lang w:val="tr-TR"/>
        </w:rPr>
        <w:t>C</w:t>
      </w:r>
      <w:proofErr w:type="spellStart"/>
      <w:r w:rsidRPr="00360A96">
        <w:rPr>
          <w:rStyle w:val="Strong"/>
          <w:rFonts w:ascii="Arial" w:hAnsi="Arial" w:cs="Arial"/>
          <w:color w:val="000000" w:themeColor="text1"/>
          <w:sz w:val="22"/>
          <w:szCs w:val="22"/>
        </w:rPr>
        <w:t>hemoradiotherapy</w:t>
      </w:r>
      <w:proofErr w:type="spellEnd"/>
    </w:p>
    <w:p w14:paraId="2C41A4A6"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Chemotherapy remains the cornerstone of non-surgical management for both localized and metastatic PDAC. Standard first-line regimens include </w:t>
      </w:r>
      <w:r w:rsidRPr="0076483E">
        <w:rPr>
          <w:rStyle w:val="Strong"/>
          <w:rFonts w:ascii="Arial" w:hAnsi="Arial" w:cs="Arial"/>
          <w:b w:val="0"/>
          <w:bCs w:val="0"/>
          <w:color w:val="000000" w:themeColor="text1"/>
          <w:sz w:val="20"/>
          <w:szCs w:val="20"/>
        </w:rPr>
        <w:t>FOLFIRINOX</w:t>
      </w:r>
      <w:r w:rsidRPr="00360A96">
        <w:rPr>
          <w:rFonts w:ascii="Arial" w:hAnsi="Arial" w:cs="Arial"/>
          <w:color w:val="000000" w:themeColor="text1"/>
          <w:sz w:val="20"/>
          <w:szCs w:val="20"/>
        </w:rPr>
        <w:t xml:space="preserve"> (a combination of 5-fluorouracil, leucovorin, irinotecan, and oxaliplatin) or </w:t>
      </w:r>
      <w:r w:rsidRPr="0076483E">
        <w:rPr>
          <w:rStyle w:val="Strong"/>
          <w:rFonts w:ascii="Arial" w:hAnsi="Arial" w:cs="Arial"/>
          <w:b w:val="0"/>
          <w:bCs w:val="0"/>
          <w:color w:val="000000" w:themeColor="text1"/>
          <w:sz w:val="20"/>
          <w:szCs w:val="20"/>
        </w:rPr>
        <w:t>gemcitabine-based combinations</w:t>
      </w:r>
      <w:r w:rsidRPr="0076483E">
        <w:rPr>
          <w:rFonts w:ascii="Arial" w:hAnsi="Arial" w:cs="Arial"/>
          <w:b/>
          <w:bCs/>
          <w:color w:val="000000" w:themeColor="text1"/>
          <w:sz w:val="20"/>
          <w:szCs w:val="20"/>
        </w:rPr>
        <w:t>,</w:t>
      </w:r>
      <w:r w:rsidRPr="00360A96">
        <w:rPr>
          <w:rFonts w:ascii="Arial" w:hAnsi="Arial" w:cs="Arial"/>
          <w:color w:val="000000" w:themeColor="text1"/>
          <w:sz w:val="20"/>
          <w:szCs w:val="20"/>
        </w:rPr>
        <w:t xml:space="preserve"> </w:t>
      </w:r>
      <w:r w:rsidRPr="0076483E">
        <w:rPr>
          <w:rFonts w:ascii="Arial" w:hAnsi="Arial" w:cs="Arial"/>
          <w:color w:val="000000" w:themeColor="text1"/>
          <w:sz w:val="20"/>
          <w:szCs w:val="20"/>
        </w:rPr>
        <w:t xml:space="preserve">which offer modest survival benefits </w:t>
      </w:r>
      <w:r w:rsidRPr="0076483E">
        <w:rPr>
          <w:rFonts w:ascii="Arial" w:hAnsi="Arial" w:cs="Arial"/>
          <w:color w:val="000000" w:themeColor="text1"/>
          <w:sz w:val="20"/>
          <w:szCs w:val="20"/>
          <w:lang w:val="tr-TR"/>
        </w:rPr>
        <w:t>(Springfield et al., 2019; Chin</w:t>
      </w:r>
      <w:r w:rsidRPr="00360A96">
        <w:rPr>
          <w:rFonts w:ascii="Arial" w:hAnsi="Arial" w:cs="Arial"/>
          <w:color w:val="000000" w:themeColor="text1"/>
          <w:sz w:val="20"/>
          <w:szCs w:val="20"/>
          <w:lang w:val="tr-TR"/>
        </w:rPr>
        <w:t xml:space="preserve"> et al., 2018)</w:t>
      </w:r>
      <w:r w:rsidRPr="00360A96">
        <w:rPr>
          <w:rFonts w:ascii="Arial" w:hAnsi="Arial" w:cs="Arial"/>
          <w:color w:val="000000" w:themeColor="text1"/>
          <w:sz w:val="20"/>
          <w:szCs w:val="20"/>
        </w:rPr>
        <w:t>.</w:t>
      </w:r>
    </w:p>
    <w:p w14:paraId="6D5645F9"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Adjuvant chemotherapy following curative resection has been shown to significantly improve overall survival compared with surgery alone. Neoadjuvant chemotherapy, often combined with radiotherapy, is increasingly employed for borderline resectable or locally advanced tumors to downstage disease and increase resectability.</w:t>
      </w:r>
    </w:p>
    <w:p w14:paraId="21C76136"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However, intrinsic chemoresistance and the dense desmoplastic stroma surrounding PDAC tumors limit drug delivery and efficacy. Radiotherapy may be used concurrently with chemotherapy to enhance local control, but its role remains controversial, with mixed evidence regarding its effect on survival outcomes </w:t>
      </w:r>
      <w:r w:rsidRPr="00360A96">
        <w:rPr>
          <w:rFonts w:ascii="Arial" w:hAnsi="Arial" w:cs="Arial"/>
          <w:color w:val="000000" w:themeColor="text1"/>
          <w:sz w:val="20"/>
          <w:szCs w:val="20"/>
          <w:lang w:val="tr-TR"/>
        </w:rPr>
        <w:t>(Chin et al., 2018)</w:t>
      </w:r>
      <w:r w:rsidRPr="00360A96">
        <w:rPr>
          <w:rFonts w:ascii="Arial" w:hAnsi="Arial" w:cs="Arial"/>
          <w:color w:val="000000" w:themeColor="text1"/>
          <w:sz w:val="20"/>
          <w:szCs w:val="20"/>
        </w:rPr>
        <w:t>.</w:t>
      </w:r>
    </w:p>
    <w:p w14:paraId="78E922EA" w14:textId="77777777" w:rsidR="006367D4" w:rsidRPr="00360A96" w:rsidRDefault="006367D4" w:rsidP="006367D4">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Targeted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herapy</w:t>
      </w:r>
      <w:proofErr w:type="spellEnd"/>
      <w:r w:rsidRPr="00360A96">
        <w:rPr>
          <w:rStyle w:val="Strong"/>
          <w:rFonts w:ascii="Arial" w:hAnsi="Arial" w:cs="Arial"/>
          <w:color w:val="000000" w:themeColor="text1"/>
          <w:sz w:val="22"/>
          <w:szCs w:val="22"/>
        </w:rPr>
        <w:t xml:space="preserve"> and </w:t>
      </w:r>
      <w:r w:rsidRPr="00360A96">
        <w:rPr>
          <w:rStyle w:val="Strong"/>
          <w:rFonts w:ascii="Arial" w:hAnsi="Arial" w:cs="Arial"/>
          <w:color w:val="000000" w:themeColor="text1"/>
          <w:sz w:val="22"/>
          <w:szCs w:val="22"/>
          <w:lang w:val="tr-TR"/>
        </w:rPr>
        <w:t>I</w:t>
      </w:r>
      <w:proofErr w:type="spellStart"/>
      <w:r w:rsidRPr="00360A96">
        <w:rPr>
          <w:rStyle w:val="Strong"/>
          <w:rFonts w:ascii="Arial" w:hAnsi="Arial" w:cs="Arial"/>
          <w:color w:val="000000" w:themeColor="text1"/>
          <w:sz w:val="22"/>
          <w:szCs w:val="22"/>
        </w:rPr>
        <w:t>mmunotherapy</w:t>
      </w:r>
      <w:proofErr w:type="spellEnd"/>
    </w:p>
    <w:p w14:paraId="22ED6418" w14:textId="1713F7D1"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Targeted therapies have produced limited success in PDAC due to the tumor’s molecular heterogeneity and lack of actionable mutations. Trials investigating inhibitors of </w:t>
      </w:r>
      <w:r w:rsidR="0076483E">
        <w:rPr>
          <w:rFonts w:ascii="Arial" w:hAnsi="Arial" w:cs="Arial"/>
          <w:color w:val="000000" w:themeColor="text1"/>
          <w:sz w:val="20"/>
          <w:szCs w:val="20"/>
          <w:lang w:val="tr-TR"/>
        </w:rPr>
        <w:t xml:space="preserve">epidermal growth factor receptor </w:t>
      </w:r>
      <w:r w:rsidR="0076483E" w:rsidRPr="0076483E">
        <w:rPr>
          <w:rFonts w:ascii="Arial" w:hAnsi="Arial" w:cs="Arial"/>
          <w:b/>
          <w:bCs/>
          <w:color w:val="000000" w:themeColor="text1"/>
          <w:sz w:val="20"/>
          <w:szCs w:val="20"/>
          <w:lang w:val="tr-TR"/>
        </w:rPr>
        <w:t>(</w:t>
      </w:r>
      <w:r w:rsidRPr="0076483E">
        <w:rPr>
          <w:rStyle w:val="Strong"/>
          <w:rFonts w:ascii="Arial" w:hAnsi="Arial" w:cs="Arial"/>
          <w:b w:val="0"/>
          <w:bCs w:val="0"/>
          <w:color w:val="000000" w:themeColor="text1"/>
          <w:sz w:val="20"/>
          <w:szCs w:val="20"/>
        </w:rPr>
        <w:t>EGFR</w:t>
      </w:r>
      <w:r w:rsidR="0076483E" w:rsidRPr="0076483E">
        <w:rPr>
          <w:rStyle w:val="Strong"/>
          <w:rFonts w:ascii="Arial" w:hAnsi="Arial" w:cs="Arial"/>
          <w:b w:val="0"/>
          <w:bCs w:val="0"/>
          <w:color w:val="000000" w:themeColor="text1"/>
          <w:sz w:val="20"/>
          <w:szCs w:val="20"/>
          <w:lang w:val="tr-TR"/>
        </w:rPr>
        <w:t>)</w:t>
      </w:r>
      <w:r w:rsidRPr="0076483E">
        <w:rPr>
          <w:rFonts w:ascii="Arial" w:hAnsi="Arial" w:cs="Arial"/>
          <w:color w:val="000000" w:themeColor="text1"/>
          <w:sz w:val="20"/>
          <w:szCs w:val="20"/>
        </w:rPr>
        <w:t>,</w:t>
      </w:r>
      <w:r w:rsidRPr="00360A96">
        <w:rPr>
          <w:rFonts w:ascii="Arial" w:hAnsi="Arial" w:cs="Arial"/>
          <w:b/>
          <w:bCs/>
          <w:color w:val="000000" w:themeColor="text1"/>
          <w:sz w:val="20"/>
          <w:szCs w:val="20"/>
        </w:rPr>
        <w:t xml:space="preserve"> </w:t>
      </w:r>
      <w:r w:rsidR="0076483E" w:rsidRPr="0076483E">
        <w:rPr>
          <w:rFonts w:ascii="Arial" w:hAnsi="Arial" w:cs="Arial"/>
          <w:color w:val="000000" w:themeColor="text1"/>
          <w:sz w:val="20"/>
          <w:szCs w:val="20"/>
          <w:lang w:val="tr-TR"/>
        </w:rPr>
        <w:t>vascular endothelial growth factor (</w:t>
      </w:r>
      <w:r w:rsidRPr="0076483E">
        <w:rPr>
          <w:rStyle w:val="Strong"/>
          <w:rFonts w:ascii="Arial" w:hAnsi="Arial" w:cs="Arial"/>
          <w:b w:val="0"/>
          <w:bCs w:val="0"/>
          <w:color w:val="000000" w:themeColor="text1"/>
          <w:sz w:val="20"/>
          <w:szCs w:val="20"/>
        </w:rPr>
        <w:t>VEGF</w:t>
      </w:r>
      <w:r w:rsidR="0076483E" w:rsidRPr="0076483E">
        <w:rPr>
          <w:rStyle w:val="Strong"/>
          <w:rFonts w:ascii="Arial" w:hAnsi="Arial" w:cs="Arial"/>
          <w:b w:val="0"/>
          <w:bCs w:val="0"/>
          <w:color w:val="000000" w:themeColor="text1"/>
          <w:sz w:val="20"/>
          <w:szCs w:val="20"/>
          <w:lang w:val="tr-TR"/>
        </w:rPr>
        <w:t>)</w:t>
      </w:r>
      <w:r w:rsidRPr="0076483E">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w:t>
      </w:r>
      <w:r w:rsidR="0076483E">
        <w:rPr>
          <w:rFonts w:ascii="Arial" w:hAnsi="Arial" w:cs="Arial"/>
          <w:color w:val="000000" w:themeColor="text1"/>
          <w:sz w:val="20"/>
          <w:szCs w:val="20"/>
          <w:lang w:val="tr-TR"/>
        </w:rPr>
        <w:t xml:space="preserve"> kirsten rat sarcoma (</w:t>
      </w:r>
      <w:r w:rsidRPr="0076483E">
        <w:rPr>
          <w:rStyle w:val="Strong"/>
          <w:rFonts w:ascii="Arial" w:hAnsi="Arial" w:cs="Arial"/>
          <w:b w:val="0"/>
          <w:bCs w:val="0"/>
          <w:color w:val="000000" w:themeColor="text1"/>
          <w:sz w:val="20"/>
          <w:szCs w:val="20"/>
        </w:rPr>
        <w:t>KRAS</w:t>
      </w:r>
      <w:r w:rsidR="0076483E" w:rsidRPr="0076483E">
        <w:rPr>
          <w:rStyle w:val="Strong"/>
          <w:rFonts w:ascii="Arial" w:hAnsi="Arial" w:cs="Arial"/>
          <w:b w:val="0"/>
          <w:bCs w:val="0"/>
          <w:color w:val="000000" w:themeColor="text1"/>
          <w:sz w:val="20"/>
          <w:szCs w:val="20"/>
          <w:lang w:val="tr-TR"/>
        </w:rPr>
        <w: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have yielded only marginal benefits </w:t>
      </w:r>
      <w:r w:rsidRPr="00360A96">
        <w:rPr>
          <w:rFonts w:ascii="Arial" w:hAnsi="Arial" w:cs="Arial"/>
          <w:color w:val="000000" w:themeColor="text1"/>
          <w:sz w:val="20"/>
          <w:szCs w:val="20"/>
          <w:lang w:val="tr-TR"/>
        </w:rPr>
        <w:t>(Kimura et al., 2019; Eser et al., 2014; Jones et al., 2008)</w:t>
      </w:r>
      <w:r w:rsidRPr="00360A96">
        <w:rPr>
          <w:rFonts w:ascii="Arial" w:hAnsi="Arial" w:cs="Arial"/>
          <w:color w:val="000000" w:themeColor="text1"/>
          <w:sz w:val="20"/>
          <w:szCs w:val="20"/>
        </w:rPr>
        <w:t>.</w:t>
      </w:r>
    </w:p>
    <w:p w14:paraId="0825B494"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In contrast, </w:t>
      </w:r>
      <w:r w:rsidRPr="0076483E">
        <w:rPr>
          <w:rStyle w:val="Strong"/>
          <w:rFonts w:ascii="Arial" w:hAnsi="Arial" w:cs="Arial"/>
          <w:b w:val="0"/>
          <w:bCs w:val="0"/>
          <w:color w:val="000000" w:themeColor="text1"/>
          <w:sz w:val="20"/>
          <w:szCs w:val="20"/>
        </w:rPr>
        <w:t>immunotherapy</w:t>
      </w:r>
      <w:r w:rsidRPr="00360A96">
        <w:rPr>
          <w:rFonts w:ascii="Arial" w:hAnsi="Arial" w:cs="Arial"/>
          <w:color w:val="000000" w:themeColor="text1"/>
          <w:sz w:val="20"/>
          <w:szCs w:val="20"/>
        </w:rPr>
        <w:t xml:space="preserve">—a transformative approach in other malignancies—has shown minimal efficacy in PDAC because of the tumor’s </w:t>
      </w:r>
      <w:r w:rsidRPr="0076483E">
        <w:rPr>
          <w:rStyle w:val="Strong"/>
          <w:rFonts w:ascii="Arial" w:hAnsi="Arial" w:cs="Arial"/>
          <w:b w:val="0"/>
          <w:bCs w:val="0"/>
          <w:color w:val="000000" w:themeColor="text1"/>
          <w:sz w:val="20"/>
          <w:szCs w:val="20"/>
        </w:rPr>
        <w:t>profoundly immunosuppressive microenvironment</w:t>
      </w:r>
      <w:r w:rsidRPr="00360A96">
        <w:rPr>
          <w:rFonts w:ascii="Arial" w:hAnsi="Arial" w:cs="Arial"/>
          <w:color w:val="000000" w:themeColor="text1"/>
          <w:sz w:val="20"/>
          <w:szCs w:val="20"/>
        </w:rPr>
        <w:t xml:space="preserve"> </w:t>
      </w:r>
      <w:r w:rsidRPr="00360A96">
        <w:rPr>
          <w:rFonts w:ascii="Arial" w:hAnsi="Arial" w:cs="Arial"/>
          <w:color w:val="000000" w:themeColor="text1"/>
          <w:sz w:val="20"/>
          <w:szCs w:val="20"/>
          <w:lang w:val="tr-TR"/>
        </w:rPr>
        <w:t>(Singh et al., 2015; Wang et al., 2024; Wojtukieicz et al., 2021; Tran et al., 2023; Henriksen et al., 2019; Andersson et al., 2024; Huang et al., 2021; Thoidingiam et al., 2024; Ye et al., 2024; Pourali et al., 2024; Jiang et al., 2022; De Castilhos et al., 2024)</w:t>
      </w:r>
      <w:r w:rsidRPr="00360A96">
        <w:rPr>
          <w:rFonts w:ascii="Arial" w:hAnsi="Arial" w:cs="Arial"/>
          <w:color w:val="000000" w:themeColor="text1"/>
          <w:sz w:val="20"/>
          <w:szCs w:val="20"/>
        </w:rPr>
        <w:t>. Monotherapies employing immune checkpoint inhibitors (e.g., anti–PD-1, anti–CTLA-4),</w:t>
      </w:r>
      <w:r w:rsidRPr="00360A96">
        <w:rPr>
          <w:rFonts w:ascii="Arial" w:hAnsi="Arial" w:cs="Arial"/>
          <w:b/>
          <w:bCs/>
          <w:color w:val="000000" w:themeColor="text1"/>
          <w:sz w:val="20"/>
          <w:szCs w:val="20"/>
        </w:rPr>
        <w:t xml:space="preserve"> </w:t>
      </w:r>
      <w:r w:rsidRPr="0076483E">
        <w:rPr>
          <w:rStyle w:val="Strong"/>
          <w:rFonts w:ascii="Arial" w:hAnsi="Arial" w:cs="Arial"/>
          <w:b w:val="0"/>
          <w:bCs w:val="0"/>
          <w:color w:val="000000" w:themeColor="text1"/>
          <w:sz w:val="20"/>
          <w:szCs w:val="20"/>
        </w:rPr>
        <w:t>CD40 agonists</w:t>
      </w:r>
      <w:r w:rsidRPr="0076483E">
        <w:rPr>
          <w:rFonts w:ascii="Arial" w:hAnsi="Arial" w:cs="Arial"/>
          <w:b/>
          <w:bCs/>
          <w:color w:val="000000" w:themeColor="text1"/>
          <w:sz w:val="20"/>
          <w:szCs w:val="20"/>
        </w:rPr>
        <w:t xml:space="preserve">, </w:t>
      </w:r>
      <w:r w:rsidRPr="0076483E">
        <w:rPr>
          <w:rStyle w:val="Strong"/>
          <w:rFonts w:ascii="Arial" w:hAnsi="Arial" w:cs="Arial"/>
          <w:b w:val="0"/>
          <w:bCs w:val="0"/>
          <w:color w:val="000000" w:themeColor="text1"/>
          <w:sz w:val="20"/>
          <w:szCs w:val="20"/>
        </w:rPr>
        <w:t>tumor vaccines</w:t>
      </w:r>
      <w:r w:rsidRPr="0076483E">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76483E">
        <w:rPr>
          <w:rStyle w:val="Strong"/>
          <w:rFonts w:ascii="Arial" w:hAnsi="Arial" w:cs="Arial"/>
          <w:b w:val="0"/>
          <w:bCs w:val="0"/>
          <w:color w:val="000000" w:themeColor="text1"/>
          <w:sz w:val="20"/>
          <w:szCs w:val="20"/>
        </w:rPr>
        <w:t>adoptive cell transfer</w:t>
      </w:r>
      <w:r w:rsidRPr="00360A96">
        <w:rPr>
          <w:rFonts w:ascii="Arial" w:hAnsi="Arial" w:cs="Arial"/>
          <w:color w:val="000000" w:themeColor="text1"/>
          <w:sz w:val="20"/>
          <w:szCs w:val="20"/>
        </w:rPr>
        <w:t xml:space="preserve"> have not yet achieved meaningful clinical benefit.</w:t>
      </w:r>
    </w:p>
    <w:p w14:paraId="298D4CA9"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Recent strategies aim to </w:t>
      </w:r>
      <w:r w:rsidRPr="0076483E">
        <w:rPr>
          <w:rStyle w:val="Strong"/>
          <w:rFonts w:ascii="Arial" w:hAnsi="Arial" w:cs="Arial"/>
          <w:b w:val="0"/>
          <w:bCs w:val="0"/>
          <w:color w:val="000000" w:themeColor="text1"/>
          <w:sz w:val="20"/>
          <w:szCs w:val="20"/>
        </w:rPr>
        <w:t>modulate the tumor microenvironment (TME)</w:t>
      </w:r>
      <w:r w:rsidRPr="00360A96">
        <w:rPr>
          <w:rFonts w:ascii="Arial" w:hAnsi="Arial" w:cs="Arial"/>
          <w:color w:val="000000" w:themeColor="text1"/>
          <w:sz w:val="20"/>
          <w:szCs w:val="20"/>
        </w:rPr>
        <w:t xml:space="preserve"> to enhance immunotherapeutic responses. Approaches under investigation include </w:t>
      </w:r>
      <w:r w:rsidRPr="0076483E">
        <w:rPr>
          <w:rStyle w:val="Strong"/>
          <w:rFonts w:ascii="Arial" w:hAnsi="Arial" w:cs="Arial"/>
          <w:b w:val="0"/>
          <w:bCs w:val="0"/>
          <w:color w:val="000000" w:themeColor="text1"/>
          <w:sz w:val="20"/>
          <w:szCs w:val="20"/>
        </w:rPr>
        <w:t>CD40 signaling activation</w:t>
      </w:r>
      <w:r w:rsidRPr="0076483E">
        <w:rPr>
          <w:rFonts w:ascii="Arial" w:hAnsi="Arial" w:cs="Arial"/>
          <w:b/>
          <w:bCs/>
          <w:color w:val="000000" w:themeColor="text1"/>
          <w:sz w:val="20"/>
          <w:szCs w:val="20"/>
        </w:rPr>
        <w:t xml:space="preserve">, </w:t>
      </w:r>
      <w:r w:rsidRPr="0076483E">
        <w:rPr>
          <w:rStyle w:val="Strong"/>
          <w:rFonts w:ascii="Arial" w:hAnsi="Arial" w:cs="Arial"/>
          <w:b w:val="0"/>
          <w:bCs w:val="0"/>
          <w:color w:val="000000" w:themeColor="text1"/>
          <w:sz w:val="20"/>
          <w:szCs w:val="20"/>
        </w:rPr>
        <w:t>stromal remodeling</w:t>
      </w:r>
      <w:r w:rsidRPr="0076483E">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combination therapies integrating </w:t>
      </w:r>
      <w:r w:rsidRPr="0076483E">
        <w:rPr>
          <w:rStyle w:val="Strong"/>
          <w:rFonts w:ascii="Arial" w:hAnsi="Arial" w:cs="Arial"/>
          <w:b w:val="0"/>
          <w:bCs w:val="0"/>
          <w:color w:val="000000" w:themeColor="text1"/>
          <w:sz w:val="20"/>
          <w:szCs w:val="20"/>
        </w:rPr>
        <w:t>chemotherapy, radiotherapy, and immunotherapy</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lang w:val="tr-TR"/>
        </w:rPr>
        <w:t>(Andersson et al., 2024; De Castilhos et al., 2024)</w:t>
      </w:r>
      <w:r w:rsidRPr="00360A96">
        <w:rPr>
          <w:rFonts w:ascii="Arial" w:hAnsi="Arial" w:cs="Arial"/>
          <w:color w:val="000000" w:themeColor="text1"/>
          <w:sz w:val="20"/>
          <w:szCs w:val="20"/>
        </w:rPr>
        <w:t>.</w:t>
      </w:r>
    </w:p>
    <w:p w14:paraId="2CC2C065" w14:textId="77777777" w:rsidR="006367D4" w:rsidRPr="00360A96" w:rsidRDefault="006367D4" w:rsidP="006367D4">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Emerging and </w:t>
      </w:r>
      <w:r w:rsidRPr="00360A96">
        <w:rPr>
          <w:rStyle w:val="Strong"/>
          <w:rFonts w:ascii="Arial" w:hAnsi="Arial" w:cs="Arial"/>
          <w:color w:val="000000" w:themeColor="text1"/>
          <w:sz w:val="22"/>
          <w:szCs w:val="22"/>
          <w:lang w:val="tr-TR"/>
        </w:rPr>
        <w:t>E</w:t>
      </w:r>
      <w:proofErr w:type="spellStart"/>
      <w:r w:rsidRPr="00360A96">
        <w:rPr>
          <w:rStyle w:val="Strong"/>
          <w:rFonts w:ascii="Arial" w:hAnsi="Arial" w:cs="Arial"/>
          <w:color w:val="000000" w:themeColor="text1"/>
          <w:sz w:val="22"/>
          <w:szCs w:val="22"/>
        </w:rPr>
        <w:t>xperimental</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herapies</w:t>
      </w:r>
      <w:proofErr w:type="spellEnd"/>
    </w:p>
    <w:p w14:paraId="465BA3BB" w14:textId="77777777" w:rsidR="006367D4" w:rsidRPr="00360A96" w:rsidRDefault="006367D4" w:rsidP="006367D4">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Beyond conventional and immune-based strategies, novel treatment modalities are being explored:</w:t>
      </w:r>
    </w:p>
    <w:p w14:paraId="44A509E3" w14:textId="77777777" w:rsidR="006367D4" w:rsidRPr="00360A96" w:rsidRDefault="006367D4" w:rsidP="006367D4">
      <w:pPr>
        <w:pStyle w:val="NormalWeb"/>
        <w:numPr>
          <w:ilvl w:val="0"/>
          <w:numId w:val="4"/>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Microbial-based therapies</w:t>
      </w:r>
      <w:r w:rsidRPr="00360A96">
        <w:rPr>
          <w:rFonts w:ascii="Arial" w:hAnsi="Arial" w:cs="Arial"/>
          <w:color w:val="000000" w:themeColor="text1"/>
          <w:sz w:val="20"/>
          <w:szCs w:val="20"/>
        </w:rPr>
        <w:t xml:space="preserve"> exploit the gut–tumor axis by modifying the microbiome through fecal microbiota transplantation (FMT), dietary interventions, or targeted antibiotics </w:t>
      </w:r>
      <w:r w:rsidRPr="00360A96">
        <w:rPr>
          <w:rFonts w:ascii="Arial" w:hAnsi="Arial" w:cs="Arial"/>
          <w:color w:val="000000" w:themeColor="text1"/>
          <w:sz w:val="20"/>
          <w:szCs w:val="20"/>
          <w:lang w:val="tr-TR"/>
        </w:rPr>
        <w:t xml:space="preserve">(Henderson et al., 2023; Zhang et al., 2018; Thomas, 2017; Vrieze et al., 2012; Yamamura et al., 2025; Zhao et al., 2023; He et al., 2017; Pushalkar et al., 2018; Tanoue et al., 2019; </w:t>
      </w:r>
      <w:r w:rsidRPr="00360A96">
        <w:rPr>
          <w:rFonts w:ascii="Arial" w:hAnsi="Arial" w:cs="Arial"/>
          <w:color w:val="000000" w:themeColor="text1"/>
          <w:sz w:val="20"/>
          <w:szCs w:val="20"/>
          <w:lang w:val="tr-TR"/>
        </w:rPr>
        <w:lastRenderedPageBreak/>
        <w:t>Klement et al., 2019; Panebianco et al., 2018; Zhang et al., 2020; Riquelme et al., 2018; Li et al., 2016)</w:t>
      </w:r>
      <w:r w:rsidRPr="00360A96">
        <w:rPr>
          <w:rFonts w:ascii="Arial" w:hAnsi="Arial" w:cs="Arial"/>
          <w:color w:val="000000" w:themeColor="text1"/>
          <w:sz w:val="20"/>
          <w:szCs w:val="20"/>
        </w:rPr>
        <w:t>. These approaches aim to restore immune responsiveness and sensitize tumors to immunotherapy.</w:t>
      </w:r>
    </w:p>
    <w:p w14:paraId="5399D1EA" w14:textId="543BDF3A" w:rsidR="00755D41" w:rsidRDefault="006367D4" w:rsidP="00755D41">
      <w:pPr>
        <w:pStyle w:val="NormalWeb"/>
        <w:numPr>
          <w:ilvl w:val="0"/>
          <w:numId w:val="4"/>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MicroRNA (miRNA)-based therapies</w:t>
      </w:r>
      <w:r w:rsidRPr="00360A96">
        <w:rPr>
          <w:rFonts w:ascii="Arial" w:hAnsi="Arial" w:cs="Arial"/>
          <w:color w:val="000000" w:themeColor="text1"/>
          <w:sz w:val="20"/>
          <w:szCs w:val="20"/>
        </w:rPr>
        <w:t xml:space="preserve"> represent another promising avenue. Dysregulated miRNAs influence oncogenic signaling, metastasis, and treatment resistance. Therapeutic modulation of miRNA expression through synthetic mimics or inhibitors offers potential to overcome chemoresistance and improve outcomes </w:t>
      </w:r>
      <w:r w:rsidRPr="00360A96">
        <w:rPr>
          <w:rFonts w:ascii="Arial" w:hAnsi="Arial" w:cs="Arial"/>
          <w:color w:val="000000" w:themeColor="text1"/>
          <w:sz w:val="20"/>
          <w:szCs w:val="20"/>
          <w:lang w:val="tr-TR"/>
        </w:rPr>
        <w:t>(Rachagani et al., 2016; Slotwinski et al., 2018; Fesler et al., 2020; Dong et al., 2025; Chu et al., 2022; Vahabi et al., 2023; Moriyama et al., 2009; Nalls et al., 2011; Hu et al., 2013; Liu et al., 2013; Wang et al., 2013;</w:t>
      </w:r>
      <w:r w:rsidR="00755D41">
        <w:rPr>
          <w:rFonts w:ascii="Arial" w:hAnsi="Arial" w:cs="Arial"/>
          <w:color w:val="000000" w:themeColor="text1"/>
          <w:sz w:val="20"/>
          <w:szCs w:val="20"/>
          <w:lang w:val="tr-TR"/>
        </w:rPr>
        <w:t xml:space="preserve"> </w:t>
      </w:r>
      <w:r w:rsidRPr="00360A96">
        <w:rPr>
          <w:rFonts w:ascii="Arial" w:hAnsi="Arial" w:cs="Arial"/>
          <w:color w:val="000000" w:themeColor="text1"/>
          <w:sz w:val="20"/>
          <w:szCs w:val="20"/>
          <w:lang w:val="tr-TR"/>
        </w:rPr>
        <w:t>Tesfaye et al., 2019)</w:t>
      </w:r>
      <w:r w:rsidRPr="00360A96">
        <w:rPr>
          <w:rFonts w:ascii="Arial" w:hAnsi="Arial" w:cs="Arial"/>
          <w:color w:val="000000" w:themeColor="text1"/>
          <w:sz w:val="20"/>
          <w:szCs w:val="20"/>
        </w:rPr>
        <w:t>.</w:t>
      </w:r>
    </w:p>
    <w:p w14:paraId="5C684ABB" w14:textId="77777777" w:rsidR="00755D41" w:rsidRPr="00755D41" w:rsidRDefault="00755D41" w:rsidP="00755D41">
      <w:pPr>
        <w:rPr>
          <w:rFonts w:ascii="Arial" w:hAnsi="Arial" w:cs="Arial"/>
          <w:color w:val="000000" w:themeColor="text1"/>
          <w:sz w:val="20"/>
          <w:szCs w:val="20"/>
        </w:rPr>
      </w:pPr>
    </w:p>
    <w:p w14:paraId="42684B0B" w14:textId="77777777" w:rsidR="00755D41" w:rsidRPr="00755D41" w:rsidRDefault="00755D41" w:rsidP="00755D41">
      <w:pPr>
        <w:pStyle w:val="Heading2"/>
        <w:spacing w:line="480" w:lineRule="auto"/>
        <w:ind w:left="567" w:right="283"/>
        <w:jc w:val="both"/>
        <w:rPr>
          <w:rFonts w:ascii="Arial" w:hAnsi="Arial" w:cs="Arial"/>
          <w:b w:val="0"/>
          <w:bCs w:val="0"/>
          <w:color w:val="000000" w:themeColor="text1"/>
          <w:sz w:val="22"/>
          <w:szCs w:val="22"/>
        </w:rPr>
      </w:pPr>
      <w:bookmarkStart w:id="1" w:name="_Hlk227169486"/>
      <w:r w:rsidRPr="00755D41">
        <w:rPr>
          <w:rStyle w:val="Strong"/>
          <w:rFonts w:ascii="Arial" w:hAnsi="Arial" w:cs="Arial"/>
          <w:b/>
          <w:bCs/>
          <w:color w:val="000000" w:themeColor="text1"/>
          <w:sz w:val="22"/>
          <w:szCs w:val="22"/>
        </w:rPr>
        <w:t xml:space="preserve">Promising </w:t>
      </w:r>
      <w:r w:rsidRPr="00755D41">
        <w:rPr>
          <w:rStyle w:val="Strong"/>
          <w:rFonts w:ascii="Arial" w:hAnsi="Arial" w:cs="Arial"/>
          <w:b/>
          <w:bCs/>
          <w:color w:val="000000" w:themeColor="text1"/>
          <w:sz w:val="22"/>
          <w:szCs w:val="22"/>
          <w:lang w:val="tr-TR"/>
        </w:rPr>
        <w:t>T</w:t>
      </w:r>
      <w:proofErr w:type="spellStart"/>
      <w:r w:rsidRPr="00755D41">
        <w:rPr>
          <w:rStyle w:val="Strong"/>
          <w:rFonts w:ascii="Arial" w:hAnsi="Arial" w:cs="Arial"/>
          <w:b/>
          <w:bCs/>
          <w:color w:val="000000" w:themeColor="text1"/>
          <w:sz w:val="22"/>
          <w:szCs w:val="22"/>
        </w:rPr>
        <w:t>herapeutic</w:t>
      </w:r>
      <w:proofErr w:type="spellEnd"/>
      <w:r w:rsidRPr="00755D41">
        <w:rPr>
          <w:rStyle w:val="Strong"/>
          <w:rFonts w:ascii="Arial" w:hAnsi="Arial" w:cs="Arial"/>
          <w:b/>
          <w:bCs/>
          <w:color w:val="000000" w:themeColor="text1"/>
          <w:sz w:val="22"/>
          <w:szCs w:val="22"/>
        </w:rPr>
        <w:t xml:space="preserve"> </w:t>
      </w:r>
      <w:r w:rsidRPr="00755D41">
        <w:rPr>
          <w:rStyle w:val="Strong"/>
          <w:rFonts w:ascii="Arial" w:hAnsi="Arial" w:cs="Arial"/>
          <w:b/>
          <w:bCs/>
          <w:color w:val="000000" w:themeColor="text1"/>
          <w:sz w:val="22"/>
          <w:szCs w:val="22"/>
          <w:lang w:val="tr-TR"/>
        </w:rPr>
        <w:t>S</w:t>
      </w:r>
      <w:proofErr w:type="spellStart"/>
      <w:r w:rsidRPr="00755D41">
        <w:rPr>
          <w:rStyle w:val="Strong"/>
          <w:rFonts w:ascii="Arial" w:hAnsi="Arial" w:cs="Arial"/>
          <w:b/>
          <w:bCs/>
          <w:color w:val="000000" w:themeColor="text1"/>
          <w:sz w:val="22"/>
          <w:szCs w:val="22"/>
        </w:rPr>
        <w:t>trategies</w:t>
      </w:r>
      <w:proofErr w:type="spellEnd"/>
      <w:r w:rsidRPr="00755D41">
        <w:rPr>
          <w:rStyle w:val="Strong"/>
          <w:rFonts w:ascii="Arial" w:hAnsi="Arial" w:cs="Arial"/>
          <w:b/>
          <w:bCs/>
          <w:color w:val="000000" w:themeColor="text1"/>
          <w:sz w:val="22"/>
          <w:szCs w:val="22"/>
        </w:rPr>
        <w:t xml:space="preserve"> for </w:t>
      </w:r>
      <w:r w:rsidRPr="00755D41">
        <w:rPr>
          <w:rStyle w:val="Strong"/>
          <w:rFonts w:ascii="Arial" w:hAnsi="Arial" w:cs="Arial"/>
          <w:b/>
          <w:bCs/>
          <w:color w:val="000000" w:themeColor="text1"/>
          <w:sz w:val="22"/>
          <w:szCs w:val="22"/>
          <w:lang w:val="tr-TR"/>
        </w:rPr>
        <w:t>P</w:t>
      </w:r>
      <w:proofErr w:type="spellStart"/>
      <w:r w:rsidRPr="00755D41">
        <w:rPr>
          <w:rStyle w:val="Strong"/>
          <w:rFonts w:ascii="Arial" w:hAnsi="Arial" w:cs="Arial"/>
          <w:b/>
          <w:bCs/>
          <w:color w:val="000000" w:themeColor="text1"/>
          <w:sz w:val="22"/>
          <w:szCs w:val="22"/>
        </w:rPr>
        <w:t>ancreatic</w:t>
      </w:r>
      <w:proofErr w:type="spellEnd"/>
      <w:r w:rsidRPr="00755D41">
        <w:rPr>
          <w:rStyle w:val="Strong"/>
          <w:rFonts w:ascii="Arial" w:hAnsi="Arial" w:cs="Arial"/>
          <w:b/>
          <w:bCs/>
          <w:color w:val="000000" w:themeColor="text1"/>
          <w:sz w:val="22"/>
          <w:szCs w:val="22"/>
        </w:rPr>
        <w:t xml:space="preserve"> </w:t>
      </w:r>
      <w:r w:rsidRPr="00755D41">
        <w:rPr>
          <w:rStyle w:val="Strong"/>
          <w:rFonts w:ascii="Arial" w:hAnsi="Arial" w:cs="Arial"/>
          <w:b/>
          <w:bCs/>
          <w:color w:val="000000" w:themeColor="text1"/>
          <w:sz w:val="22"/>
          <w:szCs w:val="22"/>
          <w:lang w:val="tr-TR"/>
        </w:rPr>
        <w:t>C</w:t>
      </w:r>
      <w:proofErr w:type="spellStart"/>
      <w:r w:rsidRPr="00755D41">
        <w:rPr>
          <w:rStyle w:val="Strong"/>
          <w:rFonts w:ascii="Arial" w:hAnsi="Arial" w:cs="Arial"/>
          <w:b/>
          <w:bCs/>
          <w:color w:val="000000" w:themeColor="text1"/>
          <w:sz w:val="22"/>
          <w:szCs w:val="22"/>
        </w:rPr>
        <w:t>ancer</w:t>
      </w:r>
      <w:proofErr w:type="spellEnd"/>
    </w:p>
    <w:bookmarkEnd w:id="1"/>
    <w:p w14:paraId="3613AD01"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Despite decades of research, pancreatic ductal adenocarcinoma (PDAC) continues to pose one of the greatest therapeutic challenges in oncology. Surgical resection remains the most effective treatment modality; however, because PDAC is typically asymptomatic in its early stages, </w:t>
      </w:r>
      <w:r w:rsidRPr="00004A61">
        <w:rPr>
          <w:rStyle w:val="Strong"/>
          <w:rFonts w:ascii="Arial" w:hAnsi="Arial" w:cs="Arial"/>
          <w:b w:val="0"/>
          <w:bCs w:val="0"/>
          <w:color w:val="000000" w:themeColor="text1"/>
          <w:sz w:val="20"/>
          <w:szCs w:val="20"/>
        </w:rPr>
        <w:t>fewer than 20% of patients</w:t>
      </w:r>
      <w:r w:rsidRPr="00360A96">
        <w:rPr>
          <w:rFonts w:ascii="Arial" w:hAnsi="Arial" w:cs="Arial"/>
          <w:color w:val="000000" w:themeColor="text1"/>
          <w:sz w:val="20"/>
          <w:szCs w:val="20"/>
        </w:rPr>
        <w:t xml:space="preserve"> are candidates for curative surgery at diagnosis </w:t>
      </w:r>
      <w:r w:rsidRPr="00360A96">
        <w:rPr>
          <w:rFonts w:ascii="Arial" w:hAnsi="Arial" w:cs="Arial"/>
          <w:color w:val="000000" w:themeColor="text1"/>
          <w:sz w:val="20"/>
          <w:szCs w:val="20"/>
          <w:lang w:val="tr-TR"/>
        </w:rPr>
        <w:t>(Luo et al., 2021; Kim et al., 2024; Quero et al., 2024: Han et al., 2021; Wei et al., 2021)</w:t>
      </w:r>
      <w:r w:rsidRPr="00360A96">
        <w:rPr>
          <w:rFonts w:ascii="Arial" w:hAnsi="Arial" w:cs="Arial"/>
          <w:color w:val="000000" w:themeColor="text1"/>
          <w:sz w:val="20"/>
          <w:szCs w:val="20"/>
        </w:rPr>
        <w:t>. The vast majority present with locally advanced or metastatic disease, where curative intent is no longer feasible and systemic therapies yield only modest survival benefits.</w:t>
      </w:r>
    </w:p>
    <w:p w14:paraId="2BE0C832"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Recent advances in molecular biology, tumor immunology, and microbiome science have reshaped our understanding of PDAC pathogenesis, revealing new therapeutic vulnerabilities. These insights have fueled the development of </w:t>
      </w:r>
      <w:r w:rsidRPr="00004A61">
        <w:rPr>
          <w:rStyle w:val="Strong"/>
          <w:rFonts w:ascii="Arial" w:hAnsi="Arial" w:cs="Arial"/>
          <w:b w:val="0"/>
          <w:bCs w:val="0"/>
          <w:color w:val="000000" w:themeColor="text1"/>
          <w:sz w:val="20"/>
          <w:szCs w:val="20"/>
        </w:rPr>
        <w:t>novel multimodal strategies</w:t>
      </w:r>
      <w:r w:rsidRPr="00360A96">
        <w:rPr>
          <w:rFonts w:ascii="Arial" w:hAnsi="Arial" w:cs="Arial"/>
          <w:color w:val="000000" w:themeColor="text1"/>
          <w:sz w:val="20"/>
          <w:szCs w:val="20"/>
        </w:rPr>
        <w:t xml:space="preserve"> that combine immunotherapy, microbial modulation, and nucleic acid–based approaches—particularly </w:t>
      </w:r>
      <w:r w:rsidRPr="00004A61">
        <w:rPr>
          <w:rStyle w:val="Strong"/>
          <w:rFonts w:ascii="Arial" w:hAnsi="Arial" w:cs="Arial"/>
          <w:b w:val="0"/>
          <w:bCs w:val="0"/>
          <w:color w:val="000000" w:themeColor="text1"/>
          <w:sz w:val="20"/>
          <w:szCs w:val="20"/>
        </w:rPr>
        <w:t>microRNA (miRNA) therapeutics</w:t>
      </w:r>
      <w:r w:rsidRPr="00360A96">
        <w:rPr>
          <w:rFonts w:ascii="Arial" w:hAnsi="Arial" w:cs="Arial"/>
          <w:color w:val="000000" w:themeColor="text1"/>
          <w:sz w:val="20"/>
          <w:szCs w:val="20"/>
        </w:rPr>
        <w:t>—aimed at overcoming the intrinsic resistance of PDAC to conventional treatments.</w:t>
      </w:r>
    </w:p>
    <w:p w14:paraId="696CEEEB"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Rationale for </w:t>
      </w:r>
      <w:r w:rsidRPr="00360A96">
        <w:rPr>
          <w:rStyle w:val="Strong"/>
          <w:rFonts w:ascii="Arial" w:hAnsi="Arial" w:cs="Arial"/>
          <w:color w:val="000000" w:themeColor="text1"/>
          <w:sz w:val="22"/>
          <w:szCs w:val="22"/>
          <w:lang w:val="tr-TR"/>
        </w:rPr>
        <w:t>I</w:t>
      </w:r>
      <w:proofErr w:type="spellStart"/>
      <w:r w:rsidRPr="00360A96">
        <w:rPr>
          <w:rStyle w:val="Strong"/>
          <w:rFonts w:ascii="Arial" w:hAnsi="Arial" w:cs="Arial"/>
          <w:color w:val="000000" w:themeColor="text1"/>
          <w:sz w:val="22"/>
          <w:szCs w:val="22"/>
        </w:rPr>
        <w:t>nnovative</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herapeutic</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A</w:t>
      </w:r>
      <w:proofErr w:type="spellStart"/>
      <w:r w:rsidRPr="00360A96">
        <w:rPr>
          <w:rStyle w:val="Strong"/>
          <w:rFonts w:ascii="Arial" w:hAnsi="Arial" w:cs="Arial"/>
          <w:color w:val="000000" w:themeColor="text1"/>
          <w:sz w:val="22"/>
          <w:szCs w:val="22"/>
        </w:rPr>
        <w:t>pproaches</w:t>
      </w:r>
      <w:proofErr w:type="spellEnd"/>
    </w:p>
    <w:p w14:paraId="13169586"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biological features that make PDAC so lethal—its dense desmoplastic stroma, aberrant signaling pathways, and highly immunosuppressive tumor microenvironment (TME)—also offer opportunities for targeted intervention. Strategies directed at </w:t>
      </w:r>
      <w:r w:rsidRPr="007C68F3">
        <w:rPr>
          <w:rStyle w:val="Strong"/>
          <w:rFonts w:ascii="Arial" w:hAnsi="Arial" w:cs="Arial"/>
          <w:b w:val="0"/>
          <w:bCs w:val="0"/>
          <w:color w:val="000000" w:themeColor="text1"/>
          <w:sz w:val="20"/>
          <w:szCs w:val="20"/>
        </w:rPr>
        <w:t>modulating the TME</w:t>
      </w:r>
      <w:r w:rsidRPr="007C68F3">
        <w:rPr>
          <w:rFonts w:ascii="Arial" w:hAnsi="Arial" w:cs="Arial"/>
          <w:b/>
          <w:bCs/>
          <w:color w:val="000000" w:themeColor="text1"/>
          <w:sz w:val="20"/>
          <w:szCs w:val="20"/>
        </w:rPr>
        <w:t xml:space="preserve">, </w:t>
      </w:r>
      <w:r w:rsidRPr="007C68F3">
        <w:rPr>
          <w:rStyle w:val="Strong"/>
          <w:rFonts w:ascii="Arial" w:hAnsi="Arial" w:cs="Arial"/>
          <w:b w:val="0"/>
          <w:bCs w:val="0"/>
          <w:color w:val="000000" w:themeColor="text1"/>
          <w:sz w:val="20"/>
          <w:szCs w:val="20"/>
        </w:rPr>
        <w:t>reprogramming immune cell infiltration</w:t>
      </w:r>
      <w:r w:rsidRPr="007C68F3">
        <w:rPr>
          <w:rFonts w:ascii="Arial" w:hAnsi="Arial" w:cs="Arial"/>
          <w:color w:val="000000" w:themeColor="text1"/>
          <w:sz w:val="20"/>
          <w:szCs w:val="20"/>
        </w:rPr>
        <w:t>, and</w:t>
      </w:r>
      <w:r w:rsidRPr="007C68F3">
        <w:rPr>
          <w:rFonts w:ascii="Arial" w:hAnsi="Arial" w:cs="Arial"/>
          <w:b/>
          <w:bCs/>
          <w:color w:val="000000" w:themeColor="text1"/>
          <w:sz w:val="20"/>
          <w:szCs w:val="20"/>
        </w:rPr>
        <w:t xml:space="preserve"> </w:t>
      </w:r>
      <w:r w:rsidRPr="007C68F3">
        <w:rPr>
          <w:rStyle w:val="Strong"/>
          <w:rFonts w:ascii="Arial" w:hAnsi="Arial" w:cs="Arial"/>
          <w:b w:val="0"/>
          <w:bCs w:val="0"/>
          <w:color w:val="000000" w:themeColor="text1"/>
          <w:sz w:val="20"/>
          <w:szCs w:val="20"/>
        </w:rPr>
        <w:t>targeting cancer stem cells (CSCs)</w:t>
      </w:r>
      <w:r w:rsidRPr="00360A96">
        <w:rPr>
          <w:rFonts w:ascii="Arial" w:hAnsi="Arial" w:cs="Arial"/>
          <w:color w:val="000000" w:themeColor="text1"/>
          <w:sz w:val="20"/>
          <w:szCs w:val="20"/>
        </w:rPr>
        <w:t xml:space="preserve"> have shown encouraging preclinical results. CSCs are believed to drive tumor recurrence and therapeutic resistance through activation of developmental signaling pathways such as </w:t>
      </w:r>
      <w:r w:rsidRPr="007C68F3">
        <w:rPr>
          <w:rStyle w:val="Strong"/>
          <w:rFonts w:ascii="Arial" w:hAnsi="Arial" w:cs="Arial"/>
          <w:b w:val="0"/>
          <w:bCs w:val="0"/>
          <w:color w:val="000000" w:themeColor="text1"/>
          <w:sz w:val="20"/>
          <w:szCs w:val="20"/>
        </w:rPr>
        <w:t>Hedgehog</w:t>
      </w:r>
      <w:r w:rsidRPr="007C68F3">
        <w:rPr>
          <w:rFonts w:ascii="Arial" w:hAnsi="Arial" w:cs="Arial"/>
          <w:b/>
          <w:bCs/>
          <w:color w:val="000000" w:themeColor="text1"/>
          <w:sz w:val="20"/>
          <w:szCs w:val="20"/>
        </w:rPr>
        <w:t xml:space="preserve">, </w:t>
      </w:r>
      <w:r w:rsidRPr="007C68F3">
        <w:rPr>
          <w:rStyle w:val="Strong"/>
          <w:rFonts w:ascii="Arial" w:hAnsi="Arial" w:cs="Arial"/>
          <w:b w:val="0"/>
          <w:bCs w:val="0"/>
          <w:color w:val="000000" w:themeColor="text1"/>
          <w:sz w:val="20"/>
          <w:szCs w:val="20"/>
        </w:rPr>
        <w:t>Wnt</w:t>
      </w:r>
      <w:r w:rsidRPr="007C68F3">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7C68F3">
        <w:rPr>
          <w:rStyle w:val="Strong"/>
          <w:rFonts w:ascii="Arial" w:hAnsi="Arial" w:cs="Arial"/>
          <w:b w:val="0"/>
          <w:bCs w:val="0"/>
          <w:color w:val="000000" w:themeColor="text1"/>
          <w:sz w:val="20"/>
          <w:szCs w:val="20"/>
        </w:rPr>
        <w:t>Notch</w:t>
      </w:r>
      <w:r w:rsidRPr="007C68F3">
        <w:rPr>
          <w:rStyle w:val="Strong"/>
          <w:rFonts w:ascii="Arial" w:hAnsi="Arial" w:cs="Arial"/>
          <w:b w:val="0"/>
          <w:bCs w:val="0"/>
          <w:color w:val="000000" w:themeColor="text1"/>
          <w:sz w:val="20"/>
          <w:szCs w:val="20"/>
          <w:lang w:val="tr-TR"/>
        </w:rPr>
        <w:t xml:space="preserve"> (Yu et al., 2025)</w:t>
      </w:r>
      <w:r w:rsidRPr="007C68F3">
        <w:rPr>
          <w:rFonts w:ascii="Arial" w:hAnsi="Arial" w:cs="Arial"/>
          <w:b/>
          <w:bCs/>
          <w:color w:val="000000" w:themeColor="text1"/>
          <w:sz w:val="20"/>
          <w:szCs w:val="20"/>
        </w:rPr>
        <w:t>.</w:t>
      </w:r>
      <w:r w:rsidRPr="00360A96">
        <w:rPr>
          <w:rFonts w:ascii="Arial" w:hAnsi="Arial" w:cs="Arial"/>
          <w:color w:val="000000" w:themeColor="text1"/>
          <w:sz w:val="20"/>
          <w:szCs w:val="20"/>
        </w:rPr>
        <w:t xml:space="preserve"> Therapeutic blockade of these pathways, particularly in combination with immunotherapy or chemotherapy, represents a promising avenue for durable disease control </w:t>
      </w:r>
      <w:r w:rsidRPr="00360A96">
        <w:rPr>
          <w:rFonts w:ascii="Arial" w:hAnsi="Arial" w:cs="Arial"/>
          <w:color w:val="000000" w:themeColor="text1"/>
          <w:sz w:val="20"/>
          <w:szCs w:val="20"/>
          <w:lang w:val="tr-TR"/>
        </w:rPr>
        <w:t>(</w:t>
      </w:r>
      <w:r w:rsidRPr="007C68F3">
        <w:rPr>
          <w:rStyle w:val="Strong"/>
          <w:rFonts w:ascii="Arial" w:hAnsi="Arial" w:cs="Arial"/>
          <w:b w:val="0"/>
          <w:bCs w:val="0"/>
          <w:color w:val="000000" w:themeColor="text1"/>
          <w:sz w:val="20"/>
          <w:szCs w:val="20"/>
          <w:lang w:val="tr-TR"/>
        </w:rPr>
        <w:t>Yu et al., 2025</w:t>
      </w:r>
      <w:r w:rsidRPr="00360A96">
        <w:rPr>
          <w:rStyle w:val="Strong"/>
          <w:rFonts w:ascii="Arial" w:hAnsi="Arial" w:cs="Arial"/>
          <w:color w:val="000000" w:themeColor="text1"/>
          <w:sz w:val="20"/>
          <w:szCs w:val="20"/>
          <w:lang w:val="tr-TR"/>
        </w:rPr>
        <w:t xml:space="preserve">; </w:t>
      </w:r>
      <w:r w:rsidRPr="00360A96">
        <w:rPr>
          <w:rFonts w:ascii="Arial" w:hAnsi="Arial" w:cs="Arial"/>
          <w:color w:val="000000" w:themeColor="text1"/>
          <w:sz w:val="20"/>
          <w:szCs w:val="20"/>
          <w:lang w:val="tr-TR"/>
        </w:rPr>
        <w:t>Singh et al., 2015)</w:t>
      </w:r>
      <w:r w:rsidRPr="00360A96">
        <w:rPr>
          <w:rFonts w:ascii="Arial" w:hAnsi="Arial" w:cs="Arial"/>
          <w:color w:val="000000" w:themeColor="text1"/>
          <w:sz w:val="20"/>
          <w:szCs w:val="20"/>
        </w:rPr>
        <w:t>.</w:t>
      </w:r>
    </w:p>
    <w:p w14:paraId="6472FB96"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Integration of </w:t>
      </w:r>
      <w:r w:rsidRPr="00360A96">
        <w:rPr>
          <w:rStyle w:val="Strong"/>
          <w:rFonts w:ascii="Arial" w:hAnsi="Arial" w:cs="Arial"/>
          <w:color w:val="000000" w:themeColor="text1"/>
          <w:sz w:val="22"/>
          <w:szCs w:val="22"/>
          <w:lang w:val="tr-TR"/>
        </w:rPr>
        <w:t>N</w:t>
      </w:r>
      <w:proofErr w:type="spellStart"/>
      <w:r w:rsidRPr="00360A96">
        <w:rPr>
          <w:rStyle w:val="Strong"/>
          <w:rFonts w:ascii="Arial" w:hAnsi="Arial" w:cs="Arial"/>
          <w:color w:val="000000" w:themeColor="text1"/>
          <w:sz w:val="22"/>
          <w:szCs w:val="22"/>
        </w:rPr>
        <w:t>ovel</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M</w:t>
      </w:r>
      <w:proofErr w:type="spellStart"/>
      <w:r w:rsidRPr="00360A96">
        <w:rPr>
          <w:rStyle w:val="Strong"/>
          <w:rFonts w:ascii="Arial" w:hAnsi="Arial" w:cs="Arial"/>
          <w:color w:val="000000" w:themeColor="text1"/>
          <w:sz w:val="22"/>
          <w:szCs w:val="22"/>
        </w:rPr>
        <w:t>odalities</w:t>
      </w:r>
      <w:proofErr w:type="spellEnd"/>
    </w:p>
    <w:p w14:paraId="2A2A9564"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Emerging therapies—including </w:t>
      </w:r>
      <w:r w:rsidRPr="007C68F3">
        <w:rPr>
          <w:rStyle w:val="Strong"/>
          <w:rFonts w:ascii="Arial" w:hAnsi="Arial" w:cs="Arial"/>
          <w:b w:val="0"/>
          <w:bCs w:val="0"/>
          <w:color w:val="000000" w:themeColor="text1"/>
          <w:sz w:val="20"/>
          <w:szCs w:val="20"/>
        </w:rPr>
        <w:t>immunotherapeutic agents</w:t>
      </w:r>
      <w:r w:rsidRPr="007C68F3">
        <w:rPr>
          <w:rFonts w:ascii="Arial" w:hAnsi="Arial" w:cs="Arial"/>
          <w:b/>
          <w:bCs/>
          <w:color w:val="000000" w:themeColor="text1"/>
          <w:sz w:val="20"/>
          <w:szCs w:val="20"/>
        </w:rPr>
        <w:t xml:space="preserve">, </w:t>
      </w:r>
      <w:r w:rsidRPr="007C68F3">
        <w:rPr>
          <w:rStyle w:val="Strong"/>
          <w:rFonts w:ascii="Arial" w:hAnsi="Arial" w:cs="Arial"/>
          <w:b w:val="0"/>
          <w:bCs w:val="0"/>
          <w:color w:val="000000" w:themeColor="text1"/>
          <w:sz w:val="20"/>
          <w:szCs w:val="20"/>
        </w:rPr>
        <w:t>microbiome-based interventions</w:t>
      </w:r>
      <w:r w:rsidRPr="007C68F3">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7C68F3">
        <w:rPr>
          <w:rStyle w:val="Strong"/>
          <w:rFonts w:ascii="Arial" w:hAnsi="Arial" w:cs="Arial"/>
          <w:b w:val="0"/>
          <w:bCs w:val="0"/>
          <w:color w:val="000000" w:themeColor="text1"/>
          <w:sz w:val="20"/>
          <w:szCs w:val="20"/>
        </w:rPr>
        <w:t>miRNA-targeted treatments</w:t>
      </w:r>
      <w:r w:rsidRPr="00360A96">
        <w:rPr>
          <w:rFonts w:ascii="Arial" w:hAnsi="Arial" w:cs="Arial"/>
          <w:color w:val="000000" w:themeColor="text1"/>
          <w:sz w:val="20"/>
          <w:szCs w:val="20"/>
        </w:rPr>
        <w:t>—are being evaluated for their ability to enhance or complement standard treatment regimens.</w:t>
      </w:r>
    </w:p>
    <w:p w14:paraId="3EB1E662" w14:textId="77777777" w:rsidR="00755D41" w:rsidRPr="00360A96" w:rsidRDefault="00755D41" w:rsidP="00755D41">
      <w:pPr>
        <w:pStyle w:val="NormalWeb"/>
        <w:numPr>
          <w:ilvl w:val="0"/>
          <w:numId w:val="5"/>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Immunotherapy</w:t>
      </w:r>
      <w:r w:rsidRPr="00360A96">
        <w:rPr>
          <w:rFonts w:ascii="Arial" w:hAnsi="Arial" w:cs="Arial"/>
          <w:color w:val="000000" w:themeColor="text1"/>
          <w:sz w:val="20"/>
          <w:szCs w:val="20"/>
        </w:rPr>
        <w:t xml:space="preserve"> seeks to overcome immune evasion and restore T-cell–mediated cytotoxicity against tumor cells. Despite limited efficacy as monotherapy, combination </w:t>
      </w:r>
      <w:r w:rsidRPr="00360A96">
        <w:rPr>
          <w:rFonts w:ascii="Arial" w:hAnsi="Arial" w:cs="Arial"/>
          <w:color w:val="000000" w:themeColor="text1"/>
          <w:sz w:val="20"/>
          <w:szCs w:val="20"/>
        </w:rPr>
        <w:lastRenderedPageBreak/>
        <w:t xml:space="preserve">strategies that remodel the TME or activate CD40 signaling pathways are showing promise </w:t>
      </w:r>
      <w:r w:rsidRPr="00360A96">
        <w:rPr>
          <w:rFonts w:ascii="Arial" w:hAnsi="Arial" w:cs="Arial"/>
          <w:color w:val="000000" w:themeColor="text1"/>
          <w:sz w:val="20"/>
          <w:szCs w:val="20"/>
          <w:lang w:val="tr-TR"/>
        </w:rPr>
        <w:t>(Singh et al., 2015; Wang et al., 2024; Wojtukieicz et al., 2021; Tran et al., 2023; Henriksen et al., 2019; Andersson et al., 2024; Huang et al., 2021; Thoidingiam et al., 2024; Ye et al., 2024; Pourali et al., 2024; Jiang et al., 2022; De Castilhos et al., 2024)</w:t>
      </w:r>
      <w:r w:rsidRPr="00360A96">
        <w:rPr>
          <w:rFonts w:ascii="Arial" w:hAnsi="Arial" w:cs="Arial"/>
          <w:color w:val="000000" w:themeColor="text1"/>
          <w:sz w:val="20"/>
          <w:szCs w:val="20"/>
        </w:rPr>
        <w:t>.</w:t>
      </w:r>
    </w:p>
    <w:p w14:paraId="49E01B43" w14:textId="77777777" w:rsidR="00755D41" w:rsidRPr="00360A96" w:rsidRDefault="00755D41" w:rsidP="00755D41">
      <w:pPr>
        <w:pStyle w:val="NormalWeb"/>
        <w:numPr>
          <w:ilvl w:val="0"/>
          <w:numId w:val="5"/>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Microbial therapy</w:t>
      </w:r>
      <w:r w:rsidRPr="00360A96">
        <w:rPr>
          <w:rFonts w:ascii="Arial" w:hAnsi="Arial" w:cs="Arial"/>
          <w:color w:val="000000" w:themeColor="text1"/>
          <w:sz w:val="20"/>
          <w:szCs w:val="20"/>
        </w:rPr>
        <w:t xml:space="preserve"> exploits the intricate crosstalk between the gut microbiota and the immune system. The gut–pancreas axis is increasingly recognized as a determinant of both tumor development and therapeutic responsiveness. Interventions such as </w:t>
      </w:r>
      <w:r w:rsidRPr="007C68F3">
        <w:rPr>
          <w:rStyle w:val="Strong"/>
          <w:rFonts w:ascii="Arial" w:hAnsi="Arial" w:cs="Arial"/>
          <w:b w:val="0"/>
          <w:bCs w:val="0"/>
          <w:color w:val="000000" w:themeColor="text1"/>
          <w:sz w:val="20"/>
          <w:szCs w:val="20"/>
        </w:rPr>
        <w:t>fecal microbiota transplantation (FMT)</w:t>
      </w:r>
      <w:r w:rsidRPr="007C68F3">
        <w:rPr>
          <w:rFonts w:ascii="Arial" w:hAnsi="Arial" w:cs="Arial"/>
          <w:b/>
          <w:bCs/>
          <w:color w:val="000000" w:themeColor="text1"/>
          <w:sz w:val="20"/>
          <w:szCs w:val="20"/>
        </w:rPr>
        <w:t xml:space="preserve">, </w:t>
      </w:r>
      <w:r w:rsidRPr="007C68F3">
        <w:rPr>
          <w:rStyle w:val="Strong"/>
          <w:rFonts w:ascii="Arial" w:hAnsi="Arial" w:cs="Arial"/>
          <w:b w:val="0"/>
          <w:bCs w:val="0"/>
          <w:color w:val="000000" w:themeColor="text1"/>
          <w:sz w:val="20"/>
          <w:szCs w:val="20"/>
        </w:rPr>
        <w:t>dietary modulation</w:t>
      </w:r>
      <w:r w:rsidRPr="007C68F3">
        <w:rPr>
          <w:rFonts w:ascii="Arial" w:hAnsi="Arial" w:cs="Arial"/>
          <w:color w:val="000000" w:themeColor="text1"/>
          <w:sz w:val="20"/>
          <w:szCs w:val="20"/>
        </w:rPr>
        <w:t>,</w:t>
      </w:r>
      <w:r w:rsidRPr="00360A96">
        <w:rPr>
          <w:rFonts w:ascii="Arial" w:hAnsi="Arial" w:cs="Arial"/>
          <w:color w:val="000000" w:themeColor="text1"/>
          <w:sz w:val="20"/>
          <w:szCs w:val="20"/>
        </w:rPr>
        <w:t xml:space="preserve"> and </w:t>
      </w:r>
      <w:r w:rsidRPr="007C68F3">
        <w:rPr>
          <w:rStyle w:val="Strong"/>
          <w:rFonts w:ascii="Arial" w:hAnsi="Arial" w:cs="Arial"/>
          <w:b w:val="0"/>
          <w:bCs w:val="0"/>
          <w:color w:val="000000" w:themeColor="text1"/>
          <w:sz w:val="20"/>
          <w:szCs w:val="20"/>
        </w:rPr>
        <w:t>selective antibiotic administration</w:t>
      </w:r>
      <w:r w:rsidRPr="007C68F3">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are being explored to enhance immunotherapy efficacy and limit recurrence </w:t>
      </w:r>
      <w:r w:rsidRPr="00360A96">
        <w:rPr>
          <w:rFonts w:ascii="Arial" w:hAnsi="Arial" w:cs="Arial"/>
          <w:color w:val="000000" w:themeColor="text1"/>
          <w:sz w:val="20"/>
          <w:szCs w:val="20"/>
          <w:lang w:val="tr-TR"/>
        </w:rPr>
        <w:t>(Henderson et al., 2023; Zhang et al., 2018; Thomas, 2017; Vrieze et al., 2012; Yamamura et al., 2025; Zhao et al., 2023; He et al., 2017; Pushalkar et al., 2018; Tanoue et al., 2019; Klement et al., 2019; Panebianco et al., 2018; Zhang et al., 2020; Riquelme et al., 2018; Li et al., 2016)</w:t>
      </w:r>
      <w:r w:rsidRPr="00360A96">
        <w:rPr>
          <w:rFonts w:ascii="Arial" w:hAnsi="Arial" w:cs="Arial"/>
          <w:color w:val="000000" w:themeColor="text1"/>
          <w:sz w:val="20"/>
          <w:szCs w:val="20"/>
        </w:rPr>
        <w:t>.</w:t>
      </w:r>
    </w:p>
    <w:p w14:paraId="3582B521" w14:textId="77777777" w:rsidR="00755D41" w:rsidRPr="00360A96" w:rsidRDefault="00755D41" w:rsidP="00755D41">
      <w:pPr>
        <w:pStyle w:val="NormalWeb"/>
        <w:numPr>
          <w:ilvl w:val="0"/>
          <w:numId w:val="5"/>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miRNA-based therapeutics</w:t>
      </w:r>
      <w:r w:rsidRPr="00360A96">
        <w:rPr>
          <w:rFonts w:ascii="Arial" w:hAnsi="Arial" w:cs="Arial"/>
          <w:color w:val="000000" w:themeColor="text1"/>
          <w:sz w:val="20"/>
          <w:szCs w:val="20"/>
        </w:rPr>
        <w:t xml:space="preserve"> aim to restore normal gene regulatory networks disrupted in PDAC. Aberrantly expressed miRNAs (e.g., miR-21, miR-155, miR-221) drive tumor proliferation, invasion, and chemoresistance. Manipulating miRNA expression—either through synthetic inhibitors of oncogenic miRNAs or mimics of tumor-suppressive ones—offers a potent, multitargeted approach to therapy </w:t>
      </w:r>
      <w:r w:rsidRPr="00360A96">
        <w:rPr>
          <w:rFonts w:ascii="Arial" w:hAnsi="Arial" w:cs="Arial"/>
          <w:color w:val="000000" w:themeColor="text1"/>
          <w:sz w:val="20"/>
          <w:szCs w:val="20"/>
          <w:lang w:val="tr-TR"/>
        </w:rPr>
        <w:t>(Rachagani et al., 2016; Slotwinski et al., 2018; Fesler et al., 2020; Dong et al., 2025; Chu et al., 2022; Vahabi et al., 2023; Moriyama et al., 2009; Nalls et al., 2011; Hu et al., 2013; Liu et al., 2013; Wang et al., 2013; Tesfaye et al., 2019)</w:t>
      </w:r>
      <w:r w:rsidRPr="00360A96">
        <w:rPr>
          <w:rFonts w:ascii="Arial" w:hAnsi="Arial" w:cs="Arial"/>
          <w:color w:val="000000" w:themeColor="text1"/>
          <w:sz w:val="20"/>
          <w:szCs w:val="20"/>
        </w:rPr>
        <w:t>.</w:t>
      </w:r>
    </w:p>
    <w:p w14:paraId="726B7A04"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Toward </w:t>
      </w:r>
      <w:r w:rsidRPr="00360A96">
        <w:rPr>
          <w:rStyle w:val="Strong"/>
          <w:rFonts w:ascii="Arial" w:hAnsi="Arial" w:cs="Arial"/>
          <w:color w:val="000000" w:themeColor="text1"/>
          <w:sz w:val="22"/>
          <w:szCs w:val="22"/>
          <w:lang w:val="tr-TR"/>
        </w:rPr>
        <w:t>P</w:t>
      </w:r>
      <w:proofErr w:type="spellStart"/>
      <w:r w:rsidRPr="00360A96">
        <w:rPr>
          <w:rStyle w:val="Strong"/>
          <w:rFonts w:ascii="Arial" w:hAnsi="Arial" w:cs="Arial"/>
          <w:color w:val="000000" w:themeColor="text1"/>
          <w:sz w:val="22"/>
          <w:szCs w:val="22"/>
        </w:rPr>
        <w:t>recision</w:t>
      </w:r>
      <w:proofErr w:type="spellEnd"/>
      <w:r w:rsidRPr="00360A96">
        <w:rPr>
          <w:rStyle w:val="Strong"/>
          <w:rFonts w:ascii="Arial" w:hAnsi="Arial" w:cs="Arial"/>
          <w:color w:val="000000" w:themeColor="text1"/>
          <w:sz w:val="22"/>
          <w:szCs w:val="22"/>
        </w:rPr>
        <w:t xml:space="preserve"> and </w:t>
      </w:r>
      <w:r w:rsidRPr="00360A96">
        <w:rPr>
          <w:rStyle w:val="Strong"/>
          <w:rFonts w:ascii="Arial" w:hAnsi="Arial" w:cs="Arial"/>
          <w:color w:val="000000" w:themeColor="text1"/>
          <w:sz w:val="22"/>
          <w:szCs w:val="22"/>
          <w:lang w:val="tr-TR"/>
        </w:rPr>
        <w:t>C</w:t>
      </w:r>
      <w:proofErr w:type="spellStart"/>
      <w:r w:rsidRPr="00360A96">
        <w:rPr>
          <w:rStyle w:val="Strong"/>
          <w:rFonts w:ascii="Arial" w:hAnsi="Arial" w:cs="Arial"/>
          <w:color w:val="000000" w:themeColor="text1"/>
          <w:sz w:val="22"/>
          <w:szCs w:val="22"/>
        </w:rPr>
        <w:t>ombination</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herapy</w:t>
      </w:r>
      <w:proofErr w:type="spellEnd"/>
    </w:p>
    <w:p w14:paraId="2034F327"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heterogeneity of PDAC underscores the necessity for </w:t>
      </w:r>
      <w:r w:rsidRPr="007C68F3">
        <w:rPr>
          <w:rStyle w:val="Strong"/>
          <w:rFonts w:ascii="Arial" w:hAnsi="Arial" w:cs="Arial"/>
          <w:b w:val="0"/>
          <w:bCs w:val="0"/>
          <w:color w:val="000000" w:themeColor="text1"/>
          <w:sz w:val="20"/>
          <w:szCs w:val="20"/>
        </w:rPr>
        <w:t>personalized, adaptive treatment frameworks</w:t>
      </w:r>
      <w:r w:rsidRPr="007C68F3">
        <w:rPr>
          <w:rFonts w:ascii="Arial" w:hAnsi="Arial" w:cs="Arial"/>
          <w:b/>
          <w:bCs/>
          <w:color w:val="000000" w:themeColor="text1"/>
          <w:sz w:val="20"/>
          <w:szCs w:val="20"/>
        </w:rPr>
        <w: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Combination therapies integrating immune modulation, microbiome reconstitution, and miRNA targeting may synergistically overcome the multifactorial resistance that defines this malignancy.</w:t>
      </w:r>
    </w:p>
    <w:p w14:paraId="2A60D0D9"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ultimate goal of current research is to translate these experimental approaches into clinically effective regimens. This requires robust preclinical validation, biomarker-driven patient selection, and innovative </w:t>
      </w:r>
      <w:r w:rsidRPr="007C68F3">
        <w:rPr>
          <w:rStyle w:val="Strong"/>
          <w:rFonts w:ascii="Arial" w:hAnsi="Arial" w:cs="Arial"/>
          <w:b w:val="0"/>
          <w:bCs w:val="0"/>
          <w:color w:val="000000" w:themeColor="text1"/>
          <w:sz w:val="20"/>
          <w:szCs w:val="20"/>
        </w:rPr>
        <w:t>adaptive clinical trial designs</w:t>
      </w:r>
      <w:r w:rsidRPr="00360A96">
        <w:rPr>
          <w:rFonts w:ascii="Arial" w:hAnsi="Arial" w:cs="Arial"/>
          <w:color w:val="000000" w:themeColor="text1"/>
          <w:sz w:val="20"/>
          <w:szCs w:val="20"/>
        </w:rPr>
        <w:t xml:space="preserve"> that can dynamically assess biological responses to therapy.</w:t>
      </w:r>
    </w:p>
    <w:p w14:paraId="22DED40D"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This</w:t>
      </w:r>
      <w:r w:rsidRPr="00360A96">
        <w:rPr>
          <w:rFonts w:ascii="Arial" w:hAnsi="Arial" w:cs="Arial"/>
          <w:color w:val="000000" w:themeColor="text1"/>
          <w:sz w:val="20"/>
          <w:szCs w:val="20"/>
          <w:lang w:val="tr-TR"/>
        </w:rPr>
        <w:t xml:space="preserve"> r</w:t>
      </w:r>
      <w:r w:rsidRPr="00360A96">
        <w:rPr>
          <w:rFonts w:ascii="Arial" w:hAnsi="Arial" w:cs="Arial"/>
          <w:color w:val="000000" w:themeColor="text1"/>
          <w:sz w:val="20"/>
          <w:szCs w:val="20"/>
        </w:rPr>
        <w:t>eview synthesizes and critically evaluates the latest scientific evidence on emerging therapies for PDAC. Specifically, it examines advances in:</w:t>
      </w:r>
    </w:p>
    <w:p w14:paraId="5979BBF5" w14:textId="7A52B3E6" w:rsidR="00755D41" w:rsidRPr="00A64548" w:rsidRDefault="00755D41" w:rsidP="00A64548">
      <w:pPr>
        <w:pStyle w:val="NormalWeb"/>
        <w:numPr>
          <w:ilvl w:val="0"/>
          <w:numId w:val="14"/>
        </w:numPr>
        <w:ind w:left="1134" w:right="283" w:hanging="567"/>
        <w:jc w:val="both"/>
        <w:rPr>
          <w:rFonts w:ascii="Arial" w:hAnsi="Arial" w:cs="Arial"/>
          <w:b/>
          <w:bCs/>
          <w:color w:val="000000" w:themeColor="text1"/>
          <w:sz w:val="20"/>
          <w:szCs w:val="20"/>
        </w:rPr>
      </w:pPr>
      <w:r w:rsidRPr="00A64548">
        <w:rPr>
          <w:rStyle w:val="Strong"/>
          <w:rFonts w:ascii="Arial" w:hAnsi="Arial" w:cs="Arial"/>
          <w:b w:val="0"/>
          <w:bCs w:val="0"/>
          <w:color w:val="000000" w:themeColor="text1"/>
          <w:sz w:val="20"/>
          <w:szCs w:val="20"/>
        </w:rPr>
        <w:t>Immunotherapeutic strategies</w:t>
      </w:r>
      <w:r w:rsidRPr="00A64548">
        <w:rPr>
          <w:rFonts w:ascii="Arial" w:hAnsi="Arial" w:cs="Arial"/>
          <w:b/>
          <w:bCs/>
          <w:color w:val="000000" w:themeColor="text1"/>
          <w:sz w:val="20"/>
          <w:szCs w:val="20"/>
        </w:rPr>
        <w:t xml:space="preserve"> </w:t>
      </w:r>
    </w:p>
    <w:p w14:paraId="2E2C798D" w14:textId="2514F64B" w:rsidR="00755D41" w:rsidRPr="007C68F3" w:rsidRDefault="00755D41" w:rsidP="00A64548">
      <w:pPr>
        <w:pStyle w:val="NormalWeb"/>
        <w:numPr>
          <w:ilvl w:val="0"/>
          <w:numId w:val="14"/>
        </w:numPr>
        <w:ind w:left="1134" w:right="283" w:hanging="567"/>
        <w:jc w:val="both"/>
        <w:rPr>
          <w:rFonts w:ascii="Arial" w:hAnsi="Arial" w:cs="Arial"/>
          <w:b/>
          <w:bCs/>
          <w:color w:val="000000" w:themeColor="text1"/>
          <w:sz w:val="20"/>
          <w:szCs w:val="20"/>
        </w:rPr>
      </w:pPr>
      <w:r w:rsidRPr="007C68F3">
        <w:rPr>
          <w:rStyle w:val="Strong"/>
          <w:rFonts w:ascii="Arial" w:hAnsi="Arial" w:cs="Arial"/>
          <w:b w:val="0"/>
          <w:bCs w:val="0"/>
          <w:color w:val="000000" w:themeColor="text1"/>
          <w:sz w:val="20"/>
          <w:szCs w:val="20"/>
        </w:rPr>
        <w:t>Microbial-based interventions</w:t>
      </w:r>
      <w:r w:rsidRPr="007C68F3">
        <w:rPr>
          <w:rFonts w:ascii="Arial" w:hAnsi="Arial" w:cs="Arial"/>
          <w:color w:val="000000" w:themeColor="text1"/>
          <w:sz w:val="20"/>
          <w:szCs w:val="20"/>
        </w:rPr>
        <w:t>, including fecal microbiota transplantation and dietary manipulation and</w:t>
      </w:r>
    </w:p>
    <w:p w14:paraId="7B3FDE00" w14:textId="6BA23A96" w:rsidR="00755D41" w:rsidRPr="00360A96" w:rsidRDefault="00755D41" w:rsidP="00A64548">
      <w:pPr>
        <w:pStyle w:val="NormalWeb"/>
        <w:numPr>
          <w:ilvl w:val="0"/>
          <w:numId w:val="14"/>
        </w:numPr>
        <w:ind w:left="1134" w:right="283" w:hanging="567"/>
        <w:jc w:val="both"/>
        <w:rPr>
          <w:rFonts w:ascii="Arial" w:hAnsi="Arial" w:cs="Arial"/>
          <w:color w:val="000000" w:themeColor="text1"/>
          <w:sz w:val="20"/>
          <w:szCs w:val="20"/>
        </w:rPr>
      </w:pPr>
      <w:r w:rsidRPr="007C68F3">
        <w:rPr>
          <w:rStyle w:val="Strong"/>
          <w:rFonts w:ascii="Arial" w:hAnsi="Arial" w:cs="Arial"/>
          <w:b w:val="0"/>
          <w:bCs w:val="0"/>
          <w:color w:val="000000" w:themeColor="text1"/>
          <w:sz w:val="20"/>
          <w:szCs w:val="20"/>
        </w:rPr>
        <w:t>MicroRNA-targeted therapeutics</w:t>
      </w:r>
      <w:r w:rsidRPr="007C68F3">
        <w:rPr>
          <w:rFonts w:ascii="Arial" w:hAnsi="Arial" w:cs="Arial"/>
          <w:b/>
          <w:bCs/>
          <w:color w:val="000000" w:themeColor="text1"/>
          <w:sz w:val="20"/>
          <w:szCs w:val="20"/>
        </w:rPr>
        <w:t>,</w:t>
      </w:r>
      <w:r w:rsidRPr="00360A96">
        <w:rPr>
          <w:rFonts w:ascii="Arial" w:hAnsi="Arial" w:cs="Arial"/>
          <w:color w:val="000000" w:themeColor="text1"/>
          <w:sz w:val="20"/>
          <w:szCs w:val="20"/>
        </w:rPr>
        <w:t xml:space="preserve"> encompassing both diagnostic and therapeutic applications</w:t>
      </w:r>
      <w:r w:rsidR="007C68F3">
        <w:rPr>
          <w:rFonts w:ascii="Arial" w:hAnsi="Arial" w:cs="Arial"/>
          <w:color w:val="000000" w:themeColor="text1"/>
          <w:sz w:val="20"/>
          <w:szCs w:val="20"/>
          <w:lang w:val="tr-TR"/>
        </w:rPr>
        <w:t>.</w:t>
      </w:r>
    </w:p>
    <w:p w14:paraId="5C34A6A7"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By integrating insights from these domains, the review aims to highlight mechanistic interconnections, assess translational feasibility, and propose rational frameworks for future clinical development.</w:t>
      </w:r>
    </w:p>
    <w:p w14:paraId="6AEA29DC" w14:textId="77777777" w:rsidR="00755D41" w:rsidRPr="00755D41" w:rsidRDefault="00755D41" w:rsidP="00755D41">
      <w:pPr>
        <w:pStyle w:val="Heading2"/>
        <w:spacing w:line="480" w:lineRule="auto"/>
        <w:ind w:left="567" w:right="283"/>
        <w:jc w:val="both"/>
        <w:rPr>
          <w:rFonts w:ascii="Arial" w:hAnsi="Arial" w:cs="Arial"/>
          <w:b w:val="0"/>
          <w:bCs w:val="0"/>
          <w:color w:val="000000" w:themeColor="text1"/>
          <w:sz w:val="22"/>
          <w:szCs w:val="22"/>
        </w:rPr>
      </w:pPr>
      <w:r w:rsidRPr="00755D41">
        <w:rPr>
          <w:rStyle w:val="Strong"/>
          <w:rFonts w:ascii="Arial" w:hAnsi="Arial" w:cs="Arial"/>
          <w:b/>
          <w:bCs/>
          <w:color w:val="000000" w:themeColor="text1"/>
          <w:sz w:val="22"/>
          <w:szCs w:val="22"/>
        </w:rPr>
        <w:t>Immunotherapy</w:t>
      </w:r>
    </w:p>
    <w:p w14:paraId="3454CAEB"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Pancreatic ductal adenocarcinoma (PDAC) is characterized by profound immune evasion and a highly immunosuppressive tumor microenvironment (TME), making it one of the most refractory malignancies to current immunotherapeutic interventions. Unlike immunogenic tumors such as melanoma or non–small-cell lung cancer, PDAC exhibits low mutational burden, poor antigenicity, </w:t>
      </w:r>
      <w:r w:rsidRPr="00360A96">
        <w:rPr>
          <w:rFonts w:ascii="Arial" w:hAnsi="Arial" w:cs="Arial"/>
          <w:color w:val="000000" w:themeColor="text1"/>
          <w:sz w:val="20"/>
          <w:szCs w:val="20"/>
        </w:rPr>
        <w:lastRenderedPageBreak/>
        <w:t xml:space="preserve">and extensive stromal desmoplasia—all of which collectively dampen immune recognition and cytotoxic T-cell infiltration </w:t>
      </w:r>
      <w:r w:rsidRPr="00360A96">
        <w:rPr>
          <w:rFonts w:ascii="Arial" w:hAnsi="Arial" w:cs="Arial"/>
          <w:color w:val="000000" w:themeColor="text1"/>
          <w:sz w:val="20"/>
          <w:szCs w:val="20"/>
          <w:lang w:val="tr-TR"/>
        </w:rPr>
        <w:t>(Singh et al., 2015; Wang et al., 2024; Wojtukieicz et al., 202)</w:t>
      </w:r>
      <w:r w:rsidRPr="00360A96">
        <w:rPr>
          <w:rFonts w:ascii="Arial" w:hAnsi="Arial" w:cs="Arial"/>
          <w:color w:val="000000" w:themeColor="text1"/>
          <w:sz w:val="20"/>
          <w:szCs w:val="20"/>
        </w:rPr>
        <w:t>.</w:t>
      </w:r>
    </w:p>
    <w:p w14:paraId="33F965B9"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proofErr w:type="spellStart"/>
      <w:r w:rsidRPr="00360A96">
        <w:rPr>
          <w:rStyle w:val="Strong"/>
          <w:rFonts w:ascii="Arial" w:hAnsi="Arial" w:cs="Arial"/>
          <w:color w:val="000000" w:themeColor="text1"/>
          <w:sz w:val="22"/>
          <w:szCs w:val="22"/>
        </w:rPr>
        <w:t>Tumor</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I</w:t>
      </w:r>
      <w:proofErr w:type="spellStart"/>
      <w:r w:rsidRPr="00360A96">
        <w:rPr>
          <w:rStyle w:val="Strong"/>
          <w:rFonts w:ascii="Arial" w:hAnsi="Arial" w:cs="Arial"/>
          <w:color w:val="000000" w:themeColor="text1"/>
          <w:sz w:val="22"/>
          <w:szCs w:val="22"/>
        </w:rPr>
        <w:t>mmune</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M</w:t>
      </w:r>
      <w:proofErr w:type="spellStart"/>
      <w:r w:rsidRPr="00360A96">
        <w:rPr>
          <w:rStyle w:val="Strong"/>
          <w:rFonts w:ascii="Arial" w:hAnsi="Arial" w:cs="Arial"/>
          <w:color w:val="000000" w:themeColor="text1"/>
          <w:sz w:val="22"/>
          <w:szCs w:val="22"/>
        </w:rPr>
        <w:t>icroenvironment</w:t>
      </w:r>
      <w:proofErr w:type="spellEnd"/>
      <w:r w:rsidRPr="00360A96">
        <w:rPr>
          <w:rStyle w:val="Strong"/>
          <w:rFonts w:ascii="Arial" w:hAnsi="Arial" w:cs="Arial"/>
          <w:color w:val="000000" w:themeColor="text1"/>
          <w:sz w:val="22"/>
          <w:szCs w:val="22"/>
        </w:rPr>
        <w:t xml:space="preserve"> and </w:t>
      </w:r>
      <w:r w:rsidRPr="00360A96">
        <w:rPr>
          <w:rStyle w:val="Strong"/>
          <w:rFonts w:ascii="Arial" w:hAnsi="Arial" w:cs="Arial"/>
          <w:color w:val="000000" w:themeColor="text1"/>
          <w:sz w:val="22"/>
          <w:szCs w:val="22"/>
          <w:lang w:val="tr-TR"/>
        </w:rPr>
        <w:t>M</w:t>
      </w:r>
      <w:proofErr w:type="spellStart"/>
      <w:r w:rsidRPr="00360A96">
        <w:rPr>
          <w:rStyle w:val="Strong"/>
          <w:rFonts w:ascii="Arial" w:hAnsi="Arial" w:cs="Arial"/>
          <w:color w:val="000000" w:themeColor="text1"/>
          <w:sz w:val="22"/>
          <w:szCs w:val="22"/>
        </w:rPr>
        <w:t>echanisms</w:t>
      </w:r>
      <w:proofErr w:type="spellEnd"/>
      <w:r w:rsidRPr="00360A96">
        <w:rPr>
          <w:rStyle w:val="Strong"/>
          <w:rFonts w:ascii="Arial" w:hAnsi="Arial" w:cs="Arial"/>
          <w:color w:val="000000" w:themeColor="text1"/>
          <w:sz w:val="22"/>
          <w:szCs w:val="22"/>
        </w:rPr>
        <w:t xml:space="preserve"> of </w:t>
      </w:r>
      <w:r w:rsidRPr="00360A96">
        <w:rPr>
          <w:rStyle w:val="Strong"/>
          <w:rFonts w:ascii="Arial" w:hAnsi="Arial" w:cs="Arial"/>
          <w:color w:val="000000" w:themeColor="text1"/>
          <w:sz w:val="22"/>
          <w:szCs w:val="22"/>
          <w:lang w:val="tr-TR"/>
        </w:rPr>
        <w:t>I</w:t>
      </w:r>
      <w:proofErr w:type="spellStart"/>
      <w:r w:rsidRPr="00360A96">
        <w:rPr>
          <w:rStyle w:val="Strong"/>
          <w:rFonts w:ascii="Arial" w:hAnsi="Arial" w:cs="Arial"/>
          <w:color w:val="000000" w:themeColor="text1"/>
          <w:sz w:val="22"/>
          <w:szCs w:val="22"/>
        </w:rPr>
        <w:t>mmune</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E</w:t>
      </w:r>
      <w:proofErr w:type="spellStart"/>
      <w:r w:rsidRPr="00360A96">
        <w:rPr>
          <w:rStyle w:val="Strong"/>
          <w:rFonts w:ascii="Arial" w:hAnsi="Arial" w:cs="Arial"/>
          <w:color w:val="000000" w:themeColor="text1"/>
          <w:sz w:val="22"/>
          <w:szCs w:val="22"/>
        </w:rPr>
        <w:t>vasion</w:t>
      </w:r>
      <w:proofErr w:type="spellEnd"/>
    </w:p>
    <w:p w14:paraId="01C04792"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PDAC microenvironment is dominated by dense extracellular matrix components (e.g., collagen, hyaluronan) and an abundance of immunosuppressive cells, including </w:t>
      </w:r>
      <w:r w:rsidRPr="004B67F5">
        <w:rPr>
          <w:rStyle w:val="Strong"/>
          <w:rFonts w:ascii="Arial" w:hAnsi="Arial" w:cs="Arial"/>
          <w:b w:val="0"/>
          <w:bCs w:val="0"/>
          <w:color w:val="000000" w:themeColor="text1"/>
          <w:sz w:val="20"/>
          <w:szCs w:val="20"/>
        </w:rPr>
        <w:t>tumor-associated macrophages (TAMs)</w:t>
      </w:r>
      <w:r w:rsidRPr="004B67F5">
        <w:rPr>
          <w:rFonts w:ascii="Arial" w:hAnsi="Arial" w:cs="Arial"/>
          <w:b/>
          <w:bCs/>
          <w:color w:val="000000" w:themeColor="text1"/>
          <w:sz w:val="20"/>
          <w:szCs w:val="20"/>
        </w:rPr>
        <w:t xml:space="preserve">, </w:t>
      </w:r>
      <w:r w:rsidRPr="004B67F5">
        <w:rPr>
          <w:rStyle w:val="Strong"/>
          <w:rFonts w:ascii="Arial" w:hAnsi="Arial" w:cs="Arial"/>
          <w:b w:val="0"/>
          <w:bCs w:val="0"/>
          <w:color w:val="000000" w:themeColor="text1"/>
          <w:sz w:val="20"/>
          <w:szCs w:val="20"/>
        </w:rPr>
        <w:t>regulatory T cells (Tregs)</w:t>
      </w:r>
      <w:r w:rsidRPr="004B67F5">
        <w:rPr>
          <w:rFonts w:ascii="Arial" w:hAnsi="Arial" w:cs="Arial"/>
          <w:b/>
          <w:bCs/>
          <w:color w:val="000000" w:themeColor="text1"/>
          <w:sz w:val="20"/>
          <w:szCs w:val="20"/>
        </w:rPr>
        <w: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4B67F5">
        <w:rPr>
          <w:rStyle w:val="Strong"/>
          <w:rFonts w:ascii="Arial" w:hAnsi="Arial" w:cs="Arial"/>
          <w:b w:val="0"/>
          <w:bCs w:val="0"/>
          <w:color w:val="000000" w:themeColor="text1"/>
          <w:sz w:val="20"/>
          <w:szCs w:val="20"/>
        </w:rPr>
        <w:t>myeloid-derived suppressor cells (MDSCs)</w:t>
      </w:r>
      <w:r w:rsidRPr="00360A96">
        <w:rPr>
          <w:rFonts w:ascii="Arial" w:hAnsi="Arial" w:cs="Arial"/>
          <w:color w:val="000000" w:themeColor="text1"/>
          <w:sz w:val="20"/>
          <w:szCs w:val="20"/>
        </w:rPr>
        <w:t xml:space="preserve"> </w:t>
      </w:r>
      <w:r w:rsidRPr="00360A96">
        <w:rPr>
          <w:rFonts w:ascii="Arial" w:hAnsi="Arial" w:cs="Arial"/>
          <w:color w:val="000000" w:themeColor="text1"/>
          <w:sz w:val="20"/>
          <w:szCs w:val="20"/>
          <w:lang w:val="tr-TR"/>
        </w:rPr>
        <w:t>(Tran et al., 2023; Henriksen et al., 2019)</w:t>
      </w:r>
      <w:r w:rsidRPr="00360A96">
        <w:rPr>
          <w:rFonts w:ascii="Arial" w:hAnsi="Arial" w:cs="Arial"/>
          <w:color w:val="000000" w:themeColor="text1"/>
          <w:sz w:val="20"/>
          <w:szCs w:val="20"/>
        </w:rPr>
        <w:t xml:space="preserve">. These cellular elements secrete cytokines such as </w:t>
      </w:r>
      <w:r w:rsidRPr="004B67F5">
        <w:rPr>
          <w:rStyle w:val="Strong"/>
          <w:rFonts w:ascii="Arial" w:hAnsi="Arial" w:cs="Arial"/>
          <w:b w:val="0"/>
          <w:bCs w:val="0"/>
          <w:color w:val="000000" w:themeColor="text1"/>
          <w:sz w:val="20"/>
          <w:szCs w:val="20"/>
        </w:rPr>
        <w:t>TGF-β</w:t>
      </w:r>
      <w:r w:rsidRPr="004B67F5">
        <w:rPr>
          <w:rFonts w:ascii="Arial" w:hAnsi="Arial" w:cs="Arial"/>
          <w:b/>
          <w:bCs/>
          <w:color w:val="000000" w:themeColor="text1"/>
          <w:sz w:val="20"/>
          <w:szCs w:val="20"/>
        </w:rPr>
        <w:t xml:space="preserve">, </w:t>
      </w:r>
      <w:r w:rsidRPr="004B67F5">
        <w:rPr>
          <w:rStyle w:val="Strong"/>
          <w:rFonts w:ascii="Arial" w:hAnsi="Arial" w:cs="Arial"/>
          <w:b w:val="0"/>
          <w:bCs w:val="0"/>
          <w:color w:val="000000" w:themeColor="text1"/>
          <w:sz w:val="20"/>
          <w:szCs w:val="20"/>
        </w:rPr>
        <w:t>IL-10</w:t>
      </w:r>
      <w:r w:rsidRPr="004B67F5">
        <w:rPr>
          <w:rFonts w:ascii="Arial" w:hAnsi="Arial" w:cs="Arial"/>
          <w:color w:val="000000" w:themeColor="text1"/>
          <w:sz w:val="20"/>
          <w:szCs w:val="20"/>
        </w:rPr>
        <w:t>,</w:t>
      </w:r>
      <w:r w:rsidRPr="00360A96">
        <w:rPr>
          <w:rFonts w:ascii="Arial" w:hAnsi="Arial" w:cs="Arial"/>
          <w:color w:val="000000" w:themeColor="text1"/>
          <w:sz w:val="20"/>
          <w:szCs w:val="20"/>
        </w:rPr>
        <w:t xml:space="preserve"> and </w:t>
      </w:r>
      <w:r w:rsidRPr="004B67F5">
        <w:rPr>
          <w:rStyle w:val="Strong"/>
          <w:rFonts w:ascii="Arial" w:hAnsi="Arial" w:cs="Arial"/>
          <w:b w:val="0"/>
          <w:bCs w:val="0"/>
          <w:color w:val="000000" w:themeColor="text1"/>
          <w:sz w:val="20"/>
          <w:szCs w:val="20"/>
        </w:rPr>
        <w:t>VEGF</w:t>
      </w:r>
      <w:r w:rsidRPr="004B67F5">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further inhibit effector T-cell activation and promote immune tolerance.</w:t>
      </w:r>
    </w:p>
    <w:p w14:paraId="48866BF4"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Cancer-associated fibroblasts (CAFs), a major stromal component, create a physical and biochemical barrier that hinders immune cell trafficking and therapeutic drug delivery. The result is a “cold” tumor phenotype—one that is poorly infiltrated by cytotoxic lymphocytes and unresponsive to standard immune checkpoint blockade (ICB).</w:t>
      </w:r>
    </w:p>
    <w:p w14:paraId="36942B7C" w14:textId="77777777" w:rsidR="0004526C" w:rsidRDefault="0004526C" w:rsidP="00755D41">
      <w:pPr>
        <w:pStyle w:val="NormalWeb"/>
        <w:ind w:left="567" w:right="283"/>
        <w:jc w:val="both"/>
        <w:rPr>
          <w:rFonts w:ascii="Arial" w:hAnsi="Arial" w:cs="Arial"/>
          <w:b/>
          <w:bCs/>
          <w:sz w:val="22"/>
          <w:szCs w:val="22"/>
        </w:rPr>
      </w:pPr>
      <w:r w:rsidRPr="0004526C">
        <w:rPr>
          <w:rFonts w:ascii="Arial" w:hAnsi="Arial" w:cs="Arial"/>
          <w:b/>
          <w:bCs/>
          <w:sz w:val="22"/>
          <w:szCs w:val="22"/>
        </w:rPr>
        <w:t>Overcoming Immune Resistance in PDAC: Limited Efficacy of Checkpoint Inhibitors and the Emerging Role of CD40 Activation</w:t>
      </w:r>
      <w:r>
        <w:rPr>
          <w:lang w:val="tr-TR"/>
        </w:rPr>
        <w:t xml:space="preserve"> </w:t>
      </w:r>
    </w:p>
    <w:p w14:paraId="65B69899" w14:textId="77777777" w:rsidR="0004526C" w:rsidRPr="00EF2B78" w:rsidRDefault="0004526C" w:rsidP="0004526C">
      <w:pPr>
        <w:pStyle w:val="NormalWeb"/>
        <w:ind w:left="567"/>
        <w:jc w:val="both"/>
        <w:rPr>
          <w:rFonts w:ascii="Arial" w:hAnsi="Arial" w:cs="Arial"/>
          <w:sz w:val="20"/>
          <w:szCs w:val="20"/>
        </w:rPr>
      </w:pPr>
      <w:r w:rsidRPr="00EF2B78">
        <w:rPr>
          <w:rFonts w:ascii="Arial" w:hAnsi="Arial" w:cs="Arial"/>
          <w:sz w:val="20"/>
          <w:szCs w:val="20"/>
        </w:rPr>
        <w:t>Checkpoint inhibitors targeting PD-1/PD-L1 and CTLA-4 have substantially advanced the treatment of multiple malignancies; however, their efficacy in unselected pancreatic ductal adenocarcinoma (PDAC) populations remains limited. Objective response rates are below 5%, with the majority of patients demonstrating primary resistance (Andersson et al., 2024).</w:t>
      </w:r>
    </w:p>
    <w:p w14:paraId="2908FFCC" w14:textId="77777777" w:rsidR="0004526C" w:rsidRPr="00EF2B78" w:rsidRDefault="0004526C" w:rsidP="0004526C">
      <w:pPr>
        <w:pStyle w:val="NormalWeb"/>
        <w:ind w:left="567"/>
        <w:jc w:val="both"/>
        <w:rPr>
          <w:rFonts w:ascii="Arial" w:hAnsi="Arial" w:cs="Arial"/>
          <w:sz w:val="20"/>
          <w:szCs w:val="20"/>
        </w:rPr>
      </w:pPr>
      <w:r w:rsidRPr="00EF2B78">
        <w:rPr>
          <w:rFonts w:ascii="Arial" w:hAnsi="Arial" w:cs="Arial"/>
          <w:sz w:val="20"/>
          <w:szCs w:val="20"/>
        </w:rPr>
        <w:t>Nonetheless, select molecular subgroups exhibit increased sensitivity to immune checkpoint blockade (ICB). Tumors characterized by deficient mismatch repair (dMMR) or high microsatellite instability (MSI-H) possess elevated neoantigen burdens and may respond to PD-1 inhibition, as observed in small subsets of PDAC patients (Huang et al., 2021). These cases, however, account for fewer than 2% of all PDACs, highlighting the pressing need to extend the benefits of immunotherapy beyond this limited population.</w:t>
      </w:r>
    </w:p>
    <w:p w14:paraId="594A0342" w14:textId="77777777" w:rsidR="0004526C" w:rsidRPr="00EF2B78" w:rsidRDefault="0004526C" w:rsidP="0004526C">
      <w:pPr>
        <w:pStyle w:val="NormalWeb"/>
        <w:ind w:left="567"/>
        <w:jc w:val="both"/>
        <w:rPr>
          <w:rFonts w:ascii="Arial" w:hAnsi="Arial" w:cs="Arial"/>
          <w:sz w:val="20"/>
          <w:szCs w:val="20"/>
        </w:rPr>
      </w:pPr>
      <w:r w:rsidRPr="00EF2B78">
        <w:rPr>
          <w:rFonts w:ascii="Arial" w:hAnsi="Arial" w:cs="Arial"/>
          <w:sz w:val="20"/>
          <w:szCs w:val="20"/>
        </w:rPr>
        <w:t>A promising approach to overcoming PDAC’s immunologically “cold” tumor microenvironment involves activation of CD40 signaling, a pathway that links innate and adaptive immune responses. CD40 agonists have been shown to reprogram tumor-associated macrophages, enhance antigen presentation, and promote infiltration of cytotoxic T lymphocytes (Thoidingiam et al., 2024).</w:t>
      </w:r>
    </w:p>
    <w:p w14:paraId="076BE621" w14:textId="77777777" w:rsidR="0004526C" w:rsidRPr="00EF2B78" w:rsidRDefault="0004526C" w:rsidP="0004526C">
      <w:pPr>
        <w:pStyle w:val="NormalWeb"/>
        <w:ind w:left="567"/>
        <w:jc w:val="both"/>
        <w:rPr>
          <w:rFonts w:ascii="Arial" w:hAnsi="Arial" w:cs="Arial"/>
          <w:sz w:val="20"/>
          <w:szCs w:val="20"/>
        </w:rPr>
      </w:pPr>
      <w:r w:rsidRPr="00EF2B78">
        <w:rPr>
          <w:rFonts w:ascii="Arial" w:hAnsi="Arial" w:cs="Arial"/>
          <w:sz w:val="20"/>
          <w:szCs w:val="20"/>
        </w:rPr>
        <w:t>Preclinical studies and early-phase clinical trials combining CD40 agonists with chemotherapy or ICB have demonstrated improved antitumor activity. These findings suggest that immune priming via myeloid cell activation may help overcome intrinsic immune resistance in PDAC. Ongoing investigations are evaluating CD40-targeted strategies in combination with established regimens, including gemcitabine/nab-paclitaxel, FOLFIRINOX, and anti–PD-1 therapies (Ye et al., 2024).</w:t>
      </w:r>
    </w:p>
    <w:p w14:paraId="5BB81646" w14:textId="77777777" w:rsidR="0004526C" w:rsidRDefault="0004526C" w:rsidP="00755D41">
      <w:pPr>
        <w:pStyle w:val="NormalWeb"/>
        <w:ind w:left="567" w:right="283"/>
        <w:jc w:val="both"/>
        <w:rPr>
          <w:rFonts w:ascii="Arial" w:hAnsi="Arial" w:cs="Arial"/>
          <w:color w:val="000000" w:themeColor="text1"/>
          <w:sz w:val="20"/>
          <w:szCs w:val="20"/>
        </w:rPr>
      </w:pPr>
    </w:p>
    <w:p w14:paraId="293C1CC0"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Vaccination </w:t>
      </w:r>
      <w:r w:rsidRPr="00360A96">
        <w:rPr>
          <w:rStyle w:val="Strong"/>
          <w:rFonts w:ascii="Arial" w:hAnsi="Arial" w:cs="Arial"/>
          <w:color w:val="000000" w:themeColor="text1"/>
          <w:sz w:val="22"/>
          <w:szCs w:val="22"/>
          <w:lang w:val="tr-TR"/>
        </w:rPr>
        <w:t>S</w:t>
      </w:r>
      <w:proofErr w:type="spellStart"/>
      <w:r w:rsidRPr="00360A96">
        <w:rPr>
          <w:rStyle w:val="Strong"/>
          <w:rFonts w:ascii="Arial" w:hAnsi="Arial" w:cs="Arial"/>
          <w:color w:val="000000" w:themeColor="text1"/>
          <w:sz w:val="22"/>
          <w:szCs w:val="22"/>
        </w:rPr>
        <w:t>trategies</w:t>
      </w:r>
      <w:proofErr w:type="spellEnd"/>
    </w:p>
    <w:p w14:paraId="0227A84E" w14:textId="77777777" w:rsidR="00755D41" w:rsidRPr="00360A96" w:rsidRDefault="00755D41" w:rsidP="00755D41">
      <w:pPr>
        <w:pStyle w:val="NormalWeb"/>
        <w:ind w:left="567" w:right="283"/>
        <w:jc w:val="both"/>
        <w:rPr>
          <w:rFonts w:ascii="Arial" w:hAnsi="Arial" w:cs="Arial"/>
          <w:color w:val="000000" w:themeColor="text1"/>
          <w:sz w:val="20"/>
          <w:szCs w:val="20"/>
        </w:rPr>
      </w:pPr>
      <w:bookmarkStart w:id="2" w:name="_Hlk227169524"/>
      <w:r w:rsidRPr="00360A96">
        <w:rPr>
          <w:rFonts w:ascii="Arial" w:hAnsi="Arial" w:cs="Arial"/>
          <w:color w:val="000000" w:themeColor="text1"/>
          <w:sz w:val="20"/>
          <w:szCs w:val="20"/>
        </w:rPr>
        <w:t xml:space="preserve">Therapeutic cancer vaccines aim to induce tumor-specific immunity through presentation of PDAC-associated antigens such as </w:t>
      </w:r>
      <w:r w:rsidRPr="004B67F5">
        <w:rPr>
          <w:rStyle w:val="Strong"/>
          <w:rFonts w:ascii="Arial" w:hAnsi="Arial" w:cs="Arial"/>
          <w:b w:val="0"/>
          <w:bCs w:val="0"/>
          <w:color w:val="000000" w:themeColor="text1"/>
          <w:sz w:val="20"/>
          <w:szCs w:val="20"/>
        </w:rPr>
        <w:t>mutant KRAS</w:t>
      </w:r>
      <w:r w:rsidRPr="004B67F5">
        <w:rPr>
          <w:rFonts w:ascii="Arial" w:hAnsi="Arial" w:cs="Arial"/>
          <w:b/>
          <w:bCs/>
          <w:color w:val="000000" w:themeColor="text1"/>
          <w:sz w:val="20"/>
          <w:szCs w:val="20"/>
        </w:rPr>
        <w:t xml:space="preserve">, </w:t>
      </w:r>
      <w:r w:rsidRPr="004B67F5">
        <w:rPr>
          <w:rStyle w:val="Strong"/>
          <w:rFonts w:ascii="Arial" w:hAnsi="Arial" w:cs="Arial"/>
          <w:b w:val="0"/>
          <w:bCs w:val="0"/>
          <w:color w:val="000000" w:themeColor="text1"/>
          <w:sz w:val="20"/>
          <w:szCs w:val="20"/>
        </w:rPr>
        <w:t>MUC1</w:t>
      </w:r>
      <w:r w:rsidRPr="004B67F5">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4B67F5">
        <w:rPr>
          <w:rStyle w:val="Strong"/>
          <w:rFonts w:ascii="Arial" w:hAnsi="Arial" w:cs="Arial"/>
          <w:b w:val="0"/>
          <w:bCs w:val="0"/>
          <w:color w:val="000000" w:themeColor="text1"/>
          <w:sz w:val="20"/>
          <w:szCs w:val="20"/>
        </w:rPr>
        <w:t>mesothelin</w:t>
      </w:r>
      <w:r w:rsidRPr="00360A96">
        <w:rPr>
          <w:rFonts w:ascii="Arial" w:hAnsi="Arial" w:cs="Arial"/>
          <w:color w:val="000000" w:themeColor="text1"/>
          <w:sz w:val="20"/>
          <w:szCs w:val="20"/>
        </w:rPr>
        <w:t xml:space="preserve">. Platforms under investigation include </w:t>
      </w:r>
      <w:r w:rsidRPr="004B67F5">
        <w:rPr>
          <w:rStyle w:val="Strong"/>
          <w:rFonts w:ascii="Arial" w:hAnsi="Arial" w:cs="Arial"/>
          <w:b w:val="0"/>
          <w:bCs w:val="0"/>
          <w:color w:val="000000" w:themeColor="text1"/>
          <w:sz w:val="20"/>
          <w:szCs w:val="20"/>
        </w:rPr>
        <w:t>peptide-based</w:t>
      </w:r>
      <w:r w:rsidRPr="004B67F5">
        <w:rPr>
          <w:rFonts w:ascii="Arial" w:hAnsi="Arial" w:cs="Arial"/>
          <w:b/>
          <w:bCs/>
          <w:color w:val="000000" w:themeColor="text1"/>
          <w:sz w:val="20"/>
          <w:szCs w:val="20"/>
        </w:rPr>
        <w:t xml:space="preserve">, </w:t>
      </w:r>
      <w:r w:rsidRPr="004B67F5">
        <w:rPr>
          <w:rStyle w:val="Strong"/>
          <w:rFonts w:ascii="Arial" w:hAnsi="Arial" w:cs="Arial"/>
          <w:b w:val="0"/>
          <w:bCs w:val="0"/>
          <w:color w:val="000000" w:themeColor="text1"/>
          <w:sz w:val="20"/>
          <w:szCs w:val="20"/>
        </w:rPr>
        <w:t>DNA/RNA-based</w:t>
      </w:r>
      <w:r w:rsidRPr="004B67F5">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4B67F5">
        <w:rPr>
          <w:rStyle w:val="Strong"/>
          <w:rFonts w:ascii="Arial" w:hAnsi="Arial" w:cs="Arial"/>
          <w:b w:val="0"/>
          <w:bCs w:val="0"/>
          <w:color w:val="000000" w:themeColor="text1"/>
          <w:sz w:val="20"/>
          <w:szCs w:val="20"/>
        </w:rPr>
        <w:t>dendritic cell (DC)–based vaccines</w:t>
      </w:r>
      <w:r w:rsidRPr="004B67F5">
        <w:rPr>
          <w:rFonts w:ascii="Arial" w:hAnsi="Arial" w:cs="Arial"/>
          <w:b/>
          <w:bCs/>
          <w:color w:val="000000" w:themeColor="text1"/>
          <w:sz w:val="20"/>
          <w:szCs w:val="20"/>
        </w:rPr>
        <w:t>.</w:t>
      </w:r>
    </w:p>
    <w:p w14:paraId="467059F1"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lastRenderedPageBreak/>
        <w:t xml:space="preserve">Although vaccine monotherapy has yielded limited clinical benefit, combination regimens incorporating vaccines with ICB, chemotherapy, or adjuvants (e.g., </w:t>
      </w:r>
      <w:r w:rsidRPr="004B67F5">
        <w:rPr>
          <w:rStyle w:val="Strong"/>
          <w:rFonts w:ascii="Arial" w:hAnsi="Arial" w:cs="Arial"/>
          <w:b w:val="0"/>
          <w:bCs w:val="0"/>
          <w:color w:val="000000" w:themeColor="text1"/>
          <w:sz w:val="20"/>
          <w:szCs w:val="20"/>
        </w:rPr>
        <w:t>GM-CSF</w:t>
      </w:r>
      <w:r w:rsidRPr="004B67F5">
        <w:rPr>
          <w:rFonts w:ascii="Arial" w:hAnsi="Arial" w:cs="Arial"/>
          <w:b/>
          <w:bCs/>
          <w:color w:val="000000" w:themeColor="text1"/>
          <w:sz w:val="20"/>
          <w:szCs w:val="20"/>
        </w:rPr>
        <w:t xml:space="preserve">, </w:t>
      </w:r>
      <w:r w:rsidRPr="004B67F5">
        <w:rPr>
          <w:rStyle w:val="Strong"/>
          <w:rFonts w:ascii="Arial" w:hAnsi="Arial" w:cs="Arial"/>
          <w:b w:val="0"/>
          <w:bCs w:val="0"/>
          <w:color w:val="000000" w:themeColor="text1"/>
          <w:sz w:val="20"/>
          <w:szCs w:val="20"/>
        </w:rPr>
        <w:t>TLR agonists</w:t>
      </w:r>
      <w:r w:rsidRPr="004B67F5">
        <w:rPr>
          <w:rFonts w:ascii="Arial" w:hAnsi="Arial" w:cs="Arial"/>
          <w:b/>
          <w:bCs/>
          <w:color w:val="000000" w:themeColor="text1"/>
          <w:sz w:val="20"/>
          <w:szCs w:val="20"/>
        </w:rPr>
        <w: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have shown signs of enhanced immune activation and delayed tumor progression in preclinical and early clinical studies </w:t>
      </w:r>
      <w:r w:rsidRPr="00360A96">
        <w:rPr>
          <w:rFonts w:ascii="Arial" w:hAnsi="Arial" w:cs="Arial"/>
          <w:color w:val="000000" w:themeColor="text1"/>
          <w:sz w:val="20"/>
          <w:szCs w:val="20"/>
          <w:lang w:val="tr-TR"/>
        </w:rPr>
        <w:t>(Pourali et al., 2024)</w:t>
      </w:r>
      <w:r w:rsidRPr="00360A96">
        <w:rPr>
          <w:rFonts w:ascii="Arial" w:hAnsi="Arial" w:cs="Arial"/>
          <w:color w:val="000000" w:themeColor="text1"/>
          <w:sz w:val="20"/>
          <w:szCs w:val="20"/>
        </w:rPr>
        <w:t>.</w:t>
      </w:r>
    </w:p>
    <w:bookmarkEnd w:id="2"/>
    <w:p w14:paraId="5F374B14"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Adoptive </w:t>
      </w:r>
      <w:r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 xml:space="preserve">ell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ransfer</w:t>
      </w:r>
      <w:proofErr w:type="spellEnd"/>
      <w:r w:rsidRPr="00360A96">
        <w:rPr>
          <w:rStyle w:val="Strong"/>
          <w:rFonts w:ascii="Arial" w:hAnsi="Arial" w:cs="Arial"/>
          <w:color w:val="000000" w:themeColor="text1"/>
          <w:sz w:val="22"/>
          <w:szCs w:val="22"/>
        </w:rPr>
        <w:t xml:space="preserve"> (ACT)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herapies</w:t>
      </w:r>
      <w:proofErr w:type="spellEnd"/>
    </w:p>
    <w:p w14:paraId="6748333A"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Adoptive cell transfer—including </w:t>
      </w:r>
      <w:r w:rsidRPr="004B67F5">
        <w:rPr>
          <w:rStyle w:val="Strong"/>
          <w:rFonts w:ascii="Arial" w:hAnsi="Arial" w:cs="Arial"/>
          <w:b w:val="0"/>
          <w:bCs w:val="0"/>
          <w:color w:val="000000" w:themeColor="text1"/>
          <w:sz w:val="20"/>
          <w:szCs w:val="20"/>
        </w:rPr>
        <w:t>chimeric antigen receptor (CAR) T-cell</w:t>
      </w:r>
      <w:r w:rsidRPr="004B67F5">
        <w:rPr>
          <w:rFonts w:ascii="Arial" w:hAnsi="Arial" w:cs="Arial"/>
          <w:b/>
          <w:bCs/>
          <w:color w:val="000000" w:themeColor="text1"/>
          <w:sz w:val="20"/>
          <w:szCs w:val="20"/>
        </w:rPr>
        <w:t xml:space="preserve"> and </w:t>
      </w:r>
      <w:r w:rsidRPr="004B67F5">
        <w:rPr>
          <w:rStyle w:val="Strong"/>
          <w:rFonts w:ascii="Arial" w:hAnsi="Arial" w:cs="Arial"/>
          <w:b w:val="0"/>
          <w:bCs w:val="0"/>
          <w:color w:val="000000" w:themeColor="text1"/>
          <w:sz w:val="20"/>
          <w:szCs w:val="20"/>
        </w:rPr>
        <w:t>tumor-infiltrating lymphocyte (TIL)</w:t>
      </w:r>
      <w:r w:rsidRPr="00360A96">
        <w:rPr>
          <w:rFonts w:ascii="Arial" w:hAnsi="Arial" w:cs="Arial"/>
          <w:color w:val="000000" w:themeColor="text1"/>
          <w:sz w:val="20"/>
          <w:szCs w:val="20"/>
        </w:rPr>
        <w:t xml:space="preserve"> therapies—represents another frontier in PDAC immunotherapy. While CAR-T cells targeting </w:t>
      </w:r>
      <w:r w:rsidRPr="004B67F5">
        <w:rPr>
          <w:rStyle w:val="Strong"/>
          <w:rFonts w:ascii="Arial" w:hAnsi="Arial" w:cs="Arial"/>
          <w:b w:val="0"/>
          <w:bCs w:val="0"/>
          <w:color w:val="000000" w:themeColor="text1"/>
          <w:sz w:val="20"/>
          <w:szCs w:val="20"/>
        </w:rPr>
        <w:t>mesothelin</w:t>
      </w:r>
      <w:r w:rsidRPr="004B67F5">
        <w:rPr>
          <w:rFonts w:ascii="Arial" w:hAnsi="Arial" w:cs="Arial"/>
          <w:b/>
          <w:bCs/>
          <w:color w:val="000000" w:themeColor="text1"/>
          <w:sz w:val="20"/>
          <w:szCs w:val="20"/>
        </w:rPr>
        <w:t xml:space="preserve">, </w:t>
      </w:r>
      <w:r w:rsidRPr="004B67F5">
        <w:rPr>
          <w:rStyle w:val="Strong"/>
          <w:rFonts w:ascii="Arial" w:hAnsi="Arial" w:cs="Arial"/>
          <w:b w:val="0"/>
          <w:bCs w:val="0"/>
          <w:color w:val="000000" w:themeColor="text1"/>
          <w:sz w:val="20"/>
          <w:szCs w:val="20"/>
        </w:rPr>
        <w:t>CEA</w:t>
      </w:r>
      <w:r w:rsidRPr="004B67F5">
        <w:rPr>
          <w:rFonts w:ascii="Arial" w:hAnsi="Arial" w:cs="Arial"/>
          <w:b/>
          <w:bCs/>
          <w:color w:val="000000" w:themeColor="text1"/>
          <w:sz w:val="20"/>
          <w:szCs w:val="20"/>
        </w:rPr>
        <w:t>,</w:t>
      </w:r>
      <w:r w:rsidRPr="00360A96">
        <w:rPr>
          <w:rFonts w:ascii="Arial" w:hAnsi="Arial" w:cs="Arial"/>
          <w:color w:val="000000" w:themeColor="text1"/>
          <w:sz w:val="20"/>
          <w:szCs w:val="20"/>
        </w:rPr>
        <w:t xml:space="preserve"> or </w:t>
      </w:r>
      <w:r w:rsidRPr="004B67F5">
        <w:rPr>
          <w:rStyle w:val="Strong"/>
          <w:rFonts w:ascii="Arial" w:hAnsi="Arial" w:cs="Arial"/>
          <w:b w:val="0"/>
          <w:bCs w:val="0"/>
          <w:color w:val="000000" w:themeColor="text1"/>
          <w:sz w:val="20"/>
          <w:szCs w:val="20"/>
        </w:rPr>
        <w:t>MUC1</w:t>
      </w:r>
      <w:r w:rsidRPr="00360A96">
        <w:rPr>
          <w:rFonts w:ascii="Arial" w:hAnsi="Arial" w:cs="Arial"/>
          <w:color w:val="000000" w:themeColor="text1"/>
          <w:sz w:val="20"/>
          <w:szCs w:val="20"/>
        </w:rPr>
        <w:t xml:space="preserve"> have demonstrated safety and feasibility, their antitumor efficacy has been modest due to restricted T-cell infiltration, antigen heterogeneity, and on-target/off-tumor toxicity </w:t>
      </w:r>
      <w:r w:rsidRPr="00360A96">
        <w:rPr>
          <w:rFonts w:ascii="Arial" w:hAnsi="Arial" w:cs="Arial"/>
          <w:color w:val="000000" w:themeColor="text1"/>
          <w:sz w:val="20"/>
          <w:szCs w:val="20"/>
          <w:lang w:val="tr-TR"/>
        </w:rPr>
        <w:t>(Jiang et al., 2022)</w:t>
      </w:r>
      <w:r w:rsidRPr="00360A96">
        <w:rPr>
          <w:rFonts w:ascii="Arial" w:hAnsi="Arial" w:cs="Arial"/>
          <w:color w:val="000000" w:themeColor="text1"/>
          <w:sz w:val="20"/>
          <w:szCs w:val="20"/>
        </w:rPr>
        <w:t>.</w:t>
      </w:r>
    </w:p>
    <w:p w14:paraId="57E226AA"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Novel strategies such as </w:t>
      </w:r>
      <w:r w:rsidRPr="004B67F5">
        <w:rPr>
          <w:rStyle w:val="Strong"/>
          <w:rFonts w:ascii="Arial" w:hAnsi="Arial" w:cs="Arial"/>
          <w:b w:val="0"/>
          <w:bCs w:val="0"/>
          <w:color w:val="000000" w:themeColor="text1"/>
          <w:sz w:val="20"/>
          <w:szCs w:val="20"/>
        </w:rPr>
        <w:t>regional delivery</w:t>
      </w:r>
      <w:r w:rsidRPr="004B67F5">
        <w:rPr>
          <w:rFonts w:ascii="Arial" w:hAnsi="Arial" w:cs="Arial"/>
          <w:b/>
          <w:bCs/>
          <w:color w:val="000000" w:themeColor="text1"/>
          <w:sz w:val="20"/>
          <w:szCs w:val="20"/>
        </w:rPr>
        <w:t xml:space="preserve">, </w:t>
      </w:r>
      <w:r w:rsidRPr="004B67F5">
        <w:rPr>
          <w:rStyle w:val="Strong"/>
          <w:rFonts w:ascii="Arial" w:hAnsi="Arial" w:cs="Arial"/>
          <w:b w:val="0"/>
          <w:bCs w:val="0"/>
          <w:color w:val="000000" w:themeColor="text1"/>
          <w:sz w:val="20"/>
          <w:szCs w:val="20"/>
        </w:rPr>
        <w:t>combination with stroma-modulating agents</w:t>
      </w:r>
      <w:r w:rsidRPr="004B67F5">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4B67F5">
        <w:rPr>
          <w:rStyle w:val="Strong"/>
          <w:rFonts w:ascii="Arial" w:hAnsi="Arial" w:cs="Arial"/>
          <w:b w:val="0"/>
          <w:bCs w:val="0"/>
          <w:color w:val="000000" w:themeColor="text1"/>
          <w:sz w:val="20"/>
          <w:szCs w:val="20"/>
        </w:rPr>
        <w:t>engineering of CAR-T cells resistant to immunosuppressive signaling</w:t>
      </w:r>
      <w:r w:rsidRPr="00360A96">
        <w:rPr>
          <w:rFonts w:ascii="Arial" w:hAnsi="Arial" w:cs="Arial"/>
          <w:color w:val="000000" w:themeColor="text1"/>
          <w:sz w:val="20"/>
          <w:szCs w:val="20"/>
        </w:rPr>
        <w:t xml:space="preserve"> are under active development to enhance persistence and efficacy in PDAC </w:t>
      </w:r>
      <w:r w:rsidRPr="00360A96">
        <w:rPr>
          <w:rFonts w:ascii="Arial" w:hAnsi="Arial" w:cs="Arial"/>
          <w:color w:val="000000" w:themeColor="text1"/>
          <w:sz w:val="20"/>
          <w:szCs w:val="20"/>
          <w:lang w:val="tr-TR"/>
        </w:rPr>
        <w:t>(De Castilhos et al., 2024)</w:t>
      </w:r>
      <w:r w:rsidRPr="00360A96">
        <w:rPr>
          <w:rFonts w:ascii="Arial" w:hAnsi="Arial" w:cs="Arial"/>
          <w:color w:val="000000" w:themeColor="text1"/>
          <w:sz w:val="20"/>
          <w:szCs w:val="20"/>
        </w:rPr>
        <w:t>.</w:t>
      </w:r>
    </w:p>
    <w:p w14:paraId="19F2257F"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Combination and </w:t>
      </w:r>
      <w:r w:rsidRPr="00360A96">
        <w:rPr>
          <w:rStyle w:val="Strong"/>
          <w:rFonts w:ascii="Arial" w:hAnsi="Arial" w:cs="Arial"/>
          <w:color w:val="000000" w:themeColor="text1"/>
          <w:sz w:val="22"/>
          <w:szCs w:val="22"/>
          <w:lang w:val="tr-TR"/>
        </w:rPr>
        <w:t>F</w:t>
      </w:r>
      <w:proofErr w:type="spellStart"/>
      <w:r w:rsidRPr="00360A96">
        <w:rPr>
          <w:rStyle w:val="Strong"/>
          <w:rFonts w:ascii="Arial" w:hAnsi="Arial" w:cs="Arial"/>
          <w:color w:val="000000" w:themeColor="text1"/>
          <w:sz w:val="22"/>
          <w:szCs w:val="22"/>
        </w:rPr>
        <w:t>uture</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S</w:t>
      </w:r>
      <w:proofErr w:type="spellStart"/>
      <w:r w:rsidRPr="00360A96">
        <w:rPr>
          <w:rStyle w:val="Strong"/>
          <w:rFonts w:ascii="Arial" w:hAnsi="Arial" w:cs="Arial"/>
          <w:color w:val="000000" w:themeColor="text1"/>
          <w:sz w:val="22"/>
          <w:szCs w:val="22"/>
        </w:rPr>
        <w:t>trategies</w:t>
      </w:r>
      <w:proofErr w:type="spellEnd"/>
    </w:p>
    <w:p w14:paraId="79953587"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Given the multifaceted immune resistance of PDAC, single-agent immunotherapy is unlikely to yield substantial benefit. Future success will depend on </w:t>
      </w:r>
      <w:r w:rsidRPr="004B67F5">
        <w:rPr>
          <w:rStyle w:val="Strong"/>
          <w:rFonts w:ascii="Arial" w:hAnsi="Arial" w:cs="Arial"/>
          <w:b w:val="0"/>
          <w:bCs w:val="0"/>
          <w:color w:val="000000" w:themeColor="text1"/>
          <w:sz w:val="20"/>
          <w:szCs w:val="20"/>
        </w:rPr>
        <w:t>rational combination regimens</w:t>
      </w:r>
      <w:r w:rsidRPr="00360A96">
        <w:rPr>
          <w:rFonts w:ascii="Arial" w:hAnsi="Arial" w:cs="Arial"/>
          <w:color w:val="000000" w:themeColor="text1"/>
          <w:sz w:val="20"/>
          <w:szCs w:val="20"/>
        </w:rPr>
        <w:t xml:space="preserve"> that integrate immune modulation with conventional and emerging therapies.</w:t>
      </w:r>
    </w:p>
    <w:p w14:paraId="6C336551" w14:textId="77777777" w:rsidR="00755D41" w:rsidRPr="00360A96" w:rsidRDefault="00755D41" w:rsidP="00755D41">
      <w:pPr>
        <w:pStyle w:val="NormalWeb"/>
        <w:spacing w:line="480" w:lineRule="auto"/>
        <w:ind w:left="567" w:right="283"/>
        <w:jc w:val="both"/>
        <w:rPr>
          <w:rFonts w:ascii="Arial" w:hAnsi="Arial" w:cs="Arial"/>
          <w:b/>
          <w:bCs/>
          <w:color w:val="000000" w:themeColor="text1"/>
          <w:sz w:val="22"/>
          <w:szCs w:val="22"/>
        </w:rPr>
      </w:pPr>
      <w:r w:rsidRPr="00360A96">
        <w:rPr>
          <w:rFonts w:ascii="Arial" w:hAnsi="Arial" w:cs="Arial"/>
          <w:b/>
          <w:bCs/>
          <w:color w:val="000000" w:themeColor="text1"/>
          <w:sz w:val="22"/>
          <w:szCs w:val="22"/>
        </w:rPr>
        <w:t>Key investigational directions include:</w:t>
      </w:r>
    </w:p>
    <w:p w14:paraId="0AC2B636" w14:textId="77777777" w:rsidR="00755D41" w:rsidRPr="00360A96" w:rsidRDefault="00755D41" w:rsidP="00755D41">
      <w:pPr>
        <w:pStyle w:val="NormalWeb"/>
        <w:numPr>
          <w:ilvl w:val="0"/>
          <w:numId w:val="7"/>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Combination of ICB with chemotherapy or radiotherapy</w:t>
      </w:r>
      <w:r w:rsidRPr="00360A96">
        <w:rPr>
          <w:rFonts w:ascii="Arial" w:hAnsi="Arial" w:cs="Arial"/>
          <w:color w:val="000000" w:themeColor="text1"/>
          <w:sz w:val="20"/>
          <w:szCs w:val="20"/>
        </w:rPr>
        <w:t xml:space="preserve"> to induce immunogenic cell death;</w:t>
      </w:r>
    </w:p>
    <w:p w14:paraId="6AD4EABD" w14:textId="77777777" w:rsidR="00755D41" w:rsidRPr="00360A96" w:rsidRDefault="00755D41" w:rsidP="00755D41">
      <w:pPr>
        <w:pStyle w:val="NormalWeb"/>
        <w:numPr>
          <w:ilvl w:val="0"/>
          <w:numId w:val="7"/>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Integration of CD40 agonists</w:t>
      </w:r>
      <w:r w:rsidRPr="00360A96">
        <w:rPr>
          <w:rFonts w:ascii="Arial" w:hAnsi="Arial" w:cs="Arial"/>
          <w:color w:val="000000" w:themeColor="text1"/>
          <w:sz w:val="20"/>
          <w:szCs w:val="20"/>
        </w:rPr>
        <w:t xml:space="preserve"> to reprogram suppressive myeloid populations;</w:t>
      </w:r>
    </w:p>
    <w:p w14:paraId="053E4C8D" w14:textId="77777777" w:rsidR="00755D41" w:rsidRPr="00360A96" w:rsidRDefault="00755D41" w:rsidP="00755D41">
      <w:pPr>
        <w:pStyle w:val="NormalWeb"/>
        <w:numPr>
          <w:ilvl w:val="0"/>
          <w:numId w:val="7"/>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Use of stromal-targeting agents</w:t>
      </w:r>
      <w:r w:rsidRPr="00360A96">
        <w:rPr>
          <w:rFonts w:ascii="Arial" w:hAnsi="Arial" w:cs="Arial"/>
          <w:color w:val="000000" w:themeColor="text1"/>
          <w:sz w:val="20"/>
          <w:szCs w:val="20"/>
        </w:rPr>
        <w:t xml:space="preserve"> (e.g., hyaluronidase, Hedgehog inhibitors) to enhance T-cell infiltration; and</w:t>
      </w:r>
    </w:p>
    <w:p w14:paraId="420B6250" w14:textId="77777777" w:rsidR="00755D41" w:rsidRPr="00360A96" w:rsidRDefault="00755D41" w:rsidP="00755D41">
      <w:pPr>
        <w:pStyle w:val="NormalWeb"/>
        <w:numPr>
          <w:ilvl w:val="0"/>
          <w:numId w:val="7"/>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Microbiome modulation</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has shown promise in improving systemic immune responses.</w:t>
      </w:r>
    </w:p>
    <w:p w14:paraId="49C76D88"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By simultaneously targeting the tumor, its microenvironment, and systemic immune regulation, these multimodal strategies aim to transform PDAC from an immunologically “silent” disease into one responsive to immunotherapeutic intervention.</w:t>
      </w:r>
    </w:p>
    <w:p w14:paraId="02C1C56A" w14:textId="77777777" w:rsidR="00755D41" w:rsidRPr="00755D41" w:rsidRDefault="00755D41" w:rsidP="00755D41">
      <w:pPr>
        <w:pStyle w:val="Heading2"/>
        <w:spacing w:line="480" w:lineRule="auto"/>
        <w:ind w:left="567" w:right="283"/>
        <w:jc w:val="both"/>
        <w:rPr>
          <w:rFonts w:ascii="Arial" w:hAnsi="Arial" w:cs="Arial"/>
          <w:b w:val="0"/>
          <w:bCs w:val="0"/>
          <w:color w:val="000000" w:themeColor="text1"/>
          <w:sz w:val="22"/>
          <w:szCs w:val="22"/>
        </w:rPr>
      </w:pPr>
      <w:r w:rsidRPr="00755D41">
        <w:rPr>
          <w:rStyle w:val="Strong"/>
          <w:rFonts w:ascii="Arial" w:hAnsi="Arial" w:cs="Arial"/>
          <w:b/>
          <w:bCs/>
          <w:color w:val="000000" w:themeColor="text1"/>
          <w:sz w:val="22"/>
          <w:szCs w:val="22"/>
        </w:rPr>
        <w:t xml:space="preserve">Microbial </w:t>
      </w:r>
      <w:r w:rsidRPr="00755D41">
        <w:rPr>
          <w:rStyle w:val="Strong"/>
          <w:rFonts w:ascii="Arial" w:hAnsi="Arial" w:cs="Arial"/>
          <w:b/>
          <w:bCs/>
          <w:color w:val="000000" w:themeColor="text1"/>
          <w:sz w:val="22"/>
          <w:szCs w:val="22"/>
          <w:lang w:val="tr-TR"/>
        </w:rPr>
        <w:t>T</w:t>
      </w:r>
      <w:proofErr w:type="spellStart"/>
      <w:r w:rsidRPr="00755D41">
        <w:rPr>
          <w:rStyle w:val="Strong"/>
          <w:rFonts w:ascii="Arial" w:hAnsi="Arial" w:cs="Arial"/>
          <w:b/>
          <w:bCs/>
          <w:color w:val="000000" w:themeColor="text1"/>
          <w:sz w:val="22"/>
          <w:szCs w:val="22"/>
        </w:rPr>
        <w:t>herapy</w:t>
      </w:r>
      <w:proofErr w:type="spellEnd"/>
    </w:p>
    <w:p w14:paraId="5EBF202A"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Recent advances in microbiome research have unveiled a pivotal role of the </w:t>
      </w:r>
      <w:r w:rsidRPr="004B67F5">
        <w:rPr>
          <w:rStyle w:val="Strong"/>
          <w:rFonts w:ascii="Arial" w:hAnsi="Arial" w:cs="Arial"/>
          <w:b w:val="0"/>
          <w:bCs w:val="0"/>
          <w:color w:val="000000" w:themeColor="text1"/>
          <w:sz w:val="20"/>
          <w:szCs w:val="20"/>
        </w:rPr>
        <w:t>gut and tumor microbiota</w:t>
      </w:r>
      <w:r w:rsidRPr="004B67F5">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in modulating the development, progression, and therapeutic response of pancreatic ductal adenocarcinoma (PDAC). The pancreas, once thought to be sterile, is now known to harbor a distinct microbial community that interacts dynamically with the tumor microenvironment (TME) and systemic immune system </w:t>
      </w:r>
      <w:r w:rsidRPr="00360A96">
        <w:rPr>
          <w:rFonts w:ascii="Arial" w:hAnsi="Arial" w:cs="Arial"/>
          <w:color w:val="000000" w:themeColor="text1"/>
          <w:sz w:val="20"/>
          <w:szCs w:val="20"/>
          <w:lang w:val="tr-TR"/>
        </w:rPr>
        <w:t>(Henderson et al., 2023; Zhang et al., 2018; Thomas, 2017)</w:t>
      </w:r>
      <w:r w:rsidRPr="00360A96">
        <w:rPr>
          <w:rFonts w:ascii="Arial" w:hAnsi="Arial" w:cs="Arial"/>
          <w:color w:val="000000" w:themeColor="text1"/>
          <w:sz w:val="20"/>
          <w:szCs w:val="20"/>
        </w:rPr>
        <w:t xml:space="preserve">. Dysbiosis—an imbalance in the composition and function of the microbiome—has emerged as both a </w:t>
      </w:r>
      <w:r w:rsidRPr="00E73A89">
        <w:rPr>
          <w:rStyle w:val="Strong"/>
          <w:rFonts w:ascii="Arial" w:hAnsi="Arial" w:cs="Arial"/>
          <w:b w:val="0"/>
          <w:bCs w:val="0"/>
          <w:color w:val="000000" w:themeColor="text1"/>
          <w:sz w:val="20"/>
          <w:szCs w:val="20"/>
        </w:rPr>
        <w:t>driver and modulator</w:t>
      </w:r>
      <w:r w:rsidRPr="00360A96">
        <w:rPr>
          <w:rFonts w:ascii="Arial" w:hAnsi="Arial" w:cs="Arial"/>
          <w:color w:val="000000" w:themeColor="text1"/>
          <w:sz w:val="20"/>
          <w:szCs w:val="20"/>
        </w:rPr>
        <w:t xml:space="preserve"> of pancreatic carcinogenesis, influencing inflammation, oncogenic signaling, and immune evasion </w:t>
      </w:r>
      <w:r w:rsidRPr="00360A96">
        <w:rPr>
          <w:rFonts w:ascii="Arial" w:hAnsi="Arial" w:cs="Arial"/>
          <w:color w:val="000000" w:themeColor="text1"/>
          <w:sz w:val="20"/>
          <w:szCs w:val="20"/>
          <w:lang w:val="tr-TR"/>
        </w:rPr>
        <w:t>(Vrieze et al., 2012; Yamamura et al., 2025)</w:t>
      </w:r>
      <w:r w:rsidRPr="00360A96">
        <w:rPr>
          <w:rFonts w:ascii="Arial" w:hAnsi="Arial" w:cs="Arial"/>
          <w:color w:val="000000" w:themeColor="text1"/>
          <w:sz w:val="20"/>
          <w:szCs w:val="20"/>
        </w:rPr>
        <w:t>.</w:t>
      </w:r>
    </w:p>
    <w:p w14:paraId="6541CEFD"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lastRenderedPageBreak/>
        <w:t xml:space="preserve">The </w:t>
      </w:r>
      <w:r w:rsidRPr="00360A96">
        <w:rPr>
          <w:rStyle w:val="Strong"/>
          <w:rFonts w:ascii="Arial" w:hAnsi="Arial" w:cs="Arial"/>
          <w:color w:val="000000" w:themeColor="text1"/>
          <w:sz w:val="22"/>
          <w:szCs w:val="22"/>
          <w:lang w:val="tr-TR"/>
        </w:rPr>
        <w:t>g</w:t>
      </w:r>
      <w:proofErr w:type="spellStart"/>
      <w:r w:rsidRPr="00360A96">
        <w:rPr>
          <w:rStyle w:val="Strong"/>
          <w:rFonts w:ascii="Arial" w:hAnsi="Arial" w:cs="Arial"/>
          <w:color w:val="000000" w:themeColor="text1"/>
          <w:sz w:val="22"/>
          <w:szCs w:val="22"/>
        </w:rPr>
        <w:t>ut</w:t>
      </w:r>
      <w:proofErr w:type="spellEnd"/>
      <w:r w:rsidRPr="00360A96">
        <w:rPr>
          <w:rStyle w:val="Strong"/>
          <w:rFonts w:ascii="Arial" w:hAnsi="Arial" w:cs="Arial"/>
          <w:color w:val="000000" w:themeColor="text1"/>
          <w:sz w:val="22"/>
          <w:szCs w:val="22"/>
        </w:rPr>
        <w:t>–</w:t>
      </w:r>
      <w:r w:rsidRPr="00360A96">
        <w:rPr>
          <w:rStyle w:val="Strong"/>
          <w:rFonts w:ascii="Arial" w:hAnsi="Arial" w:cs="Arial"/>
          <w:color w:val="000000" w:themeColor="text1"/>
          <w:sz w:val="22"/>
          <w:szCs w:val="22"/>
          <w:lang w:val="tr-TR"/>
        </w:rPr>
        <w:t>p</w:t>
      </w:r>
      <w:proofErr w:type="spellStart"/>
      <w:r w:rsidRPr="00360A96">
        <w:rPr>
          <w:rStyle w:val="Strong"/>
          <w:rFonts w:ascii="Arial" w:hAnsi="Arial" w:cs="Arial"/>
          <w:color w:val="000000" w:themeColor="text1"/>
          <w:sz w:val="22"/>
          <w:szCs w:val="22"/>
        </w:rPr>
        <w:t>ancreas</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a</w:t>
      </w:r>
      <w:proofErr w:type="spellStart"/>
      <w:r w:rsidRPr="00360A96">
        <w:rPr>
          <w:rStyle w:val="Strong"/>
          <w:rFonts w:ascii="Arial" w:hAnsi="Arial" w:cs="Arial"/>
          <w:color w:val="000000" w:themeColor="text1"/>
          <w:sz w:val="22"/>
          <w:szCs w:val="22"/>
        </w:rPr>
        <w:t>xis</w:t>
      </w:r>
      <w:proofErr w:type="spellEnd"/>
      <w:r w:rsidRPr="00360A96">
        <w:rPr>
          <w:rStyle w:val="Strong"/>
          <w:rFonts w:ascii="Arial" w:hAnsi="Arial" w:cs="Arial"/>
          <w:color w:val="000000" w:themeColor="text1"/>
          <w:sz w:val="22"/>
          <w:szCs w:val="22"/>
        </w:rPr>
        <w:t xml:space="preserve"> in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umorigenesis</w:t>
      </w:r>
      <w:proofErr w:type="spellEnd"/>
    </w:p>
    <w:p w14:paraId="28AEA7B0"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w:t>
      </w:r>
      <w:r w:rsidRPr="0072425C">
        <w:rPr>
          <w:rStyle w:val="Strong"/>
          <w:rFonts w:ascii="Arial" w:hAnsi="Arial" w:cs="Arial"/>
          <w:b w:val="0"/>
          <w:bCs w:val="0"/>
          <w:color w:val="000000" w:themeColor="text1"/>
          <w:sz w:val="20"/>
          <w:szCs w:val="20"/>
        </w:rPr>
        <w:t>gut–pancreas axis</w:t>
      </w:r>
      <w:r w:rsidRPr="00360A96">
        <w:rPr>
          <w:rFonts w:ascii="Arial" w:hAnsi="Arial" w:cs="Arial"/>
          <w:color w:val="000000" w:themeColor="text1"/>
          <w:sz w:val="20"/>
          <w:szCs w:val="20"/>
        </w:rPr>
        <w:t xml:space="preserve"> represents a bidirectional communication network mediated by microbial metabolites, immune signaling molecules, and neural pathways. Alterations in the gut microbiota can influence pancreatic inflammation, fibrosis, and tumor initiation. For instance, enrichment of bacterial taxa such as </w:t>
      </w:r>
      <w:r w:rsidRPr="00360A96">
        <w:rPr>
          <w:rStyle w:val="Emphasis"/>
          <w:rFonts w:ascii="Arial" w:hAnsi="Arial" w:cs="Arial"/>
          <w:color w:val="000000" w:themeColor="text1"/>
          <w:sz w:val="20"/>
          <w:szCs w:val="20"/>
        </w:rPr>
        <w:t>Proteobacteria</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Fusobacterium</w:t>
      </w:r>
      <w:r w:rsidRPr="00360A96">
        <w:rPr>
          <w:rFonts w:ascii="Arial" w:hAnsi="Arial" w:cs="Arial"/>
          <w:color w:val="000000" w:themeColor="text1"/>
          <w:sz w:val="20"/>
          <w:szCs w:val="20"/>
        </w:rPr>
        <w:t xml:space="preserve"> has been associated with </w:t>
      </w:r>
      <w:r w:rsidRPr="0072425C">
        <w:rPr>
          <w:rStyle w:val="Strong"/>
          <w:rFonts w:ascii="Arial" w:hAnsi="Arial" w:cs="Arial"/>
          <w:b w:val="0"/>
          <w:bCs w:val="0"/>
          <w:color w:val="000000" w:themeColor="text1"/>
          <w:sz w:val="20"/>
          <w:szCs w:val="20"/>
        </w:rPr>
        <w:t>chronic pancreatitis</w:t>
      </w:r>
      <w:r w:rsidRPr="0072425C">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 known risk factor for PDAC, whereas commensals such as </w:t>
      </w:r>
      <w:r w:rsidRPr="00360A96">
        <w:rPr>
          <w:rStyle w:val="Emphasis"/>
          <w:rFonts w:ascii="Arial" w:hAnsi="Arial" w:cs="Arial"/>
          <w:color w:val="000000" w:themeColor="text1"/>
          <w:sz w:val="20"/>
          <w:szCs w:val="20"/>
        </w:rPr>
        <w:t>Bifidobacterium</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Lactobacillus</w:t>
      </w:r>
      <w:r w:rsidRPr="00360A96">
        <w:rPr>
          <w:rFonts w:ascii="Arial" w:hAnsi="Arial" w:cs="Arial"/>
          <w:color w:val="000000" w:themeColor="text1"/>
          <w:sz w:val="20"/>
          <w:szCs w:val="20"/>
        </w:rPr>
        <w:t xml:space="preserve"> appear to exert protective, anti-inflammatory effects </w:t>
      </w:r>
      <w:r w:rsidRPr="00360A96">
        <w:rPr>
          <w:rFonts w:ascii="Arial" w:hAnsi="Arial" w:cs="Arial"/>
          <w:color w:val="000000" w:themeColor="text1"/>
          <w:sz w:val="20"/>
          <w:szCs w:val="20"/>
          <w:lang w:val="tr-TR"/>
        </w:rPr>
        <w:t>(He et al., 2017)</w:t>
      </w:r>
      <w:r w:rsidRPr="00360A96">
        <w:rPr>
          <w:rFonts w:ascii="Arial" w:hAnsi="Arial" w:cs="Arial"/>
          <w:color w:val="000000" w:themeColor="text1"/>
          <w:sz w:val="20"/>
          <w:szCs w:val="20"/>
        </w:rPr>
        <w:t>.</w:t>
      </w:r>
    </w:p>
    <w:p w14:paraId="4F63D45E"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Microbial metabolites—particularly </w:t>
      </w:r>
      <w:r w:rsidRPr="00E73A89">
        <w:rPr>
          <w:rStyle w:val="Strong"/>
          <w:rFonts w:ascii="Arial" w:hAnsi="Arial" w:cs="Arial"/>
          <w:b w:val="0"/>
          <w:bCs w:val="0"/>
          <w:color w:val="000000" w:themeColor="text1"/>
          <w:sz w:val="20"/>
          <w:szCs w:val="20"/>
        </w:rPr>
        <w:t>short-chain fatty acids (SCFAs)</w:t>
      </w:r>
      <w:r w:rsidRPr="00E73A89">
        <w:rPr>
          <w:rFonts w:ascii="Arial" w:hAnsi="Arial" w:cs="Arial"/>
          <w:b/>
          <w:bCs/>
          <w:color w:val="000000" w:themeColor="text1"/>
          <w:sz w:val="20"/>
          <w:szCs w:val="20"/>
        </w:rPr>
        <w:t xml:space="preserve">, </w:t>
      </w:r>
      <w:r w:rsidRPr="00E73A89">
        <w:rPr>
          <w:rStyle w:val="Strong"/>
          <w:rFonts w:ascii="Arial" w:hAnsi="Arial" w:cs="Arial"/>
          <w:b w:val="0"/>
          <w:bCs w:val="0"/>
          <w:color w:val="000000" w:themeColor="text1"/>
          <w:sz w:val="20"/>
          <w:szCs w:val="20"/>
        </w:rPr>
        <w:t>secondary bile acids</w:t>
      </w:r>
      <w:r w:rsidRPr="00E73A89">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E73A89">
        <w:rPr>
          <w:rStyle w:val="Strong"/>
          <w:rFonts w:ascii="Arial" w:hAnsi="Arial" w:cs="Arial"/>
          <w:b w:val="0"/>
          <w:bCs w:val="0"/>
          <w:color w:val="000000" w:themeColor="text1"/>
          <w:sz w:val="20"/>
          <w:szCs w:val="20"/>
        </w:rPr>
        <w:t>lipopolysaccharides (LPS)</w:t>
      </w:r>
      <w:r w:rsidRPr="00E73A89">
        <w:rPr>
          <w:rFonts w:ascii="Arial" w:hAnsi="Arial" w:cs="Arial"/>
          <w:color w:val="000000" w:themeColor="text1"/>
          <w:sz w:val="20"/>
          <w:szCs w:val="20"/>
        </w:rPr>
        <w:t>—</w:t>
      </w:r>
      <w:r w:rsidRPr="00360A96">
        <w:rPr>
          <w:rFonts w:ascii="Arial" w:hAnsi="Arial" w:cs="Arial"/>
          <w:color w:val="000000" w:themeColor="text1"/>
          <w:sz w:val="20"/>
          <w:szCs w:val="20"/>
        </w:rPr>
        <w:t xml:space="preserve">can modulate immune and epithelial signaling pathways. SCFAs generally support epithelial integrity and anti-inflammatory responses, while LPS triggers </w:t>
      </w:r>
      <w:r w:rsidRPr="00E73A89">
        <w:rPr>
          <w:rStyle w:val="Strong"/>
          <w:rFonts w:ascii="Arial" w:hAnsi="Arial" w:cs="Arial"/>
          <w:b w:val="0"/>
          <w:bCs w:val="0"/>
          <w:color w:val="000000" w:themeColor="text1"/>
          <w:sz w:val="20"/>
          <w:szCs w:val="20"/>
        </w:rPr>
        <w:t>TLR4-mediated activation</w:t>
      </w:r>
      <w:r w:rsidRPr="00E73A89">
        <w:rPr>
          <w:rFonts w:ascii="Arial" w:hAnsi="Arial" w:cs="Arial"/>
          <w:b/>
          <w:bCs/>
          <w:color w:val="000000" w:themeColor="text1"/>
          <w:sz w:val="20"/>
          <w:szCs w:val="20"/>
        </w:rPr>
        <w:t xml:space="preserve"> </w:t>
      </w:r>
      <w:r w:rsidRPr="00360A96">
        <w:rPr>
          <w:rFonts w:ascii="Arial" w:hAnsi="Arial" w:cs="Arial"/>
          <w:color w:val="000000" w:themeColor="text1"/>
          <w:sz w:val="20"/>
          <w:szCs w:val="20"/>
        </w:rPr>
        <w:t>of NF-κB and proinflammatory cytokines, fostering a tumor-promoting environment</w:t>
      </w:r>
      <w:r w:rsidRPr="00360A96">
        <w:rPr>
          <w:rFonts w:ascii="Arial" w:hAnsi="Arial" w:cs="Arial"/>
          <w:color w:val="000000" w:themeColor="text1"/>
          <w:sz w:val="20"/>
          <w:szCs w:val="20"/>
          <w:lang w:val="tr-TR"/>
        </w:rPr>
        <w:t xml:space="preserve"> (Zeng et al., 2025)</w:t>
      </w:r>
      <w:r w:rsidRPr="00360A96">
        <w:rPr>
          <w:rFonts w:ascii="Arial" w:hAnsi="Arial" w:cs="Arial"/>
          <w:color w:val="000000" w:themeColor="text1"/>
          <w:sz w:val="20"/>
          <w:szCs w:val="20"/>
        </w:rPr>
        <w:t>.</w:t>
      </w:r>
    </w:p>
    <w:p w14:paraId="43D6F44A"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Furthermore, bacterial translocation from the gut to the pancreas, possibly facilitated by increased intestinal permeability (“leaky gut”), introduces microbial components into the pancreatic tissue, leading to chronic immune activation and stromal remodeling conducive to tumor growth </w:t>
      </w:r>
      <w:r w:rsidRPr="00360A96">
        <w:rPr>
          <w:rFonts w:ascii="Arial" w:hAnsi="Arial" w:cs="Arial"/>
          <w:color w:val="000000" w:themeColor="text1"/>
          <w:sz w:val="20"/>
          <w:szCs w:val="20"/>
          <w:lang w:val="tr-TR"/>
        </w:rPr>
        <w:t>(He et al., 2017; Pushalkar et al., 2018)</w:t>
      </w:r>
      <w:r w:rsidRPr="00360A96">
        <w:rPr>
          <w:rFonts w:ascii="Arial" w:hAnsi="Arial" w:cs="Arial"/>
          <w:color w:val="000000" w:themeColor="text1"/>
          <w:sz w:val="20"/>
          <w:szCs w:val="20"/>
        </w:rPr>
        <w:t>.</w:t>
      </w:r>
    </w:p>
    <w:p w14:paraId="28668211"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The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umor</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m</w:t>
      </w:r>
      <w:proofErr w:type="spellStart"/>
      <w:r w:rsidRPr="00360A96">
        <w:rPr>
          <w:rStyle w:val="Strong"/>
          <w:rFonts w:ascii="Arial" w:hAnsi="Arial" w:cs="Arial"/>
          <w:color w:val="000000" w:themeColor="text1"/>
          <w:sz w:val="22"/>
          <w:szCs w:val="22"/>
        </w:rPr>
        <w:t>icrobiome</w:t>
      </w:r>
      <w:proofErr w:type="spellEnd"/>
      <w:r w:rsidRPr="00360A96">
        <w:rPr>
          <w:rStyle w:val="Strong"/>
          <w:rFonts w:ascii="Arial" w:hAnsi="Arial" w:cs="Arial"/>
          <w:color w:val="000000" w:themeColor="text1"/>
          <w:sz w:val="22"/>
          <w:szCs w:val="22"/>
        </w:rPr>
        <w:t xml:space="preserve"> and </w:t>
      </w:r>
      <w:r w:rsidRPr="00360A96">
        <w:rPr>
          <w:rStyle w:val="Strong"/>
          <w:rFonts w:ascii="Arial" w:hAnsi="Arial" w:cs="Arial"/>
          <w:color w:val="000000" w:themeColor="text1"/>
          <w:sz w:val="22"/>
          <w:szCs w:val="22"/>
          <w:lang w:val="tr-TR"/>
        </w:rPr>
        <w:t>i</w:t>
      </w:r>
      <w:proofErr w:type="spellStart"/>
      <w:r w:rsidRPr="00360A96">
        <w:rPr>
          <w:rStyle w:val="Strong"/>
          <w:rFonts w:ascii="Arial" w:hAnsi="Arial" w:cs="Arial"/>
          <w:color w:val="000000" w:themeColor="text1"/>
          <w:sz w:val="22"/>
          <w:szCs w:val="22"/>
        </w:rPr>
        <w:t>mmune</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r</w:t>
      </w:r>
      <w:proofErr w:type="spellStart"/>
      <w:r w:rsidRPr="00360A96">
        <w:rPr>
          <w:rStyle w:val="Strong"/>
          <w:rFonts w:ascii="Arial" w:hAnsi="Arial" w:cs="Arial"/>
          <w:color w:val="000000" w:themeColor="text1"/>
          <w:sz w:val="22"/>
          <w:szCs w:val="22"/>
        </w:rPr>
        <w:t>egulation</w:t>
      </w:r>
      <w:proofErr w:type="spellEnd"/>
    </w:p>
    <w:p w14:paraId="7F988F14"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Beyond the gut, PDAC tumors themselves harbor an </w:t>
      </w:r>
      <w:r w:rsidRPr="004305A5">
        <w:rPr>
          <w:rStyle w:val="Strong"/>
          <w:rFonts w:ascii="Arial" w:hAnsi="Arial" w:cs="Arial"/>
          <w:b w:val="0"/>
          <w:bCs w:val="0"/>
          <w:color w:val="000000" w:themeColor="text1"/>
          <w:sz w:val="20"/>
          <w:szCs w:val="20"/>
        </w:rPr>
        <w:t>intratumoral microbiome</w:t>
      </w:r>
      <w:r w:rsidRPr="004305A5">
        <w:rPr>
          <w:rFonts w:ascii="Arial" w:hAnsi="Arial" w:cs="Arial"/>
          <w:b/>
          <w:bCs/>
          <w:color w:val="000000" w:themeColor="text1"/>
          <w:sz w:val="20"/>
          <w:szCs w:val="20"/>
        </w:rPr>
        <w:t>,</w:t>
      </w:r>
      <w:r w:rsidRPr="00360A96">
        <w:rPr>
          <w:rFonts w:ascii="Arial" w:hAnsi="Arial" w:cs="Arial"/>
          <w:color w:val="000000" w:themeColor="text1"/>
          <w:sz w:val="20"/>
          <w:szCs w:val="20"/>
        </w:rPr>
        <w:t xml:space="preserve"> composed of bacteria, fungi, and archaea that directly influence disease biology. Recent studies have identified </w:t>
      </w:r>
      <w:r w:rsidRPr="004305A5">
        <w:rPr>
          <w:rStyle w:val="Strong"/>
          <w:rFonts w:ascii="Arial" w:hAnsi="Arial" w:cs="Arial"/>
          <w:b w:val="0"/>
          <w:bCs w:val="0"/>
          <w:color w:val="000000" w:themeColor="text1"/>
          <w:sz w:val="20"/>
          <w:szCs w:val="20"/>
        </w:rPr>
        <w:t>intratumoral bacterial DNA and RNA signatures</w:t>
      </w:r>
      <w:r w:rsidRPr="00360A96">
        <w:rPr>
          <w:rFonts w:ascii="Arial" w:hAnsi="Arial" w:cs="Arial"/>
          <w:color w:val="000000" w:themeColor="text1"/>
          <w:sz w:val="20"/>
          <w:szCs w:val="20"/>
        </w:rPr>
        <w:t xml:space="preserve"> that correlate with patient prognosis and therapeutic outcomes</w:t>
      </w:r>
      <w:r w:rsidRPr="00360A96">
        <w:rPr>
          <w:rFonts w:ascii="Arial" w:hAnsi="Arial" w:cs="Arial"/>
          <w:color w:val="000000" w:themeColor="text1"/>
          <w:sz w:val="20"/>
          <w:szCs w:val="20"/>
          <w:lang w:val="tr-TR"/>
        </w:rPr>
        <w:t xml:space="preserve"> (</w:t>
      </w:r>
      <w:r w:rsidRPr="00360A96">
        <w:rPr>
          <w:rFonts w:ascii="Arial" w:hAnsi="Arial" w:cs="Arial"/>
          <w:color w:val="000000" w:themeColor="text1"/>
          <w:sz w:val="20"/>
          <w:szCs w:val="20"/>
          <w:shd w:val="clear" w:color="auto" w:fill="FFFFFF"/>
        </w:rPr>
        <w:t>Asgharzadeh</w:t>
      </w:r>
      <w:r w:rsidRPr="00360A96">
        <w:rPr>
          <w:rFonts w:ascii="Arial" w:hAnsi="Arial" w:cs="Arial"/>
          <w:color w:val="000000" w:themeColor="text1"/>
          <w:sz w:val="20"/>
          <w:szCs w:val="20"/>
          <w:shd w:val="clear" w:color="auto" w:fill="FFFFFF"/>
          <w:lang w:val="tr-TR"/>
        </w:rPr>
        <w:t xml:space="preserve"> et al., 2025)</w:t>
      </w:r>
      <w:r w:rsidRPr="00360A96">
        <w:rPr>
          <w:rFonts w:ascii="Arial" w:hAnsi="Arial" w:cs="Arial"/>
          <w:color w:val="000000" w:themeColor="text1"/>
          <w:sz w:val="20"/>
          <w:szCs w:val="20"/>
        </w:rPr>
        <w:t xml:space="preserve">. Notably, enrichment of </w:t>
      </w:r>
      <w:r w:rsidRPr="00360A96">
        <w:rPr>
          <w:rStyle w:val="Emphasis"/>
          <w:rFonts w:ascii="Arial" w:hAnsi="Arial" w:cs="Arial"/>
          <w:color w:val="000000" w:themeColor="text1"/>
          <w:sz w:val="20"/>
          <w:szCs w:val="20"/>
        </w:rPr>
        <w:t>Gammaproteobacteria</w:t>
      </w:r>
      <w:r w:rsidRPr="00360A96">
        <w:rPr>
          <w:rFonts w:ascii="Arial" w:hAnsi="Arial" w:cs="Arial"/>
          <w:color w:val="000000" w:themeColor="text1"/>
          <w:sz w:val="20"/>
          <w:szCs w:val="20"/>
        </w:rPr>
        <w:t xml:space="preserve"> within tumors has been linked to </w:t>
      </w:r>
      <w:r w:rsidRPr="004305A5">
        <w:rPr>
          <w:rStyle w:val="Strong"/>
          <w:rFonts w:ascii="Arial" w:hAnsi="Arial" w:cs="Arial"/>
          <w:b w:val="0"/>
          <w:bCs w:val="0"/>
          <w:color w:val="000000" w:themeColor="text1"/>
          <w:sz w:val="20"/>
          <w:szCs w:val="20"/>
        </w:rPr>
        <w:t>gemcitabine resistance</w:t>
      </w:r>
      <w:r w:rsidRPr="00360A96">
        <w:rPr>
          <w:rFonts w:ascii="Arial" w:hAnsi="Arial" w:cs="Arial"/>
          <w:color w:val="000000" w:themeColor="text1"/>
          <w:sz w:val="20"/>
          <w:szCs w:val="20"/>
        </w:rPr>
        <w:t xml:space="preserve">, as these bacteria express cytidine deaminase enzymes that inactivate the drug </w:t>
      </w:r>
      <w:r w:rsidRPr="00360A96">
        <w:rPr>
          <w:rFonts w:ascii="Arial" w:hAnsi="Arial" w:cs="Arial"/>
          <w:color w:val="000000" w:themeColor="text1"/>
          <w:sz w:val="20"/>
          <w:szCs w:val="20"/>
          <w:lang w:val="tr-TR"/>
        </w:rPr>
        <w:t>(Tanoue et al., 2019)</w:t>
      </w:r>
      <w:r w:rsidRPr="00360A96">
        <w:rPr>
          <w:rFonts w:ascii="Arial" w:hAnsi="Arial" w:cs="Arial"/>
          <w:color w:val="000000" w:themeColor="text1"/>
          <w:sz w:val="20"/>
          <w:szCs w:val="20"/>
        </w:rPr>
        <w:t>.</w:t>
      </w:r>
    </w:p>
    <w:p w14:paraId="1AB5E85B"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Conversely, specific microbial consortia appear to enhance </w:t>
      </w:r>
      <w:r w:rsidRPr="004305A5">
        <w:rPr>
          <w:rStyle w:val="Strong"/>
          <w:rFonts w:ascii="Arial" w:hAnsi="Arial" w:cs="Arial"/>
          <w:b w:val="0"/>
          <w:bCs w:val="0"/>
          <w:color w:val="000000" w:themeColor="text1"/>
          <w:sz w:val="20"/>
          <w:szCs w:val="20"/>
        </w:rPr>
        <w:t>antitumor immunity</w:t>
      </w:r>
      <w:r w:rsidRPr="00360A96">
        <w:rPr>
          <w:rFonts w:ascii="Arial" w:hAnsi="Arial" w:cs="Arial"/>
          <w:color w:val="000000" w:themeColor="text1"/>
          <w:sz w:val="20"/>
          <w:szCs w:val="20"/>
        </w:rPr>
        <w:t>. A diverse and immunogenic tumor microbiome has been associated with increased infiltration of CD8</w:t>
      </w:r>
      <w:r w:rsidRPr="00360A96">
        <w:rPr>
          <w:rFonts w:ascii="Cambria Math" w:hAnsi="Cambria Math" w:cs="Cambria Math"/>
          <w:color w:val="000000" w:themeColor="text1"/>
          <w:sz w:val="20"/>
          <w:szCs w:val="20"/>
        </w:rPr>
        <w:t>⁺</w:t>
      </w:r>
      <w:r w:rsidRPr="00360A96">
        <w:rPr>
          <w:rFonts w:ascii="Arial" w:hAnsi="Arial" w:cs="Arial"/>
          <w:color w:val="000000" w:themeColor="text1"/>
          <w:sz w:val="20"/>
          <w:szCs w:val="20"/>
        </w:rPr>
        <w:t xml:space="preserve"> T cells and improved survival, suggesting that modulating microbial composition may potentiate immune-mediated tumor control </w:t>
      </w:r>
      <w:r w:rsidRPr="00360A96">
        <w:rPr>
          <w:rFonts w:ascii="Arial" w:hAnsi="Arial" w:cs="Arial"/>
          <w:color w:val="000000" w:themeColor="text1"/>
          <w:sz w:val="20"/>
          <w:szCs w:val="20"/>
          <w:lang w:val="tr-TR"/>
        </w:rPr>
        <w:t>(Klement et al., 2019)</w:t>
      </w:r>
      <w:r w:rsidRPr="00360A96">
        <w:rPr>
          <w:rFonts w:ascii="Arial" w:hAnsi="Arial" w:cs="Arial"/>
          <w:color w:val="000000" w:themeColor="text1"/>
          <w:sz w:val="20"/>
          <w:szCs w:val="20"/>
        </w:rPr>
        <w:t>.</w:t>
      </w:r>
    </w:p>
    <w:p w14:paraId="4F9FA8B9"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Microbiome </w:t>
      </w:r>
      <w:r w:rsidRPr="00360A96">
        <w:rPr>
          <w:rStyle w:val="Strong"/>
          <w:rFonts w:ascii="Arial" w:hAnsi="Arial" w:cs="Arial"/>
          <w:color w:val="000000" w:themeColor="text1"/>
          <w:sz w:val="22"/>
          <w:szCs w:val="22"/>
          <w:lang w:val="tr-TR"/>
        </w:rPr>
        <w:t>m</w:t>
      </w:r>
      <w:proofErr w:type="spellStart"/>
      <w:r w:rsidRPr="00360A96">
        <w:rPr>
          <w:rStyle w:val="Strong"/>
          <w:rFonts w:ascii="Arial" w:hAnsi="Arial" w:cs="Arial"/>
          <w:color w:val="000000" w:themeColor="text1"/>
          <w:sz w:val="22"/>
          <w:szCs w:val="22"/>
        </w:rPr>
        <w:t>odulation</w:t>
      </w:r>
      <w:proofErr w:type="spellEnd"/>
      <w:r w:rsidRPr="00360A96">
        <w:rPr>
          <w:rStyle w:val="Strong"/>
          <w:rFonts w:ascii="Arial" w:hAnsi="Arial" w:cs="Arial"/>
          <w:color w:val="000000" w:themeColor="text1"/>
          <w:sz w:val="22"/>
          <w:szCs w:val="22"/>
        </w:rPr>
        <w:t xml:space="preserve"> as a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herapeutic</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s</w:t>
      </w:r>
      <w:proofErr w:type="spellStart"/>
      <w:r w:rsidRPr="00360A96">
        <w:rPr>
          <w:rStyle w:val="Strong"/>
          <w:rFonts w:ascii="Arial" w:hAnsi="Arial" w:cs="Arial"/>
          <w:color w:val="000000" w:themeColor="text1"/>
          <w:sz w:val="22"/>
          <w:szCs w:val="22"/>
        </w:rPr>
        <w:t>trategy</w:t>
      </w:r>
      <w:proofErr w:type="spellEnd"/>
    </w:p>
    <w:p w14:paraId="3B18ADDB"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Therapeutic manipulation of the microbiome has emerged as a promising adjunct to standard cancer therapy. Interventions include:</w:t>
      </w:r>
    </w:p>
    <w:p w14:paraId="3CD26C92" w14:textId="77777777" w:rsidR="00755D41" w:rsidRPr="00360A96" w:rsidRDefault="00755D41" w:rsidP="00755D41">
      <w:pPr>
        <w:pStyle w:val="NormalWeb"/>
        <w:numPr>
          <w:ilvl w:val="0"/>
          <w:numId w:val="8"/>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Fecal Microbiota Transplantation (FMT)</w:t>
      </w:r>
      <w:r w:rsidRPr="00360A96">
        <w:rPr>
          <w:rFonts w:ascii="Arial" w:hAnsi="Arial" w:cs="Arial"/>
          <w:color w:val="000000" w:themeColor="text1"/>
          <w:sz w:val="20"/>
          <w:szCs w:val="20"/>
        </w:rPr>
        <w:t xml:space="preserve"> — Transfer of fecal material from healthy donors or responsive patients to those with PDAC can restore microbial diversity and immunologic balance. Preclinical data indicate that FMT enhances responsiveness to immune checkpoint inhibitors by promoting T-cell infiltration and reducing immunosuppressive myeloid populations </w:t>
      </w:r>
      <w:r w:rsidRPr="00360A96">
        <w:rPr>
          <w:rFonts w:ascii="Arial" w:hAnsi="Arial" w:cs="Arial"/>
          <w:color w:val="000000" w:themeColor="text1"/>
          <w:sz w:val="20"/>
          <w:szCs w:val="20"/>
          <w:lang w:val="tr-TR"/>
        </w:rPr>
        <w:t>(Panebianco et al., 2018; Zhang et al., 2020)</w:t>
      </w:r>
      <w:r w:rsidRPr="00360A96">
        <w:rPr>
          <w:rFonts w:ascii="Arial" w:hAnsi="Arial" w:cs="Arial"/>
          <w:color w:val="000000" w:themeColor="text1"/>
          <w:sz w:val="20"/>
          <w:szCs w:val="20"/>
        </w:rPr>
        <w:t>.</w:t>
      </w:r>
    </w:p>
    <w:p w14:paraId="6F9BF7D9" w14:textId="77777777" w:rsidR="00755D41" w:rsidRPr="00360A96" w:rsidRDefault="00755D41" w:rsidP="00755D41">
      <w:pPr>
        <w:pStyle w:val="NormalWeb"/>
        <w:numPr>
          <w:ilvl w:val="0"/>
          <w:numId w:val="8"/>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Probiotics and Prebiotics</w:t>
      </w:r>
      <w:r w:rsidRPr="00360A96">
        <w:rPr>
          <w:rFonts w:ascii="Arial" w:hAnsi="Arial" w:cs="Arial"/>
          <w:color w:val="000000" w:themeColor="text1"/>
          <w:sz w:val="20"/>
          <w:szCs w:val="20"/>
        </w:rPr>
        <w:t xml:space="preserve"> — Supplementation with beneficial microbes or substrates that favor their growth can modulate inflammation and epithelial barrier integrity. Specific strains such as </w:t>
      </w:r>
      <w:r w:rsidRPr="00360A96">
        <w:rPr>
          <w:rStyle w:val="Emphasis"/>
          <w:rFonts w:ascii="Arial" w:hAnsi="Arial" w:cs="Arial"/>
          <w:color w:val="000000" w:themeColor="text1"/>
          <w:sz w:val="20"/>
          <w:szCs w:val="20"/>
        </w:rPr>
        <w:t>Lactobacillus rhamnosus GG</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Bifidobacterium longum</w:t>
      </w:r>
      <w:r w:rsidRPr="00360A96">
        <w:rPr>
          <w:rFonts w:ascii="Arial" w:hAnsi="Arial" w:cs="Arial"/>
          <w:color w:val="000000" w:themeColor="text1"/>
          <w:sz w:val="20"/>
          <w:szCs w:val="20"/>
        </w:rPr>
        <w:t xml:space="preserve"> have shown anti-inflammatory and antitumor effects in experimental PDAC models </w:t>
      </w:r>
      <w:r w:rsidRPr="00360A96">
        <w:rPr>
          <w:rFonts w:ascii="Arial" w:hAnsi="Arial" w:cs="Arial"/>
          <w:color w:val="000000" w:themeColor="text1"/>
          <w:sz w:val="20"/>
          <w:szCs w:val="20"/>
          <w:lang w:val="tr-TR"/>
        </w:rPr>
        <w:t>(Riquelme et al., 2018)</w:t>
      </w:r>
      <w:r w:rsidRPr="00360A96">
        <w:rPr>
          <w:rFonts w:ascii="Arial" w:hAnsi="Arial" w:cs="Arial"/>
          <w:color w:val="000000" w:themeColor="text1"/>
          <w:sz w:val="20"/>
          <w:szCs w:val="20"/>
        </w:rPr>
        <w:t>.</w:t>
      </w:r>
    </w:p>
    <w:p w14:paraId="4D8045BA" w14:textId="77777777" w:rsidR="00755D41" w:rsidRPr="00360A96" w:rsidRDefault="00755D41" w:rsidP="00755D41">
      <w:pPr>
        <w:pStyle w:val="NormalWeb"/>
        <w:numPr>
          <w:ilvl w:val="0"/>
          <w:numId w:val="8"/>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Antibiotic Modulation</w:t>
      </w:r>
      <w:r w:rsidRPr="00360A96">
        <w:rPr>
          <w:rFonts w:ascii="Arial" w:hAnsi="Arial" w:cs="Arial"/>
          <w:color w:val="000000" w:themeColor="text1"/>
          <w:sz w:val="20"/>
          <w:szCs w:val="20"/>
        </w:rPr>
        <w:t xml:space="preserve"> — Targeted antibiotics may eliminate deleterious or drug-metabolizing bacteria within the tumor, thereby restoring chemotherapy sensitivity. </w:t>
      </w:r>
      <w:r w:rsidRPr="00360A96">
        <w:rPr>
          <w:rFonts w:ascii="Arial" w:hAnsi="Arial" w:cs="Arial"/>
          <w:color w:val="000000" w:themeColor="text1"/>
          <w:sz w:val="20"/>
          <w:szCs w:val="20"/>
        </w:rPr>
        <w:lastRenderedPageBreak/>
        <w:t xml:space="preserve">However, broad-spectrum antibiotic use can also impair immune surveillance and disrupt beneficial microbial taxa, highlighting the need for precision microbiome modulation </w:t>
      </w:r>
      <w:r w:rsidRPr="00360A96">
        <w:rPr>
          <w:rFonts w:ascii="Arial" w:hAnsi="Arial" w:cs="Arial"/>
          <w:color w:val="000000" w:themeColor="text1"/>
          <w:sz w:val="20"/>
          <w:szCs w:val="20"/>
          <w:lang w:val="tr-TR"/>
        </w:rPr>
        <w:t>(Li et al., 2016)</w:t>
      </w:r>
      <w:r w:rsidRPr="00360A96">
        <w:rPr>
          <w:rFonts w:ascii="Arial" w:hAnsi="Arial" w:cs="Arial"/>
          <w:color w:val="000000" w:themeColor="text1"/>
          <w:sz w:val="20"/>
          <w:szCs w:val="20"/>
        </w:rPr>
        <w:t>.</w:t>
      </w:r>
    </w:p>
    <w:p w14:paraId="4CFFE130" w14:textId="77777777" w:rsidR="00755D41" w:rsidRPr="00360A96" w:rsidRDefault="00755D41" w:rsidP="00755D41">
      <w:pPr>
        <w:pStyle w:val="NormalWeb"/>
        <w:numPr>
          <w:ilvl w:val="0"/>
          <w:numId w:val="8"/>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Dietary and Metabolic Interventions</w:t>
      </w:r>
      <w:r w:rsidRPr="00360A96">
        <w:rPr>
          <w:rFonts w:ascii="Arial" w:hAnsi="Arial" w:cs="Arial"/>
          <w:color w:val="000000" w:themeColor="text1"/>
          <w:sz w:val="20"/>
          <w:szCs w:val="20"/>
        </w:rPr>
        <w:t xml:space="preserve"> — Diet profoundly shapes the gut microbiome and may indirectly influence PDAC progression. High-fiber and polyphenol-rich diets promote the production of SCFAs and beneficial bacterial species, potentially enhancing systemic immune tone and mitigating tumor-promoting inflammation</w:t>
      </w:r>
      <w:r w:rsidRPr="00360A96">
        <w:rPr>
          <w:rFonts w:ascii="Arial" w:hAnsi="Arial" w:cs="Arial"/>
          <w:color w:val="000000" w:themeColor="text1"/>
          <w:sz w:val="20"/>
          <w:szCs w:val="20"/>
          <w:lang w:val="tr-TR"/>
        </w:rPr>
        <w:t xml:space="preserve"> (Chen et al., 2026; Zeng et al., 2025)</w:t>
      </w:r>
      <w:r w:rsidRPr="00360A96">
        <w:rPr>
          <w:rFonts w:ascii="Arial" w:hAnsi="Arial" w:cs="Arial"/>
          <w:color w:val="000000" w:themeColor="text1"/>
          <w:sz w:val="20"/>
          <w:szCs w:val="20"/>
        </w:rPr>
        <w:t>.</w:t>
      </w:r>
    </w:p>
    <w:p w14:paraId="0F6EC881"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Microbiome–</w:t>
      </w:r>
      <w:r w:rsidRPr="00360A96">
        <w:rPr>
          <w:rStyle w:val="Strong"/>
          <w:rFonts w:ascii="Arial" w:hAnsi="Arial" w:cs="Arial"/>
          <w:color w:val="000000" w:themeColor="text1"/>
          <w:sz w:val="22"/>
          <w:szCs w:val="22"/>
          <w:lang w:val="tr-TR"/>
        </w:rPr>
        <w:t>i</w:t>
      </w:r>
      <w:proofErr w:type="spellStart"/>
      <w:r w:rsidRPr="00360A96">
        <w:rPr>
          <w:rStyle w:val="Strong"/>
          <w:rFonts w:ascii="Arial" w:hAnsi="Arial" w:cs="Arial"/>
          <w:color w:val="000000" w:themeColor="text1"/>
          <w:sz w:val="22"/>
          <w:szCs w:val="22"/>
        </w:rPr>
        <w:t>mmune</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c</w:t>
      </w:r>
      <w:proofErr w:type="spellStart"/>
      <w:r w:rsidRPr="00360A96">
        <w:rPr>
          <w:rStyle w:val="Strong"/>
          <w:rFonts w:ascii="Arial" w:hAnsi="Arial" w:cs="Arial"/>
          <w:color w:val="000000" w:themeColor="text1"/>
          <w:sz w:val="22"/>
          <w:szCs w:val="22"/>
        </w:rPr>
        <w:t>rosstalk</w:t>
      </w:r>
      <w:proofErr w:type="spellEnd"/>
      <w:r w:rsidRPr="00360A96">
        <w:rPr>
          <w:rStyle w:val="Strong"/>
          <w:rFonts w:ascii="Arial" w:hAnsi="Arial" w:cs="Arial"/>
          <w:color w:val="000000" w:themeColor="text1"/>
          <w:sz w:val="22"/>
          <w:szCs w:val="22"/>
        </w:rPr>
        <w:t xml:space="preserve"> and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herapeutic</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s</w:t>
      </w:r>
      <w:proofErr w:type="spellStart"/>
      <w:r w:rsidRPr="00360A96">
        <w:rPr>
          <w:rStyle w:val="Strong"/>
          <w:rFonts w:ascii="Arial" w:hAnsi="Arial" w:cs="Arial"/>
          <w:color w:val="000000" w:themeColor="text1"/>
          <w:sz w:val="22"/>
          <w:szCs w:val="22"/>
        </w:rPr>
        <w:t>ynergy</w:t>
      </w:r>
      <w:proofErr w:type="spellEnd"/>
    </w:p>
    <w:p w14:paraId="280EBD14"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interaction between the microbiome and host immunity is increasingly recognized as a </w:t>
      </w:r>
      <w:r w:rsidRPr="0072425C">
        <w:rPr>
          <w:rStyle w:val="Strong"/>
          <w:rFonts w:ascii="Arial" w:hAnsi="Arial" w:cs="Arial"/>
          <w:b w:val="0"/>
          <w:bCs w:val="0"/>
          <w:color w:val="000000" w:themeColor="text1"/>
          <w:sz w:val="20"/>
          <w:szCs w:val="20"/>
        </w:rPr>
        <w:t>critical determinant of immunotherapy response</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Certain commensal bacteria, such as </w:t>
      </w:r>
      <w:r w:rsidRPr="00360A96">
        <w:rPr>
          <w:rStyle w:val="Emphasis"/>
          <w:rFonts w:ascii="Arial" w:hAnsi="Arial" w:cs="Arial"/>
          <w:color w:val="000000" w:themeColor="text1"/>
          <w:sz w:val="20"/>
          <w:szCs w:val="20"/>
        </w:rPr>
        <w:t>Akkermansia muciniphila</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Bacteroides fragilis</w:t>
      </w:r>
      <w:r w:rsidRPr="00360A96">
        <w:rPr>
          <w:rFonts w:ascii="Arial" w:hAnsi="Arial" w:cs="Arial"/>
          <w:color w:val="000000" w:themeColor="text1"/>
          <w:sz w:val="20"/>
          <w:szCs w:val="20"/>
        </w:rPr>
        <w:t xml:space="preserve">, have been shown to augment the efficacy of PD-1 blockade by enhancing dendritic cell activation and T-cell priming. Translational studies suggest that restoring beneficial microbial diversity can </w:t>
      </w:r>
      <w:r w:rsidRPr="007E315F">
        <w:rPr>
          <w:rStyle w:val="Strong"/>
          <w:rFonts w:ascii="Arial" w:hAnsi="Arial" w:cs="Arial"/>
          <w:b w:val="0"/>
          <w:bCs w:val="0"/>
          <w:color w:val="000000" w:themeColor="text1"/>
          <w:sz w:val="20"/>
          <w:szCs w:val="20"/>
        </w:rPr>
        <w:t>convert PDAC from an immunologically “cold” to a “hot” tumor</w:t>
      </w:r>
      <w:r w:rsidRPr="007E315F">
        <w:rPr>
          <w:rFonts w:ascii="Arial" w:hAnsi="Arial" w:cs="Arial"/>
          <w:b/>
          <w:bCs/>
          <w:color w:val="000000" w:themeColor="text1"/>
          <w:sz w:val="20"/>
          <w:szCs w:val="20"/>
        </w:rPr>
        <w:t>,</w:t>
      </w:r>
      <w:r w:rsidRPr="00360A96">
        <w:rPr>
          <w:rFonts w:ascii="Arial" w:hAnsi="Arial" w:cs="Arial"/>
          <w:color w:val="000000" w:themeColor="text1"/>
          <w:sz w:val="20"/>
          <w:szCs w:val="20"/>
        </w:rPr>
        <w:t xml:space="preserve"> thereby improving response to immune checkpoint inhibitors and other immunotherapies</w:t>
      </w:r>
      <w:r w:rsidRPr="00360A96">
        <w:rPr>
          <w:rFonts w:ascii="Arial" w:hAnsi="Arial" w:cs="Arial"/>
          <w:color w:val="000000" w:themeColor="text1"/>
          <w:sz w:val="20"/>
          <w:szCs w:val="20"/>
          <w:lang w:val="tr-TR"/>
        </w:rPr>
        <w:t xml:space="preserve"> (Panebianco et al., 2018; Riquelme et al., 2018)</w:t>
      </w:r>
      <w:r w:rsidRPr="00360A96">
        <w:rPr>
          <w:rFonts w:ascii="Arial" w:hAnsi="Arial" w:cs="Arial"/>
          <w:color w:val="000000" w:themeColor="text1"/>
          <w:sz w:val="20"/>
          <w:szCs w:val="20"/>
        </w:rPr>
        <w:t>.</w:t>
      </w:r>
    </w:p>
    <w:p w14:paraId="5878754A" w14:textId="77777777" w:rsidR="00755D41" w:rsidRPr="00360A96" w:rsidRDefault="00755D41" w:rsidP="00755D41">
      <w:pPr>
        <w:pStyle w:val="NormalWeb"/>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Future </w:t>
      </w:r>
      <w:r w:rsidRPr="00360A96">
        <w:rPr>
          <w:rStyle w:val="Strong"/>
          <w:rFonts w:ascii="Arial" w:hAnsi="Arial" w:cs="Arial"/>
          <w:color w:val="000000" w:themeColor="text1"/>
          <w:sz w:val="22"/>
          <w:szCs w:val="22"/>
          <w:lang w:val="tr-TR"/>
        </w:rPr>
        <w:t>D</w:t>
      </w:r>
      <w:r w:rsidRPr="00360A96">
        <w:rPr>
          <w:rStyle w:val="Strong"/>
          <w:rFonts w:ascii="Arial" w:hAnsi="Arial" w:cs="Arial"/>
          <w:color w:val="000000" w:themeColor="text1"/>
          <w:sz w:val="22"/>
          <w:szCs w:val="22"/>
        </w:rPr>
        <w:t xml:space="preserve">irections and </w:t>
      </w:r>
      <w:r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hallenges</w:t>
      </w:r>
    </w:p>
    <w:p w14:paraId="20388D99"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Although preclinical findings are compelling, clinical translation of microbial therapy faces several challenges. These include </w:t>
      </w:r>
      <w:r w:rsidRPr="007E315F">
        <w:rPr>
          <w:rStyle w:val="Strong"/>
          <w:rFonts w:ascii="Arial" w:hAnsi="Arial" w:cs="Arial"/>
          <w:b w:val="0"/>
          <w:bCs w:val="0"/>
          <w:color w:val="000000" w:themeColor="text1"/>
          <w:sz w:val="20"/>
          <w:szCs w:val="20"/>
        </w:rPr>
        <w:t>individual variability</w:t>
      </w:r>
      <w:r w:rsidRPr="00360A96">
        <w:rPr>
          <w:rFonts w:ascii="Arial" w:hAnsi="Arial" w:cs="Arial"/>
          <w:color w:val="000000" w:themeColor="text1"/>
          <w:sz w:val="20"/>
          <w:szCs w:val="20"/>
        </w:rPr>
        <w:t xml:space="preserve"> in microbial composition, </w:t>
      </w:r>
      <w:r w:rsidRPr="007E315F">
        <w:rPr>
          <w:rStyle w:val="Strong"/>
          <w:rFonts w:ascii="Arial" w:hAnsi="Arial" w:cs="Arial"/>
          <w:b w:val="0"/>
          <w:bCs w:val="0"/>
          <w:color w:val="000000" w:themeColor="text1"/>
          <w:sz w:val="20"/>
          <w:szCs w:val="20"/>
        </w:rPr>
        <w:t>standardization of FMT</w:t>
      </w:r>
      <w:r w:rsidRPr="00360A96">
        <w:rPr>
          <w:rStyle w:val="Strong"/>
          <w:rFonts w:ascii="Arial" w:hAnsi="Arial" w:cs="Arial"/>
          <w:color w:val="000000" w:themeColor="text1"/>
          <w:sz w:val="20"/>
          <w:szCs w:val="20"/>
        </w:rPr>
        <w:t xml:space="preserve"> </w:t>
      </w:r>
      <w:r w:rsidRPr="007E315F">
        <w:rPr>
          <w:rStyle w:val="Strong"/>
          <w:rFonts w:ascii="Arial" w:hAnsi="Arial" w:cs="Arial"/>
          <w:b w:val="0"/>
          <w:bCs w:val="0"/>
          <w:color w:val="000000" w:themeColor="text1"/>
          <w:sz w:val="20"/>
          <w:szCs w:val="20"/>
        </w:rPr>
        <w:t>protocols</w:t>
      </w:r>
      <w:r w:rsidRPr="00360A96">
        <w:rPr>
          <w:rFonts w:ascii="Arial" w:hAnsi="Arial" w:cs="Arial"/>
          <w:color w:val="000000" w:themeColor="text1"/>
          <w:sz w:val="20"/>
          <w:szCs w:val="20"/>
        </w:rPr>
        <w: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and potential risks of infection or dysbiosis following microbial manipulation. Moreover, the causal relationship between microbiome alterations and therapeutic response remains to be fully elucidated.</w:t>
      </w:r>
    </w:p>
    <w:p w14:paraId="349CE7C5"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Future clinical trials should incorporate </w:t>
      </w:r>
      <w:r w:rsidRPr="007E315F">
        <w:rPr>
          <w:rStyle w:val="Strong"/>
          <w:rFonts w:ascii="Arial" w:hAnsi="Arial" w:cs="Arial"/>
          <w:b w:val="0"/>
          <w:bCs w:val="0"/>
          <w:color w:val="000000" w:themeColor="text1"/>
          <w:sz w:val="20"/>
          <w:szCs w:val="20"/>
        </w:rPr>
        <w:t>metagenomic and metabolomic profiling</w:t>
      </w:r>
      <w:r w:rsidRPr="00360A96">
        <w:rPr>
          <w:rFonts w:ascii="Arial" w:hAnsi="Arial" w:cs="Arial"/>
          <w:color w:val="000000" w:themeColor="text1"/>
          <w:sz w:val="20"/>
          <w:szCs w:val="20"/>
        </w:rPr>
        <w:t xml:space="preserve"> to identify predictive microbial signatures and personalize interventions. Integrating microbiome modulation with </w:t>
      </w:r>
      <w:r w:rsidRPr="007E315F">
        <w:rPr>
          <w:rStyle w:val="Strong"/>
          <w:rFonts w:ascii="Arial" w:hAnsi="Arial" w:cs="Arial"/>
          <w:b w:val="0"/>
          <w:bCs w:val="0"/>
          <w:color w:val="000000" w:themeColor="text1"/>
          <w:sz w:val="20"/>
          <w:szCs w:val="20"/>
        </w:rPr>
        <w:t>immunotherapy</w:t>
      </w:r>
      <w:r w:rsidRPr="007E315F">
        <w:rPr>
          <w:rFonts w:ascii="Arial" w:hAnsi="Arial" w:cs="Arial"/>
          <w:b/>
          <w:bCs/>
          <w:color w:val="000000" w:themeColor="text1"/>
          <w:sz w:val="20"/>
          <w:szCs w:val="20"/>
        </w:rPr>
        <w:t xml:space="preserve">, </w:t>
      </w:r>
      <w:r w:rsidRPr="007E315F">
        <w:rPr>
          <w:rStyle w:val="Strong"/>
          <w:rFonts w:ascii="Arial" w:hAnsi="Arial" w:cs="Arial"/>
          <w:b w:val="0"/>
          <w:bCs w:val="0"/>
          <w:color w:val="000000" w:themeColor="text1"/>
          <w:sz w:val="20"/>
          <w:szCs w:val="20"/>
        </w:rPr>
        <w:t>chemotherapy</w:t>
      </w:r>
      <w:r w:rsidRPr="007E315F">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7E315F">
        <w:rPr>
          <w:rStyle w:val="Strong"/>
          <w:rFonts w:ascii="Arial" w:hAnsi="Arial" w:cs="Arial"/>
          <w:b w:val="0"/>
          <w:bCs w:val="0"/>
          <w:color w:val="000000" w:themeColor="text1"/>
          <w:sz w:val="20"/>
          <w:szCs w:val="20"/>
        </w:rPr>
        <w:t>miRNA-based treatments</w:t>
      </w:r>
      <w:r w:rsidRPr="00360A96">
        <w:rPr>
          <w:rFonts w:ascii="Arial" w:hAnsi="Arial" w:cs="Arial"/>
          <w:color w:val="000000" w:themeColor="text1"/>
          <w:sz w:val="20"/>
          <w:szCs w:val="20"/>
        </w:rPr>
        <w:t xml:space="preserve"> may yield synergistic benefits, transforming the microbiome into a therapeutic ally in PDAC management.</w:t>
      </w:r>
    </w:p>
    <w:p w14:paraId="02744B75" w14:textId="77777777" w:rsidR="00755D41" w:rsidRPr="00755D41" w:rsidRDefault="00755D41" w:rsidP="00755D41">
      <w:pPr>
        <w:pStyle w:val="Heading2"/>
        <w:spacing w:line="480" w:lineRule="auto"/>
        <w:ind w:left="567" w:right="283"/>
        <w:jc w:val="both"/>
        <w:rPr>
          <w:rFonts w:ascii="Arial" w:hAnsi="Arial" w:cs="Arial"/>
          <w:b w:val="0"/>
          <w:bCs w:val="0"/>
          <w:color w:val="000000" w:themeColor="text1"/>
          <w:sz w:val="22"/>
          <w:szCs w:val="22"/>
        </w:rPr>
      </w:pPr>
      <w:r w:rsidRPr="00755D41">
        <w:rPr>
          <w:rStyle w:val="Strong"/>
          <w:rFonts w:ascii="Arial" w:hAnsi="Arial" w:cs="Arial"/>
          <w:b/>
          <w:bCs/>
          <w:color w:val="000000" w:themeColor="text1"/>
          <w:sz w:val="22"/>
          <w:szCs w:val="22"/>
        </w:rPr>
        <w:t>MicroRNA-</w:t>
      </w:r>
      <w:r w:rsidRPr="00755D41">
        <w:rPr>
          <w:rStyle w:val="Strong"/>
          <w:rFonts w:ascii="Arial" w:hAnsi="Arial" w:cs="Arial"/>
          <w:b/>
          <w:bCs/>
          <w:color w:val="000000" w:themeColor="text1"/>
          <w:sz w:val="22"/>
          <w:szCs w:val="22"/>
          <w:lang w:val="tr-TR"/>
        </w:rPr>
        <w:t>b</w:t>
      </w:r>
      <w:proofErr w:type="spellStart"/>
      <w:r w:rsidRPr="00755D41">
        <w:rPr>
          <w:rStyle w:val="Strong"/>
          <w:rFonts w:ascii="Arial" w:hAnsi="Arial" w:cs="Arial"/>
          <w:b/>
          <w:bCs/>
          <w:color w:val="000000" w:themeColor="text1"/>
          <w:sz w:val="22"/>
          <w:szCs w:val="22"/>
        </w:rPr>
        <w:t>ased</w:t>
      </w:r>
      <w:proofErr w:type="spellEnd"/>
      <w:r w:rsidRPr="00755D41">
        <w:rPr>
          <w:rStyle w:val="Strong"/>
          <w:rFonts w:ascii="Arial" w:hAnsi="Arial" w:cs="Arial"/>
          <w:b/>
          <w:bCs/>
          <w:color w:val="000000" w:themeColor="text1"/>
          <w:sz w:val="22"/>
          <w:szCs w:val="22"/>
        </w:rPr>
        <w:t xml:space="preserve"> </w:t>
      </w:r>
      <w:r w:rsidRPr="00755D41">
        <w:rPr>
          <w:rStyle w:val="Strong"/>
          <w:rFonts w:ascii="Arial" w:hAnsi="Arial" w:cs="Arial"/>
          <w:b/>
          <w:bCs/>
          <w:color w:val="000000" w:themeColor="text1"/>
          <w:sz w:val="22"/>
          <w:szCs w:val="22"/>
          <w:lang w:val="tr-TR"/>
        </w:rPr>
        <w:t>t</w:t>
      </w:r>
      <w:proofErr w:type="spellStart"/>
      <w:r w:rsidRPr="00755D41">
        <w:rPr>
          <w:rStyle w:val="Strong"/>
          <w:rFonts w:ascii="Arial" w:hAnsi="Arial" w:cs="Arial"/>
          <w:b/>
          <w:bCs/>
          <w:color w:val="000000" w:themeColor="text1"/>
          <w:sz w:val="22"/>
          <w:szCs w:val="22"/>
        </w:rPr>
        <w:t>herapy</w:t>
      </w:r>
      <w:proofErr w:type="spellEnd"/>
    </w:p>
    <w:p w14:paraId="427F87A5"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MicroRNAs (miRNAs) are small, non-coding RNAs—approximately 20–24 nucleotides in length—that regulate gene expression post-transcriptionally through mRNA degradation or translational repression. These molecules serve as master regulators of oncogenic signaling, apoptosis, invasion, and metastasis, rendering them both </w:t>
      </w:r>
      <w:r w:rsidRPr="007E315F">
        <w:rPr>
          <w:rStyle w:val="Strong"/>
          <w:rFonts w:ascii="Arial" w:hAnsi="Arial" w:cs="Arial"/>
          <w:b w:val="0"/>
          <w:bCs w:val="0"/>
          <w:color w:val="000000" w:themeColor="text1"/>
          <w:sz w:val="20"/>
          <w:szCs w:val="20"/>
        </w:rPr>
        <w:t>biomarkers and therapeutic targets</w:t>
      </w:r>
      <w:r w:rsidRPr="00360A96">
        <w:rPr>
          <w:rFonts w:ascii="Arial" w:hAnsi="Arial" w:cs="Arial"/>
          <w:color w:val="000000" w:themeColor="text1"/>
          <w:sz w:val="20"/>
          <w:szCs w:val="20"/>
        </w:rPr>
        <w:t xml:space="preserve"> in pancreatic ductal adenocarcinoma (PDAC) </w:t>
      </w:r>
      <w:r w:rsidRPr="00360A96">
        <w:rPr>
          <w:rFonts w:ascii="Arial" w:hAnsi="Arial" w:cs="Arial"/>
          <w:color w:val="000000" w:themeColor="text1"/>
          <w:sz w:val="20"/>
          <w:szCs w:val="20"/>
          <w:lang w:val="tr-TR"/>
        </w:rPr>
        <w:t>(Rachagani et al., 2016; Slotwinski et al., 2018; Fesler et al., 2020)</w:t>
      </w:r>
      <w:r w:rsidRPr="00360A96">
        <w:rPr>
          <w:rFonts w:ascii="Arial" w:hAnsi="Arial" w:cs="Arial"/>
          <w:color w:val="000000" w:themeColor="text1"/>
          <w:sz w:val="20"/>
          <w:szCs w:val="20"/>
        </w:rPr>
        <w:t>.</w:t>
      </w:r>
    </w:p>
    <w:p w14:paraId="31838B01"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Aberrant miRNA expression profiles have been consistently observed in PDAC, reflecting the disease’s complex genetic and epigenetic landscape. Distinct patterns of </w:t>
      </w:r>
      <w:r w:rsidRPr="007E315F">
        <w:rPr>
          <w:rStyle w:val="Strong"/>
          <w:rFonts w:ascii="Arial" w:hAnsi="Arial" w:cs="Arial"/>
          <w:b w:val="0"/>
          <w:bCs w:val="0"/>
          <w:color w:val="000000" w:themeColor="text1"/>
          <w:sz w:val="20"/>
          <w:szCs w:val="20"/>
        </w:rPr>
        <w:t>oncogenic (oncomiR)</w:t>
      </w:r>
      <w:r w:rsidRPr="00360A96">
        <w:rPr>
          <w:rFonts w:ascii="Arial" w:hAnsi="Arial" w:cs="Arial"/>
          <w:color w:val="000000" w:themeColor="text1"/>
          <w:sz w:val="20"/>
          <w:szCs w:val="20"/>
        </w:rPr>
        <w:t xml:space="preserve"> and </w:t>
      </w:r>
      <w:r w:rsidRPr="007E315F">
        <w:rPr>
          <w:rStyle w:val="Strong"/>
          <w:rFonts w:ascii="Arial" w:hAnsi="Arial" w:cs="Arial"/>
          <w:b w:val="0"/>
          <w:bCs w:val="0"/>
          <w:color w:val="000000" w:themeColor="text1"/>
          <w:sz w:val="20"/>
          <w:szCs w:val="20"/>
        </w:rPr>
        <w:t>tumor-suppressive</w:t>
      </w:r>
      <w:r w:rsidRPr="00360A96">
        <w:rPr>
          <w:rFonts w:ascii="Arial" w:hAnsi="Arial" w:cs="Arial"/>
          <w:color w:val="000000" w:themeColor="text1"/>
          <w:sz w:val="20"/>
          <w:szCs w:val="20"/>
        </w:rPr>
        <w:t xml:space="preserve"> miRNAs not only contribute to tumor initiation and progression but also influence chemoresistance and patient prognosis </w:t>
      </w:r>
      <w:r w:rsidRPr="00360A96">
        <w:rPr>
          <w:rFonts w:ascii="Arial" w:hAnsi="Arial" w:cs="Arial"/>
          <w:color w:val="000000" w:themeColor="text1"/>
          <w:sz w:val="20"/>
          <w:szCs w:val="20"/>
          <w:lang w:val="tr-TR"/>
        </w:rPr>
        <w:t>(Dong et al., 2025)</w:t>
      </w:r>
      <w:r w:rsidRPr="00360A96">
        <w:rPr>
          <w:rFonts w:ascii="Arial" w:hAnsi="Arial" w:cs="Arial"/>
          <w:color w:val="000000" w:themeColor="text1"/>
          <w:sz w:val="20"/>
          <w:szCs w:val="20"/>
        </w:rPr>
        <w:t>.</w:t>
      </w:r>
    </w:p>
    <w:p w14:paraId="1E78697A"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Dysregulated miRNAs in PDAC</w:t>
      </w:r>
    </w:p>
    <w:p w14:paraId="0C732512"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Several key miRNAs are recurrently dysregulated in PDAC:</w:t>
      </w:r>
    </w:p>
    <w:p w14:paraId="3861DC69" w14:textId="77777777" w:rsidR="00755D41" w:rsidRPr="00360A96" w:rsidRDefault="00755D41" w:rsidP="00755D41">
      <w:pPr>
        <w:pStyle w:val="NormalWeb"/>
        <w:numPr>
          <w:ilvl w:val="0"/>
          <w:numId w:val="9"/>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lastRenderedPageBreak/>
        <w:t>OncomiRs:</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miR-21</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miR-155</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miR-196a</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miR-221/222</w:t>
      </w:r>
      <w:r w:rsidRPr="00360A96">
        <w:rPr>
          <w:rFonts w:ascii="Arial" w:hAnsi="Arial" w:cs="Arial"/>
          <w:color w:val="000000" w:themeColor="text1"/>
          <w:sz w:val="20"/>
          <w:szCs w:val="20"/>
        </w:rPr>
        <w:t xml:space="preserve"> are frequently upregulated and promote cell proliferation, invasion, and resistance to apoptosis by targeting tumor suppressor genes such as </w:t>
      </w:r>
      <w:r w:rsidRPr="00BF02C1">
        <w:rPr>
          <w:rStyle w:val="Strong"/>
          <w:rFonts w:ascii="Arial" w:hAnsi="Arial" w:cs="Arial"/>
          <w:b w:val="0"/>
          <w:bCs w:val="0"/>
          <w:color w:val="000000" w:themeColor="text1"/>
          <w:sz w:val="20"/>
          <w:szCs w:val="20"/>
        </w:rPr>
        <w:t>PTEN</w:t>
      </w:r>
      <w:r w:rsidRPr="00BF02C1">
        <w:rPr>
          <w:rFonts w:ascii="Arial" w:hAnsi="Arial" w:cs="Arial"/>
          <w:b/>
          <w:bCs/>
          <w:color w:val="000000" w:themeColor="text1"/>
          <w:sz w:val="20"/>
          <w:szCs w:val="20"/>
        </w:rPr>
        <w:t xml:space="preserve">, </w:t>
      </w:r>
      <w:r w:rsidRPr="00BF02C1">
        <w:rPr>
          <w:rStyle w:val="Strong"/>
          <w:rFonts w:ascii="Arial" w:hAnsi="Arial" w:cs="Arial"/>
          <w:b w:val="0"/>
          <w:bCs w:val="0"/>
          <w:color w:val="000000" w:themeColor="text1"/>
          <w:sz w:val="20"/>
          <w:szCs w:val="20"/>
        </w:rPr>
        <w:t>PDCD4</w:t>
      </w:r>
      <w:r w:rsidRPr="00BF02C1">
        <w:rPr>
          <w:rFonts w:ascii="Arial" w:hAnsi="Arial" w:cs="Arial"/>
          <w:color w:val="000000" w:themeColor="text1"/>
          <w:sz w:val="20"/>
          <w:szCs w:val="20"/>
        </w:rPr>
        <w:t>,</w:t>
      </w:r>
      <w:r w:rsidRPr="00360A96">
        <w:rPr>
          <w:rFonts w:ascii="Arial" w:hAnsi="Arial" w:cs="Arial"/>
          <w:color w:val="000000" w:themeColor="text1"/>
          <w:sz w:val="20"/>
          <w:szCs w:val="20"/>
        </w:rPr>
        <w:t xml:space="preserve"> and </w:t>
      </w:r>
      <w:r w:rsidRPr="00BF02C1">
        <w:rPr>
          <w:rStyle w:val="Strong"/>
          <w:rFonts w:ascii="Arial" w:hAnsi="Arial" w:cs="Arial"/>
          <w:b w:val="0"/>
          <w:bCs w:val="0"/>
          <w:color w:val="000000" w:themeColor="text1"/>
          <w:sz w:val="20"/>
          <w:szCs w:val="20"/>
        </w:rPr>
        <w:t>SMAD4</w:t>
      </w:r>
      <w:r w:rsidRPr="00360A96">
        <w:rPr>
          <w:rFonts w:ascii="Arial" w:hAnsi="Arial" w:cs="Arial"/>
          <w:color w:val="000000" w:themeColor="text1"/>
          <w:sz w:val="20"/>
          <w:szCs w:val="20"/>
        </w:rPr>
        <w:t xml:space="preserve"> </w:t>
      </w:r>
      <w:r w:rsidRPr="00360A96">
        <w:rPr>
          <w:rFonts w:ascii="Arial" w:hAnsi="Arial" w:cs="Arial"/>
          <w:color w:val="000000" w:themeColor="text1"/>
          <w:sz w:val="20"/>
          <w:szCs w:val="20"/>
          <w:lang w:val="tr-TR"/>
        </w:rPr>
        <w:t>(Chu et al., 2022; Vahabi et al., 2023)</w:t>
      </w:r>
      <w:r w:rsidRPr="00360A96">
        <w:rPr>
          <w:rFonts w:ascii="Arial" w:hAnsi="Arial" w:cs="Arial"/>
          <w:color w:val="000000" w:themeColor="text1"/>
          <w:sz w:val="20"/>
          <w:szCs w:val="20"/>
        </w:rPr>
        <w:t>.</w:t>
      </w:r>
    </w:p>
    <w:p w14:paraId="1D517CD1" w14:textId="77777777" w:rsidR="00755D41" w:rsidRPr="00360A96" w:rsidRDefault="00755D41" w:rsidP="00755D41">
      <w:pPr>
        <w:pStyle w:val="NormalWeb"/>
        <w:numPr>
          <w:ilvl w:val="0"/>
          <w:numId w:val="9"/>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Tumor-suppressive miRNAs:</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miR-143</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miR-145</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let-7</w:t>
      </w:r>
      <w:r w:rsidRPr="00360A96">
        <w:rPr>
          <w:rFonts w:ascii="Arial" w:hAnsi="Arial" w:cs="Arial"/>
          <w:color w:val="000000" w:themeColor="text1"/>
          <w:sz w:val="20"/>
          <w:szCs w:val="20"/>
        </w:rPr>
        <w:t xml:space="preserve"> family members are often downregulated, leading to dysregulation of oncogenic pathways including </w:t>
      </w:r>
      <w:r w:rsidRPr="002B7B3B">
        <w:rPr>
          <w:rStyle w:val="Strong"/>
          <w:rFonts w:ascii="Arial" w:hAnsi="Arial" w:cs="Arial"/>
          <w:b w:val="0"/>
          <w:bCs w:val="0"/>
          <w:color w:val="000000" w:themeColor="text1"/>
          <w:sz w:val="20"/>
          <w:szCs w:val="20"/>
        </w:rPr>
        <w:t>KRAS</w:t>
      </w:r>
      <w:r w:rsidRPr="002B7B3B">
        <w:rPr>
          <w:rFonts w:ascii="Arial" w:hAnsi="Arial" w:cs="Arial"/>
          <w:b/>
          <w:bCs/>
          <w:color w:val="000000" w:themeColor="text1"/>
          <w:sz w:val="20"/>
          <w:szCs w:val="20"/>
        </w:rPr>
        <w:t>,</w:t>
      </w:r>
      <w:r w:rsidRPr="00360A96">
        <w:rPr>
          <w:rFonts w:ascii="Arial" w:hAnsi="Arial" w:cs="Arial"/>
          <w:b/>
          <w:bCs/>
          <w:color w:val="000000" w:themeColor="text1"/>
          <w:sz w:val="20"/>
          <w:szCs w:val="20"/>
        </w:rPr>
        <w:t xml:space="preserve"> </w:t>
      </w:r>
      <w:r w:rsidRPr="002B7B3B">
        <w:rPr>
          <w:rStyle w:val="Strong"/>
          <w:rFonts w:ascii="Arial" w:hAnsi="Arial" w:cs="Arial"/>
          <w:b w:val="0"/>
          <w:bCs w:val="0"/>
          <w:color w:val="000000" w:themeColor="text1"/>
          <w:sz w:val="20"/>
          <w:szCs w:val="20"/>
        </w:rPr>
        <w:t>Notch</w:t>
      </w:r>
      <w:r w:rsidRPr="00360A96">
        <w:rPr>
          <w:rFonts w:ascii="Arial" w:hAnsi="Arial" w:cs="Arial"/>
          <w:color w:val="000000" w:themeColor="text1"/>
          <w:sz w:val="20"/>
          <w:szCs w:val="20"/>
        </w:rPr>
        <w: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2B7B3B">
        <w:rPr>
          <w:rStyle w:val="Strong"/>
          <w:rFonts w:ascii="Arial" w:hAnsi="Arial" w:cs="Arial"/>
          <w:b w:val="0"/>
          <w:bCs w:val="0"/>
          <w:color w:val="000000" w:themeColor="text1"/>
          <w:sz w:val="20"/>
          <w:szCs w:val="20"/>
        </w:rPr>
        <w:t>NF-κB</w:t>
      </w:r>
      <w:r w:rsidRPr="00360A96">
        <w:rPr>
          <w:rFonts w:ascii="Arial" w:hAnsi="Arial" w:cs="Arial"/>
          <w:color w:val="000000" w:themeColor="text1"/>
          <w:sz w:val="20"/>
          <w:szCs w:val="20"/>
        </w:rPr>
        <w:t xml:space="preserve"> signaling </w:t>
      </w:r>
      <w:r w:rsidRPr="00360A96">
        <w:rPr>
          <w:rFonts w:ascii="Arial" w:hAnsi="Arial" w:cs="Arial"/>
          <w:color w:val="000000" w:themeColor="text1"/>
          <w:sz w:val="20"/>
          <w:szCs w:val="20"/>
          <w:lang w:val="tr-TR"/>
        </w:rPr>
        <w:t>(Moriyama et al., 2009)</w:t>
      </w:r>
      <w:r w:rsidRPr="00360A96">
        <w:rPr>
          <w:rFonts w:ascii="Arial" w:hAnsi="Arial" w:cs="Arial"/>
          <w:color w:val="000000" w:themeColor="text1"/>
          <w:sz w:val="20"/>
          <w:szCs w:val="20"/>
        </w:rPr>
        <w:t>.</w:t>
      </w:r>
    </w:p>
    <w:p w14:paraId="5A2E1B24"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These miRNAs form part of a highly interconnected regulatory network that coordinates multiple hallmarks of cancer, including sustained proliferation, evasion of apoptosis, and metastatic competence.</w:t>
      </w:r>
    </w:p>
    <w:p w14:paraId="35D41D47"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miRNAs as </w:t>
      </w:r>
      <w:r w:rsidRPr="00360A96">
        <w:rPr>
          <w:rStyle w:val="Strong"/>
          <w:rFonts w:ascii="Arial" w:hAnsi="Arial" w:cs="Arial"/>
          <w:color w:val="000000" w:themeColor="text1"/>
          <w:sz w:val="22"/>
          <w:szCs w:val="22"/>
          <w:lang w:val="tr-TR"/>
        </w:rPr>
        <w:t>d</w:t>
      </w:r>
      <w:proofErr w:type="spellStart"/>
      <w:r w:rsidRPr="00360A96">
        <w:rPr>
          <w:rStyle w:val="Strong"/>
          <w:rFonts w:ascii="Arial" w:hAnsi="Arial" w:cs="Arial"/>
          <w:color w:val="000000" w:themeColor="text1"/>
          <w:sz w:val="22"/>
          <w:szCs w:val="22"/>
        </w:rPr>
        <w:t>iagnostic</w:t>
      </w:r>
      <w:proofErr w:type="spellEnd"/>
      <w:r w:rsidRPr="00360A96">
        <w:rPr>
          <w:rStyle w:val="Strong"/>
          <w:rFonts w:ascii="Arial" w:hAnsi="Arial" w:cs="Arial"/>
          <w:color w:val="000000" w:themeColor="text1"/>
          <w:sz w:val="22"/>
          <w:szCs w:val="22"/>
        </w:rPr>
        <w:t xml:space="preserve"> and </w:t>
      </w:r>
      <w:r w:rsidRPr="00360A96">
        <w:rPr>
          <w:rStyle w:val="Strong"/>
          <w:rFonts w:ascii="Arial" w:hAnsi="Arial" w:cs="Arial"/>
          <w:color w:val="000000" w:themeColor="text1"/>
          <w:sz w:val="22"/>
          <w:szCs w:val="22"/>
          <w:lang w:val="tr-TR"/>
        </w:rPr>
        <w:t>p</w:t>
      </w:r>
      <w:proofErr w:type="spellStart"/>
      <w:r w:rsidRPr="00360A96">
        <w:rPr>
          <w:rStyle w:val="Strong"/>
          <w:rFonts w:ascii="Arial" w:hAnsi="Arial" w:cs="Arial"/>
          <w:color w:val="000000" w:themeColor="text1"/>
          <w:sz w:val="22"/>
          <w:szCs w:val="22"/>
        </w:rPr>
        <w:t>rognostic</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b</w:t>
      </w:r>
      <w:proofErr w:type="spellStart"/>
      <w:r w:rsidRPr="00360A96">
        <w:rPr>
          <w:rStyle w:val="Strong"/>
          <w:rFonts w:ascii="Arial" w:hAnsi="Arial" w:cs="Arial"/>
          <w:color w:val="000000" w:themeColor="text1"/>
          <w:sz w:val="22"/>
          <w:szCs w:val="22"/>
        </w:rPr>
        <w:t>iomarkers</w:t>
      </w:r>
      <w:proofErr w:type="spellEnd"/>
    </w:p>
    <w:p w14:paraId="25740788"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stability of miRNAs in biological fluids—such as serum, plasma, saliva, and exosomes—makes them ideal </w:t>
      </w:r>
      <w:r w:rsidRPr="002B7B3B">
        <w:rPr>
          <w:rStyle w:val="Strong"/>
          <w:rFonts w:ascii="Arial" w:hAnsi="Arial" w:cs="Arial"/>
          <w:b w:val="0"/>
          <w:bCs w:val="0"/>
          <w:color w:val="000000" w:themeColor="text1"/>
          <w:sz w:val="20"/>
          <w:szCs w:val="20"/>
        </w:rPr>
        <w:t>noninvasive biomarkers</w:t>
      </w:r>
      <w:r w:rsidRPr="00360A96">
        <w:rPr>
          <w:rFonts w:ascii="Arial" w:hAnsi="Arial" w:cs="Arial"/>
          <w:color w:val="000000" w:themeColor="text1"/>
          <w:sz w:val="20"/>
          <w:szCs w:val="20"/>
        </w:rPr>
        <w:t xml:space="preserve"> for early detection and disease monitoring. Circulating miRNA panels have shown diagnostic accuracy in distinguishing PDAC from benign pancreatic disease and chronic pancreatitis </w:t>
      </w:r>
      <w:r w:rsidRPr="00360A96">
        <w:rPr>
          <w:rFonts w:ascii="Arial" w:hAnsi="Arial" w:cs="Arial"/>
          <w:color w:val="000000" w:themeColor="text1"/>
          <w:sz w:val="20"/>
          <w:szCs w:val="20"/>
          <w:lang w:val="tr-TR"/>
        </w:rPr>
        <w:t>(Nalls et al., 2011)</w:t>
      </w:r>
      <w:r w:rsidRPr="00360A96">
        <w:rPr>
          <w:rFonts w:ascii="Arial" w:hAnsi="Arial" w:cs="Arial"/>
          <w:color w:val="000000" w:themeColor="text1"/>
          <w:sz w:val="20"/>
          <w:szCs w:val="20"/>
        </w:rPr>
        <w:t>.</w:t>
      </w:r>
    </w:p>
    <w:p w14:paraId="6F51C4F8"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For example, elevated serum levels of </w:t>
      </w:r>
      <w:r w:rsidRPr="00360A96">
        <w:rPr>
          <w:rStyle w:val="Emphasis"/>
          <w:rFonts w:ascii="Arial" w:hAnsi="Arial" w:cs="Arial"/>
          <w:color w:val="000000" w:themeColor="text1"/>
          <w:sz w:val="20"/>
          <w:szCs w:val="20"/>
        </w:rPr>
        <w:t>miR-21</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miR-155</w:t>
      </w:r>
      <w:r w:rsidRPr="00360A96">
        <w:rPr>
          <w:rFonts w:ascii="Arial" w:hAnsi="Arial" w:cs="Arial"/>
          <w:color w:val="000000" w:themeColor="text1"/>
          <w:sz w:val="20"/>
          <w:szCs w:val="20"/>
        </w:rPr>
        <w:t xml:space="preserve"> correlate with advanced tumor stage and poor prognosis, whereas reduced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expression has been linked to chemoresistance and shortened overall survival. Integration of miRNA signatures with established biomarkers such as CA19-9 may further enhance diagnostic sensitivity and specificity</w:t>
      </w:r>
      <w:r w:rsidRPr="00360A96">
        <w:rPr>
          <w:rFonts w:ascii="Arial" w:hAnsi="Arial" w:cs="Arial"/>
          <w:color w:val="000000" w:themeColor="text1"/>
          <w:sz w:val="20"/>
          <w:szCs w:val="20"/>
          <w:lang w:val="tr-TR"/>
        </w:rPr>
        <w:t xml:space="preserve"> (Luo et al., 2021)</w:t>
      </w:r>
      <w:r w:rsidRPr="00360A96">
        <w:rPr>
          <w:rFonts w:ascii="Arial" w:hAnsi="Arial" w:cs="Arial"/>
          <w:color w:val="000000" w:themeColor="text1"/>
          <w:sz w:val="20"/>
          <w:szCs w:val="20"/>
        </w:rPr>
        <w:t>.</w:t>
      </w:r>
    </w:p>
    <w:p w14:paraId="2EFE52C2"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Therapeutic </w:t>
      </w:r>
      <w:r w:rsidRPr="00360A96">
        <w:rPr>
          <w:rStyle w:val="Strong"/>
          <w:rFonts w:ascii="Arial" w:hAnsi="Arial" w:cs="Arial"/>
          <w:color w:val="000000" w:themeColor="text1"/>
          <w:sz w:val="22"/>
          <w:szCs w:val="22"/>
          <w:lang w:val="tr-TR"/>
        </w:rPr>
        <w:t>m</w:t>
      </w:r>
      <w:proofErr w:type="spellStart"/>
      <w:r w:rsidRPr="00360A96">
        <w:rPr>
          <w:rStyle w:val="Strong"/>
          <w:rFonts w:ascii="Arial" w:hAnsi="Arial" w:cs="Arial"/>
          <w:color w:val="000000" w:themeColor="text1"/>
          <w:sz w:val="22"/>
          <w:szCs w:val="22"/>
        </w:rPr>
        <w:t>odulation</w:t>
      </w:r>
      <w:proofErr w:type="spellEnd"/>
      <w:r w:rsidRPr="00360A96">
        <w:rPr>
          <w:rStyle w:val="Strong"/>
          <w:rFonts w:ascii="Arial" w:hAnsi="Arial" w:cs="Arial"/>
          <w:color w:val="000000" w:themeColor="text1"/>
          <w:sz w:val="22"/>
          <w:szCs w:val="22"/>
        </w:rPr>
        <w:t xml:space="preserve"> of miRNAs</w:t>
      </w:r>
    </w:p>
    <w:p w14:paraId="6DB9AF45"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miRNA-based therapeutics aim to restore normal regulatory networks by either </w:t>
      </w:r>
      <w:r w:rsidRPr="002B7B3B">
        <w:rPr>
          <w:rStyle w:val="Strong"/>
          <w:rFonts w:ascii="Arial" w:hAnsi="Arial" w:cs="Arial"/>
          <w:b w:val="0"/>
          <w:bCs w:val="0"/>
          <w:color w:val="000000" w:themeColor="text1"/>
          <w:sz w:val="20"/>
          <w:szCs w:val="20"/>
        </w:rPr>
        <w:t>inhibiting oncogenic miRNAs</w:t>
      </w:r>
      <w:r w:rsidRPr="00360A96">
        <w:rPr>
          <w:rFonts w:ascii="Arial" w:hAnsi="Arial" w:cs="Arial"/>
          <w:color w:val="000000" w:themeColor="text1"/>
          <w:sz w:val="20"/>
          <w:szCs w:val="20"/>
        </w:rPr>
        <w:t xml:space="preserve"> or </w:t>
      </w:r>
      <w:r w:rsidRPr="002B7B3B">
        <w:rPr>
          <w:rStyle w:val="Strong"/>
          <w:rFonts w:ascii="Arial" w:hAnsi="Arial" w:cs="Arial"/>
          <w:b w:val="0"/>
          <w:bCs w:val="0"/>
          <w:color w:val="000000" w:themeColor="text1"/>
          <w:sz w:val="20"/>
          <w:szCs w:val="20"/>
        </w:rPr>
        <w:t>reintroducing tumor-suppressive ones</w:t>
      </w:r>
      <w:r w:rsidRPr="00360A96">
        <w:rPr>
          <w:rFonts w:ascii="Arial" w:hAnsi="Arial" w:cs="Arial"/>
          <w:color w:val="000000" w:themeColor="text1"/>
          <w:sz w:val="20"/>
          <w:szCs w:val="20"/>
        </w:rPr>
        <w:t>. Two principal strategies have been developed:</w:t>
      </w:r>
    </w:p>
    <w:p w14:paraId="0785DF42" w14:textId="77777777" w:rsidR="00755D41" w:rsidRPr="00360A96" w:rsidRDefault="00755D41" w:rsidP="00755D41">
      <w:pPr>
        <w:pStyle w:val="NormalWeb"/>
        <w:numPr>
          <w:ilvl w:val="0"/>
          <w:numId w:val="10"/>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miRNA Inhibitors (AntagomiRs):</w:t>
      </w:r>
      <w:r w:rsidRPr="00360A96">
        <w:rPr>
          <w:rStyle w:val="Strong"/>
          <w:rFonts w:ascii="Arial" w:hAnsi="Arial" w:cs="Arial"/>
          <w:color w:val="000000" w:themeColor="text1"/>
          <w:sz w:val="20"/>
          <w:szCs w:val="20"/>
        </w:rPr>
        <w:tab/>
      </w:r>
      <w:r w:rsidRPr="00360A96">
        <w:rPr>
          <w:rFonts w:ascii="Arial" w:hAnsi="Arial" w:cs="Arial"/>
          <w:color w:val="000000" w:themeColor="text1"/>
          <w:sz w:val="20"/>
          <w:szCs w:val="20"/>
        </w:rPr>
        <w:br/>
        <w:t xml:space="preserve">Synthetic antisense oligonucleotides designed to bind and inactivate oncomiRs. For instance, inhibition of </w:t>
      </w:r>
      <w:r w:rsidRPr="00360A96">
        <w:rPr>
          <w:rStyle w:val="Emphasis"/>
          <w:rFonts w:ascii="Arial" w:hAnsi="Arial" w:cs="Arial"/>
          <w:color w:val="000000" w:themeColor="text1"/>
          <w:sz w:val="20"/>
          <w:szCs w:val="20"/>
        </w:rPr>
        <w:t>miR-21</w:t>
      </w:r>
      <w:r w:rsidRPr="00360A96">
        <w:rPr>
          <w:rFonts w:ascii="Arial" w:hAnsi="Arial" w:cs="Arial"/>
          <w:color w:val="000000" w:themeColor="text1"/>
          <w:sz w:val="20"/>
          <w:szCs w:val="20"/>
        </w:rPr>
        <w:t xml:space="preserve"> or </w:t>
      </w:r>
      <w:r w:rsidRPr="00360A96">
        <w:rPr>
          <w:rStyle w:val="Emphasis"/>
          <w:rFonts w:ascii="Arial" w:hAnsi="Arial" w:cs="Arial"/>
          <w:color w:val="000000" w:themeColor="text1"/>
          <w:sz w:val="20"/>
          <w:szCs w:val="20"/>
        </w:rPr>
        <w:t>miR-221</w:t>
      </w:r>
      <w:r w:rsidRPr="00360A96">
        <w:rPr>
          <w:rFonts w:ascii="Arial" w:hAnsi="Arial" w:cs="Arial"/>
          <w:color w:val="000000" w:themeColor="text1"/>
          <w:sz w:val="20"/>
          <w:szCs w:val="20"/>
        </w:rPr>
        <w:t xml:space="preserve"> has been shown to suppress tumor growth, enhance apoptosis, and restore chemosensitivity in PDAC cell lines and xenograft models </w:t>
      </w:r>
      <w:r w:rsidRPr="00360A96">
        <w:rPr>
          <w:rFonts w:ascii="Arial" w:hAnsi="Arial" w:cs="Arial"/>
          <w:color w:val="000000" w:themeColor="text1"/>
          <w:sz w:val="20"/>
          <w:szCs w:val="20"/>
          <w:lang w:val="tr-TR"/>
        </w:rPr>
        <w:t>(Hu et al., 2013)</w:t>
      </w:r>
      <w:r w:rsidRPr="00360A96">
        <w:rPr>
          <w:rFonts w:ascii="Arial" w:hAnsi="Arial" w:cs="Arial"/>
          <w:color w:val="000000" w:themeColor="text1"/>
          <w:sz w:val="20"/>
          <w:szCs w:val="20"/>
        </w:rPr>
        <w:t>.</w:t>
      </w:r>
    </w:p>
    <w:p w14:paraId="35D29DC0" w14:textId="77777777" w:rsidR="00755D41" w:rsidRPr="00360A96" w:rsidRDefault="00755D41" w:rsidP="00755D41">
      <w:pPr>
        <w:pStyle w:val="NormalWeb"/>
        <w:numPr>
          <w:ilvl w:val="0"/>
          <w:numId w:val="10"/>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miRNA Mimics:</w:t>
      </w:r>
      <w:r w:rsidRPr="00360A96">
        <w:rPr>
          <w:rStyle w:val="Strong"/>
          <w:rFonts w:ascii="Arial" w:hAnsi="Arial" w:cs="Arial"/>
          <w:color w:val="000000" w:themeColor="text1"/>
          <w:sz w:val="20"/>
          <w:szCs w:val="20"/>
        </w:rPr>
        <w:tab/>
      </w:r>
      <w:r w:rsidRPr="00360A96">
        <w:rPr>
          <w:rFonts w:ascii="Arial" w:hAnsi="Arial" w:cs="Arial"/>
          <w:color w:val="000000" w:themeColor="text1"/>
          <w:sz w:val="20"/>
          <w:szCs w:val="20"/>
        </w:rPr>
        <w:br/>
        <w:t xml:space="preserve">Synthetic double-stranded RNAs that mimic the function of downregulated tumor-suppressive miRNAs. Reintroduction of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or </w:t>
      </w:r>
      <w:r w:rsidRPr="00360A96">
        <w:rPr>
          <w:rStyle w:val="Emphasis"/>
          <w:rFonts w:ascii="Arial" w:hAnsi="Arial" w:cs="Arial"/>
          <w:color w:val="000000" w:themeColor="text1"/>
          <w:sz w:val="20"/>
          <w:szCs w:val="20"/>
        </w:rPr>
        <w:t>let-7</w:t>
      </w:r>
      <w:r w:rsidRPr="00360A96">
        <w:rPr>
          <w:rFonts w:ascii="Arial" w:hAnsi="Arial" w:cs="Arial"/>
          <w:color w:val="000000" w:themeColor="text1"/>
          <w:sz w:val="20"/>
          <w:szCs w:val="20"/>
        </w:rPr>
        <w:t xml:space="preserve"> mimics induces cell cycle arrest, reduces metastasis, and sensitizes PDAC cells to chemotherapy and radiotherapy </w:t>
      </w:r>
      <w:r w:rsidRPr="00360A96">
        <w:rPr>
          <w:rFonts w:ascii="Arial" w:hAnsi="Arial" w:cs="Arial"/>
          <w:color w:val="000000" w:themeColor="text1"/>
          <w:sz w:val="20"/>
          <w:szCs w:val="20"/>
          <w:lang w:val="tr-TR"/>
        </w:rPr>
        <w:t>(Liu et al., 2013)</w:t>
      </w:r>
      <w:r w:rsidRPr="00360A96">
        <w:rPr>
          <w:rFonts w:ascii="Arial" w:hAnsi="Arial" w:cs="Arial"/>
          <w:color w:val="000000" w:themeColor="text1"/>
          <w:sz w:val="20"/>
          <w:szCs w:val="20"/>
        </w:rPr>
        <w:t>.</w:t>
      </w:r>
    </w:p>
    <w:p w14:paraId="6BFAA01F"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Delivery </w:t>
      </w:r>
      <w:r w:rsidRPr="00360A96">
        <w:rPr>
          <w:rStyle w:val="Strong"/>
          <w:rFonts w:ascii="Arial" w:hAnsi="Arial" w:cs="Arial"/>
          <w:color w:val="000000" w:themeColor="text1"/>
          <w:sz w:val="22"/>
          <w:szCs w:val="22"/>
          <w:lang w:val="tr-TR"/>
        </w:rPr>
        <w:t>s</w:t>
      </w:r>
      <w:proofErr w:type="spellStart"/>
      <w:r w:rsidRPr="00360A96">
        <w:rPr>
          <w:rStyle w:val="Strong"/>
          <w:rFonts w:ascii="Arial" w:hAnsi="Arial" w:cs="Arial"/>
          <w:color w:val="000000" w:themeColor="text1"/>
          <w:sz w:val="22"/>
          <w:szCs w:val="22"/>
        </w:rPr>
        <w:t>ystems</w:t>
      </w:r>
      <w:proofErr w:type="spellEnd"/>
      <w:r w:rsidRPr="00360A96">
        <w:rPr>
          <w:rStyle w:val="Strong"/>
          <w:rFonts w:ascii="Arial" w:hAnsi="Arial" w:cs="Arial"/>
          <w:color w:val="000000" w:themeColor="text1"/>
          <w:sz w:val="22"/>
          <w:szCs w:val="22"/>
        </w:rPr>
        <w:t xml:space="preserve"> for miRNA </w:t>
      </w:r>
      <w:r w:rsidRPr="00360A96">
        <w:rPr>
          <w:rStyle w:val="Strong"/>
          <w:rFonts w:ascii="Arial" w:hAnsi="Arial" w:cs="Arial"/>
          <w:color w:val="000000" w:themeColor="text1"/>
          <w:sz w:val="22"/>
          <w:szCs w:val="22"/>
          <w:lang w:val="tr-TR"/>
        </w:rPr>
        <w:t>t</w:t>
      </w:r>
      <w:proofErr w:type="spellStart"/>
      <w:r w:rsidRPr="00360A96">
        <w:rPr>
          <w:rStyle w:val="Strong"/>
          <w:rFonts w:ascii="Arial" w:hAnsi="Arial" w:cs="Arial"/>
          <w:color w:val="000000" w:themeColor="text1"/>
          <w:sz w:val="22"/>
          <w:szCs w:val="22"/>
        </w:rPr>
        <w:t>herapeutics</w:t>
      </w:r>
      <w:proofErr w:type="spellEnd"/>
    </w:p>
    <w:p w14:paraId="08DDA925"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 major challenge in translating miRNA-based therapy lies in </w:t>
      </w:r>
      <w:r w:rsidRPr="002B7B3B">
        <w:rPr>
          <w:rStyle w:val="Strong"/>
          <w:rFonts w:ascii="Arial" w:hAnsi="Arial" w:cs="Arial"/>
          <w:b w:val="0"/>
          <w:bCs w:val="0"/>
          <w:color w:val="000000" w:themeColor="text1"/>
          <w:sz w:val="20"/>
          <w:szCs w:val="20"/>
        </w:rPr>
        <w:t>efficient and targeted delivery</w:t>
      </w:r>
      <w:r w:rsidRPr="00360A96">
        <w:rPr>
          <w:rFonts w:ascii="Arial" w:hAnsi="Arial" w:cs="Arial"/>
          <w:color w:val="000000" w:themeColor="text1"/>
          <w:sz w:val="20"/>
          <w:szCs w:val="20"/>
        </w:rPr>
        <w:t>. Naked oligonucleotides are prone to rapid degradation and exhibit limited cellular uptake. To overcome these obstacles, several delivery platforms have been developed, including</w:t>
      </w:r>
      <w:r w:rsidRPr="00360A96">
        <w:rPr>
          <w:rFonts w:ascii="Arial" w:hAnsi="Arial" w:cs="Arial"/>
          <w:color w:val="000000" w:themeColor="text1"/>
          <w:sz w:val="20"/>
          <w:szCs w:val="20"/>
          <w:lang w:val="tr-TR"/>
        </w:rPr>
        <w:t xml:space="preserve"> (Maziec et al., 2025)</w:t>
      </w:r>
      <w:r w:rsidRPr="00360A96">
        <w:rPr>
          <w:rFonts w:ascii="Arial" w:hAnsi="Arial" w:cs="Arial"/>
          <w:color w:val="000000" w:themeColor="text1"/>
          <w:sz w:val="20"/>
          <w:szCs w:val="20"/>
        </w:rPr>
        <w:t>:</w:t>
      </w:r>
    </w:p>
    <w:p w14:paraId="3AAEA8DD" w14:textId="77777777" w:rsidR="00755D41" w:rsidRPr="00360A96" w:rsidRDefault="00755D41" w:rsidP="00755D41">
      <w:pPr>
        <w:pStyle w:val="NormalWeb"/>
        <w:numPr>
          <w:ilvl w:val="0"/>
          <w:numId w:val="11"/>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Lipid-based nanoparticles (LNPs)</w:t>
      </w:r>
      <w:r w:rsidRPr="00360A96">
        <w:rPr>
          <w:rFonts w:ascii="Arial" w:hAnsi="Arial" w:cs="Arial"/>
          <w:color w:val="000000" w:themeColor="text1"/>
          <w:sz w:val="20"/>
          <w:szCs w:val="20"/>
        </w:rPr>
        <w:t xml:space="preserve"> – enabling encapsulation, protection, and controlled release of miRNA cargo;</w:t>
      </w:r>
    </w:p>
    <w:p w14:paraId="5990F782" w14:textId="77777777" w:rsidR="00755D41" w:rsidRPr="00360A96" w:rsidRDefault="00755D41" w:rsidP="00755D41">
      <w:pPr>
        <w:pStyle w:val="NormalWeb"/>
        <w:numPr>
          <w:ilvl w:val="0"/>
          <w:numId w:val="11"/>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lastRenderedPageBreak/>
        <w:t>Polymeric carriers</w:t>
      </w:r>
      <w:r w:rsidRPr="00360A96">
        <w:rPr>
          <w:rFonts w:ascii="Arial" w:hAnsi="Arial" w:cs="Arial"/>
          <w:color w:val="000000" w:themeColor="text1"/>
          <w:sz w:val="20"/>
          <w:szCs w:val="20"/>
        </w:rPr>
        <w:t xml:space="preserve"> – such as polyethyleneimine (PEI) or dendrimers that facilitate endosomal escape;</w:t>
      </w:r>
    </w:p>
    <w:p w14:paraId="29740C2C" w14:textId="77777777" w:rsidR="00755D41" w:rsidRPr="00360A96" w:rsidRDefault="00755D41" w:rsidP="00755D41">
      <w:pPr>
        <w:pStyle w:val="NormalWeb"/>
        <w:numPr>
          <w:ilvl w:val="0"/>
          <w:numId w:val="11"/>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Exosome-based delivery</w:t>
      </w:r>
      <w:r w:rsidRPr="00360A96">
        <w:rPr>
          <w:rFonts w:ascii="Arial" w:hAnsi="Arial" w:cs="Arial"/>
          <w:color w:val="000000" w:themeColor="text1"/>
          <w:sz w:val="20"/>
          <w:szCs w:val="20"/>
        </w:rPr>
        <w:t xml:space="preserve"> – leveraging endogenous vesicles for targeted and biocompatible transport; and</w:t>
      </w:r>
    </w:p>
    <w:p w14:paraId="6403B492" w14:textId="77777777" w:rsidR="00755D41" w:rsidRPr="00360A96" w:rsidRDefault="00755D41" w:rsidP="00755D41">
      <w:pPr>
        <w:pStyle w:val="NormalWeb"/>
        <w:numPr>
          <w:ilvl w:val="0"/>
          <w:numId w:val="11"/>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color w:val="000000" w:themeColor="text1"/>
          <w:sz w:val="20"/>
          <w:szCs w:val="20"/>
        </w:rPr>
        <w:t>Viral vectors</w:t>
      </w:r>
      <w:r w:rsidRPr="00360A96">
        <w:rPr>
          <w:rFonts w:ascii="Arial" w:hAnsi="Arial" w:cs="Arial"/>
          <w:color w:val="000000" w:themeColor="text1"/>
          <w:sz w:val="20"/>
          <w:szCs w:val="20"/>
        </w:rPr>
        <w:t xml:space="preserve"> – including lentiviral and adeno-associated viral (AAV) systems, allowing stable expression of therapeutic miRNAs </w:t>
      </w:r>
      <w:r w:rsidRPr="00360A96">
        <w:rPr>
          <w:rFonts w:ascii="Arial" w:hAnsi="Arial" w:cs="Arial"/>
          <w:color w:val="000000" w:themeColor="text1"/>
          <w:sz w:val="20"/>
          <w:szCs w:val="20"/>
          <w:lang w:val="tr-TR"/>
        </w:rPr>
        <w:t>(Wang et al., 2013)</w:t>
      </w:r>
      <w:r w:rsidRPr="00360A96">
        <w:rPr>
          <w:rFonts w:ascii="Arial" w:hAnsi="Arial" w:cs="Arial"/>
          <w:color w:val="000000" w:themeColor="text1"/>
          <w:sz w:val="20"/>
          <w:szCs w:val="20"/>
        </w:rPr>
        <w:t>.</w:t>
      </w:r>
    </w:p>
    <w:p w14:paraId="7D3334E7"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Among these, </w:t>
      </w:r>
      <w:r w:rsidRPr="002B7B3B">
        <w:rPr>
          <w:rStyle w:val="Strong"/>
          <w:rFonts w:ascii="Arial" w:hAnsi="Arial" w:cs="Arial"/>
          <w:b w:val="0"/>
          <w:bCs w:val="0"/>
          <w:color w:val="000000" w:themeColor="text1"/>
          <w:sz w:val="20"/>
          <w:szCs w:val="20"/>
        </w:rPr>
        <w:t>exosome-mediated delivery</w:t>
      </w:r>
      <w:r w:rsidRPr="00360A96">
        <w:rPr>
          <w:rFonts w:ascii="Arial" w:hAnsi="Arial" w:cs="Arial"/>
          <w:color w:val="000000" w:themeColor="text1"/>
          <w:sz w:val="20"/>
          <w:szCs w:val="20"/>
        </w:rPr>
        <w:t xml:space="preserve"> is particularly promising, as exosomes derived from immune or stromal cells can be engineered to selectively deliver miRNAs to tumor sites while minimizing off-target effects and immune activation.</w:t>
      </w:r>
    </w:p>
    <w:p w14:paraId="30818964"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Combination </w:t>
      </w:r>
      <w:r w:rsidRPr="00360A96">
        <w:rPr>
          <w:rStyle w:val="Strong"/>
          <w:rFonts w:ascii="Arial" w:hAnsi="Arial" w:cs="Arial"/>
          <w:color w:val="000000" w:themeColor="text1"/>
          <w:sz w:val="22"/>
          <w:szCs w:val="22"/>
          <w:lang w:val="tr-TR"/>
        </w:rPr>
        <w:t>s</w:t>
      </w:r>
      <w:proofErr w:type="spellStart"/>
      <w:r w:rsidRPr="00360A96">
        <w:rPr>
          <w:rStyle w:val="Strong"/>
          <w:rFonts w:ascii="Arial" w:hAnsi="Arial" w:cs="Arial"/>
          <w:color w:val="000000" w:themeColor="text1"/>
          <w:sz w:val="22"/>
          <w:szCs w:val="22"/>
        </w:rPr>
        <w:t>trategies</w:t>
      </w:r>
      <w:proofErr w:type="spellEnd"/>
      <w:r w:rsidRPr="00360A96">
        <w:rPr>
          <w:rStyle w:val="Strong"/>
          <w:rFonts w:ascii="Arial" w:hAnsi="Arial" w:cs="Arial"/>
          <w:color w:val="000000" w:themeColor="text1"/>
          <w:sz w:val="22"/>
          <w:szCs w:val="22"/>
        </w:rPr>
        <w:t xml:space="preserve"> and </w:t>
      </w:r>
      <w:r w:rsidRPr="00360A96">
        <w:rPr>
          <w:rStyle w:val="Strong"/>
          <w:rFonts w:ascii="Arial" w:hAnsi="Arial" w:cs="Arial"/>
          <w:color w:val="000000" w:themeColor="text1"/>
          <w:sz w:val="22"/>
          <w:szCs w:val="22"/>
          <w:lang w:val="tr-TR"/>
        </w:rPr>
        <w:t>f</w:t>
      </w:r>
      <w:proofErr w:type="spellStart"/>
      <w:r w:rsidRPr="00360A96">
        <w:rPr>
          <w:rStyle w:val="Strong"/>
          <w:rFonts w:ascii="Arial" w:hAnsi="Arial" w:cs="Arial"/>
          <w:color w:val="000000" w:themeColor="text1"/>
          <w:sz w:val="22"/>
          <w:szCs w:val="22"/>
        </w:rPr>
        <w:t>uture</w:t>
      </w:r>
      <w:proofErr w:type="spellEnd"/>
      <w:r w:rsidRPr="00360A96">
        <w:rPr>
          <w:rStyle w:val="Strong"/>
          <w:rFonts w:ascii="Arial" w:hAnsi="Arial" w:cs="Arial"/>
          <w:color w:val="000000" w:themeColor="text1"/>
          <w:sz w:val="22"/>
          <w:szCs w:val="22"/>
        </w:rPr>
        <w:t xml:space="preserve"> </w:t>
      </w:r>
      <w:r w:rsidRPr="00360A96">
        <w:rPr>
          <w:rStyle w:val="Strong"/>
          <w:rFonts w:ascii="Arial" w:hAnsi="Arial" w:cs="Arial"/>
          <w:color w:val="000000" w:themeColor="text1"/>
          <w:sz w:val="22"/>
          <w:szCs w:val="22"/>
          <w:lang w:val="tr-TR"/>
        </w:rPr>
        <w:t>d</w:t>
      </w:r>
      <w:proofErr w:type="spellStart"/>
      <w:r w:rsidRPr="00360A96">
        <w:rPr>
          <w:rStyle w:val="Strong"/>
          <w:rFonts w:ascii="Arial" w:hAnsi="Arial" w:cs="Arial"/>
          <w:color w:val="000000" w:themeColor="text1"/>
          <w:sz w:val="22"/>
          <w:szCs w:val="22"/>
        </w:rPr>
        <w:t>irections</w:t>
      </w:r>
      <w:proofErr w:type="spellEnd"/>
    </w:p>
    <w:p w14:paraId="74808463"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Given the multifactorial nature of PDAC, miRNA therapeutics are increasingly being explored in </w:t>
      </w:r>
      <w:r w:rsidRPr="002B7B3B">
        <w:rPr>
          <w:rStyle w:val="Strong"/>
          <w:rFonts w:ascii="Arial" w:hAnsi="Arial" w:cs="Arial"/>
          <w:b w:val="0"/>
          <w:bCs w:val="0"/>
          <w:color w:val="000000" w:themeColor="text1"/>
          <w:sz w:val="20"/>
          <w:szCs w:val="20"/>
        </w:rPr>
        <w:t>combination regimens</w:t>
      </w:r>
      <w:r w:rsidRPr="00360A96">
        <w:rPr>
          <w:rFonts w:ascii="Arial" w:hAnsi="Arial" w:cs="Arial"/>
          <w:color w:val="000000" w:themeColor="text1"/>
          <w:sz w:val="20"/>
          <w:szCs w:val="20"/>
        </w:rPr>
        <w:t xml:space="preserve"> with chemotherapy, immunotherapy, and microbial modulation. For example,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mimics have been shown to enhance sensitivity to gemcitabine and modulate immune checkpoint expression, suggesting potential synergy with immune checkpoint blockade. Similarly, modulation of the microbiome may influence miRNA biogenesis and expression through metabolic and inflammatory signaling pathways, providing a rationale for </w:t>
      </w:r>
      <w:r w:rsidRPr="002B7B3B">
        <w:rPr>
          <w:rStyle w:val="Strong"/>
          <w:rFonts w:ascii="Arial" w:hAnsi="Arial" w:cs="Arial"/>
          <w:b w:val="0"/>
          <w:bCs w:val="0"/>
          <w:color w:val="000000" w:themeColor="text1"/>
          <w:sz w:val="20"/>
          <w:szCs w:val="20"/>
        </w:rPr>
        <w:t>integrated microbiome–miRNA–immune therapies</w:t>
      </w:r>
      <w:r w:rsidRPr="002B7B3B">
        <w:rPr>
          <w:rFonts w:ascii="Arial" w:hAnsi="Arial" w:cs="Arial"/>
          <w:b/>
          <w:bCs/>
          <w:color w:val="000000" w:themeColor="text1"/>
          <w:sz w:val="20"/>
          <w:szCs w:val="20"/>
        </w:rPr>
        <w:t xml:space="preserve"> </w:t>
      </w:r>
      <w:r w:rsidRPr="00360A96">
        <w:rPr>
          <w:rFonts w:ascii="Arial" w:hAnsi="Arial" w:cs="Arial"/>
          <w:color w:val="000000" w:themeColor="text1"/>
          <w:sz w:val="20"/>
          <w:szCs w:val="20"/>
          <w:lang w:val="tr-TR"/>
        </w:rPr>
        <w:t>(Tesfaye et al., 2019)</w:t>
      </w:r>
      <w:r w:rsidRPr="00360A96">
        <w:rPr>
          <w:rFonts w:ascii="Arial" w:hAnsi="Arial" w:cs="Arial"/>
          <w:color w:val="000000" w:themeColor="text1"/>
          <w:sz w:val="20"/>
          <w:szCs w:val="20"/>
        </w:rPr>
        <w:t>.</w:t>
      </w:r>
    </w:p>
    <w:p w14:paraId="0163B99D" w14:textId="77777777" w:rsidR="00755D41" w:rsidRPr="00360A96"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However, clinical translation remains in early stages. The first-in-human phase I trial of </w:t>
      </w:r>
      <w:r w:rsidRPr="00360A96">
        <w:rPr>
          <w:rStyle w:val="Emphasis"/>
          <w:rFonts w:ascii="Arial" w:hAnsi="Arial" w:cs="Arial"/>
          <w:color w:val="000000" w:themeColor="text1"/>
          <w:sz w:val="20"/>
          <w:szCs w:val="20"/>
        </w:rPr>
        <w:t>MRX34</w:t>
      </w:r>
      <w:r w:rsidRPr="00360A96">
        <w:rPr>
          <w:rFonts w:ascii="Arial" w:hAnsi="Arial" w:cs="Arial"/>
          <w:color w:val="000000" w:themeColor="text1"/>
          <w:sz w:val="20"/>
          <w:szCs w:val="20"/>
        </w:rPr>
        <w:t xml:space="preserve">, a liposomal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mimic, demonstrated proof of concept but was halted due to immune-related toxicities, underscoring the need for improved delivery safety and specificity</w:t>
      </w:r>
      <w:r w:rsidRPr="00360A96">
        <w:rPr>
          <w:rFonts w:ascii="Arial" w:hAnsi="Arial" w:cs="Arial"/>
          <w:color w:val="000000" w:themeColor="text1"/>
          <w:sz w:val="20"/>
          <w:szCs w:val="20"/>
          <w:lang w:val="tr-TR"/>
        </w:rPr>
        <w:t xml:space="preserve"> (Hong et al., 2020)</w:t>
      </w:r>
      <w:r w:rsidRPr="00360A96">
        <w:rPr>
          <w:rFonts w:ascii="Arial" w:hAnsi="Arial" w:cs="Arial"/>
          <w:color w:val="000000" w:themeColor="text1"/>
          <w:sz w:val="20"/>
          <w:szCs w:val="20"/>
        </w:rPr>
        <w:t xml:space="preserve">. Future research must focus on </w:t>
      </w:r>
      <w:r w:rsidRPr="002B7B3B">
        <w:rPr>
          <w:rStyle w:val="Strong"/>
          <w:rFonts w:ascii="Arial" w:hAnsi="Arial" w:cs="Arial"/>
          <w:b w:val="0"/>
          <w:bCs w:val="0"/>
          <w:color w:val="000000" w:themeColor="text1"/>
          <w:sz w:val="20"/>
          <w:szCs w:val="20"/>
        </w:rPr>
        <w:t>biomarker-guided patient selection</w:t>
      </w:r>
      <w:r w:rsidRPr="002B7B3B">
        <w:rPr>
          <w:rFonts w:ascii="Arial" w:hAnsi="Arial" w:cs="Arial"/>
          <w:b/>
          <w:bCs/>
          <w:color w:val="000000" w:themeColor="text1"/>
          <w:sz w:val="20"/>
          <w:szCs w:val="20"/>
        </w:rPr>
        <w:t xml:space="preserve">, </w:t>
      </w:r>
      <w:r w:rsidRPr="002B7B3B">
        <w:rPr>
          <w:rStyle w:val="Strong"/>
          <w:rFonts w:ascii="Arial" w:hAnsi="Arial" w:cs="Arial"/>
          <w:b w:val="0"/>
          <w:bCs w:val="0"/>
          <w:color w:val="000000" w:themeColor="text1"/>
          <w:sz w:val="20"/>
          <w:szCs w:val="20"/>
        </w:rPr>
        <w:t>nanocarrier optimization</w:t>
      </w:r>
      <w:r w:rsidRPr="002B7B3B">
        <w:rPr>
          <w:rFonts w:ascii="Arial" w:hAnsi="Arial" w:cs="Arial"/>
          <w:b/>
          <w:bCs/>
          <w:color w:val="000000" w:themeColor="text1"/>
          <w:sz w:val="20"/>
          <w:szCs w:val="20"/>
        </w:rPr>
        <w:t xml:space="preserve">, </w:t>
      </w:r>
      <w:r w:rsidRPr="002B7B3B">
        <w:rPr>
          <w:rFonts w:ascii="Arial" w:hAnsi="Arial" w:cs="Arial"/>
          <w:color w:val="000000" w:themeColor="text1"/>
          <w:sz w:val="20"/>
          <w:szCs w:val="20"/>
        </w:rPr>
        <w:t xml:space="preserve">and </w:t>
      </w:r>
      <w:r w:rsidRPr="002B7B3B">
        <w:rPr>
          <w:rStyle w:val="Strong"/>
          <w:rFonts w:ascii="Arial" w:hAnsi="Arial" w:cs="Arial"/>
          <w:b w:val="0"/>
          <w:bCs w:val="0"/>
          <w:color w:val="000000" w:themeColor="text1"/>
          <w:sz w:val="20"/>
          <w:szCs w:val="20"/>
        </w:rPr>
        <w:t>combinatorial treatment design</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to fully realize the therapeutic potential of miRNAs in PDAC.</w:t>
      </w:r>
    </w:p>
    <w:p w14:paraId="69D46206" w14:textId="08BF2718"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Summar</w:t>
      </w:r>
      <w:r w:rsidR="0008674D">
        <w:rPr>
          <w:rStyle w:val="Strong"/>
          <w:rFonts w:ascii="Arial" w:hAnsi="Arial" w:cs="Arial"/>
          <w:color w:val="000000" w:themeColor="text1"/>
          <w:sz w:val="22"/>
          <w:szCs w:val="22"/>
        </w:rPr>
        <w:t>y</w:t>
      </w:r>
    </w:p>
    <w:p w14:paraId="7541E724" w14:textId="03BCF8DC" w:rsidR="0008674D" w:rsidRPr="0008674D" w:rsidRDefault="0008674D" w:rsidP="00755D41">
      <w:pPr>
        <w:pStyle w:val="NormalWeb"/>
        <w:ind w:left="567" w:right="283"/>
        <w:jc w:val="both"/>
        <w:rPr>
          <w:rFonts w:ascii="Arial" w:hAnsi="Arial" w:cs="Arial"/>
          <w:color w:val="000000" w:themeColor="text1"/>
          <w:sz w:val="20"/>
          <w:szCs w:val="20"/>
        </w:rPr>
      </w:pPr>
      <w:r w:rsidRPr="0008674D">
        <w:rPr>
          <w:rFonts w:ascii="Arial" w:hAnsi="Arial" w:cs="Arial"/>
          <w:sz w:val="20"/>
          <w:szCs w:val="20"/>
        </w:rPr>
        <w:t>In summary, although surgical resection remains the gold standard and only potentially curative treatment for PDAC, its applicability is limited by the disease’s typically late presentation. Conventional therapies, including chemotherapy and chemoradiotherapy, offer modest survival benefits, highlighting the urgent need for novel, mechanism-driven approaches. Emerging strategies such as immunotherapy, microbial modulation, and microRNA (miRNA)-targeted interventions show considerable promise for improving clinical outcomes. In this context, miRNAs represent a pivotal class of regulatory molecules at the intersection of cancer biology and precision medicine, with dual utility as both biomarkers and therapeutic agents for early detection, prognostication, and targeted treatment. Advances in elucidating miRNA–gene regulatory networks, improving delivery systems, and integrating miRNA-based therapies with immunologic and microbiome-focused approaches may collectively enable a paradigm shift in PDAC management. Ultimately, optimal treatment selection should be guided by disease stage, molecular profiling, and patient-specific factors, underscoring the importance of a multidisciplinary, precision-based framework.</w:t>
      </w:r>
    </w:p>
    <w:p w14:paraId="647D0F6A" w14:textId="77777777" w:rsidR="0043152C" w:rsidRPr="0043152C" w:rsidRDefault="0043152C" w:rsidP="0043152C">
      <w:pPr>
        <w:pStyle w:val="Heading3"/>
        <w:ind w:left="567"/>
        <w:jc w:val="both"/>
        <w:rPr>
          <w:rFonts w:ascii="Arial" w:hAnsi="Arial" w:cs="Arial"/>
          <w:sz w:val="22"/>
          <w:szCs w:val="22"/>
        </w:rPr>
      </w:pPr>
      <w:r w:rsidRPr="0043152C">
        <w:rPr>
          <w:rStyle w:val="Strong"/>
          <w:rFonts w:ascii="Arial" w:hAnsi="Arial" w:cs="Arial"/>
          <w:sz w:val="22"/>
          <w:szCs w:val="22"/>
        </w:rPr>
        <w:t>Conclusions</w:t>
      </w:r>
    </w:p>
    <w:p w14:paraId="2CC537D1" w14:textId="77777777" w:rsidR="0043152C" w:rsidRPr="0043152C" w:rsidRDefault="0043152C" w:rsidP="0043152C">
      <w:pPr>
        <w:pStyle w:val="NormalWeb"/>
        <w:ind w:left="567"/>
        <w:jc w:val="both"/>
        <w:rPr>
          <w:rFonts w:ascii="Arial" w:hAnsi="Arial" w:cs="Arial"/>
          <w:sz w:val="20"/>
          <w:szCs w:val="20"/>
        </w:rPr>
      </w:pPr>
      <w:r w:rsidRPr="0043152C">
        <w:rPr>
          <w:rFonts w:ascii="Arial" w:hAnsi="Arial" w:cs="Arial"/>
          <w:sz w:val="20"/>
          <w:szCs w:val="20"/>
        </w:rPr>
        <w:t>Pancreatic ductal adenocarcinoma (PDAC) remains one of the most formidable malignancies, characterized by late diagnosis, aggressive tumor biology, and profound resistance to conventional therapeutic modalities. Despite incremental advances in surgical approaches and systemic treatments, overall survival rates remain poor, highlighting the urgent need for more effective and transformative strategies.</w:t>
      </w:r>
    </w:p>
    <w:p w14:paraId="24FB0C64" w14:textId="77777777" w:rsidR="0043152C" w:rsidRPr="0043152C" w:rsidRDefault="0043152C" w:rsidP="0043152C">
      <w:pPr>
        <w:pStyle w:val="NormalWeb"/>
        <w:ind w:left="567"/>
        <w:jc w:val="both"/>
        <w:rPr>
          <w:rFonts w:ascii="Arial" w:hAnsi="Arial" w:cs="Arial"/>
          <w:sz w:val="20"/>
          <w:szCs w:val="20"/>
        </w:rPr>
      </w:pPr>
      <w:r w:rsidRPr="0043152C">
        <w:rPr>
          <w:rFonts w:ascii="Arial" w:hAnsi="Arial" w:cs="Arial"/>
          <w:sz w:val="20"/>
          <w:szCs w:val="20"/>
        </w:rPr>
        <w:lastRenderedPageBreak/>
        <w:t>Recent progress in tumor immunology, stromal biology, and molecular medicine has provided important insights into PDAC pathogenesis. Nevertheless, the highly immunosuppressive tumor microenvironment (TME)—marked by dense desmoplastic stroma, dysregulated cytokine networks, and limited infiltration of effector immune cells—continues to hinder robust antitumor immune responses. As a result, current immunotherapeutic approaches, including immune checkpoint inhibitors, CD40 agonists, cancer vaccines, adoptive cell therapies, and oncolytic viral strategies, have demonstrated only limited clinical efficacy in PDAC (Singh et al., 2015; Wang et al., 2024; Wojtukieicz et al., 2021; Tran et al., 2023; Henriksen et al., 2019; Andersson et al., 2024; Huang et al., 2021; Thoidingiam et al., 2024; Ye et al., 2024; Pourali et al., 2024; Jiang et al., 2022; De Castilhos et al., 2024).</w:t>
      </w:r>
    </w:p>
    <w:p w14:paraId="4E172C66" w14:textId="1BA50EED" w:rsidR="0043152C" w:rsidRPr="0043152C" w:rsidRDefault="0043152C" w:rsidP="0043152C">
      <w:pPr>
        <w:ind w:left="567"/>
        <w:jc w:val="both"/>
        <w:rPr>
          <w:rFonts w:ascii="Arial" w:hAnsi="Arial" w:cs="Arial"/>
          <w:sz w:val="20"/>
          <w:szCs w:val="20"/>
        </w:rPr>
      </w:pPr>
    </w:p>
    <w:p w14:paraId="6A0F1740" w14:textId="77777777" w:rsidR="0043152C" w:rsidRPr="0043152C" w:rsidRDefault="0043152C" w:rsidP="0043152C">
      <w:pPr>
        <w:pStyle w:val="Heading3"/>
        <w:ind w:left="567"/>
        <w:jc w:val="both"/>
        <w:rPr>
          <w:rFonts w:ascii="Arial" w:hAnsi="Arial" w:cs="Arial"/>
          <w:sz w:val="22"/>
          <w:szCs w:val="22"/>
        </w:rPr>
      </w:pPr>
      <w:r w:rsidRPr="0043152C">
        <w:rPr>
          <w:rStyle w:val="Strong"/>
          <w:rFonts w:ascii="Arial" w:hAnsi="Arial" w:cs="Arial"/>
          <w:sz w:val="22"/>
          <w:szCs w:val="22"/>
        </w:rPr>
        <w:t>Future Perspectives</w:t>
      </w:r>
    </w:p>
    <w:p w14:paraId="5FFBD60E" w14:textId="77777777" w:rsidR="0043152C" w:rsidRPr="0043152C" w:rsidRDefault="0043152C" w:rsidP="0043152C">
      <w:pPr>
        <w:pStyle w:val="NormalWeb"/>
        <w:ind w:left="567"/>
        <w:jc w:val="both"/>
        <w:rPr>
          <w:rFonts w:ascii="Arial" w:hAnsi="Arial" w:cs="Arial"/>
          <w:sz w:val="20"/>
          <w:szCs w:val="20"/>
        </w:rPr>
      </w:pPr>
      <w:r w:rsidRPr="0043152C">
        <w:rPr>
          <w:rFonts w:ascii="Arial" w:hAnsi="Arial" w:cs="Arial"/>
          <w:sz w:val="20"/>
          <w:szCs w:val="20"/>
        </w:rPr>
        <w:t>Overcoming the intrinsic resistance of PDAC will require integrated and multi-targeted approaches that simultaneously modulate the TME, target cancer stem cells (CSCs), and restore effective immune surveillance. Preclinical and early-phase clinical studies focusing on key developmental signaling pathways—such as Hedgehog, Wnt, and Notch, which are central to CSC maintenance—have shown promising results, particularly when combined with chemotherapy or immunotherapy (Lee et al., 2025). In parallel, strategies aimed at activating CD40 signaling and enhancing T-cell priming offer potential to convert PDAC from an immunologically “cold” to a more responsive “hot” tumor phenotype.</w:t>
      </w:r>
    </w:p>
    <w:p w14:paraId="5B4FAED3" w14:textId="77777777" w:rsidR="0043152C" w:rsidRPr="0043152C" w:rsidRDefault="0043152C" w:rsidP="0043152C">
      <w:pPr>
        <w:pStyle w:val="NormalWeb"/>
        <w:ind w:left="567"/>
        <w:jc w:val="both"/>
        <w:rPr>
          <w:rFonts w:ascii="Arial" w:hAnsi="Arial" w:cs="Arial"/>
          <w:sz w:val="20"/>
          <w:szCs w:val="20"/>
        </w:rPr>
      </w:pPr>
      <w:r w:rsidRPr="0043152C">
        <w:rPr>
          <w:rFonts w:ascii="Arial" w:hAnsi="Arial" w:cs="Arial"/>
          <w:sz w:val="20"/>
          <w:szCs w:val="20"/>
        </w:rPr>
        <w:t>In addition, growing evidence highlights the human microbiome as a critical regulator of pancreatic tumorigenesis and therapeutic response. Both gut and intratumoral microbial communities influence immune modulation, drug metabolism, and clinical outcomes. Interventions such as fecal microbiota transplantation (FMT), dietary modulation, and targeted antibiotic strategies have demonstrated potential to enhance immunotherapy efficacy, reduce toxicity, and limit disease recurrence (Henderson et al., 2023; Zhang et al., 2018; Thomas, 2017; Vrieze et al., 2012; Yamamura et al., 2025; Zhao et al., 2023; He et al., 2017; Pushalkar et al., 2018; Tanoue et al., 2019; Klement et al., 2019; Panebianco et al., 2018; Zhang et al., 2020; Riquelme et al., 2018; Li et al., 2016). However, key challenges remain, including optimal donor selection, standardization of microbial consortia, and a deeper mechanistic understanding of microbiome–immune interactions.</w:t>
      </w:r>
    </w:p>
    <w:p w14:paraId="1AF2C965" w14:textId="77777777" w:rsidR="0043152C" w:rsidRPr="0043152C" w:rsidRDefault="0043152C" w:rsidP="0043152C">
      <w:pPr>
        <w:pStyle w:val="NormalWeb"/>
        <w:ind w:left="567"/>
        <w:jc w:val="both"/>
        <w:rPr>
          <w:rFonts w:ascii="Arial" w:hAnsi="Arial" w:cs="Arial"/>
          <w:sz w:val="20"/>
          <w:szCs w:val="20"/>
        </w:rPr>
      </w:pPr>
      <w:r w:rsidRPr="0043152C">
        <w:rPr>
          <w:rFonts w:ascii="Arial" w:hAnsi="Arial" w:cs="Arial"/>
          <w:sz w:val="20"/>
          <w:szCs w:val="20"/>
        </w:rPr>
        <w:t>Concurrently, microRNAs (miRNAs) have emerged as promising diagnostic biomarkers and therapeutic targets. Oncogenic miRNAs such as miR-21, miR-155, and miR-221 contribute to tumor progression and therapeutic resistance, whereas tumor-suppressive miRNAs, including miR-34a and let-7, inhibit tumor growth and enhance treatment sensitivity. Advances in delivery technologies—particularly nanoparticle-, exosome-, and viral-based systems—are addressing previous translational limitations and paving the way for miRNA-based precision medicine approaches (Rachagani et al., 2016; Slotwinski et al., 2018; Fesler et al., 2020; Dong et al., 2025; Chu et al., 2022; Vahabi et al., 2023; Moriyama et al., 2009; Nalls et al., 2011; Hu et al., 2013; Liu et al., 2013; Wang et al., 2013; Tesfaye et al., 2019).</w:t>
      </w:r>
    </w:p>
    <w:p w14:paraId="6F24DB04" w14:textId="77777777" w:rsidR="0043152C" w:rsidRPr="0043152C" w:rsidRDefault="0043152C" w:rsidP="0043152C">
      <w:pPr>
        <w:pStyle w:val="NormalWeb"/>
        <w:ind w:left="567"/>
        <w:jc w:val="both"/>
        <w:rPr>
          <w:rFonts w:ascii="Arial" w:hAnsi="Arial" w:cs="Arial"/>
          <w:sz w:val="20"/>
          <w:szCs w:val="20"/>
        </w:rPr>
      </w:pPr>
      <w:r w:rsidRPr="0043152C">
        <w:rPr>
          <w:rFonts w:ascii="Arial" w:hAnsi="Arial" w:cs="Arial"/>
          <w:sz w:val="20"/>
          <w:szCs w:val="20"/>
        </w:rPr>
        <w:t>Collectively, these advances underscore that monotherapy is unlikely to achieve meaningful clinical success in PDAC. Future progress will depend on the development of rational combination strategies and adaptive clinical trial designs that integrate immunotherapy, microbiome modulation, and miRNA-based interventions within a systems biology framework. Furthermore, biomarker-driven patient stratification and real-time molecular profiling will be essential to identify patients most likely to benefit and to optimize therapeutic outcomes.</w:t>
      </w:r>
    </w:p>
    <w:p w14:paraId="716ED019" w14:textId="77777777" w:rsidR="00755D41" w:rsidRPr="00360A96" w:rsidRDefault="00755D41" w:rsidP="00755D41">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lastRenderedPageBreak/>
        <w:t xml:space="preserve">Future </w:t>
      </w:r>
      <w:r w:rsidRPr="00360A96">
        <w:rPr>
          <w:rStyle w:val="Strong"/>
          <w:rFonts w:ascii="Arial" w:hAnsi="Arial" w:cs="Arial"/>
          <w:color w:val="000000" w:themeColor="text1"/>
          <w:sz w:val="22"/>
          <w:szCs w:val="22"/>
          <w:lang w:val="tr-TR"/>
        </w:rPr>
        <w:t>D</w:t>
      </w:r>
      <w:proofErr w:type="spellStart"/>
      <w:r w:rsidRPr="00360A96">
        <w:rPr>
          <w:rStyle w:val="Strong"/>
          <w:rFonts w:ascii="Arial" w:hAnsi="Arial" w:cs="Arial"/>
          <w:color w:val="000000" w:themeColor="text1"/>
          <w:sz w:val="22"/>
          <w:szCs w:val="22"/>
        </w:rPr>
        <w:t>irections</w:t>
      </w:r>
      <w:proofErr w:type="spellEnd"/>
      <w:r w:rsidRPr="00360A96">
        <w:rPr>
          <w:rStyle w:val="Strong"/>
          <w:rFonts w:ascii="Arial" w:hAnsi="Arial" w:cs="Arial"/>
          <w:color w:val="000000" w:themeColor="text1"/>
          <w:sz w:val="22"/>
          <w:szCs w:val="22"/>
        </w:rPr>
        <w:t xml:space="preserve"> and </w:t>
      </w:r>
      <w:r w:rsidRPr="00360A96">
        <w:rPr>
          <w:rStyle w:val="Strong"/>
          <w:rFonts w:ascii="Arial" w:hAnsi="Arial" w:cs="Arial"/>
          <w:color w:val="000000" w:themeColor="text1"/>
          <w:sz w:val="22"/>
          <w:szCs w:val="22"/>
          <w:lang w:val="tr-TR"/>
        </w:rPr>
        <w:t>R</w:t>
      </w:r>
      <w:proofErr w:type="spellStart"/>
      <w:r w:rsidRPr="00360A96">
        <w:rPr>
          <w:rStyle w:val="Strong"/>
          <w:rFonts w:ascii="Arial" w:hAnsi="Arial" w:cs="Arial"/>
          <w:color w:val="000000" w:themeColor="text1"/>
          <w:sz w:val="22"/>
          <w:szCs w:val="22"/>
        </w:rPr>
        <w:t>ecommendations</w:t>
      </w:r>
      <w:proofErr w:type="spellEnd"/>
    </w:p>
    <w:p w14:paraId="433232E3" w14:textId="77777777" w:rsidR="00755D41" w:rsidRPr="00360A96" w:rsidRDefault="00755D41" w:rsidP="00755D41">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color w:val="000000" w:themeColor="text1"/>
          <w:sz w:val="20"/>
          <w:szCs w:val="20"/>
        </w:rPr>
        <w:t>Tumor Microenvironment Modulation</w:t>
      </w:r>
    </w:p>
    <w:p w14:paraId="77D70634"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Develop therapies that normalize the desmoplastic stroma and enhance immune cell infiltration.</w:t>
      </w:r>
    </w:p>
    <w:p w14:paraId="0F15EDA2"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Explore CD40 agonists, fibroblast reprogramming, and stromal-targeted nanotherapies to facilitate drug delivery and immune activation.</w:t>
      </w:r>
    </w:p>
    <w:p w14:paraId="574A1354" w14:textId="77777777" w:rsidR="00755D41" w:rsidRPr="00360A96" w:rsidRDefault="00755D41" w:rsidP="00755D41">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color w:val="000000" w:themeColor="text1"/>
          <w:sz w:val="20"/>
          <w:szCs w:val="20"/>
        </w:rPr>
        <w:t>Cancer Stem Cell (CSC) Targeting</w:t>
      </w:r>
    </w:p>
    <w:p w14:paraId="4FD44F30"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Integrate inhibitors of Hedgehog, Wnt, and Notch pathways with cytotoxic or immune-based treatments to eradicate CSC populations and prevent relapse.</w:t>
      </w:r>
    </w:p>
    <w:p w14:paraId="1EEEBDD4" w14:textId="77777777" w:rsidR="00755D41" w:rsidRPr="00360A96" w:rsidRDefault="00755D41" w:rsidP="00755D41">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color w:val="000000" w:themeColor="text1"/>
          <w:sz w:val="20"/>
          <w:szCs w:val="20"/>
        </w:rPr>
        <w:t>Microbiome-Based Therapeutics</w:t>
      </w:r>
    </w:p>
    <w:p w14:paraId="47F53C3E"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Conduct controlled clinical trials of FMT, defined microbial consortia, and prebiotic interventions to determine safety, efficacy, and optimal donor selection criteria.</w:t>
      </w:r>
    </w:p>
    <w:p w14:paraId="2614E247"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 xml:space="preserve">Establish </w:t>
      </w:r>
      <w:r w:rsidRPr="00360A96">
        <w:rPr>
          <w:rStyle w:val="Strong"/>
          <w:rFonts w:ascii="Arial" w:hAnsi="Arial" w:cs="Arial"/>
          <w:color w:val="000000" w:themeColor="text1"/>
          <w:sz w:val="20"/>
          <w:szCs w:val="20"/>
        </w:rPr>
        <w:t>microbiome biobanks</w:t>
      </w:r>
      <w:r w:rsidRPr="00360A96">
        <w:rPr>
          <w:rFonts w:ascii="Arial" w:hAnsi="Arial" w:cs="Arial"/>
          <w:color w:val="000000" w:themeColor="text1"/>
          <w:sz w:val="20"/>
          <w:szCs w:val="20"/>
        </w:rPr>
        <w:t xml:space="preserve"> for mechanistic and translational research.</w:t>
      </w:r>
    </w:p>
    <w:p w14:paraId="0A3989C6" w14:textId="77777777" w:rsidR="00755D41" w:rsidRPr="00360A96" w:rsidRDefault="00755D41" w:rsidP="00755D41">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color w:val="000000" w:themeColor="text1"/>
          <w:sz w:val="20"/>
          <w:szCs w:val="20"/>
        </w:rPr>
        <w:t>MicroRNA Therapeutics and Biomarkers</w:t>
      </w:r>
    </w:p>
    <w:p w14:paraId="5C672B73"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Advance miRNA mimic and inhibitor technologies for clinical use, emphasizing targeted delivery and safety.</w:t>
      </w:r>
    </w:p>
    <w:p w14:paraId="7CFAAF4B"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 xml:space="preserve">Incorporate </w:t>
      </w:r>
      <w:r w:rsidRPr="00A51EDE">
        <w:rPr>
          <w:rStyle w:val="Strong"/>
          <w:rFonts w:ascii="Arial" w:hAnsi="Arial" w:cs="Arial"/>
          <w:b w:val="0"/>
          <w:bCs w:val="0"/>
          <w:color w:val="000000" w:themeColor="text1"/>
          <w:sz w:val="20"/>
          <w:szCs w:val="20"/>
        </w:rPr>
        <w:t>liquid biopsy–based miRNA panels</w:t>
      </w:r>
      <w:r w:rsidRPr="00360A96">
        <w:rPr>
          <w:rFonts w:ascii="Arial" w:hAnsi="Arial" w:cs="Arial"/>
          <w:color w:val="000000" w:themeColor="text1"/>
          <w:sz w:val="20"/>
          <w:szCs w:val="20"/>
        </w:rPr>
        <w:t xml:space="preserve"> for early detection, treatment stratification, and response monitoring.</w:t>
      </w:r>
    </w:p>
    <w:p w14:paraId="3823CC41" w14:textId="77777777" w:rsidR="00755D41" w:rsidRPr="00360A96" w:rsidRDefault="00755D41" w:rsidP="00755D41">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color w:val="000000" w:themeColor="text1"/>
          <w:sz w:val="20"/>
          <w:szCs w:val="20"/>
        </w:rPr>
        <w:t>Integrated and Adaptive Clinical Trial Design</w:t>
      </w:r>
    </w:p>
    <w:p w14:paraId="505FA4C4"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 xml:space="preserve">Adopt </w:t>
      </w:r>
      <w:r w:rsidRPr="00A51EDE">
        <w:rPr>
          <w:rStyle w:val="Strong"/>
          <w:rFonts w:ascii="Arial" w:hAnsi="Arial" w:cs="Arial"/>
          <w:b w:val="0"/>
          <w:bCs w:val="0"/>
          <w:color w:val="000000" w:themeColor="text1"/>
          <w:sz w:val="20"/>
          <w:szCs w:val="20"/>
        </w:rPr>
        <w:t>multi-omics–driven, biomarker-adaptive trial models</w:t>
      </w:r>
      <w:r w:rsidRPr="00360A96">
        <w:rPr>
          <w:rFonts w:ascii="Arial" w:hAnsi="Arial" w:cs="Arial"/>
          <w:color w:val="000000" w:themeColor="text1"/>
          <w:sz w:val="20"/>
          <w:szCs w:val="20"/>
        </w:rPr>
        <w:t xml:space="preserve"> that evaluate the dynamic interplay among immune, microbial, and miRNA pathways.</w:t>
      </w:r>
    </w:p>
    <w:p w14:paraId="0040D42A"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Include correlative endpoints assessing immune infiltration, microbiome shifts, and molecular signaling changes.</w:t>
      </w:r>
    </w:p>
    <w:p w14:paraId="52180462" w14:textId="77777777" w:rsidR="00755D41" w:rsidRPr="00360A96" w:rsidRDefault="00755D41" w:rsidP="00755D41">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color w:val="000000" w:themeColor="text1"/>
          <w:sz w:val="20"/>
          <w:szCs w:val="20"/>
        </w:rPr>
        <w:t>Translational Infrastructure and Collaboration</w:t>
      </w:r>
    </w:p>
    <w:p w14:paraId="7E6CF51F"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Promote cross-disciplinary collaboration among oncologists, immunologists, microbiologists, and molecular biologists.</w:t>
      </w:r>
    </w:p>
    <w:p w14:paraId="3504A677" w14:textId="77777777" w:rsidR="00755D41" w:rsidRPr="00360A96" w:rsidRDefault="00755D41" w:rsidP="00755D41">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Expand patient-derived organoid and humanized mouse models to improve preclinical predictability.</w:t>
      </w:r>
    </w:p>
    <w:p w14:paraId="3F6F2C6A" w14:textId="4B1F195F" w:rsidR="00755D41" w:rsidRPr="00755D41" w:rsidRDefault="00755D41" w:rsidP="00755D41">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future of PDAC therapy lies in </w:t>
      </w:r>
      <w:r w:rsidRPr="00A51EDE">
        <w:rPr>
          <w:rStyle w:val="Strong"/>
          <w:rFonts w:ascii="Arial" w:hAnsi="Arial" w:cs="Arial"/>
          <w:b w:val="0"/>
          <w:bCs w:val="0"/>
          <w:color w:val="000000" w:themeColor="text1"/>
          <w:sz w:val="20"/>
          <w:szCs w:val="20"/>
        </w:rPr>
        <w:t>precision integration</w:t>
      </w:r>
      <w:r w:rsidRPr="00360A96">
        <w:rPr>
          <w:rFonts w:ascii="Arial" w:hAnsi="Arial" w:cs="Arial"/>
          <w:color w:val="000000" w:themeColor="text1"/>
          <w:sz w:val="20"/>
          <w:szCs w:val="20"/>
        </w:rPr>
        <w:t>—the convergence of immunotherapy, microbiome modulation, and miRNA-based regulation within adaptive, personalized frameworks. By addressing the multifactorial resistance mechanisms that define this malignancy, these synergistic strategies offer the most promising route to durable responses and improved survival. Sustained collaboration between basic scientists and clinicians will be critical to translating these innovations into tangible clinical benefit, transforming PDAC from a uniformly fatal disease into a manageable, treatable condition.</w:t>
      </w:r>
    </w:p>
    <w:p w14:paraId="2707A6AA" w14:textId="77777777" w:rsidR="00755D41" w:rsidRPr="00360A96" w:rsidRDefault="00755D41" w:rsidP="00755D41">
      <w:pPr>
        <w:spacing w:line="480" w:lineRule="auto"/>
        <w:ind w:left="567" w:right="283"/>
        <w:rPr>
          <w:rFonts w:ascii="Arial" w:hAnsi="Arial" w:cs="Arial"/>
          <w:b/>
          <w:bCs/>
          <w:sz w:val="22"/>
          <w:szCs w:val="22"/>
          <w:lang w:val="tr-TR"/>
        </w:rPr>
      </w:pPr>
      <w:r w:rsidRPr="00360A96">
        <w:rPr>
          <w:rFonts w:ascii="Arial" w:hAnsi="Arial" w:cs="Arial"/>
          <w:b/>
          <w:bCs/>
          <w:sz w:val="22"/>
          <w:szCs w:val="22"/>
          <w:lang w:val="tr-TR"/>
        </w:rPr>
        <w:t>Abbreviations</w:t>
      </w:r>
    </w:p>
    <w:p w14:paraId="6B919E86" w14:textId="79D186A2" w:rsidR="00755D41" w:rsidRPr="00360A96" w:rsidRDefault="00755D41" w:rsidP="00755D41">
      <w:pPr>
        <w:ind w:left="567"/>
        <w:jc w:val="both"/>
        <w:rPr>
          <w:rFonts w:ascii="Arial" w:hAnsi="Arial" w:cs="Arial"/>
          <w:sz w:val="20"/>
          <w:szCs w:val="20"/>
          <w:lang w:val="tr-TR"/>
        </w:rPr>
      </w:pPr>
      <w:r w:rsidRPr="00360A96">
        <w:rPr>
          <w:rFonts w:ascii="Arial" w:hAnsi="Arial" w:cs="Arial"/>
          <w:color w:val="000000" w:themeColor="text1"/>
          <w:sz w:val="20"/>
          <w:szCs w:val="20"/>
          <w:lang w:val="tr-TR"/>
        </w:rPr>
        <w:t xml:space="preserve">CA19-9, Carbohydrate antigen; CAR, Chimeric antigen receptor; </w:t>
      </w:r>
      <w:r w:rsidRPr="001E79AD">
        <w:rPr>
          <w:rFonts w:ascii="Arial" w:hAnsi="Arial" w:cs="Arial"/>
          <w:color w:val="000000" w:themeColor="text1"/>
          <w:sz w:val="20"/>
          <w:szCs w:val="20"/>
          <w:shd w:val="clear" w:color="auto" w:fill="FFFFFF"/>
          <w:lang w:val="tr-TR"/>
        </w:rPr>
        <w:t>CD8</w:t>
      </w:r>
      <w:r w:rsidRPr="00360A96">
        <w:rPr>
          <w:rFonts w:ascii="Arial" w:hAnsi="Arial" w:cs="Arial"/>
          <w:color w:val="000000" w:themeColor="text1"/>
          <w:sz w:val="20"/>
          <w:szCs w:val="20"/>
          <w:shd w:val="clear" w:color="auto" w:fill="FFFFFF"/>
          <w:lang w:val="tr-TR"/>
        </w:rPr>
        <w:t>,</w:t>
      </w:r>
      <w:r w:rsidRPr="001E79AD">
        <w:rPr>
          <w:rFonts w:ascii="Arial" w:hAnsi="Arial" w:cs="Arial"/>
          <w:color w:val="000000" w:themeColor="text1"/>
          <w:sz w:val="20"/>
          <w:szCs w:val="20"/>
          <w:shd w:val="clear" w:color="auto" w:fill="FFFFFF"/>
          <w:lang w:val="tr-TR"/>
        </w:rPr>
        <w:t xml:space="preserve"> Transmembrane glycoproteins</w:t>
      </w:r>
      <w:r w:rsidRPr="00360A96">
        <w:rPr>
          <w:rFonts w:ascii="Arial" w:hAnsi="Arial" w:cs="Arial"/>
          <w:color w:val="000000" w:themeColor="text1"/>
          <w:sz w:val="20"/>
          <w:szCs w:val="20"/>
          <w:shd w:val="clear" w:color="auto" w:fill="FFFFFF"/>
          <w:lang w:val="tr-TR"/>
        </w:rPr>
        <w:t xml:space="preserve"> of T cells</w:t>
      </w:r>
      <w:r w:rsidRPr="001E79AD">
        <w:rPr>
          <w:rFonts w:ascii="Arial" w:hAnsi="Arial" w:cs="Arial"/>
          <w:color w:val="000000" w:themeColor="text1"/>
          <w:sz w:val="20"/>
          <w:szCs w:val="20"/>
          <w:shd w:val="clear" w:color="auto" w:fill="FFFFFF"/>
          <w:lang w:val="tr-TR"/>
        </w:rPr>
        <w:t>;</w:t>
      </w:r>
      <w:r w:rsidRPr="00360A96">
        <w:rPr>
          <w:rFonts w:ascii="Arial" w:hAnsi="Arial" w:cs="Arial"/>
          <w:color w:val="000000" w:themeColor="text1"/>
          <w:sz w:val="20"/>
          <w:szCs w:val="20"/>
          <w:lang w:val="tr-TR"/>
        </w:rPr>
        <w:t xml:space="preserve"> CP, Cancer patient; CSCs, Cancer stem cells; CT-Computed tomography; </w:t>
      </w:r>
      <w:r w:rsidR="001541A5">
        <w:rPr>
          <w:rFonts w:ascii="Arial" w:hAnsi="Arial" w:cs="Arial"/>
          <w:color w:val="000000" w:themeColor="text1"/>
          <w:sz w:val="20"/>
          <w:szCs w:val="20"/>
          <w:lang w:val="tr-TR"/>
        </w:rPr>
        <w:t xml:space="preserve">CTLA, Cytotoxic T-cell associated protein; </w:t>
      </w:r>
      <w:r w:rsidRPr="00360A96">
        <w:rPr>
          <w:rFonts w:ascii="Arial" w:hAnsi="Arial" w:cs="Arial"/>
          <w:color w:val="000000" w:themeColor="text1"/>
          <w:sz w:val="20"/>
          <w:szCs w:val="20"/>
          <w:lang w:val="tr-TR"/>
        </w:rPr>
        <w:t>DL, Deep</w:t>
      </w:r>
      <w:r w:rsidR="00301751">
        <w:rPr>
          <w:rFonts w:ascii="Arial" w:hAnsi="Arial" w:cs="Arial"/>
          <w:color w:val="000000" w:themeColor="text1"/>
          <w:sz w:val="20"/>
          <w:szCs w:val="20"/>
          <w:lang w:val="tr-TR"/>
        </w:rPr>
        <w:t xml:space="preserve"> </w:t>
      </w:r>
      <w:r w:rsidRPr="00360A96">
        <w:rPr>
          <w:rFonts w:ascii="Arial" w:hAnsi="Arial" w:cs="Arial"/>
          <w:color w:val="000000" w:themeColor="text1"/>
          <w:sz w:val="20"/>
          <w:szCs w:val="20"/>
          <w:lang w:val="tr-TR"/>
        </w:rPr>
        <w:t xml:space="preserve">learning; </w:t>
      </w:r>
      <w:r w:rsidR="004E60E1">
        <w:rPr>
          <w:rFonts w:ascii="Arial" w:hAnsi="Arial" w:cs="Arial"/>
          <w:color w:val="000000" w:themeColor="text1"/>
          <w:sz w:val="20"/>
          <w:szCs w:val="20"/>
          <w:lang w:val="tr-TR"/>
        </w:rPr>
        <w:t xml:space="preserve">dMMR, </w:t>
      </w:r>
      <w:r w:rsidR="004E60E1">
        <w:rPr>
          <w:rFonts w:ascii="Arial" w:hAnsi="Arial" w:cs="Arial"/>
          <w:sz w:val="20"/>
          <w:szCs w:val="20"/>
          <w:lang w:val="tr-TR"/>
        </w:rPr>
        <w:t>D</w:t>
      </w:r>
      <w:r w:rsidR="004E60E1" w:rsidRPr="00EF2B78">
        <w:rPr>
          <w:rFonts w:ascii="Arial" w:hAnsi="Arial" w:cs="Arial"/>
          <w:sz w:val="20"/>
          <w:szCs w:val="20"/>
        </w:rPr>
        <w:t>eficient mismatch repair</w:t>
      </w:r>
      <w:r w:rsidR="004E60E1">
        <w:rPr>
          <w:rFonts w:ascii="Arial" w:hAnsi="Arial" w:cs="Arial"/>
          <w:sz w:val="20"/>
          <w:szCs w:val="20"/>
          <w:lang w:val="tr-TR"/>
        </w:rPr>
        <w:t>;</w:t>
      </w:r>
      <w:r w:rsidR="004E60E1" w:rsidRPr="00EF2B78">
        <w:rPr>
          <w:rFonts w:ascii="Arial" w:hAnsi="Arial" w:cs="Arial"/>
          <w:sz w:val="20"/>
          <w:szCs w:val="20"/>
        </w:rPr>
        <w:t xml:space="preserve"> </w:t>
      </w:r>
      <w:r w:rsidR="00301751">
        <w:rPr>
          <w:rFonts w:ascii="Arial" w:hAnsi="Arial" w:cs="Arial"/>
          <w:color w:val="000000" w:themeColor="text1"/>
          <w:sz w:val="20"/>
          <w:szCs w:val="20"/>
          <w:lang w:val="tr-TR"/>
        </w:rPr>
        <w:t xml:space="preserve">EGFR, Endothelial growth factor receptor; </w:t>
      </w:r>
      <w:r w:rsidRPr="00360A96">
        <w:rPr>
          <w:rFonts w:ascii="Arial" w:hAnsi="Arial" w:cs="Arial"/>
          <w:color w:val="000000" w:themeColor="text1"/>
          <w:sz w:val="20"/>
          <w:szCs w:val="20"/>
          <w:lang w:val="tr-TR"/>
        </w:rPr>
        <w:t xml:space="preserve">EU, Uuropean union; EUS, Endoscopic ultrasound; FMT, Fecal microbiota transplantation; </w:t>
      </w:r>
      <w:r w:rsidR="00301751">
        <w:rPr>
          <w:rFonts w:ascii="Arial" w:hAnsi="Arial" w:cs="Arial"/>
          <w:color w:val="000000" w:themeColor="text1"/>
          <w:sz w:val="20"/>
          <w:szCs w:val="20"/>
          <w:lang w:val="tr-TR"/>
        </w:rPr>
        <w:t xml:space="preserve">FOLFRINOX, 5-Fluorouraci-leucovorin-irinotecan; </w:t>
      </w:r>
      <w:r w:rsidR="001541A5">
        <w:rPr>
          <w:rFonts w:ascii="Arial" w:hAnsi="Arial" w:cs="Arial"/>
          <w:color w:val="000000" w:themeColor="text1"/>
          <w:sz w:val="20"/>
          <w:szCs w:val="20"/>
          <w:lang w:val="tr-TR"/>
        </w:rPr>
        <w:t xml:space="preserve">GM-CSF, Granulocyte macrophage coloni-stimulating factor;  </w:t>
      </w:r>
      <w:r w:rsidRPr="00360A96">
        <w:rPr>
          <w:rFonts w:ascii="Arial" w:hAnsi="Arial" w:cs="Arial"/>
          <w:color w:val="000000" w:themeColor="text1"/>
          <w:sz w:val="20"/>
          <w:szCs w:val="20"/>
          <w:lang w:val="tr-TR"/>
        </w:rPr>
        <w:t>HFCS, High fructose corn syrup; ICB, Immune checkpoint blockade; ICIs, Immune checkpoint inhibitors; IFN-g, Interferongamma;</w:t>
      </w:r>
      <w:r w:rsidR="00301751">
        <w:rPr>
          <w:rFonts w:ascii="Arial" w:hAnsi="Arial" w:cs="Arial"/>
          <w:color w:val="000000" w:themeColor="text1"/>
          <w:sz w:val="20"/>
          <w:szCs w:val="20"/>
          <w:lang w:val="tr-TR"/>
        </w:rPr>
        <w:t xml:space="preserve"> KRAS, Kirsten rat sarcoma; </w:t>
      </w:r>
      <w:r w:rsidRPr="00360A96">
        <w:rPr>
          <w:rFonts w:ascii="Arial" w:hAnsi="Arial" w:cs="Arial"/>
          <w:color w:val="000000" w:themeColor="text1"/>
          <w:sz w:val="20"/>
          <w:szCs w:val="20"/>
          <w:lang w:val="tr-TR"/>
        </w:rPr>
        <w:t xml:space="preserve"> LPS, Lipopolysaccharides; </w:t>
      </w:r>
      <w:r w:rsidR="00301751">
        <w:rPr>
          <w:rFonts w:ascii="Arial" w:hAnsi="Arial" w:cs="Arial"/>
          <w:color w:val="000000" w:themeColor="text1"/>
          <w:sz w:val="20"/>
          <w:szCs w:val="20"/>
          <w:lang w:val="tr-TR"/>
        </w:rPr>
        <w:t xml:space="preserve">MRCP, Magnetic resonance cholangiopancreatography; MRI, Magnetic resonance imaging; </w:t>
      </w:r>
      <w:r w:rsidR="001541A5">
        <w:rPr>
          <w:rFonts w:ascii="Arial" w:hAnsi="Arial" w:cs="Arial"/>
          <w:color w:val="000000" w:themeColor="text1"/>
          <w:sz w:val="20"/>
          <w:szCs w:val="20"/>
          <w:lang w:val="tr-TR"/>
        </w:rPr>
        <w:t xml:space="preserve">MSI-H, High microsatellite instability; MUC1, Mucin 1; </w:t>
      </w:r>
      <w:r w:rsidRPr="00360A96">
        <w:rPr>
          <w:rFonts w:ascii="Arial" w:hAnsi="Arial" w:cs="Arial"/>
          <w:color w:val="000000" w:themeColor="text1"/>
          <w:sz w:val="20"/>
          <w:szCs w:val="20"/>
          <w:lang w:val="tr-TR"/>
        </w:rPr>
        <w:t xml:space="preserve">PC, Pancreatic cancer; PD-1, Programmed cell death protein-1; PDAC, Pancreatic ductal adenocarcinoma; SCFAs, Short chain fatty acids; </w:t>
      </w:r>
      <w:r w:rsidR="00301751">
        <w:rPr>
          <w:rFonts w:ascii="Arial" w:hAnsi="Arial" w:cs="Arial"/>
          <w:color w:val="000000" w:themeColor="text1"/>
          <w:sz w:val="20"/>
          <w:szCs w:val="20"/>
          <w:lang w:val="tr-TR"/>
        </w:rPr>
        <w:t>TAM</w:t>
      </w:r>
      <w:r w:rsidR="001541A5">
        <w:rPr>
          <w:rFonts w:ascii="Arial" w:hAnsi="Arial" w:cs="Arial"/>
          <w:color w:val="000000" w:themeColor="text1"/>
          <w:sz w:val="20"/>
          <w:szCs w:val="20"/>
          <w:lang w:val="tr-TR"/>
        </w:rPr>
        <w:t xml:space="preserve">s, Tumor-associated macrophages; TLR, </w:t>
      </w:r>
      <w:r w:rsidR="000C687D">
        <w:rPr>
          <w:rFonts w:ascii="Arial" w:hAnsi="Arial" w:cs="Arial"/>
          <w:color w:val="000000" w:themeColor="text1"/>
          <w:sz w:val="20"/>
          <w:szCs w:val="20"/>
          <w:lang w:val="tr-TR"/>
        </w:rPr>
        <w:t xml:space="preserve">Toll-like receptor; </w:t>
      </w:r>
      <w:r w:rsidRPr="00360A96">
        <w:rPr>
          <w:rFonts w:ascii="Arial" w:hAnsi="Arial" w:cs="Arial"/>
          <w:color w:val="000000" w:themeColor="text1"/>
          <w:sz w:val="20"/>
          <w:szCs w:val="20"/>
          <w:lang w:val="tr-TR"/>
        </w:rPr>
        <w:t>TME, Tumor microenvironment; TNM, Tumor size-nodal involement-metastatic spread</w:t>
      </w:r>
      <w:r w:rsidR="00301751">
        <w:rPr>
          <w:rFonts w:ascii="Arial" w:hAnsi="Arial" w:cs="Arial"/>
          <w:color w:val="000000" w:themeColor="text1"/>
          <w:sz w:val="20"/>
          <w:szCs w:val="20"/>
          <w:lang w:val="tr-TR"/>
        </w:rPr>
        <w:t>; VEGF, vascular endothelial growth factor</w:t>
      </w:r>
      <w:r w:rsidRPr="00360A96">
        <w:rPr>
          <w:rFonts w:ascii="Arial" w:hAnsi="Arial" w:cs="Arial"/>
          <w:sz w:val="20"/>
          <w:szCs w:val="20"/>
          <w:lang w:val="tr-TR"/>
        </w:rPr>
        <w:t xml:space="preserve">. </w:t>
      </w:r>
    </w:p>
    <w:p w14:paraId="4C7B618E" w14:textId="77777777" w:rsidR="00755D41" w:rsidRPr="001E79AD" w:rsidRDefault="00755D41" w:rsidP="00755D41">
      <w:pPr>
        <w:ind w:left="567" w:right="283"/>
        <w:rPr>
          <w:rFonts w:ascii="Times New Roman" w:hAnsi="Times New Roman" w:cs="Times New Roman"/>
          <w:b/>
          <w:bCs/>
          <w:lang w:val="tr-TR"/>
        </w:rPr>
      </w:pPr>
    </w:p>
    <w:p w14:paraId="744EFDA1" w14:textId="11D99DCB" w:rsidR="00415342" w:rsidRPr="00415342" w:rsidRDefault="00415342" w:rsidP="00275DEE">
      <w:pPr>
        <w:ind w:left="567"/>
        <w:rPr>
          <w:rFonts w:ascii="Arial" w:eastAsia="Calibri" w:hAnsi="Arial" w:cs="Arial"/>
          <w:b/>
          <w:sz w:val="20"/>
          <w:szCs w:val="20"/>
          <w14:ligatures w14:val="none"/>
        </w:rPr>
      </w:pPr>
      <w:r w:rsidRPr="00415342">
        <w:rPr>
          <w:rFonts w:ascii="Arial" w:eastAsia="Calibri" w:hAnsi="Arial" w:cs="Arial"/>
          <w:b/>
          <w:sz w:val="20"/>
          <w:szCs w:val="20"/>
          <w14:ligatures w14:val="none"/>
        </w:rPr>
        <w:lastRenderedPageBreak/>
        <w:t>Disclaimer (Artificial intelligence)</w:t>
      </w:r>
    </w:p>
    <w:p w14:paraId="495821AE" w14:textId="77777777" w:rsidR="00786298" w:rsidRPr="00786298" w:rsidRDefault="00786298" w:rsidP="00786298">
      <w:pPr>
        <w:ind w:left="567"/>
        <w:rPr>
          <w:rFonts w:ascii="Arial" w:eastAsia="Calibri" w:hAnsi="Arial" w:cs="Arial"/>
          <w:sz w:val="20"/>
          <w:szCs w:val="20"/>
          <w14:ligatures w14:val="none"/>
        </w:rPr>
      </w:pPr>
      <w:r w:rsidRPr="00786298">
        <w:rPr>
          <w:rFonts w:ascii="Arial" w:eastAsia="Calibri" w:hAnsi="Arial" w:cs="Arial"/>
          <w:sz w:val="20"/>
          <w:szCs w:val="20"/>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75402D" w14:textId="77777777" w:rsidR="00786298" w:rsidRDefault="00786298" w:rsidP="00786298">
      <w:pPr>
        <w:ind w:left="567"/>
        <w:rPr>
          <w:rFonts w:ascii="Arial" w:eastAsia="Calibri" w:hAnsi="Arial" w:cs="Arial"/>
          <w:sz w:val="20"/>
          <w:szCs w:val="20"/>
          <w14:ligatures w14:val="none"/>
        </w:rPr>
      </w:pPr>
      <w:r w:rsidRPr="00786298">
        <w:rPr>
          <w:rFonts w:ascii="Arial" w:eastAsia="Calibri" w:hAnsi="Arial" w:cs="Arial"/>
          <w:sz w:val="20"/>
          <w:szCs w:val="20"/>
          <w14:ligatures w14:val="none"/>
        </w:rPr>
        <w:t>Details of the AI usage are given below:</w:t>
      </w:r>
    </w:p>
    <w:p w14:paraId="475C0C3D" w14:textId="77777777" w:rsidR="00786298" w:rsidRDefault="00786298" w:rsidP="00786298">
      <w:pPr>
        <w:ind w:left="567"/>
        <w:rPr>
          <w:rFonts w:ascii="Arial" w:eastAsia="Calibri" w:hAnsi="Arial" w:cs="Arial"/>
          <w:sz w:val="20"/>
          <w:szCs w:val="20"/>
          <w14:ligatures w14:val="none"/>
        </w:rPr>
      </w:pPr>
    </w:p>
    <w:p w14:paraId="13C9A5F0" w14:textId="23C8DBBA" w:rsidR="00275DEE" w:rsidRPr="00275DEE" w:rsidRDefault="00786298" w:rsidP="00786298">
      <w:pPr>
        <w:ind w:left="567"/>
        <w:rPr>
          <w:rFonts w:ascii="Arial" w:eastAsia="Calibri" w:hAnsi="Arial" w:cs="Arial"/>
          <w:sz w:val="20"/>
          <w:szCs w:val="20"/>
          <w14:ligatures w14:val="none"/>
        </w:rPr>
      </w:pPr>
      <w:r>
        <w:rPr>
          <w:rFonts w:ascii="Arial" w:eastAsia="Calibri" w:hAnsi="Arial" w:cs="Arial"/>
          <w:sz w:val="20"/>
          <w:szCs w:val="20"/>
          <w14:ligatures w14:val="none"/>
        </w:rPr>
        <w:t>1.</w:t>
      </w:r>
      <w:r w:rsidR="00275DEE">
        <w:rPr>
          <w:rFonts w:ascii="Arial" w:eastAsia="Calibri" w:hAnsi="Arial" w:cs="Arial"/>
          <w:sz w:val="20"/>
          <w:szCs w:val="20"/>
          <w14:ligatures w14:val="none"/>
        </w:rPr>
        <w:t xml:space="preserve">Chat GPT is used only for </w:t>
      </w:r>
      <w:r w:rsidR="00C37A99">
        <w:rPr>
          <w:rFonts w:ascii="Arial" w:eastAsia="Calibri" w:hAnsi="Arial" w:cs="Arial"/>
          <w:sz w:val="20"/>
          <w:szCs w:val="20"/>
          <w14:ligatures w14:val="none"/>
        </w:rPr>
        <w:t>grammar</w:t>
      </w:r>
      <w:r w:rsidR="00275DEE">
        <w:rPr>
          <w:rFonts w:ascii="Arial" w:eastAsia="Calibri" w:hAnsi="Arial" w:cs="Arial"/>
          <w:sz w:val="20"/>
          <w:szCs w:val="20"/>
          <w14:ligatures w14:val="none"/>
        </w:rPr>
        <w:t xml:space="preserve"> checking.</w:t>
      </w:r>
    </w:p>
    <w:p w14:paraId="1ABD75D3" w14:textId="77777777" w:rsidR="00275DEE" w:rsidRPr="00360A96" w:rsidRDefault="00275DEE" w:rsidP="00755D41">
      <w:pPr>
        <w:ind w:left="567" w:right="283"/>
        <w:jc w:val="both"/>
        <w:rPr>
          <w:rFonts w:ascii="Arial" w:eastAsia="Calibri" w:hAnsi="Arial" w:cs="Arial"/>
          <w:sz w:val="20"/>
          <w:szCs w:val="20"/>
        </w:rPr>
      </w:pPr>
    </w:p>
    <w:p w14:paraId="5E0AC256" w14:textId="77777777" w:rsidR="00755D41" w:rsidRPr="00360A96" w:rsidRDefault="00755D41" w:rsidP="00755D41">
      <w:pPr>
        <w:ind w:left="567" w:right="283"/>
        <w:jc w:val="both"/>
        <w:rPr>
          <w:rFonts w:ascii="Times New Roman" w:hAnsi="Times New Roman" w:cs="Times New Roman"/>
          <w:lang w:val="tr-TR"/>
        </w:rPr>
      </w:pPr>
    </w:p>
    <w:p w14:paraId="391ABE01" w14:textId="77777777" w:rsidR="00755D41" w:rsidRDefault="00755D41" w:rsidP="00755D41">
      <w:pPr>
        <w:spacing w:line="480" w:lineRule="auto"/>
        <w:ind w:right="283"/>
        <w:jc w:val="both"/>
        <w:rPr>
          <w:rFonts w:ascii="Arial" w:hAnsi="Arial" w:cs="Arial"/>
          <w:sz w:val="20"/>
          <w:szCs w:val="20"/>
          <w:lang w:val="tr-TR"/>
        </w:rPr>
      </w:pPr>
    </w:p>
    <w:p w14:paraId="3990B4BF" w14:textId="77777777" w:rsidR="00F55A8D" w:rsidRDefault="00F55A8D" w:rsidP="00F55A8D">
      <w:pPr>
        <w:rPr>
          <w:highlight w:val="yellow"/>
        </w:rPr>
      </w:pPr>
      <w:r>
        <w:rPr>
          <w:highlight w:val="yellow"/>
        </w:rPr>
        <w:t>Disclaimer (Artificial intelligence)</w:t>
      </w:r>
    </w:p>
    <w:p w14:paraId="7F72CB17" w14:textId="77777777" w:rsidR="00F55A8D" w:rsidRDefault="00F55A8D" w:rsidP="00F55A8D">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71E62B09" w14:textId="77777777" w:rsidR="00F55A8D" w:rsidRDefault="00F55A8D" w:rsidP="00F55A8D"/>
    <w:p w14:paraId="5CAAA632" w14:textId="77777777" w:rsidR="00275DEE" w:rsidRPr="00360A96" w:rsidRDefault="00275DEE" w:rsidP="00755D41">
      <w:pPr>
        <w:spacing w:line="480" w:lineRule="auto"/>
        <w:ind w:right="283"/>
        <w:jc w:val="both"/>
        <w:rPr>
          <w:rFonts w:ascii="Times New Roman" w:hAnsi="Times New Roman" w:cs="Times New Roman"/>
          <w:b/>
        </w:rPr>
      </w:pPr>
    </w:p>
    <w:p w14:paraId="51F7EF20" w14:textId="77777777" w:rsidR="00755D41" w:rsidRPr="00360A96" w:rsidRDefault="00755D41" w:rsidP="00755D41">
      <w:pPr>
        <w:spacing w:line="480" w:lineRule="auto"/>
        <w:ind w:left="1134" w:right="283" w:hanging="567"/>
        <w:jc w:val="both"/>
        <w:rPr>
          <w:rFonts w:ascii="Arial" w:hAnsi="Arial" w:cs="Arial"/>
          <w:b/>
          <w:sz w:val="22"/>
          <w:szCs w:val="22"/>
        </w:rPr>
      </w:pPr>
      <w:r w:rsidRPr="00360A96">
        <w:rPr>
          <w:rFonts w:ascii="Arial" w:hAnsi="Arial" w:cs="Arial"/>
          <w:b/>
          <w:sz w:val="22"/>
          <w:szCs w:val="22"/>
        </w:rPr>
        <w:t>R</w:t>
      </w:r>
      <w:r w:rsidRPr="00360A96">
        <w:rPr>
          <w:rFonts w:ascii="Arial" w:hAnsi="Arial" w:cs="Arial"/>
          <w:b/>
          <w:sz w:val="22"/>
          <w:szCs w:val="22"/>
          <w:lang w:val="tr-TR"/>
        </w:rPr>
        <w:t>EFERENCES</w:t>
      </w:r>
      <w:r w:rsidRPr="00360A96">
        <w:rPr>
          <w:rFonts w:ascii="Arial" w:hAnsi="Arial" w:cs="Arial"/>
          <w:b/>
          <w:sz w:val="22"/>
          <w:szCs w:val="22"/>
        </w:rPr>
        <w:t xml:space="preserve">  </w:t>
      </w:r>
    </w:p>
    <w:p w14:paraId="2F9D7265" w14:textId="77777777" w:rsidR="00755D41" w:rsidRPr="00360A96" w:rsidRDefault="00755D41" w:rsidP="00755D41">
      <w:pPr>
        <w:pStyle w:val="ListParagraph"/>
        <w:ind w:left="1134" w:right="283" w:hanging="567"/>
        <w:jc w:val="both"/>
        <w:rPr>
          <w:rFonts w:ascii="Arial" w:hAnsi="Arial" w:cs="Arial"/>
          <w:bCs/>
          <w:color w:val="0070C0"/>
          <w:sz w:val="20"/>
          <w:szCs w:val="20"/>
        </w:rPr>
      </w:pPr>
      <w:r w:rsidRPr="00360A96">
        <w:rPr>
          <w:rFonts w:ascii="Arial" w:hAnsi="Arial" w:cs="Arial"/>
          <w:color w:val="000000" w:themeColor="text1"/>
          <w:sz w:val="20"/>
          <w:szCs w:val="20"/>
        </w:rPr>
        <w:t xml:space="preserve">Andersson H, Nyesiga B, Hermodsson T, Smith KE, Hagerbrand K, Lindstedt, M, et al. (2024). Next-generation CD40 agonists for cancer immunotherapy. </w:t>
      </w:r>
      <w:r w:rsidRPr="00360A96">
        <w:rPr>
          <w:rFonts w:ascii="Arial" w:hAnsi="Arial" w:cs="Arial"/>
          <w:i/>
          <w:iCs/>
          <w:color w:val="000000" w:themeColor="text1"/>
          <w:sz w:val="20"/>
          <w:szCs w:val="20"/>
        </w:rPr>
        <w:t>Exp opin Biol Ther</w:t>
      </w:r>
      <w:r w:rsidRPr="00360A96">
        <w:rPr>
          <w:rFonts w:ascii="Arial" w:hAnsi="Arial" w:cs="Arial"/>
          <w:color w:val="000000" w:themeColor="text1"/>
          <w:sz w:val="20"/>
          <w:szCs w:val="20"/>
        </w:rPr>
        <w:t xml:space="preserve">. 24(5):351-363. </w:t>
      </w:r>
      <w:r w:rsidRPr="00360A96">
        <w:rPr>
          <w:rFonts w:ascii="Arial" w:hAnsi="Arial" w:cs="Arial"/>
          <w:color w:val="0070C0"/>
          <w:sz w:val="20"/>
          <w:szCs w:val="20"/>
        </w:rPr>
        <w:t>https://doi.org/10.1080/14712598.2024.2357714</w:t>
      </w:r>
    </w:p>
    <w:p w14:paraId="463A6961" w14:textId="77777777" w:rsidR="00755D41" w:rsidRPr="00360A96" w:rsidRDefault="00755D41" w:rsidP="00755D41">
      <w:pPr>
        <w:pStyle w:val="NormalWeb"/>
        <w:ind w:left="1134" w:right="283" w:hanging="567"/>
        <w:jc w:val="both"/>
        <w:rPr>
          <w:rFonts w:ascii="Arial" w:hAnsi="Arial" w:cs="Arial"/>
          <w:sz w:val="20"/>
          <w:szCs w:val="20"/>
        </w:rPr>
      </w:pPr>
      <w:r w:rsidRPr="00360A96">
        <w:rPr>
          <w:rFonts w:ascii="Arial" w:hAnsi="Arial" w:cs="Arial"/>
          <w:color w:val="1B1B1B"/>
          <w:sz w:val="20"/>
          <w:szCs w:val="20"/>
          <w:shd w:val="clear" w:color="auto" w:fill="FFFFFF"/>
        </w:rPr>
        <w:t xml:space="preserve">Asgharzadeh S, Pourhajibagher M, Bahador A. </w:t>
      </w:r>
      <w:r w:rsidRPr="00360A96">
        <w:rPr>
          <w:rFonts w:ascii="Arial" w:hAnsi="Arial" w:cs="Arial"/>
          <w:color w:val="1B1B1B"/>
          <w:sz w:val="20"/>
          <w:szCs w:val="20"/>
          <w:shd w:val="clear" w:color="auto" w:fill="FFFFFF"/>
          <w:lang w:val="tr-TR"/>
        </w:rPr>
        <w:t xml:space="preserve">(2025). </w:t>
      </w:r>
      <w:r w:rsidRPr="00360A96">
        <w:rPr>
          <w:rFonts w:ascii="Arial" w:hAnsi="Arial" w:cs="Arial"/>
          <w:color w:val="1B1B1B"/>
          <w:sz w:val="20"/>
          <w:szCs w:val="20"/>
          <w:shd w:val="clear" w:color="auto" w:fill="FFFFFF"/>
        </w:rPr>
        <w:t xml:space="preserve">The microbial landscape of tumors: a deep dive into intratumoral microbiota. </w:t>
      </w:r>
      <w:r w:rsidRPr="00360A96">
        <w:rPr>
          <w:rFonts w:ascii="Arial" w:hAnsi="Arial" w:cs="Arial"/>
          <w:i/>
          <w:iCs/>
          <w:color w:val="1B1B1B"/>
          <w:sz w:val="20"/>
          <w:szCs w:val="20"/>
          <w:shd w:val="clear" w:color="auto" w:fill="FFFFFF"/>
        </w:rPr>
        <w:t>Front Microbiol.</w:t>
      </w:r>
      <w:r w:rsidRPr="00360A96">
        <w:rPr>
          <w:rFonts w:ascii="Arial" w:hAnsi="Arial" w:cs="Arial"/>
          <w:color w:val="1B1B1B"/>
          <w:sz w:val="20"/>
          <w:szCs w:val="20"/>
          <w:shd w:val="clear" w:color="auto" w:fill="FFFFFF"/>
        </w:rPr>
        <w:t xml:space="preserve"> 16:1542142. </w:t>
      </w:r>
      <w:r w:rsidRPr="00360A96">
        <w:rPr>
          <w:rFonts w:ascii="Arial" w:hAnsi="Arial" w:cs="Arial"/>
          <w:color w:val="0070C0"/>
          <w:sz w:val="20"/>
          <w:szCs w:val="20"/>
          <w:shd w:val="clear" w:color="auto" w:fill="FFFFFF"/>
          <w:lang w:val="tr-TR"/>
        </w:rPr>
        <w:t>D</w:t>
      </w:r>
      <w:r w:rsidRPr="00360A96">
        <w:rPr>
          <w:rFonts w:ascii="Arial" w:hAnsi="Arial" w:cs="Arial"/>
          <w:color w:val="0070C0"/>
          <w:sz w:val="20"/>
          <w:szCs w:val="20"/>
          <w:shd w:val="clear" w:color="auto" w:fill="FFFFFF"/>
        </w:rPr>
        <w:t>oi: 10.3389/fmicb.2025</w:t>
      </w:r>
    </w:p>
    <w:p w14:paraId="49E97C2A" w14:textId="77777777" w:rsidR="00755D41" w:rsidRPr="00360A96" w:rsidRDefault="00755D41" w:rsidP="00755D41">
      <w:pPr>
        <w:pStyle w:val="NormalWeb"/>
        <w:ind w:left="1134" w:right="283" w:hanging="567"/>
        <w:jc w:val="both"/>
        <w:rPr>
          <w:rFonts w:ascii="Arial" w:hAnsi="Arial" w:cs="Arial"/>
          <w:sz w:val="20"/>
          <w:szCs w:val="20"/>
        </w:rPr>
      </w:pPr>
      <w:r w:rsidRPr="00360A96">
        <w:rPr>
          <w:rFonts w:ascii="Arial" w:hAnsi="Arial" w:cs="Arial"/>
          <w:color w:val="000000" w:themeColor="text1"/>
          <w:sz w:val="20"/>
          <w:szCs w:val="20"/>
        </w:rPr>
        <w:t>Aune D, Chan DSM, Vieira AR, Rosenblatt DAN, Vieira R, Greenwood DC, et al.</w:t>
      </w:r>
      <w:r w:rsidRPr="00360A96">
        <w:rPr>
          <w:rFonts w:ascii="Arial" w:hAnsi="Arial" w:cs="Arial"/>
          <w:sz w:val="20"/>
          <w:szCs w:val="20"/>
        </w:rPr>
        <w:t xml:space="preserve"> (2012). Dietary fructose, carbohydrates, glycemic indices and pancreatic cancer risk: a systematic review and meta analysis of cohort studies. </w:t>
      </w:r>
      <w:r w:rsidRPr="00360A96">
        <w:rPr>
          <w:rFonts w:ascii="Arial" w:hAnsi="Arial" w:cs="Arial"/>
          <w:i/>
          <w:iCs/>
          <w:sz w:val="20"/>
          <w:szCs w:val="20"/>
        </w:rPr>
        <w:t>Ann Oncol.</w:t>
      </w:r>
      <w:r w:rsidRPr="00360A96">
        <w:rPr>
          <w:rFonts w:ascii="Arial" w:hAnsi="Arial" w:cs="Arial"/>
          <w:sz w:val="20"/>
          <w:szCs w:val="20"/>
        </w:rPr>
        <w:t xml:space="preserve"> 23:2536-2546. </w:t>
      </w:r>
      <w:r w:rsidRPr="00360A96">
        <w:rPr>
          <w:rFonts w:ascii="Arial" w:hAnsi="Arial" w:cs="Arial"/>
          <w:color w:val="0070C0"/>
          <w:sz w:val="20"/>
          <w:szCs w:val="20"/>
        </w:rPr>
        <w:t>Doi: 10.1093/annonc/mds076</w:t>
      </w:r>
    </w:p>
    <w:p w14:paraId="1D4D2D81"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r w:rsidRPr="00360A96">
        <w:rPr>
          <w:rFonts w:ascii="Arial" w:hAnsi="Arial" w:cs="Arial"/>
          <w:bCs/>
          <w:color w:val="000000" w:themeColor="text1"/>
          <w:sz w:val="20"/>
          <w:szCs w:val="20"/>
        </w:rPr>
        <w:t xml:space="preserve">Bailey PJ, Chang DK, Nones K, Johns AL, Patch A-M, Gingras M-C, et al. (2016). Genomic analyses identify molecular subtypes of pancreatic cancer. </w:t>
      </w:r>
      <w:r w:rsidRPr="00360A96">
        <w:rPr>
          <w:rFonts w:ascii="Arial" w:hAnsi="Arial" w:cs="Arial"/>
          <w:bCs/>
          <w:i/>
          <w:iCs/>
          <w:color w:val="000000" w:themeColor="text1"/>
          <w:sz w:val="20"/>
          <w:szCs w:val="20"/>
        </w:rPr>
        <w:t>Nature.</w:t>
      </w:r>
      <w:r w:rsidRPr="00360A96">
        <w:rPr>
          <w:rFonts w:ascii="Arial" w:hAnsi="Arial" w:cs="Arial"/>
          <w:bCs/>
          <w:color w:val="000000" w:themeColor="text1"/>
          <w:sz w:val="20"/>
          <w:szCs w:val="20"/>
        </w:rPr>
        <w:t xml:space="preserve"> 531(7592):47-52.</w:t>
      </w:r>
      <w:r w:rsidRPr="00360A96">
        <w:rPr>
          <w:rFonts w:ascii="Arial" w:hAnsi="Arial" w:cs="Arial"/>
          <w:bCs/>
          <w:color w:val="000000" w:themeColor="text1"/>
          <w:sz w:val="20"/>
          <w:szCs w:val="20"/>
        </w:rPr>
        <w:tab/>
        <w:t xml:space="preserve">                                 </w:t>
      </w:r>
      <w:r w:rsidRPr="00360A96">
        <w:rPr>
          <w:rFonts w:ascii="Arial" w:hAnsi="Arial" w:cs="Arial"/>
          <w:bCs/>
          <w:color w:val="0070C0"/>
          <w:sz w:val="20"/>
          <w:szCs w:val="20"/>
        </w:rPr>
        <w:t>Doi: 10.1038/nature16965</w:t>
      </w:r>
    </w:p>
    <w:p w14:paraId="34D763F6" w14:textId="77777777" w:rsidR="00755D41" w:rsidRPr="00360A96" w:rsidRDefault="00755D41" w:rsidP="00755D41">
      <w:pPr>
        <w:pStyle w:val="NormalWeb"/>
        <w:ind w:left="1134" w:right="283" w:hanging="567"/>
        <w:jc w:val="both"/>
        <w:rPr>
          <w:rFonts w:ascii="Arial" w:hAnsi="Arial" w:cs="Arial"/>
          <w:sz w:val="20"/>
          <w:szCs w:val="20"/>
        </w:rPr>
      </w:pPr>
      <w:proofErr w:type="spellStart"/>
      <w:r w:rsidRPr="001E79AD">
        <w:rPr>
          <w:rFonts w:ascii="Arial" w:hAnsi="Arial" w:cs="Arial"/>
          <w:color w:val="0F0F0F"/>
          <w:sz w:val="20"/>
          <w:szCs w:val="20"/>
          <w:lang w:val="fr-FR"/>
        </w:rPr>
        <w:t>Balakumar</w:t>
      </w:r>
      <w:proofErr w:type="spellEnd"/>
      <w:r w:rsidRPr="001E79AD">
        <w:rPr>
          <w:rFonts w:ascii="Arial" w:hAnsi="Arial" w:cs="Arial"/>
          <w:color w:val="0F0F0F"/>
          <w:sz w:val="20"/>
          <w:szCs w:val="20"/>
          <w:lang w:val="fr-FR"/>
        </w:rPr>
        <w:t xml:space="preserve">, M., </w:t>
      </w:r>
      <w:proofErr w:type="spellStart"/>
      <w:r w:rsidRPr="001E79AD">
        <w:rPr>
          <w:rFonts w:ascii="Arial" w:hAnsi="Arial" w:cs="Arial"/>
          <w:color w:val="0F0F0F"/>
          <w:sz w:val="20"/>
          <w:szCs w:val="20"/>
          <w:lang w:val="fr-FR"/>
        </w:rPr>
        <w:t>Raji</w:t>
      </w:r>
      <w:proofErr w:type="spellEnd"/>
      <w:r w:rsidRPr="001E79AD">
        <w:rPr>
          <w:rFonts w:ascii="Arial" w:hAnsi="Arial" w:cs="Arial"/>
          <w:color w:val="0F0F0F"/>
          <w:sz w:val="20"/>
          <w:szCs w:val="20"/>
          <w:lang w:val="fr-FR"/>
        </w:rPr>
        <w:t xml:space="preserve">, L., </w:t>
      </w:r>
      <w:proofErr w:type="spellStart"/>
      <w:r w:rsidRPr="001E79AD">
        <w:rPr>
          <w:rFonts w:ascii="Arial" w:hAnsi="Arial" w:cs="Arial"/>
          <w:color w:val="0F0F0F"/>
          <w:sz w:val="20"/>
          <w:szCs w:val="20"/>
          <w:lang w:val="fr-FR"/>
        </w:rPr>
        <w:t>Prabhu</w:t>
      </w:r>
      <w:proofErr w:type="spellEnd"/>
      <w:r w:rsidRPr="001E79AD">
        <w:rPr>
          <w:rFonts w:ascii="Arial" w:hAnsi="Arial" w:cs="Arial"/>
          <w:color w:val="0F0F0F"/>
          <w:sz w:val="20"/>
          <w:szCs w:val="20"/>
          <w:lang w:val="fr-FR"/>
        </w:rPr>
        <w:t xml:space="preserve">, D., </w:t>
      </w:r>
      <w:proofErr w:type="spellStart"/>
      <w:r w:rsidRPr="001E79AD">
        <w:rPr>
          <w:rFonts w:ascii="Arial" w:hAnsi="Arial" w:cs="Arial"/>
          <w:color w:val="0F0F0F"/>
          <w:sz w:val="20"/>
          <w:szCs w:val="20"/>
          <w:lang w:val="fr-FR"/>
        </w:rPr>
        <w:t>Sathishkumar</w:t>
      </w:r>
      <w:proofErr w:type="spellEnd"/>
      <w:r w:rsidRPr="001E79AD">
        <w:rPr>
          <w:rFonts w:ascii="Arial" w:hAnsi="Arial" w:cs="Arial"/>
          <w:color w:val="0F0F0F"/>
          <w:sz w:val="20"/>
          <w:szCs w:val="20"/>
          <w:lang w:val="fr-FR"/>
        </w:rPr>
        <w:t xml:space="preserve">, C., </w:t>
      </w:r>
      <w:proofErr w:type="spellStart"/>
      <w:r w:rsidRPr="001E79AD">
        <w:rPr>
          <w:rFonts w:ascii="Arial" w:hAnsi="Arial" w:cs="Arial"/>
          <w:color w:val="0F0F0F"/>
          <w:sz w:val="20"/>
          <w:szCs w:val="20"/>
          <w:lang w:val="fr-FR"/>
        </w:rPr>
        <w:t>Prabu</w:t>
      </w:r>
      <w:proofErr w:type="spellEnd"/>
      <w:r w:rsidRPr="001E79AD">
        <w:rPr>
          <w:rFonts w:ascii="Arial" w:hAnsi="Arial" w:cs="Arial"/>
          <w:color w:val="0F0F0F"/>
          <w:sz w:val="20"/>
          <w:szCs w:val="20"/>
          <w:lang w:val="fr-FR"/>
        </w:rPr>
        <w:t xml:space="preserve">, P., Mohan, V., et al. </w:t>
      </w:r>
      <w:r w:rsidRPr="00360A96">
        <w:rPr>
          <w:rFonts w:ascii="Arial" w:hAnsi="Arial" w:cs="Arial"/>
          <w:color w:val="0F0F0F"/>
          <w:sz w:val="20"/>
          <w:szCs w:val="20"/>
        </w:rPr>
        <w:t xml:space="preserve">(2016). High-fructose diet is as detrimental as high-fat diet in the induction of insulin resistance and diabetes mediated by hepatic/pancreatic endoplasmic reticulun (ER) stress. </w:t>
      </w:r>
      <w:r w:rsidRPr="00360A96">
        <w:rPr>
          <w:rFonts w:ascii="Arial" w:hAnsi="Arial" w:cs="Arial"/>
          <w:i/>
          <w:iCs/>
          <w:color w:val="0F0F0F"/>
          <w:sz w:val="20"/>
          <w:szCs w:val="20"/>
        </w:rPr>
        <w:t>Mol Cell Biochem</w:t>
      </w:r>
      <w:r w:rsidRPr="00360A96">
        <w:rPr>
          <w:rFonts w:ascii="Arial" w:hAnsi="Arial" w:cs="Arial"/>
          <w:color w:val="0F0F0F"/>
          <w:sz w:val="20"/>
          <w:szCs w:val="20"/>
        </w:rPr>
        <w:t xml:space="preserve">. 423:93-104. </w:t>
      </w:r>
      <w:r w:rsidRPr="00360A96">
        <w:rPr>
          <w:rStyle w:val="id-label"/>
          <w:rFonts w:ascii="Arial" w:eastAsiaTheme="majorEastAsia" w:hAnsi="Arial" w:cs="Arial"/>
          <w:color w:val="0070C0"/>
          <w:sz w:val="20"/>
          <w:szCs w:val="20"/>
        </w:rPr>
        <w:t>Doi: </w:t>
      </w:r>
      <w:hyperlink r:id="rId6" w:tgtFrame="_blank" w:history="1">
        <w:r w:rsidRPr="00360A96">
          <w:rPr>
            <w:rStyle w:val="Hyperlink"/>
            <w:rFonts w:ascii="Arial" w:eastAsiaTheme="majorEastAsia" w:hAnsi="Arial" w:cs="Arial"/>
            <w:color w:val="0070C0"/>
            <w:sz w:val="20"/>
            <w:szCs w:val="20"/>
          </w:rPr>
          <w:t>10.1007/s11010-016-2828-5</w:t>
        </w:r>
      </w:hyperlink>
    </w:p>
    <w:p w14:paraId="4622B3C0" w14:textId="77777777" w:rsidR="00755D41" w:rsidRPr="001E79AD" w:rsidRDefault="00755D41" w:rsidP="00755D41">
      <w:pPr>
        <w:pStyle w:val="NormalWeb"/>
        <w:spacing w:after="0"/>
        <w:ind w:left="1134" w:right="283" w:hanging="567"/>
        <w:jc w:val="both"/>
        <w:rPr>
          <w:rFonts w:ascii="Arial" w:hAnsi="Arial" w:cs="Arial"/>
          <w:color w:val="00B0F0"/>
          <w:sz w:val="20"/>
          <w:szCs w:val="20"/>
          <w:lang w:val="nl-BE"/>
        </w:rPr>
      </w:pPr>
      <w:r w:rsidRPr="00360A96">
        <w:rPr>
          <w:rFonts w:ascii="Arial" w:hAnsi="Arial" w:cs="Arial"/>
          <w:color w:val="1B1B1B"/>
          <w:sz w:val="20"/>
          <w:szCs w:val="20"/>
          <w:shd w:val="clear" w:color="auto" w:fill="FFFFFF"/>
        </w:rPr>
        <w:t xml:space="preserve">Bantle JP. (2009). Dietary fructose and metabolic syndrome and diabetes. </w:t>
      </w:r>
      <w:r w:rsidRPr="001E79AD">
        <w:rPr>
          <w:rFonts w:ascii="Arial" w:hAnsi="Arial" w:cs="Arial"/>
          <w:i/>
          <w:iCs/>
          <w:color w:val="1B1B1B"/>
          <w:sz w:val="20"/>
          <w:szCs w:val="20"/>
          <w:shd w:val="clear" w:color="auto" w:fill="FFFFFF"/>
          <w:lang w:val="nl-BE"/>
        </w:rPr>
        <w:t>J Nutr.</w:t>
      </w:r>
      <w:r w:rsidRPr="001E79AD">
        <w:rPr>
          <w:rFonts w:ascii="Arial" w:hAnsi="Arial" w:cs="Arial"/>
          <w:color w:val="1B1B1B"/>
          <w:sz w:val="20"/>
          <w:szCs w:val="20"/>
          <w:shd w:val="clear" w:color="auto" w:fill="FFFFFF"/>
          <w:lang w:val="nl-BE"/>
        </w:rPr>
        <w:t xml:space="preserve"> 139(6):1263S-1268S. </w:t>
      </w:r>
      <w:r w:rsidRPr="001E79AD">
        <w:rPr>
          <w:rFonts w:ascii="Arial" w:hAnsi="Arial" w:cs="Arial"/>
          <w:color w:val="0070C0"/>
          <w:sz w:val="20"/>
          <w:szCs w:val="20"/>
          <w:shd w:val="clear" w:color="auto" w:fill="FFFFFF"/>
          <w:lang w:val="nl-BE"/>
        </w:rPr>
        <w:t>Doi: 10.3945/jn.108.098020.</w:t>
      </w:r>
    </w:p>
    <w:p w14:paraId="3C56AF5B"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1E79AD">
        <w:rPr>
          <w:rFonts w:ascii="Arial" w:hAnsi="Arial" w:cs="Arial"/>
          <w:bCs/>
          <w:color w:val="000000" w:themeColor="text1"/>
          <w:sz w:val="20"/>
          <w:szCs w:val="20"/>
          <w:lang w:val="nl-BE"/>
        </w:rPr>
        <w:t xml:space="preserve">Boekestijn B, Feshtali S, Vasen H, van Leerdam ME, Bonsing BA, Mieog JSD, et al. </w:t>
      </w:r>
      <w:r w:rsidRPr="00360A96">
        <w:rPr>
          <w:rFonts w:ascii="Arial" w:hAnsi="Arial" w:cs="Arial"/>
          <w:bCs/>
          <w:color w:val="000000" w:themeColor="text1"/>
          <w:sz w:val="20"/>
          <w:szCs w:val="20"/>
        </w:rPr>
        <w:t xml:space="preserve">(2024). Screening for pancreatic cancer in high-risk individuals using MRI: optimization of scan techniques to detect small lesions. </w:t>
      </w:r>
      <w:r w:rsidRPr="00360A96">
        <w:rPr>
          <w:rFonts w:ascii="Arial" w:hAnsi="Arial" w:cs="Arial"/>
          <w:bCs/>
          <w:i/>
          <w:iCs/>
          <w:color w:val="000000" w:themeColor="text1"/>
          <w:sz w:val="20"/>
          <w:szCs w:val="20"/>
        </w:rPr>
        <w:t>Familial Cancer.</w:t>
      </w:r>
      <w:r w:rsidRPr="00360A96">
        <w:rPr>
          <w:rFonts w:ascii="Arial" w:hAnsi="Arial" w:cs="Arial"/>
          <w:bCs/>
          <w:color w:val="000000" w:themeColor="text1"/>
          <w:sz w:val="20"/>
          <w:szCs w:val="20"/>
        </w:rPr>
        <w:t xml:space="preserve"> 23:295-308.</w:t>
      </w:r>
      <w:r w:rsidRPr="00360A96">
        <w:rPr>
          <w:rFonts w:ascii="Arial" w:hAnsi="Arial" w:cs="Arial"/>
          <w:bCs/>
          <w:color w:val="000000" w:themeColor="text1"/>
          <w:sz w:val="20"/>
          <w:szCs w:val="20"/>
        </w:rPr>
        <w:tab/>
        <w:t xml:space="preserve"> </w:t>
      </w:r>
      <w:r w:rsidRPr="00360A96">
        <w:rPr>
          <w:rFonts w:ascii="Arial" w:hAnsi="Arial" w:cs="Arial"/>
          <w:bCs/>
          <w:color w:val="0070C0"/>
          <w:sz w:val="20"/>
          <w:szCs w:val="20"/>
        </w:rPr>
        <w:t>https://doi.org/10.1007/s10689-024-00394-z</w:t>
      </w:r>
    </w:p>
    <w:p w14:paraId="64921165" w14:textId="77777777" w:rsidR="00755D41" w:rsidRPr="00360A96" w:rsidRDefault="00755D41" w:rsidP="00755D41">
      <w:pPr>
        <w:pStyle w:val="ListParagraph"/>
        <w:ind w:left="1134" w:right="283" w:hanging="567"/>
        <w:jc w:val="both"/>
        <w:rPr>
          <w:rFonts w:ascii="Arial" w:hAnsi="Arial" w:cs="Arial"/>
          <w:color w:val="212121"/>
          <w:sz w:val="20"/>
          <w:szCs w:val="20"/>
          <w:shd w:val="clear" w:color="auto" w:fill="FFFFFF"/>
        </w:rPr>
      </w:pPr>
    </w:p>
    <w:p w14:paraId="52B239A4"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lastRenderedPageBreak/>
        <w:t xml:space="preserve">Boggi U, Kauffmann EF, Napoli N, Barreto SG, Besselink MG, Fusai GK, et al. (2024). REDISCOVER guidelines for borderline-resectable and locally advanced pancreatic cancer: management algorithm, unanswered questions, and future perspectives. </w:t>
      </w:r>
      <w:r w:rsidRPr="00360A96">
        <w:rPr>
          <w:rFonts w:ascii="Arial" w:hAnsi="Arial" w:cs="Arial"/>
          <w:i/>
          <w:iCs/>
          <w:color w:val="212121"/>
          <w:sz w:val="20"/>
          <w:szCs w:val="20"/>
          <w:shd w:val="clear" w:color="auto" w:fill="FFFFFF"/>
        </w:rPr>
        <w:t>Updates Surg.</w:t>
      </w:r>
      <w:r w:rsidRPr="00360A96">
        <w:rPr>
          <w:rFonts w:ascii="Arial" w:hAnsi="Arial" w:cs="Arial"/>
          <w:color w:val="212121"/>
          <w:sz w:val="20"/>
          <w:szCs w:val="20"/>
          <w:shd w:val="clear" w:color="auto" w:fill="FFFFFF"/>
        </w:rPr>
        <w:t xml:space="preserve"> 76(5):1573-1591. </w:t>
      </w:r>
      <w:r w:rsidRPr="00360A96">
        <w:rPr>
          <w:rFonts w:ascii="Arial" w:hAnsi="Arial" w:cs="Arial"/>
          <w:color w:val="0070C0"/>
          <w:sz w:val="20"/>
          <w:szCs w:val="20"/>
          <w:shd w:val="clear" w:color="auto" w:fill="FFFFFF"/>
        </w:rPr>
        <w:t xml:space="preserve">Doi: 10.1007/s13304-024-01860-0. </w:t>
      </w:r>
    </w:p>
    <w:p w14:paraId="1A5A1C47" w14:textId="77777777" w:rsidR="00755D41" w:rsidRPr="00360A96" w:rsidRDefault="00755D41" w:rsidP="00755D41">
      <w:pPr>
        <w:pStyle w:val="HTMLPreformatted"/>
        <w:tabs>
          <w:tab w:val="clear" w:pos="916"/>
          <w:tab w:val="clear" w:pos="1832"/>
          <w:tab w:val="clear" w:pos="2748"/>
        </w:tabs>
        <w:ind w:left="1134" w:right="283" w:hanging="567"/>
        <w:jc w:val="both"/>
        <w:rPr>
          <w:rFonts w:ascii="Arial" w:hAnsi="Arial" w:cs="Arial"/>
          <w:color w:val="212121"/>
          <w:shd w:val="clear" w:color="auto" w:fill="FFFFFF"/>
        </w:rPr>
      </w:pPr>
    </w:p>
    <w:p w14:paraId="0DFB7F27" w14:textId="77777777" w:rsidR="00755D41" w:rsidRPr="00360A96" w:rsidRDefault="00755D41" w:rsidP="00755D41">
      <w:pPr>
        <w:pStyle w:val="HTMLPreformatted"/>
        <w:tabs>
          <w:tab w:val="clear" w:pos="916"/>
          <w:tab w:val="clear" w:pos="1832"/>
          <w:tab w:val="clear" w:pos="2748"/>
        </w:tabs>
        <w:ind w:left="1134" w:right="283" w:hanging="567"/>
        <w:jc w:val="both"/>
        <w:rPr>
          <w:rFonts w:ascii="Arial" w:hAnsi="Arial" w:cs="Arial"/>
          <w:color w:val="1F1F1F"/>
        </w:rPr>
      </w:pPr>
      <w:r w:rsidRPr="00360A96">
        <w:rPr>
          <w:rFonts w:ascii="Arial" w:hAnsi="Arial" w:cs="Arial"/>
          <w:color w:val="212121"/>
          <w:shd w:val="clear" w:color="auto" w:fill="FFFFFF"/>
        </w:rPr>
        <w:t xml:space="preserve">Bray F, Laversanne M, Sung H, Ferlay J, Siegel RL, Soerjomataram I, et al. (2024). Global cancer statistics 2022: GLOBOCAN estimates of incidence and mortality worldwide for 36 cancers in 185 countries. </w:t>
      </w:r>
      <w:r w:rsidRPr="00360A96">
        <w:rPr>
          <w:rFonts w:ascii="Arial" w:hAnsi="Arial" w:cs="Arial"/>
          <w:i/>
          <w:iCs/>
          <w:color w:val="212121"/>
          <w:shd w:val="clear" w:color="auto" w:fill="FFFFFF"/>
        </w:rPr>
        <w:t>CA Cancer J Clin.</w:t>
      </w:r>
      <w:r w:rsidRPr="00360A96">
        <w:rPr>
          <w:rFonts w:ascii="Arial" w:hAnsi="Arial" w:cs="Arial"/>
          <w:color w:val="212121"/>
          <w:shd w:val="clear" w:color="auto" w:fill="FFFFFF"/>
        </w:rPr>
        <w:t xml:space="preserve"> 74(3):229-263. </w:t>
      </w:r>
      <w:r w:rsidRPr="00360A96">
        <w:rPr>
          <w:rFonts w:ascii="Arial" w:hAnsi="Arial" w:cs="Arial"/>
          <w:color w:val="0070C0"/>
          <w:shd w:val="clear" w:color="auto" w:fill="FFFFFF"/>
        </w:rPr>
        <w:t xml:space="preserve">Doi: 10.3322/caac.21834. </w:t>
      </w:r>
    </w:p>
    <w:p w14:paraId="0449A6DB" w14:textId="77777777" w:rsidR="00755D41" w:rsidRPr="001E79AD" w:rsidRDefault="00755D41" w:rsidP="00755D41">
      <w:pPr>
        <w:pStyle w:val="ListParagraph"/>
        <w:ind w:left="1134" w:right="283" w:hanging="567"/>
        <w:jc w:val="both"/>
        <w:rPr>
          <w:rFonts w:ascii="Arial" w:hAnsi="Arial" w:cs="Arial"/>
          <w:bCs/>
          <w:color w:val="000000" w:themeColor="text1"/>
          <w:sz w:val="20"/>
          <w:szCs w:val="20"/>
          <w:lang w:val="fr-FR"/>
        </w:rPr>
      </w:pPr>
    </w:p>
    <w:p w14:paraId="1892CF11" w14:textId="77777777" w:rsidR="00755D41" w:rsidRPr="00360A96" w:rsidRDefault="00755D41" w:rsidP="00755D41">
      <w:pPr>
        <w:pStyle w:val="ListParagraph"/>
        <w:ind w:left="1134" w:right="283" w:hanging="567"/>
        <w:jc w:val="both"/>
        <w:rPr>
          <w:rFonts w:ascii="Arial" w:hAnsi="Arial" w:cs="Arial"/>
          <w:bCs/>
          <w:color w:val="FF0000"/>
          <w:sz w:val="20"/>
          <w:szCs w:val="20"/>
        </w:rPr>
      </w:pPr>
      <w:proofErr w:type="spellStart"/>
      <w:r w:rsidRPr="001E79AD">
        <w:rPr>
          <w:rFonts w:ascii="Arial" w:hAnsi="Arial" w:cs="Arial"/>
          <w:bCs/>
          <w:color w:val="000000" w:themeColor="text1"/>
          <w:sz w:val="20"/>
          <w:szCs w:val="20"/>
          <w:lang w:val="fr-FR"/>
        </w:rPr>
        <w:t>Carioli</w:t>
      </w:r>
      <w:proofErr w:type="spellEnd"/>
      <w:r w:rsidRPr="001E79AD">
        <w:rPr>
          <w:rFonts w:ascii="Arial" w:hAnsi="Arial" w:cs="Arial"/>
          <w:bCs/>
          <w:color w:val="000000" w:themeColor="text1"/>
          <w:sz w:val="20"/>
          <w:szCs w:val="20"/>
          <w:lang w:val="fr-FR"/>
        </w:rPr>
        <w:t xml:space="preserve"> G, </w:t>
      </w:r>
      <w:proofErr w:type="spellStart"/>
      <w:r w:rsidRPr="001E79AD">
        <w:rPr>
          <w:rFonts w:ascii="Arial" w:hAnsi="Arial" w:cs="Arial"/>
          <w:bCs/>
          <w:color w:val="000000" w:themeColor="text1"/>
          <w:sz w:val="20"/>
          <w:szCs w:val="20"/>
          <w:lang w:val="fr-FR"/>
        </w:rPr>
        <w:t>Malvezzi</w:t>
      </w:r>
      <w:proofErr w:type="spellEnd"/>
      <w:r w:rsidRPr="001E79AD">
        <w:rPr>
          <w:rFonts w:ascii="Arial" w:hAnsi="Arial" w:cs="Arial"/>
          <w:bCs/>
          <w:color w:val="000000" w:themeColor="text1"/>
          <w:sz w:val="20"/>
          <w:szCs w:val="20"/>
          <w:lang w:val="fr-FR"/>
        </w:rPr>
        <w:t xml:space="preserve"> M, </w:t>
      </w:r>
      <w:proofErr w:type="spellStart"/>
      <w:r w:rsidRPr="001E79AD">
        <w:rPr>
          <w:rFonts w:ascii="Arial" w:hAnsi="Arial" w:cs="Arial"/>
          <w:bCs/>
          <w:color w:val="000000" w:themeColor="text1"/>
          <w:sz w:val="20"/>
          <w:szCs w:val="20"/>
          <w:lang w:val="fr-FR"/>
        </w:rPr>
        <w:t>Bertuccio</w:t>
      </w:r>
      <w:proofErr w:type="spellEnd"/>
      <w:r w:rsidRPr="001E79AD">
        <w:rPr>
          <w:rFonts w:ascii="Arial" w:hAnsi="Arial" w:cs="Arial"/>
          <w:bCs/>
          <w:color w:val="000000" w:themeColor="text1"/>
          <w:sz w:val="20"/>
          <w:szCs w:val="20"/>
          <w:lang w:val="fr-FR"/>
        </w:rPr>
        <w:t xml:space="preserve"> P, </w:t>
      </w:r>
      <w:proofErr w:type="spellStart"/>
      <w:r w:rsidRPr="001E79AD">
        <w:rPr>
          <w:rFonts w:ascii="Arial" w:hAnsi="Arial" w:cs="Arial"/>
          <w:bCs/>
          <w:color w:val="000000" w:themeColor="text1"/>
          <w:sz w:val="20"/>
          <w:szCs w:val="20"/>
          <w:lang w:val="fr-FR"/>
        </w:rPr>
        <w:t>Boffetta</w:t>
      </w:r>
      <w:proofErr w:type="spellEnd"/>
      <w:r w:rsidRPr="001E79AD">
        <w:rPr>
          <w:rFonts w:ascii="Arial" w:hAnsi="Arial" w:cs="Arial"/>
          <w:bCs/>
          <w:color w:val="000000" w:themeColor="text1"/>
          <w:sz w:val="20"/>
          <w:szCs w:val="20"/>
          <w:lang w:val="fr-FR"/>
        </w:rPr>
        <w:t xml:space="preserve"> P, Levi F, La </w:t>
      </w:r>
      <w:proofErr w:type="spellStart"/>
      <w:r w:rsidRPr="001E79AD">
        <w:rPr>
          <w:rFonts w:ascii="Arial" w:hAnsi="Arial" w:cs="Arial"/>
          <w:bCs/>
          <w:color w:val="000000" w:themeColor="text1"/>
          <w:sz w:val="20"/>
          <w:szCs w:val="20"/>
          <w:lang w:val="fr-FR"/>
        </w:rPr>
        <w:t>Vecchhia</w:t>
      </w:r>
      <w:proofErr w:type="spellEnd"/>
      <w:r w:rsidRPr="001E79AD">
        <w:rPr>
          <w:rFonts w:ascii="Arial" w:hAnsi="Arial" w:cs="Arial"/>
          <w:bCs/>
          <w:color w:val="000000" w:themeColor="text1"/>
          <w:sz w:val="20"/>
          <w:szCs w:val="20"/>
          <w:lang w:val="fr-FR"/>
        </w:rPr>
        <w:t xml:space="preserve"> C, et al. </w:t>
      </w:r>
      <w:r w:rsidRPr="00360A96">
        <w:rPr>
          <w:rFonts w:ascii="Arial" w:hAnsi="Arial" w:cs="Arial"/>
          <w:bCs/>
          <w:color w:val="000000" w:themeColor="text1"/>
          <w:sz w:val="20"/>
          <w:szCs w:val="20"/>
        </w:rPr>
        <w:t xml:space="preserve">(2021). European cancer mortality predictions for the year 2021 with focus on pancreatic and female lung cancer. </w:t>
      </w:r>
      <w:r w:rsidRPr="00360A96">
        <w:rPr>
          <w:rFonts w:ascii="Arial" w:hAnsi="Arial" w:cs="Arial"/>
          <w:bCs/>
          <w:i/>
          <w:iCs/>
          <w:color w:val="000000" w:themeColor="text1"/>
          <w:sz w:val="20"/>
          <w:szCs w:val="20"/>
        </w:rPr>
        <w:t>Ann Oncol.</w:t>
      </w:r>
      <w:r w:rsidRPr="00360A96">
        <w:rPr>
          <w:rFonts w:ascii="Arial" w:hAnsi="Arial" w:cs="Arial"/>
          <w:bCs/>
          <w:color w:val="000000" w:themeColor="text1"/>
          <w:sz w:val="20"/>
          <w:szCs w:val="20"/>
        </w:rPr>
        <w:t xml:space="preserve"> 32(4):478-487. </w:t>
      </w:r>
      <w:r w:rsidRPr="00360A96">
        <w:rPr>
          <w:rFonts w:ascii="Arial" w:hAnsi="Arial" w:cs="Arial"/>
          <w:bCs/>
          <w:color w:val="0070C0"/>
          <w:sz w:val="20"/>
          <w:szCs w:val="20"/>
        </w:rPr>
        <w:t>https://doi.org/10.1016/j.annoc.2021.01.006</w:t>
      </w:r>
    </w:p>
    <w:p w14:paraId="531E78CB" w14:textId="77777777" w:rsidR="00755D41" w:rsidRPr="00360A96" w:rsidRDefault="00755D41" w:rsidP="00755D41">
      <w:pPr>
        <w:pStyle w:val="ListParagraph"/>
        <w:ind w:left="1134" w:right="283" w:hanging="567"/>
        <w:jc w:val="both"/>
        <w:rPr>
          <w:rFonts w:ascii="Arial" w:hAnsi="Arial" w:cs="Arial"/>
          <w:color w:val="212121"/>
          <w:sz w:val="20"/>
          <w:szCs w:val="20"/>
          <w:shd w:val="clear" w:color="auto" w:fill="FFFFFF"/>
        </w:rPr>
      </w:pPr>
    </w:p>
    <w:p w14:paraId="530CF7BC"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t xml:space="preserve">Chen N, Chan CK, Khan FU, Makhijani P, Valentino TR, Winer S, et al. (2026). Gut microbiota-derived metabolites as immune modulators in aging and age-related chronic inflammatory diseases. </w:t>
      </w:r>
      <w:r w:rsidRPr="00360A96">
        <w:rPr>
          <w:rFonts w:ascii="Arial" w:hAnsi="Arial" w:cs="Arial"/>
          <w:i/>
          <w:iCs/>
          <w:color w:val="212121"/>
          <w:sz w:val="20"/>
          <w:szCs w:val="20"/>
          <w:shd w:val="clear" w:color="auto" w:fill="FFFFFF"/>
        </w:rPr>
        <w:t>Ageing Res Rev.</w:t>
      </w:r>
      <w:r w:rsidRPr="00360A96">
        <w:rPr>
          <w:rFonts w:ascii="Arial" w:hAnsi="Arial" w:cs="Arial"/>
          <w:color w:val="212121"/>
          <w:sz w:val="20"/>
          <w:szCs w:val="20"/>
          <w:shd w:val="clear" w:color="auto" w:fill="FFFFFF"/>
        </w:rPr>
        <w:t xml:space="preserve"> 116:103036. </w:t>
      </w:r>
      <w:r w:rsidRPr="00360A96">
        <w:rPr>
          <w:rFonts w:ascii="Arial" w:hAnsi="Arial" w:cs="Arial"/>
          <w:color w:val="0070C0"/>
          <w:sz w:val="20"/>
          <w:szCs w:val="20"/>
          <w:shd w:val="clear" w:color="auto" w:fill="FFFFFF"/>
        </w:rPr>
        <w:t>Doi: 10.1016/j.arr.2026.103036</w:t>
      </w:r>
    </w:p>
    <w:p w14:paraId="3388C808"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bCs/>
          <w:color w:val="000000" w:themeColor="text1"/>
          <w:sz w:val="20"/>
          <w:szCs w:val="20"/>
        </w:rPr>
        <w:t xml:space="preserve">Chen P-T, Wu T, Wang P, Chang D, Liu K-L, Wu M-S, et al. (2023). Pancreatic cancer detection on CT scans with deep learning: A nationwide population-based study. Radiology. 306(1):172-182. </w:t>
      </w:r>
      <w:hyperlink r:id="rId7" w:history="1">
        <w:r w:rsidRPr="00360A96">
          <w:rPr>
            <w:rStyle w:val="Hyperlink"/>
            <w:rFonts w:ascii="Arial" w:hAnsi="Arial" w:cs="Arial"/>
            <w:color w:val="0070C0"/>
            <w:sz w:val="20"/>
            <w:szCs w:val="20"/>
          </w:rPr>
          <w:t>https://doi.org/10.1148/radiol.220152</w:t>
        </w:r>
      </w:hyperlink>
      <w:r w:rsidRPr="00360A96">
        <w:rPr>
          <w:rFonts w:ascii="Arial" w:hAnsi="Arial" w:cs="Arial"/>
          <w:bCs/>
          <w:color w:val="0070C0"/>
          <w:sz w:val="20"/>
          <w:szCs w:val="20"/>
        </w:rPr>
        <w:t xml:space="preserve"> </w:t>
      </w:r>
    </w:p>
    <w:p w14:paraId="216EA17E"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2C36164C" w14:textId="77777777" w:rsidR="00755D41" w:rsidRPr="00360A96" w:rsidRDefault="00755D41" w:rsidP="00755D41">
      <w:pPr>
        <w:pStyle w:val="ListParagraph"/>
        <w:ind w:left="1134" w:right="283" w:hanging="567"/>
        <w:jc w:val="both"/>
        <w:rPr>
          <w:rFonts w:ascii="Arial" w:hAnsi="Arial" w:cs="Arial"/>
          <w:bCs/>
          <w:color w:val="0070C0"/>
          <w:sz w:val="20"/>
          <w:szCs w:val="20"/>
        </w:rPr>
      </w:pPr>
      <w:r w:rsidRPr="00360A96">
        <w:rPr>
          <w:rFonts w:ascii="Arial" w:hAnsi="Arial" w:cs="Arial"/>
          <w:bCs/>
          <w:color w:val="000000" w:themeColor="text1"/>
          <w:sz w:val="20"/>
          <w:szCs w:val="20"/>
        </w:rPr>
        <w:t xml:space="preserve">Chin V, Nagrial A, Sjoquist K, O’Connor CA, Chantrill L, Biankin AV, et al. (2018). Chemotherapy and radiotherapy for advanced pancreatic cancer. </w:t>
      </w:r>
      <w:r w:rsidRPr="00360A96">
        <w:rPr>
          <w:rFonts w:ascii="Arial" w:hAnsi="Arial" w:cs="Arial"/>
          <w:bCs/>
          <w:i/>
          <w:iCs/>
          <w:color w:val="000000" w:themeColor="text1"/>
          <w:sz w:val="20"/>
          <w:szCs w:val="20"/>
        </w:rPr>
        <w:t>Cochrane Database Syst Rev</w:t>
      </w:r>
      <w:r w:rsidRPr="00360A96">
        <w:rPr>
          <w:rFonts w:ascii="Arial" w:hAnsi="Arial" w:cs="Arial"/>
          <w:bCs/>
          <w:color w:val="000000" w:themeColor="text1"/>
          <w:sz w:val="20"/>
          <w:szCs w:val="20"/>
        </w:rPr>
        <w:t xml:space="preserve">. </w:t>
      </w:r>
      <w:r w:rsidRPr="00360A96">
        <w:rPr>
          <w:rFonts w:ascii="Arial" w:hAnsi="Arial" w:cs="Arial"/>
          <w:bCs/>
          <w:sz w:val="20"/>
          <w:szCs w:val="20"/>
        </w:rPr>
        <w:t xml:space="preserve">3(3):CD011044. </w:t>
      </w:r>
      <w:r w:rsidRPr="00360A96">
        <w:rPr>
          <w:rFonts w:ascii="Arial" w:hAnsi="Arial" w:cs="Arial"/>
          <w:bCs/>
          <w:color w:val="0070C0"/>
          <w:sz w:val="20"/>
          <w:szCs w:val="20"/>
        </w:rPr>
        <w:t>Doi:10.1002/14651858.CD01 1044.pub2</w:t>
      </w:r>
    </w:p>
    <w:p w14:paraId="32022BF0" w14:textId="77777777" w:rsidR="00755D41" w:rsidRPr="00360A96" w:rsidRDefault="00755D41" w:rsidP="00755D41">
      <w:pPr>
        <w:pStyle w:val="NormalWeb"/>
        <w:spacing w:before="0" w:beforeAutospacing="0" w:after="0" w:afterAutospacing="0"/>
        <w:ind w:left="1134" w:right="283" w:hanging="567"/>
        <w:jc w:val="both"/>
        <w:rPr>
          <w:rFonts w:ascii="Arial" w:hAnsi="Arial" w:cs="Arial"/>
          <w:color w:val="212121"/>
          <w:sz w:val="20"/>
          <w:szCs w:val="20"/>
          <w:shd w:val="clear" w:color="auto" w:fill="FFFFFF"/>
        </w:rPr>
      </w:pPr>
    </w:p>
    <w:p w14:paraId="185C7739"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color w:val="212121"/>
          <w:sz w:val="20"/>
          <w:szCs w:val="20"/>
          <w:shd w:val="clear" w:color="auto" w:fill="FFFFFF"/>
        </w:rPr>
        <w:t xml:space="preserve">Chu X, Wei D, Liu X, Long D, Tian X, Yang Y. </w:t>
      </w:r>
      <w:r w:rsidRPr="00360A96">
        <w:rPr>
          <w:rFonts w:ascii="Arial" w:hAnsi="Arial" w:cs="Arial"/>
          <w:color w:val="212121"/>
          <w:sz w:val="20"/>
          <w:szCs w:val="20"/>
          <w:shd w:val="clear" w:color="auto" w:fill="FFFFFF"/>
          <w:lang w:val="tr-TR"/>
        </w:rPr>
        <w:t xml:space="preserve">(2022). </w:t>
      </w:r>
      <w:r w:rsidRPr="00360A96">
        <w:rPr>
          <w:rFonts w:ascii="Arial" w:hAnsi="Arial" w:cs="Arial"/>
          <w:color w:val="212121"/>
          <w:sz w:val="20"/>
          <w:szCs w:val="20"/>
          <w:shd w:val="clear" w:color="auto" w:fill="FFFFFF"/>
        </w:rPr>
        <w:t xml:space="preserve">MicroRNAs as potential therapeutic targets for pancreatic cancer. </w:t>
      </w:r>
      <w:r w:rsidRPr="00360A96">
        <w:rPr>
          <w:rFonts w:ascii="Arial" w:hAnsi="Arial" w:cs="Arial"/>
          <w:i/>
          <w:iCs/>
          <w:color w:val="212121"/>
          <w:sz w:val="20"/>
          <w:szCs w:val="20"/>
          <w:shd w:val="clear" w:color="auto" w:fill="FFFFFF"/>
        </w:rPr>
        <w:t>Chin Med J</w:t>
      </w:r>
      <w:r w:rsidRPr="00360A96">
        <w:rPr>
          <w:rFonts w:ascii="Arial" w:hAnsi="Arial" w:cs="Arial"/>
          <w:color w:val="212121"/>
          <w:sz w:val="20"/>
          <w:szCs w:val="20"/>
          <w:shd w:val="clear" w:color="auto" w:fill="FFFFFF"/>
        </w:rPr>
        <w:t xml:space="preserve"> (Engl). 135(1):4-10. </w:t>
      </w:r>
      <w:r w:rsidRPr="00360A96">
        <w:rPr>
          <w:rFonts w:ascii="Arial" w:hAnsi="Arial" w:cs="Arial"/>
          <w:color w:val="0070C0"/>
          <w:sz w:val="20"/>
          <w:szCs w:val="20"/>
          <w:shd w:val="clear" w:color="auto" w:fill="FFFFFF"/>
        </w:rPr>
        <w:t>Doi:10.1097/CM9.0000000000001826</w:t>
      </w:r>
      <w:r w:rsidRPr="00360A96">
        <w:rPr>
          <w:rFonts w:ascii="Arial" w:hAnsi="Arial" w:cs="Arial"/>
          <w:color w:val="212121"/>
          <w:sz w:val="20"/>
          <w:szCs w:val="20"/>
          <w:shd w:val="clear" w:color="auto" w:fill="FFFFFF"/>
        </w:rPr>
        <w:t xml:space="preserve">. </w:t>
      </w:r>
    </w:p>
    <w:p w14:paraId="2E5681CD" w14:textId="77777777" w:rsidR="00755D41" w:rsidRPr="001E79AD" w:rsidRDefault="00755D41" w:rsidP="00755D41">
      <w:pPr>
        <w:pStyle w:val="NormalWeb"/>
        <w:ind w:left="1134" w:right="283" w:hanging="567"/>
        <w:jc w:val="both"/>
        <w:rPr>
          <w:rFonts w:ascii="Arial" w:hAnsi="Arial" w:cs="Arial"/>
          <w:sz w:val="20"/>
          <w:szCs w:val="20"/>
          <w:lang w:val="fr-FR"/>
        </w:rPr>
      </w:pPr>
      <w:r w:rsidRPr="00360A96">
        <w:rPr>
          <w:rFonts w:ascii="Arial" w:hAnsi="Arial" w:cs="Arial"/>
          <w:color w:val="211E1E"/>
          <w:sz w:val="20"/>
          <w:szCs w:val="20"/>
        </w:rPr>
        <w:t xml:space="preserve">De Castilhos J, Tillmanns K, Blessing J, Larano A, Borisov V, Stein-Thoeringer CK (2024). Microbiome and pancreatic cancer: Time to think about chemotherapy. </w:t>
      </w:r>
      <w:r w:rsidRPr="00360A96">
        <w:rPr>
          <w:rFonts w:ascii="Arial" w:hAnsi="Arial" w:cs="Arial"/>
          <w:i/>
          <w:iCs/>
          <w:color w:val="211E1E"/>
          <w:sz w:val="20"/>
          <w:szCs w:val="20"/>
        </w:rPr>
        <w:t>Gut Microbiomes</w:t>
      </w:r>
      <w:r w:rsidRPr="00360A96">
        <w:rPr>
          <w:rFonts w:ascii="Arial" w:hAnsi="Arial" w:cs="Arial"/>
          <w:color w:val="211E1E"/>
          <w:sz w:val="20"/>
          <w:szCs w:val="20"/>
        </w:rPr>
        <w:t xml:space="preserve">. </w:t>
      </w:r>
      <w:r w:rsidRPr="001E79AD">
        <w:rPr>
          <w:rFonts w:ascii="Arial" w:hAnsi="Arial" w:cs="Arial"/>
          <w:color w:val="211E1E"/>
          <w:sz w:val="20"/>
          <w:szCs w:val="20"/>
          <w:lang w:val="fr-FR"/>
        </w:rPr>
        <w:t>16(1</w:t>
      </w:r>
      <w:proofErr w:type="gramStart"/>
      <w:r w:rsidRPr="001E79AD">
        <w:rPr>
          <w:rFonts w:ascii="Arial" w:hAnsi="Arial" w:cs="Arial"/>
          <w:color w:val="211E1E"/>
          <w:sz w:val="20"/>
          <w:szCs w:val="20"/>
          <w:lang w:val="fr-FR"/>
        </w:rPr>
        <w:t>):2374596.</w:t>
      </w:r>
      <w:r w:rsidRPr="001E79AD">
        <w:rPr>
          <w:rFonts w:ascii="Arial" w:hAnsi="Arial" w:cs="Arial"/>
          <w:color w:val="0070C0"/>
          <w:sz w:val="20"/>
          <w:szCs w:val="20"/>
          <w:lang w:val="fr-FR"/>
        </w:rPr>
        <w:t>https://doi.org/10.1080/19490976.2024.2374596</w:t>
      </w:r>
      <w:proofErr w:type="gramEnd"/>
    </w:p>
    <w:p w14:paraId="47BE62E0"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r w:rsidRPr="001E79AD">
        <w:rPr>
          <w:rFonts w:ascii="Arial" w:hAnsi="Arial" w:cs="Arial"/>
          <w:sz w:val="20"/>
          <w:szCs w:val="20"/>
          <w:lang w:val="fr-FR"/>
        </w:rPr>
        <w:t xml:space="preserve">Dong F, Zhou J, Wu </w:t>
      </w:r>
      <w:proofErr w:type="spellStart"/>
      <w:r w:rsidRPr="001E79AD">
        <w:rPr>
          <w:rFonts w:ascii="Arial" w:hAnsi="Arial" w:cs="Arial"/>
          <w:sz w:val="20"/>
          <w:szCs w:val="20"/>
          <w:lang w:val="fr-FR"/>
        </w:rPr>
        <w:t>Y</w:t>
      </w:r>
      <w:proofErr w:type="spellEnd"/>
      <w:r w:rsidRPr="001E79AD">
        <w:rPr>
          <w:rFonts w:ascii="Arial" w:hAnsi="Arial" w:cs="Arial"/>
          <w:sz w:val="20"/>
          <w:szCs w:val="20"/>
          <w:lang w:val="fr-FR"/>
        </w:rPr>
        <w:t xml:space="preserve">, Gao Z, Li W, Song Z (2025). </w:t>
      </w:r>
      <w:r w:rsidRPr="00360A96">
        <w:rPr>
          <w:rFonts w:ascii="Arial" w:hAnsi="Arial" w:cs="Arial"/>
          <w:sz w:val="20"/>
          <w:szCs w:val="20"/>
        </w:rPr>
        <w:t xml:space="preserve">MicroRNAs in pancreatic cancer drug resistance: Mechanisms and therapeutic potential. </w:t>
      </w:r>
      <w:r w:rsidRPr="00360A96">
        <w:rPr>
          <w:rFonts w:ascii="Arial" w:hAnsi="Arial" w:cs="Arial"/>
          <w:i/>
          <w:iCs/>
          <w:sz w:val="20"/>
          <w:szCs w:val="20"/>
        </w:rPr>
        <w:t>Front Cell Dev Biol.</w:t>
      </w:r>
      <w:r w:rsidRPr="00360A96">
        <w:rPr>
          <w:rFonts w:ascii="Arial" w:hAnsi="Arial" w:cs="Arial"/>
          <w:sz w:val="20"/>
          <w:szCs w:val="20"/>
        </w:rPr>
        <w:t xml:space="preserve"> 12:1499111.</w:t>
      </w:r>
      <w:r w:rsidRPr="00360A96">
        <w:rPr>
          <w:rFonts w:ascii="Arial" w:hAnsi="Arial" w:cs="Arial"/>
          <w:sz w:val="20"/>
          <w:szCs w:val="20"/>
        </w:rPr>
        <w:tab/>
        <w:t xml:space="preserve"> </w:t>
      </w:r>
      <w:r w:rsidRPr="00360A96">
        <w:rPr>
          <w:rFonts w:ascii="Arial" w:hAnsi="Arial" w:cs="Arial"/>
          <w:sz w:val="20"/>
          <w:szCs w:val="20"/>
          <w:lang w:val="tr-TR"/>
        </w:rPr>
        <w:t xml:space="preserve">                                        </w:t>
      </w:r>
      <w:r w:rsidRPr="00360A96">
        <w:rPr>
          <w:rFonts w:ascii="Arial" w:hAnsi="Arial" w:cs="Arial"/>
          <w:color w:val="0070C0"/>
          <w:sz w:val="20"/>
          <w:szCs w:val="20"/>
        </w:rPr>
        <w:t>Doi: 10.3389/fcell.2024.1499111</w:t>
      </w:r>
    </w:p>
    <w:p w14:paraId="6DE3F733" w14:textId="77777777" w:rsidR="00755D41" w:rsidRPr="00360A96" w:rsidRDefault="00755D41" w:rsidP="00755D41">
      <w:pPr>
        <w:pStyle w:val="ListParagraph"/>
        <w:ind w:left="1134" w:right="283" w:hanging="567"/>
        <w:jc w:val="both"/>
        <w:rPr>
          <w:rFonts w:ascii="Arial" w:hAnsi="Arial" w:cs="Arial"/>
          <w:color w:val="000000" w:themeColor="text1"/>
          <w:sz w:val="20"/>
          <w:szCs w:val="20"/>
        </w:rPr>
      </w:pPr>
    </w:p>
    <w:p w14:paraId="5D8F58D6" w14:textId="77777777" w:rsidR="00755D41" w:rsidRPr="00360A96" w:rsidRDefault="00755D41" w:rsidP="00755D41">
      <w:pPr>
        <w:pStyle w:val="ListParagraph"/>
        <w:ind w:left="1134" w:right="283" w:hanging="567"/>
        <w:jc w:val="both"/>
        <w:rPr>
          <w:rFonts w:ascii="Arial" w:hAnsi="Arial" w:cs="Arial"/>
          <w:color w:val="000000" w:themeColor="text1"/>
          <w:sz w:val="20"/>
          <w:szCs w:val="20"/>
          <w:u w:val="single"/>
        </w:rPr>
      </w:pPr>
      <w:r w:rsidRPr="00360A96">
        <w:rPr>
          <w:rFonts w:ascii="Arial" w:hAnsi="Arial" w:cs="Arial"/>
          <w:color w:val="000000" w:themeColor="text1"/>
          <w:sz w:val="20"/>
          <w:szCs w:val="20"/>
        </w:rPr>
        <w:t>Eser S, Schnieke A, Schneider G, Saur D (2014). Oncogenic KRAS signaling in pancreatic cancer. </w:t>
      </w:r>
      <w:r w:rsidRPr="00360A96">
        <w:rPr>
          <w:rFonts w:ascii="Arial" w:hAnsi="Arial" w:cs="Arial"/>
          <w:i/>
          <w:iCs/>
          <w:color w:val="000000" w:themeColor="text1"/>
          <w:sz w:val="20"/>
          <w:szCs w:val="20"/>
          <w:bdr w:val="single" w:sz="2" w:space="0" w:color="ECEDEE" w:frame="1"/>
        </w:rPr>
        <w:t>Brit J Cancer</w:t>
      </w:r>
      <w:r w:rsidRPr="00360A96">
        <w:rPr>
          <w:rFonts w:ascii="Arial" w:hAnsi="Arial" w:cs="Arial"/>
          <w:color w:val="000000" w:themeColor="text1"/>
          <w:sz w:val="20"/>
          <w:szCs w:val="20"/>
        </w:rPr>
        <w:t>. </w:t>
      </w:r>
      <w:r w:rsidRPr="00360A96">
        <w:rPr>
          <w:rFonts w:ascii="Arial" w:hAnsi="Arial" w:cs="Arial"/>
          <w:color w:val="000000" w:themeColor="text1"/>
          <w:sz w:val="20"/>
          <w:szCs w:val="20"/>
          <w:bdr w:val="single" w:sz="2" w:space="0" w:color="ECEDEE" w:frame="1"/>
        </w:rPr>
        <w:t>111</w:t>
      </w:r>
      <w:r w:rsidRPr="00360A96">
        <w:rPr>
          <w:rFonts w:ascii="Arial" w:hAnsi="Arial" w:cs="Arial"/>
          <w:color w:val="000000" w:themeColor="text1"/>
          <w:sz w:val="20"/>
          <w:szCs w:val="20"/>
        </w:rPr>
        <w:t xml:space="preserve">(5):817-822. </w:t>
      </w:r>
      <w:r w:rsidRPr="00360A96">
        <w:rPr>
          <w:rStyle w:val="url"/>
          <w:rFonts w:ascii="Arial" w:hAnsi="Arial" w:cs="Arial"/>
          <w:color w:val="0070C0"/>
          <w:sz w:val="20"/>
          <w:szCs w:val="20"/>
          <w:bdr w:val="single" w:sz="2" w:space="0" w:color="ECEDEE" w:frame="1"/>
        </w:rPr>
        <w:t xml:space="preserve">Doi: </w:t>
      </w:r>
      <w:hyperlink r:id="rId8" w:tgtFrame="_blank" w:history="1">
        <w:r w:rsidRPr="00360A96">
          <w:rPr>
            <w:rStyle w:val="Hyperlink"/>
            <w:rFonts w:ascii="Arial" w:hAnsi="Arial" w:cs="Arial"/>
            <w:color w:val="376FAA"/>
            <w:sz w:val="20"/>
            <w:szCs w:val="20"/>
            <w:shd w:val="clear" w:color="auto" w:fill="FFFFFF"/>
          </w:rPr>
          <w:t>10.1038/bjc.2014.215</w:t>
        </w:r>
      </w:hyperlink>
    </w:p>
    <w:p w14:paraId="5F4FE694" w14:textId="77777777" w:rsidR="00755D41" w:rsidRPr="00360A96" w:rsidRDefault="00755D41" w:rsidP="00755D41">
      <w:pPr>
        <w:pStyle w:val="ListParagraph"/>
        <w:ind w:left="1134" w:right="283" w:hanging="567"/>
        <w:jc w:val="both"/>
        <w:rPr>
          <w:rFonts w:ascii="Arial" w:hAnsi="Arial" w:cs="Arial"/>
          <w:color w:val="212121"/>
          <w:sz w:val="20"/>
          <w:szCs w:val="20"/>
          <w:shd w:val="clear" w:color="auto" w:fill="FFFFFF"/>
        </w:rPr>
      </w:pPr>
    </w:p>
    <w:p w14:paraId="174D97A1"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t xml:space="preserve">Ferlay J, Colombet M, Soerjomataram I, Mathers C, Parkin DM, Piñeros M, et al. (2019). Estimating the global cancer incidence and mortality in 2018: GLOBOCAN sources and methods. </w:t>
      </w:r>
      <w:r w:rsidRPr="00360A96">
        <w:rPr>
          <w:rFonts w:ascii="Arial" w:hAnsi="Arial" w:cs="Arial"/>
          <w:i/>
          <w:iCs/>
          <w:color w:val="212121"/>
          <w:sz w:val="20"/>
          <w:szCs w:val="20"/>
          <w:shd w:val="clear" w:color="auto" w:fill="FFFFFF"/>
        </w:rPr>
        <w:t>Int J Cancer</w:t>
      </w:r>
      <w:r w:rsidRPr="00360A96">
        <w:rPr>
          <w:rFonts w:ascii="Arial" w:hAnsi="Arial" w:cs="Arial"/>
          <w:color w:val="212121"/>
          <w:sz w:val="20"/>
          <w:szCs w:val="20"/>
          <w:shd w:val="clear" w:color="auto" w:fill="FFFFFF"/>
        </w:rPr>
        <w:t xml:space="preserve">. 144(8):1941-1953. </w:t>
      </w:r>
      <w:r w:rsidRPr="00360A96">
        <w:rPr>
          <w:rFonts w:ascii="Arial" w:hAnsi="Arial" w:cs="Arial"/>
          <w:color w:val="0070C0"/>
          <w:sz w:val="20"/>
          <w:szCs w:val="20"/>
          <w:shd w:val="clear" w:color="auto" w:fill="FFFFFF"/>
        </w:rPr>
        <w:t xml:space="preserve">Doi: 10.1002/ijc.31937. </w:t>
      </w:r>
    </w:p>
    <w:p w14:paraId="16BEC97E"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p>
    <w:p w14:paraId="30449D9F"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Fesler A, Ju J (2020). Development of microRNA-based therapy for pancreatic cancer. </w:t>
      </w:r>
      <w:r w:rsidRPr="00360A96">
        <w:rPr>
          <w:rFonts w:ascii="Arial" w:hAnsi="Arial" w:cs="Arial"/>
          <w:i/>
          <w:iCs/>
          <w:sz w:val="20"/>
          <w:szCs w:val="20"/>
        </w:rPr>
        <w:t>J Pancreatol.</w:t>
      </w:r>
      <w:r w:rsidRPr="00360A96">
        <w:rPr>
          <w:rFonts w:ascii="Arial" w:hAnsi="Arial" w:cs="Arial"/>
          <w:sz w:val="20"/>
          <w:szCs w:val="20"/>
        </w:rPr>
        <w:t xml:space="preserve"> 2(4):147-151. </w:t>
      </w:r>
      <w:r w:rsidRPr="00360A96">
        <w:rPr>
          <w:rFonts w:ascii="Arial" w:hAnsi="Arial" w:cs="Arial"/>
          <w:color w:val="0070C0"/>
          <w:sz w:val="20"/>
          <w:szCs w:val="20"/>
        </w:rPr>
        <w:t>Doi: 10.1097/jp9.0000000000000029</w:t>
      </w:r>
    </w:p>
    <w:p w14:paraId="535FB51A" w14:textId="77777777" w:rsidR="00755D41" w:rsidRPr="00360A96" w:rsidRDefault="00755D41" w:rsidP="00755D41">
      <w:pPr>
        <w:pStyle w:val="ListParagraph"/>
        <w:ind w:left="1134" w:right="283" w:hanging="567"/>
        <w:jc w:val="both"/>
        <w:rPr>
          <w:rFonts w:ascii="Arial" w:hAnsi="Arial" w:cs="Arial"/>
          <w:color w:val="000000" w:themeColor="text1"/>
          <w:sz w:val="20"/>
          <w:szCs w:val="20"/>
        </w:rPr>
      </w:pPr>
    </w:p>
    <w:p w14:paraId="19B38635" w14:textId="77777777" w:rsidR="00755D41" w:rsidRPr="00360A96" w:rsidRDefault="00755D41" w:rsidP="00755D41">
      <w:pPr>
        <w:pStyle w:val="ListParagraph"/>
        <w:ind w:left="1134" w:right="283" w:hanging="567"/>
        <w:jc w:val="both"/>
        <w:rPr>
          <w:rFonts w:ascii="Arial" w:hAnsi="Arial" w:cs="Arial"/>
          <w:color w:val="00B0F0"/>
          <w:sz w:val="20"/>
          <w:szCs w:val="20"/>
        </w:rPr>
      </w:pPr>
      <w:r w:rsidRPr="00360A96">
        <w:rPr>
          <w:rFonts w:ascii="Arial" w:hAnsi="Arial" w:cs="Arial"/>
          <w:color w:val="000000" w:themeColor="text1"/>
          <w:sz w:val="20"/>
          <w:szCs w:val="20"/>
        </w:rPr>
        <w:t xml:space="preserve">Garrido–Laguna I, Hidalgo M. (2015). Pancreatic cancer: from state-of-the-art treatments to promising novel therapies. </w:t>
      </w:r>
      <w:r w:rsidRPr="00360A96">
        <w:rPr>
          <w:rFonts w:ascii="Arial" w:hAnsi="Arial" w:cs="Arial"/>
          <w:i/>
          <w:iCs/>
          <w:color w:val="000000" w:themeColor="text1"/>
          <w:sz w:val="20"/>
          <w:szCs w:val="20"/>
        </w:rPr>
        <w:t>Nat Rev Clin Oncol.</w:t>
      </w:r>
      <w:r w:rsidRPr="00360A96">
        <w:rPr>
          <w:rFonts w:ascii="Arial" w:hAnsi="Arial" w:cs="Arial"/>
          <w:color w:val="000000" w:themeColor="text1"/>
          <w:sz w:val="20"/>
          <w:szCs w:val="20"/>
        </w:rPr>
        <w:t xml:space="preserve"> 12(6):319-334.</w:t>
      </w:r>
      <w:r w:rsidRPr="00360A96">
        <w:rPr>
          <w:rFonts w:ascii="Arial" w:hAnsi="Arial" w:cs="Arial"/>
          <w:color w:val="000000" w:themeColor="text1"/>
          <w:sz w:val="20"/>
          <w:szCs w:val="20"/>
        </w:rPr>
        <w:tab/>
        <w:t xml:space="preserve">                                               </w:t>
      </w:r>
      <w:r w:rsidRPr="00360A96">
        <w:rPr>
          <w:rFonts w:ascii="Arial" w:hAnsi="Arial" w:cs="Arial"/>
          <w:color w:val="0070C0"/>
          <w:sz w:val="20"/>
          <w:szCs w:val="20"/>
        </w:rPr>
        <w:t>Doi: 10.1038/nrclinonc.2015.53</w:t>
      </w:r>
      <w:r w:rsidRPr="00360A96">
        <w:rPr>
          <w:rFonts w:ascii="Arial" w:hAnsi="Arial" w:cs="Arial"/>
          <w:color w:val="000000" w:themeColor="text1"/>
          <w:sz w:val="20"/>
          <w:szCs w:val="20"/>
        </w:rPr>
        <w:t>.</w:t>
      </w:r>
    </w:p>
    <w:p w14:paraId="173057FA" w14:textId="77777777" w:rsidR="00755D41" w:rsidRPr="00360A96" w:rsidRDefault="00755D41" w:rsidP="00755D41">
      <w:pPr>
        <w:pStyle w:val="NormalWeb"/>
        <w:ind w:left="1134" w:right="283" w:hanging="567"/>
        <w:jc w:val="both"/>
        <w:rPr>
          <w:rFonts w:ascii="Arial" w:hAnsi="Arial" w:cs="Arial"/>
          <w:sz w:val="20"/>
          <w:szCs w:val="20"/>
        </w:rPr>
      </w:pPr>
      <w:r w:rsidRPr="00360A96">
        <w:rPr>
          <w:rFonts w:ascii="Arial" w:hAnsi="Arial" w:cs="Arial"/>
          <w:sz w:val="20"/>
          <w:szCs w:val="20"/>
        </w:rPr>
        <w:t xml:space="preserve">Han S, Choi DW, Choi SH, Heo JS, Han IW, You YH (2021). Long-term outcomes following en bloc resection for pancreatic ductal adenocarcinoma of the head with portomesenteric venous invasion. </w:t>
      </w:r>
      <w:r w:rsidRPr="00360A96">
        <w:rPr>
          <w:rFonts w:ascii="Arial" w:hAnsi="Arial" w:cs="Arial"/>
          <w:i/>
          <w:iCs/>
          <w:sz w:val="20"/>
          <w:szCs w:val="20"/>
        </w:rPr>
        <w:t>Asian J Surg.</w:t>
      </w:r>
      <w:r w:rsidRPr="00360A96">
        <w:rPr>
          <w:rFonts w:ascii="Arial" w:hAnsi="Arial" w:cs="Arial"/>
          <w:sz w:val="20"/>
          <w:szCs w:val="20"/>
        </w:rPr>
        <w:t xml:space="preserve"> 44:313-320.</w:t>
      </w:r>
      <w:r w:rsidRPr="00360A96">
        <w:rPr>
          <w:rFonts w:ascii="Arial" w:hAnsi="Arial" w:cs="Arial"/>
          <w:sz w:val="20"/>
          <w:szCs w:val="20"/>
        </w:rPr>
        <w:tab/>
        <w:t xml:space="preserve"> </w:t>
      </w:r>
      <w:hyperlink r:id="rId9" w:history="1">
        <w:r w:rsidRPr="00360A96">
          <w:rPr>
            <w:rStyle w:val="Hyperlink"/>
            <w:rFonts w:ascii="Arial" w:eastAsiaTheme="majorEastAsia" w:hAnsi="Arial" w:cs="Arial"/>
            <w:color w:val="0070C0"/>
            <w:sz w:val="20"/>
            <w:szCs w:val="20"/>
          </w:rPr>
          <w:t>https://doi.org/10.1016/j.asjsur.2020.07.021</w:t>
        </w:r>
      </w:hyperlink>
      <w:r w:rsidRPr="00360A96">
        <w:rPr>
          <w:rFonts w:ascii="Arial" w:hAnsi="Arial" w:cs="Arial"/>
          <w:color w:val="0070C0"/>
          <w:sz w:val="20"/>
          <w:szCs w:val="20"/>
        </w:rPr>
        <w:t xml:space="preserve"> </w:t>
      </w:r>
      <w:r w:rsidRPr="00360A96">
        <w:rPr>
          <w:rFonts w:ascii="Arial" w:hAnsi="Arial" w:cs="Arial"/>
          <w:color w:val="0070C0"/>
          <w:sz w:val="20"/>
          <w:szCs w:val="20"/>
          <w:lang w:val="tr-TR"/>
        </w:rPr>
        <w:t xml:space="preserve"> </w:t>
      </w:r>
    </w:p>
    <w:p w14:paraId="34ABD88E" w14:textId="77777777" w:rsidR="00755D41" w:rsidRPr="00360A96" w:rsidRDefault="00755D41" w:rsidP="00755D41">
      <w:pPr>
        <w:pStyle w:val="ListParagraph"/>
        <w:shd w:val="clear" w:color="auto" w:fill="FFFFFF"/>
        <w:spacing w:before="100" w:beforeAutospacing="1" w:after="100" w:afterAutospacing="1"/>
        <w:ind w:left="1134" w:right="283" w:hanging="567"/>
        <w:jc w:val="both"/>
        <w:rPr>
          <w:rFonts w:ascii="Arial" w:hAnsi="Arial" w:cs="Arial"/>
          <w:color w:val="212121"/>
          <w:sz w:val="20"/>
          <w:szCs w:val="20"/>
        </w:rPr>
      </w:pPr>
      <w:r w:rsidRPr="00075A0E">
        <w:rPr>
          <w:rFonts w:ascii="Arial" w:hAnsi="Arial" w:cs="Arial"/>
          <w:sz w:val="20"/>
          <w:szCs w:val="20"/>
          <w:lang w:val="fr-FR"/>
        </w:rPr>
        <w:lastRenderedPageBreak/>
        <w:t xml:space="preserve">He Z, Cui B-T, Zhang T, Li P, Long C-Y, Zhang F-M, et al. </w:t>
      </w:r>
      <w:r w:rsidRPr="00360A96">
        <w:rPr>
          <w:rFonts w:ascii="Arial" w:hAnsi="Arial" w:cs="Arial"/>
          <w:sz w:val="20"/>
          <w:szCs w:val="20"/>
        </w:rPr>
        <w:t xml:space="preserve">(2017). Fecal microbiota transplantation cured epilepsy in a case with Crohn's disease: the first report. </w:t>
      </w:r>
      <w:r w:rsidRPr="00360A96">
        <w:rPr>
          <w:rFonts w:ascii="Arial" w:hAnsi="Arial" w:cs="Arial"/>
          <w:i/>
          <w:iCs/>
          <w:sz w:val="20"/>
          <w:szCs w:val="20"/>
        </w:rPr>
        <w:t>World J Gastroenterol.</w:t>
      </w:r>
      <w:r w:rsidRPr="00360A96">
        <w:rPr>
          <w:rFonts w:ascii="Arial" w:hAnsi="Arial" w:cs="Arial"/>
          <w:sz w:val="20"/>
          <w:szCs w:val="20"/>
        </w:rPr>
        <w:t xml:space="preserve"> 23:3565-3568. </w:t>
      </w:r>
      <w:r w:rsidRPr="00360A96">
        <w:rPr>
          <w:rStyle w:val="id-label"/>
          <w:rFonts w:ascii="Arial" w:hAnsi="Arial" w:cs="Arial"/>
          <w:color w:val="0070C0"/>
          <w:sz w:val="20"/>
          <w:szCs w:val="20"/>
        </w:rPr>
        <w:t>Doi: </w:t>
      </w:r>
      <w:hyperlink r:id="rId10" w:tgtFrame="_blank" w:history="1">
        <w:r w:rsidRPr="00360A96">
          <w:rPr>
            <w:rStyle w:val="Hyperlink"/>
            <w:rFonts w:ascii="Arial" w:hAnsi="Arial" w:cs="Arial"/>
            <w:color w:val="0071BC"/>
            <w:sz w:val="20"/>
            <w:szCs w:val="20"/>
          </w:rPr>
          <w:t>10.3748/wjg.v23.i19.3565</w:t>
        </w:r>
      </w:hyperlink>
    </w:p>
    <w:p w14:paraId="3F9F850B"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65BFDF72"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r w:rsidRPr="00360A96">
        <w:rPr>
          <w:rFonts w:ascii="Arial" w:hAnsi="Arial" w:cs="Arial"/>
          <w:bCs/>
          <w:color w:val="000000" w:themeColor="text1"/>
          <w:sz w:val="20"/>
          <w:szCs w:val="20"/>
        </w:rPr>
        <w:t xml:space="preserve">Henderson EA, Lukomski S, Boone BA (2023). Emerging applications of cancer bacteriotherapy towards treatment of pancreatic cancer. </w:t>
      </w:r>
      <w:r w:rsidRPr="00360A96">
        <w:rPr>
          <w:rFonts w:ascii="Arial" w:hAnsi="Arial" w:cs="Arial"/>
          <w:bCs/>
          <w:i/>
          <w:iCs/>
          <w:color w:val="000000" w:themeColor="text1"/>
          <w:sz w:val="20"/>
          <w:szCs w:val="20"/>
        </w:rPr>
        <w:t>Front Oncol.</w:t>
      </w:r>
      <w:r w:rsidRPr="00360A96">
        <w:rPr>
          <w:rFonts w:ascii="Arial" w:hAnsi="Arial" w:cs="Arial"/>
          <w:bCs/>
          <w:color w:val="000000" w:themeColor="text1"/>
          <w:sz w:val="20"/>
          <w:szCs w:val="20"/>
        </w:rPr>
        <w:t xml:space="preserve"> 13:1217095.</w:t>
      </w:r>
      <w:r w:rsidRPr="00360A96">
        <w:rPr>
          <w:rFonts w:ascii="Arial" w:hAnsi="Arial" w:cs="Arial"/>
          <w:bCs/>
          <w:color w:val="000000" w:themeColor="text1"/>
          <w:sz w:val="20"/>
          <w:szCs w:val="20"/>
        </w:rPr>
        <w:tab/>
        <w:t xml:space="preserve">                                                    </w:t>
      </w:r>
      <w:r w:rsidRPr="00360A96">
        <w:rPr>
          <w:rFonts w:ascii="Arial" w:hAnsi="Arial" w:cs="Arial"/>
          <w:bCs/>
          <w:color w:val="0070C0"/>
          <w:sz w:val="20"/>
          <w:szCs w:val="20"/>
        </w:rPr>
        <w:t xml:space="preserve">Doi: 10.3389/fonc.2023.1217095 </w:t>
      </w:r>
    </w:p>
    <w:p w14:paraId="0CEBFA33"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53EA2B93" w14:textId="77777777" w:rsidR="00755D41" w:rsidRPr="00360A96" w:rsidRDefault="00755D41" w:rsidP="00755D41">
      <w:pPr>
        <w:pStyle w:val="ListParagraph"/>
        <w:ind w:left="1134" w:right="283" w:hanging="567"/>
        <w:jc w:val="both"/>
        <w:rPr>
          <w:rFonts w:ascii="Arial" w:hAnsi="Arial" w:cs="Arial"/>
          <w:bCs/>
          <w:color w:val="0070C0"/>
          <w:sz w:val="20"/>
          <w:szCs w:val="20"/>
        </w:rPr>
      </w:pPr>
      <w:r w:rsidRPr="00360A96">
        <w:rPr>
          <w:rFonts w:ascii="Arial" w:hAnsi="Arial" w:cs="Arial"/>
          <w:bCs/>
          <w:color w:val="000000" w:themeColor="text1"/>
          <w:sz w:val="20"/>
          <w:szCs w:val="20"/>
        </w:rPr>
        <w:t xml:space="preserve">Henriksen A, Dyhl-Polk A, Chen I, Nielson D (2019). Checkpoint inhibitors in pancreatic cancer. </w:t>
      </w:r>
      <w:r w:rsidRPr="00360A96">
        <w:rPr>
          <w:rFonts w:ascii="Arial" w:hAnsi="Arial" w:cs="Arial"/>
          <w:bCs/>
          <w:i/>
          <w:iCs/>
          <w:color w:val="000000" w:themeColor="text1"/>
          <w:sz w:val="20"/>
          <w:szCs w:val="20"/>
        </w:rPr>
        <w:t>Cancer Treat Rev.</w:t>
      </w:r>
      <w:r w:rsidRPr="00360A96">
        <w:rPr>
          <w:rFonts w:ascii="Arial" w:hAnsi="Arial" w:cs="Arial"/>
          <w:bCs/>
          <w:color w:val="000000" w:themeColor="text1"/>
          <w:sz w:val="20"/>
          <w:szCs w:val="20"/>
        </w:rPr>
        <w:t xml:space="preserve"> 78:17-30. </w:t>
      </w:r>
      <w:r w:rsidRPr="00360A96">
        <w:rPr>
          <w:rFonts w:ascii="Arial" w:hAnsi="Arial" w:cs="Arial"/>
          <w:bCs/>
          <w:color w:val="0070C0"/>
          <w:sz w:val="20"/>
          <w:szCs w:val="20"/>
        </w:rPr>
        <w:t>https://doi.org/10.1016/j.ctrv.2019.06.005</w:t>
      </w:r>
    </w:p>
    <w:p w14:paraId="59969751" w14:textId="77777777" w:rsidR="00755D41" w:rsidRPr="00360A96" w:rsidRDefault="00755D41" w:rsidP="00755D41">
      <w:pPr>
        <w:pStyle w:val="ListParagraph"/>
        <w:ind w:left="1134" w:right="283" w:hanging="567"/>
        <w:jc w:val="both"/>
        <w:rPr>
          <w:rFonts w:ascii="Arial" w:hAnsi="Arial" w:cs="Arial"/>
          <w:color w:val="212121"/>
          <w:sz w:val="20"/>
          <w:szCs w:val="20"/>
          <w:shd w:val="clear" w:color="auto" w:fill="FFFFFF"/>
        </w:rPr>
      </w:pPr>
    </w:p>
    <w:p w14:paraId="0137F45E" w14:textId="77777777" w:rsidR="00755D41" w:rsidRPr="001E79AD" w:rsidRDefault="00755D41" w:rsidP="00755D41">
      <w:pPr>
        <w:pStyle w:val="ListParagraph"/>
        <w:ind w:left="1134" w:right="283" w:hanging="567"/>
        <w:jc w:val="both"/>
        <w:rPr>
          <w:rFonts w:ascii="Arial" w:hAnsi="Arial" w:cs="Arial"/>
          <w:color w:val="0070C0"/>
          <w:sz w:val="20"/>
          <w:szCs w:val="20"/>
          <w:u w:val="single"/>
          <w:bdr w:val="single" w:sz="2" w:space="0" w:color="ECEDEE" w:frame="1"/>
          <w:lang w:val="nl-BE"/>
        </w:rPr>
      </w:pPr>
      <w:r w:rsidRPr="00360A96">
        <w:rPr>
          <w:rFonts w:ascii="Arial" w:hAnsi="Arial" w:cs="Arial"/>
          <w:color w:val="212121"/>
          <w:sz w:val="20"/>
          <w:szCs w:val="20"/>
          <w:shd w:val="clear" w:color="auto" w:fill="FFFFFF"/>
        </w:rPr>
        <w:t xml:space="preserve">Hong DS, Kang YK, Borad M, Sachdev J, Ejadi S, Lim HY, et al. (2020). Phase 1 study of MRX34, a liposomal miR-34a mimic, in patients with advanced solid tumours. </w:t>
      </w:r>
      <w:r w:rsidRPr="001E79AD">
        <w:rPr>
          <w:rFonts w:ascii="Arial" w:hAnsi="Arial" w:cs="Arial"/>
          <w:i/>
          <w:iCs/>
          <w:color w:val="212121"/>
          <w:sz w:val="20"/>
          <w:szCs w:val="20"/>
          <w:shd w:val="clear" w:color="auto" w:fill="FFFFFF"/>
          <w:lang w:val="nl-BE"/>
        </w:rPr>
        <w:t>Br J Cancer.</w:t>
      </w:r>
      <w:r w:rsidRPr="001E79AD">
        <w:rPr>
          <w:rFonts w:ascii="Arial" w:hAnsi="Arial" w:cs="Arial"/>
          <w:color w:val="212121"/>
          <w:sz w:val="20"/>
          <w:szCs w:val="20"/>
          <w:shd w:val="clear" w:color="auto" w:fill="FFFFFF"/>
          <w:lang w:val="nl-BE"/>
        </w:rPr>
        <w:t xml:space="preserve"> 122(11):1630-1637. </w:t>
      </w:r>
      <w:r w:rsidRPr="001E79AD">
        <w:rPr>
          <w:rFonts w:ascii="Arial" w:hAnsi="Arial" w:cs="Arial"/>
          <w:color w:val="0070C0"/>
          <w:sz w:val="20"/>
          <w:szCs w:val="20"/>
          <w:shd w:val="clear" w:color="auto" w:fill="FFFFFF"/>
          <w:lang w:val="nl-BE"/>
        </w:rPr>
        <w:t>Doi: 10.1038/s41416-020-0802-1</w:t>
      </w:r>
    </w:p>
    <w:p w14:paraId="5AA669E0" w14:textId="77777777" w:rsidR="00755D41" w:rsidRPr="001E79AD" w:rsidRDefault="00755D41" w:rsidP="00755D41">
      <w:pPr>
        <w:pStyle w:val="ListParagraph"/>
        <w:ind w:left="1134" w:right="283" w:hanging="567"/>
        <w:jc w:val="both"/>
        <w:rPr>
          <w:rFonts w:ascii="Arial" w:hAnsi="Arial" w:cs="Arial"/>
          <w:color w:val="000000" w:themeColor="text1"/>
          <w:sz w:val="20"/>
          <w:szCs w:val="20"/>
          <w:lang w:val="nl-BE"/>
        </w:rPr>
      </w:pPr>
    </w:p>
    <w:p w14:paraId="3D38AB44" w14:textId="77777777" w:rsidR="00755D41" w:rsidRPr="001E79AD" w:rsidRDefault="00755D41" w:rsidP="00755D41">
      <w:pPr>
        <w:pStyle w:val="ListParagraph"/>
        <w:ind w:left="1134" w:right="283" w:hanging="567"/>
        <w:jc w:val="both"/>
        <w:rPr>
          <w:rFonts w:ascii="Arial" w:hAnsi="Arial" w:cs="Arial"/>
          <w:color w:val="0070C0"/>
          <w:sz w:val="20"/>
          <w:szCs w:val="20"/>
          <w:u w:val="single"/>
          <w:bdr w:val="single" w:sz="2" w:space="0" w:color="ECEDEE" w:frame="1"/>
          <w:lang w:val="nl-BE"/>
        </w:rPr>
      </w:pPr>
      <w:r w:rsidRPr="001E79AD">
        <w:rPr>
          <w:rFonts w:ascii="Arial" w:hAnsi="Arial" w:cs="Arial"/>
          <w:color w:val="000000" w:themeColor="text1"/>
          <w:sz w:val="20"/>
          <w:szCs w:val="20"/>
          <w:lang w:val="nl-BE"/>
        </w:rPr>
        <w:t xml:space="preserve">Hu Q, Jiang Q, Jin X, Shen J, Wang K, Li YB, et al. </w:t>
      </w:r>
      <w:r w:rsidRPr="00360A96">
        <w:rPr>
          <w:rFonts w:ascii="Arial" w:hAnsi="Arial" w:cs="Arial"/>
          <w:color w:val="000000" w:themeColor="text1"/>
          <w:sz w:val="20"/>
          <w:szCs w:val="20"/>
        </w:rPr>
        <w:t>(2013). Cationic microRNA-delivering nano vectors with bifunctional peptides for efficient treatment of PANC-1 xenograft model. </w:t>
      </w:r>
      <w:r w:rsidRPr="001E79AD">
        <w:rPr>
          <w:rFonts w:ascii="Arial" w:hAnsi="Arial" w:cs="Arial"/>
          <w:i/>
          <w:iCs/>
          <w:color w:val="000000" w:themeColor="text1"/>
          <w:sz w:val="20"/>
          <w:szCs w:val="20"/>
          <w:bdr w:val="single" w:sz="2" w:space="0" w:color="ECEDEE" w:frame="1"/>
          <w:lang w:val="nl-BE"/>
        </w:rPr>
        <w:t>Biomaterials</w:t>
      </w:r>
      <w:r w:rsidRPr="001E79AD">
        <w:rPr>
          <w:rFonts w:ascii="Arial" w:hAnsi="Arial" w:cs="Arial"/>
          <w:color w:val="000000" w:themeColor="text1"/>
          <w:sz w:val="20"/>
          <w:szCs w:val="20"/>
          <w:lang w:val="nl-BE"/>
        </w:rPr>
        <w:t>. </w:t>
      </w:r>
      <w:r w:rsidRPr="001E79AD">
        <w:rPr>
          <w:rFonts w:ascii="Arial" w:hAnsi="Arial" w:cs="Arial"/>
          <w:color w:val="000000" w:themeColor="text1"/>
          <w:sz w:val="20"/>
          <w:szCs w:val="20"/>
          <w:bdr w:val="single" w:sz="2" w:space="0" w:color="ECEDEE" w:frame="1"/>
          <w:lang w:val="nl-BE"/>
        </w:rPr>
        <w:t>34</w:t>
      </w:r>
      <w:r w:rsidRPr="001E79AD">
        <w:rPr>
          <w:rFonts w:ascii="Arial" w:hAnsi="Arial" w:cs="Arial"/>
          <w:color w:val="000000" w:themeColor="text1"/>
          <w:sz w:val="20"/>
          <w:szCs w:val="20"/>
          <w:lang w:val="nl-BE"/>
        </w:rPr>
        <w:t xml:space="preserve">(9):2265-2276. </w:t>
      </w:r>
      <w:hyperlink r:id="rId11" w:history="1">
        <w:r w:rsidRPr="001E79AD">
          <w:rPr>
            <w:rStyle w:val="Hyperlink"/>
            <w:rFonts w:ascii="Arial" w:hAnsi="Arial" w:cs="Arial"/>
            <w:color w:val="0070C0"/>
            <w:sz w:val="20"/>
            <w:szCs w:val="20"/>
            <w:bdr w:val="single" w:sz="2" w:space="0" w:color="ECEDEE" w:frame="1"/>
            <w:lang w:val="nl-BE"/>
          </w:rPr>
          <w:t>Doi: 10.1016/j.biomaterials</w:t>
        </w:r>
      </w:hyperlink>
    </w:p>
    <w:p w14:paraId="420F1C6E" w14:textId="77777777" w:rsidR="00755D41" w:rsidRPr="00360A96" w:rsidRDefault="00755D41" w:rsidP="00755D41">
      <w:pPr>
        <w:pStyle w:val="ListParagraph"/>
        <w:ind w:left="1134" w:right="283" w:hanging="567"/>
        <w:jc w:val="both"/>
        <w:rPr>
          <w:rFonts w:ascii="Arial" w:hAnsi="Arial" w:cs="Arial"/>
          <w:color w:val="000000" w:themeColor="text1"/>
          <w:sz w:val="20"/>
          <w:szCs w:val="20"/>
          <w:bdr w:val="single" w:sz="2" w:space="0" w:color="ECEDEE" w:frame="1"/>
        </w:rPr>
      </w:pPr>
      <w:r w:rsidRPr="001E79AD">
        <w:rPr>
          <w:rFonts w:ascii="Arial" w:hAnsi="Arial" w:cs="Arial"/>
          <w:color w:val="000000" w:themeColor="text1"/>
          <w:sz w:val="20"/>
          <w:szCs w:val="20"/>
          <w:bdr w:val="single" w:sz="2" w:space="0" w:color="ECEDEE" w:frame="1"/>
          <w:lang w:val="nl-BE"/>
        </w:rPr>
        <w:t xml:space="preserve">Huang J, Lok V, Ngai CH, Zhang L, Yuan J, Lao XQ, et al. </w:t>
      </w:r>
      <w:r w:rsidRPr="00360A96">
        <w:rPr>
          <w:rFonts w:ascii="Arial" w:hAnsi="Arial" w:cs="Arial"/>
          <w:color w:val="000000" w:themeColor="text1"/>
          <w:sz w:val="20"/>
          <w:szCs w:val="20"/>
          <w:bdr w:val="single" w:sz="2" w:space="0" w:color="ECEDEE" w:frame="1"/>
        </w:rPr>
        <w:t xml:space="preserve">(2021). Worldwide burden of risk factors for, and trends in pancreatic cancer. </w:t>
      </w:r>
      <w:r w:rsidRPr="00360A96">
        <w:rPr>
          <w:rFonts w:ascii="Arial" w:hAnsi="Arial" w:cs="Arial"/>
          <w:i/>
          <w:iCs/>
          <w:color w:val="000000" w:themeColor="text1"/>
          <w:sz w:val="20"/>
          <w:szCs w:val="20"/>
          <w:bdr w:val="single" w:sz="2" w:space="0" w:color="ECEDEE" w:frame="1"/>
        </w:rPr>
        <w:t>Gastroenterol.</w:t>
      </w:r>
      <w:r w:rsidRPr="00360A96">
        <w:rPr>
          <w:rFonts w:ascii="Arial" w:hAnsi="Arial" w:cs="Arial"/>
          <w:color w:val="000000" w:themeColor="text1"/>
          <w:sz w:val="20"/>
          <w:szCs w:val="20"/>
          <w:bdr w:val="single" w:sz="2" w:space="0" w:color="ECEDEE" w:frame="1"/>
        </w:rPr>
        <w:t xml:space="preserve"> 160:744-754. </w:t>
      </w:r>
      <w:r w:rsidRPr="00360A96">
        <w:rPr>
          <w:rFonts w:ascii="Arial" w:hAnsi="Arial" w:cs="Arial"/>
          <w:color w:val="0070C0"/>
          <w:sz w:val="20"/>
          <w:szCs w:val="20"/>
          <w:bdr w:val="single" w:sz="2" w:space="0" w:color="ECEDEE" w:frame="1"/>
        </w:rPr>
        <w:t>https://doi.org/10.1053/j-gastro.2020.10.007</w:t>
      </w:r>
    </w:p>
    <w:p w14:paraId="58C281CC" w14:textId="77777777" w:rsidR="00755D41" w:rsidRPr="00360A96" w:rsidRDefault="00755D41" w:rsidP="00755D41">
      <w:pPr>
        <w:pStyle w:val="ListParagraph"/>
        <w:ind w:left="1134" w:right="283" w:hanging="567"/>
        <w:jc w:val="both"/>
        <w:rPr>
          <w:rFonts w:ascii="Arial" w:hAnsi="Arial" w:cs="Arial"/>
          <w:color w:val="000000" w:themeColor="text1"/>
          <w:sz w:val="20"/>
          <w:szCs w:val="20"/>
        </w:rPr>
      </w:pPr>
    </w:p>
    <w:p w14:paraId="38FA6725" w14:textId="77777777" w:rsidR="00755D41" w:rsidRPr="00360A96" w:rsidRDefault="00755D41" w:rsidP="00755D41">
      <w:pPr>
        <w:pStyle w:val="ListParagraph"/>
        <w:ind w:left="1134" w:right="283" w:hanging="567"/>
        <w:jc w:val="both"/>
        <w:rPr>
          <w:rFonts w:ascii="Arial" w:eastAsia="Times New Roman" w:hAnsi="Arial" w:cs="Arial"/>
          <w:color w:val="212121"/>
          <w:sz w:val="20"/>
          <w:szCs w:val="20"/>
        </w:rPr>
      </w:pPr>
      <w:r w:rsidRPr="00360A96">
        <w:rPr>
          <w:rFonts w:ascii="Arial" w:hAnsi="Arial" w:cs="Arial"/>
          <w:color w:val="000000" w:themeColor="text1"/>
          <w:sz w:val="20"/>
          <w:szCs w:val="20"/>
        </w:rPr>
        <w:t xml:space="preserve">Huang X, Zhang G, Tang T, Liang T (2021). Identification of tumor antigens and immune subtypes of pancreatic adenocarcinoma for mRNA vaccine development. </w:t>
      </w:r>
      <w:r w:rsidRPr="00360A96">
        <w:rPr>
          <w:rFonts w:ascii="Arial" w:hAnsi="Arial" w:cs="Arial"/>
          <w:i/>
          <w:iCs/>
          <w:color w:val="000000" w:themeColor="text1"/>
          <w:sz w:val="20"/>
          <w:szCs w:val="20"/>
        </w:rPr>
        <w:t>Mol Cancer</w:t>
      </w:r>
      <w:r w:rsidRPr="00360A96">
        <w:rPr>
          <w:rFonts w:ascii="Arial" w:hAnsi="Arial" w:cs="Arial"/>
          <w:color w:val="000000" w:themeColor="text1"/>
          <w:sz w:val="20"/>
          <w:szCs w:val="20"/>
        </w:rPr>
        <w:t xml:space="preserve">. 20:44. </w:t>
      </w:r>
      <w:hyperlink r:id="rId12" w:history="1">
        <w:r w:rsidRPr="00360A96">
          <w:rPr>
            <w:rStyle w:val="Hyperlink"/>
            <w:rFonts w:ascii="Arial" w:hAnsi="Arial" w:cs="Arial"/>
            <w:color w:val="0070C0"/>
            <w:sz w:val="20"/>
            <w:szCs w:val="20"/>
          </w:rPr>
          <w:t>https://doi.org/10.1186/s12943-021-01310-0</w:t>
        </w:r>
      </w:hyperlink>
      <w:r w:rsidRPr="00360A96">
        <w:rPr>
          <w:rFonts w:ascii="Arial" w:hAnsi="Arial" w:cs="Arial"/>
          <w:color w:val="0070C0"/>
          <w:sz w:val="20"/>
          <w:szCs w:val="20"/>
        </w:rPr>
        <w:t xml:space="preserve"> </w:t>
      </w:r>
    </w:p>
    <w:p w14:paraId="7953CFD4" w14:textId="77777777" w:rsidR="00755D41" w:rsidRPr="00360A96" w:rsidRDefault="00755D41" w:rsidP="00755D41">
      <w:pPr>
        <w:pStyle w:val="NormalWeb"/>
        <w:ind w:left="1134" w:right="283" w:hanging="567"/>
        <w:jc w:val="both"/>
        <w:rPr>
          <w:rFonts w:ascii="Arial" w:hAnsi="Arial" w:cs="Arial"/>
          <w:sz w:val="20"/>
          <w:szCs w:val="20"/>
        </w:rPr>
      </w:pPr>
      <w:r w:rsidRPr="00360A96">
        <w:rPr>
          <w:rFonts w:ascii="Arial" w:hAnsi="Arial" w:cs="Arial"/>
          <w:color w:val="211E1E"/>
          <w:sz w:val="20"/>
          <w:szCs w:val="20"/>
        </w:rPr>
        <w:t xml:space="preserve">Jiang S, Redelman-Sidi G. (2022). BCG In bladder cancer immunotherapy. Cancers. 14(13):3073. </w:t>
      </w:r>
      <w:r w:rsidRPr="00360A96">
        <w:rPr>
          <w:rFonts w:ascii="Arial" w:hAnsi="Arial" w:cs="Arial"/>
          <w:color w:val="0070C0"/>
          <w:sz w:val="20"/>
          <w:szCs w:val="20"/>
        </w:rPr>
        <w:t xml:space="preserve">Doi: 10.3390/cancers14133073 </w:t>
      </w:r>
    </w:p>
    <w:p w14:paraId="1F58EC9B" w14:textId="77777777" w:rsidR="00755D41" w:rsidRPr="00360A96" w:rsidRDefault="00755D41" w:rsidP="00755D41">
      <w:pPr>
        <w:pStyle w:val="ListParagraph"/>
        <w:ind w:left="1134" w:right="283" w:hanging="567"/>
        <w:jc w:val="both"/>
        <w:rPr>
          <w:rStyle w:val="Hyperlink"/>
          <w:rFonts w:ascii="Arial" w:hAnsi="Arial" w:cs="Arial"/>
          <w:color w:val="0070C0"/>
          <w:sz w:val="20"/>
          <w:szCs w:val="20"/>
          <w:bdr w:val="single" w:sz="2" w:space="0" w:color="ECEDEE" w:frame="1"/>
        </w:rPr>
      </w:pPr>
      <w:r w:rsidRPr="00360A96">
        <w:rPr>
          <w:rFonts w:ascii="Arial" w:hAnsi="Arial" w:cs="Arial"/>
          <w:color w:val="000000" w:themeColor="text1"/>
          <w:sz w:val="20"/>
          <w:szCs w:val="20"/>
        </w:rPr>
        <w:t>Jones S, Zhang X, Parsons D W, Lin JC-H, Leary RJ, Angenendt P, et al. (2008). Core signaling pathways in human pancreatic cancers revealed by global genomic analyses. </w:t>
      </w:r>
      <w:r w:rsidRPr="00360A96">
        <w:rPr>
          <w:rFonts w:ascii="Arial" w:hAnsi="Arial" w:cs="Arial"/>
          <w:i/>
          <w:iCs/>
          <w:color w:val="000000" w:themeColor="text1"/>
          <w:sz w:val="20"/>
          <w:szCs w:val="20"/>
          <w:bdr w:val="single" w:sz="2" w:space="0" w:color="ECEDEE" w:frame="1"/>
        </w:rPr>
        <w:t>Science</w:t>
      </w:r>
      <w:r w:rsidRPr="00360A96">
        <w:rPr>
          <w:rFonts w:ascii="Arial" w:hAnsi="Arial" w:cs="Arial"/>
          <w:color w:val="000000" w:themeColor="text1"/>
          <w:sz w:val="20"/>
          <w:szCs w:val="20"/>
        </w:rPr>
        <w:t>. </w:t>
      </w:r>
      <w:r w:rsidRPr="00360A96">
        <w:rPr>
          <w:rFonts w:ascii="Arial" w:hAnsi="Arial" w:cs="Arial"/>
          <w:color w:val="000000" w:themeColor="text1"/>
          <w:sz w:val="20"/>
          <w:szCs w:val="20"/>
          <w:bdr w:val="single" w:sz="2" w:space="0" w:color="ECEDEE" w:frame="1"/>
        </w:rPr>
        <w:t>321</w:t>
      </w:r>
      <w:r w:rsidRPr="00360A96">
        <w:rPr>
          <w:rFonts w:ascii="Arial" w:hAnsi="Arial" w:cs="Arial"/>
          <w:color w:val="000000" w:themeColor="text1"/>
          <w:sz w:val="20"/>
          <w:szCs w:val="20"/>
        </w:rPr>
        <w:t>(5897):1801-1806. </w:t>
      </w:r>
      <w:hyperlink r:id="rId13" w:history="1">
        <w:r w:rsidRPr="00360A96">
          <w:rPr>
            <w:rStyle w:val="Hyperlink"/>
            <w:rFonts w:ascii="Arial" w:hAnsi="Arial" w:cs="Arial"/>
            <w:color w:val="0070C0"/>
            <w:sz w:val="20"/>
            <w:szCs w:val="20"/>
            <w:bdr w:val="single" w:sz="2" w:space="0" w:color="ECEDEE" w:frame="1"/>
          </w:rPr>
          <w:t>Doi: 10.1126/science.1164368</w:t>
        </w:r>
      </w:hyperlink>
    </w:p>
    <w:p w14:paraId="3179C210"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2716ABCB"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bCs/>
          <w:color w:val="000000" w:themeColor="text1"/>
          <w:sz w:val="20"/>
          <w:szCs w:val="20"/>
        </w:rPr>
        <w:t xml:space="preserve">Kang JD, Clarke SE, Costa AF (2021). Factors associated with missed and misinterpreted cases of pancreatic ductal adenocarcinoma. </w:t>
      </w:r>
      <w:r w:rsidRPr="00360A96">
        <w:rPr>
          <w:rFonts w:ascii="Arial" w:hAnsi="Arial" w:cs="Arial"/>
          <w:bCs/>
          <w:i/>
          <w:iCs/>
          <w:color w:val="000000" w:themeColor="text1"/>
          <w:sz w:val="20"/>
          <w:szCs w:val="20"/>
        </w:rPr>
        <w:t>European Radiology.</w:t>
      </w:r>
      <w:r w:rsidRPr="00360A96">
        <w:rPr>
          <w:rFonts w:ascii="Arial" w:hAnsi="Arial" w:cs="Arial"/>
          <w:bCs/>
          <w:color w:val="000000" w:themeColor="text1"/>
          <w:sz w:val="20"/>
          <w:szCs w:val="20"/>
        </w:rPr>
        <w:t xml:space="preserve"> 31:2422-2432.</w:t>
      </w:r>
      <w:r w:rsidRPr="00360A96">
        <w:rPr>
          <w:rFonts w:ascii="Arial" w:hAnsi="Arial" w:cs="Arial"/>
          <w:bCs/>
          <w:color w:val="000000" w:themeColor="text1"/>
          <w:sz w:val="20"/>
          <w:szCs w:val="20"/>
        </w:rPr>
        <w:tab/>
        <w:t xml:space="preserve"> </w:t>
      </w:r>
      <w:hyperlink r:id="rId14" w:history="1">
        <w:r w:rsidRPr="00360A96">
          <w:rPr>
            <w:rStyle w:val="Hyperlink"/>
            <w:rFonts w:ascii="Arial" w:hAnsi="Arial" w:cs="Arial"/>
            <w:color w:val="0070C0"/>
            <w:sz w:val="20"/>
            <w:szCs w:val="20"/>
          </w:rPr>
          <w:t>https://doi.org/10.1007/s00330-020-07307-5</w:t>
        </w:r>
      </w:hyperlink>
      <w:r w:rsidRPr="00360A96">
        <w:rPr>
          <w:rFonts w:ascii="Arial" w:hAnsi="Arial" w:cs="Arial"/>
          <w:bCs/>
          <w:color w:val="0070C0"/>
          <w:sz w:val="20"/>
          <w:szCs w:val="20"/>
        </w:rPr>
        <w:t xml:space="preserve"> </w:t>
      </w:r>
    </w:p>
    <w:p w14:paraId="2BC94544"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63731638"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bCs/>
          <w:color w:val="000000" w:themeColor="text1"/>
          <w:sz w:val="20"/>
          <w:szCs w:val="20"/>
        </w:rPr>
        <w:t xml:space="preserve">Kikuyama M (2023). A noval diagnostic imaging method for the early detection of pancreatic cancer. Diagnostics 13:2080. </w:t>
      </w:r>
      <w:hyperlink r:id="rId15" w:history="1">
        <w:r w:rsidRPr="00360A96">
          <w:rPr>
            <w:rStyle w:val="Hyperlink"/>
            <w:rFonts w:ascii="Arial" w:hAnsi="Arial" w:cs="Arial"/>
            <w:color w:val="0070C0"/>
            <w:sz w:val="20"/>
            <w:szCs w:val="20"/>
          </w:rPr>
          <w:t>https://doi.org/10.3390/diagnostics13122080</w:t>
        </w:r>
      </w:hyperlink>
      <w:r w:rsidRPr="00360A96">
        <w:rPr>
          <w:rStyle w:val="Hyperlink"/>
          <w:rFonts w:ascii="Arial" w:hAnsi="Arial" w:cs="Arial"/>
          <w:color w:val="0070C0"/>
          <w:sz w:val="20"/>
          <w:szCs w:val="20"/>
        </w:rPr>
        <w:t xml:space="preserve">  </w:t>
      </w:r>
      <w:r w:rsidRPr="00360A96">
        <w:rPr>
          <w:rFonts w:ascii="Arial" w:hAnsi="Arial" w:cs="Arial"/>
          <w:bCs/>
          <w:color w:val="0070C0"/>
          <w:sz w:val="20"/>
          <w:szCs w:val="20"/>
        </w:rPr>
        <w:t xml:space="preserve"> </w:t>
      </w:r>
    </w:p>
    <w:p w14:paraId="51285E59" w14:textId="77777777" w:rsidR="00755D41" w:rsidRPr="001E79AD" w:rsidRDefault="00755D41" w:rsidP="00755D41">
      <w:pPr>
        <w:pStyle w:val="NormalWeb"/>
        <w:ind w:left="1134" w:right="283" w:hanging="567"/>
        <w:jc w:val="both"/>
        <w:rPr>
          <w:rFonts w:ascii="Arial" w:hAnsi="Arial" w:cs="Arial"/>
          <w:sz w:val="20"/>
          <w:szCs w:val="20"/>
          <w:lang w:val="fr-FR"/>
        </w:rPr>
      </w:pPr>
      <w:r w:rsidRPr="00360A96">
        <w:rPr>
          <w:rFonts w:ascii="Arial" w:hAnsi="Arial" w:cs="Arial"/>
          <w:color w:val="1B1B1B"/>
          <w:sz w:val="20"/>
          <w:szCs w:val="20"/>
          <w:shd w:val="clear" w:color="auto" w:fill="FFFFFF"/>
        </w:rPr>
        <w:t>Kim H, Chu J, Do IG, Lee YP, Kim HK, Yang Y,</w:t>
      </w:r>
      <w:r w:rsidRPr="00360A96">
        <w:rPr>
          <w:rFonts w:ascii="Arial" w:hAnsi="Arial" w:cs="Arial"/>
          <w:color w:val="1B1B1B"/>
          <w:sz w:val="20"/>
          <w:szCs w:val="20"/>
          <w:shd w:val="clear" w:color="auto" w:fill="FFFFFF"/>
          <w:lang w:val="tr-TR"/>
        </w:rPr>
        <w:t xml:space="preserve"> et al. (2024).</w:t>
      </w:r>
      <w:r w:rsidRPr="00360A96">
        <w:rPr>
          <w:rFonts w:ascii="Arial" w:hAnsi="Arial" w:cs="Arial"/>
          <w:color w:val="1B1B1B"/>
          <w:sz w:val="20"/>
          <w:szCs w:val="20"/>
          <w:shd w:val="clear" w:color="auto" w:fill="FFFFFF"/>
        </w:rPr>
        <w:t xml:space="preserve"> Novel diagnostic biomarkers for pancreatic cancer: assessing methylation status with epigenetic-specific peptide nucleic acid and KRAS mutation in cell-free DNA. </w:t>
      </w:r>
      <w:r w:rsidRPr="001E79AD">
        <w:rPr>
          <w:rFonts w:ascii="Arial" w:hAnsi="Arial" w:cs="Arial"/>
          <w:i/>
          <w:iCs/>
          <w:color w:val="1B1B1B"/>
          <w:sz w:val="20"/>
          <w:szCs w:val="20"/>
          <w:shd w:val="clear" w:color="auto" w:fill="FFFFFF"/>
          <w:lang w:val="fr-FR"/>
        </w:rPr>
        <w:t xml:space="preserve">Front </w:t>
      </w:r>
      <w:proofErr w:type="spellStart"/>
      <w:r w:rsidRPr="001E79AD">
        <w:rPr>
          <w:rFonts w:ascii="Arial" w:hAnsi="Arial" w:cs="Arial"/>
          <w:i/>
          <w:iCs/>
          <w:color w:val="1B1B1B"/>
          <w:sz w:val="20"/>
          <w:szCs w:val="20"/>
          <w:shd w:val="clear" w:color="auto" w:fill="FFFFFF"/>
          <w:lang w:val="fr-FR"/>
        </w:rPr>
        <w:t>Oncol</w:t>
      </w:r>
      <w:proofErr w:type="spellEnd"/>
      <w:r w:rsidRPr="001E79AD">
        <w:rPr>
          <w:rFonts w:ascii="Arial" w:hAnsi="Arial" w:cs="Arial"/>
          <w:i/>
          <w:iCs/>
          <w:color w:val="1B1B1B"/>
          <w:sz w:val="20"/>
          <w:szCs w:val="20"/>
          <w:shd w:val="clear" w:color="auto" w:fill="FFFFFF"/>
          <w:lang w:val="fr-FR"/>
        </w:rPr>
        <w:t>.</w:t>
      </w:r>
      <w:r w:rsidRPr="001E79AD">
        <w:rPr>
          <w:rFonts w:ascii="Arial" w:hAnsi="Arial" w:cs="Arial"/>
          <w:color w:val="1B1B1B"/>
          <w:sz w:val="20"/>
          <w:szCs w:val="20"/>
          <w:shd w:val="clear" w:color="auto" w:fill="FFFFFF"/>
          <w:lang w:val="fr-FR"/>
        </w:rPr>
        <w:t xml:space="preserve"> </w:t>
      </w:r>
      <w:proofErr w:type="gramStart"/>
      <w:r w:rsidRPr="001E79AD">
        <w:rPr>
          <w:rFonts w:ascii="Arial" w:hAnsi="Arial" w:cs="Arial"/>
          <w:color w:val="1B1B1B"/>
          <w:sz w:val="20"/>
          <w:szCs w:val="20"/>
          <w:shd w:val="clear" w:color="auto" w:fill="FFFFFF"/>
          <w:lang w:val="fr-FR"/>
        </w:rPr>
        <w:t>14:</w:t>
      </w:r>
      <w:proofErr w:type="gramEnd"/>
      <w:r w:rsidRPr="001E79AD">
        <w:rPr>
          <w:rFonts w:ascii="Arial" w:hAnsi="Arial" w:cs="Arial"/>
          <w:color w:val="1B1B1B"/>
          <w:sz w:val="20"/>
          <w:szCs w:val="20"/>
          <w:shd w:val="clear" w:color="auto" w:fill="FFFFFF"/>
          <w:lang w:val="fr-FR"/>
        </w:rPr>
        <w:t>1395473.</w:t>
      </w:r>
      <w:r w:rsidRPr="001E79AD">
        <w:rPr>
          <w:rFonts w:ascii="Arial" w:hAnsi="Arial" w:cs="Arial"/>
          <w:color w:val="1B1B1B"/>
          <w:sz w:val="20"/>
          <w:szCs w:val="20"/>
          <w:shd w:val="clear" w:color="auto" w:fill="FFFFFF"/>
          <w:lang w:val="fr-FR"/>
        </w:rPr>
        <w:tab/>
        <w:t xml:space="preserve"> </w:t>
      </w:r>
      <w:r w:rsidRPr="00360A96">
        <w:rPr>
          <w:rFonts w:ascii="Arial" w:hAnsi="Arial" w:cs="Arial"/>
          <w:color w:val="1B1B1B"/>
          <w:sz w:val="20"/>
          <w:szCs w:val="20"/>
          <w:shd w:val="clear" w:color="auto" w:fill="FFFFFF"/>
          <w:lang w:val="tr-TR"/>
        </w:rPr>
        <w:t xml:space="preserve">                                                         </w:t>
      </w:r>
      <w:r w:rsidRPr="00360A96">
        <w:rPr>
          <w:rFonts w:ascii="Arial" w:hAnsi="Arial" w:cs="Arial"/>
          <w:color w:val="0070C0"/>
          <w:sz w:val="20"/>
          <w:szCs w:val="20"/>
          <w:shd w:val="clear" w:color="auto" w:fill="FFFFFF"/>
          <w:lang w:val="tr-TR"/>
        </w:rPr>
        <w:t>D</w:t>
      </w:r>
      <w:proofErr w:type="spellStart"/>
      <w:r w:rsidRPr="001E79AD">
        <w:rPr>
          <w:rFonts w:ascii="Arial" w:hAnsi="Arial" w:cs="Arial"/>
          <w:color w:val="0070C0"/>
          <w:sz w:val="20"/>
          <w:szCs w:val="20"/>
          <w:shd w:val="clear" w:color="auto" w:fill="FFFFFF"/>
          <w:lang w:val="fr-FR"/>
        </w:rPr>
        <w:t>oi</w:t>
      </w:r>
      <w:proofErr w:type="spellEnd"/>
      <w:r w:rsidRPr="001E79AD">
        <w:rPr>
          <w:rFonts w:ascii="Arial" w:hAnsi="Arial" w:cs="Arial"/>
          <w:color w:val="0070C0"/>
          <w:sz w:val="20"/>
          <w:szCs w:val="20"/>
          <w:shd w:val="clear" w:color="auto" w:fill="FFFFFF"/>
          <w:lang w:val="fr-FR"/>
        </w:rPr>
        <w:t xml:space="preserve">: 10.3389/fonc.2024.1395473. </w:t>
      </w:r>
    </w:p>
    <w:p w14:paraId="14B86DC7" w14:textId="77777777" w:rsidR="00755D41" w:rsidRPr="00360A96" w:rsidRDefault="00755D41" w:rsidP="00755D41">
      <w:pPr>
        <w:pStyle w:val="ListParagraph"/>
        <w:ind w:left="1134" w:right="283" w:hanging="567"/>
        <w:jc w:val="both"/>
        <w:rPr>
          <w:rFonts w:ascii="Arial" w:hAnsi="Arial" w:cs="Arial"/>
          <w:color w:val="00B0F0"/>
          <w:sz w:val="20"/>
          <w:szCs w:val="20"/>
          <w:bdr w:val="single" w:sz="2" w:space="0" w:color="ECEDEE" w:frame="1"/>
        </w:rPr>
      </w:pPr>
      <w:r w:rsidRPr="001E79AD">
        <w:rPr>
          <w:rFonts w:ascii="Arial" w:hAnsi="Arial" w:cs="Arial"/>
          <w:bCs/>
          <w:color w:val="000000" w:themeColor="text1"/>
          <w:sz w:val="20"/>
          <w:szCs w:val="20"/>
          <w:lang w:val="fr-FR"/>
        </w:rPr>
        <w:t xml:space="preserve">Kimura H, Yamamoto H, Harada T, </w:t>
      </w:r>
      <w:proofErr w:type="spellStart"/>
      <w:r w:rsidRPr="001E79AD">
        <w:rPr>
          <w:rFonts w:ascii="Arial" w:hAnsi="Arial" w:cs="Arial"/>
          <w:bCs/>
          <w:color w:val="000000" w:themeColor="text1"/>
          <w:sz w:val="20"/>
          <w:szCs w:val="20"/>
          <w:lang w:val="fr-FR"/>
        </w:rPr>
        <w:t>Fumoto</w:t>
      </w:r>
      <w:proofErr w:type="spellEnd"/>
      <w:r w:rsidRPr="001E79AD">
        <w:rPr>
          <w:rFonts w:ascii="Arial" w:hAnsi="Arial" w:cs="Arial"/>
          <w:bCs/>
          <w:color w:val="000000" w:themeColor="text1"/>
          <w:sz w:val="20"/>
          <w:szCs w:val="20"/>
          <w:lang w:val="fr-FR"/>
        </w:rPr>
        <w:t xml:space="preserve"> K, </w:t>
      </w:r>
      <w:proofErr w:type="spellStart"/>
      <w:r w:rsidRPr="001E79AD">
        <w:rPr>
          <w:rFonts w:ascii="Arial" w:hAnsi="Arial" w:cs="Arial"/>
          <w:bCs/>
          <w:color w:val="000000" w:themeColor="text1"/>
          <w:sz w:val="20"/>
          <w:szCs w:val="20"/>
          <w:lang w:val="fr-FR"/>
        </w:rPr>
        <w:t>Osugi</w:t>
      </w:r>
      <w:proofErr w:type="spellEnd"/>
      <w:r w:rsidRPr="001E79AD">
        <w:rPr>
          <w:rFonts w:ascii="Arial" w:hAnsi="Arial" w:cs="Arial"/>
          <w:bCs/>
          <w:color w:val="000000" w:themeColor="text1"/>
          <w:sz w:val="20"/>
          <w:szCs w:val="20"/>
          <w:lang w:val="fr-FR"/>
        </w:rPr>
        <w:t xml:space="preserve"> Y, Sada R, et al. </w:t>
      </w:r>
      <w:r w:rsidRPr="00360A96">
        <w:rPr>
          <w:rFonts w:ascii="Arial" w:hAnsi="Arial" w:cs="Arial"/>
          <w:bCs/>
          <w:color w:val="000000" w:themeColor="text1"/>
          <w:sz w:val="20"/>
          <w:szCs w:val="20"/>
        </w:rPr>
        <w:t xml:space="preserve">(2019). CKAP4, a DKK1 receptor, is a biomarker in exosomes derived from pancreatic cancer and a molecular target for therapy. </w:t>
      </w:r>
      <w:r w:rsidRPr="00360A96">
        <w:rPr>
          <w:rFonts w:ascii="Arial" w:hAnsi="Arial" w:cs="Arial"/>
          <w:bCs/>
          <w:i/>
          <w:iCs/>
          <w:color w:val="000000" w:themeColor="text1"/>
          <w:sz w:val="20"/>
          <w:szCs w:val="20"/>
        </w:rPr>
        <w:t>Clin Cancer Res</w:t>
      </w:r>
      <w:r w:rsidRPr="00360A96">
        <w:rPr>
          <w:rFonts w:ascii="Arial" w:hAnsi="Arial" w:cs="Arial"/>
          <w:bCs/>
          <w:color w:val="000000" w:themeColor="text1"/>
          <w:sz w:val="20"/>
          <w:szCs w:val="20"/>
        </w:rPr>
        <w:t xml:space="preserve">. 25(6):1936-1947. </w:t>
      </w:r>
      <w:r w:rsidRPr="00360A96">
        <w:rPr>
          <w:rFonts w:ascii="Arial" w:hAnsi="Arial" w:cs="Arial"/>
          <w:bCs/>
          <w:color w:val="0070C0"/>
          <w:sz w:val="20"/>
          <w:szCs w:val="20"/>
        </w:rPr>
        <w:t>Doi:10.1158/1078-0432.Ccr-18-2124</w:t>
      </w:r>
    </w:p>
    <w:p w14:paraId="02581EEC" w14:textId="77777777" w:rsidR="00755D41" w:rsidRPr="00360A96" w:rsidRDefault="00755D41" w:rsidP="00755D41">
      <w:pPr>
        <w:pStyle w:val="ListParagraph"/>
        <w:shd w:val="clear" w:color="auto" w:fill="FFFFFF"/>
        <w:spacing w:before="100" w:beforeAutospacing="1" w:after="100" w:afterAutospacing="1"/>
        <w:ind w:left="1134" w:right="283" w:hanging="567"/>
        <w:jc w:val="both"/>
        <w:rPr>
          <w:rFonts w:ascii="Arial" w:hAnsi="Arial" w:cs="Arial"/>
          <w:color w:val="212121"/>
          <w:sz w:val="20"/>
          <w:szCs w:val="20"/>
          <w:shd w:val="clear" w:color="auto" w:fill="FFFFFF"/>
        </w:rPr>
      </w:pPr>
    </w:p>
    <w:p w14:paraId="09A6FCFC" w14:textId="77777777" w:rsidR="00755D41" w:rsidRPr="001E79AD" w:rsidRDefault="00755D41" w:rsidP="00755D41">
      <w:pPr>
        <w:pStyle w:val="ListParagraph"/>
        <w:shd w:val="clear" w:color="auto" w:fill="FFFFFF"/>
        <w:spacing w:before="100" w:beforeAutospacing="1" w:after="100" w:afterAutospacing="1"/>
        <w:ind w:left="1134" w:right="283" w:hanging="567"/>
        <w:jc w:val="both"/>
        <w:rPr>
          <w:rFonts w:ascii="Arial" w:hAnsi="Arial" w:cs="Arial"/>
          <w:color w:val="212121"/>
          <w:sz w:val="20"/>
          <w:szCs w:val="20"/>
          <w:lang w:val="nl-BE"/>
        </w:rPr>
      </w:pPr>
      <w:r w:rsidRPr="00360A96">
        <w:rPr>
          <w:rFonts w:ascii="Arial" w:hAnsi="Arial" w:cs="Arial"/>
          <w:color w:val="212121"/>
          <w:sz w:val="20"/>
          <w:szCs w:val="20"/>
          <w:shd w:val="clear" w:color="auto" w:fill="FFFFFF"/>
        </w:rPr>
        <w:t xml:space="preserve">Klein AP. (2021). Pancreatic cancer epidemiology: understanding the role of lifestyle and inherited risk factors. </w:t>
      </w:r>
      <w:r w:rsidRPr="001E79AD">
        <w:rPr>
          <w:rFonts w:ascii="Arial" w:hAnsi="Arial" w:cs="Arial"/>
          <w:i/>
          <w:iCs/>
          <w:color w:val="212121"/>
          <w:sz w:val="20"/>
          <w:szCs w:val="20"/>
          <w:shd w:val="clear" w:color="auto" w:fill="FFFFFF"/>
          <w:lang w:val="nl-BE"/>
        </w:rPr>
        <w:t>Nat Rev Gastroenterol Hepatol.</w:t>
      </w:r>
      <w:r w:rsidRPr="001E79AD">
        <w:rPr>
          <w:rFonts w:ascii="Arial" w:hAnsi="Arial" w:cs="Arial"/>
          <w:color w:val="212121"/>
          <w:sz w:val="20"/>
          <w:szCs w:val="20"/>
          <w:shd w:val="clear" w:color="auto" w:fill="FFFFFF"/>
          <w:lang w:val="nl-BE"/>
        </w:rPr>
        <w:t xml:space="preserve"> 18(7):493-502. </w:t>
      </w:r>
      <w:r w:rsidRPr="001E79AD">
        <w:rPr>
          <w:rFonts w:ascii="Arial" w:hAnsi="Arial" w:cs="Arial"/>
          <w:color w:val="0070C0"/>
          <w:sz w:val="20"/>
          <w:szCs w:val="20"/>
          <w:shd w:val="clear" w:color="auto" w:fill="FFFFFF"/>
          <w:lang w:val="nl-BE"/>
        </w:rPr>
        <w:t>Doi:10.1038/s41575-021-00457-x.</w:t>
      </w:r>
    </w:p>
    <w:p w14:paraId="6643FA55"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r w:rsidRPr="001E79AD">
        <w:rPr>
          <w:rFonts w:ascii="Arial" w:hAnsi="Arial" w:cs="Arial"/>
          <w:sz w:val="20"/>
          <w:szCs w:val="20"/>
          <w:lang w:val="nl-BE"/>
        </w:rPr>
        <w:lastRenderedPageBreak/>
        <w:t xml:space="preserve">Klement RJ, Pazienza V. (2019). </w:t>
      </w:r>
      <w:r w:rsidRPr="00360A96">
        <w:rPr>
          <w:rFonts w:ascii="Arial" w:hAnsi="Arial" w:cs="Arial"/>
          <w:sz w:val="20"/>
          <w:szCs w:val="20"/>
        </w:rPr>
        <w:t xml:space="preserve">Impact of different types of diet on gut microbiota profiles and cancer prevention and treatment. </w:t>
      </w:r>
      <w:r w:rsidRPr="00360A96">
        <w:rPr>
          <w:rFonts w:ascii="Arial" w:hAnsi="Arial" w:cs="Arial"/>
          <w:i/>
          <w:iCs/>
          <w:sz w:val="20"/>
          <w:szCs w:val="20"/>
        </w:rPr>
        <w:t xml:space="preserve">Medicina </w:t>
      </w:r>
      <w:r w:rsidRPr="00360A96">
        <w:rPr>
          <w:rFonts w:ascii="Arial" w:hAnsi="Arial" w:cs="Arial"/>
          <w:sz w:val="20"/>
          <w:szCs w:val="20"/>
        </w:rPr>
        <w:t>(Kaunas). 55:84.</w:t>
      </w:r>
      <w:r w:rsidRPr="00360A96">
        <w:rPr>
          <w:rFonts w:ascii="Arial" w:hAnsi="Arial" w:cs="Arial"/>
          <w:sz w:val="20"/>
          <w:szCs w:val="20"/>
        </w:rPr>
        <w:tab/>
      </w:r>
      <w:r w:rsidRPr="00360A96">
        <w:rPr>
          <w:rFonts w:ascii="Arial" w:hAnsi="Arial" w:cs="Arial"/>
          <w:sz w:val="20"/>
          <w:szCs w:val="20"/>
          <w:lang w:val="tr-TR"/>
        </w:rPr>
        <w:t xml:space="preserve">                                              </w:t>
      </w:r>
      <w:r w:rsidRPr="00360A96">
        <w:rPr>
          <w:rFonts w:ascii="Arial" w:hAnsi="Arial" w:cs="Arial"/>
          <w:color w:val="0070C0"/>
          <w:sz w:val="20"/>
          <w:szCs w:val="20"/>
        </w:rPr>
        <w:t xml:space="preserve">Doi: 10.3390/medicina55040084 </w:t>
      </w:r>
    </w:p>
    <w:p w14:paraId="58E774D9"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427A7B8E" w14:textId="77777777" w:rsidR="00755D41" w:rsidRPr="001E79AD" w:rsidRDefault="00755D41" w:rsidP="00755D41">
      <w:pPr>
        <w:pStyle w:val="ListParagraph"/>
        <w:ind w:left="1134" w:right="283" w:hanging="567"/>
        <w:jc w:val="both"/>
        <w:rPr>
          <w:rFonts w:ascii="Arial" w:hAnsi="Arial" w:cs="Arial"/>
          <w:bCs/>
          <w:color w:val="FF0000"/>
          <w:sz w:val="20"/>
          <w:szCs w:val="20"/>
          <w:lang w:val="fr-FR"/>
        </w:rPr>
      </w:pPr>
      <w:r w:rsidRPr="00360A96">
        <w:rPr>
          <w:rFonts w:ascii="Arial" w:hAnsi="Arial" w:cs="Arial"/>
          <w:bCs/>
          <w:color w:val="000000" w:themeColor="text1"/>
          <w:sz w:val="20"/>
          <w:szCs w:val="20"/>
        </w:rPr>
        <w:t xml:space="preserve">Korc M, Jeon CY, Edderkaoui M, Pandol SJ, Petrov MS, (2017). Tobacco and alcohol as risk factors for pancreatic cancer. </w:t>
      </w:r>
      <w:r w:rsidRPr="001E79AD">
        <w:rPr>
          <w:rFonts w:ascii="Arial" w:hAnsi="Arial" w:cs="Arial"/>
          <w:bCs/>
          <w:i/>
          <w:iCs/>
          <w:color w:val="000000" w:themeColor="text1"/>
          <w:sz w:val="20"/>
          <w:szCs w:val="20"/>
          <w:lang w:val="fr-FR"/>
        </w:rPr>
        <w:t xml:space="preserve">Best Practice &amp; </w:t>
      </w:r>
      <w:proofErr w:type="spellStart"/>
      <w:r w:rsidRPr="001E79AD">
        <w:rPr>
          <w:rFonts w:ascii="Arial" w:hAnsi="Arial" w:cs="Arial"/>
          <w:bCs/>
          <w:i/>
          <w:iCs/>
          <w:color w:val="000000" w:themeColor="text1"/>
          <w:sz w:val="20"/>
          <w:szCs w:val="20"/>
          <w:lang w:val="fr-FR"/>
        </w:rPr>
        <w:t>Res</w:t>
      </w:r>
      <w:proofErr w:type="spellEnd"/>
      <w:r w:rsidRPr="001E79AD">
        <w:rPr>
          <w:rFonts w:ascii="Arial" w:hAnsi="Arial" w:cs="Arial"/>
          <w:bCs/>
          <w:i/>
          <w:iCs/>
          <w:color w:val="000000" w:themeColor="text1"/>
          <w:sz w:val="20"/>
          <w:szCs w:val="20"/>
          <w:lang w:val="fr-FR"/>
        </w:rPr>
        <w:t xml:space="preserve"> Clin </w:t>
      </w:r>
      <w:proofErr w:type="spellStart"/>
      <w:r w:rsidRPr="001E79AD">
        <w:rPr>
          <w:rFonts w:ascii="Arial" w:hAnsi="Arial" w:cs="Arial"/>
          <w:bCs/>
          <w:i/>
          <w:iCs/>
          <w:color w:val="000000" w:themeColor="text1"/>
          <w:sz w:val="20"/>
          <w:szCs w:val="20"/>
          <w:lang w:val="fr-FR"/>
        </w:rPr>
        <w:t>Gastroenterol</w:t>
      </w:r>
      <w:proofErr w:type="spellEnd"/>
      <w:r w:rsidRPr="001E79AD">
        <w:rPr>
          <w:rFonts w:ascii="Arial" w:hAnsi="Arial" w:cs="Arial"/>
          <w:bCs/>
          <w:color w:val="000000" w:themeColor="text1"/>
          <w:sz w:val="20"/>
          <w:szCs w:val="20"/>
          <w:lang w:val="fr-FR"/>
        </w:rPr>
        <w:t xml:space="preserve">. </w:t>
      </w:r>
      <w:proofErr w:type="gramStart"/>
      <w:r w:rsidRPr="001E79AD">
        <w:rPr>
          <w:rFonts w:ascii="Arial" w:hAnsi="Arial" w:cs="Arial"/>
          <w:bCs/>
          <w:color w:val="000000" w:themeColor="text1"/>
          <w:sz w:val="20"/>
          <w:szCs w:val="20"/>
          <w:lang w:val="fr-FR"/>
        </w:rPr>
        <w:t>31:</w:t>
      </w:r>
      <w:proofErr w:type="gramEnd"/>
      <w:r w:rsidRPr="001E79AD">
        <w:rPr>
          <w:rFonts w:ascii="Arial" w:hAnsi="Arial" w:cs="Arial"/>
          <w:bCs/>
          <w:color w:val="000000" w:themeColor="text1"/>
          <w:sz w:val="20"/>
          <w:szCs w:val="20"/>
          <w:lang w:val="fr-FR"/>
        </w:rPr>
        <w:t xml:space="preserve">529-536. </w:t>
      </w:r>
      <w:hyperlink r:id="rId16" w:history="1">
        <w:r w:rsidRPr="001E79AD">
          <w:rPr>
            <w:rStyle w:val="Hyperlink"/>
            <w:rFonts w:ascii="Arial" w:hAnsi="Arial" w:cs="Arial"/>
            <w:color w:val="0070C0"/>
            <w:sz w:val="20"/>
            <w:szCs w:val="20"/>
            <w:lang w:val="fr-FR"/>
          </w:rPr>
          <w:t>http://dx.doi.org/10.1016/j.bpg.2017.09.001</w:t>
        </w:r>
      </w:hyperlink>
      <w:r w:rsidRPr="001E79AD">
        <w:rPr>
          <w:rFonts w:ascii="Arial" w:hAnsi="Arial" w:cs="Arial"/>
          <w:bCs/>
          <w:color w:val="0070C0"/>
          <w:sz w:val="20"/>
          <w:szCs w:val="20"/>
          <w:lang w:val="fr-FR"/>
        </w:rPr>
        <w:t xml:space="preserve"> </w:t>
      </w:r>
    </w:p>
    <w:p w14:paraId="6FE2BE71" w14:textId="77777777" w:rsidR="00755D41" w:rsidRPr="00360A96" w:rsidRDefault="00755D41" w:rsidP="00755D41">
      <w:pPr>
        <w:pStyle w:val="NormalWeb"/>
        <w:ind w:left="1134" w:right="283" w:hanging="567"/>
        <w:jc w:val="both"/>
        <w:rPr>
          <w:rStyle w:val="y2iqfc"/>
          <w:rFonts w:ascii="Arial" w:hAnsi="Arial" w:cs="Arial"/>
          <w:sz w:val="20"/>
          <w:szCs w:val="20"/>
        </w:rPr>
      </w:pPr>
      <w:r w:rsidRPr="001E79AD">
        <w:rPr>
          <w:rFonts w:ascii="Arial" w:hAnsi="Arial" w:cs="Arial"/>
          <w:color w:val="000000" w:themeColor="text1"/>
          <w:sz w:val="20"/>
          <w:szCs w:val="20"/>
          <w:lang w:val="fr-FR"/>
        </w:rPr>
        <w:t xml:space="preserve">Laguna JC, </w:t>
      </w:r>
      <w:proofErr w:type="spellStart"/>
      <w:r w:rsidRPr="001E79AD">
        <w:rPr>
          <w:rFonts w:ascii="Arial" w:hAnsi="Arial" w:cs="Arial"/>
          <w:color w:val="000000" w:themeColor="text1"/>
          <w:sz w:val="20"/>
          <w:szCs w:val="20"/>
          <w:lang w:val="fr-FR"/>
        </w:rPr>
        <w:t>Alegret</w:t>
      </w:r>
      <w:proofErr w:type="spellEnd"/>
      <w:r w:rsidRPr="001E79AD">
        <w:rPr>
          <w:rFonts w:ascii="Arial" w:hAnsi="Arial" w:cs="Arial"/>
          <w:color w:val="000000" w:themeColor="text1"/>
          <w:sz w:val="20"/>
          <w:szCs w:val="20"/>
          <w:lang w:val="fr-FR"/>
        </w:rPr>
        <w:t xml:space="preserve"> M, Cofan M, Sanchez-</w:t>
      </w:r>
      <w:proofErr w:type="spellStart"/>
      <w:r w:rsidRPr="001E79AD">
        <w:rPr>
          <w:rFonts w:ascii="Arial" w:hAnsi="Arial" w:cs="Arial"/>
          <w:color w:val="000000" w:themeColor="text1"/>
          <w:sz w:val="20"/>
          <w:szCs w:val="20"/>
          <w:lang w:val="fr-FR"/>
        </w:rPr>
        <w:t>Tainta</w:t>
      </w:r>
      <w:proofErr w:type="spellEnd"/>
      <w:r w:rsidRPr="001E79AD">
        <w:rPr>
          <w:rFonts w:ascii="Arial" w:hAnsi="Arial" w:cs="Arial"/>
          <w:color w:val="000000" w:themeColor="text1"/>
          <w:sz w:val="20"/>
          <w:szCs w:val="20"/>
          <w:lang w:val="fr-FR"/>
        </w:rPr>
        <w:t xml:space="preserve"> A, Diaz-Lopez A, Martinez-Gonzalez MA, et al. </w:t>
      </w:r>
      <w:r w:rsidRPr="00360A96">
        <w:rPr>
          <w:rFonts w:ascii="Arial" w:hAnsi="Arial" w:cs="Arial"/>
          <w:color w:val="000000" w:themeColor="text1"/>
          <w:sz w:val="20"/>
          <w:szCs w:val="20"/>
        </w:rPr>
        <w:t xml:space="preserve">(2021). Simple sugar intake and cancer incidence, cancer mortality and all-cause mortality: A cohort study from the PREDIMED trial. </w:t>
      </w:r>
      <w:r w:rsidRPr="00360A96">
        <w:rPr>
          <w:rFonts w:ascii="Arial" w:hAnsi="Arial" w:cs="Arial"/>
          <w:i/>
          <w:iCs/>
          <w:color w:val="000000" w:themeColor="text1"/>
          <w:sz w:val="20"/>
          <w:szCs w:val="20"/>
        </w:rPr>
        <w:t>Clin Nutr.</w:t>
      </w:r>
      <w:r w:rsidRPr="00360A96">
        <w:rPr>
          <w:rFonts w:ascii="Arial" w:hAnsi="Arial" w:cs="Arial"/>
          <w:color w:val="000000" w:themeColor="text1"/>
          <w:sz w:val="20"/>
          <w:szCs w:val="20"/>
        </w:rPr>
        <w:t xml:space="preserve"> 40:5269-5277.</w:t>
      </w:r>
      <w:r w:rsidRPr="00360A96">
        <w:rPr>
          <w:rFonts w:ascii="Arial" w:hAnsi="Arial" w:cs="Arial"/>
          <w:color w:val="000000" w:themeColor="text1"/>
          <w:sz w:val="20"/>
          <w:szCs w:val="20"/>
        </w:rPr>
        <w:tab/>
        <w:t xml:space="preserve"> </w:t>
      </w:r>
      <w:r w:rsidRPr="00360A96">
        <w:rPr>
          <w:rFonts w:ascii="Arial" w:hAnsi="Arial" w:cs="Arial"/>
          <w:color w:val="2196D1"/>
          <w:sz w:val="20"/>
          <w:szCs w:val="20"/>
        </w:rPr>
        <w:t>https://doi.org/10.1016/j.clnu.2021.07.031</w:t>
      </w:r>
    </w:p>
    <w:p w14:paraId="68B0D64E" w14:textId="77777777" w:rsidR="00755D41" w:rsidRPr="00360A96" w:rsidRDefault="00755D41" w:rsidP="00755D41">
      <w:pPr>
        <w:pStyle w:val="NormalWeb"/>
        <w:tabs>
          <w:tab w:val="left" w:pos="1134"/>
        </w:tabs>
        <w:ind w:left="1134" w:hanging="567"/>
        <w:jc w:val="both"/>
        <w:rPr>
          <w:rFonts w:ascii="Arial" w:hAnsi="Arial" w:cs="Arial"/>
          <w:sz w:val="20"/>
          <w:szCs w:val="20"/>
        </w:rPr>
      </w:pPr>
      <w:r w:rsidRPr="00360A96">
        <w:rPr>
          <w:rFonts w:ascii="Arial" w:hAnsi="Arial" w:cs="Arial"/>
          <w:color w:val="222222"/>
          <w:sz w:val="20"/>
          <w:szCs w:val="20"/>
          <w:shd w:val="clear" w:color="auto" w:fill="FFFFFF"/>
        </w:rPr>
        <w:t>Lee, H., Kim, B., Park, J. </w:t>
      </w:r>
      <w:r w:rsidRPr="00360A96">
        <w:rPr>
          <w:rFonts w:ascii="Arial" w:hAnsi="Arial" w:cs="Arial"/>
          <w:color w:val="222222"/>
          <w:sz w:val="20"/>
          <w:szCs w:val="20"/>
          <w:shd w:val="clear" w:color="auto" w:fill="FFFFFF"/>
          <w:lang w:val="tr-TR"/>
        </w:rPr>
        <w:t xml:space="preserve">Park S, Yoo G, Yum S, </w:t>
      </w:r>
      <w:r w:rsidRPr="00360A96">
        <w:rPr>
          <w:rFonts w:ascii="Arial" w:hAnsi="Arial" w:cs="Arial"/>
          <w:color w:val="222222"/>
          <w:sz w:val="20"/>
          <w:szCs w:val="20"/>
          <w:shd w:val="clear" w:color="auto" w:fill="FFFFFF"/>
        </w:rPr>
        <w:t>et al. </w:t>
      </w:r>
      <w:r w:rsidRPr="00360A96">
        <w:rPr>
          <w:rFonts w:ascii="Arial" w:hAnsi="Arial" w:cs="Arial"/>
          <w:color w:val="222222"/>
          <w:sz w:val="20"/>
          <w:szCs w:val="20"/>
          <w:shd w:val="clear" w:color="auto" w:fill="FFFFFF"/>
          <w:lang w:val="tr-TR"/>
        </w:rPr>
        <w:t xml:space="preserve">(2025). </w:t>
      </w:r>
      <w:r w:rsidRPr="00360A96">
        <w:rPr>
          <w:rFonts w:ascii="Arial" w:hAnsi="Arial" w:cs="Arial"/>
          <w:color w:val="222222"/>
          <w:sz w:val="20"/>
          <w:szCs w:val="20"/>
          <w:shd w:val="clear" w:color="auto" w:fill="FFFFFF"/>
        </w:rPr>
        <w:t>Cancer stem cells: landscape, challenges and emerging therapeutic innovations. </w:t>
      </w:r>
      <w:r w:rsidRPr="00360A96">
        <w:rPr>
          <w:rFonts w:ascii="Arial" w:hAnsi="Arial" w:cs="Arial"/>
          <w:i/>
          <w:iCs/>
          <w:color w:val="222222"/>
          <w:sz w:val="20"/>
          <w:szCs w:val="20"/>
          <w:shd w:val="clear" w:color="auto" w:fill="FFFFFF"/>
        </w:rPr>
        <w:t>Sig Transduct Target Ther</w:t>
      </w:r>
      <w:r w:rsidRPr="00360A96">
        <w:rPr>
          <w:rFonts w:ascii="Arial" w:hAnsi="Arial" w:cs="Arial"/>
          <w:i/>
          <w:iCs/>
          <w:color w:val="222222"/>
          <w:sz w:val="20"/>
          <w:szCs w:val="20"/>
          <w:shd w:val="clear" w:color="auto" w:fill="FFFFFF"/>
          <w:lang w:val="tr-TR"/>
        </w:rPr>
        <w:t>.</w:t>
      </w:r>
      <w:r w:rsidRPr="00360A96">
        <w:rPr>
          <w:rFonts w:ascii="Arial" w:hAnsi="Arial" w:cs="Arial"/>
          <w:color w:val="222222"/>
          <w:sz w:val="20"/>
          <w:szCs w:val="20"/>
          <w:shd w:val="clear" w:color="auto" w:fill="FFFFFF"/>
        </w:rPr>
        <w:t> 10</w:t>
      </w:r>
      <w:r w:rsidRPr="00360A96">
        <w:rPr>
          <w:rFonts w:ascii="Arial" w:hAnsi="Arial" w:cs="Arial"/>
          <w:color w:val="222222"/>
          <w:sz w:val="20"/>
          <w:szCs w:val="20"/>
          <w:shd w:val="clear" w:color="auto" w:fill="FFFFFF"/>
          <w:lang w:val="tr-TR"/>
        </w:rPr>
        <w:t>:</w:t>
      </w:r>
      <w:r w:rsidRPr="00360A96">
        <w:rPr>
          <w:rFonts w:ascii="Arial" w:hAnsi="Arial" w:cs="Arial"/>
          <w:color w:val="222222"/>
          <w:sz w:val="20"/>
          <w:szCs w:val="20"/>
          <w:shd w:val="clear" w:color="auto" w:fill="FFFFFF"/>
        </w:rPr>
        <w:t>248.</w:t>
      </w:r>
      <w:r w:rsidRPr="00360A96">
        <w:rPr>
          <w:rFonts w:ascii="Arial" w:hAnsi="Arial" w:cs="Arial"/>
          <w:color w:val="222222"/>
          <w:sz w:val="20"/>
          <w:szCs w:val="20"/>
          <w:shd w:val="clear" w:color="auto" w:fill="FFFFFF"/>
        </w:rPr>
        <w:tab/>
        <w:t xml:space="preserve"> </w:t>
      </w:r>
      <w:r w:rsidRPr="00360A96">
        <w:rPr>
          <w:rFonts w:ascii="Arial" w:hAnsi="Arial" w:cs="Arial"/>
          <w:color w:val="0070C0"/>
          <w:sz w:val="20"/>
          <w:szCs w:val="20"/>
          <w:shd w:val="clear" w:color="auto" w:fill="FFFFFF"/>
        </w:rPr>
        <w:t>https://doi.org/10.1038/s41392-025-02360-2</w:t>
      </w:r>
    </w:p>
    <w:p w14:paraId="631A65D8" w14:textId="77777777" w:rsidR="00755D41" w:rsidRPr="00360A96" w:rsidRDefault="00755D41" w:rsidP="00755D41">
      <w:pPr>
        <w:pStyle w:val="NormalWeb"/>
        <w:tabs>
          <w:tab w:val="left" w:pos="1134"/>
        </w:tabs>
        <w:ind w:left="1134" w:hanging="567"/>
        <w:jc w:val="both"/>
        <w:rPr>
          <w:rFonts w:ascii="Arial" w:hAnsi="Arial" w:cs="Arial"/>
          <w:sz w:val="20"/>
          <w:szCs w:val="20"/>
        </w:rPr>
      </w:pPr>
      <w:r w:rsidRPr="00360A96">
        <w:rPr>
          <w:rFonts w:ascii="Arial" w:hAnsi="Arial" w:cs="Arial"/>
          <w:color w:val="212121"/>
          <w:sz w:val="20"/>
          <w:szCs w:val="20"/>
          <w:shd w:val="clear" w:color="auto" w:fill="FFFFFF"/>
        </w:rPr>
        <w:t xml:space="preserve">Leiphrakpam PD, Chowdhury S, Zhang M, Bajaj V, Dhir M, Are C. (2025). Trends in the Global Incidence of Pancreatic Cancer and a Brief Review of its Histologic and Molecular Subtypes. </w:t>
      </w:r>
      <w:r w:rsidRPr="00360A96">
        <w:rPr>
          <w:rFonts w:ascii="Arial" w:hAnsi="Arial" w:cs="Arial"/>
          <w:i/>
          <w:iCs/>
          <w:color w:val="212121"/>
          <w:sz w:val="20"/>
          <w:szCs w:val="20"/>
          <w:shd w:val="clear" w:color="auto" w:fill="FFFFFF"/>
        </w:rPr>
        <w:t>J Gastrointest Cancer.</w:t>
      </w:r>
      <w:r w:rsidRPr="00360A96">
        <w:rPr>
          <w:rFonts w:ascii="Arial" w:hAnsi="Arial" w:cs="Arial"/>
          <w:color w:val="212121"/>
          <w:sz w:val="20"/>
          <w:szCs w:val="20"/>
          <w:shd w:val="clear" w:color="auto" w:fill="FFFFFF"/>
        </w:rPr>
        <w:t xml:space="preserve"> 56(1):71. </w:t>
      </w:r>
      <w:r w:rsidRPr="00360A96">
        <w:rPr>
          <w:rFonts w:ascii="Arial" w:hAnsi="Arial" w:cs="Arial"/>
          <w:color w:val="0070C0"/>
          <w:sz w:val="20"/>
          <w:szCs w:val="20"/>
          <w:shd w:val="clear" w:color="auto" w:fill="FFFFFF"/>
          <w:lang w:val="tr-TR"/>
        </w:rPr>
        <w:t>D</w:t>
      </w:r>
      <w:r w:rsidRPr="00360A96">
        <w:rPr>
          <w:rFonts w:ascii="Arial" w:hAnsi="Arial" w:cs="Arial"/>
          <w:color w:val="0070C0"/>
          <w:sz w:val="20"/>
          <w:szCs w:val="20"/>
          <w:shd w:val="clear" w:color="auto" w:fill="FFFFFF"/>
        </w:rPr>
        <w:t>oi:10.1007/s12029-025-01183-2</w:t>
      </w:r>
    </w:p>
    <w:p w14:paraId="06C204CF"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t xml:space="preserve">Li JT, Wang YP, Yin M, Lei QY. (2019). Metabolism remodeling in pancreatic ductal adenocarcinoma. </w:t>
      </w:r>
      <w:r w:rsidRPr="00360A96">
        <w:rPr>
          <w:rFonts w:ascii="Arial" w:hAnsi="Arial" w:cs="Arial"/>
          <w:i/>
          <w:iCs/>
          <w:color w:val="212121"/>
          <w:sz w:val="20"/>
          <w:szCs w:val="20"/>
          <w:shd w:val="clear" w:color="auto" w:fill="FFFFFF"/>
        </w:rPr>
        <w:t>Cell Stress.</w:t>
      </w:r>
      <w:r w:rsidRPr="00360A96">
        <w:rPr>
          <w:rFonts w:ascii="Arial" w:hAnsi="Arial" w:cs="Arial"/>
          <w:color w:val="212121"/>
          <w:sz w:val="20"/>
          <w:szCs w:val="20"/>
          <w:shd w:val="clear" w:color="auto" w:fill="FFFFFF"/>
        </w:rPr>
        <w:t xml:space="preserve"> 3(12):361-368. </w:t>
      </w:r>
      <w:r w:rsidRPr="00360A96">
        <w:rPr>
          <w:rFonts w:ascii="Arial" w:hAnsi="Arial" w:cs="Arial"/>
          <w:color w:val="0070C0"/>
          <w:sz w:val="20"/>
          <w:szCs w:val="20"/>
          <w:shd w:val="clear" w:color="auto" w:fill="FFFFFF"/>
        </w:rPr>
        <w:t xml:space="preserve">Doi: 10.15698/cst2019.12.205. </w:t>
      </w:r>
    </w:p>
    <w:p w14:paraId="5C3F3DE8"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p>
    <w:p w14:paraId="0136DCC7" w14:textId="77777777" w:rsidR="00755D41" w:rsidRPr="001E79AD" w:rsidRDefault="00755D41" w:rsidP="00755D41">
      <w:pPr>
        <w:pStyle w:val="NormalWeb"/>
        <w:spacing w:before="0" w:beforeAutospacing="0" w:after="0" w:afterAutospacing="0"/>
        <w:ind w:left="1134" w:right="283" w:hanging="567"/>
        <w:jc w:val="both"/>
        <w:rPr>
          <w:rFonts w:ascii="Arial" w:hAnsi="Arial" w:cs="Arial"/>
          <w:sz w:val="20"/>
          <w:szCs w:val="20"/>
          <w:lang w:val="fr-FR"/>
        </w:rPr>
      </w:pPr>
      <w:r w:rsidRPr="00360A96">
        <w:rPr>
          <w:rFonts w:ascii="Arial" w:hAnsi="Arial" w:cs="Arial"/>
          <w:sz w:val="20"/>
          <w:szCs w:val="20"/>
        </w:rPr>
        <w:t xml:space="preserve">Li Y, Sarkar FH (2016). MicroRNA targeted therapeutic approach for pancreatic cancer. </w:t>
      </w:r>
      <w:r w:rsidRPr="001E79AD">
        <w:rPr>
          <w:rFonts w:ascii="Arial" w:hAnsi="Arial" w:cs="Arial"/>
          <w:i/>
          <w:iCs/>
          <w:sz w:val="20"/>
          <w:szCs w:val="20"/>
          <w:lang w:val="fr-FR"/>
        </w:rPr>
        <w:t>Int J Biol.</w:t>
      </w:r>
      <w:r w:rsidRPr="001E79AD">
        <w:rPr>
          <w:rFonts w:ascii="Arial" w:hAnsi="Arial" w:cs="Arial"/>
          <w:sz w:val="20"/>
          <w:szCs w:val="20"/>
          <w:lang w:val="fr-FR"/>
        </w:rPr>
        <w:t xml:space="preserve"> </w:t>
      </w:r>
      <w:proofErr w:type="gramStart"/>
      <w:r w:rsidRPr="001E79AD">
        <w:rPr>
          <w:rFonts w:ascii="Arial" w:hAnsi="Arial" w:cs="Arial"/>
          <w:sz w:val="20"/>
          <w:szCs w:val="20"/>
          <w:lang w:val="fr-FR"/>
        </w:rPr>
        <w:t>12:</w:t>
      </w:r>
      <w:proofErr w:type="gramEnd"/>
      <w:r w:rsidRPr="001E79AD">
        <w:rPr>
          <w:rFonts w:ascii="Arial" w:hAnsi="Arial" w:cs="Arial"/>
          <w:sz w:val="20"/>
          <w:szCs w:val="20"/>
          <w:lang w:val="fr-FR"/>
        </w:rPr>
        <w:t xml:space="preserve">326-337. </w:t>
      </w:r>
      <w:proofErr w:type="spellStart"/>
      <w:proofErr w:type="gramStart"/>
      <w:r w:rsidRPr="001E79AD">
        <w:rPr>
          <w:rFonts w:ascii="Arial" w:hAnsi="Arial" w:cs="Arial"/>
          <w:color w:val="0070C0"/>
          <w:sz w:val="20"/>
          <w:szCs w:val="20"/>
          <w:lang w:val="fr-FR"/>
        </w:rPr>
        <w:t>Doi</w:t>
      </w:r>
      <w:proofErr w:type="spellEnd"/>
      <w:r w:rsidRPr="001E79AD">
        <w:rPr>
          <w:rFonts w:ascii="Arial" w:hAnsi="Arial" w:cs="Arial"/>
          <w:color w:val="0070C0"/>
          <w:sz w:val="20"/>
          <w:szCs w:val="20"/>
          <w:lang w:val="fr-FR"/>
        </w:rPr>
        <w:t>:</w:t>
      </w:r>
      <w:proofErr w:type="gramEnd"/>
      <w:r w:rsidRPr="001E79AD">
        <w:rPr>
          <w:rFonts w:ascii="Arial" w:hAnsi="Arial" w:cs="Arial"/>
          <w:color w:val="0070C0"/>
          <w:sz w:val="20"/>
          <w:szCs w:val="20"/>
          <w:lang w:val="fr-FR"/>
        </w:rPr>
        <w:t xml:space="preserve"> 10.7150/ijbs.15017 </w:t>
      </w:r>
    </w:p>
    <w:p w14:paraId="30C07C8F" w14:textId="77777777" w:rsidR="00755D41" w:rsidRPr="001E79AD" w:rsidRDefault="00755D41" w:rsidP="00755D41">
      <w:pPr>
        <w:pStyle w:val="ListParagraph"/>
        <w:ind w:left="1134" w:right="283" w:hanging="567"/>
        <w:jc w:val="both"/>
        <w:rPr>
          <w:rFonts w:ascii="Arial" w:hAnsi="Arial" w:cs="Arial"/>
          <w:color w:val="000000" w:themeColor="text1"/>
          <w:sz w:val="20"/>
          <w:szCs w:val="20"/>
          <w:lang w:val="fr-FR"/>
        </w:rPr>
      </w:pPr>
    </w:p>
    <w:p w14:paraId="6377519D" w14:textId="77777777" w:rsidR="00755D41" w:rsidRPr="001E79AD" w:rsidRDefault="00755D41" w:rsidP="00755D41">
      <w:pPr>
        <w:pStyle w:val="ListParagraph"/>
        <w:ind w:left="1134" w:right="283" w:hanging="567"/>
        <w:jc w:val="both"/>
        <w:rPr>
          <w:rStyle w:val="Hyperlink"/>
          <w:rFonts w:ascii="Arial" w:hAnsi="Arial" w:cs="Arial"/>
          <w:bCs/>
          <w:color w:val="FF0000"/>
          <w:sz w:val="20"/>
          <w:szCs w:val="20"/>
          <w:lang w:val="fr-FR"/>
        </w:rPr>
      </w:pPr>
      <w:r w:rsidRPr="001E79AD">
        <w:rPr>
          <w:rFonts w:ascii="Arial" w:hAnsi="Arial" w:cs="Arial"/>
          <w:color w:val="000000" w:themeColor="text1"/>
          <w:sz w:val="20"/>
          <w:szCs w:val="20"/>
          <w:lang w:val="fr-FR"/>
        </w:rPr>
        <w:t xml:space="preserve">Lin Y, </w:t>
      </w:r>
      <w:proofErr w:type="spellStart"/>
      <w:r w:rsidRPr="001E79AD">
        <w:rPr>
          <w:rFonts w:ascii="Arial" w:hAnsi="Arial" w:cs="Arial"/>
          <w:color w:val="000000" w:themeColor="text1"/>
          <w:sz w:val="20"/>
          <w:szCs w:val="20"/>
          <w:lang w:val="fr-FR"/>
        </w:rPr>
        <w:t>Tamakoshi</w:t>
      </w:r>
      <w:proofErr w:type="spellEnd"/>
      <w:r w:rsidRPr="001E79AD">
        <w:rPr>
          <w:rFonts w:ascii="Arial" w:hAnsi="Arial" w:cs="Arial"/>
          <w:color w:val="000000" w:themeColor="text1"/>
          <w:sz w:val="20"/>
          <w:szCs w:val="20"/>
          <w:lang w:val="fr-FR"/>
        </w:rPr>
        <w:t xml:space="preserve">, A, </w:t>
      </w:r>
      <w:proofErr w:type="spellStart"/>
      <w:r w:rsidRPr="001E79AD">
        <w:rPr>
          <w:rFonts w:ascii="Arial" w:hAnsi="Arial" w:cs="Arial"/>
          <w:color w:val="000000" w:themeColor="text1"/>
          <w:sz w:val="20"/>
          <w:szCs w:val="20"/>
          <w:lang w:val="fr-FR"/>
        </w:rPr>
        <w:t>Kawamura</w:t>
      </w:r>
      <w:proofErr w:type="spellEnd"/>
      <w:r w:rsidRPr="001E79AD">
        <w:rPr>
          <w:rFonts w:ascii="Arial" w:hAnsi="Arial" w:cs="Arial"/>
          <w:color w:val="000000" w:themeColor="text1"/>
          <w:sz w:val="20"/>
          <w:szCs w:val="20"/>
          <w:lang w:val="fr-FR"/>
        </w:rPr>
        <w:t xml:space="preserve"> T, </w:t>
      </w:r>
      <w:proofErr w:type="spellStart"/>
      <w:r w:rsidRPr="001E79AD">
        <w:rPr>
          <w:rFonts w:ascii="Arial" w:hAnsi="Arial" w:cs="Arial"/>
          <w:color w:val="000000" w:themeColor="text1"/>
          <w:sz w:val="20"/>
          <w:szCs w:val="20"/>
          <w:lang w:val="fr-FR"/>
        </w:rPr>
        <w:t>Inaba</w:t>
      </w:r>
      <w:proofErr w:type="spellEnd"/>
      <w:r w:rsidRPr="001E79AD">
        <w:rPr>
          <w:rFonts w:ascii="Arial" w:hAnsi="Arial" w:cs="Arial"/>
          <w:color w:val="000000" w:themeColor="text1"/>
          <w:sz w:val="20"/>
          <w:szCs w:val="20"/>
          <w:lang w:val="fr-FR"/>
        </w:rPr>
        <w:t xml:space="preserve"> Y, Kikuchi S, </w:t>
      </w:r>
      <w:proofErr w:type="spellStart"/>
      <w:r w:rsidRPr="001E79AD">
        <w:rPr>
          <w:rFonts w:ascii="Arial" w:hAnsi="Arial" w:cs="Arial"/>
          <w:color w:val="000000" w:themeColor="text1"/>
          <w:sz w:val="20"/>
          <w:szCs w:val="20"/>
          <w:lang w:val="fr-FR"/>
        </w:rPr>
        <w:t>Motohashi</w:t>
      </w:r>
      <w:proofErr w:type="spellEnd"/>
      <w:r w:rsidRPr="001E79AD">
        <w:rPr>
          <w:rFonts w:ascii="Arial" w:hAnsi="Arial" w:cs="Arial"/>
          <w:color w:val="000000" w:themeColor="text1"/>
          <w:sz w:val="20"/>
          <w:szCs w:val="20"/>
          <w:lang w:val="fr-FR"/>
        </w:rPr>
        <w:t xml:space="preserve"> Y, et al. </w:t>
      </w:r>
      <w:r w:rsidRPr="00360A96">
        <w:rPr>
          <w:rFonts w:ascii="Arial" w:hAnsi="Arial" w:cs="Arial"/>
          <w:color w:val="000000" w:themeColor="text1"/>
          <w:sz w:val="20"/>
          <w:szCs w:val="20"/>
        </w:rPr>
        <w:t xml:space="preserve">(2002). A prospective cohort study of cigarette smoking and pancreatic cancer in Japan. </w:t>
      </w:r>
      <w:r w:rsidRPr="001E79AD">
        <w:rPr>
          <w:rFonts w:ascii="Arial" w:hAnsi="Arial" w:cs="Arial"/>
          <w:i/>
          <w:iCs/>
          <w:color w:val="000000" w:themeColor="text1"/>
          <w:sz w:val="20"/>
          <w:szCs w:val="20"/>
          <w:lang w:val="fr-FR"/>
        </w:rPr>
        <w:t xml:space="preserve">Cancer Causes Control. </w:t>
      </w:r>
      <w:r w:rsidRPr="001E79AD">
        <w:rPr>
          <w:rFonts w:ascii="Arial" w:hAnsi="Arial" w:cs="Arial"/>
          <w:color w:val="000000" w:themeColor="text1"/>
          <w:sz w:val="20"/>
          <w:szCs w:val="20"/>
          <w:lang w:val="fr-FR"/>
        </w:rPr>
        <w:t>13(3</w:t>
      </w:r>
      <w:proofErr w:type="gramStart"/>
      <w:r w:rsidRPr="001E79AD">
        <w:rPr>
          <w:rFonts w:ascii="Arial" w:hAnsi="Arial" w:cs="Arial"/>
          <w:color w:val="000000" w:themeColor="text1"/>
          <w:sz w:val="20"/>
          <w:szCs w:val="20"/>
          <w:lang w:val="fr-FR"/>
        </w:rPr>
        <w:t>):</w:t>
      </w:r>
      <w:proofErr w:type="gramEnd"/>
      <w:r w:rsidRPr="001E79AD">
        <w:rPr>
          <w:rFonts w:ascii="Arial" w:hAnsi="Arial" w:cs="Arial"/>
          <w:color w:val="000000" w:themeColor="text1"/>
          <w:sz w:val="20"/>
          <w:szCs w:val="20"/>
          <w:lang w:val="fr-FR"/>
        </w:rPr>
        <w:t xml:space="preserve">249-254. </w:t>
      </w:r>
      <w:proofErr w:type="spellStart"/>
      <w:proofErr w:type="gramStart"/>
      <w:r w:rsidRPr="001E79AD">
        <w:rPr>
          <w:rFonts w:ascii="Arial" w:hAnsi="Arial" w:cs="Arial"/>
          <w:color w:val="0070C0"/>
          <w:sz w:val="20"/>
          <w:szCs w:val="20"/>
          <w:lang w:val="fr-FR"/>
        </w:rPr>
        <w:t>Doi</w:t>
      </w:r>
      <w:proofErr w:type="spellEnd"/>
      <w:r w:rsidRPr="001E79AD">
        <w:rPr>
          <w:rFonts w:ascii="Arial" w:hAnsi="Arial" w:cs="Arial"/>
          <w:color w:val="0070C0"/>
          <w:sz w:val="20"/>
          <w:szCs w:val="20"/>
          <w:lang w:val="fr-FR"/>
        </w:rPr>
        <w:t>:</w:t>
      </w:r>
      <w:proofErr w:type="gramEnd"/>
      <w:r w:rsidRPr="001E79AD">
        <w:rPr>
          <w:rStyle w:val="identifier"/>
          <w:rFonts w:ascii="Arial" w:hAnsi="Arial" w:cs="Arial"/>
          <w:color w:val="212121"/>
          <w:sz w:val="20"/>
          <w:szCs w:val="20"/>
          <w:lang w:val="fr-FR"/>
        </w:rPr>
        <w:t xml:space="preserve"> </w:t>
      </w:r>
      <w:hyperlink r:id="rId17" w:tgtFrame="_blank" w:history="1">
        <w:r w:rsidRPr="001E79AD">
          <w:rPr>
            <w:rStyle w:val="Hyperlink"/>
            <w:rFonts w:ascii="Arial" w:hAnsi="Arial" w:cs="Arial"/>
            <w:color w:val="0071BC"/>
            <w:sz w:val="20"/>
            <w:szCs w:val="20"/>
            <w:lang w:val="fr-FR"/>
          </w:rPr>
          <w:t>10.1023/a:1015052710213</w:t>
        </w:r>
      </w:hyperlink>
    </w:p>
    <w:p w14:paraId="7382ED4E" w14:textId="77777777" w:rsidR="00755D41" w:rsidRPr="001E79AD" w:rsidRDefault="00755D41" w:rsidP="00755D41">
      <w:pPr>
        <w:pStyle w:val="ListParagraph"/>
        <w:ind w:left="1134" w:right="283" w:hanging="567"/>
        <w:jc w:val="both"/>
        <w:rPr>
          <w:rFonts w:ascii="Arial" w:hAnsi="Arial" w:cs="Arial"/>
          <w:bCs/>
          <w:color w:val="000000" w:themeColor="text1"/>
          <w:sz w:val="20"/>
          <w:szCs w:val="20"/>
          <w:lang w:val="fr-FR"/>
        </w:rPr>
      </w:pPr>
    </w:p>
    <w:p w14:paraId="00D6B5D6" w14:textId="77777777" w:rsidR="00755D41" w:rsidRPr="00360A96" w:rsidRDefault="00755D41" w:rsidP="00755D41">
      <w:pPr>
        <w:pStyle w:val="ListParagraph"/>
        <w:ind w:left="1134" w:right="283" w:hanging="567"/>
        <w:jc w:val="both"/>
        <w:rPr>
          <w:rStyle w:val="url"/>
          <w:rFonts w:ascii="Arial" w:hAnsi="Arial" w:cs="Arial"/>
          <w:bCs/>
          <w:sz w:val="20"/>
          <w:szCs w:val="20"/>
        </w:rPr>
      </w:pPr>
      <w:r w:rsidRPr="001E79AD">
        <w:rPr>
          <w:rFonts w:ascii="Arial" w:hAnsi="Arial" w:cs="Arial"/>
          <w:bCs/>
          <w:color w:val="000000" w:themeColor="text1"/>
          <w:sz w:val="20"/>
          <w:szCs w:val="20"/>
          <w:lang w:val="fr-FR"/>
        </w:rPr>
        <w:t xml:space="preserve">Liu P, Liang H, Xia Q, Li P, Kong H, Lei P, et al. </w:t>
      </w:r>
      <w:r w:rsidRPr="00360A96">
        <w:rPr>
          <w:rFonts w:ascii="Arial" w:hAnsi="Arial" w:cs="Arial"/>
          <w:bCs/>
          <w:color w:val="000000" w:themeColor="text1"/>
          <w:sz w:val="20"/>
          <w:szCs w:val="20"/>
        </w:rPr>
        <w:t xml:space="preserve">(2013). Resveratrol induces apoptosis of pancreatic cancer cells by inhibiting miR-21 regulation of BCL-2 expression. </w:t>
      </w:r>
      <w:r w:rsidRPr="00360A96">
        <w:rPr>
          <w:rFonts w:ascii="Arial" w:hAnsi="Arial" w:cs="Arial"/>
          <w:bCs/>
          <w:i/>
          <w:iCs/>
          <w:color w:val="000000" w:themeColor="text1"/>
          <w:sz w:val="20"/>
          <w:szCs w:val="20"/>
        </w:rPr>
        <w:t>Clin Transl Oncol.</w:t>
      </w:r>
      <w:r w:rsidRPr="00360A96">
        <w:rPr>
          <w:rFonts w:ascii="Arial" w:hAnsi="Arial" w:cs="Arial"/>
          <w:bCs/>
          <w:color w:val="000000" w:themeColor="text1"/>
          <w:sz w:val="20"/>
          <w:szCs w:val="20"/>
        </w:rPr>
        <w:t xml:space="preserve"> 15(9):741-746. </w:t>
      </w:r>
      <w:r w:rsidRPr="00360A96">
        <w:rPr>
          <w:rFonts w:ascii="Arial" w:hAnsi="Arial" w:cs="Arial"/>
          <w:bCs/>
          <w:color w:val="0070C0"/>
          <w:sz w:val="20"/>
          <w:szCs w:val="20"/>
        </w:rPr>
        <w:t>Doi.org/10.1007/s12094-012-0999-4</w:t>
      </w:r>
    </w:p>
    <w:p w14:paraId="480A86D1"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56E2E2FB"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bCs/>
          <w:color w:val="000000" w:themeColor="text1"/>
          <w:sz w:val="20"/>
          <w:szCs w:val="20"/>
        </w:rPr>
        <w:t xml:space="preserve">Luo G, Jin K, Deng S, Cheng H, Fan Z, Gong Y, et al. (2021). Roles of CA19-9 in pancreatic cancer: Biomarker, predictor and promoter. </w:t>
      </w:r>
      <w:r w:rsidRPr="00360A96">
        <w:rPr>
          <w:rFonts w:ascii="Arial" w:hAnsi="Arial" w:cs="Arial"/>
          <w:bCs/>
          <w:i/>
          <w:iCs/>
          <w:color w:val="000000" w:themeColor="text1"/>
          <w:sz w:val="20"/>
          <w:szCs w:val="20"/>
        </w:rPr>
        <w:t>BBA Rev Cancer</w:t>
      </w:r>
      <w:r w:rsidRPr="00360A96">
        <w:rPr>
          <w:rFonts w:ascii="Arial" w:hAnsi="Arial" w:cs="Arial"/>
          <w:bCs/>
          <w:color w:val="000000" w:themeColor="text1"/>
          <w:sz w:val="20"/>
          <w:szCs w:val="20"/>
        </w:rPr>
        <w:t>. 1875:188409.</w:t>
      </w:r>
      <w:r w:rsidRPr="00360A96">
        <w:rPr>
          <w:rFonts w:ascii="Arial" w:hAnsi="Arial" w:cs="Arial"/>
          <w:bCs/>
          <w:color w:val="000000" w:themeColor="text1"/>
          <w:sz w:val="20"/>
          <w:szCs w:val="20"/>
        </w:rPr>
        <w:tab/>
        <w:t xml:space="preserve"> </w:t>
      </w:r>
      <w:hyperlink r:id="rId18" w:history="1">
        <w:r w:rsidRPr="00360A96">
          <w:rPr>
            <w:rStyle w:val="Hyperlink"/>
            <w:rFonts w:ascii="Arial" w:hAnsi="Arial" w:cs="Arial"/>
            <w:color w:val="0070C0"/>
            <w:sz w:val="20"/>
            <w:szCs w:val="20"/>
          </w:rPr>
          <w:t>https://doi.org/10.1016/j.bbcan.2020.188409</w:t>
        </w:r>
      </w:hyperlink>
      <w:r w:rsidRPr="00360A96">
        <w:rPr>
          <w:rFonts w:ascii="Arial" w:hAnsi="Arial" w:cs="Arial"/>
          <w:bCs/>
          <w:color w:val="0070C0"/>
          <w:sz w:val="20"/>
          <w:szCs w:val="20"/>
        </w:rPr>
        <w:t xml:space="preserve"> </w:t>
      </w:r>
    </w:p>
    <w:p w14:paraId="592AA16E" w14:textId="77777777" w:rsidR="00755D41" w:rsidRPr="00360A96" w:rsidRDefault="00755D41" w:rsidP="00755D41">
      <w:pPr>
        <w:pStyle w:val="NormalWeb"/>
        <w:ind w:left="1134" w:right="283" w:hanging="567"/>
        <w:jc w:val="both"/>
        <w:rPr>
          <w:rFonts w:ascii="Arial" w:hAnsi="Arial" w:cs="Arial"/>
          <w:sz w:val="20"/>
          <w:szCs w:val="20"/>
        </w:rPr>
      </w:pPr>
      <w:r w:rsidRPr="00360A96">
        <w:rPr>
          <w:rFonts w:ascii="Arial" w:hAnsi="Arial" w:cs="Arial"/>
          <w:sz w:val="20"/>
          <w:szCs w:val="20"/>
        </w:rPr>
        <w:t>Manafi</w:t>
      </w:r>
      <w:r w:rsidRPr="00360A96">
        <w:rPr>
          <w:rFonts w:ascii="Cambria Math" w:hAnsi="Cambria Math" w:cs="Cambria Math"/>
          <w:sz w:val="20"/>
          <w:szCs w:val="20"/>
        </w:rPr>
        <w:t>‐</w:t>
      </w:r>
      <w:r w:rsidRPr="00360A96">
        <w:rPr>
          <w:rFonts w:ascii="Arial" w:hAnsi="Arial" w:cs="Arial"/>
          <w:sz w:val="20"/>
          <w:szCs w:val="20"/>
        </w:rPr>
        <w:t>Farid R, Ataeinia B, Ranjbar S, Araghi ZJ, Moradi MM, Pirich C, et al. (2022)</w:t>
      </w:r>
      <w:r w:rsidRPr="00360A96">
        <w:rPr>
          <w:rFonts w:ascii="Arial" w:hAnsi="Arial" w:cs="Arial"/>
          <w:sz w:val="20"/>
          <w:szCs w:val="20"/>
          <w:lang w:val="tr-TR"/>
        </w:rPr>
        <w:t>.</w:t>
      </w:r>
      <w:r w:rsidRPr="00360A96">
        <w:rPr>
          <w:rFonts w:ascii="Arial" w:hAnsi="Arial" w:cs="Arial"/>
          <w:sz w:val="20"/>
          <w:szCs w:val="20"/>
        </w:rPr>
        <w:t xml:space="preserve"> ImmunoPET: Antibody-Based PET imaging in solid tumors. </w:t>
      </w:r>
      <w:r w:rsidRPr="00360A96">
        <w:rPr>
          <w:rFonts w:ascii="Arial" w:hAnsi="Arial" w:cs="Arial"/>
          <w:i/>
          <w:iCs/>
          <w:sz w:val="20"/>
          <w:szCs w:val="20"/>
        </w:rPr>
        <w:t xml:space="preserve">Front Med. </w:t>
      </w:r>
      <w:r w:rsidRPr="00360A96">
        <w:rPr>
          <w:rFonts w:ascii="Arial" w:hAnsi="Arial" w:cs="Arial"/>
          <w:sz w:val="20"/>
          <w:szCs w:val="20"/>
        </w:rPr>
        <w:t>9:Article 916693</w:t>
      </w:r>
      <w:r w:rsidRPr="00360A96">
        <w:rPr>
          <w:rFonts w:ascii="Arial" w:hAnsi="Arial" w:cs="Arial"/>
          <w:sz w:val="20"/>
          <w:szCs w:val="20"/>
        </w:rPr>
        <w:tab/>
        <w:t xml:space="preserve"> </w:t>
      </w:r>
      <w:r w:rsidRPr="00360A96">
        <w:rPr>
          <w:rFonts w:ascii="Arial" w:hAnsi="Arial" w:cs="Arial"/>
          <w:sz w:val="20"/>
          <w:szCs w:val="20"/>
          <w:lang w:val="tr-TR"/>
        </w:rPr>
        <w:t xml:space="preserve">                                   </w:t>
      </w:r>
      <w:r w:rsidRPr="00360A96">
        <w:rPr>
          <w:rFonts w:ascii="Arial" w:hAnsi="Arial" w:cs="Arial"/>
          <w:color w:val="006DBF"/>
          <w:sz w:val="20"/>
          <w:szCs w:val="20"/>
        </w:rPr>
        <w:t xml:space="preserve">Doi: 10.3389/fmed.916693 </w:t>
      </w:r>
    </w:p>
    <w:p w14:paraId="537FE887" w14:textId="77777777" w:rsidR="00755D41" w:rsidRPr="00360A96" w:rsidRDefault="00755D41" w:rsidP="00755D41">
      <w:pPr>
        <w:pStyle w:val="ListParagraph"/>
        <w:ind w:left="1134" w:right="283" w:hanging="567"/>
        <w:jc w:val="both"/>
        <w:rPr>
          <w:rStyle w:val="url"/>
          <w:rFonts w:ascii="Arial" w:hAnsi="Arial" w:cs="Arial"/>
          <w:color w:val="000000" w:themeColor="text1"/>
          <w:sz w:val="20"/>
          <w:szCs w:val="20"/>
          <w:bdr w:val="single" w:sz="2" w:space="0" w:color="ECEDEE" w:frame="1"/>
        </w:rPr>
      </w:pPr>
      <w:r w:rsidRPr="00360A96">
        <w:rPr>
          <w:rStyle w:val="url"/>
          <w:rFonts w:ascii="Arial" w:hAnsi="Arial" w:cs="Arial"/>
          <w:color w:val="000000" w:themeColor="text1"/>
          <w:sz w:val="20"/>
          <w:szCs w:val="20"/>
          <w:bdr w:val="single" w:sz="2" w:space="0" w:color="ECEDEE" w:frame="1"/>
        </w:rPr>
        <w:t>Maziec K, Baliga-Gil A, Kierzek E (2025). Delivery strategies for RNA-targeting theraprutic nucleic acids and RNA-based vaccines against respiratory RNA viruses: IAV, SARS-CoV-2, RSV.</w:t>
      </w:r>
      <w:r w:rsidRPr="00360A96">
        <w:rPr>
          <w:rFonts w:ascii="Arial" w:hAnsi="Arial" w:cs="Arial"/>
          <w:color w:val="212121"/>
          <w:sz w:val="20"/>
          <w:szCs w:val="20"/>
          <w:shd w:val="clear" w:color="auto" w:fill="FFFFFF"/>
        </w:rPr>
        <w:t xml:space="preserve"> </w:t>
      </w:r>
      <w:r w:rsidRPr="00360A96">
        <w:rPr>
          <w:rFonts w:ascii="Arial" w:hAnsi="Arial" w:cs="Arial"/>
          <w:i/>
          <w:iCs/>
          <w:color w:val="212121"/>
          <w:sz w:val="20"/>
          <w:szCs w:val="20"/>
          <w:shd w:val="clear" w:color="auto" w:fill="FFFFFF"/>
        </w:rPr>
        <w:t xml:space="preserve">Mol Ther Nucleic Acids. </w:t>
      </w:r>
      <w:r w:rsidRPr="00360A96">
        <w:rPr>
          <w:rFonts w:ascii="Arial" w:hAnsi="Arial" w:cs="Arial"/>
          <w:color w:val="212121"/>
          <w:sz w:val="20"/>
          <w:szCs w:val="20"/>
          <w:shd w:val="clear" w:color="auto" w:fill="FFFFFF"/>
        </w:rPr>
        <w:t xml:space="preserve">36(3):102572. </w:t>
      </w:r>
      <w:r w:rsidRPr="00360A96">
        <w:rPr>
          <w:rFonts w:ascii="Arial" w:hAnsi="Arial" w:cs="Arial"/>
          <w:color w:val="0070C0"/>
          <w:sz w:val="20"/>
          <w:szCs w:val="20"/>
          <w:shd w:val="clear" w:color="auto" w:fill="FFFFFF"/>
        </w:rPr>
        <w:t>Doi: 10.1016/j.omtn.2025.102572</w:t>
      </w:r>
    </w:p>
    <w:p w14:paraId="6D086EA3" w14:textId="77777777" w:rsidR="00755D41" w:rsidRPr="00360A96" w:rsidRDefault="00755D41" w:rsidP="00755D41">
      <w:pPr>
        <w:pStyle w:val="ListParagraph"/>
        <w:ind w:left="1134" w:right="283" w:hanging="567"/>
        <w:jc w:val="both"/>
        <w:rPr>
          <w:rStyle w:val="url"/>
          <w:rFonts w:ascii="Arial" w:hAnsi="Arial" w:cs="Arial"/>
          <w:color w:val="000000" w:themeColor="text1"/>
          <w:sz w:val="20"/>
          <w:szCs w:val="20"/>
          <w:bdr w:val="single" w:sz="2" w:space="0" w:color="ECEDEE" w:frame="1"/>
        </w:rPr>
      </w:pPr>
    </w:p>
    <w:p w14:paraId="77895D1F" w14:textId="77777777" w:rsidR="00755D41" w:rsidRPr="00360A96" w:rsidRDefault="00755D41" w:rsidP="00755D41">
      <w:pPr>
        <w:pStyle w:val="ListParagraph"/>
        <w:ind w:left="1134" w:right="283" w:hanging="567"/>
        <w:jc w:val="both"/>
        <w:rPr>
          <w:rStyle w:val="url"/>
          <w:rFonts w:ascii="Arial" w:hAnsi="Arial" w:cs="Arial"/>
          <w:color w:val="000000" w:themeColor="text1"/>
          <w:sz w:val="20"/>
          <w:szCs w:val="20"/>
          <w:bdr w:val="single" w:sz="2" w:space="0" w:color="ECEDEE" w:frame="1"/>
        </w:rPr>
      </w:pPr>
      <w:r w:rsidRPr="00360A96">
        <w:rPr>
          <w:rStyle w:val="url"/>
          <w:rFonts w:ascii="Arial" w:hAnsi="Arial" w:cs="Arial"/>
          <w:color w:val="000000" w:themeColor="text1"/>
          <w:sz w:val="20"/>
          <w:szCs w:val="20"/>
          <w:bdr w:val="single" w:sz="2" w:space="0" w:color="ECEDEE" w:frame="1"/>
        </w:rPr>
        <w:t xml:space="preserve">Midha S, Chawla S, Garg PK (2016). Modifiable and non-modifiable risk factors for pancreatic cancer: a review. Cancer Lett. 381(1):269-277. </w:t>
      </w:r>
    </w:p>
    <w:p w14:paraId="6BC65C7B" w14:textId="77777777" w:rsidR="00755D41" w:rsidRPr="00360A96" w:rsidRDefault="00755D41" w:rsidP="00755D41">
      <w:pPr>
        <w:ind w:left="1134" w:right="283" w:hanging="567"/>
        <w:jc w:val="both"/>
        <w:rPr>
          <w:rStyle w:val="url"/>
          <w:rFonts w:ascii="Arial" w:hAnsi="Arial" w:cs="Arial"/>
          <w:color w:val="0070C0"/>
          <w:sz w:val="20"/>
          <w:szCs w:val="20"/>
          <w:bdr w:val="single" w:sz="2" w:space="0" w:color="ECEDEE" w:frame="1"/>
        </w:rPr>
      </w:pPr>
      <w:r w:rsidRPr="00360A96">
        <w:rPr>
          <w:rStyle w:val="url"/>
          <w:rFonts w:ascii="Arial" w:hAnsi="Arial" w:cs="Arial"/>
          <w:color w:val="0070C0"/>
          <w:sz w:val="20"/>
          <w:szCs w:val="20"/>
          <w:bdr w:val="single" w:sz="2" w:space="0" w:color="ECEDEE" w:frame="1"/>
        </w:rPr>
        <w:tab/>
        <w:t>Doi: 10.1016/j.canlet.2016.07.022</w:t>
      </w:r>
    </w:p>
    <w:p w14:paraId="33D6BC04" w14:textId="77777777" w:rsidR="00755D41" w:rsidRPr="00360A96" w:rsidRDefault="00755D41" w:rsidP="00755D41">
      <w:pPr>
        <w:pStyle w:val="ListParagraph"/>
        <w:ind w:left="1134" w:right="283" w:hanging="567"/>
        <w:jc w:val="both"/>
        <w:rPr>
          <w:rFonts w:ascii="Arial" w:hAnsi="Arial" w:cs="Arial"/>
          <w:sz w:val="20"/>
          <w:szCs w:val="20"/>
        </w:rPr>
      </w:pPr>
    </w:p>
    <w:p w14:paraId="4FF7BD7E" w14:textId="77777777" w:rsidR="00755D41" w:rsidRPr="001E79AD" w:rsidRDefault="00755D41" w:rsidP="00755D41">
      <w:pPr>
        <w:pStyle w:val="ListParagraph"/>
        <w:ind w:left="1134" w:right="283" w:hanging="567"/>
        <w:jc w:val="both"/>
        <w:rPr>
          <w:rFonts w:ascii="Arial" w:hAnsi="Arial" w:cs="Arial"/>
          <w:color w:val="0070C0"/>
          <w:sz w:val="20"/>
          <w:szCs w:val="20"/>
          <w:bdr w:val="single" w:sz="2" w:space="0" w:color="ECEDEE" w:frame="1"/>
          <w:lang w:val="fr-FR"/>
        </w:rPr>
      </w:pPr>
      <w:r w:rsidRPr="00360A96">
        <w:rPr>
          <w:rFonts w:ascii="Arial" w:hAnsi="Arial" w:cs="Arial"/>
          <w:sz w:val="20"/>
          <w:szCs w:val="20"/>
        </w:rPr>
        <w:t xml:space="preserve">Moriyama T, Ohuchida K, Mizumoto K, Yu J, Sato N, Nabae T, et al. (2009). MicroRNA-21 modulates biological functions of pancreatic cancer cells including their proliferation, </w:t>
      </w:r>
      <w:r w:rsidRPr="00360A96">
        <w:rPr>
          <w:rFonts w:ascii="Arial" w:hAnsi="Arial" w:cs="Arial"/>
          <w:sz w:val="20"/>
          <w:szCs w:val="20"/>
        </w:rPr>
        <w:lastRenderedPageBreak/>
        <w:t xml:space="preserve">invasion, and chemoresistance. </w:t>
      </w:r>
      <w:r w:rsidRPr="001E79AD">
        <w:rPr>
          <w:rFonts w:ascii="Arial" w:hAnsi="Arial" w:cs="Arial"/>
          <w:i/>
          <w:iCs/>
          <w:sz w:val="20"/>
          <w:szCs w:val="20"/>
          <w:lang w:val="fr-FR"/>
        </w:rPr>
        <w:t xml:space="preserve">Mol Cancer </w:t>
      </w:r>
      <w:proofErr w:type="spellStart"/>
      <w:r w:rsidRPr="001E79AD">
        <w:rPr>
          <w:rFonts w:ascii="Arial" w:hAnsi="Arial" w:cs="Arial"/>
          <w:i/>
          <w:iCs/>
          <w:sz w:val="20"/>
          <w:szCs w:val="20"/>
          <w:lang w:val="fr-FR"/>
        </w:rPr>
        <w:t>Ther</w:t>
      </w:r>
      <w:proofErr w:type="spellEnd"/>
      <w:r w:rsidRPr="001E79AD">
        <w:rPr>
          <w:rFonts w:ascii="Arial" w:hAnsi="Arial" w:cs="Arial"/>
          <w:sz w:val="20"/>
          <w:szCs w:val="20"/>
          <w:lang w:val="fr-FR"/>
        </w:rPr>
        <w:t>. 8(5</w:t>
      </w:r>
      <w:proofErr w:type="gramStart"/>
      <w:r w:rsidRPr="001E79AD">
        <w:rPr>
          <w:rFonts w:ascii="Arial" w:hAnsi="Arial" w:cs="Arial"/>
          <w:sz w:val="20"/>
          <w:szCs w:val="20"/>
          <w:lang w:val="fr-FR"/>
        </w:rPr>
        <w:t>):</w:t>
      </w:r>
      <w:proofErr w:type="gramEnd"/>
      <w:r w:rsidRPr="001E79AD">
        <w:rPr>
          <w:rFonts w:ascii="Arial" w:hAnsi="Arial" w:cs="Arial"/>
          <w:sz w:val="20"/>
          <w:szCs w:val="20"/>
          <w:lang w:val="fr-FR"/>
        </w:rPr>
        <w:t xml:space="preserve">1067-1074. </w:t>
      </w:r>
      <w:proofErr w:type="spellStart"/>
      <w:proofErr w:type="gramStart"/>
      <w:r w:rsidRPr="001E79AD">
        <w:rPr>
          <w:rFonts w:ascii="Arial" w:hAnsi="Arial" w:cs="Arial"/>
          <w:color w:val="0070C0"/>
          <w:sz w:val="20"/>
          <w:szCs w:val="20"/>
          <w:lang w:val="fr-FR"/>
        </w:rPr>
        <w:t>Doi</w:t>
      </w:r>
      <w:proofErr w:type="spellEnd"/>
      <w:r w:rsidRPr="001E79AD">
        <w:rPr>
          <w:rFonts w:ascii="Arial" w:hAnsi="Arial" w:cs="Arial"/>
          <w:color w:val="0070C0"/>
          <w:sz w:val="20"/>
          <w:szCs w:val="20"/>
          <w:lang w:val="fr-FR"/>
        </w:rPr>
        <w:t>:</w:t>
      </w:r>
      <w:proofErr w:type="gramEnd"/>
      <w:r w:rsidRPr="001E79AD">
        <w:rPr>
          <w:rFonts w:ascii="Arial" w:hAnsi="Arial" w:cs="Arial"/>
          <w:color w:val="0070C0"/>
          <w:sz w:val="20"/>
          <w:szCs w:val="20"/>
          <w:lang w:val="fr-FR"/>
        </w:rPr>
        <w:t xml:space="preserve"> 10.1158/1535-7163.MCT-08-0592 </w:t>
      </w:r>
    </w:p>
    <w:p w14:paraId="6E2D7505" w14:textId="77777777" w:rsidR="00755D41" w:rsidRPr="00360A96" w:rsidRDefault="00755D41" w:rsidP="00755D41">
      <w:pPr>
        <w:pStyle w:val="NormalWeb"/>
        <w:ind w:left="1134" w:right="283" w:hanging="567"/>
        <w:jc w:val="both"/>
        <w:rPr>
          <w:rFonts w:ascii="Arial" w:hAnsi="Arial" w:cs="Arial"/>
          <w:sz w:val="20"/>
          <w:szCs w:val="20"/>
        </w:rPr>
      </w:pPr>
      <w:r w:rsidRPr="001E79AD">
        <w:rPr>
          <w:rFonts w:ascii="Arial" w:hAnsi="Arial" w:cs="Arial"/>
          <w:sz w:val="20"/>
          <w:szCs w:val="20"/>
          <w:lang w:val="fr-FR"/>
        </w:rPr>
        <w:t xml:space="preserve">Nakagawa T, </w:t>
      </w:r>
      <w:proofErr w:type="spellStart"/>
      <w:r w:rsidRPr="001E79AD">
        <w:rPr>
          <w:rFonts w:ascii="Arial" w:hAnsi="Arial" w:cs="Arial"/>
          <w:sz w:val="20"/>
          <w:szCs w:val="20"/>
          <w:lang w:val="fr-FR"/>
        </w:rPr>
        <w:t>Lanaspa</w:t>
      </w:r>
      <w:proofErr w:type="spellEnd"/>
      <w:r w:rsidRPr="001E79AD">
        <w:rPr>
          <w:rFonts w:ascii="Arial" w:hAnsi="Arial" w:cs="Arial"/>
          <w:sz w:val="20"/>
          <w:szCs w:val="20"/>
          <w:lang w:val="fr-FR"/>
        </w:rPr>
        <w:t xml:space="preserve"> MA, Millan IS, Fini M, Rivard CJ, Sanchez-</w:t>
      </w:r>
      <w:proofErr w:type="spellStart"/>
      <w:r w:rsidRPr="001E79AD">
        <w:rPr>
          <w:rFonts w:ascii="Arial" w:hAnsi="Arial" w:cs="Arial"/>
          <w:sz w:val="20"/>
          <w:szCs w:val="20"/>
          <w:lang w:val="fr-FR"/>
        </w:rPr>
        <w:t>Lozada</w:t>
      </w:r>
      <w:proofErr w:type="spellEnd"/>
      <w:r w:rsidRPr="001E79AD">
        <w:rPr>
          <w:rFonts w:ascii="Arial" w:hAnsi="Arial" w:cs="Arial"/>
          <w:sz w:val="20"/>
          <w:szCs w:val="20"/>
          <w:lang w:val="fr-FR"/>
        </w:rPr>
        <w:t xml:space="preserve"> LG, et al. </w:t>
      </w:r>
      <w:r w:rsidRPr="00360A96">
        <w:rPr>
          <w:rFonts w:ascii="Arial" w:hAnsi="Arial" w:cs="Arial"/>
          <w:sz w:val="20"/>
          <w:szCs w:val="20"/>
        </w:rPr>
        <w:t xml:space="preserve">(2020). Fructose contributes to the Warburg effect for cancer growth. </w:t>
      </w:r>
      <w:r w:rsidRPr="00360A96">
        <w:rPr>
          <w:rFonts w:ascii="Arial" w:hAnsi="Arial" w:cs="Arial"/>
          <w:i/>
          <w:iCs/>
          <w:sz w:val="20"/>
          <w:szCs w:val="20"/>
        </w:rPr>
        <w:t>Cancer Metab.</w:t>
      </w:r>
      <w:r w:rsidRPr="00360A96">
        <w:rPr>
          <w:rFonts w:ascii="Arial" w:hAnsi="Arial" w:cs="Arial"/>
          <w:sz w:val="20"/>
          <w:szCs w:val="20"/>
        </w:rPr>
        <w:t xml:space="preserve"> 8:16.</w:t>
      </w:r>
      <w:r w:rsidRPr="00360A96">
        <w:rPr>
          <w:rFonts w:ascii="Arial" w:hAnsi="Arial" w:cs="Arial"/>
          <w:sz w:val="20"/>
          <w:szCs w:val="20"/>
        </w:rPr>
        <w:tab/>
        <w:t xml:space="preserve"> </w:t>
      </w:r>
      <w:r w:rsidRPr="00360A96">
        <w:rPr>
          <w:rFonts w:ascii="Arial" w:hAnsi="Arial" w:cs="Arial"/>
          <w:color w:val="0070C0"/>
          <w:sz w:val="20"/>
          <w:szCs w:val="20"/>
        </w:rPr>
        <w:t>http://creativecommons.org/publicdomain/zero/1.0/</w:t>
      </w:r>
    </w:p>
    <w:p w14:paraId="60EF3062" w14:textId="77777777" w:rsidR="00755D41" w:rsidRPr="00360A96" w:rsidRDefault="00755D41" w:rsidP="00755D41">
      <w:pPr>
        <w:pStyle w:val="ListParagraph"/>
        <w:ind w:left="1134" w:right="283" w:hanging="567"/>
        <w:jc w:val="both"/>
        <w:rPr>
          <w:rStyle w:val="Hyperlink"/>
          <w:rFonts w:ascii="Arial" w:hAnsi="Arial" w:cs="Arial"/>
          <w:color w:val="000000" w:themeColor="text1"/>
          <w:sz w:val="20"/>
          <w:szCs w:val="20"/>
        </w:rPr>
      </w:pPr>
      <w:r w:rsidRPr="00360A96">
        <w:rPr>
          <w:rFonts w:ascii="Arial" w:hAnsi="Arial" w:cs="Arial"/>
          <w:color w:val="000000" w:themeColor="text1"/>
          <w:sz w:val="20"/>
          <w:szCs w:val="20"/>
        </w:rPr>
        <w:t>Nalls D, Tang S, Rodova M, Srivastava RK, Shankar S (2011). Targeting epigenetic regulation of MIR-34A for treatment of pancreatic cancer by inhibition of pancreatic cancer stem cells. </w:t>
      </w:r>
      <w:r w:rsidRPr="00360A96">
        <w:rPr>
          <w:rFonts w:ascii="Arial" w:hAnsi="Arial" w:cs="Arial"/>
          <w:i/>
          <w:iCs/>
          <w:color w:val="000000" w:themeColor="text1"/>
          <w:sz w:val="20"/>
          <w:szCs w:val="20"/>
          <w:bdr w:val="single" w:sz="2" w:space="0" w:color="ECEDEE" w:frame="1"/>
        </w:rPr>
        <w:t>PloS One</w:t>
      </w:r>
      <w:r w:rsidRPr="00360A96">
        <w:rPr>
          <w:rFonts w:ascii="Arial" w:hAnsi="Arial" w:cs="Arial"/>
          <w:color w:val="000000" w:themeColor="text1"/>
          <w:sz w:val="20"/>
          <w:szCs w:val="20"/>
        </w:rPr>
        <w:t>. </w:t>
      </w:r>
      <w:r w:rsidRPr="00360A96">
        <w:rPr>
          <w:rFonts w:ascii="Arial" w:hAnsi="Arial" w:cs="Arial"/>
          <w:color w:val="000000" w:themeColor="text1"/>
          <w:sz w:val="20"/>
          <w:szCs w:val="20"/>
          <w:bdr w:val="single" w:sz="2" w:space="0" w:color="ECEDEE" w:frame="1"/>
        </w:rPr>
        <w:t>6</w:t>
      </w:r>
      <w:r w:rsidRPr="00360A96">
        <w:rPr>
          <w:rFonts w:ascii="Arial" w:hAnsi="Arial" w:cs="Arial"/>
          <w:color w:val="000000" w:themeColor="text1"/>
          <w:sz w:val="20"/>
          <w:szCs w:val="20"/>
        </w:rPr>
        <w:t xml:space="preserve">(8):e24099. </w:t>
      </w:r>
      <w:hyperlink r:id="rId19" w:history="1">
        <w:r w:rsidRPr="00360A96">
          <w:rPr>
            <w:rStyle w:val="Hyperlink"/>
            <w:rFonts w:ascii="Arial" w:hAnsi="Arial" w:cs="Arial"/>
            <w:color w:val="0070C0"/>
            <w:sz w:val="20"/>
            <w:szCs w:val="20"/>
            <w:bdr w:val="single" w:sz="2" w:space="0" w:color="ECEDEE" w:frame="1"/>
          </w:rPr>
          <w:t>Doi: 10.1371/journal.pone.0024099</w:t>
        </w:r>
      </w:hyperlink>
    </w:p>
    <w:p w14:paraId="53200B46" w14:textId="77777777" w:rsidR="00755D41" w:rsidRPr="00360A96" w:rsidRDefault="00755D41" w:rsidP="00755D41">
      <w:pPr>
        <w:pStyle w:val="ListParagraph"/>
        <w:ind w:left="1134" w:right="283" w:hanging="567"/>
        <w:jc w:val="both"/>
        <w:rPr>
          <w:rFonts w:ascii="Arial" w:hAnsi="Arial" w:cs="Arial"/>
          <w:color w:val="212121"/>
          <w:sz w:val="20"/>
          <w:szCs w:val="20"/>
          <w:shd w:val="clear" w:color="auto" w:fill="FFFFFF"/>
        </w:rPr>
      </w:pPr>
    </w:p>
    <w:p w14:paraId="0F5D56F2"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075A0E">
        <w:rPr>
          <w:rFonts w:ascii="Arial" w:hAnsi="Arial" w:cs="Arial"/>
          <w:color w:val="212121"/>
          <w:sz w:val="20"/>
          <w:szCs w:val="20"/>
          <w:shd w:val="clear" w:color="auto" w:fill="FFFFFF"/>
          <w:lang w:val="nl-BE"/>
        </w:rPr>
        <w:t xml:space="preserve">Naudin S, Wang M, Dimou N, Ebrahimi E, Genkinger J, Adami HO, et al. </w:t>
      </w:r>
      <w:r w:rsidRPr="00360A96">
        <w:rPr>
          <w:rFonts w:ascii="Arial" w:hAnsi="Arial" w:cs="Arial"/>
          <w:color w:val="212121"/>
          <w:sz w:val="20"/>
          <w:szCs w:val="20"/>
          <w:shd w:val="clear" w:color="auto" w:fill="FFFFFF"/>
        </w:rPr>
        <w:t xml:space="preserve">(2025). Alcohol intake and pancreatic cancer risk: An analysis from 30 prospective studies across Asia, Australia, Europe, and North America. </w:t>
      </w:r>
      <w:r w:rsidRPr="00360A96">
        <w:rPr>
          <w:rFonts w:ascii="Arial" w:hAnsi="Arial" w:cs="Arial"/>
          <w:i/>
          <w:iCs/>
          <w:color w:val="212121"/>
          <w:sz w:val="20"/>
          <w:szCs w:val="20"/>
          <w:shd w:val="clear" w:color="auto" w:fill="FFFFFF"/>
        </w:rPr>
        <w:t>PLoS Med.</w:t>
      </w:r>
      <w:r w:rsidRPr="00360A96">
        <w:rPr>
          <w:rFonts w:ascii="Arial" w:hAnsi="Arial" w:cs="Arial"/>
          <w:color w:val="212121"/>
          <w:sz w:val="20"/>
          <w:szCs w:val="20"/>
          <w:shd w:val="clear" w:color="auto" w:fill="FFFFFF"/>
        </w:rPr>
        <w:t xml:space="preserve"> 22(5):e1004590 </w:t>
      </w:r>
      <w:r w:rsidRPr="00360A96">
        <w:rPr>
          <w:rFonts w:ascii="Arial" w:hAnsi="Arial" w:cs="Arial"/>
          <w:color w:val="0070C0"/>
          <w:sz w:val="20"/>
          <w:szCs w:val="20"/>
          <w:shd w:val="clear" w:color="auto" w:fill="FFFFFF"/>
        </w:rPr>
        <w:t>Doi: 10.1371/journal.pmed.1004590.</w:t>
      </w:r>
    </w:p>
    <w:p w14:paraId="0ADD4594" w14:textId="77777777" w:rsidR="00755D41" w:rsidRPr="00360A96" w:rsidRDefault="00755D41" w:rsidP="00755D41">
      <w:pPr>
        <w:pStyle w:val="NormalWeb"/>
        <w:ind w:left="1134" w:right="283" w:hanging="567"/>
        <w:jc w:val="both"/>
        <w:rPr>
          <w:rFonts w:ascii="Arial" w:hAnsi="Arial" w:cs="Arial"/>
          <w:sz w:val="20"/>
          <w:szCs w:val="20"/>
        </w:rPr>
      </w:pPr>
      <w:r w:rsidRPr="00360A96">
        <w:rPr>
          <w:rFonts w:ascii="Arial" w:hAnsi="Arial" w:cs="Arial"/>
          <w:color w:val="212121"/>
          <w:sz w:val="20"/>
          <w:szCs w:val="20"/>
          <w:shd w:val="clear" w:color="auto" w:fill="FFFFFF"/>
        </w:rPr>
        <w:t xml:space="preserve">Navarrete-Muñoz EM, Wark PA, Romaguera D, Bhoo-Pathy N, Michaud D, Molina-Montes E, et al. (2016). Sweet-beverage consumption and risk of pancreatic cancer in the European Prospective Investigation into Cancer and Nutrition (EPIC). </w:t>
      </w:r>
      <w:r w:rsidRPr="00360A96">
        <w:rPr>
          <w:rFonts w:ascii="Arial" w:hAnsi="Arial" w:cs="Arial"/>
          <w:i/>
          <w:iCs/>
          <w:color w:val="212121"/>
          <w:sz w:val="20"/>
          <w:szCs w:val="20"/>
          <w:shd w:val="clear" w:color="auto" w:fill="FFFFFF"/>
        </w:rPr>
        <w:t>Am J Clin Nutr.</w:t>
      </w:r>
      <w:r w:rsidRPr="00360A96">
        <w:rPr>
          <w:rFonts w:ascii="Arial" w:hAnsi="Arial" w:cs="Arial"/>
          <w:color w:val="212121"/>
          <w:sz w:val="20"/>
          <w:szCs w:val="20"/>
          <w:shd w:val="clear" w:color="auto" w:fill="FFFFFF"/>
        </w:rPr>
        <w:t xml:space="preserve"> 104(3):760-768. </w:t>
      </w:r>
      <w:r w:rsidRPr="00360A96">
        <w:rPr>
          <w:rFonts w:ascii="Arial" w:hAnsi="Arial" w:cs="Arial"/>
          <w:color w:val="0070C0"/>
          <w:sz w:val="20"/>
          <w:szCs w:val="20"/>
          <w:shd w:val="clear" w:color="auto" w:fill="FFFFFF"/>
        </w:rPr>
        <w:t>Doi: 10.3945/ajcn.116.130963.</w:t>
      </w:r>
    </w:p>
    <w:p w14:paraId="65C2F310" w14:textId="77777777" w:rsidR="00755D41" w:rsidRPr="00360A96" w:rsidRDefault="00755D41" w:rsidP="00755D41">
      <w:pPr>
        <w:pStyle w:val="NormalWeb"/>
        <w:ind w:left="1134" w:right="283" w:hanging="567"/>
        <w:jc w:val="both"/>
        <w:rPr>
          <w:rFonts w:ascii="Arial" w:hAnsi="Arial" w:cs="Arial"/>
          <w:sz w:val="20"/>
          <w:szCs w:val="20"/>
        </w:rPr>
      </w:pPr>
      <w:r w:rsidRPr="00360A96">
        <w:rPr>
          <w:rFonts w:ascii="Arial" w:hAnsi="Arial" w:cs="Arial"/>
          <w:sz w:val="20"/>
          <w:szCs w:val="20"/>
        </w:rPr>
        <w:t xml:space="preserve">Noe R, Carrer A (2024). Diet predispose to pancreatic cancer through cellular nutrient sensing pathways. </w:t>
      </w:r>
      <w:r w:rsidRPr="00360A96">
        <w:rPr>
          <w:rFonts w:ascii="Arial" w:hAnsi="Arial" w:cs="Arial"/>
          <w:i/>
          <w:iCs/>
          <w:sz w:val="20"/>
          <w:szCs w:val="20"/>
        </w:rPr>
        <w:t>FEBS Lett.</w:t>
      </w:r>
      <w:r w:rsidRPr="00360A96">
        <w:rPr>
          <w:rFonts w:ascii="Arial" w:hAnsi="Arial" w:cs="Arial"/>
          <w:sz w:val="20"/>
          <w:szCs w:val="20"/>
        </w:rPr>
        <w:t xml:space="preserve"> 598:2470-2481. </w:t>
      </w:r>
      <w:r w:rsidRPr="00360A96">
        <w:rPr>
          <w:rFonts w:ascii="Arial" w:hAnsi="Arial" w:cs="Arial"/>
          <w:color w:val="0070C0"/>
          <w:sz w:val="20"/>
          <w:szCs w:val="20"/>
        </w:rPr>
        <w:t>Doi: 10.1002/1873-3468.14959</w:t>
      </w:r>
    </w:p>
    <w:p w14:paraId="02F3A4C7"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Panebianco C, Potenza A, Andriulli A, Pazienza V (2018). Exploring the microbiota to better understand gastrointestinal cancers physiology. </w:t>
      </w:r>
      <w:r w:rsidRPr="00360A96">
        <w:rPr>
          <w:rFonts w:ascii="Arial" w:hAnsi="Arial" w:cs="Arial"/>
          <w:i/>
          <w:iCs/>
          <w:sz w:val="20"/>
          <w:szCs w:val="20"/>
        </w:rPr>
        <w:t>Clin Chem Lab Med.</w:t>
      </w:r>
      <w:r w:rsidRPr="00360A96">
        <w:rPr>
          <w:rFonts w:ascii="Arial" w:hAnsi="Arial" w:cs="Arial"/>
          <w:sz w:val="20"/>
          <w:szCs w:val="20"/>
        </w:rPr>
        <w:t xml:space="preserve"> 56:1400-1412. </w:t>
      </w:r>
      <w:hyperlink r:id="rId20" w:history="1">
        <w:r w:rsidRPr="00360A96">
          <w:rPr>
            <w:rStyle w:val="Hyperlink"/>
            <w:rFonts w:ascii="Arial" w:eastAsiaTheme="majorEastAsia" w:hAnsi="Arial" w:cs="Arial"/>
            <w:color w:val="0070C0"/>
            <w:sz w:val="20"/>
            <w:szCs w:val="20"/>
          </w:rPr>
          <w:t>https://doi.org/10.1515(cclm-2017-1163</w:t>
        </w:r>
      </w:hyperlink>
      <w:r w:rsidRPr="00360A96">
        <w:rPr>
          <w:rFonts w:ascii="Arial" w:hAnsi="Arial" w:cs="Arial"/>
          <w:color w:val="0070C0"/>
          <w:sz w:val="20"/>
          <w:szCs w:val="20"/>
        </w:rPr>
        <w:t xml:space="preserve">  </w:t>
      </w:r>
    </w:p>
    <w:p w14:paraId="5805125A"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559DD90B"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bCs/>
          <w:color w:val="000000" w:themeColor="text1"/>
          <w:sz w:val="20"/>
          <w:szCs w:val="20"/>
        </w:rPr>
        <w:t xml:space="preserve">Partyka O, Pajewska M, Kwasniewska D, Czerw A, Deptala A, Budzik, M, et al. (2023). Overview of pancreatic cancer epidemiology in Europe and recommendations for sceening in high-risk populations. </w:t>
      </w:r>
      <w:r w:rsidRPr="00360A96">
        <w:rPr>
          <w:rFonts w:ascii="Arial" w:hAnsi="Arial" w:cs="Arial"/>
          <w:bCs/>
          <w:i/>
          <w:iCs/>
          <w:color w:val="000000" w:themeColor="text1"/>
          <w:sz w:val="20"/>
          <w:szCs w:val="20"/>
        </w:rPr>
        <w:t>Cancers.</w:t>
      </w:r>
      <w:r w:rsidRPr="00360A96">
        <w:rPr>
          <w:rFonts w:ascii="Arial" w:hAnsi="Arial" w:cs="Arial"/>
          <w:bCs/>
          <w:color w:val="000000" w:themeColor="text1"/>
          <w:sz w:val="20"/>
          <w:szCs w:val="20"/>
        </w:rPr>
        <w:t xml:space="preserve"> 15:3634.</w:t>
      </w:r>
      <w:r w:rsidRPr="00360A96">
        <w:rPr>
          <w:rFonts w:ascii="Arial" w:hAnsi="Arial" w:cs="Arial"/>
          <w:bCs/>
          <w:color w:val="FF0000"/>
          <w:sz w:val="20"/>
          <w:szCs w:val="20"/>
        </w:rPr>
        <w:t xml:space="preserve"> </w:t>
      </w:r>
      <w:r w:rsidRPr="00360A96">
        <w:rPr>
          <w:rFonts w:ascii="Arial" w:hAnsi="Arial" w:cs="Arial"/>
          <w:bCs/>
          <w:color w:val="0070C0"/>
          <w:sz w:val="20"/>
          <w:szCs w:val="20"/>
        </w:rPr>
        <w:t>https://doi.org/10.3390/cancers15143634</w:t>
      </w:r>
    </w:p>
    <w:p w14:paraId="239C5D61" w14:textId="77777777" w:rsidR="00755D41" w:rsidRPr="00360A96" w:rsidRDefault="00755D41" w:rsidP="00755D41">
      <w:pPr>
        <w:pStyle w:val="ListParagraph"/>
        <w:ind w:left="1134" w:right="283" w:hanging="567"/>
        <w:jc w:val="both"/>
        <w:rPr>
          <w:rStyle w:val="y2iqfc"/>
          <w:rFonts w:ascii="Arial" w:hAnsi="Arial" w:cs="Arial"/>
          <w:color w:val="000000" w:themeColor="text1"/>
          <w:sz w:val="20"/>
          <w:szCs w:val="20"/>
        </w:rPr>
      </w:pPr>
    </w:p>
    <w:p w14:paraId="40B718AC"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Style w:val="y2iqfc"/>
          <w:rFonts w:ascii="Arial" w:hAnsi="Arial" w:cs="Arial"/>
          <w:color w:val="000000" w:themeColor="text1"/>
          <w:sz w:val="20"/>
          <w:szCs w:val="20"/>
        </w:rPr>
        <w:t xml:space="preserve">Port AM, Ruth MR, Istfan NW (2012). Fructose consumption and cancer: Is there a connection?. </w:t>
      </w:r>
      <w:r w:rsidRPr="00360A96">
        <w:rPr>
          <w:rStyle w:val="y2iqfc"/>
          <w:rFonts w:ascii="Arial" w:hAnsi="Arial" w:cs="Arial"/>
          <w:i/>
          <w:iCs/>
          <w:color w:val="000000" w:themeColor="text1"/>
          <w:sz w:val="20"/>
          <w:szCs w:val="20"/>
        </w:rPr>
        <w:t>Curr Opin Endocrinol Diabetes Obes.</w:t>
      </w:r>
      <w:r w:rsidRPr="00360A96">
        <w:rPr>
          <w:rStyle w:val="y2iqfc"/>
          <w:rFonts w:ascii="Arial" w:hAnsi="Arial" w:cs="Arial"/>
          <w:color w:val="000000" w:themeColor="text1"/>
          <w:sz w:val="20"/>
          <w:szCs w:val="20"/>
        </w:rPr>
        <w:t xml:space="preserve"> 19:367-374.</w:t>
      </w:r>
      <w:r w:rsidRPr="00360A96">
        <w:rPr>
          <w:rStyle w:val="y2iqfc"/>
          <w:rFonts w:ascii="Arial" w:hAnsi="Arial" w:cs="Arial"/>
          <w:color w:val="1F1F1F"/>
          <w:sz w:val="20"/>
          <w:szCs w:val="20"/>
        </w:rPr>
        <w:t xml:space="preserve"> </w:t>
      </w:r>
      <w:r w:rsidRPr="00360A96">
        <w:rPr>
          <w:rFonts w:ascii="Arial" w:hAnsi="Arial" w:cs="Arial"/>
          <w:color w:val="0070C0"/>
          <w:sz w:val="20"/>
          <w:szCs w:val="20"/>
        </w:rPr>
        <w:t xml:space="preserve">Doi:10.1097/MED.0b013e328357f0cb  </w:t>
      </w:r>
      <w:bookmarkStart w:id="3" w:name="old_references"/>
      <w:bookmarkEnd w:id="3"/>
    </w:p>
    <w:p w14:paraId="4B3A4E6F" w14:textId="77777777" w:rsidR="00755D41" w:rsidRPr="00360A96" w:rsidRDefault="00755D41" w:rsidP="00755D41">
      <w:pPr>
        <w:pStyle w:val="NormalWeb"/>
        <w:ind w:left="1134" w:right="283" w:hanging="567"/>
        <w:jc w:val="both"/>
        <w:rPr>
          <w:rFonts w:ascii="Arial" w:hAnsi="Arial" w:cs="Arial"/>
          <w:sz w:val="20"/>
          <w:szCs w:val="20"/>
        </w:rPr>
      </w:pPr>
      <w:r w:rsidRPr="00360A96">
        <w:rPr>
          <w:rFonts w:ascii="Arial" w:hAnsi="Arial" w:cs="Arial"/>
          <w:sz w:val="20"/>
          <w:szCs w:val="20"/>
        </w:rPr>
        <w:t xml:space="preserve">Pourali G, Kazemi D, Chadeganipour AS, Arastonejad M, Kashan SN, Pourali R, et al. (2024). Microbiome as a biomarker and therapeutic target in pancreatic cancer. </w:t>
      </w:r>
      <w:r w:rsidRPr="00360A96">
        <w:rPr>
          <w:rFonts w:ascii="Arial" w:hAnsi="Arial" w:cs="Arial"/>
          <w:i/>
          <w:iCs/>
          <w:sz w:val="20"/>
          <w:szCs w:val="20"/>
        </w:rPr>
        <w:t>BMC Microbiology.</w:t>
      </w:r>
      <w:r w:rsidRPr="00360A96">
        <w:rPr>
          <w:rFonts w:ascii="Arial" w:hAnsi="Arial" w:cs="Arial"/>
          <w:sz w:val="20"/>
          <w:szCs w:val="20"/>
        </w:rPr>
        <w:t xml:space="preserve"> 24:16. </w:t>
      </w:r>
      <w:hyperlink r:id="rId21" w:history="1">
        <w:r w:rsidRPr="00360A96">
          <w:rPr>
            <w:rStyle w:val="Hyperlink"/>
            <w:rFonts w:ascii="Arial" w:eastAsiaTheme="majorEastAsia" w:hAnsi="Arial" w:cs="Arial"/>
            <w:color w:val="0070C0"/>
            <w:sz w:val="20"/>
            <w:szCs w:val="20"/>
          </w:rPr>
          <w:t>https://doi.org/10.1186/s12866-023-03166-4</w:t>
        </w:r>
      </w:hyperlink>
      <w:r w:rsidRPr="00360A96">
        <w:rPr>
          <w:rFonts w:ascii="Arial" w:hAnsi="Arial" w:cs="Arial"/>
          <w:color w:val="0070C0"/>
          <w:sz w:val="20"/>
          <w:szCs w:val="20"/>
        </w:rPr>
        <w:t xml:space="preserve"> </w:t>
      </w:r>
    </w:p>
    <w:p w14:paraId="16DFCAE6" w14:textId="77777777" w:rsidR="00755D41" w:rsidRPr="001E79AD" w:rsidRDefault="00755D41" w:rsidP="00755D41">
      <w:pPr>
        <w:pStyle w:val="ListParagraph"/>
        <w:ind w:left="1134" w:right="283" w:hanging="567"/>
        <w:jc w:val="both"/>
        <w:rPr>
          <w:rFonts w:ascii="Arial" w:hAnsi="Arial" w:cs="Arial"/>
          <w:bCs/>
          <w:color w:val="000000" w:themeColor="text1"/>
          <w:sz w:val="20"/>
          <w:szCs w:val="20"/>
          <w:lang w:val="fr-FR"/>
        </w:rPr>
      </w:pPr>
      <w:r w:rsidRPr="00360A96">
        <w:rPr>
          <w:rFonts w:ascii="Arial" w:hAnsi="Arial" w:cs="Arial"/>
          <w:sz w:val="20"/>
          <w:szCs w:val="20"/>
        </w:rPr>
        <w:t xml:space="preserve">Pushalkar S, Hundeyin M, Daley D, Zambirinis CP, Kurz E, Mishra A, et al. (2018). The pancreatic cancer microbiome promotes oncogenesis by induction of innate and adaptive immune suppression. </w:t>
      </w:r>
      <w:r w:rsidRPr="001E79AD">
        <w:rPr>
          <w:rFonts w:ascii="Arial" w:hAnsi="Arial" w:cs="Arial"/>
          <w:i/>
          <w:iCs/>
          <w:sz w:val="20"/>
          <w:szCs w:val="20"/>
          <w:lang w:val="fr-FR"/>
        </w:rPr>
        <w:t xml:space="preserve">Cancer </w:t>
      </w:r>
      <w:proofErr w:type="spellStart"/>
      <w:r w:rsidRPr="001E79AD">
        <w:rPr>
          <w:rFonts w:ascii="Arial" w:hAnsi="Arial" w:cs="Arial"/>
          <w:i/>
          <w:iCs/>
          <w:sz w:val="20"/>
          <w:szCs w:val="20"/>
          <w:lang w:val="fr-FR"/>
        </w:rPr>
        <w:t>Discov</w:t>
      </w:r>
      <w:proofErr w:type="spellEnd"/>
      <w:r w:rsidRPr="001E79AD">
        <w:rPr>
          <w:rFonts w:ascii="Arial" w:hAnsi="Arial" w:cs="Arial"/>
          <w:i/>
          <w:iCs/>
          <w:sz w:val="20"/>
          <w:szCs w:val="20"/>
          <w:lang w:val="fr-FR"/>
        </w:rPr>
        <w:t>.</w:t>
      </w:r>
      <w:r w:rsidRPr="001E79AD">
        <w:rPr>
          <w:rFonts w:ascii="Arial" w:hAnsi="Arial" w:cs="Arial"/>
          <w:sz w:val="20"/>
          <w:szCs w:val="20"/>
          <w:lang w:val="fr-FR"/>
        </w:rPr>
        <w:t xml:space="preserve"> </w:t>
      </w:r>
      <w:proofErr w:type="gramStart"/>
      <w:r w:rsidRPr="001E79AD">
        <w:rPr>
          <w:rFonts w:ascii="Arial" w:hAnsi="Arial" w:cs="Arial"/>
          <w:sz w:val="20"/>
          <w:szCs w:val="20"/>
          <w:lang w:val="fr-FR"/>
        </w:rPr>
        <w:t>8:</w:t>
      </w:r>
      <w:proofErr w:type="gramEnd"/>
      <w:r w:rsidRPr="001E79AD">
        <w:rPr>
          <w:rFonts w:ascii="Arial" w:hAnsi="Arial" w:cs="Arial"/>
          <w:sz w:val="20"/>
          <w:szCs w:val="20"/>
          <w:lang w:val="fr-FR"/>
        </w:rPr>
        <w:t xml:space="preserve">403-416. </w:t>
      </w:r>
      <w:proofErr w:type="spellStart"/>
      <w:proofErr w:type="gramStart"/>
      <w:r w:rsidRPr="001E79AD">
        <w:rPr>
          <w:rFonts w:ascii="Arial" w:hAnsi="Arial" w:cs="Arial"/>
          <w:color w:val="0070C0"/>
          <w:sz w:val="20"/>
          <w:szCs w:val="20"/>
          <w:lang w:val="fr-FR"/>
        </w:rPr>
        <w:t>Doi</w:t>
      </w:r>
      <w:proofErr w:type="spellEnd"/>
      <w:r w:rsidRPr="001E79AD">
        <w:rPr>
          <w:rFonts w:ascii="Arial" w:hAnsi="Arial" w:cs="Arial"/>
          <w:color w:val="0070C0"/>
          <w:sz w:val="20"/>
          <w:szCs w:val="20"/>
          <w:lang w:val="fr-FR"/>
        </w:rPr>
        <w:t>:</w:t>
      </w:r>
      <w:proofErr w:type="gramEnd"/>
      <w:r w:rsidRPr="001E79AD">
        <w:rPr>
          <w:rFonts w:ascii="Arial" w:hAnsi="Arial" w:cs="Arial"/>
          <w:color w:val="0070C0"/>
          <w:sz w:val="20"/>
          <w:szCs w:val="20"/>
          <w:lang w:val="fr-FR"/>
        </w:rPr>
        <w:t xml:space="preserve"> 10.1158/2159-8290.CD-17-1134 </w:t>
      </w:r>
    </w:p>
    <w:p w14:paraId="2277937A" w14:textId="77777777" w:rsidR="00755D41" w:rsidRPr="00360A96" w:rsidRDefault="00755D41" w:rsidP="00755D41">
      <w:pPr>
        <w:pStyle w:val="NormalWeb"/>
        <w:ind w:left="1134" w:right="283" w:hanging="567"/>
        <w:jc w:val="both"/>
        <w:rPr>
          <w:rFonts w:ascii="Arial" w:hAnsi="Arial" w:cs="Arial"/>
          <w:sz w:val="20"/>
          <w:szCs w:val="20"/>
        </w:rPr>
      </w:pPr>
      <w:proofErr w:type="spellStart"/>
      <w:r w:rsidRPr="001E79AD">
        <w:rPr>
          <w:rFonts w:ascii="Arial" w:hAnsi="Arial" w:cs="Arial"/>
          <w:sz w:val="20"/>
          <w:szCs w:val="20"/>
          <w:lang w:val="fr-FR"/>
        </w:rPr>
        <w:t>Quero</w:t>
      </w:r>
      <w:proofErr w:type="spellEnd"/>
      <w:r w:rsidRPr="001E79AD">
        <w:rPr>
          <w:rFonts w:ascii="Arial" w:hAnsi="Arial" w:cs="Arial"/>
          <w:sz w:val="20"/>
          <w:szCs w:val="20"/>
          <w:lang w:val="fr-FR"/>
        </w:rPr>
        <w:t xml:space="preserve"> G, De Sio D, </w:t>
      </w:r>
      <w:proofErr w:type="spellStart"/>
      <w:r w:rsidRPr="001E79AD">
        <w:rPr>
          <w:rFonts w:ascii="Arial" w:hAnsi="Arial" w:cs="Arial"/>
          <w:sz w:val="20"/>
          <w:szCs w:val="20"/>
          <w:lang w:val="fr-FR"/>
        </w:rPr>
        <w:t>Fiorillo</w:t>
      </w:r>
      <w:proofErr w:type="spellEnd"/>
      <w:r w:rsidRPr="001E79AD">
        <w:rPr>
          <w:rFonts w:ascii="Arial" w:hAnsi="Arial" w:cs="Arial"/>
          <w:sz w:val="20"/>
          <w:szCs w:val="20"/>
          <w:lang w:val="fr-FR"/>
        </w:rPr>
        <w:t xml:space="preserve"> C, </w:t>
      </w:r>
      <w:proofErr w:type="spellStart"/>
      <w:r w:rsidRPr="001E79AD">
        <w:rPr>
          <w:rFonts w:ascii="Arial" w:hAnsi="Arial" w:cs="Arial"/>
          <w:sz w:val="20"/>
          <w:szCs w:val="20"/>
          <w:lang w:val="fr-FR"/>
        </w:rPr>
        <w:t>Lucinato</w:t>
      </w:r>
      <w:proofErr w:type="spellEnd"/>
      <w:r w:rsidRPr="001E79AD">
        <w:rPr>
          <w:rFonts w:ascii="Arial" w:hAnsi="Arial" w:cs="Arial"/>
          <w:sz w:val="20"/>
          <w:szCs w:val="20"/>
          <w:lang w:val="fr-FR"/>
        </w:rPr>
        <w:t xml:space="preserve"> C, </w:t>
      </w:r>
      <w:proofErr w:type="spellStart"/>
      <w:r w:rsidRPr="001E79AD">
        <w:rPr>
          <w:rFonts w:ascii="Arial" w:hAnsi="Arial" w:cs="Arial"/>
          <w:sz w:val="20"/>
          <w:szCs w:val="20"/>
          <w:lang w:val="fr-FR"/>
        </w:rPr>
        <w:t>Panza</w:t>
      </w:r>
      <w:proofErr w:type="spellEnd"/>
      <w:r w:rsidRPr="001E79AD">
        <w:rPr>
          <w:rFonts w:ascii="Arial" w:hAnsi="Arial" w:cs="Arial"/>
          <w:sz w:val="20"/>
          <w:szCs w:val="20"/>
          <w:lang w:val="fr-FR"/>
        </w:rPr>
        <w:t xml:space="preserve"> E, </w:t>
      </w:r>
      <w:proofErr w:type="spellStart"/>
      <w:r w:rsidRPr="001E79AD">
        <w:rPr>
          <w:rFonts w:ascii="Arial" w:hAnsi="Arial" w:cs="Arial"/>
          <w:sz w:val="20"/>
          <w:szCs w:val="20"/>
          <w:lang w:val="fr-FR"/>
        </w:rPr>
        <w:t>Biffoni</w:t>
      </w:r>
      <w:proofErr w:type="spellEnd"/>
      <w:r w:rsidRPr="001E79AD">
        <w:rPr>
          <w:rFonts w:ascii="Arial" w:hAnsi="Arial" w:cs="Arial"/>
          <w:sz w:val="20"/>
          <w:szCs w:val="20"/>
          <w:lang w:val="fr-FR"/>
        </w:rPr>
        <w:t xml:space="preserve"> B, et al. </w:t>
      </w:r>
      <w:r w:rsidRPr="00360A96">
        <w:rPr>
          <w:rFonts w:ascii="Arial" w:hAnsi="Arial" w:cs="Arial"/>
          <w:sz w:val="20"/>
          <w:szCs w:val="20"/>
        </w:rPr>
        <w:t xml:space="preserve">(2024). Resection margin status and long-term outcomes after pancreaticoduodenectomy for ductal adenocarcinoma: A tertiary referral center analysis. </w:t>
      </w:r>
      <w:r w:rsidRPr="00360A96">
        <w:rPr>
          <w:rFonts w:ascii="Arial" w:hAnsi="Arial" w:cs="Arial"/>
          <w:i/>
          <w:iCs/>
          <w:sz w:val="20"/>
          <w:szCs w:val="20"/>
        </w:rPr>
        <w:t>Cancers.</w:t>
      </w:r>
      <w:r w:rsidRPr="00360A96">
        <w:rPr>
          <w:rFonts w:ascii="Arial" w:hAnsi="Arial" w:cs="Arial"/>
          <w:sz w:val="20"/>
          <w:szCs w:val="20"/>
        </w:rPr>
        <w:t xml:space="preserve"> 16:2347</w:t>
      </w:r>
      <w:r w:rsidRPr="00360A96">
        <w:rPr>
          <w:rFonts w:ascii="Arial" w:hAnsi="Arial" w:cs="Arial"/>
          <w:sz w:val="20"/>
          <w:szCs w:val="20"/>
        </w:rPr>
        <w:tab/>
      </w:r>
      <w:r w:rsidRPr="00360A96">
        <w:rPr>
          <w:rFonts w:ascii="Arial" w:hAnsi="Arial" w:cs="Arial"/>
          <w:sz w:val="20"/>
          <w:szCs w:val="20"/>
          <w:lang w:val="tr-TR"/>
        </w:rPr>
        <w:t xml:space="preserve"> </w:t>
      </w:r>
      <w:r w:rsidRPr="00360A96">
        <w:rPr>
          <w:rFonts w:ascii="Arial" w:hAnsi="Arial" w:cs="Arial"/>
          <w:color w:val="0070C0"/>
          <w:sz w:val="20"/>
          <w:szCs w:val="20"/>
        </w:rPr>
        <w:t>https://doi.org/10.3390/cancers16132347</w:t>
      </w:r>
    </w:p>
    <w:p w14:paraId="60617274"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Rachagani S, Macha MA, Heimann N, Seshacharyulu P, Haridas D, Chugh S, et al. (2016). Clinical implications of miRNAs in the pathogenesis, diagnosis and therapy of pancreatic cancer. </w:t>
      </w:r>
      <w:r w:rsidRPr="00360A96">
        <w:rPr>
          <w:rFonts w:ascii="Arial" w:hAnsi="Arial" w:cs="Arial"/>
          <w:i/>
          <w:iCs/>
          <w:sz w:val="20"/>
          <w:szCs w:val="20"/>
        </w:rPr>
        <w:t>Adv Drug Deliv Rev.</w:t>
      </w:r>
      <w:r w:rsidRPr="00360A96">
        <w:rPr>
          <w:rFonts w:ascii="Arial" w:hAnsi="Arial" w:cs="Arial"/>
          <w:sz w:val="20"/>
          <w:szCs w:val="20"/>
        </w:rPr>
        <w:t xml:space="preserve"> 81:16-33. </w:t>
      </w:r>
      <w:r w:rsidRPr="00360A96">
        <w:rPr>
          <w:rFonts w:ascii="Arial" w:hAnsi="Arial" w:cs="Arial"/>
          <w:color w:val="0070C0"/>
          <w:sz w:val="20"/>
          <w:szCs w:val="20"/>
        </w:rPr>
        <w:t>Doi: 10.1016/j.addr.2014.10.020</w:t>
      </w:r>
    </w:p>
    <w:p w14:paraId="1570C2C1" w14:textId="77777777" w:rsidR="00755D41" w:rsidRPr="00360A96" w:rsidRDefault="00755D41" w:rsidP="00755D41">
      <w:pPr>
        <w:pStyle w:val="ListParagraph"/>
        <w:ind w:left="1134" w:right="283" w:hanging="567"/>
        <w:jc w:val="both"/>
        <w:rPr>
          <w:rFonts w:ascii="Arial" w:hAnsi="Arial" w:cs="Arial"/>
          <w:color w:val="212121"/>
          <w:sz w:val="20"/>
          <w:szCs w:val="20"/>
          <w:shd w:val="clear" w:color="auto" w:fill="FFFFFF"/>
        </w:rPr>
      </w:pPr>
    </w:p>
    <w:p w14:paraId="21EC2E32"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t xml:space="preserve">Rahib L, Smith BD, Aizenberg R, Rosenzweig AB, Fleshman JM, Matrisian LM. (2014). Projecting cancer incidence and deaths to 2030: the unexpected burden of thyroid, liver, and pancreas </w:t>
      </w:r>
      <w:r w:rsidRPr="00360A96">
        <w:rPr>
          <w:rFonts w:ascii="Arial" w:hAnsi="Arial" w:cs="Arial"/>
          <w:color w:val="212121"/>
          <w:sz w:val="20"/>
          <w:szCs w:val="20"/>
          <w:shd w:val="clear" w:color="auto" w:fill="FFFFFF"/>
        </w:rPr>
        <w:lastRenderedPageBreak/>
        <w:t xml:space="preserve">cancers in the United States. </w:t>
      </w:r>
      <w:r w:rsidRPr="00360A96">
        <w:rPr>
          <w:rFonts w:ascii="Arial" w:hAnsi="Arial" w:cs="Arial"/>
          <w:i/>
          <w:iCs/>
          <w:color w:val="212121"/>
          <w:sz w:val="20"/>
          <w:szCs w:val="20"/>
          <w:shd w:val="clear" w:color="auto" w:fill="FFFFFF"/>
        </w:rPr>
        <w:t>Cancer Res.</w:t>
      </w:r>
      <w:r w:rsidRPr="00360A96">
        <w:rPr>
          <w:rFonts w:ascii="Arial" w:hAnsi="Arial" w:cs="Arial"/>
          <w:color w:val="212121"/>
          <w:sz w:val="20"/>
          <w:szCs w:val="20"/>
          <w:shd w:val="clear" w:color="auto" w:fill="FFFFFF"/>
        </w:rPr>
        <w:t xml:space="preserve"> 74(11):2913-21. </w:t>
      </w:r>
      <w:r w:rsidRPr="00360A96">
        <w:rPr>
          <w:rFonts w:ascii="Arial" w:hAnsi="Arial" w:cs="Arial"/>
          <w:color w:val="0070C0"/>
          <w:sz w:val="20"/>
          <w:szCs w:val="20"/>
          <w:shd w:val="clear" w:color="auto" w:fill="FFFFFF"/>
        </w:rPr>
        <w:t xml:space="preserve">Doi: 10.1158/0008-5472.CAN-14-0155. </w:t>
      </w:r>
      <w:r w:rsidRPr="00360A96">
        <w:rPr>
          <w:rFonts w:ascii="Arial" w:hAnsi="Arial" w:cs="Arial"/>
          <w:color w:val="212121"/>
          <w:sz w:val="20"/>
          <w:szCs w:val="20"/>
          <w:shd w:val="clear" w:color="auto" w:fill="FFFFFF"/>
        </w:rPr>
        <w:t xml:space="preserve">Erratum in: </w:t>
      </w:r>
      <w:r w:rsidRPr="00360A96">
        <w:rPr>
          <w:rFonts w:ascii="Arial" w:hAnsi="Arial" w:cs="Arial"/>
          <w:i/>
          <w:iCs/>
          <w:color w:val="212121"/>
          <w:sz w:val="20"/>
          <w:szCs w:val="20"/>
          <w:shd w:val="clear" w:color="auto" w:fill="FFFFFF"/>
        </w:rPr>
        <w:t>Cancer Res.</w:t>
      </w:r>
      <w:r w:rsidRPr="00360A96">
        <w:rPr>
          <w:rFonts w:ascii="Arial" w:hAnsi="Arial" w:cs="Arial"/>
          <w:color w:val="212121"/>
          <w:sz w:val="20"/>
          <w:szCs w:val="20"/>
          <w:shd w:val="clear" w:color="auto" w:fill="FFFFFF"/>
        </w:rPr>
        <w:t xml:space="preserve"> (2014) 74(14):4006. </w:t>
      </w:r>
      <w:r w:rsidRPr="00360A96">
        <w:rPr>
          <w:rFonts w:ascii="Arial" w:hAnsi="Arial" w:cs="Arial"/>
          <w:color w:val="0070C0"/>
          <w:sz w:val="20"/>
          <w:szCs w:val="20"/>
          <w:shd w:val="clear" w:color="auto" w:fill="FFFFFF"/>
        </w:rPr>
        <w:t>PMID: 24840647.</w:t>
      </w:r>
    </w:p>
    <w:p w14:paraId="7CB503F6"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4765DF5D" w14:textId="77777777" w:rsidR="00755D41" w:rsidRPr="00360A96" w:rsidRDefault="00755D41" w:rsidP="00755D41">
      <w:pPr>
        <w:pStyle w:val="ListParagraph"/>
        <w:ind w:left="1134" w:right="283" w:hanging="567"/>
        <w:jc w:val="both"/>
        <w:rPr>
          <w:rStyle w:val="url"/>
          <w:rFonts w:ascii="Arial" w:hAnsi="Arial" w:cs="Arial"/>
          <w:color w:val="0070C0"/>
          <w:sz w:val="20"/>
          <w:szCs w:val="20"/>
          <w:u w:val="single"/>
          <w:bdr w:val="single" w:sz="2" w:space="0" w:color="ECEDEE" w:frame="1"/>
        </w:rPr>
      </w:pPr>
      <w:r w:rsidRPr="00360A96">
        <w:rPr>
          <w:rFonts w:ascii="Arial" w:hAnsi="Arial" w:cs="Arial"/>
          <w:bCs/>
          <w:color w:val="000000" w:themeColor="text1"/>
          <w:sz w:val="20"/>
          <w:szCs w:val="20"/>
        </w:rPr>
        <w:t xml:space="preserve">Riquelme E, Maitra A, McAllister F (2018). Immunotherapy for pancreatic cancer: More than just a gut feeling. </w:t>
      </w:r>
      <w:r w:rsidRPr="00360A96">
        <w:rPr>
          <w:rFonts w:ascii="Arial" w:hAnsi="Arial" w:cs="Arial"/>
          <w:bCs/>
          <w:i/>
          <w:iCs/>
          <w:color w:val="000000" w:themeColor="text1"/>
          <w:sz w:val="20"/>
          <w:szCs w:val="20"/>
        </w:rPr>
        <w:t>Cancer Discov</w:t>
      </w:r>
      <w:r w:rsidRPr="00360A96">
        <w:rPr>
          <w:rFonts w:ascii="Arial" w:hAnsi="Arial" w:cs="Arial"/>
          <w:bCs/>
          <w:color w:val="000000" w:themeColor="text1"/>
          <w:sz w:val="20"/>
          <w:szCs w:val="20"/>
        </w:rPr>
        <w:t xml:space="preserve">. </w:t>
      </w:r>
      <w:r w:rsidRPr="00360A96">
        <w:rPr>
          <w:rFonts w:ascii="Arial" w:hAnsi="Arial" w:cs="Arial"/>
          <w:bCs/>
          <w:sz w:val="20"/>
          <w:szCs w:val="20"/>
        </w:rPr>
        <w:t>8(4):386-388</w:t>
      </w:r>
      <w:r w:rsidRPr="00360A96">
        <w:rPr>
          <w:rFonts w:ascii="Arial" w:hAnsi="Arial" w:cs="Arial"/>
          <w:bCs/>
          <w:color w:val="212121"/>
          <w:sz w:val="20"/>
          <w:szCs w:val="20"/>
          <w:shd w:val="clear" w:color="auto" w:fill="FFFFFF"/>
        </w:rPr>
        <w:t xml:space="preserve">. </w:t>
      </w:r>
      <w:r w:rsidRPr="00360A96">
        <w:rPr>
          <w:rFonts w:ascii="Arial" w:eastAsia="Times New Roman" w:hAnsi="Arial" w:cs="Arial"/>
          <w:color w:val="0070C0"/>
          <w:sz w:val="20"/>
          <w:szCs w:val="20"/>
        </w:rPr>
        <w:t>Doi: </w:t>
      </w:r>
      <w:hyperlink r:id="rId22" w:tgtFrame="_blank" w:history="1">
        <w:r w:rsidRPr="00360A96">
          <w:rPr>
            <w:rFonts w:ascii="Arial" w:eastAsia="Times New Roman" w:hAnsi="Arial" w:cs="Arial"/>
            <w:color w:val="0070C0"/>
            <w:sz w:val="20"/>
            <w:szCs w:val="20"/>
          </w:rPr>
          <w:t>10.1158/2159-8290.CD-18-0123</w:t>
        </w:r>
      </w:hyperlink>
    </w:p>
    <w:p w14:paraId="2A36DB50" w14:textId="77777777" w:rsidR="00755D41" w:rsidRPr="00360A96" w:rsidRDefault="00755D41" w:rsidP="00755D41">
      <w:pPr>
        <w:pStyle w:val="ListParagraph"/>
        <w:ind w:left="1134" w:right="283" w:hanging="567"/>
        <w:jc w:val="both"/>
        <w:rPr>
          <w:rFonts w:ascii="Arial" w:hAnsi="Arial" w:cs="Arial"/>
          <w:color w:val="1B1B1B"/>
          <w:sz w:val="20"/>
          <w:szCs w:val="20"/>
          <w:shd w:val="clear" w:color="auto" w:fill="FFFFFF"/>
        </w:rPr>
      </w:pPr>
    </w:p>
    <w:p w14:paraId="15884E74" w14:textId="77777777" w:rsidR="00755D41" w:rsidRPr="00360A96" w:rsidRDefault="00755D41" w:rsidP="00755D41">
      <w:pPr>
        <w:pStyle w:val="ListParagraph"/>
        <w:ind w:left="1134" w:right="283" w:hanging="567"/>
        <w:jc w:val="both"/>
        <w:rPr>
          <w:rFonts w:ascii="Arial" w:hAnsi="Arial" w:cs="Arial"/>
          <w:bCs/>
          <w:color w:val="FF0000"/>
          <w:sz w:val="20"/>
          <w:szCs w:val="20"/>
        </w:rPr>
      </w:pPr>
      <w:r w:rsidRPr="00360A96">
        <w:rPr>
          <w:rFonts w:ascii="Arial" w:hAnsi="Arial" w:cs="Arial"/>
          <w:color w:val="1B1B1B"/>
          <w:sz w:val="20"/>
          <w:szCs w:val="20"/>
          <w:shd w:val="clear" w:color="auto" w:fill="FFFFFF"/>
        </w:rPr>
        <w:t xml:space="preserve">Saiki Y, Jiang C, Ohmuraya M, Furukawa T. (2021). Genetic Mutations of Pancreatic Cancer and Genetically Engineered Mouse Models. </w:t>
      </w:r>
      <w:r w:rsidRPr="00360A96">
        <w:rPr>
          <w:rFonts w:ascii="Arial" w:hAnsi="Arial" w:cs="Arial"/>
          <w:i/>
          <w:iCs/>
          <w:color w:val="1B1B1B"/>
          <w:sz w:val="20"/>
          <w:szCs w:val="20"/>
          <w:shd w:val="clear" w:color="auto" w:fill="FFFFFF"/>
        </w:rPr>
        <w:t>Cancers (Basel).</w:t>
      </w:r>
      <w:r w:rsidRPr="00360A96">
        <w:rPr>
          <w:rFonts w:ascii="Arial" w:hAnsi="Arial" w:cs="Arial"/>
          <w:color w:val="1B1B1B"/>
          <w:sz w:val="20"/>
          <w:szCs w:val="20"/>
          <w:shd w:val="clear" w:color="auto" w:fill="FFFFFF"/>
        </w:rPr>
        <w:t xml:space="preserve"> 14(1):71.</w:t>
      </w:r>
      <w:r w:rsidRPr="00360A96">
        <w:rPr>
          <w:rFonts w:ascii="Arial" w:hAnsi="Arial" w:cs="Arial"/>
          <w:color w:val="1B1B1B"/>
          <w:sz w:val="20"/>
          <w:szCs w:val="20"/>
          <w:shd w:val="clear" w:color="auto" w:fill="FFFFFF"/>
        </w:rPr>
        <w:tab/>
        <w:t xml:space="preserve">                                                   </w:t>
      </w:r>
      <w:r w:rsidRPr="00360A96">
        <w:rPr>
          <w:rFonts w:ascii="Arial" w:hAnsi="Arial" w:cs="Arial"/>
          <w:color w:val="0070C0"/>
          <w:sz w:val="20"/>
          <w:szCs w:val="20"/>
          <w:shd w:val="clear" w:color="auto" w:fill="FFFFFF"/>
        </w:rPr>
        <w:t>Doi: 10.3390/cancers14010071.</w:t>
      </w:r>
    </w:p>
    <w:p w14:paraId="29366912" w14:textId="77777777" w:rsidR="00755D41" w:rsidRPr="00360A96" w:rsidRDefault="00755D41" w:rsidP="00755D41">
      <w:pPr>
        <w:pStyle w:val="NormalWeb"/>
        <w:spacing w:before="0" w:beforeAutospacing="0" w:after="0" w:afterAutospacing="0"/>
        <w:ind w:left="1134" w:hanging="567"/>
        <w:jc w:val="both"/>
        <w:rPr>
          <w:rFonts w:ascii="Arial" w:hAnsi="Arial" w:cs="Arial"/>
          <w:bCs/>
          <w:color w:val="000000" w:themeColor="text1"/>
          <w:sz w:val="20"/>
          <w:szCs w:val="20"/>
        </w:rPr>
      </w:pPr>
    </w:p>
    <w:p w14:paraId="2769A278" w14:textId="77777777" w:rsidR="00755D41" w:rsidRPr="00360A96" w:rsidRDefault="00755D41" w:rsidP="00755D41">
      <w:pPr>
        <w:pStyle w:val="NormalWeb"/>
        <w:spacing w:before="0" w:beforeAutospacing="0" w:after="0" w:afterAutospacing="0"/>
        <w:ind w:left="1134" w:hanging="567"/>
        <w:jc w:val="both"/>
        <w:rPr>
          <w:rFonts w:ascii="Arial" w:hAnsi="Arial" w:cs="Arial"/>
          <w:sz w:val="20"/>
          <w:szCs w:val="20"/>
        </w:rPr>
      </w:pPr>
      <w:r w:rsidRPr="00360A96">
        <w:rPr>
          <w:rFonts w:ascii="Arial" w:hAnsi="Arial" w:cs="Arial"/>
          <w:bCs/>
          <w:color w:val="000000" w:themeColor="text1"/>
          <w:sz w:val="20"/>
          <w:szCs w:val="20"/>
        </w:rPr>
        <w:t xml:space="preserve">Shionoya K, Koizumi K, Masuda S, Makazu M, Kubota J, Jinushi R, et al. (2024). Difficulty in the diagnosis of pancreatic cancer based on the initial CT report: A retrospective study. </w:t>
      </w:r>
      <w:r w:rsidRPr="00360A96">
        <w:rPr>
          <w:rFonts w:ascii="Arial" w:hAnsi="Arial" w:cs="Arial"/>
          <w:bCs/>
          <w:i/>
          <w:iCs/>
          <w:color w:val="000000" w:themeColor="text1"/>
          <w:sz w:val="20"/>
          <w:szCs w:val="20"/>
        </w:rPr>
        <w:t xml:space="preserve">Medicine </w:t>
      </w:r>
      <w:r w:rsidRPr="00360A96">
        <w:rPr>
          <w:rFonts w:ascii="Arial" w:hAnsi="Arial" w:cs="Arial"/>
          <w:bCs/>
          <w:color w:val="000000" w:themeColor="text1"/>
          <w:sz w:val="20"/>
          <w:szCs w:val="20"/>
        </w:rPr>
        <w:t>103:6.</w:t>
      </w:r>
      <w:r w:rsidRPr="00360A96">
        <w:rPr>
          <w:rFonts w:ascii="Arial" w:hAnsi="Arial" w:cs="Arial"/>
          <w:color w:val="212121"/>
          <w:sz w:val="20"/>
          <w:szCs w:val="20"/>
          <w:shd w:val="clear" w:color="auto" w:fill="FFFFFF"/>
        </w:rPr>
        <w:t xml:space="preserve">Siegel RL, Kratzer TB, Giaquinto AN, Sung H, Jemal A. (2025). Cancer statistics, </w:t>
      </w:r>
      <w:r w:rsidRPr="00360A96">
        <w:rPr>
          <w:rFonts w:ascii="Arial" w:hAnsi="Arial" w:cs="Arial"/>
          <w:i/>
          <w:iCs/>
          <w:color w:val="212121"/>
          <w:sz w:val="20"/>
          <w:szCs w:val="20"/>
          <w:shd w:val="clear" w:color="auto" w:fill="FFFFFF"/>
        </w:rPr>
        <w:t>CA Cancer J Clin.</w:t>
      </w:r>
      <w:r w:rsidRPr="00360A96">
        <w:rPr>
          <w:rFonts w:ascii="Arial" w:hAnsi="Arial" w:cs="Arial"/>
          <w:color w:val="212121"/>
          <w:sz w:val="20"/>
          <w:szCs w:val="20"/>
          <w:shd w:val="clear" w:color="auto" w:fill="FFFFFF"/>
        </w:rPr>
        <w:t xml:space="preserve"> 75(1):10-45. </w:t>
      </w:r>
      <w:r w:rsidRPr="00360A96">
        <w:rPr>
          <w:rFonts w:ascii="Arial" w:hAnsi="Arial" w:cs="Arial"/>
          <w:color w:val="0070C0"/>
          <w:sz w:val="20"/>
          <w:szCs w:val="20"/>
          <w:shd w:val="clear" w:color="auto" w:fill="FFFFFF"/>
          <w:lang w:val="tr-TR"/>
        </w:rPr>
        <w:t>D</w:t>
      </w:r>
      <w:r w:rsidRPr="00360A96">
        <w:rPr>
          <w:rFonts w:ascii="Arial" w:hAnsi="Arial" w:cs="Arial"/>
          <w:color w:val="0070C0"/>
          <w:sz w:val="20"/>
          <w:szCs w:val="20"/>
          <w:shd w:val="clear" w:color="auto" w:fill="FFFFFF"/>
        </w:rPr>
        <w:t xml:space="preserve">oi: 10.3322/caac.21871  </w:t>
      </w:r>
    </w:p>
    <w:p w14:paraId="1A8AA1A6" w14:textId="77777777" w:rsidR="00755D41" w:rsidRPr="00360A96" w:rsidRDefault="00755D41" w:rsidP="00755D41">
      <w:pPr>
        <w:pStyle w:val="NormalWeb"/>
        <w:spacing w:before="0" w:beforeAutospacing="0" w:after="0" w:afterAutospacing="0"/>
        <w:ind w:left="1134" w:hanging="567"/>
        <w:jc w:val="both"/>
        <w:rPr>
          <w:rFonts w:ascii="Arial" w:hAnsi="Arial" w:cs="Arial"/>
          <w:color w:val="212121"/>
          <w:sz w:val="20"/>
          <w:szCs w:val="20"/>
          <w:shd w:val="clear" w:color="auto" w:fill="FFFFFF"/>
        </w:rPr>
      </w:pPr>
    </w:p>
    <w:p w14:paraId="53681ECB" w14:textId="77777777" w:rsidR="00755D41" w:rsidRPr="00360A96" w:rsidRDefault="00755D41" w:rsidP="00755D41">
      <w:pPr>
        <w:pStyle w:val="NormalWeb"/>
        <w:spacing w:before="0" w:beforeAutospacing="0" w:after="0" w:afterAutospacing="0"/>
        <w:ind w:left="1134" w:hanging="567"/>
        <w:jc w:val="both"/>
        <w:rPr>
          <w:rFonts w:ascii="Arial" w:hAnsi="Arial" w:cs="Arial"/>
          <w:sz w:val="20"/>
          <w:szCs w:val="20"/>
        </w:rPr>
      </w:pPr>
      <w:r w:rsidRPr="00360A96">
        <w:rPr>
          <w:rFonts w:ascii="Arial" w:hAnsi="Arial" w:cs="Arial"/>
          <w:color w:val="212121"/>
          <w:sz w:val="20"/>
          <w:szCs w:val="20"/>
          <w:shd w:val="clear" w:color="auto" w:fill="FFFFFF"/>
        </w:rPr>
        <w:t xml:space="preserve">Siegel RL, Kratzer TB, Giaquinto AN, Sung H, Jemal A. (2025). Cancer statistics, </w:t>
      </w:r>
      <w:r w:rsidRPr="00360A96">
        <w:rPr>
          <w:rFonts w:ascii="Arial" w:hAnsi="Arial" w:cs="Arial"/>
          <w:i/>
          <w:iCs/>
          <w:color w:val="212121"/>
          <w:sz w:val="20"/>
          <w:szCs w:val="20"/>
          <w:shd w:val="clear" w:color="auto" w:fill="FFFFFF"/>
        </w:rPr>
        <w:t>CA Cancer J Clin.</w:t>
      </w:r>
      <w:r w:rsidRPr="00360A96">
        <w:rPr>
          <w:rFonts w:ascii="Arial" w:hAnsi="Arial" w:cs="Arial"/>
          <w:color w:val="212121"/>
          <w:sz w:val="20"/>
          <w:szCs w:val="20"/>
          <w:shd w:val="clear" w:color="auto" w:fill="FFFFFF"/>
        </w:rPr>
        <w:t xml:space="preserve"> 75(1):10-45. </w:t>
      </w:r>
      <w:r w:rsidRPr="00360A96">
        <w:rPr>
          <w:rFonts w:ascii="Arial" w:hAnsi="Arial" w:cs="Arial"/>
          <w:color w:val="0070C0"/>
          <w:sz w:val="20"/>
          <w:szCs w:val="20"/>
          <w:shd w:val="clear" w:color="auto" w:fill="FFFFFF"/>
          <w:lang w:val="tr-TR"/>
        </w:rPr>
        <w:t>D</w:t>
      </w:r>
      <w:r w:rsidRPr="00360A96">
        <w:rPr>
          <w:rFonts w:ascii="Arial" w:hAnsi="Arial" w:cs="Arial"/>
          <w:color w:val="0070C0"/>
          <w:sz w:val="20"/>
          <w:szCs w:val="20"/>
          <w:shd w:val="clear" w:color="auto" w:fill="FFFFFF"/>
        </w:rPr>
        <w:t xml:space="preserve">oi: 10.3322/caac.21871  </w:t>
      </w:r>
    </w:p>
    <w:p w14:paraId="5C722225" w14:textId="77777777" w:rsidR="00755D41" w:rsidRPr="00360A96" w:rsidRDefault="00755D41" w:rsidP="00755D41">
      <w:pPr>
        <w:pStyle w:val="ListParagraph"/>
        <w:ind w:left="1134" w:right="283" w:hanging="567"/>
        <w:jc w:val="both"/>
        <w:rPr>
          <w:rFonts w:ascii="Arial" w:hAnsi="Arial" w:cs="Arial"/>
          <w:color w:val="000000" w:themeColor="text1"/>
          <w:sz w:val="20"/>
          <w:szCs w:val="20"/>
        </w:rPr>
      </w:pPr>
    </w:p>
    <w:p w14:paraId="2194BB76" w14:textId="77777777" w:rsidR="00755D41" w:rsidRPr="00360A96" w:rsidRDefault="00755D41" w:rsidP="00755D41">
      <w:pPr>
        <w:pStyle w:val="ListParagraph"/>
        <w:ind w:left="1134"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 xml:space="preserve">Singh D, Upadhyay G, Srivastava RK, Shankar S (2015). Recent advances in pancreatic cancer: biology, treatment, and prevention. </w:t>
      </w:r>
      <w:r w:rsidRPr="00360A96">
        <w:rPr>
          <w:rFonts w:ascii="Arial" w:hAnsi="Arial" w:cs="Arial"/>
          <w:i/>
          <w:iCs/>
          <w:color w:val="000000" w:themeColor="text1"/>
          <w:sz w:val="20"/>
          <w:szCs w:val="20"/>
        </w:rPr>
        <w:t>BBA.</w:t>
      </w:r>
      <w:r w:rsidRPr="00360A96">
        <w:rPr>
          <w:rFonts w:ascii="Arial" w:hAnsi="Arial" w:cs="Arial"/>
          <w:color w:val="000000" w:themeColor="text1"/>
          <w:sz w:val="20"/>
          <w:szCs w:val="20"/>
        </w:rPr>
        <w:t xml:space="preserve"> 1856(1):13-27. </w:t>
      </w:r>
      <w:r w:rsidRPr="00360A96">
        <w:rPr>
          <w:rFonts w:ascii="Arial" w:hAnsi="Arial" w:cs="Arial"/>
          <w:color w:val="0070C0"/>
          <w:sz w:val="20"/>
          <w:szCs w:val="20"/>
        </w:rPr>
        <w:t>Doi: 10.1016/j.bbcan.2015.04.03</w:t>
      </w:r>
    </w:p>
    <w:p w14:paraId="61E8656C"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p>
    <w:p w14:paraId="2B87CBFC"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Slotwinski R, Lech G, Slotwinska SM (2018). MicroRNAs in pancreatic cancer diagnosis and therapy. </w:t>
      </w:r>
      <w:r w:rsidRPr="00360A96">
        <w:rPr>
          <w:rFonts w:ascii="Arial" w:hAnsi="Arial" w:cs="Arial"/>
          <w:i/>
          <w:iCs/>
          <w:sz w:val="20"/>
          <w:szCs w:val="20"/>
        </w:rPr>
        <w:t>Centr Eur J Immunol.</w:t>
      </w:r>
      <w:r w:rsidRPr="00360A96">
        <w:rPr>
          <w:rFonts w:ascii="Arial" w:hAnsi="Arial" w:cs="Arial"/>
          <w:sz w:val="20"/>
          <w:szCs w:val="20"/>
        </w:rPr>
        <w:t xml:space="preserve"> 43(3):314-324. </w:t>
      </w:r>
      <w:hyperlink r:id="rId23" w:history="1">
        <w:r w:rsidRPr="00360A96">
          <w:rPr>
            <w:rStyle w:val="Hyperlink"/>
            <w:rFonts w:ascii="Arial" w:eastAsiaTheme="majorEastAsia" w:hAnsi="Arial" w:cs="Arial"/>
            <w:color w:val="0070C0"/>
            <w:sz w:val="20"/>
            <w:szCs w:val="20"/>
          </w:rPr>
          <w:t>https://doi.org/10.5114/ceji.2018.80051</w:t>
        </w:r>
      </w:hyperlink>
    </w:p>
    <w:p w14:paraId="13A93DAB" w14:textId="77777777" w:rsidR="00755D41" w:rsidRPr="001E79AD" w:rsidRDefault="00755D41" w:rsidP="00755D41">
      <w:pPr>
        <w:pStyle w:val="NormalWeb"/>
        <w:spacing w:after="0"/>
        <w:ind w:left="1134" w:right="283" w:hanging="567"/>
        <w:jc w:val="both"/>
        <w:rPr>
          <w:rFonts w:ascii="Arial" w:hAnsi="Arial" w:cs="Arial"/>
          <w:color w:val="00B0F0"/>
          <w:sz w:val="20"/>
          <w:szCs w:val="20"/>
          <w:lang w:val="nl-BE"/>
        </w:rPr>
      </w:pPr>
      <w:r w:rsidRPr="00360A96">
        <w:rPr>
          <w:rFonts w:ascii="Arial" w:hAnsi="Arial" w:cs="Arial"/>
          <w:color w:val="212121"/>
          <w:sz w:val="20"/>
          <w:szCs w:val="20"/>
          <w:shd w:val="clear" w:color="auto" w:fill="FFFFFF"/>
        </w:rPr>
        <w:t xml:space="preserve">Softic S, Stanhope KL, Boucher J, Divanovic S, Lanaspa MA, Johnson RJ, et al. (2020). Fructose and hepatic insulin resistance. </w:t>
      </w:r>
      <w:r w:rsidRPr="00360A96">
        <w:rPr>
          <w:rFonts w:ascii="Arial" w:hAnsi="Arial" w:cs="Arial"/>
          <w:i/>
          <w:iCs/>
          <w:color w:val="212121"/>
          <w:sz w:val="20"/>
          <w:szCs w:val="20"/>
          <w:shd w:val="clear" w:color="auto" w:fill="FFFFFF"/>
        </w:rPr>
        <w:t>Crit Rev Clin Lab Sci.</w:t>
      </w:r>
      <w:r w:rsidRPr="00360A96">
        <w:rPr>
          <w:rFonts w:ascii="Arial" w:hAnsi="Arial" w:cs="Arial"/>
          <w:color w:val="212121"/>
          <w:sz w:val="20"/>
          <w:szCs w:val="20"/>
          <w:shd w:val="clear" w:color="auto" w:fill="FFFFFF"/>
        </w:rPr>
        <w:t xml:space="preserve"> 57(5):308-322.</w:t>
      </w:r>
      <w:r w:rsidRPr="00360A96">
        <w:rPr>
          <w:rFonts w:ascii="Arial" w:hAnsi="Arial" w:cs="Arial"/>
          <w:color w:val="212121"/>
          <w:sz w:val="20"/>
          <w:szCs w:val="20"/>
          <w:shd w:val="clear" w:color="auto" w:fill="FFFFFF"/>
        </w:rPr>
        <w:tab/>
        <w:t xml:space="preserve"> </w:t>
      </w:r>
      <w:r w:rsidRPr="00360A96">
        <w:rPr>
          <w:rFonts w:ascii="Arial" w:hAnsi="Arial" w:cs="Arial"/>
          <w:color w:val="212121"/>
          <w:sz w:val="20"/>
          <w:szCs w:val="20"/>
          <w:shd w:val="clear" w:color="auto" w:fill="FFFFFF"/>
          <w:lang w:val="tr-TR"/>
        </w:rPr>
        <w:t xml:space="preserve">                                                 </w:t>
      </w:r>
      <w:r w:rsidRPr="001E79AD">
        <w:rPr>
          <w:rFonts w:ascii="Arial" w:hAnsi="Arial" w:cs="Arial"/>
          <w:color w:val="0070C0"/>
          <w:sz w:val="20"/>
          <w:szCs w:val="20"/>
          <w:shd w:val="clear" w:color="auto" w:fill="FFFFFF"/>
          <w:lang w:val="nl-BE"/>
        </w:rPr>
        <w:t>Doi: 10.1080/10408363.2019.1711360</w:t>
      </w:r>
      <w:r w:rsidRPr="001E79AD">
        <w:rPr>
          <w:rFonts w:ascii="Arial" w:hAnsi="Arial" w:cs="Arial"/>
          <w:color w:val="212121"/>
          <w:sz w:val="20"/>
          <w:szCs w:val="20"/>
          <w:shd w:val="clear" w:color="auto" w:fill="FFFFFF"/>
          <w:lang w:val="nl-BE"/>
        </w:rPr>
        <w:t>.</w:t>
      </w:r>
    </w:p>
    <w:p w14:paraId="5EAF88A9" w14:textId="77777777" w:rsidR="00755D41" w:rsidRPr="00360A96" w:rsidRDefault="00755D41" w:rsidP="00755D41">
      <w:pPr>
        <w:pStyle w:val="NormalWeb"/>
        <w:ind w:left="1134" w:right="283" w:hanging="567"/>
        <w:jc w:val="both"/>
        <w:rPr>
          <w:rFonts w:ascii="Arial" w:hAnsi="Arial" w:cs="Arial"/>
          <w:sz w:val="20"/>
          <w:szCs w:val="20"/>
        </w:rPr>
      </w:pPr>
      <w:r w:rsidRPr="001E79AD">
        <w:rPr>
          <w:rFonts w:ascii="Arial" w:hAnsi="Arial" w:cs="Arial"/>
          <w:sz w:val="20"/>
          <w:szCs w:val="20"/>
          <w:lang w:val="nl-BE"/>
        </w:rPr>
        <w:t xml:space="preserve">Springfield C, Jager D, Büchler MW, Strobel O, Hackert T, Palmer DH, et al. </w:t>
      </w:r>
      <w:r w:rsidRPr="00360A96">
        <w:rPr>
          <w:rFonts w:ascii="Arial" w:hAnsi="Arial" w:cs="Arial"/>
          <w:sz w:val="20"/>
          <w:szCs w:val="20"/>
        </w:rPr>
        <w:t xml:space="preserve">(2019). Chemotherapy for pancreatic cancer. </w:t>
      </w:r>
      <w:r w:rsidRPr="00360A96">
        <w:rPr>
          <w:rFonts w:ascii="Arial" w:hAnsi="Arial" w:cs="Arial"/>
          <w:i/>
          <w:iCs/>
          <w:sz w:val="20"/>
          <w:szCs w:val="20"/>
        </w:rPr>
        <w:t>Presse Med.</w:t>
      </w:r>
      <w:r w:rsidRPr="00360A96">
        <w:rPr>
          <w:rFonts w:ascii="Arial" w:hAnsi="Arial" w:cs="Arial"/>
          <w:sz w:val="20"/>
          <w:szCs w:val="20"/>
        </w:rPr>
        <w:t xml:space="preserve"> 48:e159-e174. </w:t>
      </w:r>
      <w:r w:rsidRPr="00360A96">
        <w:rPr>
          <w:rFonts w:ascii="Arial" w:hAnsi="Arial" w:cs="Arial"/>
          <w:color w:val="006DBF"/>
          <w:sz w:val="20"/>
          <w:szCs w:val="20"/>
        </w:rPr>
        <w:t xml:space="preserve">Doi: 10.1016/j.lpm.2019.02.025 </w:t>
      </w:r>
    </w:p>
    <w:p w14:paraId="0F1A9670" w14:textId="77777777" w:rsidR="00755D41" w:rsidRPr="00360A96" w:rsidRDefault="00755D41" w:rsidP="00755D41">
      <w:pPr>
        <w:pStyle w:val="NormalWeb"/>
        <w:tabs>
          <w:tab w:val="left" w:pos="1134"/>
        </w:tabs>
        <w:ind w:left="1134" w:hanging="567"/>
        <w:jc w:val="both"/>
        <w:rPr>
          <w:rFonts w:ascii="Arial" w:hAnsi="Arial" w:cs="Arial"/>
          <w:sz w:val="20"/>
          <w:szCs w:val="20"/>
        </w:rPr>
      </w:pPr>
      <w:r w:rsidRPr="00360A96">
        <w:rPr>
          <w:rFonts w:ascii="Arial" w:hAnsi="Arial" w:cs="Arial"/>
          <w:color w:val="000000" w:themeColor="text1"/>
          <w:sz w:val="20"/>
          <w:szCs w:val="20"/>
        </w:rPr>
        <w:t xml:space="preserve">Subramanian SK, Brahmbhatt B, Bailey-Lundberg JM, Thosani NC, Mutha P (2024). Lifestyle medicine for the prevention and treatment of pancreatitis and pancreatic cancer. </w:t>
      </w:r>
      <w:r w:rsidRPr="00360A96">
        <w:rPr>
          <w:rFonts w:ascii="Arial" w:hAnsi="Arial" w:cs="Arial"/>
          <w:i/>
          <w:iCs/>
          <w:color w:val="000000" w:themeColor="text1"/>
          <w:sz w:val="20"/>
          <w:szCs w:val="20"/>
        </w:rPr>
        <w:t>Diagnostics.</w:t>
      </w:r>
      <w:r w:rsidRPr="00360A96">
        <w:rPr>
          <w:rFonts w:ascii="Arial" w:hAnsi="Arial" w:cs="Arial"/>
          <w:color w:val="000000" w:themeColor="text1"/>
          <w:sz w:val="20"/>
          <w:szCs w:val="20"/>
        </w:rPr>
        <w:t xml:space="preserve"> 14:614.</w:t>
      </w:r>
      <w:r w:rsidRPr="00360A96">
        <w:rPr>
          <w:rFonts w:ascii="Arial" w:hAnsi="Arial" w:cs="Arial"/>
          <w:color w:val="000000" w:themeColor="text1"/>
          <w:sz w:val="20"/>
          <w:szCs w:val="20"/>
        </w:rPr>
        <w:tab/>
        <w:t xml:space="preserve">  </w:t>
      </w:r>
      <w:r w:rsidRPr="00360A96">
        <w:rPr>
          <w:rFonts w:ascii="Arial" w:hAnsi="Arial" w:cs="Arial"/>
          <w:color w:val="0070C0"/>
          <w:sz w:val="20"/>
          <w:szCs w:val="20"/>
        </w:rPr>
        <w:t xml:space="preserve">https://doi.org/10.3390/diagnostics14060614 </w:t>
      </w:r>
    </w:p>
    <w:p w14:paraId="0A09EE67"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r w:rsidRPr="00360A96">
        <w:rPr>
          <w:rFonts w:ascii="Arial" w:hAnsi="Arial" w:cs="Arial"/>
          <w:sz w:val="20"/>
          <w:szCs w:val="20"/>
        </w:rPr>
        <w:t xml:space="preserve">Tanoue T, Morita S, Plichta DR, Skelly AN, Suda W, Sugiura Y, et al. (2019). A defined commensal consortium elicits CD8 T cells and anti-cancer immunity. </w:t>
      </w:r>
      <w:r w:rsidRPr="00360A96">
        <w:rPr>
          <w:rFonts w:ascii="Arial" w:hAnsi="Arial" w:cs="Arial"/>
          <w:i/>
          <w:iCs/>
          <w:sz w:val="20"/>
          <w:szCs w:val="20"/>
        </w:rPr>
        <w:t>Nature.</w:t>
      </w:r>
      <w:r w:rsidRPr="00360A96">
        <w:rPr>
          <w:rFonts w:ascii="Arial" w:hAnsi="Arial" w:cs="Arial"/>
          <w:sz w:val="20"/>
          <w:szCs w:val="20"/>
        </w:rPr>
        <w:t xml:space="preserve"> 565:600-605.</w:t>
      </w:r>
      <w:r w:rsidRPr="00360A96">
        <w:rPr>
          <w:rFonts w:ascii="Arial" w:hAnsi="Arial" w:cs="Arial"/>
          <w:sz w:val="20"/>
          <w:szCs w:val="20"/>
        </w:rPr>
        <w:tab/>
        <w:t xml:space="preserve"> </w:t>
      </w:r>
      <w:r w:rsidRPr="00360A96">
        <w:rPr>
          <w:rFonts w:ascii="Arial" w:hAnsi="Arial" w:cs="Arial"/>
          <w:color w:val="0070C0"/>
          <w:sz w:val="20"/>
          <w:szCs w:val="20"/>
        </w:rPr>
        <w:t>https://10.1038/s41586-019-0878-z</w:t>
      </w:r>
      <w:r w:rsidRPr="00360A96">
        <w:rPr>
          <w:rFonts w:ascii="Arial" w:hAnsi="Arial" w:cs="Arial"/>
          <w:bCs/>
          <w:color w:val="0070C0"/>
          <w:sz w:val="20"/>
          <w:szCs w:val="20"/>
        </w:rPr>
        <w:t xml:space="preserve"> </w:t>
      </w:r>
    </w:p>
    <w:p w14:paraId="3A0BA33C" w14:textId="77777777" w:rsidR="00755D41" w:rsidRPr="00360A96" w:rsidRDefault="00755D41" w:rsidP="00755D41">
      <w:pPr>
        <w:pStyle w:val="NormalWeb"/>
        <w:spacing w:after="0"/>
        <w:ind w:left="1134" w:right="283" w:hanging="567"/>
        <w:jc w:val="both"/>
        <w:rPr>
          <w:rFonts w:ascii="Arial" w:hAnsi="Arial" w:cs="Arial"/>
          <w:color w:val="00B0F0"/>
          <w:sz w:val="20"/>
          <w:szCs w:val="20"/>
        </w:rPr>
      </w:pPr>
      <w:r w:rsidRPr="00360A96">
        <w:rPr>
          <w:rFonts w:ascii="Arial" w:hAnsi="Arial" w:cs="Arial"/>
          <w:color w:val="212121"/>
          <w:sz w:val="20"/>
          <w:szCs w:val="20"/>
          <w:shd w:val="clear" w:color="auto" w:fill="FFFFFF"/>
        </w:rPr>
        <w:t xml:space="preserve">Taskinen MR, Packard CJ, Borén J. (2019). Dietary Fructose and the Metabolic Syndrome. </w:t>
      </w:r>
      <w:r w:rsidRPr="00360A96">
        <w:rPr>
          <w:rFonts w:ascii="Arial" w:hAnsi="Arial" w:cs="Arial"/>
          <w:i/>
          <w:iCs/>
          <w:color w:val="212121"/>
          <w:sz w:val="20"/>
          <w:szCs w:val="20"/>
          <w:shd w:val="clear" w:color="auto" w:fill="FFFFFF"/>
        </w:rPr>
        <w:t>Nutrients.</w:t>
      </w:r>
      <w:r w:rsidRPr="00360A96">
        <w:rPr>
          <w:rFonts w:ascii="Arial" w:hAnsi="Arial" w:cs="Arial"/>
          <w:color w:val="212121"/>
          <w:sz w:val="20"/>
          <w:szCs w:val="20"/>
          <w:shd w:val="clear" w:color="auto" w:fill="FFFFFF"/>
        </w:rPr>
        <w:t xml:space="preserve"> 11(9):1987. </w:t>
      </w:r>
      <w:r w:rsidRPr="00360A96">
        <w:rPr>
          <w:rFonts w:ascii="Arial" w:hAnsi="Arial" w:cs="Arial"/>
          <w:color w:val="0070C0"/>
          <w:sz w:val="20"/>
          <w:szCs w:val="20"/>
          <w:shd w:val="clear" w:color="auto" w:fill="FFFFFF"/>
        </w:rPr>
        <w:t>Doi: 10.3390/nu11091987.</w:t>
      </w:r>
    </w:p>
    <w:p w14:paraId="6B820904"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color w:val="212121"/>
          <w:sz w:val="20"/>
          <w:szCs w:val="20"/>
          <w:shd w:val="clear" w:color="auto" w:fill="FFFFFF"/>
        </w:rPr>
        <w:t xml:space="preserve">Tesfaye AA, Azmi AS, Philip PA. (2019]. miRNA and Gene Expression in Pancreatic Ductal Adenocarcinoma. </w:t>
      </w:r>
      <w:r w:rsidRPr="00360A96">
        <w:rPr>
          <w:rFonts w:ascii="Arial" w:hAnsi="Arial" w:cs="Arial"/>
          <w:i/>
          <w:iCs/>
          <w:color w:val="212121"/>
          <w:sz w:val="20"/>
          <w:szCs w:val="20"/>
          <w:shd w:val="clear" w:color="auto" w:fill="FFFFFF"/>
        </w:rPr>
        <w:t>Am J Pathol.</w:t>
      </w:r>
      <w:r w:rsidRPr="00360A96">
        <w:rPr>
          <w:rFonts w:ascii="Arial" w:hAnsi="Arial" w:cs="Arial"/>
          <w:color w:val="212121"/>
          <w:sz w:val="20"/>
          <w:szCs w:val="20"/>
          <w:shd w:val="clear" w:color="auto" w:fill="FFFFFF"/>
        </w:rPr>
        <w:t xml:space="preserve"> 189(1):58-70.</w:t>
      </w:r>
      <w:r w:rsidRPr="00360A96">
        <w:rPr>
          <w:rFonts w:ascii="Arial" w:hAnsi="Arial" w:cs="Arial"/>
          <w:color w:val="212121"/>
          <w:sz w:val="20"/>
          <w:szCs w:val="20"/>
          <w:shd w:val="clear" w:color="auto" w:fill="FFFFFF"/>
          <w:lang w:val="tr-TR"/>
        </w:rPr>
        <w:t xml:space="preserve"> </w:t>
      </w:r>
      <w:r w:rsidRPr="00360A96">
        <w:rPr>
          <w:rFonts w:ascii="Arial" w:hAnsi="Arial" w:cs="Arial"/>
          <w:color w:val="0070C0"/>
          <w:sz w:val="20"/>
          <w:szCs w:val="20"/>
          <w:shd w:val="clear" w:color="auto" w:fill="FFFFFF"/>
        </w:rPr>
        <w:t>Doi: 10.1016/j.ajpath.2018.10.005.</w:t>
      </w:r>
    </w:p>
    <w:p w14:paraId="76A0BE95"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
    <w:p w14:paraId="0FBC5C22" w14:textId="77777777" w:rsidR="00755D41" w:rsidRPr="001E79AD" w:rsidRDefault="00755D41" w:rsidP="00755D41">
      <w:pPr>
        <w:pStyle w:val="ListParagraph"/>
        <w:ind w:left="1134" w:right="283" w:hanging="567"/>
        <w:jc w:val="both"/>
        <w:rPr>
          <w:rFonts w:ascii="Arial" w:hAnsi="Arial" w:cs="Arial"/>
          <w:bCs/>
          <w:color w:val="000000" w:themeColor="text1"/>
          <w:sz w:val="20"/>
          <w:szCs w:val="20"/>
          <w:lang w:val="nl-BE"/>
        </w:rPr>
      </w:pPr>
      <w:r w:rsidRPr="00360A96">
        <w:rPr>
          <w:rFonts w:ascii="Arial" w:hAnsi="Arial" w:cs="Arial"/>
          <w:bCs/>
          <w:color w:val="000000" w:themeColor="text1"/>
          <w:sz w:val="20"/>
          <w:szCs w:val="20"/>
        </w:rPr>
        <w:t xml:space="preserve">Thoidingjam S, Bhatnagar AR, Sriramulu S, Siddqui F, Nyati S (2024). Optimizing pancreatic cancer therapy: The promise of immune stimulatory oncolytic viruses. </w:t>
      </w:r>
      <w:r w:rsidRPr="001E79AD">
        <w:rPr>
          <w:rFonts w:ascii="Arial" w:hAnsi="Arial" w:cs="Arial"/>
          <w:bCs/>
          <w:i/>
          <w:iCs/>
          <w:color w:val="000000" w:themeColor="text1"/>
          <w:sz w:val="20"/>
          <w:szCs w:val="20"/>
          <w:lang w:val="nl-BE"/>
        </w:rPr>
        <w:t xml:space="preserve">Int J Mol Sci. </w:t>
      </w:r>
      <w:r w:rsidRPr="001E79AD">
        <w:rPr>
          <w:rFonts w:ascii="Arial" w:hAnsi="Arial" w:cs="Arial"/>
          <w:bCs/>
          <w:color w:val="000000" w:themeColor="text1"/>
          <w:sz w:val="20"/>
          <w:szCs w:val="20"/>
          <w:lang w:val="nl-BE"/>
        </w:rPr>
        <w:t xml:space="preserve">25:9912. </w:t>
      </w:r>
      <w:r w:rsidRPr="001E79AD">
        <w:rPr>
          <w:rFonts w:ascii="Arial" w:hAnsi="Arial" w:cs="Arial"/>
          <w:bCs/>
          <w:color w:val="0070C0"/>
          <w:sz w:val="20"/>
          <w:szCs w:val="20"/>
          <w:lang w:val="nl-BE"/>
        </w:rPr>
        <w:t>https://doi.org/10.3390/ijms25189912</w:t>
      </w:r>
    </w:p>
    <w:p w14:paraId="48273D86" w14:textId="77777777" w:rsidR="00755D41" w:rsidRPr="001E79AD" w:rsidRDefault="00755D41" w:rsidP="00755D41">
      <w:pPr>
        <w:pStyle w:val="ListParagraph"/>
        <w:shd w:val="clear" w:color="auto" w:fill="FFFFFF"/>
        <w:spacing w:before="100" w:beforeAutospacing="1" w:after="100" w:afterAutospacing="1"/>
        <w:ind w:left="1134" w:right="283" w:hanging="567"/>
        <w:jc w:val="both"/>
        <w:rPr>
          <w:rFonts w:ascii="Arial" w:hAnsi="Arial" w:cs="Arial"/>
          <w:sz w:val="20"/>
          <w:szCs w:val="20"/>
          <w:lang w:val="nl-BE"/>
        </w:rPr>
      </w:pPr>
    </w:p>
    <w:p w14:paraId="247007DC" w14:textId="77777777" w:rsidR="00755D41" w:rsidRPr="00360A96" w:rsidRDefault="00755D41" w:rsidP="00755D41">
      <w:pPr>
        <w:pStyle w:val="ListParagraph"/>
        <w:shd w:val="clear" w:color="auto" w:fill="FFFFFF"/>
        <w:spacing w:before="100" w:beforeAutospacing="1" w:after="100" w:afterAutospacing="1"/>
        <w:ind w:left="1134" w:right="283" w:hanging="567"/>
        <w:jc w:val="both"/>
        <w:rPr>
          <w:rFonts w:ascii="Arial" w:hAnsi="Arial" w:cs="Arial"/>
          <w:color w:val="212121"/>
          <w:sz w:val="20"/>
          <w:szCs w:val="20"/>
        </w:rPr>
      </w:pPr>
      <w:r w:rsidRPr="001E79AD">
        <w:rPr>
          <w:rFonts w:ascii="Arial" w:hAnsi="Arial" w:cs="Arial"/>
          <w:sz w:val="20"/>
          <w:szCs w:val="20"/>
          <w:lang w:val="nl-BE"/>
        </w:rPr>
        <w:t xml:space="preserve">Thomas H. (2017). </w:t>
      </w:r>
      <w:r w:rsidRPr="00360A96">
        <w:rPr>
          <w:rFonts w:ascii="Arial" w:hAnsi="Arial" w:cs="Arial"/>
          <w:sz w:val="20"/>
          <w:szCs w:val="20"/>
        </w:rPr>
        <w:t xml:space="preserve">Pancreatic cancer: Intra-tumour bacteria promote gemcitabine resistance in pancreatic adenocarcinoma. </w:t>
      </w:r>
      <w:r w:rsidRPr="00360A96">
        <w:rPr>
          <w:rFonts w:ascii="Arial" w:hAnsi="Arial" w:cs="Arial"/>
          <w:i/>
          <w:iCs/>
          <w:sz w:val="20"/>
          <w:szCs w:val="20"/>
        </w:rPr>
        <w:t>Nat Rev Gastroenterol Hepatol.</w:t>
      </w:r>
      <w:r w:rsidRPr="00360A96">
        <w:rPr>
          <w:rFonts w:ascii="Arial" w:hAnsi="Arial" w:cs="Arial"/>
          <w:sz w:val="20"/>
          <w:szCs w:val="20"/>
        </w:rPr>
        <w:t xml:space="preserve"> 14: 632.</w:t>
      </w:r>
      <w:r w:rsidRPr="00360A96">
        <w:rPr>
          <w:rFonts w:ascii="Arial" w:hAnsi="Arial" w:cs="Arial"/>
          <w:sz w:val="20"/>
          <w:szCs w:val="20"/>
        </w:rPr>
        <w:tab/>
        <w:t xml:space="preserve"> </w:t>
      </w:r>
      <w:r w:rsidRPr="00360A96">
        <w:rPr>
          <w:rStyle w:val="id-label"/>
          <w:rFonts w:ascii="Arial" w:hAnsi="Arial" w:cs="Arial"/>
          <w:color w:val="0070C0"/>
          <w:sz w:val="20"/>
          <w:szCs w:val="20"/>
        </w:rPr>
        <w:t>Doi: </w:t>
      </w:r>
      <w:hyperlink r:id="rId24" w:tgtFrame="_blank" w:history="1">
        <w:r w:rsidRPr="00360A96">
          <w:rPr>
            <w:rStyle w:val="Hyperlink"/>
            <w:rFonts w:ascii="Arial" w:hAnsi="Arial" w:cs="Arial"/>
            <w:color w:val="0071BC"/>
            <w:sz w:val="20"/>
            <w:szCs w:val="20"/>
          </w:rPr>
          <w:t>10.1038/nrgastro.2017.142</w:t>
        </w:r>
      </w:hyperlink>
    </w:p>
    <w:p w14:paraId="78EA5604" w14:textId="77777777" w:rsidR="00755D41" w:rsidRPr="001E79AD" w:rsidRDefault="00755D41" w:rsidP="00755D41">
      <w:pPr>
        <w:pStyle w:val="NormalWeb"/>
        <w:ind w:left="1134" w:right="283" w:hanging="567"/>
        <w:jc w:val="both"/>
        <w:rPr>
          <w:rFonts w:ascii="Arial" w:hAnsi="Arial" w:cs="Arial"/>
          <w:color w:val="111111"/>
          <w:sz w:val="20"/>
          <w:szCs w:val="20"/>
          <w:lang w:val="fr-FR"/>
        </w:rPr>
      </w:pPr>
      <w:r w:rsidRPr="00360A96">
        <w:rPr>
          <w:rFonts w:ascii="Arial" w:hAnsi="Arial" w:cs="Arial"/>
          <w:color w:val="111111"/>
          <w:sz w:val="20"/>
          <w:szCs w:val="20"/>
        </w:rPr>
        <w:lastRenderedPageBreak/>
        <w:t xml:space="preserve">Ting KKY (2024). Fructose-induced metabolic reprogramming of cancer cells. </w:t>
      </w:r>
      <w:r w:rsidRPr="001E79AD">
        <w:rPr>
          <w:rFonts w:ascii="Arial" w:hAnsi="Arial" w:cs="Arial"/>
          <w:i/>
          <w:color w:val="111111"/>
          <w:sz w:val="20"/>
          <w:szCs w:val="20"/>
          <w:lang w:val="fr-FR"/>
        </w:rPr>
        <w:t xml:space="preserve">Front </w:t>
      </w:r>
      <w:proofErr w:type="spellStart"/>
      <w:r w:rsidRPr="001E79AD">
        <w:rPr>
          <w:rFonts w:ascii="Arial" w:hAnsi="Arial" w:cs="Arial"/>
          <w:i/>
          <w:color w:val="111111"/>
          <w:sz w:val="20"/>
          <w:szCs w:val="20"/>
          <w:lang w:val="fr-FR"/>
        </w:rPr>
        <w:t>Immunol</w:t>
      </w:r>
      <w:proofErr w:type="spellEnd"/>
      <w:r w:rsidRPr="001E79AD">
        <w:rPr>
          <w:rFonts w:ascii="Arial" w:hAnsi="Arial" w:cs="Arial"/>
          <w:color w:val="111111"/>
          <w:sz w:val="20"/>
          <w:szCs w:val="20"/>
          <w:lang w:val="fr-FR"/>
        </w:rPr>
        <w:t xml:space="preserve">. </w:t>
      </w:r>
      <w:proofErr w:type="gramStart"/>
      <w:r w:rsidRPr="001E79AD">
        <w:rPr>
          <w:rFonts w:ascii="Arial" w:hAnsi="Arial" w:cs="Arial"/>
          <w:color w:val="111111"/>
          <w:sz w:val="20"/>
          <w:szCs w:val="20"/>
          <w:lang w:val="fr-FR"/>
        </w:rPr>
        <w:t>15:</w:t>
      </w:r>
      <w:proofErr w:type="gramEnd"/>
      <w:r w:rsidRPr="001E79AD">
        <w:rPr>
          <w:rFonts w:ascii="Arial" w:hAnsi="Arial" w:cs="Arial"/>
          <w:color w:val="111111"/>
          <w:sz w:val="20"/>
          <w:szCs w:val="20"/>
          <w:lang w:val="fr-FR"/>
        </w:rPr>
        <w:t xml:space="preserve">1375461. </w:t>
      </w:r>
      <w:proofErr w:type="spellStart"/>
      <w:proofErr w:type="gramStart"/>
      <w:r w:rsidRPr="001E79AD">
        <w:rPr>
          <w:rFonts w:ascii="Arial" w:hAnsi="Arial" w:cs="Arial"/>
          <w:color w:val="0070C0"/>
          <w:sz w:val="20"/>
          <w:szCs w:val="20"/>
          <w:lang w:val="fr-FR"/>
        </w:rPr>
        <w:t>Doi</w:t>
      </w:r>
      <w:proofErr w:type="spellEnd"/>
      <w:r w:rsidRPr="001E79AD">
        <w:rPr>
          <w:rFonts w:ascii="Arial" w:hAnsi="Arial" w:cs="Arial"/>
          <w:color w:val="0070C0"/>
          <w:sz w:val="20"/>
          <w:szCs w:val="20"/>
          <w:lang w:val="fr-FR"/>
        </w:rPr>
        <w:t>:</w:t>
      </w:r>
      <w:proofErr w:type="gramEnd"/>
      <w:r w:rsidRPr="001E79AD">
        <w:rPr>
          <w:rFonts w:ascii="Arial" w:hAnsi="Arial" w:cs="Arial"/>
          <w:color w:val="0070C0"/>
          <w:sz w:val="20"/>
          <w:szCs w:val="20"/>
          <w:lang w:val="fr-FR"/>
        </w:rPr>
        <w:t xml:space="preserve"> 10.3389/fimmu.2024.1375461</w:t>
      </w:r>
    </w:p>
    <w:p w14:paraId="50F2C226" w14:textId="77777777" w:rsidR="00755D41" w:rsidRPr="00360A96" w:rsidRDefault="00755D41" w:rsidP="00755D41">
      <w:pPr>
        <w:pStyle w:val="ListParagraph"/>
        <w:ind w:left="1134" w:right="283" w:hanging="567"/>
        <w:jc w:val="both"/>
        <w:rPr>
          <w:rFonts w:ascii="Arial" w:hAnsi="Arial" w:cs="Arial"/>
          <w:bCs/>
          <w:color w:val="0070C0"/>
          <w:sz w:val="20"/>
          <w:szCs w:val="20"/>
        </w:rPr>
      </w:pPr>
      <w:proofErr w:type="spellStart"/>
      <w:r w:rsidRPr="001E79AD">
        <w:rPr>
          <w:rFonts w:ascii="Arial" w:hAnsi="Arial" w:cs="Arial"/>
          <w:bCs/>
          <w:color w:val="000000" w:themeColor="text1"/>
          <w:sz w:val="20"/>
          <w:szCs w:val="20"/>
          <w:lang w:val="fr-FR"/>
        </w:rPr>
        <w:t>Tran</w:t>
      </w:r>
      <w:proofErr w:type="spellEnd"/>
      <w:r w:rsidRPr="001E79AD">
        <w:rPr>
          <w:rFonts w:ascii="Arial" w:hAnsi="Arial" w:cs="Arial"/>
          <w:bCs/>
          <w:color w:val="000000" w:themeColor="text1"/>
          <w:sz w:val="20"/>
          <w:szCs w:val="20"/>
          <w:lang w:val="fr-FR"/>
        </w:rPr>
        <w:t xml:space="preserve"> LC, </w:t>
      </w:r>
      <w:proofErr w:type="spellStart"/>
      <w:r w:rsidRPr="001E79AD">
        <w:rPr>
          <w:rFonts w:ascii="Arial" w:hAnsi="Arial" w:cs="Arial"/>
          <w:bCs/>
          <w:color w:val="000000" w:themeColor="text1"/>
          <w:sz w:val="20"/>
          <w:szCs w:val="20"/>
          <w:lang w:val="fr-FR"/>
        </w:rPr>
        <w:t>Özdemir</w:t>
      </w:r>
      <w:proofErr w:type="spellEnd"/>
      <w:r w:rsidRPr="001E79AD">
        <w:rPr>
          <w:rFonts w:ascii="Arial" w:hAnsi="Arial" w:cs="Arial"/>
          <w:bCs/>
          <w:color w:val="000000" w:themeColor="text1"/>
          <w:sz w:val="20"/>
          <w:szCs w:val="20"/>
          <w:lang w:val="fr-FR"/>
        </w:rPr>
        <w:t xml:space="preserve"> BC, Berger MD (2023). </w:t>
      </w:r>
      <w:r w:rsidRPr="00360A96">
        <w:rPr>
          <w:rFonts w:ascii="Arial" w:hAnsi="Arial" w:cs="Arial"/>
          <w:bCs/>
          <w:color w:val="000000" w:themeColor="text1"/>
          <w:sz w:val="20"/>
          <w:szCs w:val="20"/>
        </w:rPr>
        <w:t xml:space="preserve">The role of immune checkpoint inhibitors in metastatic pancreatic cancer: Current state and outlook. </w:t>
      </w:r>
      <w:r w:rsidRPr="00360A96">
        <w:rPr>
          <w:rFonts w:ascii="Arial" w:hAnsi="Arial" w:cs="Arial"/>
          <w:bCs/>
          <w:i/>
          <w:iCs/>
          <w:color w:val="000000" w:themeColor="text1"/>
          <w:sz w:val="20"/>
          <w:szCs w:val="20"/>
        </w:rPr>
        <w:t>Pharmaceuticals</w:t>
      </w:r>
      <w:r w:rsidRPr="00360A96">
        <w:rPr>
          <w:rFonts w:ascii="Arial" w:hAnsi="Arial" w:cs="Arial"/>
          <w:bCs/>
          <w:color w:val="000000" w:themeColor="text1"/>
          <w:sz w:val="20"/>
          <w:szCs w:val="20"/>
        </w:rPr>
        <w:t xml:space="preserve">. 16:1411. </w:t>
      </w:r>
      <w:r w:rsidRPr="00360A96">
        <w:rPr>
          <w:rFonts w:ascii="Arial" w:hAnsi="Arial" w:cs="Arial"/>
          <w:bCs/>
          <w:color w:val="0070C0"/>
          <w:sz w:val="20"/>
          <w:szCs w:val="20"/>
        </w:rPr>
        <w:t>https://doi.org/10.3390/ph16101411.</w:t>
      </w:r>
    </w:p>
    <w:p w14:paraId="0C0F1ED3"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p>
    <w:p w14:paraId="3B1E3129"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Vahabi M, Dehni B, Antomas I, Giovannetti E, Peters G (2023). Targeting miRNA and using miRNA as potential therapeutic options to bypass resistance in pancreatic ductal adenocarcinoma. </w:t>
      </w:r>
      <w:r w:rsidRPr="00360A96">
        <w:rPr>
          <w:rFonts w:ascii="Arial" w:hAnsi="Arial" w:cs="Arial"/>
          <w:i/>
          <w:iCs/>
          <w:sz w:val="20"/>
          <w:szCs w:val="20"/>
        </w:rPr>
        <w:t>Cancer Metastasis Rev.</w:t>
      </w:r>
      <w:r w:rsidRPr="00360A96">
        <w:rPr>
          <w:rFonts w:ascii="Arial" w:hAnsi="Arial" w:cs="Arial"/>
          <w:sz w:val="20"/>
          <w:szCs w:val="20"/>
        </w:rPr>
        <w:t xml:space="preserve"> 42:725-740. </w:t>
      </w:r>
      <w:hyperlink r:id="rId25" w:history="1">
        <w:r w:rsidRPr="00360A96">
          <w:rPr>
            <w:rStyle w:val="Hyperlink"/>
            <w:rFonts w:ascii="Arial" w:eastAsiaTheme="majorEastAsia" w:hAnsi="Arial" w:cs="Arial"/>
            <w:color w:val="0070C0"/>
            <w:sz w:val="20"/>
            <w:szCs w:val="20"/>
          </w:rPr>
          <w:t>https://doi.org/10.1007/s10555-023-10127-w</w:t>
        </w:r>
      </w:hyperlink>
    </w:p>
    <w:p w14:paraId="1050C7B1" w14:textId="77777777" w:rsidR="00755D41" w:rsidRPr="00360A96" w:rsidRDefault="00755D41" w:rsidP="00755D41">
      <w:pPr>
        <w:pStyle w:val="ListParagraph"/>
        <w:ind w:left="1134" w:right="283" w:hanging="567"/>
        <w:jc w:val="both"/>
        <w:rPr>
          <w:rFonts w:ascii="Arial" w:hAnsi="Arial" w:cs="Arial"/>
          <w:sz w:val="20"/>
          <w:szCs w:val="20"/>
        </w:rPr>
      </w:pPr>
    </w:p>
    <w:p w14:paraId="060983F5"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r w:rsidRPr="00360A96">
        <w:rPr>
          <w:rFonts w:ascii="Arial" w:hAnsi="Arial" w:cs="Arial"/>
          <w:sz w:val="20"/>
          <w:szCs w:val="20"/>
        </w:rPr>
        <w:t xml:space="preserve">Vrieze A, Van Nood E, Holleman F, Salojarvi J, Kootte RS, Bartelsman JFWM, et al. (2012). Transfer of intestinal microbiota from lean donors increases insulin sensitivity in individuals with metabolic syndrome. </w:t>
      </w:r>
      <w:r w:rsidRPr="00360A96">
        <w:rPr>
          <w:rFonts w:ascii="Arial" w:hAnsi="Arial" w:cs="Arial"/>
          <w:i/>
          <w:iCs/>
          <w:sz w:val="20"/>
          <w:szCs w:val="20"/>
        </w:rPr>
        <w:t>Gastroenterology.</w:t>
      </w:r>
      <w:r w:rsidRPr="00360A96">
        <w:rPr>
          <w:rFonts w:ascii="Arial" w:hAnsi="Arial" w:cs="Arial"/>
          <w:sz w:val="20"/>
          <w:szCs w:val="20"/>
        </w:rPr>
        <w:t xml:space="preserve"> 2143: 913-916.e7. </w:t>
      </w:r>
      <w:r w:rsidRPr="00360A96">
        <w:rPr>
          <w:rFonts w:ascii="Arial" w:hAnsi="Arial" w:cs="Arial"/>
          <w:color w:val="0070C0"/>
          <w:sz w:val="20"/>
          <w:szCs w:val="20"/>
        </w:rPr>
        <w:t>Doi: 10.1053/j.gastro.2012.06.031</w:t>
      </w:r>
    </w:p>
    <w:p w14:paraId="3617F963" w14:textId="77777777" w:rsidR="00755D41" w:rsidRPr="001E79AD" w:rsidRDefault="00755D41" w:rsidP="00755D41">
      <w:pPr>
        <w:pStyle w:val="NormalWeb"/>
        <w:ind w:left="1134" w:right="283" w:hanging="567"/>
        <w:jc w:val="both"/>
        <w:rPr>
          <w:rStyle w:val="Hyperlink"/>
          <w:rFonts w:ascii="Arial" w:hAnsi="Arial" w:cs="Arial"/>
          <w:sz w:val="20"/>
          <w:szCs w:val="20"/>
          <w:lang w:val="nl-BE"/>
        </w:rPr>
      </w:pPr>
      <w:r w:rsidRPr="00360A96">
        <w:rPr>
          <w:rFonts w:ascii="Arial" w:hAnsi="Arial" w:cs="Arial"/>
          <w:color w:val="000000" w:themeColor="text1"/>
          <w:sz w:val="20"/>
          <w:szCs w:val="20"/>
        </w:rPr>
        <w:t xml:space="preserve">Wang j, Yang J, Narang A, He J, Wolfgang C, Li K, et al. (2024). Consensus, debate, and perspective on pancreatic cancer treatments. </w:t>
      </w:r>
      <w:r w:rsidRPr="001E79AD">
        <w:rPr>
          <w:rFonts w:ascii="Arial" w:hAnsi="Arial" w:cs="Arial"/>
          <w:i/>
          <w:iCs/>
          <w:color w:val="000000" w:themeColor="text1"/>
          <w:sz w:val="20"/>
          <w:szCs w:val="20"/>
          <w:lang w:val="nl-BE"/>
        </w:rPr>
        <w:t>J Hematol Oncol.</w:t>
      </w:r>
      <w:r w:rsidRPr="001E79AD">
        <w:rPr>
          <w:rFonts w:ascii="Arial" w:hAnsi="Arial" w:cs="Arial"/>
          <w:color w:val="000000" w:themeColor="text1"/>
          <w:sz w:val="20"/>
          <w:szCs w:val="20"/>
          <w:lang w:val="nl-BE"/>
        </w:rPr>
        <w:t xml:space="preserve"> 17:92. </w:t>
      </w:r>
      <w:hyperlink r:id="rId26" w:history="1">
        <w:r w:rsidRPr="001E79AD">
          <w:rPr>
            <w:rStyle w:val="Hyperlink"/>
            <w:rFonts w:ascii="Arial" w:hAnsi="Arial" w:cs="Arial"/>
            <w:color w:val="0070C0"/>
            <w:sz w:val="20"/>
            <w:szCs w:val="20"/>
            <w:lang w:val="nl-BE"/>
          </w:rPr>
          <w:t>https://doi.org/10.1186/s13045-024-01613-x</w:t>
        </w:r>
      </w:hyperlink>
    </w:p>
    <w:p w14:paraId="50C72B52" w14:textId="77777777" w:rsidR="00755D41" w:rsidRPr="00360A96" w:rsidRDefault="00755D41" w:rsidP="00755D41">
      <w:pPr>
        <w:pStyle w:val="NormalWeb"/>
        <w:spacing w:before="0" w:beforeAutospacing="0" w:after="0" w:afterAutospacing="0"/>
        <w:ind w:left="1134" w:right="283" w:hanging="567"/>
        <w:jc w:val="both"/>
        <w:rPr>
          <w:rStyle w:val="Hyperlink"/>
          <w:rFonts w:ascii="Arial" w:eastAsiaTheme="majorEastAsia" w:hAnsi="Arial" w:cs="Arial"/>
          <w:sz w:val="20"/>
          <w:szCs w:val="20"/>
        </w:rPr>
      </w:pPr>
      <w:r w:rsidRPr="001E79AD">
        <w:rPr>
          <w:rFonts w:ascii="Arial" w:hAnsi="Arial" w:cs="Arial"/>
          <w:sz w:val="20"/>
          <w:szCs w:val="20"/>
          <w:lang w:val="nl-BE"/>
        </w:rPr>
        <w:t xml:space="preserve">Wang P, Zhang L, Chen Z, Meng Z (2013). </w:t>
      </w:r>
      <w:r w:rsidRPr="00360A96">
        <w:rPr>
          <w:rFonts w:ascii="Arial" w:hAnsi="Arial" w:cs="Arial"/>
          <w:sz w:val="20"/>
          <w:szCs w:val="20"/>
        </w:rPr>
        <w:t xml:space="preserve">MicroRNA targets autophagy in pancreatic cancer cells during cancer therapy. </w:t>
      </w:r>
      <w:r w:rsidRPr="00360A96">
        <w:rPr>
          <w:rFonts w:ascii="Arial" w:hAnsi="Arial" w:cs="Arial"/>
          <w:i/>
          <w:iCs/>
          <w:sz w:val="20"/>
          <w:szCs w:val="20"/>
        </w:rPr>
        <w:t>Authophagy.</w:t>
      </w:r>
      <w:r w:rsidRPr="00360A96">
        <w:rPr>
          <w:rFonts w:ascii="Arial" w:hAnsi="Arial" w:cs="Arial"/>
          <w:sz w:val="20"/>
          <w:szCs w:val="20"/>
        </w:rPr>
        <w:t xml:space="preserve"> 9(12):2171-2172.</w:t>
      </w:r>
      <w:r w:rsidRPr="00360A96">
        <w:rPr>
          <w:rFonts w:ascii="Arial" w:hAnsi="Arial" w:cs="Arial"/>
          <w:sz w:val="20"/>
          <w:szCs w:val="20"/>
        </w:rPr>
        <w:tab/>
        <w:t xml:space="preserve"> </w:t>
      </w:r>
      <w:hyperlink r:id="rId27" w:history="1">
        <w:r w:rsidRPr="00360A96">
          <w:rPr>
            <w:rStyle w:val="Hyperlink"/>
            <w:rFonts w:ascii="Arial" w:eastAsiaTheme="majorEastAsia" w:hAnsi="Arial" w:cs="Arial"/>
            <w:color w:val="0070C0"/>
            <w:sz w:val="20"/>
            <w:szCs w:val="20"/>
          </w:rPr>
          <w:t>https://doi.org/10.4161/auto.26463</w:t>
        </w:r>
      </w:hyperlink>
    </w:p>
    <w:p w14:paraId="03D5D943" w14:textId="77777777" w:rsidR="00755D41" w:rsidRPr="00360A96" w:rsidRDefault="00755D41" w:rsidP="00755D41">
      <w:pPr>
        <w:pStyle w:val="NormalWeb"/>
        <w:ind w:left="1134" w:right="283" w:hanging="567"/>
        <w:jc w:val="both"/>
        <w:rPr>
          <w:rFonts w:ascii="Arial" w:hAnsi="Arial" w:cs="Arial"/>
          <w:sz w:val="20"/>
          <w:szCs w:val="20"/>
        </w:rPr>
      </w:pPr>
      <w:r w:rsidRPr="00360A96">
        <w:rPr>
          <w:rFonts w:ascii="Arial" w:hAnsi="Arial" w:cs="Arial"/>
          <w:color w:val="212121"/>
          <w:sz w:val="20"/>
          <w:szCs w:val="20"/>
          <w:shd w:val="clear" w:color="auto" w:fill="FFFFFF"/>
        </w:rPr>
        <w:t xml:space="preserve">Wei K, Hackert T. (2021). Surgical Treatment of Pancreatic Ductal Adenocarcinoma. </w:t>
      </w:r>
      <w:r w:rsidRPr="00360A96">
        <w:rPr>
          <w:rFonts w:ascii="Arial" w:hAnsi="Arial" w:cs="Arial"/>
          <w:i/>
          <w:iCs/>
          <w:color w:val="212121"/>
          <w:sz w:val="20"/>
          <w:szCs w:val="20"/>
          <w:shd w:val="clear" w:color="auto" w:fill="FFFFFF"/>
        </w:rPr>
        <w:t>Cancers</w:t>
      </w:r>
      <w:r w:rsidRPr="00360A96">
        <w:rPr>
          <w:rFonts w:ascii="Arial" w:hAnsi="Arial" w:cs="Arial"/>
          <w:color w:val="212121"/>
          <w:sz w:val="20"/>
          <w:szCs w:val="20"/>
          <w:shd w:val="clear" w:color="auto" w:fill="FFFFFF"/>
        </w:rPr>
        <w:t xml:space="preserve"> </w:t>
      </w:r>
      <w:r w:rsidRPr="00360A96">
        <w:rPr>
          <w:rFonts w:ascii="Arial" w:hAnsi="Arial" w:cs="Arial"/>
          <w:i/>
          <w:iCs/>
          <w:color w:val="212121"/>
          <w:sz w:val="20"/>
          <w:szCs w:val="20"/>
          <w:shd w:val="clear" w:color="auto" w:fill="FFFFFF"/>
        </w:rPr>
        <w:t>(Basel)</w:t>
      </w:r>
      <w:r w:rsidRPr="00360A96">
        <w:rPr>
          <w:rFonts w:ascii="Arial" w:hAnsi="Arial" w:cs="Arial"/>
          <w:color w:val="212121"/>
          <w:sz w:val="20"/>
          <w:szCs w:val="20"/>
          <w:shd w:val="clear" w:color="auto" w:fill="FFFFFF"/>
        </w:rPr>
        <w:t xml:space="preserve">. 13(8):1971. </w:t>
      </w:r>
      <w:r w:rsidRPr="00360A96">
        <w:rPr>
          <w:rFonts w:ascii="Arial" w:hAnsi="Arial" w:cs="Arial"/>
          <w:color w:val="0070C0"/>
          <w:sz w:val="20"/>
          <w:szCs w:val="20"/>
          <w:shd w:val="clear" w:color="auto" w:fill="FFFFFF"/>
        </w:rPr>
        <w:t>Doi: 10.3390/cancers13081971.</w:t>
      </w:r>
    </w:p>
    <w:p w14:paraId="3DFC851B" w14:textId="77777777" w:rsidR="00755D41" w:rsidRPr="00360A96" w:rsidRDefault="00755D41" w:rsidP="00755D41">
      <w:pPr>
        <w:pStyle w:val="ListParagraph"/>
        <w:ind w:left="1134" w:right="283" w:hanging="567"/>
        <w:jc w:val="both"/>
        <w:rPr>
          <w:rFonts w:ascii="Arial" w:hAnsi="Arial" w:cs="Arial"/>
          <w:bCs/>
          <w:color w:val="0070C0"/>
          <w:sz w:val="20"/>
          <w:szCs w:val="20"/>
        </w:rPr>
      </w:pPr>
      <w:r w:rsidRPr="00360A96">
        <w:rPr>
          <w:rFonts w:ascii="Arial" w:hAnsi="Arial" w:cs="Arial"/>
          <w:bCs/>
          <w:color w:val="000000" w:themeColor="text1"/>
          <w:sz w:val="20"/>
          <w:szCs w:val="20"/>
        </w:rPr>
        <w:t xml:space="preserve">Wojtukieicz MZ, Rek MM, Karpowicz, Gorska M, Politynska B, Wojtukiewicz AM, et al. (2021). Inhibitors of immuncheckpoints-PD-1, PD-L1, CTLA-4-new opportunities for cancer patients and a new challenge for internits and general practitioners. </w:t>
      </w:r>
      <w:r w:rsidRPr="00360A96">
        <w:rPr>
          <w:rFonts w:ascii="Arial" w:hAnsi="Arial" w:cs="Arial"/>
          <w:bCs/>
          <w:i/>
          <w:iCs/>
          <w:color w:val="000000" w:themeColor="text1"/>
          <w:sz w:val="20"/>
          <w:szCs w:val="20"/>
        </w:rPr>
        <w:t>Cancer Metastasis Rev.</w:t>
      </w:r>
      <w:r w:rsidRPr="00360A96">
        <w:rPr>
          <w:rFonts w:ascii="Arial" w:hAnsi="Arial" w:cs="Arial"/>
          <w:bCs/>
          <w:color w:val="000000" w:themeColor="text1"/>
          <w:sz w:val="20"/>
          <w:szCs w:val="20"/>
        </w:rPr>
        <w:t xml:space="preserve"> 40:949-982. </w:t>
      </w:r>
      <w:r w:rsidRPr="00360A96">
        <w:rPr>
          <w:rFonts w:ascii="Arial" w:hAnsi="Arial" w:cs="Arial"/>
          <w:bCs/>
          <w:color w:val="0070C0"/>
          <w:sz w:val="20"/>
          <w:szCs w:val="20"/>
        </w:rPr>
        <w:t xml:space="preserve">https://doi.org/10.1007/s10555-021-09976-0 </w:t>
      </w:r>
    </w:p>
    <w:p w14:paraId="1B8B2544" w14:textId="77777777" w:rsidR="00755D41" w:rsidRPr="00360A96" w:rsidRDefault="00755D41" w:rsidP="00755D41">
      <w:pPr>
        <w:pStyle w:val="NormalWeb"/>
        <w:spacing w:after="0"/>
        <w:ind w:left="1134" w:right="283" w:hanging="567"/>
        <w:jc w:val="both"/>
        <w:rPr>
          <w:rFonts w:ascii="Arial" w:hAnsi="Arial" w:cs="Arial"/>
          <w:color w:val="00B0F0"/>
          <w:sz w:val="20"/>
          <w:szCs w:val="20"/>
        </w:rPr>
      </w:pPr>
      <w:r w:rsidRPr="00360A96">
        <w:rPr>
          <w:rFonts w:ascii="Arial" w:hAnsi="Arial" w:cs="Arial"/>
          <w:color w:val="1C1D1E"/>
          <w:sz w:val="20"/>
          <w:szCs w:val="20"/>
          <w:shd w:val="clear" w:color="auto" w:fill="FFFFFF"/>
        </w:rPr>
        <w:t xml:space="preserve">Wu P, Chen K, He J. </w:t>
      </w:r>
      <w:r w:rsidRPr="00360A96">
        <w:rPr>
          <w:rFonts w:ascii="Arial" w:hAnsi="Arial" w:cs="Arial"/>
          <w:color w:val="1C1D1E"/>
          <w:sz w:val="20"/>
          <w:szCs w:val="20"/>
          <w:shd w:val="clear" w:color="auto" w:fill="FFFFFF"/>
          <w:lang w:val="tr-TR"/>
        </w:rPr>
        <w:t xml:space="preserve">(2025). </w:t>
      </w:r>
      <w:r w:rsidRPr="00360A96">
        <w:rPr>
          <w:rFonts w:ascii="Arial" w:hAnsi="Arial" w:cs="Arial"/>
          <w:color w:val="1C1D1E"/>
          <w:sz w:val="20"/>
          <w:szCs w:val="20"/>
          <w:shd w:val="clear" w:color="auto" w:fill="FFFFFF"/>
        </w:rPr>
        <w:t xml:space="preserve">Palliative management for malignant biliary obstruction and gastric outlet obstruction from pancreatic cancer. </w:t>
      </w:r>
      <w:r w:rsidRPr="00360A96">
        <w:rPr>
          <w:rFonts w:ascii="Arial" w:hAnsi="Arial" w:cs="Arial"/>
          <w:i/>
          <w:iCs/>
          <w:color w:val="1C1D1E"/>
          <w:sz w:val="20"/>
          <w:szCs w:val="20"/>
          <w:shd w:val="clear" w:color="auto" w:fill="FFFFFF"/>
        </w:rPr>
        <w:t>Ann Gastroenterol Surg.</w:t>
      </w:r>
      <w:r w:rsidRPr="00360A96">
        <w:rPr>
          <w:rFonts w:ascii="Arial" w:hAnsi="Arial" w:cs="Arial"/>
          <w:color w:val="1C1D1E"/>
          <w:sz w:val="20"/>
          <w:szCs w:val="20"/>
          <w:shd w:val="clear" w:color="auto" w:fill="FFFFFF"/>
        </w:rPr>
        <w:t xml:space="preserve"> 9:218–225. </w:t>
      </w:r>
      <w:hyperlink r:id="rId28" w:history="1">
        <w:r w:rsidRPr="00360A96">
          <w:rPr>
            <w:rStyle w:val="Hyperlink"/>
            <w:rFonts w:ascii="Arial" w:hAnsi="Arial" w:cs="Arial"/>
            <w:color w:val="0070C0"/>
            <w:sz w:val="20"/>
            <w:szCs w:val="20"/>
            <w:shd w:val="clear" w:color="auto" w:fill="FFFFFF"/>
          </w:rPr>
          <w:t>https://doi.org/10.1002/ags3.12902</w:t>
        </w:r>
      </w:hyperlink>
    </w:p>
    <w:p w14:paraId="44216DFB" w14:textId="77777777" w:rsidR="00755D41" w:rsidRPr="00360A96" w:rsidRDefault="00755D41" w:rsidP="00755D41">
      <w:pPr>
        <w:pStyle w:val="NormalWeb"/>
        <w:spacing w:after="0"/>
        <w:ind w:left="1134" w:right="283" w:hanging="567"/>
        <w:jc w:val="both"/>
        <w:rPr>
          <w:rFonts w:ascii="Arial" w:hAnsi="Arial" w:cs="Arial"/>
          <w:color w:val="00B0F0"/>
          <w:sz w:val="20"/>
          <w:szCs w:val="20"/>
        </w:rPr>
      </w:pPr>
      <w:r w:rsidRPr="00360A96">
        <w:rPr>
          <w:rFonts w:ascii="Arial" w:hAnsi="Arial" w:cs="Arial"/>
          <w:color w:val="000000" w:themeColor="text1"/>
          <w:sz w:val="20"/>
          <w:szCs w:val="20"/>
        </w:rPr>
        <w:t xml:space="preserve">Xu M, Jung X, Hines OJ, Eibl G, Chen Y (2018). Obesity and pancreatic cancer: Overview of epidemiology and potential prevention by weight loss. </w:t>
      </w:r>
      <w:r w:rsidRPr="00360A96">
        <w:rPr>
          <w:rFonts w:ascii="Arial" w:hAnsi="Arial" w:cs="Arial"/>
          <w:i/>
          <w:iCs/>
          <w:color w:val="000000" w:themeColor="text1"/>
          <w:sz w:val="20"/>
          <w:szCs w:val="20"/>
        </w:rPr>
        <w:t>Pancreas.</w:t>
      </w:r>
      <w:r w:rsidRPr="00360A96">
        <w:rPr>
          <w:rFonts w:ascii="Arial" w:hAnsi="Arial" w:cs="Arial"/>
          <w:color w:val="000000" w:themeColor="text1"/>
          <w:sz w:val="20"/>
          <w:szCs w:val="20"/>
        </w:rPr>
        <w:t xml:space="preserve"> 47(2):158-162. </w:t>
      </w:r>
      <w:r w:rsidRPr="00360A96">
        <w:rPr>
          <w:rFonts w:ascii="Arial" w:hAnsi="Arial" w:cs="Arial"/>
          <w:color w:val="0070C0"/>
          <w:sz w:val="20"/>
          <w:szCs w:val="20"/>
        </w:rPr>
        <w:t>Doi: 10.1097/MPA.000000000000000974</w:t>
      </w:r>
    </w:p>
    <w:p w14:paraId="51850C93" w14:textId="77777777" w:rsidR="00755D41" w:rsidRPr="001E79AD" w:rsidRDefault="00755D41" w:rsidP="00755D41">
      <w:pPr>
        <w:pStyle w:val="ListParagraph"/>
        <w:ind w:left="1134" w:right="283" w:hanging="567"/>
        <w:jc w:val="both"/>
        <w:rPr>
          <w:rFonts w:ascii="Arial" w:hAnsi="Arial" w:cs="Arial"/>
          <w:bCs/>
          <w:color w:val="000000" w:themeColor="text1"/>
          <w:sz w:val="20"/>
          <w:szCs w:val="20"/>
          <w:lang w:val="fr-FR"/>
        </w:rPr>
      </w:pPr>
      <w:r w:rsidRPr="00360A96">
        <w:rPr>
          <w:rFonts w:ascii="Arial" w:hAnsi="Arial" w:cs="Arial"/>
          <w:sz w:val="20"/>
          <w:szCs w:val="20"/>
        </w:rPr>
        <w:t xml:space="preserve">Yamamura R, Sonoshita M. (2025). Fecal microbiota transplantation as a novel therapeutic strategy for pancreatic cancer. </w:t>
      </w:r>
      <w:proofErr w:type="spellStart"/>
      <w:r w:rsidRPr="001E79AD">
        <w:rPr>
          <w:rFonts w:ascii="Arial" w:hAnsi="Arial" w:cs="Arial"/>
          <w:i/>
          <w:iCs/>
          <w:sz w:val="20"/>
          <w:szCs w:val="20"/>
          <w:lang w:val="fr-FR"/>
        </w:rPr>
        <w:t>Transl</w:t>
      </w:r>
      <w:proofErr w:type="spellEnd"/>
      <w:r w:rsidRPr="001E79AD">
        <w:rPr>
          <w:rFonts w:ascii="Arial" w:hAnsi="Arial" w:cs="Arial"/>
          <w:i/>
          <w:iCs/>
          <w:sz w:val="20"/>
          <w:szCs w:val="20"/>
          <w:lang w:val="fr-FR"/>
        </w:rPr>
        <w:t xml:space="preserve"> Reg </w:t>
      </w:r>
      <w:proofErr w:type="spellStart"/>
      <w:r w:rsidRPr="001E79AD">
        <w:rPr>
          <w:rFonts w:ascii="Arial" w:hAnsi="Arial" w:cs="Arial"/>
          <w:i/>
          <w:iCs/>
          <w:sz w:val="20"/>
          <w:szCs w:val="20"/>
          <w:lang w:val="fr-FR"/>
        </w:rPr>
        <w:t>Sci</w:t>
      </w:r>
      <w:proofErr w:type="spellEnd"/>
      <w:r w:rsidRPr="001E79AD">
        <w:rPr>
          <w:rFonts w:ascii="Arial" w:hAnsi="Arial" w:cs="Arial"/>
          <w:i/>
          <w:iCs/>
          <w:sz w:val="20"/>
          <w:szCs w:val="20"/>
          <w:lang w:val="fr-FR"/>
        </w:rPr>
        <w:t>.</w:t>
      </w:r>
      <w:r w:rsidRPr="001E79AD">
        <w:rPr>
          <w:rFonts w:ascii="Arial" w:hAnsi="Arial" w:cs="Arial"/>
          <w:sz w:val="20"/>
          <w:szCs w:val="20"/>
          <w:lang w:val="fr-FR"/>
        </w:rPr>
        <w:t xml:space="preserve"> 7(1</w:t>
      </w:r>
      <w:proofErr w:type="gramStart"/>
      <w:r w:rsidRPr="001E79AD">
        <w:rPr>
          <w:rFonts w:ascii="Arial" w:hAnsi="Arial" w:cs="Arial"/>
          <w:sz w:val="20"/>
          <w:szCs w:val="20"/>
          <w:lang w:val="fr-FR"/>
        </w:rPr>
        <w:t>):</w:t>
      </w:r>
      <w:proofErr w:type="gramEnd"/>
      <w:r w:rsidRPr="001E79AD">
        <w:rPr>
          <w:rFonts w:ascii="Arial" w:hAnsi="Arial" w:cs="Arial"/>
          <w:sz w:val="20"/>
          <w:szCs w:val="20"/>
          <w:lang w:val="fr-FR"/>
        </w:rPr>
        <w:t xml:space="preserve">37-45. </w:t>
      </w:r>
      <w:proofErr w:type="spellStart"/>
      <w:proofErr w:type="gramStart"/>
      <w:r w:rsidRPr="001E79AD">
        <w:rPr>
          <w:rFonts w:ascii="Arial" w:hAnsi="Arial" w:cs="Arial"/>
          <w:color w:val="0070C0"/>
          <w:sz w:val="20"/>
          <w:szCs w:val="20"/>
          <w:lang w:val="fr-FR"/>
        </w:rPr>
        <w:t>Doi</w:t>
      </w:r>
      <w:proofErr w:type="spellEnd"/>
      <w:r w:rsidRPr="001E79AD">
        <w:rPr>
          <w:rFonts w:ascii="Arial" w:hAnsi="Arial" w:cs="Arial"/>
          <w:color w:val="0070C0"/>
          <w:sz w:val="20"/>
          <w:szCs w:val="20"/>
          <w:lang w:val="fr-FR"/>
        </w:rPr>
        <w:t>:</w:t>
      </w:r>
      <w:proofErr w:type="gramEnd"/>
      <w:r w:rsidRPr="001E79AD">
        <w:rPr>
          <w:rFonts w:ascii="Arial" w:hAnsi="Arial" w:cs="Arial"/>
          <w:color w:val="0070C0"/>
          <w:sz w:val="20"/>
          <w:szCs w:val="20"/>
          <w:lang w:val="fr-FR"/>
        </w:rPr>
        <w:t xml:space="preserve"> 10.33611/trs.2025-003 </w:t>
      </w:r>
    </w:p>
    <w:p w14:paraId="78404DCC" w14:textId="77777777" w:rsidR="00755D41" w:rsidRPr="001E79AD" w:rsidRDefault="00755D41" w:rsidP="00755D41">
      <w:pPr>
        <w:pStyle w:val="ListParagraph"/>
        <w:ind w:left="1134" w:right="283" w:hanging="567"/>
        <w:jc w:val="both"/>
        <w:rPr>
          <w:rFonts w:ascii="Arial" w:hAnsi="Arial" w:cs="Arial"/>
          <w:bCs/>
          <w:color w:val="000000" w:themeColor="text1"/>
          <w:sz w:val="20"/>
          <w:szCs w:val="20"/>
          <w:lang w:val="fr-FR"/>
        </w:rPr>
      </w:pPr>
    </w:p>
    <w:p w14:paraId="55F5889D" w14:textId="77777777" w:rsidR="00755D41" w:rsidRPr="00360A96" w:rsidRDefault="00755D41" w:rsidP="00755D41">
      <w:pPr>
        <w:pStyle w:val="ListParagraph"/>
        <w:ind w:left="1134" w:right="283" w:hanging="567"/>
        <w:jc w:val="both"/>
        <w:rPr>
          <w:rFonts w:ascii="Arial" w:hAnsi="Arial" w:cs="Arial"/>
          <w:bCs/>
          <w:color w:val="000000" w:themeColor="text1"/>
          <w:sz w:val="20"/>
          <w:szCs w:val="20"/>
        </w:rPr>
      </w:pPr>
      <w:proofErr w:type="spellStart"/>
      <w:r w:rsidRPr="001E79AD">
        <w:rPr>
          <w:rFonts w:ascii="Arial" w:hAnsi="Arial" w:cs="Arial"/>
          <w:bCs/>
          <w:color w:val="000000" w:themeColor="text1"/>
          <w:sz w:val="20"/>
          <w:szCs w:val="20"/>
          <w:lang w:val="fr-FR"/>
        </w:rPr>
        <w:t>Ye</w:t>
      </w:r>
      <w:proofErr w:type="spellEnd"/>
      <w:r w:rsidRPr="001E79AD">
        <w:rPr>
          <w:rFonts w:ascii="Arial" w:hAnsi="Arial" w:cs="Arial"/>
          <w:bCs/>
          <w:color w:val="000000" w:themeColor="text1"/>
          <w:sz w:val="20"/>
          <w:szCs w:val="20"/>
          <w:lang w:val="fr-FR"/>
        </w:rPr>
        <w:t xml:space="preserve"> X, Yu Y, Zheng X, Ma H (2024). </w:t>
      </w:r>
      <w:r w:rsidRPr="00360A96">
        <w:rPr>
          <w:rFonts w:ascii="Arial" w:hAnsi="Arial" w:cs="Arial"/>
          <w:bCs/>
          <w:color w:val="000000" w:themeColor="text1"/>
          <w:sz w:val="20"/>
          <w:szCs w:val="20"/>
        </w:rPr>
        <w:t xml:space="preserve">Clinical immunotherapy in pancreatic cancer. </w:t>
      </w:r>
      <w:r w:rsidRPr="00360A96">
        <w:rPr>
          <w:rFonts w:ascii="Arial" w:hAnsi="Arial" w:cs="Arial"/>
          <w:bCs/>
          <w:i/>
          <w:iCs/>
          <w:color w:val="000000" w:themeColor="text1"/>
          <w:sz w:val="20"/>
          <w:szCs w:val="20"/>
        </w:rPr>
        <w:t>Cancer Immunolgy Immunotherapy.</w:t>
      </w:r>
      <w:r w:rsidRPr="00360A96">
        <w:rPr>
          <w:rFonts w:ascii="Arial" w:hAnsi="Arial" w:cs="Arial"/>
          <w:bCs/>
          <w:color w:val="000000" w:themeColor="text1"/>
          <w:sz w:val="20"/>
          <w:szCs w:val="20"/>
        </w:rPr>
        <w:t xml:space="preserve"> 73:64. </w:t>
      </w:r>
      <w:hyperlink r:id="rId29" w:history="1">
        <w:r w:rsidRPr="00360A96">
          <w:rPr>
            <w:rStyle w:val="Hyperlink"/>
            <w:rFonts w:ascii="Arial" w:hAnsi="Arial" w:cs="Arial"/>
            <w:color w:val="0070C0"/>
            <w:sz w:val="20"/>
            <w:szCs w:val="20"/>
          </w:rPr>
          <w:t>https://doi.org/10.1007/s00262-024-03632-6</w:t>
        </w:r>
      </w:hyperlink>
      <w:r w:rsidRPr="00360A96">
        <w:rPr>
          <w:rFonts w:ascii="Arial" w:hAnsi="Arial" w:cs="Arial"/>
          <w:bCs/>
          <w:color w:val="0070C0"/>
          <w:sz w:val="20"/>
          <w:szCs w:val="20"/>
        </w:rPr>
        <w:t xml:space="preserve"> </w:t>
      </w:r>
    </w:p>
    <w:p w14:paraId="4786D277" w14:textId="77777777" w:rsidR="00755D41" w:rsidRPr="00360A96" w:rsidRDefault="00755D41" w:rsidP="00755D41">
      <w:pPr>
        <w:pStyle w:val="ListParagraph"/>
        <w:ind w:left="1134" w:right="283" w:hanging="567"/>
        <w:jc w:val="both"/>
        <w:rPr>
          <w:rFonts w:ascii="Arial" w:hAnsi="Arial" w:cs="Arial"/>
          <w:color w:val="1B1B1B"/>
          <w:sz w:val="20"/>
          <w:szCs w:val="20"/>
          <w:shd w:val="clear" w:color="auto" w:fill="FFFFFF"/>
        </w:rPr>
      </w:pPr>
    </w:p>
    <w:p w14:paraId="1A44FA7F" w14:textId="77777777" w:rsidR="00755D41" w:rsidRPr="001E79AD" w:rsidRDefault="00755D41" w:rsidP="00755D41">
      <w:pPr>
        <w:pStyle w:val="ListParagraph"/>
        <w:ind w:left="1134" w:right="283" w:hanging="567"/>
        <w:jc w:val="both"/>
        <w:rPr>
          <w:rFonts w:ascii="Arial" w:hAnsi="Arial" w:cs="Arial"/>
          <w:bCs/>
          <w:color w:val="000000" w:themeColor="text1"/>
          <w:sz w:val="20"/>
          <w:szCs w:val="20"/>
          <w:lang w:val="fr-FR"/>
        </w:rPr>
      </w:pPr>
      <w:r w:rsidRPr="00360A96">
        <w:rPr>
          <w:rFonts w:ascii="Arial" w:hAnsi="Arial" w:cs="Arial"/>
          <w:color w:val="1B1B1B"/>
          <w:sz w:val="20"/>
          <w:szCs w:val="20"/>
          <w:shd w:val="clear" w:color="auto" w:fill="FFFFFF"/>
        </w:rPr>
        <w:t xml:space="preserve">Yu G, Gong J. (2025). Targeting CSC-immune cell crosstalk to overcome chemoresistance and enhance immunotherapy efficacy. </w:t>
      </w:r>
      <w:r w:rsidRPr="001E79AD">
        <w:rPr>
          <w:rFonts w:ascii="Arial" w:hAnsi="Arial" w:cs="Arial"/>
          <w:i/>
          <w:iCs/>
          <w:color w:val="1B1B1B"/>
          <w:sz w:val="20"/>
          <w:szCs w:val="20"/>
          <w:shd w:val="clear" w:color="auto" w:fill="FFFFFF"/>
          <w:lang w:val="fr-FR"/>
        </w:rPr>
        <w:t xml:space="preserve">Front </w:t>
      </w:r>
      <w:proofErr w:type="spellStart"/>
      <w:r w:rsidRPr="001E79AD">
        <w:rPr>
          <w:rFonts w:ascii="Arial" w:hAnsi="Arial" w:cs="Arial"/>
          <w:i/>
          <w:iCs/>
          <w:color w:val="1B1B1B"/>
          <w:sz w:val="20"/>
          <w:szCs w:val="20"/>
          <w:shd w:val="clear" w:color="auto" w:fill="FFFFFF"/>
          <w:lang w:val="fr-FR"/>
        </w:rPr>
        <w:t>Immunol</w:t>
      </w:r>
      <w:proofErr w:type="spellEnd"/>
      <w:r w:rsidRPr="001E79AD">
        <w:rPr>
          <w:rFonts w:ascii="Arial" w:hAnsi="Arial" w:cs="Arial"/>
          <w:i/>
          <w:iCs/>
          <w:color w:val="1B1B1B"/>
          <w:sz w:val="20"/>
          <w:szCs w:val="20"/>
          <w:shd w:val="clear" w:color="auto" w:fill="FFFFFF"/>
          <w:lang w:val="fr-FR"/>
        </w:rPr>
        <w:t>.</w:t>
      </w:r>
      <w:r w:rsidRPr="001E79AD">
        <w:rPr>
          <w:rFonts w:ascii="Arial" w:hAnsi="Arial" w:cs="Arial"/>
          <w:color w:val="1B1B1B"/>
          <w:sz w:val="20"/>
          <w:szCs w:val="20"/>
          <w:shd w:val="clear" w:color="auto" w:fill="FFFFFF"/>
          <w:lang w:val="fr-FR"/>
        </w:rPr>
        <w:t xml:space="preserve"> </w:t>
      </w:r>
      <w:proofErr w:type="gramStart"/>
      <w:r w:rsidRPr="001E79AD">
        <w:rPr>
          <w:rFonts w:ascii="Arial" w:hAnsi="Arial" w:cs="Arial"/>
          <w:color w:val="1B1B1B"/>
          <w:sz w:val="20"/>
          <w:szCs w:val="20"/>
          <w:shd w:val="clear" w:color="auto" w:fill="FFFFFF"/>
          <w:lang w:val="fr-FR"/>
        </w:rPr>
        <w:t>16:</w:t>
      </w:r>
      <w:proofErr w:type="gramEnd"/>
      <w:r w:rsidRPr="001E79AD">
        <w:rPr>
          <w:rFonts w:ascii="Arial" w:hAnsi="Arial" w:cs="Arial"/>
          <w:color w:val="1B1B1B"/>
          <w:sz w:val="20"/>
          <w:szCs w:val="20"/>
          <w:shd w:val="clear" w:color="auto" w:fill="FFFFFF"/>
          <w:lang w:val="fr-FR"/>
        </w:rPr>
        <w:t>1620807.</w:t>
      </w:r>
      <w:r w:rsidRPr="001E79AD">
        <w:rPr>
          <w:rFonts w:ascii="Arial" w:hAnsi="Arial" w:cs="Arial"/>
          <w:color w:val="1B1B1B"/>
          <w:sz w:val="20"/>
          <w:szCs w:val="20"/>
          <w:shd w:val="clear" w:color="auto" w:fill="FFFFFF"/>
          <w:lang w:val="fr-FR"/>
        </w:rPr>
        <w:tab/>
        <w:t xml:space="preserve">                                                          </w:t>
      </w:r>
      <w:proofErr w:type="spellStart"/>
      <w:proofErr w:type="gramStart"/>
      <w:r w:rsidRPr="001E79AD">
        <w:rPr>
          <w:rFonts w:ascii="Arial" w:hAnsi="Arial" w:cs="Arial"/>
          <w:color w:val="0070C0"/>
          <w:sz w:val="20"/>
          <w:szCs w:val="20"/>
          <w:shd w:val="clear" w:color="auto" w:fill="FFFFFF"/>
          <w:lang w:val="fr-FR"/>
        </w:rPr>
        <w:t>Doi</w:t>
      </w:r>
      <w:proofErr w:type="spellEnd"/>
      <w:r w:rsidRPr="001E79AD">
        <w:rPr>
          <w:rFonts w:ascii="Arial" w:hAnsi="Arial" w:cs="Arial"/>
          <w:color w:val="0070C0"/>
          <w:sz w:val="20"/>
          <w:szCs w:val="20"/>
          <w:shd w:val="clear" w:color="auto" w:fill="FFFFFF"/>
          <w:lang w:val="fr-FR"/>
        </w:rPr>
        <w:t>:</w:t>
      </w:r>
      <w:proofErr w:type="gramEnd"/>
      <w:r w:rsidRPr="001E79AD">
        <w:rPr>
          <w:rFonts w:ascii="Arial" w:hAnsi="Arial" w:cs="Arial"/>
          <w:color w:val="0070C0"/>
          <w:sz w:val="20"/>
          <w:szCs w:val="20"/>
          <w:shd w:val="clear" w:color="auto" w:fill="FFFFFF"/>
          <w:lang w:val="fr-FR"/>
        </w:rPr>
        <w:t xml:space="preserve"> 10.3389/fimmu.2025.1620807</w:t>
      </w:r>
    </w:p>
    <w:p w14:paraId="634A96C0" w14:textId="77777777" w:rsidR="00755D41" w:rsidRPr="001E79AD" w:rsidRDefault="00755D41" w:rsidP="00755D41">
      <w:pPr>
        <w:pStyle w:val="ListParagraph"/>
        <w:ind w:left="1134" w:right="283" w:hanging="567"/>
        <w:jc w:val="both"/>
        <w:rPr>
          <w:rFonts w:ascii="Arial" w:hAnsi="Arial" w:cs="Arial"/>
          <w:color w:val="212121"/>
          <w:sz w:val="20"/>
          <w:szCs w:val="20"/>
          <w:shd w:val="clear" w:color="auto" w:fill="FFFFFF"/>
          <w:lang w:val="fr-FR"/>
        </w:rPr>
      </w:pPr>
    </w:p>
    <w:p w14:paraId="3F8641EE" w14:textId="77777777" w:rsidR="00755D41" w:rsidRPr="001E79AD" w:rsidRDefault="00755D41" w:rsidP="00755D41">
      <w:pPr>
        <w:pStyle w:val="ListParagraph"/>
        <w:ind w:left="1134" w:right="283" w:hanging="567"/>
        <w:jc w:val="both"/>
        <w:rPr>
          <w:rFonts w:ascii="Arial" w:hAnsi="Arial" w:cs="Arial"/>
          <w:bCs/>
          <w:color w:val="000000" w:themeColor="text1"/>
          <w:sz w:val="20"/>
          <w:szCs w:val="20"/>
          <w:lang w:val="fr-FR"/>
        </w:rPr>
      </w:pPr>
      <w:r w:rsidRPr="001E79AD">
        <w:rPr>
          <w:rFonts w:ascii="Arial" w:hAnsi="Arial" w:cs="Arial"/>
          <w:color w:val="212121"/>
          <w:sz w:val="20"/>
          <w:szCs w:val="20"/>
          <w:shd w:val="clear" w:color="auto" w:fill="FFFFFF"/>
          <w:lang w:val="fr-FR"/>
        </w:rPr>
        <w:t xml:space="preserve">Zeng L, Qian Y, Cui X, Zhao J, </w:t>
      </w:r>
      <w:proofErr w:type="spellStart"/>
      <w:r w:rsidRPr="001E79AD">
        <w:rPr>
          <w:rFonts w:ascii="Arial" w:hAnsi="Arial" w:cs="Arial"/>
          <w:color w:val="212121"/>
          <w:sz w:val="20"/>
          <w:szCs w:val="20"/>
          <w:shd w:val="clear" w:color="auto" w:fill="FFFFFF"/>
          <w:lang w:val="fr-FR"/>
        </w:rPr>
        <w:t>Ning</w:t>
      </w:r>
      <w:proofErr w:type="spellEnd"/>
      <w:r w:rsidRPr="001E79AD">
        <w:rPr>
          <w:rFonts w:ascii="Arial" w:hAnsi="Arial" w:cs="Arial"/>
          <w:color w:val="212121"/>
          <w:sz w:val="20"/>
          <w:szCs w:val="20"/>
          <w:shd w:val="clear" w:color="auto" w:fill="FFFFFF"/>
          <w:lang w:val="fr-FR"/>
        </w:rPr>
        <w:t xml:space="preserve"> Z, </w:t>
      </w:r>
      <w:proofErr w:type="spellStart"/>
      <w:r w:rsidRPr="001E79AD">
        <w:rPr>
          <w:rFonts w:ascii="Arial" w:hAnsi="Arial" w:cs="Arial"/>
          <w:color w:val="212121"/>
          <w:sz w:val="20"/>
          <w:szCs w:val="20"/>
          <w:shd w:val="clear" w:color="auto" w:fill="FFFFFF"/>
          <w:lang w:val="fr-FR"/>
        </w:rPr>
        <w:t>Cha</w:t>
      </w:r>
      <w:proofErr w:type="spellEnd"/>
      <w:r w:rsidRPr="001E79AD">
        <w:rPr>
          <w:rFonts w:ascii="Arial" w:hAnsi="Arial" w:cs="Arial"/>
          <w:color w:val="212121"/>
          <w:sz w:val="20"/>
          <w:szCs w:val="20"/>
          <w:shd w:val="clear" w:color="auto" w:fill="FFFFFF"/>
          <w:lang w:val="fr-FR"/>
        </w:rPr>
        <w:t xml:space="preserve"> J, et al. </w:t>
      </w:r>
      <w:r w:rsidRPr="00360A96">
        <w:rPr>
          <w:rFonts w:ascii="Arial" w:hAnsi="Arial" w:cs="Arial"/>
          <w:color w:val="212121"/>
          <w:sz w:val="20"/>
          <w:szCs w:val="20"/>
          <w:shd w:val="clear" w:color="auto" w:fill="FFFFFF"/>
        </w:rPr>
        <w:t xml:space="preserve">(2025). Immunomodulatory role of gut microbial metabolites: mechanistic insights and therapeutic frontiers. </w:t>
      </w:r>
      <w:r w:rsidRPr="001E79AD">
        <w:rPr>
          <w:rFonts w:ascii="Arial" w:hAnsi="Arial" w:cs="Arial"/>
          <w:i/>
          <w:iCs/>
          <w:color w:val="212121"/>
          <w:sz w:val="20"/>
          <w:szCs w:val="20"/>
          <w:shd w:val="clear" w:color="auto" w:fill="FFFFFF"/>
          <w:lang w:val="fr-FR"/>
        </w:rPr>
        <w:t xml:space="preserve">Front </w:t>
      </w:r>
      <w:proofErr w:type="spellStart"/>
      <w:r w:rsidRPr="001E79AD">
        <w:rPr>
          <w:rFonts w:ascii="Arial" w:hAnsi="Arial" w:cs="Arial"/>
          <w:i/>
          <w:iCs/>
          <w:color w:val="212121"/>
          <w:sz w:val="20"/>
          <w:szCs w:val="20"/>
          <w:shd w:val="clear" w:color="auto" w:fill="FFFFFF"/>
          <w:lang w:val="fr-FR"/>
        </w:rPr>
        <w:t>Microbiol</w:t>
      </w:r>
      <w:proofErr w:type="spellEnd"/>
      <w:r w:rsidRPr="001E79AD">
        <w:rPr>
          <w:rFonts w:ascii="Arial" w:hAnsi="Arial" w:cs="Arial"/>
          <w:i/>
          <w:iCs/>
          <w:color w:val="212121"/>
          <w:sz w:val="20"/>
          <w:szCs w:val="20"/>
          <w:shd w:val="clear" w:color="auto" w:fill="FFFFFF"/>
          <w:lang w:val="fr-FR"/>
        </w:rPr>
        <w:t xml:space="preserve">. </w:t>
      </w:r>
      <w:proofErr w:type="gramStart"/>
      <w:r w:rsidRPr="001E79AD">
        <w:rPr>
          <w:rFonts w:ascii="Arial" w:hAnsi="Arial" w:cs="Arial"/>
          <w:color w:val="212121"/>
          <w:sz w:val="20"/>
          <w:szCs w:val="20"/>
          <w:shd w:val="clear" w:color="auto" w:fill="FFFFFF"/>
          <w:lang w:val="fr-FR"/>
        </w:rPr>
        <w:t>16:</w:t>
      </w:r>
      <w:proofErr w:type="gramEnd"/>
      <w:r w:rsidRPr="001E79AD">
        <w:rPr>
          <w:rFonts w:ascii="Arial" w:hAnsi="Arial" w:cs="Arial"/>
          <w:color w:val="212121"/>
          <w:sz w:val="20"/>
          <w:szCs w:val="20"/>
          <w:shd w:val="clear" w:color="auto" w:fill="FFFFFF"/>
          <w:lang w:val="fr-FR"/>
        </w:rPr>
        <w:t xml:space="preserve">1675065. </w:t>
      </w:r>
      <w:proofErr w:type="spellStart"/>
      <w:proofErr w:type="gramStart"/>
      <w:r w:rsidRPr="001E79AD">
        <w:rPr>
          <w:rFonts w:ascii="Arial" w:hAnsi="Arial" w:cs="Arial"/>
          <w:color w:val="0070C0"/>
          <w:sz w:val="20"/>
          <w:szCs w:val="20"/>
          <w:shd w:val="clear" w:color="auto" w:fill="FFFFFF"/>
          <w:lang w:val="fr-FR"/>
        </w:rPr>
        <w:t>Doi</w:t>
      </w:r>
      <w:proofErr w:type="spellEnd"/>
      <w:r w:rsidRPr="001E79AD">
        <w:rPr>
          <w:rFonts w:ascii="Arial" w:hAnsi="Arial" w:cs="Arial"/>
          <w:color w:val="0070C0"/>
          <w:sz w:val="20"/>
          <w:szCs w:val="20"/>
          <w:shd w:val="clear" w:color="auto" w:fill="FFFFFF"/>
          <w:lang w:val="fr-FR"/>
        </w:rPr>
        <w:t>:</w:t>
      </w:r>
      <w:proofErr w:type="gramEnd"/>
      <w:r w:rsidRPr="001E79AD">
        <w:rPr>
          <w:rFonts w:ascii="Arial" w:hAnsi="Arial" w:cs="Arial"/>
          <w:color w:val="0070C0"/>
          <w:sz w:val="20"/>
          <w:szCs w:val="20"/>
          <w:shd w:val="clear" w:color="auto" w:fill="FFFFFF"/>
          <w:lang w:val="fr-FR"/>
        </w:rPr>
        <w:t xml:space="preserve"> 10.3389/fmicb.2025.1675065</w:t>
      </w:r>
    </w:p>
    <w:p w14:paraId="1C9C1CCF" w14:textId="77777777" w:rsidR="00755D41" w:rsidRPr="001E79AD" w:rsidRDefault="00755D41" w:rsidP="00755D41">
      <w:pPr>
        <w:pStyle w:val="ListParagraph"/>
        <w:ind w:left="1134" w:right="283" w:hanging="567"/>
        <w:jc w:val="both"/>
        <w:rPr>
          <w:rFonts w:ascii="Arial" w:hAnsi="Arial" w:cs="Arial"/>
          <w:sz w:val="20"/>
          <w:szCs w:val="20"/>
          <w:lang w:val="fr-FR"/>
        </w:rPr>
      </w:pPr>
    </w:p>
    <w:p w14:paraId="2C09E068" w14:textId="77777777" w:rsidR="00755D41" w:rsidRPr="001E79AD" w:rsidRDefault="00755D41" w:rsidP="00755D41">
      <w:pPr>
        <w:pStyle w:val="ListParagraph"/>
        <w:ind w:left="1134" w:right="283" w:hanging="567"/>
        <w:jc w:val="both"/>
        <w:rPr>
          <w:rFonts w:ascii="Arial" w:hAnsi="Arial" w:cs="Arial"/>
          <w:bCs/>
          <w:color w:val="000000" w:themeColor="text1"/>
          <w:sz w:val="20"/>
          <w:szCs w:val="20"/>
          <w:lang w:val="fr-FR"/>
        </w:rPr>
      </w:pPr>
      <w:r w:rsidRPr="001E79AD">
        <w:rPr>
          <w:rFonts w:ascii="Arial" w:hAnsi="Arial" w:cs="Arial"/>
          <w:sz w:val="20"/>
          <w:szCs w:val="20"/>
          <w:lang w:val="fr-FR"/>
        </w:rPr>
        <w:t xml:space="preserve">Zhang F, Cui B, He X, </w:t>
      </w:r>
      <w:proofErr w:type="gramStart"/>
      <w:r w:rsidRPr="001E79AD">
        <w:rPr>
          <w:rFonts w:ascii="Arial" w:hAnsi="Arial" w:cs="Arial"/>
          <w:sz w:val="20"/>
          <w:szCs w:val="20"/>
          <w:lang w:val="fr-FR"/>
        </w:rPr>
        <w:t>Nie Y</w:t>
      </w:r>
      <w:proofErr w:type="gramEnd"/>
      <w:r w:rsidRPr="001E79AD">
        <w:rPr>
          <w:rFonts w:ascii="Arial" w:hAnsi="Arial" w:cs="Arial"/>
          <w:sz w:val="20"/>
          <w:szCs w:val="20"/>
          <w:lang w:val="fr-FR"/>
        </w:rPr>
        <w:t xml:space="preserve">, Wu K, Fan D, et al. </w:t>
      </w:r>
      <w:r w:rsidRPr="00360A96">
        <w:rPr>
          <w:rFonts w:ascii="Arial" w:hAnsi="Arial" w:cs="Arial"/>
          <w:sz w:val="20"/>
          <w:szCs w:val="20"/>
        </w:rPr>
        <w:t xml:space="preserve">(2018). Microbiota transplantation: concept, methodology and strategy for its modernization. </w:t>
      </w:r>
      <w:proofErr w:type="spellStart"/>
      <w:r w:rsidRPr="001E79AD">
        <w:rPr>
          <w:rFonts w:ascii="Arial" w:hAnsi="Arial" w:cs="Arial"/>
          <w:i/>
          <w:iCs/>
          <w:sz w:val="20"/>
          <w:szCs w:val="20"/>
          <w:lang w:val="fr-FR"/>
        </w:rPr>
        <w:t>Protein</w:t>
      </w:r>
      <w:proofErr w:type="spellEnd"/>
      <w:r w:rsidRPr="001E79AD">
        <w:rPr>
          <w:rFonts w:ascii="Arial" w:hAnsi="Arial" w:cs="Arial"/>
          <w:i/>
          <w:iCs/>
          <w:sz w:val="20"/>
          <w:szCs w:val="20"/>
          <w:lang w:val="fr-FR"/>
        </w:rPr>
        <w:t xml:space="preserve"> </w:t>
      </w:r>
      <w:proofErr w:type="spellStart"/>
      <w:r w:rsidRPr="001E79AD">
        <w:rPr>
          <w:rFonts w:ascii="Arial" w:hAnsi="Arial" w:cs="Arial"/>
          <w:i/>
          <w:iCs/>
          <w:sz w:val="20"/>
          <w:szCs w:val="20"/>
          <w:lang w:val="fr-FR"/>
        </w:rPr>
        <w:t>Cell</w:t>
      </w:r>
      <w:proofErr w:type="spellEnd"/>
      <w:r w:rsidRPr="001E79AD">
        <w:rPr>
          <w:rFonts w:ascii="Arial" w:hAnsi="Arial" w:cs="Arial"/>
          <w:i/>
          <w:iCs/>
          <w:sz w:val="20"/>
          <w:szCs w:val="20"/>
          <w:lang w:val="fr-FR"/>
        </w:rPr>
        <w:t>.</w:t>
      </w:r>
      <w:r w:rsidRPr="001E79AD">
        <w:rPr>
          <w:rFonts w:ascii="Arial" w:hAnsi="Arial" w:cs="Arial"/>
          <w:sz w:val="20"/>
          <w:szCs w:val="20"/>
          <w:lang w:val="fr-FR"/>
        </w:rPr>
        <w:t xml:space="preserve"> </w:t>
      </w:r>
      <w:proofErr w:type="gramStart"/>
      <w:r w:rsidRPr="001E79AD">
        <w:rPr>
          <w:rFonts w:ascii="Arial" w:hAnsi="Arial" w:cs="Arial"/>
          <w:sz w:val="20"/>
          <w:szCs w:val="20"/>
          <w:lang w:val="fr-FR"/>
        </w:rPr>
        <w:t>9:</w:t>
      </w:r>
      <w:proofErr w:type="gramEnd"/>
      <w:r w:rsidRPr="001E79AD">
        <w:rPr>
          <w:rFonts w:ascii="Arial" w:hAnsi="Arial" w:cs="Arial"/>
          <w:sz w:val="20"/>
          <w:szCs w:val="20"/>
          <w:lang w:val="fr-FR"/>
        </w:rPr>
        <w:t>462-473.</w:t>
      </w:r>
      <w:r w:rsidRPr="001E79AD">
        <w:rPr>
          <w:rFonts w:ascii="Arial" w:hAnsi="Arial" w:cs="Arial"/>
          <w:sz w:val="20"/>
          <w:szCs w:val="20"/>
          <w:lang w:val="fr-FR"/>
        </w:rPr>
        <w:tab/>
        <w:t xml:space="preserve"> </w:t>
      </w:r>
      <w:r w:rsidRPr="001E79AD">
        <w:rPr>
          <w:rFonts w:ascii="Arial" w:hAnsi="Arial" w:cs="Arial"/>
          <w:color w:val="0070C0"/>
          <w:sz w:val="20"/>
          <w:szCs w:val="20"/>
          <w:lang w:val="fr-FR"/>
        </w:rPr>
        <w:t>https://doi.org/10.1007/s13238-018-0541-8</w:t>
      </w:r>
    </w:p>
    <w:p w14:paraId="11F2B9E5" w14:textId="77777777" w:rsidR="00755D41" w:rsidRPr="00360A96" w:rsidRDefault="00755D41" w:rsidP="00755D41">
      <w:pPr>
        <w:pStyle w:val="NormalWeb"/>
        <w:spacing w:before="0" w:beforeAutospacing="0" w:after="0" w:afterAutospacing="0"/>
        <w:ind w:left="1134" w:right="283" w:hanging="567"/>
        <w:jc w:val="both"/>
        <w:rPr>
          <w:rFonts w:ascii="Arial" w:hAnsi="Arial" w:cs="Arial"/>
          <w:sz w:val="20"/>
          <w:szCs w:val="20"/>
          <w:lang w:val="tr-TR"/>
        </w:rPr>
      </w:pPr>
    </w:p>
    <w:p w14:paraId="27D23DF1" w14:textId="77777777" w:rsidR="00755D41" w:rsidRPr="001E79AD" w:rsidRDefault="00755D41" w:rsidP="00755D41">
      <w:pPr>
        <w:pStyle w:val="NormalWeb"/>
        <w:spacing w:before="0" w:beforeAutospacing="0" w:after="0" w:afterAutospacing="0"/>
        <w:ind w:left="1134" w:right="283" w:hanging="567"/>
        <w:jc w:val="both"/>
        <w:rPr>
          <w:rFonts w:ascii="Arial" w:hAnsi="Arial" w:cs="Arial"/>
          <w:sz w:val="20"/>
          <w:szCs w:val="20"/>
          <w:lang w:val="tr-TR"/>
        </w:rPr>
      </w:pPr>
      <w:r w:rsidRPr="00360A96">
        <w:rPr>
          <w:rFonts w:ascii="Arial" w:hAnsi="Arial" w:cs="Arial"/>
          <w:sz w:val="20"/>
          <w:szCs w:val="20"/>
          <w:lang w:val="tr-TR"/>
        </w:rPr>
        <w:t xml:space="preserve">Zhang X, Liu Q, Liao Q, Zhao Y (2020). Pancreatic cancer, gut microbiota, and therapeutic efficacy. </w:t>
      </w:r>
      <w:r w:rsidRPr="00360A96">
        <w:rPr>
          <w:rFonts w:ascii="Arial" w:hAnsi="Arial" w:cs="Arial"/>
          <w:i/>
          <w:iCs/>
          <w:sz w:val="20"/>
          <w:szCs w:val="20"/>
          <w:lang w:val="tr-TR"/>
        </w:rPr>
        <w:t>J Cancer.</w:t>
      </w:r>
      <w:r w:rsidRPr="00360A96">
        <w:rPr>
          <w:rFonts w:ascii="Arial" w:hAnsi="Arial" w:cs="Arial"/>
          <w:sz w:val="20"/>
          <w:szCs w:val="20"/>
          <w:lang w:val="tr-TR"/>
        </w:rPr>
        <w:t xml:space="preserve"> 11(10):2749-2758. </w:t>
      </w:r>
      <w:r w:rsidRPr="00360A96">
        <w:rPr>
          <w:rFonts w:ascii="Arial" w:hAnsi="Arial" w:cs="Arial"/>
          <w:color w:val="0070C0"/>
          <w:sz w:val="20"/>
          <w:szCs w:val="20"/>
          <w:lang w:val="tr-TR"/>
        </w:rPr>
        <w:t>Doi: 10.7150/jca.37445</w:t>
      </w:r>
    </w:p>
    <w:p w14:paraId="479EFF6C" w14:textId="77777777" w:rsidR="00755D41" w:rsidRPr="00360A96" w:rsidRDefault="00755D41" w:rsidP="00755D41">
      <w:pPr>
        <w:pStyle w:val="ListParagraph"/>
        <w:shd w:val="clear" w:color="auto" w:fill="FFFFFF"/>
        <w:spacing w:before="100" w:beforeAutospacing="1" w:after="100" w:afterAutospacing="1"/>
        <w:ind w:left="1134" w:right="283" w:hanging="567"/>
        <w:jc w:val="both"/>
        <w:rPr>
          <w:rFonts w:ascii="Arial" w:hAnsi="Arial" w:cs="Arial"/>
          <w:color w:val="212121"/>
          <w:sz w:val="20"/>
          <w:szCs w:val="20"/>
        </w:rPr>
      </w:pPr>
      <w:r w:rsidRPr="001E79AD">
        <w:rPr>
          <w:rFonts w:ascii="Arial" w:hAnsi="Arial" w:cs="Arial"/>
          <w:color w:val="212121"/>
          <w:sz w:val="20"/>
          <w:szCs w:val="20"/>
          <w:shd w:val="clear" w:color="auto" w:fill="FFFFFF"/>
          <w:lang w:val="tr-TR"/>
        </w:rPr>
        <w:t xml:space="preserve">Zhao LY, Mei JX, Yu G, Lei L, Zhang WH, Liu K, et al. </w:t>
      </w:r>
      <w:r w:rsidRPr="00360A96">
        <w:rPr>
          <w:rFonts w:ascii="Arial" w:hAnsi="Arial" w:cs="Arial"/>
          <w:color w:val="212121"/>
          <w:sz w:val="20"/>
          <w:szCs w:val="20"/>
          <w:shd w:val="clear" w:color="auto" w:fill="FFFFFF"/>
        </w:rPr>
        <w:t xml:space="preserve">(2023). Role of the gut microbiota in anticancer therapy: from molecular mechanisms to clinical applications. </w:t>
      </w:r>
      <w:r w:rsidRPr="00360A96">
        <w:rPr>
          <w:rFonts w:ascii="Arial" w:hAnsi="Arial" w:cs="Arial"/>
          <w:i/>
          <w:iCs/>
          <w:color w:val="212121"/>
          <w:sz w:val="20"/>
          <w:szCs w:val="20"/>
          <w:shd w:val="clear" w:color="auto" w:fill="FFFFFF"/>
        </w:rPr>
        <w:t>Signal Transduct Target Ther.</w:t>
      </w:r>
      <w:r w:rsidRPr="00360A96">
        <w:rPr>
          <w:rFonts w:ascii="Arial" w:hAnsi="Arial" w:cs="Arial"/>
          <w:color w:val="212121"/>
          <w:sz w:val="20"/>
          <w:szCs w:val="20"/>
          <w:shd w:val="clear" w:color="auto" w:fill="FFFFFF"/>
        </w:rPr>
        <w:t xml:space="preserve"> 8(1):201. </w:t>
      </w:r>
      <w:r w:rsidRPr="00360A96">
        <w:rPr>
          <w:rFonts w:ascii="Arial" w:hAnsi="Arial" w:cs="Arial"/>
          <w:color w:val="0070C0"/>
          <w:sz w:val="20"/>
          <w:szCs w:val="20"/>
          <w:shd w:val="clear" w:color="auto" w:fill="FFFFFF"/>
        </w:rPr>
        <w:t>Doi: 10.1038/s41392-023-01406-7.</w:t>
      </w:r>
    </w:p>
    <w:p w14:paraId="39B9A6E7" w14:textId="77777777" w:rsidR="00755D41" w:rsidRPr="001E79AD" w:rsidRDefault="00755D41" w:rsidP="00755D41">
      <w:pPr>
        <w:pStyle w:val="NormalWeb"/>
        <w:spacing w:after="0"/>
        <w:ind w:left="1134" w:right="283" w:hanging="567"/>
        <w:jc w:val="both"/>
        <w:rPr>
          <w:rFonts w:ascii="Arial" w:hAnsi="Arial" w:cs="Arial"/>
          <w:color w:val="00B0F0"/>
          <w:sz w:val="20"/>
          <w:szCs w:val="20"/>
          <w:lang w:val="fr-FR"/>
        </w:rPr>
      </w:pPr>
      <w:r w:rsidRPr="00360A96">
        <w:rPr>
          <w:rFonts w:ascii="Arial" w:hAnsi="Arial" w:cs="Arial"/>
          <w:color w:val="212121"/>
          <w:sz w:val="20"/>
          <w:szCs w:val="20"/>
          <w:shd w:val="clear" w:color="auto" w:fill="FFFFFF"/>
        </w:rPr>
        <w:t xml:space="preserve">Zhao Y, Wang QY, Zeng LT, Wang JJ, Liu Z, Fan GQ, et al. (2022). Long-Term High-Fat High-Fructose Diet Induces Type 2 Diabetes in Rats through Oxidative Stress. </w:t>
      </w:r>
      <w:proofErr w:type="spellStart"/>
      <w:r w:rsidRPr="001E79AD">
        <w:rPr>
          <w:rFonts w:ascii="Arial" w:hAnsi="Arial" w:cs="Arial"/>
          <w:i/>
          <w:iCs/>
          <w:color w:val="212121"/>
          <w:sz w:val="20"/>
          <w:szCs w:val="20"/>
          <w:shd w:val="clear" w:color="auto" w:fill="FFFFFF"/>
          <w:lang w:val="fr-FR"/>
        </w:rPr>
        <w:t>Nutrients</w:t>
      </w:r>
      <w:proofErr w:type="spellEnd"/>
      <w:r w:rsidRPr="001E79AD">
        <w:rPr>
          <w:rFonts w:ascii="Arial" w:hAnsi="Arial" w:cs="Arial"/>
          <w:i/>
          <w:iCs/>
          <w:color w:val="212121"/>
          <w:sz w:val="20"/>
          <w:szCs w:val="20"/>
          <w:shd w:val="clear" w:color="auto" w:fill="FFFFFF"/>
          <w:lang w:val="fr-FR"/>
        </w:rPr>
        <w:t>.</w:t>
      </w:r>
      <w:r w:rsidRPr="001E79AD">
        <w:rPr>
          <w:rFonts w:ascii="Arial" w:hAnsi="Arial" w:cs="Arial"/>
          <w:color w:val="212121"/>
          <w:sz w:val="20"/>
          <w:szCs w:val="20"/>
          <w:shd w:val="clear" w:color="auto" w:fill="FFFFFF"/>
          <w:lang w:val="fr-FR"/>
        </w:rPr>
        <w:t xml:space="preserve"> 14(11</w:t>
      </w:r>
      <w:proofErr w:type="gramStart"/>
      <w:r w:rsidRPr="001E79AD">
        <w:rPr>
          <w:rFonts w:ascii="Arial" w:hAnsi="Arial" w:cs="Arial"/>
          <w:color w:val="212121"/>
          <w:sz w:val="20"/>
          <w:szCs w:val="20"/>
          <w:shd w:val="clear" w:color="auto" w:fill="FFFFFF"/>
          <w:lang w:val="fr-FR"/>
        </w:rPr>
        <w:t>):</w:t>
      </w:r>
      <w:proofErr w:type="gramEnd"/>
      <w:r w:rsidRPr="001E79AD">
        <w:rPr>
          <w:rFonts w:ascii="Arial" w:hAnsi="Arial" w:cs="Arial"/>
          <w:color w:val="212121"/>
          <w:sz w:val="20"/>
          <w:szCs w:val="20"/>
          <w:shd w:val="clear" w:color="auto" w:fill="FFFFFF"/>
          <w:lang w:val="fr-FR"/>
        </w:rPr>
        <w:t xml:space="preserve">2181. </w:t>
      </w:r>
      <w:proofErr w:type="spellStart"/>
      <w:proofErr w:type="gramStart"/>
      <w:r w:rsidRPr="001E79AD">
        <w:rPr>
          <w:rFonts w:ascii="Arial" w:hAnsi="Arial" w:cs="Arial"/>
          <w:color w:val="0070C0"/>
          <w:sz w:val="20"/>
          <w:szCs w:val="20"/>
          <w:shd w:val="clear" w:color="auto" w:fill="FFFFFF"/>
          <w:lang w:val="fr-FR"/>
        </w:rPr>
        <w:t>Doi</w:t>
      </w:r>
      <w:proofErr w:type="spellEnd"/>
      <w:r w:rsidRPr="001E79AD">
        <w:rPr>
          <w:rFonts w:ascii="Arial" w:hAnsi="Arial" w:cs="Arial"/>
          <w:color w:val="0070C0"/>
          <w:sz w:val="20"/>
          <w:szCs w:val="20"/>
          <w:shd w:val="clear" w:color="auto" w:fill="FFFFFF"/>
          <w:lang w:val="fr-FR"/>
        </w:rPr>
        <w:t>:</w:t>
      </w:r>
      <w:proofErr w:type="gramEnd"/>
      <w:r w:rsidRPr="001E79AD">
        <w:rPr>
          <w:rFonts w:ascii="Arial" w:hAnsi="Arial" w:cs="Arial"/>
          <w:color w:val="0070C0"/>
          <w:sz w:val="20"/>
          <w:szCs w:val="20"/>
          <w:shd w:val="clear" w:color="auto" w:fill="FFFFFF"/>
          <w:lang w:val="fr-FR"/>
        </w:rPr>
        <w:t xml:space="preserve"> 10.3390/nu14112181. </w:t>
      </w:r>
    </w:p>
    <w:p w14:paraId="2244CF80" w14:textId="77777777" w:rsidR="00755D41" w:rsidRPr="002018D0" w:rsidRDefault="00755D41" w:rsidP="00755D41">
      <w:pPr>
        <w:pStyle w:val="ListParagraph"/>
        <w:ind w:left="1134" w:right="283" w:hanging="567"/>
        <w:jc w:val="both"/>
        <w:rPr>
          <w:rFonts w:ascii="Arial" w:hAnsi="Arial" w:cs="Arial"/>
          <w:color w:val="00B0F0"/>
          <w:sz w:val="20"/>
          <w:szCs w:val="20"/>
        </w:rPr>
      </w:pPr>
      <w:r w:rsidRPr="001E79AD">
        <w:rPr>
          <w:rFonts w:ascii="Arial" w:hAnsi="Arial" w:cs="Arial"/>
          <w:color w:val="000000" w:themeColor="text1"/>
          <w:sz w:val="20"/>
          <w:szCs w:val="20"/>
          <w:lang w:val="fr-FR"/>
        </w:rPr>
        <w:t xml:space="preserve">Zhu H, Li T, Du Y, Li M (2018). </w:t>
      </w:r>
      <w:r w:rsidRPr="00360A96">
        <w:rPr>
          <w:rFonts w:ascii="Arial" w:hAnsi="Arial" w:cs="Arial"/>
          <w:color w:val="000000" w:themeColor="text1"/>
          <w:sz w:val="20"/>
          <w:szCs w:val="20"/>
        </w:rPr>
        <w:t xml:space="preserve">Pancreatic cancer: challenges and opportunities. BMC Medicine. 16:214. </w:t>
      </w:r>
      <w:hyperlink r:id="rId30" w:history="1">
        <w:r w:rsidRPr="00360A96">
          <w:rPr>
            <w:rStyle w:val="Hyperlink"/>
            <w:rFonts w:ascii="Arial" w:hAnsi="Arial" w:cs="Arial"/>
            <w:color w:val="0070C0"/>
            <w:sz w:val="20"/>
            <w:szCs w:val="20"/>
          </w:rPr>
          <w:t>https://doi.org/10.1186/s12916-018-1215-3</w:t>
        </w:r>
      </w:hyperlink>
      <w:r w:rsidRPr="00360A96">
        <w:rPr>
          <w:rFonts w:ascii="Arial" w:hAnsi="Arial" w:cs="Arial"/>
          <w:color w:val="0070C0"/>
          <w:sz w:val="20"/>
          <w:szCs w:val="20"/>
        </w:rPr>
        <w:t>.</w:t>
      </w:r>
    </w:p>
    <w:p w14:paraId="44D92456" w14:textId="77777777" w:rsidR="00755D41" w:rsidRPr="002018D0" w:rsidRDefault="00755D41" w:rsidP="00755D41">
      <w:pPr>
        <w:pStyle w:val="NormalWeb"/>
        <w:ind w:left="851" w:right="283" w:hanging="851"/>
        <w:jc w:val="both"/>
        <w:rPr>
          <w:rFonts w:ascii="Arial" w:hAnsi="Arial" w:cs="Arial"/>
          <w:sz w:val="20"/>
          <w:szCs w:val="20"/>
        </w:rPr>
      </w:pPr>
    </w:p>
    <w:p w14:paraId="5953D1FB" w14:textId="77777777" w:rsidR="00755D41" w:rsidRDefault="00755D41" w:rsidP="00755D41">
      <w:pPr>
        <w:ind w:right="283"/>
      </w:pPr>
    </w:p>
    <w:p w14:paraId="5555ECBF" w14:textId="77777777" w:rsidR="00755D41" w:rsidRPr="00755D41" w:rsidRDefault="00755D41" w:rsidP="00755D41">
      <w:pPr>
        <w:pStyle w:val="NormalWeb"/>
        <w:ind w:left="567" w:right="283"/>
        <w:jc w:val="both"/>
        <w:rPr>
          <w:rFonts w:ascii="Arial" w:hAnsi="Arial" w:cs="Arial"/>
          <w:color w:val="000000" w:themeColor="text1"/>
          <w:sz w:val="20"/>
          <w:szCs w:val="20"/>
        </w:rPr>
      </w:pPr>
    </w:p>
    <w:p w14:paraId="06F83825" w14:textId="77777777" w:rsidR="00A35D8B" w:rsidRDefault="00A35D8B" w:rsidP="00E54706">
      <w:pPr>
        <w:ind w:left="567"/>
      </w:pPr>
    </w:p>
    <w:p w14:paraId="7B8E908C" w14:textId="77777777" w:rsidR="00E54706" w:rsidRDefault="00E54706"/>
    <w:p w14:paraId="274C320A" w14:textId="77777777" w:rsidR="00E54706" w:rsidRDefault="00E54706"/>
    <w:p w14:paraId="312861C1" w14:textId="77777777" w:rsidR="00E54706" w:rsidRDefault="00E54706"/>
    <w:p w14:paraId="753B04D3" w14:textId="77777777" w:rsidR="00E54706" w:rsidRDefault="00E54706"/>
    <w:sectPr w:rsidR="00E5470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133B9"/>
    <w:multiLevelType w:val="multilevel"/>
    <w:tmpl w:val="0302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D6F7F"/>
    <w:multiLevelType w:val="multilevel"/>
    <w:tmpl w:val="2F34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D0B9B"/>
    <w:multiLevelType w:val="hybridMultilevel"/>
    <w:tmpl w:val="D2E2E0FC"/>
    <w:lvl w:ilvl="0" w:tplc="892838E2">
      <w:start w:val="1"/>
      <w:numFmt w:val="decimal"/>
      <w:lvlText w:val="%1."/>
      <w:lvlJc w:val="left"/>
      <w:pPr>
        <w:ind w:left="720" w:hanging="360"/>
      </w:pPr>
      <w:rPr>
        <w:rFonts w:hint="default"/>
        <w:color w:val="000000" w:themeColor="text1"/>
      </w:rPr>
    </w:lvl>
    <w:lvl w:ilvl="1" w:tplc="7DF20DA4" w:tentative="1">
      <w:start w:val="1"/>
      <w:numFmt w:val="lowerLetter"/>
      <w:lvlText w:val="%2."/>
      <w:lvlJc w:val="left"/>
      <w:pPr>
        <w:ind w:left="1440" w:hanging="360"/>
      </w:pPr>
    </w:lvl>
    <w:lvl w:ilvl="2" w:tplc="AC607FF2" w:tentative="1">
      <w:start w:val="1"/>
      <w:numFmt w:val="lowerRoman"/>
      <w:lvlText w:val="%3."/>
      <w:lvlJc w:val="right"/>
      <w:pPr>
        <w:ind w:left="2160" w:hanging="180"/>
      </w:pPr>
    </w:lvl>
    <w:lvl w:ilvl="3" w:tplc="E578BB4E" w:tentative="1">
      <w:start w:val="1"/>
      <w:numFmt w:val="decimal"/>
      <w:lvlText w:val="%4."/>
      <w:lvlJc w:val="left"/>
      <w:pPr>
        <w:ind w:left="2880" w:hanging="360"/>
      </w:pPr>
    </w:lvl>
    <w:lvl w:ilvl="4" w:tplc="17B82E2A" w:tentative="1">
      <w:start w:val="1"/>
      <w:numFmt w:val="lowerLetter"/>
      <w:lvlText w:val="%5."/>
      <w:lvlJc w:val="left"/>
      <w:pPr>
        <w:ind w:left="3600" w:hanging="360"/>
      </w:pPr>
    </w:lvl>
    <w:lvl w:ilvl="5" w:tplc="73DC43A6" w:tentative="1">
      <w:start w:val="1"/>
      <w:numFmt w:val="lowerRoman"/>
      <w:lvlText w:val="%6."/>
      <w:lvlJc w:val="right"/>
      <w:pPr>
        <w:ind w:left="4320" w:hanging="180"/>
      </w:pPr>
    </w:lvl>
    <w:lvl w:ilvl="6" w:tplc="CC404470" w:tentative="1">
      <w:start w:val="1"/>
      <w:numFmt w:val="decimal"/>
      <w:lvlText w:val="%7."/>
      <w:lvlJc w:val="left"/>
      <w:pPr>
        <w:ind w:left="5040" w:hanging="360"/>
      </w:pPr>
    </w:lvl>
    <w:lvl w:ilvl="7" w:tplc="11322CCE" w:tentative="1">
      <w:start w:val="1"/>
      <w:numFmt w:val="lowerLetter"/>
      <w:lvlText w:val="%8."/>
      <w:lvlJc w:val="left"/>
      <w:pPr>
        <w:ind w:left="5760" w:hanging="360"/>
      </w:pPr>
    </w:lvl>
    <w:lvl w:ilvl="8" w:tplc="5C9660AA" w:tentative="1">
      <w:start w:val="1"/>
      <w:numFmt w:val="lowerRoman"/>
      <w:lvlText w:val="%9."/>
      <w:lvlJc w:val="right"/>
      <w:pPr>
        <w:ind w:left="6480" w:hanging="180"/>
      </w:pPr>
    </w:lvl>
  </w:abstractNum>
  <w:abstractNum w:abstractNumId="3" w15:restartNumberingAfterBreak="0">
    <w:nsid w:val="30237934"/>
    <w:multiLevelType w:val="multilevel"/>
    <w:tmpl w:val="2F26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51424"/>
    <w:multiLevelType w:val="multilevel"/>
    <w:tmpl w:val="BC70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BB1F73"/>
    <w:multiLevelType w:val="hybridMultilevel"/>
    <w:tmpl w:val="AEB60FE6"/>
    <w:lvl w:ilvl="0" w:tplc="783AB32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5A787232"/>
    <w:multiLevelType w:val="multilevel"/>
    <w:tmpl w:val="6352C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542251"/>
    <w:multiLevelType w:val="multilevel"/>
    <w:tmpl w:val="C0945DCC"/>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BB40BC"/>
    <w:multiLevelType w:val="multilevel"/>
    <w:tmpl w:val="4F8A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C04F4"/>
    <w:multiLevelType w:val="multilevel"/>
    <w:tmpl w:val="66EC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032A87"/>
    <w:multiLevelType w:val="multilevel"/>
    <w:tmpl w:val="6A884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400F8D"/>
    <w:multiLevelType w:val="multilevel"/>
    <w:tmpl w:val="A1F4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D615CB"/>
    <w:multiLevelType w:val="multilevel"/>
    <w:tmpl w:val="81E81C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1B7343"/>
    <w:multiLevelType w:val="multilevel"/>
    <w:tmpl w:val="242E4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3"/>
  </w:num>
  <w:num w:numId="4">
    <w:abstractNumId w:val="1"/>
  </w:num>
  <w:num w:numId="5">
    <w:abstractNumId w:val="0"/>
  </w:num>
  <w:num w:numId="6">
    <w:abstractNumId w:val="7"/>
  </w:num>
  <w:num w:numId="7">
    <w:abstractNumId w:val="11"/>
  </w:num>
  <w:num w:numId="8">
    <w:abstractNumId w:val="13"/>
  </w:num>
  <w:num w:numId="9">
    <w:abstractNumId w:val="4"/>
  </w:num>
  <w:num w:numId="10">
    <w:abstractNumId w:val="10"/>
  </w:num>
  <w:num w:numId="11">
    <w:abstractNumId w:val="9"/>
  </w:num>
  <w:num w:numId="12">
    <w:abstractNumId w:val="12"/>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Q1MDIyMTA3MzG0NDBX0lEKTi0uzszPAykwqgUAjt8PAiwAAAA="/>
  </w:docVars>
  <w:rsids>
    <w:rsidRoot w:val="00A35D8B"/>
    <w:rsid w:val="00004A61"/>
    <w:rsid w:val="0004526C"/>
    <w:rsid w:val="0008674D"/>
    <w:rsid w:val="000C687D"/>
    <w:rsid w:val="000D6C37"/>
    <w:rsid w:val="00121058"/>
    <w:rsid w:val="001541A5"/>
    <w:rsid w:val="001B6BFA"/>
    <w:rsid w:val="001D6258"/>
    <w:rsid w:val="00275DEE"/>
    <w:rsid w:val="002B7B3B"/>
    <w:rsid w:val="00301751"/>
    <w:rsid w:val="00320DAD"/>
    <w:rsid w:val="0035340E"/>
    <w:rsid w:val="00415342"/>
    <w:rsid w:val="004305A5"/>
    <w:rsid w:val="0043152C"/>
    <w:rsid w:val="004A11A6"/>
    <w:rsid w:val="004B67F5"/>
    <w:rsid w:val="004C4177"/>
    <w:rsid w:val="004E60E1"/>
    <w:rsid w:val="006367D4"/>
    <w:rsid w:val="006A56B1"/>
    <w:rsid w:val="00724185"/>
    <w:rsid w:val="0072425C"/>
    <w:rsid w:val="00755D41"/>
    <w:rsid w:val="00760C6F"/>
    <w:rsid w:val="007624C6"/>
    <w:rsid w:val="0076483E"/>
    <w:rsid w:val="007710F4"/>
    <w:rsid w:val="00786298"/>
    <w:rsid w:val="007C0ACD"/>
    <w:rsid w:val="007C68F3"/>
    <w:rsid w:val="007E315F"/>
    <w:rsid w:val="00814794"/>
    <w:rsid w:val="00902761"/>
    <w:rsid w:val="009242BE"/>
    <w:rsid w:val="009521FB"/>
    <w:rsid w:val="009F1A14"/>
    <w:rsid w:val="00A35D8B"/>
    <w:rsid w:val="00A41EB6"/>
    <w:rsid w:val="00A51EDE"/>
    <w:rsid w:val="00A64548"/>
    <w:rsid w:val="00A74973"/>
    <w:rsid w:val="00B02F3D"/>
    <w:rsid w:val="00B225E1"/>
    <w:rsid w:val="00B270E0"/>
    <w:rsid w:val="00B35847"/>
    <w:rsid w:val="00B758F4"/>
    <w:rsid w:val="00BA58E8"/>
    <w:rsid w:val="00BF02C1"/>
    <w:rsid w:val="00C37A99"/>
    <w:rsid w:val="00C678B6"/>
    <w:rsid w:val="00CE76C2"/>
    <w:rsid w:val="00DD6618"/>
    <w:rsid w:val="00E54706"/>
    <w:rsid w:val="00E73A89"/>
    <w:rsid w:val="00EE3C63"/>
    <w:rsid w:val="00EF2B78"/>
    <w:rsid w:val="00F33103"/>
    <w:rsid w:val="00F55A8D"/>
    <w:rsid w:val="00F72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7350"/>
  <w15:chartTrackingRefBased/>
  <w15:docId w15:val="{4400D690-99ED-154F-B651-D21B4A37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F1A14"/>
    <w:pPr>
      <w:spacing w:before="100" w:beforeAutospacing="1" w:after="100" w:afterAutospacing="1"/>
      <w:outlineLvl w:val="1"/>
    </w:pPr>
    <w:rPr>
      <w:rFonts w:ascii="Times New Roman" w:eastAsia="Times New Roman" w:hAnsi="Times New Roman" w:cs="Times New Roman"/>
      <w:b/>
      <w:bCs/>
      <w:kern w:val="0"/>
      <w:sz w:val="36"/>
      <w:szCs w:val="36"/>
      <w:lang w:val="en-GB"/>
      <w14:ligatures w14:val="none"/>
    </w:rPr>
  </w:style>
  <w:style w:type="paragraph" w:styleId="Heading3">
    <w:name w:val="heading 3"/>
    <w:basedOn w:val="Normal"/>
    <w:next w:val="Normal"/>
    <w:link w:val="Heading3Char"/>
    <w:uiPriority w:val="9"/>
    <w:semiHidden/>
    <w:unhideWhenUsed/>
    <w:qFormat/>
    <w:rsid w:val="009F1A14"/>
    <w:pPr>
      <w:keepNext/>
      <w:keepLines/>
      <w:spacing w:before="40"/>
      <w:outlineLvl w:val="2"/>
    </w:pPr>
    <w:rPr>
      <w:rFonts w:asciiTheme="majorHAnsi" w:eastAsiaTheme="majorEastAsia" w:hAnsiTheme="majorHAnsi" w:cstheme="majorBidi"/>
      <w:color w:val="1F3763" w:themeColor="accent1" w:themeShade="7F"/>
      <w:lang w:val="en-GB"/>
    </w:rPr>
  </w:style>
  <w:style w:type="paragraph" w:styleId="Heading4">
    <w:name w:val="heading 4"/>
    <w:basedOn w:val="Normal"/>
    <w:next w:val="Normal"/>
    <w:link w:val="Heading4Char"/>
    <w:uiPriority w:val="9"/>
    <w:semiHidden/>
    <w:unhideWhenUsed/>
    <w:qFormat/>
    <w:rsid w:val="006367D4"/>
    <w:pPr>
      <w:keepNext/>
      <w:keepLines/>
      <w:spacing w:before="40"/>
      <w:outlineLvl w:val="3"/>
    </w:pPr>
    <w:rPr>
      <w:rFonts w:asciiTheme="majorHAnsi" w:eastAsiaTheme="majorEastAsia" w:hAnsiTheme="majorHAnsi" w:cstheme="majorBidi"/>
      <w:i/>
      <w:iCs/>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35D8B"/>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F33103"/>
    <w:rPr>
      <w:sz w:val="16"/>
      <w:szCs w:val="16"/>
    </w:rPr>
  </w:style>
  <w:style w:type="paragraph" w:styleId="CommentText">
    <w:name w:val="annotation text"/>
    <w:basedOn w:val="Normal"/>
    <w:link w:val="CommentTextChar"/>
    <w:uiPriority w:val="99"/>
    <w:semiHidden/>
    <w:unhideWhenUsed/>
    <w:rsid w:val="00F33103"/>
    <w:rPr>
      <w:sz w:val="20"/>
      <w:szCs w:val="20"/>
      <w:lang w:val="en-GB"/>
    </w:rPr>
  </w:style>
  <w:style w:type="character" w:customStyle="1" w:styleId="CommentTextChar">
    <w:name w:val="Comment Text Char"/>
    <w:basedOn w:val="DefaultParagraphFont"/>
    <w:link w:val="CommentText"/>
    <w:uiPriority w:val="99"/>
    <w:semiHidden/>
    <w:rsid w:val="00F33103"/>
    <w:rPr>
      <w:sz w:val="20"/>
      <w:szCs w:val="20"/>
      <w:lang w:val="en-GB"/>
    </w:rPr>
  </w:style>
  <w:style w:type="character" w:styleId="Hyperlink">
    <w:name w:val="Hyperlink"/>
    <w:basedOn w:val="DefaultParagraphFont"/>
    <w:uiPriority w:val="99"/>
    <w:unhideWhenUsed/>
    <w:rsid w:val="00E54706"/>
    <w:rPr>
      <w:color w:val="0000FF"/>
      <w:u w:val="single"/>
    </w:rPr>
  </w:style>
  <w:style w:type="paragraph" w:customStyle="1" w:styleId="OrtaKlavuz21">
    <w:name w:val="Orta Kılavuz 21"/>
    <w:uiPriority w:val="1"/>
    <w:qFormat/>
    <w:rsid w:val="00E54706"/>
    <w:rPr>
      <w:rFonts w:ascii="Calibri" w:eastAsia="Calibri" w:hAnsi="Calibri" w:cs="Times New Roman"/>
      <w:kern w:val="0"/>
      <w:sz w:val="22"/>
      <w:szCs w:val="22"/>
      <w:lang w:val="tr-TR"/>
      <w14:ligatures w14:val="none"/>
    </w:rPr>
  </w:style>
  <w:style w:type="paragraph" w:styleId="ListParagraph">
    <w:name w:val="List Paragraph"/>
    <w:basedOn w:val="Normal"/>
    <w:uiPriority w:val="34"/>
    <w:qFormat/>
    <w:rsid w:val="00E54706"/>
    <w:pPr>
      <w:ind w:left="720"/>
      <w:contextualSpacing/>
    </w:pPr>
  </w:style>
  <w:style w:type="table" w:styleId="TableGrid">
    <w:name w:val="Table Grid"/>
    <w:basedOn w:val="TableNormal"/>
    <w:uiPriority w:val="39"/>
    <w:rsid w:val="00E54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F1A14"/>
    <w:rPr>
      <w:rFonts w:ascii="Times New Roman" w:eastAsia="Times New Roman" w:hAnsi="Times New Roman" w:cs="Times New Roman"/>
      <w:b/>
      <w:bCs/>
      <w:kern w:val="0"/>
      <w:sz w:val="36"/>
      <w:szCs w:val="36"/>
      <w:lang w:val="en-GB"/>
      <w14:ligatures w14:val="none"/>
    </w:rPr>
  </w:style>
  <w:style w:type="character" w:customStyle="1" w:styleId="Heading3Char">
    <w:name w:val="Heading 3 Char"/>
    <w:basedOn w:val="DefaultParagraphFont"/>
    <w:link w:val="Heading3"/>
    <w:uiPriority w:val="9"/>
    <w:semiHidden/>
    <w:rsid w:val="009F1A14"/>
    <w:rPr>
      <w:rFonts w:asciiTheme="majorHAnsi" w:eastAsiaTheme="majorEastAsia" w:hAnsiTheme="majorHAnsi" w:cstheme="majorBidi"/>
      <w:color w:val="1F3763" w:themeColor="accent1" w:themeShade="7F"/>
      <w:lang w:val="en-GB"/>
    </w:rPr>
  </w:style>
  <w:style w:type="character" w:styleId="Strong">
    <w:name w:val="Strong"/>
    <w:basedOn w:val="DefaultParagraphFont"/>
    <w:uiPriority w:val="22"/>
    <w:qFormat/>
    <w:rsid w:val="009F1A14"/>
    <w:rPr>
      <w:b/>
      <w:bCs/>
    </w:rPr>
  </w:style>
  <w:style w:type="character" w:customStyle="1" w:styleId="Heading4Char">
    <w:name w:val="Heading 4 Char"/>
    <w:basedOn w:val="DefaultParagraphFont"/>
    <w:link w:val="Heading4"/>
    <w:uiPriority w:val="9"/>
    <w:semiHidden/>
    <w:rsid w:val="006367D4"/>
    <w:rPr>
      <w:rFonts w:asciiTheme="majorHAnsi" w:eastAsiaTheme="majorEastAsia" w:hAnsiTheme="majorHAnsi" w:cstheme="majorBidi"/>
      <w:i/>
      <w:iCs/>
      <w:color w:val="2F5496" w:themeColor="accent1" w:themeShade="BF"/>
      <w:lang w:val="en-GB"/>
    </w:rPr>
  </w:style>
  <w:style w:type="character" w:styleId="Emphasis">
    <w:name w:val="Emphasis"/>
    <w:basedOn w:val="DefaultParagraphFont"/>
    <w:uiPriority w:val="20"/>
    <w:qFormat/>
    <w:rsid w:val="00755D41"/>
    <w:rPr>
      <w:i/>
      <w:iCs/>
    </w:rPr>
  </w:style>
  <w:style w:type="character" w:customStyle="1" w:styleId="identifier">
    <w:name w:val="identifier"/>
    <w:basedOn w:val="DefaultParagraphFont"/>
    <w:rsid w:val="00755D41"/>
  </w:style>
  <w:style w:type="character" w:customStyle="1" w:styleId="id-label">
    <w:name w:val="id-label"/>
    <w:basedOn w:val="DefaultParagraphFont"/>
    <w:rsid w:val="00755D41"/>
  </w:style>
  <w:style w:type="character" w:customStyle="1" w:styleId="url">
    <w:name w:val="url"/>
    <w:basedOn w:val="DefaultParagraphFont"/>
    <w:rsid w:val="00755D41"/>
  </w:style>
  <w:style w:type="character" w:customStyle="1" w:styleId="y2iqfc">
    <w:name w:val="y2iqfc"/>
    <w:basedOn w:val="DefaultParagraphFont"/>
    <w:rsid w:val="00755D41"/>
  </w:style>
  <w:style w:type="paragraph" w:styleId="HTMLPreformatted">
    <w:name w:val="HTML Preformatted"/>
    <w:basedOn w:val="Normal"/>
    <w:link w:val="HTMLPreformattedChar"/>
    <w:uiPriority w:val="99"/>
    <w:unhideWhenUsed/>
    <w:rsid w:val="00755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tr-TR" w:eastAsia="tr-TR"/>
      <w14:ligatures w14:val="none"/>
    </w:rPr>
  </w:style>
  <w:style w:type="character" w:customStyle="1" w:styleId="HTMLPreformattedChar">
    <w:name w:val="HTML Preformatted Char"/>
    <w:basedOn w:val="DefaultParagraphFont"/>
    <w:link w:val="HTMLPreformatted"/>
    <w:uiPriority w:val="99"/>
    <w:rsid w:val="00755D41"/>
    <w:rPr>
      <w:rFonts w:ascii="Courier New" w:eastAsia="Times New Roman" w:hAnsi="Courier New" w:cs="Courier New"/>
      <w:kern w:val="0"/>
      <w:sz w:val="20"/>
      <w:szCs w:val="20"/>
      <w:lang w:val="tr-TR" w:eastAsia="tr-TR"/>
      <w14:ligatures w14:val="none"/>
    </w:rPr>
  </w:style>
  <w:style w:type="paragraph" w:styleId="Footer">
    <w:name w:val="footer"/>
    <w:basedOn w:val="Normal"/>
    <w:link w:val="FooterChar"/>
    <w:uiPriority w:val="99"/>
    <w:unhideWhenUsed/>
    <w:rsid w:val="00755D41"/>
    <w:pPr>
      <w:tabs>
        <w:tab w:val="center" w:pos="4680"/>
        <w:tab w:val="right" w:pos="9360"/>
      </w:tabs>
    </w:pPr>
    <w:rPr>
      <w:lang w:val="en-GB"/>
    </w:rPr>
  </w:style>
  <w:style w:type="character" w:customStyle="1" w:styleId="FooterChar">
    <w:name w:val="Footer Char"/>
    <w:basedOn w:val="DefaultParagraphFont"/>
    <w:link w:val="Footer"/>
    <w:uiPriority w:val="99"/>
    <w:rsid w:val="00755D41"/>
    <w:rPr>
      <w:lang w:val="en-GB"/>
    </w:rPr>
  </w:style>
  <w:style w:type="character" w:styleId="PageNumber">
    <w:name w:val="page number"/>
    <w:basedOn w:val="DefaultParagraphFont"/>
    <w:uiPriority w:val="99"/>
    <w:semiHidden/>
    <w:unhideWhenUsed/>
    <w:rsid w:val="00755D41"/>
  </w:style>
  <w:style w:type="character" w:styleId="FollowedHyperlink">
    <w:name w:val="FollowedHyperlink"/>
    <w:basedOn w:val="DefaultParagraphFont"/>
    <w:uiPriority w:val="99"/>
    <w:semiHidden/>
    <w:unhideWhenUsed/>
    <w:rsid w:val="00755D41"/>
    <w:rPr>
      <w:color w:val="954F72" w:themeColor="followedHyperlink"/>
      <w:u w:val="single"/>
    </w:rPr>
  </w:style>
  <w:style w:type="paragraph" w:styleId="Header">
    <w:name w:val="header"/>
    <w:basedOn w:val="Normal"/>
    <w:link w:val="HeaderChar"/>
    <w:uiPriority w:val="99"/>
    <w:unhideWhenUsed/>
    <w:rsid w:val="00755D41"/>
    <w:pPr>
      <w:tabs>
        <w:tab w:val="center" w:pos="4680"/>
        <w:tab w:val="right" w:pos="9360"/>
      </w:tabs>
    </w:pPr>
    <w:rPr>
      <w:lang w:val="en-GB"/>
    </w:rPr>
  </w:style>
  <w:style w:type="character" w:customStyle="1" w:styleId="HeaderChar">
    <w:name w:val="Header Char"/>
    <w:basedOn w:val="DefaultParagraphFont"/>
    <w:link w:val="Header"/>
    <w:uiPriority w:val="99"/>
    <w:rsid w:val="00755D41"/>
    <w:rPr>
      <w:lang w:val="en-GB"/>
    </w:rPr>
  </w:style>
  <w:style w:type="paragraph" w:styleId="CommentSubject">
    <w:name w:val="annotation subject"/>
    <w:basedOn w:val="CommentText"/>
    <w:next w:val="CommentText"/>
    <w:link w:val="CommentSubjectChar"/>
    <w:uiPriority w:val="99"/>
    <w:semiHidden/>
    <w:unhideWhenUsed/>
    <w:rsid w:val="00755D41"/>
    <w:rPr>
      <w:b/>
      <w:bCs/>
    </w:rPr>
  </w:style>
  <w:style w:type="character" w:customStyle="1" w:styleId="CommentSubjectChar">
    <w:name w:val="Comment Subject Char"/>
    <w:basedOn w:val="CommentTextChar"/>
    <w:link w:val="CommentSubject"/>
    <w:uiPriority w:val="99"/>
    <w:semiHidden/>
    <w:rsid w:val="00755D41"/>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000495">
      <w:bodyDiv w:val="1"/>
      <w:marLeft w:val="0"/>
      <w:marRight w:val="0"/>
      <w:marTop w:val="0"/>
      <w:marBottom w:val="0"/>
      <w:divBdr>
        <w:top w:val="none" w:sz="0" w:space="0" w:color="auto"/>
        <w:left w:val="none" w:sz="0" w:space="0" w:color="auto"/>
        <w:bottom w:val="none" w:sz="0" w:space="0" w:color="auto"/>
        <w:right w:val="none" w:sz="0" w:space="0" w:color="auto"/>
      </w:divBdr>
    </w:div>
    <w:div w:id="371731744">
      <w:bodyDiv w:val="1"/>
      <w:marLeft w:val="0"/>
      <w:marRight w:val="0"/>
      <w:marTop w:val="0"/>
      <w:marBottom w:val="0"/>
      <w:divBdr>
        <w:top w:val="none" w:sz="0" w:space="0" w:color="auto"/>
        <w:left w:val="none" w:sz="0" w:space="0" w:color="auto"/>
        <w:bottom w:val="none" w:sz="0" w:space="0" w:color="auto"/>
        <w:right w:val="none" w:sz="0" w:space="0" w:color="auto"/>
      </w:divBdr>
    </w:div>
    <w:div w:id="624311616">
      <w:bodyDiv w:val="1"/>
      <w:marLeft w:val="0"/>
      <w:marRight w:val="0"/>
      <w:marTop w:val="0"/>
      <w:marBottom w:val="0"/>
      <w:divBdr>
        <w:top w:val="none" w:sz="0" w:space="0" w:color="auto"/>
        <w:left w:val="none" w:sz="0" w:space="0" w:color="auto"/>
        <w:bottom w:val="none" w:sz="0" w:space="0" w:color="auto"/>
        <w:right w:val="none" w:sz="0" w:space="0" w:color="auto"/>
      </w:divBdr>
    </w:div>
    <w:div w:id="1056733117">
      <w:bodyDiv w:val="1"/>
      <w:marLeft w:val="0"/>
      <w:marRight w:val="0"/>
      <w:marTop w:val="0"/>
      <w:marBottom w:val="0"/>
      <w:divBdr>
        <w:top w:val="none" w:sz="0" w:space="0" w:color="auto"/>
        <w:left w:val="none" w:sz="0" w:space="0" w:color="auto"/>
        <w:bottom w:val="none" w:sz="0" w:space="0" w:color="auto"/>
        <w:right w:val="none" w:sz="0" w:space="0" w:color="auto"/>
      </w:divBdr>
    </w:div>
    <w:div w:id="1206716001">
      <w:bodyDiv w:val="1"/>
      <w:marLeft w:val="0"/>
      <w:marRight w:val="0"/>
      <w:marTop w:val="0"/>
      <w:marBottom w:val="0"/>
      <w:divBdr>
        <w:top w:val="none" w:sz="0" w:space="0" w:color="auto"/>
        <w:left w:val="none" w:sz="0" w:space="0" w:color="auto"/>
        <w:bottom w:val="none" w:sz="0" w:space="0" w:color="auto"/>
        <w:right w:val="none" w:sz="0" w:space="0" w:color="auto"/>
      </w:divBdr>
    </w:div>
    <w:div w:id="1462575612">
      <w:bodyDiv w:val="1"/>
      <w:marLeft w:val="0"/>
      <w:marRight w:val="0"/>
      <w:marTop w:val="0"/>
      <w:marBottom w:val="0"/>
      <w:divBdr>
        <w:top w:val="none" w:sz="0" w:space="0" w:color="auto"/>
        <w:left w:val="none" w:sz="0" w:space="0" w:color="auto"/>
        <w:bottom w:val="none" w:sz="0" w:space="0" w:color="auto"/>
        <w:right w:val="none" w:sz="0" w:space="0" w:color="auto"/>
      </w:divBdr>
    </w:div>
    <w:div w:id="150944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8%2Fbjc.2014.215" TargetMode="External"/><Relationship Id="rId13" Type="http://schemas.openxmlformats.org/officeDocument/2006/relationships/hyperlink" Target="https://doi.org/10.1126/science.1164368" TargetMode="External"/><Relationship Id="rId18" Type="http://schemas.openxmlformats.org/officeDocument/2006/relationships/hyperlink" Target="https://doi.org/10.1016/j.bbcan.2020.188409" TargetMode="External"/><Relationship Id="rId26" Type="http://schemas.openxmlformats.org/officeDocument/2006/relationships/hyperlink" Target="https://doi.org/10.1186/s13045-024-01613-x" TargetMode="External"/><Relationship Id="rId3" Type="http://schemas.openxmlformats.org/officeDocument/2006/relationships/settings" Target="settings.xml"/><Relationship Id="rId21" Type="http://schemas.openxmlformats.org/officeDocument/2006/relationships/hyperlink" Target="https://doi.org/10.1186/s12866-023-03166-4" TargetMode="External"/><Relationship Id="rId7" Type="http://schemas.openxmlformats.org/officeDocument/2006/relationships/hyperlink" Target="https://doi.org/10.1148/radiol.220152" TargetMode="External"/><Relationship Id="rId12" Type="http://schemas.openxmlformats.org/officeDocument/2006/relationships/hyperlink" Target="https://doi.org/10.1186/s12943-021-01310-0" TargetMode="External"/><Relationship Id="rId17" Type="http://schemas.openxmlformats.org/officeDocument/2006/relationships/hyperlink" Target="https://doi.org/10.1023/a:1015052710213" TargetMode="External"/><Relationship Id="rId25" Type="http://schemas.openxmlformats.org/officeDocument/2006/relationships/hyperlink" Target="https://doi.org/10.1007/s10555-023-10127-w" TargetMode="External"/><Relationship Id="rId2" Type="http://schemas.openxmlformats.org/officeDocument/2006/relationships/styles" Target="styles.xml"/><Relationship Id="rId16" Type="http://schemas.openxmlformats.org/officeDocument/2006/relationships/hyperlink" Target="http://dx.doi.org/10.1016/j.bpg.2017.09.001" TargetMode="External"/><Relationship Id="rId20" Type="http://schemas.openxmlformats.org/officeDocument/2006/relationships/hyperlink" Target="https://doi.org/10.1515(cclm-2017-1163" TargetMode="External"/><Relationship Id="rId29" Type="http://schemas.openxmlformats.org/officeDocument/2006/relationships/hyperlink" Target="https://doi.org/10.1007/s00262-024-03632-6" TargetMode="External"/><Relationship Id="rId1" Type="http://schemas.openxmlformats.org/officeDocument/2006/relationships/numbering" Target="numbering.xml"/><Relationship Id="rId6" Type="http://schemas.openxmlformats.org/officeDocument/2006/relationships/hyperlink" Target="https://doi.org/10.1007/s11010-016-2828-5" TargetMode="External"/><Relationship Id="rId11" Type="http://schemas.openxmlformats.org/officeDocument/2006/relationships/hyperlink" Target="https://doi.org/10.1016/j.biomaterials" TargetMode="External"/><Relationship Id="rId24" Type="http://schemas.openxmlformats.org/officeDocument/2006/relationships/hyperlink" Target="https://doi.org/10.1038/nrgastro.2017.142"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oi.org/10.3390/diagnostics13122080" TargetMode="External"/><Relationship Id="rId23" Type="http://schemas.openxmlformats.org/officeDocument/2006/relationships/hyperlink" Target="https://doi.org/10.5114/ceji.2018.80051" TargetMode="External"/><Relationship Id="rId28" Type="http://schemas.openxmlformats.org/officeDocument/2006/relationships/hyperlink" Target="https://doi.org/10.1002/ags3.12902" TargetMode="External"/><Relationship Id="rId10" Type="http://schemas.openxmlformats.org/officeDocument/2006/relationships/hyperlink" Target="https://doi.org/10.3748/wjg.v23.i19.3565" TargetMode="External"/><Relationship Id="rId19" Type="http://schemas.openxmlformats.org/officeDocument/2006/relationships/hyperlink" Target="https://doi.org/10.1371/journal.pone.002409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6/j.asjsur.2020.07.021" TargetMode="External"/><Relationship Id="rId14" Type="http://schemas.openxmlformats.org/officeDocument/2006/relationships/hyperlink" Target="https://doi.org/10.1007/s00330-020-07307-5" TargetMode="External"/><Relationship Id="rId22" Type="http://schemas.openxmlformats.org/officeDocument/2006/relationships/hyperlink" Target="https://doi.org/10.1158/2159-8290.cd-18-0123" TargetMode="External"/><Relationship Id="rId27" Type="http://schemas.openxmlformats.org/officeDocument/2006/relationships/hyperlink" Target="https://doi.org/10.4161/auto.26463" TargetMode="External"/><Relationship Id="rId30" Type="http://schemas.openxmlformats.org/officeDocument/2006/relationships/hyperlink" Target="https://doi.org/10.1186/s12916-018-121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25</Pages>
  <Words>10949</Words>
  <Characters>62411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1020</cp:lastModifiedBy>
  <cp:revision>58</cp:revision>
  <dcterms:created xsi:type="dcterms:W3CDTF">2026-04-22T07:23:00Z</dcterms:created>
  <dcterms:modified xsi:type="dcterms:W3CDTF">2026-04-24T11:12:00Z</dcterms:modified>
</cp:coreProperties>
</file>