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D8F57" w14:textId="77777777" w:rsidR="006A12D8" w:rsidRDefault="001D6DC1" w:rsidP="00A837FD">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 xml:space="preserve">AI-Driven Drug Discovery and Translational Medicine: From Computational Models to Clinical Impact </w:t>
      </w:r>
    </w:p>
    <w:p w14:paraId="71D0FF21" w14:textId="77777777" w:rsidR="006A12D8" w:rsidRDefault="006A12D8" w:rsidP="00A837FD">
      <w:pPr>
        <w:ind w:left="360" w:hanging="360"/>
        <w:jc w:val="both"/>
        <w:rPr>
          <w:rFonts w:ascii="Times New Roman" w:eastAsia="Times New Roman" w:hAnsi="Times New Roman" w:cs="Times New Roman"/>
          <w:b/>
          <w:bCs/>
        </w:rPr>
      </w:pPr>
    </w:p>
    <w:p w14:paraId="79D87F02" w14:textId="77777777" w:rsidR="006A12D8" w:rsidRDefault="001D6DC1" w:rsidP="00A837FD">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44CA2232" w14:textId="22C979C5" w:rsidR="000D0BE7" w:rsidRDefault="000D0BE7" w:rsidP="00A837FD">
      <w:pPr>
        <w:jc w:val="both"/>
        <w:rPr>
          <w:rFonts w:ascii="Times New Roman" w:eastAsia="Times New Roman" w:hAnsi="Times New Roman" w:cs="Times New Roman"/>
          <w:b/>
          <w:bCs/>
        </w:rPr>
      </w:pPr>
      <w:r>
        <w:rPr>
          <w:rFonts w:ascii="Times New Roman" w:eastAsia="Times New Roman" w:hAnsi="Times New Roman" w:cs="Times New Roman"/>
          <w:b/>
          <w:bCs/>
        </w:rPr>
        <w:t xml:space="preserve">Background: </w:t>
      </w:r>
      <w:r w:rsidR="0079067C" w:rsidRPr="0033296B">
        <w:rPr>
          <w:rFonts w:ascii="Times New Roman" w:eastAsia="Times New Roman" w:hAnsi="Times New Roman" w:cs="Times New Roman"/>
          <w:bCs/>
        </w:rPr>
        <w:t>Artificial intelligence</w:t>
      </w:r>
      <w:r w:rsidR="00E9576B">
        <w:rPr>
          <w:rFonts w:ascii="Times New Roman" w:eastAsia="Times New Roman" w:hAnsi="Times New Roman" w:cs="Times New Roman"/>
          <w:bCs/>
        </w:rPr>
        <w:t xml:space="preserve"> </w:t>
      </w:r>
      <w:r w:rsidR="00E9576B" w:rsidRPr="00E9576B">
        <w:rPr>
          <w:rFonts w:ascii="Times New Roman" w:eastAsia="Times New Roman" w:hAnsi="Times New Roman" w:cs="Times New Roman"/>
          <w:bCs/>
        </w:rPr>
        <w:t>(AI)</w:t>
      </w:r>
      <w:r w:rsidR="0079067C" w:rsidRPr="0033296B">
        <w:rPr>
          <w:rFonts w:ascii="Times New Roman" w:eastAsia="Times New Roman" w:hAnsi="Times New Roman" w:cs="Times New Roman"/>
          <w:bCs/>
        </w:rPr>
        <w:t xml:space="preserve"> and machine learning are increasingly being used to extract signals from chemical data and high-dimensional biomedical, and to support data-driven </w:t>
      </w:r>
      <w:proofErr w:type="spellStart"/>
      <w:r w:rsidR="0079067C" w:rsidRPr="0033296B">
        <w:rPr>
          <w:rFonts w:ascii="Times New Roman" w:eastAsia="Times New Roman" w:hAnsi="Times New Roman" w:cs="Times New Roman"/>
          <w:bCs/>
        </w:rPr>
        <w:t>prioritisation</w:t>
      </w:r>
      <w:proofErr w:type="spellEnd"/>
      <w:r w:rsidR="0079067C" w:rsidRPr="0033296B">
        <w:rPr>
          <w:rFonts w:ascii="Times New Roman" w:eastAsia="Times New Roman" w:hAnsi="Times New Roman" w:cs="Times New Roman"/>
          <w:bCs/>
        </w:rPr>
        <w:t xml:space="preserve"> throughout the process of taking a discovery to the clinic.</w:t>
      </w:r>
    </w:p>
    <w:p w14:paraId="670DB402" w14:textId="1CA291A1" w:rsidR="00EA08AF" w:rsidRPr="00EA08AF" w:rsidRDefault="00EA08AF" w:rsidP="00A837FD">
      <w:pPr>
        <w:jc w:val="both"/>
        <w:rPr>
          <w:rFonts w:ascii="Times New Roman" w:eastAsia="Times New Roman" w:hAnsi="Times New Roman" w:cs="Times New Roman"/>
        </w:rPr>
      </w:pPr>
      <w:r w:rsidRPr="00EA08AF">
        <w:rPr>
          <w:rFonts w:ascii="Times New Roman" w:eastAsia="Times New Roman" w:hAnsi="Times New Roman" w:cs="Times New Roman"/>
          <w:b/>
          <w:bCs/>
        </w:rPr>
        <w:t>Objective:</w:t>
      </w:r>
      <w:r w:rsidRPr="00EA08AF">
        <w:rPr>
          <w:rFonts w:ascii="Times New Roman" w:eastAsia="Times New Roman" w:hAnsi="Times New Roman" w:cs="Times New Roman"/>
        </w:rPr>
        <w:t xml:space="preserve"> </w:t>
      </w:r>
      <w:r w:rsidR="0021274A">
        <w:rPr>
          <w:rFonts w:ascii="Times New Roman" w:eastAsia="Times New Roman" w:hAnsi="Times New Roman" w:cs="Times New Roman"/>
        </w:rPr>
        <w:t>The study aims t</w:t>
      </w:r>
      <w:r w:rsidRPr="00EA08AF">
        <w:rPr>
          <w:rFonts w:ascii="Times New Roman" w:eastAsia="Times New Roman" w:hAnsi="Times New Roman" w:cs="Times New Roman"/>
        </w:rPr>
        <w:t>o map the application of AI and machine learning methods across the drug discovery–translational pipeline, and to evaluate the impact on clinical practice and the barriers to implementation.</w:t>
      </w:r>
    </w:p>
    <w:p w14:paraId="13BF9EF3" w14:textId="506F56CA" w:rsidR="00EA08AF" w:rsidRPr="00EA08AF" w:rsidRDefault="00EA08AF" w:rsidP="00A837FD">
      <w:pPr>
        <w:jc w:val="both"/>
        <w:rPr>
          <w:rFonts w:ascii="Times New Roman" w:eastAsia="Times New Roman" w:hAnsi="Times New Roman" w:cs="Times New Roman"/>
        </w:rPr>
      </w:pPr>
      <w:r w:rsidRPr="00EA08AF">
        <w:rPr>
          <w:rFonts w:ascii="Times New Roman" w:eastAsia="Times New Roman" w:hAnsi="Times New Roman" w:cs="Times New Roman"/>
          <w:b/>
          <w:bCs/>
        </w:rPr>
        <w:t>Method:</w:t>
      </w:r>
      <w:r w:rsidRPr="00EA08AF">
        <w:rPr>
          <w:rFonts w:ascii="Times New Roman" w:eastAsia="Times New Roman" w:hAnsi="Times New Roman" w:cs="Times New Roman"/>
        </w:rPr>
        <w:t xml:space="preserve"> A scoping review of peer-reviewed studies (2015–2025) was conducted using Embase and PubMed. Eligible studies reported real-world AI/ML applications with measurable outputs and applied validation (in vivo, cellular, biochemical, clinical, or trial-operational). Data were synthesized thematically and charted using an eight-domain extraction framework.</w:t>
      </w:r>
    </w:p>
    <w:p w14:paraId="5FC46F95" w14:textId="5A6154FA" w:rsidR="00EA08AF" w:rsidRPr="00EA08AF" w:rsidRDefault="00EA08AF" w:rsidP="00A837FD">
      <w:pPr>
        <w:jc w:val="both"/>
        <w:rPr>
          <w:rFonts w:ascii="Times New Roman" w:eastAsia="Times New Roman" w:hAnsi="Times New Roman" w:cs="Times New Roman"/>
        </w:rPr>
      </w:pPr>
      <w:r w:rsidRPr="00EA08AF">
        <w:rPr>
          <w:rFonts w:ascii="Times New Roman" w:eastAsia="Times New Roman" w:hAnsi="Times New Roman" w:cs="Times New Roman"/>
          <w:b/>
          <w:bCs/>
        </w:rPr>
        <w:t>Results:</w:t>
      </w:r>
      <w:r w:rsidRPr="00EA08AF">
        <w:rPr>
          <w:rFonts w:ascii="Times New Roman" w:eastAsia="Times New Roman" w:hAnsi="Times New Roman" w:cs="Times New Roman"/>
        </w:rPr>
        <w:t xml:space="preserve"> A total of 19 studies were included in the analysis. The evidence was found to be primarily focused on hit discovery (DNA-encoded library learning and virtual screening), preclinical modeling, lead optimization, and de novo/generative design. A smaller subset of studies addressed clinical trial operations and peptide/biologic antimicrobial discovery. Most studies reported prospective experimental validation, often involving animal models. However, only a minority demonstrated direct clinical translation, such as an AI-discovered candidate that was evaluated in a randomized phase 2a trial. Meanwhile, trial-operations tools showed consistent workflow gains (e.g., reduced time and increased screening accuracy). Key limitations included limited interpretability, uncertainty reporting, weak external validation, and restricted data access and representativeness.</w:t>
      </w:r>
    </w:p>
    <w:p w14:paraId="097E8A6C" w14:textId="765F53A7" w:rsidR="00EA08AF" w:rsidRDefault="00EA08AF" w:rsidP="00A837FD">
      <w:pPr>
        <w:jc w:val="both"/>
        <w:rPr>
          <w:rFonts w:ascii="Times New Roman" w:eastAsia="Times New Roman" w:hAnsi="Times New Roman" w:cs="Times New Roman"/>
        </w:rPr>
      </w:pPr>
      <w:r w:rsidRPr="00EA08AF">
        <w:rPr>
          <w:rFonts w:ascii="Times New Roman" w:eastAsia="Times New Roman" w:hAnsi="Times New Roman" w:cs="Times New Roman"/>
          <w:b/>
          <w:bCs/>
        </w:rPr>
        <w:t>Conclusion:</w:t>
      </w:r>
      <w:r w:rsidRPr="00EA08AF">
        <w:rPr>
          <w:rFonts w:ascii="Times New Roman" w:eastAsia="Times New Roman" w:hAnsi="Times New Roman" w:cs="Times New Roman"/>
        </w:rPr>
        <w:t xml:space="preserve"> The application of AI/ML can improve trial processes and accelerate early discovery, but achieving consistent clinical impact remains constrained by governance, evaluation </w:t>
      </w:r>
      <w:proofErr w:type="spellStart"/>
      <w:r w:rsidRPr="00EA08AF">
        <w:rPr>
          <w:rFonts w:ascii="Times New Roman" w:eastAsia="Times New Roman" w:hAnsi="Times New Roman" w:cs="Times New Roman"/>
        </w:rPr>
        <w:t>rigour</w:t>
      </w:r>
      <w:proofErr w:type="spellEnd"/>
      <w:r w:rsidRPr="00EA08AF">
        <w:rPr>
          <w:rFonts w:ascii="Times New Roman" w:eastAsia="Times New Roman" w:hAnsi="Times New Roman" w:cs="Times New Roman"/>
        </w:rPr>
        <w:t xml:space="preserve"> and data quality. Conducting prospective multi-site evaluations, creating benchmarked and uncertainty-aware models, and strengthening open data practices are essential for translation.</w:t>
      </w:r>
    </w:p>
    <w:p w14:paraId="2A2E4DA8" w14:textId="3BA6CFCC" w:rsidR="006A12D8" w:rsidRDefault="001D6DC1" w:rsidP="00A837FD">
      <w:pPr>
        <w:jc w:val="both"/>
        <w:rPr>
          <w:rFonts w:ascii="Times New Roman" w:eastAsia="Times New Roman" w:hAnsi="Times New Roman" w:cs="Times New Roman"/>
          <w:i/>
          <w:iCs/>
        </w:rPr>
      </w:pPr>
      <w:r>
        <w:rPr>
          <w:rFonts w:ascii="Times New Roman" w:eastAsia="Times New Roman" w:hAnsi="Times New Roman" w:cs="Times New Roman"/>
          <w:b/>
          <w:bCs/>
          <w:i/>
          <w:iCs/>
        </w:rPr>
        <w:t>Keywords:</w:t>
      </w:r>
      <w:r>
        <w:rPr>
          <w:rFonts w:ascii="Times New Roman" w:eastAsia="Times New Roman" w:hAnsi="Times New Roman" w:cs="Times New Roman"/>
          <w:i/>
          <w:iCs/>
        </w:rPr>
        <w:t xml:space="preserve"> Artificial intelligence; Drug discovery; Translational medicine; Generative models; Clinical trials.</w:t>
      </w:r>
    </w:p>
    <w:p w14:paraId="4D65FB4D" w14:textId="77777777" w:rsidR="006A12D8" w:rsidRDefault="001D6DC1" w:rsidP="00A837FD">
      <w:pPr>
        <w:numPr>
          <w:ilvl w:val="0"/>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5C669313"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1.1 Problem and context/background</w:t>
      </w:r>
    </w:p>
    <w:p w14:paraId="662516D1" w14:textId="42191F69"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process of drug discovery and development is still limited by rising costs, ongoing attrition</w:t>
      </w:r>
      <w:r w:rsidR="00EA08AF">
        <w:rPr>
          <w:rFonts w:ascii="Times New Roman" w:eastAsia="Times New Roman" w:hAnsi="Times New Roman" w:cs="Times New Roman"/>
        </w:rPr>
        <w:t>,</w:t>
      </w:r>
      <w:r>
        <w:rPr>
          <w:rFonts w:ascii="Times New Roman" w:eastAsia="Times New Roman" w:hAnsi="Times New Roman" w:cs="Times New Roman"/>
        </w:rPr>
        <w:t xml:space="preserve"> and lengthy timelines. When the cost of failed candidates is incorporated, capitalized estimates of pre-approval spending per approved compound can reach the multi-billion-dollar range (DiMasi et al., 2016). Estimates derived from regulatory sources and publicly available financial data further demonstrate that the median capitalized investment required to bring a therapeutic agent to market often exceeds one billion dollars, with substantial variation across therapeutic areas and sensitivity to assumptions about the cost of capital and failure rates (Wouters et al., 2020). Even after a candidate enters human testing, success probabilities remain indication-dependent and modest. Large-scale analyses of clinical trial registry data reveal particularly low aggregate success rates in oncology, emphasizing that outcomes differ across disease phases, types, and trial features (Wong et al., 2019). These economic and probabilistic realities create strong pressure to reduce uncertainty at an early stage, prioritize higher-quality hypotheses and allocate experimental resources more efficiently.</w:t>
      </w:r>
    </w:p>
    <w:p w14:paraId="37E944B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At an organizational level, research-based companies have adapted their innovation models in response to declining R&amp;D efficiency. These strategies include partnering to mitigate risk and licensing, tighter portfolio management, and outsourcing </w:t>
      </w:r>
      <w:r>
        <w:rPr>
          <w:rFonts w:ascii="Times New Roman" w:eastAsia="Times New Roman" w:hAnsi="Times New Roman" w:cs="Times New Roman"/>
        </w:rPr>
        <w:lastRenderedPageBreak/>
        <w:t>and sharing risk in later development. Open-innovation approaches also broaden access to ideas and external capabilities (Schuhmacher et al., 2016). However, these efficiency strategies are subject to a fundamental constraint: the reliability of the knowledge base informing initial decisions. Low reproducibility in preclinical research undermines the generation of cumulative evidence, increases the risk of failure downstream, and represents a significant economic burden on investment in biomedical research (Freedman et al., 2015). When foundational findings are fragile, development efforts and subsequent optimization may be based on unstable mechanistic assumptions, compounding costs and delays. Therefore, improving discovery productivity requires faster workflows and methods that enhance decision credibility under uncertainty.</w:t>
      </w:r>
    </w:p>
    <w:p w14:paraId="0AFEE75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Artificial intelligence and machine learning are increasingly being used to extract signals from chemical data and high-dimensional biomedical, and to support data-driven </w:t>
      </w:r>
      <w:proofErr w:type="spellStart"/>
      <w:r>
        <w:rPr>
          <w:rFonts w:ascii="Times New Roman" w:eastAsia="Times New Roman" w:hAnsi="Times New Roman" w:cs="Times New Roman"/>
        </w:rPr>
        <w:t>prioritisation</w:t>
      </w:r>
      <w:proofErr w:type="spellEnd"/>
      <w:r>
        <w:rPr>
          <w:rFonts w:ascii="Times New Roman" w:eastAsia="Times New Roman" w:hAnsi="Times New Roman" w:cs="Times New Roman"/>
        </w:rPr>
        <w:t xml:space="preserve"> throughout the process of taking a discovery to the clinic. Although deep learning has advanced predictive modelling and representation learning in medicine and biology, its practical contribution is dependent on the availability of labelled data, the interpretability of model outputs as testable hypotheses and privacy constraints (Ching et al., 2018). In parallel, evaluation practices in cheminformatics can inflate perceived performance. Benchmark redundancy can lead to overfitting, whereby models appear accurate because they </w:t>
      </w:r>
      <w:proofErr w:type="spellStart"/>
      <w:r>
        <w:rPr>
          <w:rFonts w:ascii="Times New Roman" w:eastAsia="Times New Roman" w:hAnsi="Times New Roman" w:cs="Times New Roman"/>
        </w:rPr>
        <w:t>memorise</w:t>
      </w:r>
      <w:proofErr w:type="spellEnd"/>
      <w:r>
        <w:rPr>
          <w:rFonts w:ascii="Times New Roman" w:eastAsia="Times New Roman" w:hAnsi="Times New Roman" w:cs="Times New Roman"/>
        </w:rPr>
        <w:t xml:space="preserve"> similarities between the training and validation sets rather than </w:t>
      </w:r>
      <w:proofErr w:type="spellStart"/>
      <w:r>
        <w:rPr>
          <w:rFonts w:ascii="Times New Roman" w:eastAsia="Times New Roman" w:hAnsi="Times New Roman" w:cs="Times New Roman"/>
        </w:rPr>
        <w:t>generalising</w:t>
      </w:r>
      <w:proofErr w:type="spellEnd"/>
      <w:r>
        <w:rPr>
          <w:rFonts w:ascii="Times New Roman" w:eastAsia="Times New Roman" w:hAnsi="Times New Roman" w:cs="Times New Roman"/>
        </w:rPr>
        <w:t xml:space="preserve"> to truly novel chemistry (Wallach &amp; </w:t>
      </w:r>
      <w:proofErr w:type="spellStart"/>
      <w:r>
        <w:rPr>
          <w:rFonts w:ascii="Times New Roman" w:eastAsia="Times New Roman" w:hAnsi="Times New Roman" w:cs="Times New Roman"/>
        </w:rPr>
        <w:t>Heifets</w:t>
      </w:r>
      <w:proofErr w:type="spellEnd"/>
      <w:r>
        <w:rPr>
          <w:rFonts w:ascii="Times New Roman" w:eastAsia="Times New Roman" w:hAnsi="Times New Roman" w:cs="Times New Roman"/>
        </w:rPr>
        <w:t>, 2018). Alongside predictive tasks, AI is being applied to workflow bottlenecks that shape medicinal chemistry timelines. Neural retrosynthesis systems can offer synthesis strategies that are comparable to those in the literature, potentially shortening iterative design cycles (Segler et al., 2018). Uncertainty-calibrated reaction prediction also supports risk-aware decision-making by providing confidence estimates that help identify unreliable predictions (Schwaller et al., 2019).</w:t>
      </w:r>
    </w:p>
    <w:p w14:paraId="6FFCF46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AI-enabled inverse design builds on these developments by treating molecular discovery as an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problem within chemical space. This enables generative methods to suggest candidates that align with desired property profiles and to expand exploration beyond familiar scaffolds (Sanchez-</w:t>
      </w:r>
      <w:proofErr w:type="spellStart"/>
      <w:r>
        <w:rPr>
          <w:rFonts w:ascii="Times New Roman" w:eastAsia="Times New Roman" w:hAnsi="Times New Roman" w:cs="Times New Roman"/>
        </w:rPr>
        <w:t>Lengeling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Aspuru-Guzik</w:t>
      </w:r>
      <w:proofErr w:type="spellEnd"/>
      <w:r>
        <w:rPr>
          <w:rFonts w:ascii="Times New Roman" w:eastAsia="Times New Roman" w:hAnsi="Times New Roman" w:cs="Times New Roman"/>
        </w:rPr>
        <w:t>, 2018). Drug repurposing provides a complementary translational pathway, leveraging established safety knowledge and de-risked compounds. However, it still faces regulatory and technological constraints that require careful evidence integration (</w:t>
      </w:r>
      <w:proofErr w:type="spellStart"/>
      <w:r>
        <w:rPr>
          <w:rFonts w:ascii="Times New Roman" w:eastAsia="Times New Roman" w:hAnsi="Times New Roman" w:cs="Times New Roman"/>
        </w:rPr>
        <w:t>Pushpakom</w:t>
      </w:r>
      <w:proofErr w:type="spellEnd"/>
      <w:r>
        <w:rPr>
          <w:rFonts w:ascii="Times New Roman" w:eastAsia="Times New Roman" w:hAnsi="Times New Roman" w:cs="Times New Roman"/>
        </w:rPr>
        <w:t xml:space="preserve"> et al., 2019). Advances in structural bioinformatics also increase feasibility: large-scale protein structure prediction repositories significantly increase structural coverage and provide confidence estimates to support structure-aware hypothesis generation (Varadi et al., 2022). Together, these developments justify mapping how AI is applied across drug discovery stages and how these applications influence translational outcomes under real-world constraints.</w:t>
      </w:r>
    </w:p>
    <w:p w14:paraId="5638F56C"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1.2 Scope of Review</w:t>
      </w:r>
    </w:p>
    <w:p w14:paraId="622C208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This scoping review maps the application of machine learning methods and artificial intelligence (AI) across the drug discovery and translational pipeline. This includes structure and target-informed hypothesis generation, hit discovery (including DNA-encoded library learning and virtual screening), preclinical absorption, lead optimization, de novo/generative design, distribution, metabolism, excretion (ADME) and pharmacokinetics (PK) modelling, and efficacy modelling. It also covers trial-facing tools for operational forecasting and eligibility screening. The review covers small-molecule discovery, drug repurposing and peptide/biologic design, and assesses the extent to which prospective wet-lab or clinical/operational validation supports translation. The review also highlights cross-cutting issues relating to data quality and accessibility, external validation, interpretability, and the need for governance to ensure responsible clinical uptake. The review focuses on evidence from 2015 to 2025 in PubMed and Embase.</w:t>
      </w:r>
    </w:p>
    <w:p w14:paraId="51E9A5C7"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1.3 Aim and Specific Objectives of Review</w:t>
      </w:r>
    </w:p>
    <w:p w14:paraId="0B8993F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aim is to map how applied AI/ML is used across translational medicine and drug discovery, and to characterize the extent to which these applications have a validated impact on translation or clinical trials.</w:t>
      </w:r>
    </w:p>
    <w:p w14:paraId="37FF42CD"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Specific objectives</w:t>
      </w:r>
    </w:p>
    <w:p w14:paraId="56B28FE8" w14:textId="77777777" w:rsidR="006A12D8" w:rsidRDefault="001D6DC1" w:rsidP="00A837FD">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Identify which AI/ML techniques are used at each stage of the pipeline (from generative design and hit finding to preclinical modelling and trial operations) and across modalities (biologics/peptides, small molecules, and repurposing).</w:t>
      </w:r>
    </w:p>
    <w:p w14:paraId="1B47A487" w14:textId="77777777" w:rsidR="006A12D8" w:rsidRDefault="001D6DC1" w:rsidP="00A837FD">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Summarise</w:t>
      </w:r>
      <w:proofErr w:type="spellEnd"/>
      <w:r>
        <w:rPr>
          <w:rFonts w:ascii="Times New Roman" w:eastAsia="Times New Roman" w:hAnsi="Times New Roman" w:cs="Times New Roman"/>
          <w:color w:val="000000"/>
        </w:rPr>
        <w:t xml:space="preserve"> what 'success' looks like based on the evidence provided, including the outputs produced and the level of validation achieved (biochemical/cellular, in vivo or clinical/operational), as well as any progression towards clinical testing.</w:t>
      </w:r>
    </w:p>
    <w:p w14:paraId="267FA271" w14:textId="77777777" w:rsidR="006A12D8" w:rsidRDefault="001D6DC1" w:rsidP="00A837FD">
      <w:pPr>
        <w:numPr>
          <w:ilvl w:val="0"/>
          <w:numId w:val="2"/>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Analyse</w:t>
      </w:r>
      <w:proofErr w:type="spellEnd"/>
      <w:r>
        <w:rPr>
          <w:rFonts w:ascii="Times New Roman" w:eastAsia="Times New Roman" w:hAnsi="Times New Roman" w:cs="Times New Roman"/>
          <w:color w:val="000000"/>
        </w:rPr>
        <w:t xml:space="preserve"> the dominant constraints that limit clinical translation, such as data quality and access, bias, interpretability, governance/regulatory readiness and external validation, and </w:t>
      </w:r>
      <w:proofErr w:type="spellStart"/>
      <w:r>
        <w:rPr>
          <w:rFonts w:ascii="Times New Roman" w:eastAsia="Times New Roman" w:hAnsi="Times New Roman" w:cs="Times New Roman"/>
          <w:color w:val="000000"/>
        </w:rPr>
        <w:t>summarise</w:t>
      </w:r>
      <w:proofErr w:type="spellEnd"/>
      <w:r>
        <w:rPr>
          <w:rFonts w:ascii="Times New Roman" w:eastAsia="Times New Roman" w:hAnsi="Times New Roman" w:cs="Times New Roman"/>
          <w:color w:val="000000"/>
        </w:rPr>
        <w:t xml:space="preserve"> the proposed or implied strategies to mitigate these constraints.</w:t>
      </w:r>
    </w:p>
    <w:p w14:paraId="098782E6"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2EB56DB9"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013F269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This scoping review uses the Population–Concept–Context (PCC) framework to map the application of AI and machine learning methods across the drug discovery pipeline, and their translation into impact and clinical evaluation. The review follows the methodological structure of the attached template. Reporting is aligned with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and includes transparent documentation of selection and screening decisions. No protocol registration was undertaken. In line with the scoping review's mapping objective, no formal risk-of-bias appraisal was conducted. Safeguards included pre-specified eligibility criteria, database searching, staged screening and standardized data charting. </w:t>
      </w:r>
    </w:p>
    <w:p w14:paraId="6EB7C378"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1AD2CC48" w14:textId="2A5F841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The eligibility criteria were defined using PCC to reflect the current scope. AI-driven methods were considered that are used across translational medicine and </w:t>
      </w:r>
      <w:bookmarkStart w:id="0" w:name="_GoBack"/>
      <w:bookmarkEnd w:id="0"/>
      <w:r>
        <w:rPr>
          <w:rFonts w:ascii="Times New Roman" w:eastAsia="Times New Roman" w:hAnsi="Times New Roman" w:cs="Times New Roman"/>
        </w:rPr>
        <w:t>drug discovery, with an emphasis on real-world applications supported by experimental, preclinical or clinical/operational validation. The review included 19 applied studies aligned with the scope, spanning computational discovery, preclinical validation, and clinical trial-related applications.</w:t>
      </w:r>
    </w:p>
    <w:p w14:paraId="23F3A49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Table 1: Eligibility Criteria according to the PCC Framework</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6A12D8" w14:paraId="79FFBDD3" w14:textId="77777777">
        <w:trPr>
          <w:jc w:val="center"/>
        </w:trPr>
        <w:tc>
          <w:tcPr>
            <w:tcW w:w="1620" w:type="dxa"/>
          </w:tcPr>
          <w:p w14:paraId="54FD5AA4"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Item</w:t>
            </w:r>
          </w:p>
        </w:tc>
        <w:tc>
          <w:tcPr>
            <w:tcW w:w="5268" w:type="dxa"/>
          </w:tcPr>
          <w:p w14:paraId="168B2B1C"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Inclusion Criteria</w:t>
            </w:r>
          </w:p>
        </w:tc>
        <w:tc>
          <w:tcPr>
            <w:tcW w:w="3462" w:type="dxa"/>
          </w:tcPr>
          <w:p w14:paraId="7401895E"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Exclusion Criteria</w:t>
            </w:r>
          </w:p>
        </w:tc>
      </w:tr>
      <w:tr w:rsidR="006A12D8" w14:paraId="71BEDBE1" w14:textId="77777777">
        <w:trPr>
          <w:jc w:val="center"/>
        </w:trPr>
        <w:tc>
          <w:tcPr>
            <w:tcW w:w="1620" w:type="dxa"/>
          </w:tcPr>
          <w:p w14:paraId="6322506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Population</w:t>
            </w:r>
          </w:p>
        </w:tc>
        <w:tc>
          <w:tcPr>
            <w:tcW w:w="5268" w:type="dxa"/>
          </w:tcPr>
          <w:p w14:paraId="36731F9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Drug discovery and translational research problems involving therapeutic targets, candidate small molecules, biologics (e.g., peptides), and/or clinical trial processes where AI/ML is applied; any therapeutic area</w:t>
            </w:r>
          </w:p>
        </w:tc>
        <w:tc>
          <w:tcPr>
            <w:tcW w:w="3462" w:type="dxa"/>
          </w:tcPr>
          <w:p w14:paraId="798EAE3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Animal/in vitro studies; pre-malignant conditions only</w:t>
            </w:r>
          </w:p>
        </w:tc>
      </w:tr>
      <w:tr w:rsidR="006A12D8" w14:paraId="6A0F22DA" w14:textId="77777777">
        <w:trPr>
          <w:jc w:val="center"/>
        </w:trPr>
        <w:tc>
          <w:tcPr>
            <w:tcW w:w="1620" w:type="dxa"/>
          </w:tcPr>
          <w:p w14:paraId="42064DD6"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Concept (Intervention)</w:t>
            </w:r>
          </w:p>
        </w:tc>
        <w:tc>
          <w:tcPr>
            <w:tcW w:w="5268" w:type="dxa"/>
          </w:tcPr>
          <w:p w14:paraId="06E4D16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AI/ML methods applied to any stage of the pipeline: target identification/validation; hit discovery/virtual screening/DEL learning; de novo/generative design; lead optimization; preclinical modelling (e.g., ADME/PK/toxicity); drug repurposing; clinical trial design/conduct (e.g., eligibility screening, recruitment/duration forecasting)</w:t>
            </w:r>
          </w:p>
        </w:tc>
        <w:tc>
          <w:tcPr>
            <w:tcW w:w="3462" w:type="dxa"/>
          </w:tcPr>
          <w:p w14:paraId="13421AE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Purely theoretical algorithms with no prospective validation or applied evaluation; studies where AI is not central to discovery/translation decisions</w:t>
            </w:r>
          </w:p>
        </w:tc>
      </w:tr>
      <w:tr w:rsidR="006A12D8" w14:paraId="3A8F4342" w14:textId="77777777">
        <w:trPr>
          <w:jc w:val="center"/>
        </w:trPr>
        <w:tc>
          <w:tcPr>
            <w:tcW w:w="1620" w:type="dxa"/>
          </w:tcPr>
          <w:p w14:paraId="61B8E69A"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Context</w:t>
            </w:r>
          </w:p>
        </w:tc>
        <w:tc>
          <w:tcPr>
            <w:tcW w:w="5268" w:type="dxa"/>
          </w:tcPr>
          <w:p w14:paraId="0D7380E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Any setting (academia, industry, health systems), globally; in silico-to-wet-lab workflows; preclinical models; clinical trial environments</w:t>
            </w:r>
          </w:p>
        </w:tc>
        <w:tc>
          <w:tcPr>
            <w:tcW w:w="3462" w:type="dxa"/>
          </w:tcPr>
          <w:p w14:paraId="232416E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Not applicable</w:t>
            </w:r>
          </w:p>
        </w:tc>
      </w:tr>
      <w:tr w:rsidR="006A12D8" w14:paraId="7D9D7960" w14:textId="77777777">
        <w:trPr>
          <w:jc w:val="center"/>
        </w:trPr>
        <w:tc>
          <w:tcPr>
            <w:tcW w:w="1620" w:type="dxa"/>
          </w:tcPr>
          <w:p w14:paraId="2513FC51"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Study Designs</w:t>
            </w:r>
          </w:p>
        </w:tc>
        <w:tc>
          <w:tcPr>
            <w:tcW w:w="5268" w:type="dxa"/>
          </w:tcPr>
          <w:p w14:paraId="0AC371E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Empirical peer-reviewed studies with applied evaluation (e.g., biochemical/cellular assays, in vivo models, or clinical/operational evaluation in trial settings); prospective or retrospective applied studies with measurable outcomes</w:t>
            </w:r>
          </w:p>
        </w:tc>
        <w:tc>
          <w:tcPr>
            <w:tcW w:w="3462" w:type="dxa"/>
          </w:tcPr>
          <w:p w14:paraId="06F4EFB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Review papers, editorials, letters, viewpoints; protocols without results; conference abstracts without full text; preprints/grey literature</w:t>
            </w:r>
          </w:p>
        </w:tc>
      </w:tr>
      <w:tr w:rsidR="006A12D8" w14:paraId="1E3BABFA" w14:textId="77777777">
        <w:trPr>
          <w:jc w:val="center"/>
        </w:trPr>
        <w:tc>
          <w:tcPr>
            <w:tcW w:w="1620" w:type="dxa"/>
          </w:tcPr>
          <w:p w14:paraId="1D464AAB"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Outcomes</w:t>
            </w:r>
          </w:p>
        </w:tc>
        <w:tc>
          <w:tcPr>
            <w:tcW w:w="5268" w:type="dxa"/>
          </w:tcPr>
          <w:p w14:paraId="2CAB401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At least one applied output relevant to discovery/translation: candidate identification, </w:t>
            </w:r>
            <w:r>
              <w:rPr>
                <w:rFonts w:ascii="Times New Roman" w:eastAsia="Times New Roman" w:hAnsi="Times New Roman" w:cs="Times New Roman"/>
              </w:rPr>
              <w:lastRenderedPageBreak/>
              <w:t>potency/activity metrics, binding/functional validation, preclinical efficacy/PK/ADME signals, operational trial metrics (accuracy/time/workload/usability), or progression into clinical testing</w:t>
            </w:r>
          </w:p>
          <w:p w14:paraId="40C66E26" w14:textId="77777777" w:rsidR="006A12D8" w:rsidRDefault="006A12D8" w:rsidP="00A837FD">
            <w:pPr>
              <w:jc w:val="both"/>
              <w:rPr>
                <w:rFonts w:ascii="Times New Roman" w:eastAsia="Times New Roman" w:hAnsi="Times New Roman" w:cs="Times New Roman"/>
              </w:rPr>
            </w:pPr>
          </w:p>
        </w:tc>
        <w:tc>
          <w:tcPr>
            <w:tcW w:w="3462" w:type="dxa"/>
          </w:tcPr>
          <w:p w14:paraId="177C7FB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Outputs not linked to discovery/translation decisions (e.g., </w:t>
            </w:r>
            <w:r>
              <w:rPr>
                <w:rFonts w:ascii="Times New Roman" w:eastAsia="Times New Roman" w:hAnsi="Times New Roman" w:cs="Times New Roman"/>
              </w:rPr>
              <w:lastRenderedPageBreak/>
              <w:t>isolated modelling demonstrations without validation)</w:t>
            </w:r>
          </w:p>
        </w:tc>
      </w:tr>
      <w:tr w:rsidR="006A12D8" w14:paraId="339E1AEF" w14:textId="77777777">
        <w:trPr>
          <w:jc w:val="center"/>
        </w:trPr>
        <w:tc>
          <w:tcPr>
            <w:tcW w:w="1620" w:type="dxa"/>
          </w:tcPr>
          <w:p w14:paraId="72416744"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Publication Type</w:t>
            </w:r>
          </w:p>
        </w:tc>
        <w:tc>
          <w:tcPr>
            <w:tcW w:w="5268" w:type="dxa"/>
          </w:tcPr>
          <w:p w14:paraId="5223868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Peer-reviewed journal articles</w:t>
            </w:r>
          </w:p>
        </w:tc>
        <w:tc>
          <w:tcPr>
            <w:tcW w:w="3462" w:type="dxa"/>
          </w:tcPr>
          <w:p w14:paraId="37EDA9F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Theses, reports, guidelines, books/chapters, grey literature</w:t>
            </w:r>
          </w:p>
        </w:tc>
      </w:tr>
      <w:tr w:rsidR="006A12D8" w14:paraId="0A345BB3" w14:textId="77777777">
        <w:trPr>
          <w:jc w:val="center"/>
        </w:trPr>
        <w:tc>
          <w:tcPr>
            <w:tcW w:w="1620" w:type="dxa"/>
          </w:tcPr>
          <w:p w14:paraId="537C1120"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Language</w:t>
            </w:r>
          </w:p>
        </w:tc>
        <w:tc>
          <w:tcPr>
            <w:tcW w:w="5268" w:type="dxa"/>
          </w:tcPr>
          <w:p w14:paraId="59A9CB5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English</w:t>
            </w:r>
          </w:p>
        </w:tc>
        <w:tc>
          <w:tcPr>
            <w:tcW w:w="3462" w:type="dxa"/>
          </w:tcPr>
          <w:p w14:paraId="61EADD3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Non-English</w:t>
            </w:r>
          </w:p>
        </w:tc>
      </w:tr>
      <w:tr w:rsidR="006A12D8" w14:paraId="6788F731" w14:textId="77777777">
        <w:trPr>
          <w:jc w:val="center"/>
        </w:trPr>
        <w:tc>
          <w:tcPr>
            <w:tcW w:w="1620" w:type="dxa"/>
          </w:tcPr>
          <w:p w14:paraId="15AE8CAA"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Timeframe</w:t>
            </w:r>
          </w:p>
        </w:tc>
        <w:tc>
          <w:tcPr>
            <w:tcW w:w="5268" w:type="dxa"/>
          </w:tcPr>
          <w:p w14:paraId="645716C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2010-2025</w:t>
            </w:r>
          </w:p>
        </w:tc>
        <w:tc>
          <w:tcPr>
            <w:tcW w:w="3462" w:type="dxa"/>
          </w:tcPr>
          <w:p w14:paraId="7C125D0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Studies published outside this timeframe</w:t>
            </w:r>
          </w:p>
        </w:tc>
      </w:tr>
    </w:tbl>
    <w:p w14:paraId="0C7FFEA0" w14:textId="77777777" w:rsidR="006A12D8" w:rsidRDefault="006A12D8" w:rsidP="00A837FD">
      <w:pPr>
        <w:jc w:val="both"/>
        <w:rPr>
          <w:rFonts w:ascii="Times New Roman" w:eastAsia="Times New Roman" w:hAnsi="Times New Roman" w:cs="Times New Roman"/>
        </w:rPr>
      </w:pPr>
    </w:p>
    <w:p w14:paraId="25580237"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3C59B36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search was limited to peer-reviewed literature indexed in two databases that cover a wide range of biomedical research, pharmacology and drug development: MEDLINE/PubMed and Embase (Ovid). This approach follows the template's 'database-restricted, peer-reviewed' methodology, but restricts sources to the two specified databases. No grey literature was searched. Records were exported to a reference manager for de-duplication, followed by two-stage screening (first the title and abstract, then the full text), with any disagreements resolved through consensus.</w:t>
      </w:r>
    </w:p>
    <w:p w14:paraId="58442B77"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4A44652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Database-specific searches combined free-text terms and controlled vocabulary to capture PCC elements (drug discovery/development, AI/ML methods and translational/clinical trial endpoints), prioritizing sensitivity. Filters were used to limit the results to English-language, peer-reviewed journal articles published between 2015 and 2025. The strategies were refined and piloted to ensure retrieval across biologics design, drug repurposing, small-molecule </w:t>
      </w:r>
      <w:proofErr w:type="gramStart"/>
      <w:r>
        <w:rPr>
          <w:rFonts w:ascii="Times New Roman" w:eastAsia="Times New Roman" w:hAnsi="Times New Roman" w:cs="Times New Roman"/>
        </w:rPr>
        <w:t>discovery,  and</w:t>
      </w:r>
      <w:proofErr w:type="gramEnd"/>
      <w:r>
        <w:rPr>
          <w:rFonts w:ascii="Times New Roman" w:eastAsia="Times New Roman" w:hAnsi="Times New Roman" w:cs="Times New Roman"/>
        </w:rPr>
        <w:t xml:space="preserve"> clinical trial applications. This section mirrors the template's approach of combining controlled terms with free text, as well as using limiters to align retrieval with eligibility criteria.</w:t>
      </w:r>
    </w:p>
    <w:p w14:paraId="3CE93261"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Table 2. Search String</w:t>
      </w:r>
    </w:p>
    <w:tbl>
      <w:tblPr>
        <w:tblStyle w:val="a0"/>
        <w:tblW w:w="1116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6A12D8" w14:paraId="3244670C" w14:textId="77777777">
        <w:trPr>
          <w:trHeight w:val="404"/>
          <w:jc w:val="center"/>
        </w:trPr>
        <w:tc>
          <w:tcPr>
            <w:tcW w:w="2340" w:type="dxa"/>
            <w:tcBorders>
              <w:top w:val="single" w:sz="4" w:space="0" w:color="000000"/>
              <w:bottom w:val="single" w:sz="4" w:space="0" w:color="000000"/>
            </w:tcBorders>
          </w:tcPr>
          <w:p w14:paraId="593E8954" w14:textId="77777777" w:rsidR="006A12D8" w:rsidRDefault="001D6DC1" w:rsidP="00A837FD">
            <w:pPr>
              <w:spacing w:after="160"/>
              <w:jc w:val="both"/>
              <w:rPr>
                <w:rFonts w:ascii="Times New Roman" w:eastAsia="Times New Roman" w:hAnsi="Times New Roman" w:cs="Times New Roman"/>
                <w:b/>
                <w:bCs/>
              </w:rPr>
            </w:pPr>
            <w:r>
              <w:rPr>
                <w:rFonts w:ascii="Times New Roman" w:eastAsia="Times New Roman" w:hAnsi="Times New Roman" w:cs="Times New Roman"/>
                <w:b/>
                <w:bCs/>
              </w:rPr>
              <w:t>Database</w:t>
            </w:r>
          </w:p>
        </w:tc>
        <w:tc>
          <w:tcPr>
            <w:tcW w:w="8820" w:type="dxa"/>
            <w:tcBorders>
              <w:top w:val="single" w:sz="4" w:space="0" w:color="000000"/>
              <w:bottom w:val="single" w:sz="4" w:space="0" w:color="000000"/>
            </w:tcBorders>
          </w:tcPr>
          <w:p w14:paraId="4F275067" w14:textId="77777777" w:rsidR="006A12D8" w:rsidRDefault="001D6DC1" w:rsidP="00A837FD">
            <w:pPr>
              <w:spacing w:after="160"/>
              <w:jc w:val="both"/>
              <w:rPr>
                <w:rFonts w:ascii="Times New Roman" w:eastAsia="Times New Roman" w:hAnsi="Times New Roman" w:cs="Times New Roman"/>
                <w:b/>
                <w:bCs/>
              </w:rPr>
            </w:pPr>
            <w:r>
              <w:rPr>
                <w:rFonts w:ascii="Times New Roman" w:eastAsia="Times New Roman" w:hAnsi="Times New Roman" w:cs="Times New Roman"/>
                <w:b/>
                <w:bCs/>
              </w:rPr>
              <w:t>Search string</w:t>
            </w:r>
          </w:p>
        </w:tc>
      </w:tr>
      <w:tr w:rsidR="006A12D8" w14:paraId="3F7E2F33" w14:textId="77777777">
        <w:trPr>
          <w:jc w:val="center"/>
        </w:trPr>
        <w:tc>
          <w:tcPr>
            <w:tcW w:w="2340" w:type="dxa"/>
            <w:tcBorders>
              <w:top w:val="single" w:sz="4" w:space="0" w:color="000000"/>
            </w:tcBorders>
          </w:tcPr>
          <w:p w14:paraId="0531F2DB" w14:textId="77777777" w:rsidR="006A12D8" w:rsidRDefault="001D6DC1" w:rsidP="00A837FD">
            <w:pPr>
              <w:spacing w:after="160"/>
              <w:jc w:val="both"/>
              <w:rPr>
                <w:rFonts w:ascii="Times New Roman" w:eastAsia="Times New Roman" w:hAnsi="Times New Roman" w:cs="Times New Roman"/>
              </w:rPr>
            </w:pPr>
            <w:r>
              <w:rPr>
                <w:rFonts w:ascii="Times New Roman" w:eastAsia="Times New Roman" w:hAnsi="Times New Roman" w:cs="Times New Roman"/>
                <w:b/>
                <w:bCs/>
              </w:rPr>
              <w:t>MEDLINE/PubMed</w:t>
            </w:r>
          </w:p>
        </w:tc>
        <w:tc>
          <w:tcPr>
            <w:tcW w:w="8820" w:type="dxa"/>
            <w:tcBorders>
              <w:top w:val="single" w:sz="4" w:space="0" w:color="000000"/>
            </w:tcBorders>
          </w:tcPr>
          <w:p w14:paraId="683E7793" w14:textId="77777777" w:rsidR="006A12D8" w:rsidRDefault="001D6DC1" w:rsidP="00A837FD">
            <w:pPr>
              <w:spacing w:after="160"/>
              <w:jc w:val="both"/>
              <w:rPr>
                <w:rFonts w:ascii="Times New Roman" w:eastAsia="Times New Roman" w:hAnsi="Times New Roman" w:cs="Times New Roman"/>
              </w:rPr>
            </w:pPr>
            <w:r>
              <w:rPr>
                <w:rFonts w:ascii="Times New Roman" w:eastAsia="Times New Roman" w:hAnsi="Times New Roman" w:cs="Times New Roman"/>
              </w:rPr>
              <w:t>((“Artificial Intelligence”[Mesh] OR “Machine Learning”[Mesh] OR “Deep Learning”[Mesh] OR artificial intelligence[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machine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deep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neural network*[</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graph neural network*[</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GNN[</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reinforcement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generative[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 novo”[</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NLP[</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AND (“Drug Discovery”[Mesh] OR “Drug Design”[Mesh] OR “Computational Biology”[Mesh] OR “Clinical Trials as Topic”[Mesh] OR drug discover*[</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drug develop*[</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xml:space="preserve">] OR lead </w:t>
            </w:r>
            <w:proofErr w:type="spellStart"/>
            <w:r>
              <w:rPr>
                <w:rFonts w:ascii="Times New Roman" w:eastAsia="Times New Roman" w:hAnsi="Times New Roman" w:cs="Times New Roman"/>
              </w:rPr>
              <w:t>optimiz</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hit discover*[</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virtual screen*[</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“DNA-encoded library”[</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xml:space="preserve">] OR drug </w:t>
            </w:r>
            <w:proofErr w:type="spellStart"/>
            <w:r>
              <w:rPr>
                <w:rFonts w:ascii="Times New Roman" w:eastAsia="Times New Roman" w:hAnsi="Times New Roman" w:cs="Times New Roman"/>
              </w:rPr>
              <w:t>repurpos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ADME[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pharmacokinetic*[</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preclinical[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clinical trial*[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recruitment[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eligibility[</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AND (</w:t>
            </w:r>
            <w:proofErr w:type="spellStart"/>
            <w:r>
              <w:rPr>
                <w:rFonts w:ascii="Times New Roman" w:eastAsia="Times New Roman" w:hAnsi="Times New Roman" w:cs="Times New Roman"/>
              </w:rPr>
              <w:t>english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lang</w:t>
            </w:r>
            <w:proofErr w:type="spellEnd"/>
            <w:r>
              <w:rPr>
                <w:rFonts w:ascii="Times New Roman" w:eastAsia="Times New Roman" w:hAnsi="Times New Roman" w:cs="Times New Roman"/>
              </w:rPr>
              <w:t>])</w:t>
            </w:r>
          </w:p>
        </w:tc>
      </w:tr>
      <w:tr w:rsidR="006A12D8" w14:paraId="0B397C1D" w14:textId="77777777">
        <w:trPr>
          <w:jc w:val="center"/>
        </w:trPr>
        <w:tc>
          <w:tcPr>
            <w:tcW w:w="2340" w:type="dxa"/>
          </w:tcPr>
          <w:p w14:paraId="66E58779" w14:textId="77777777" w:rsidR="006A12D8" w:rsidRDefault="001D6DC1" w:rsidP="00A837FD">
            <w:pPr>
              <w:spacing w:after="160"/>
              <w:jc w:val="both"/>
              <w:rPr>
                <w:rFonts w:ascii="Times New Roman" w:eastAsia="Times New Roman" w:hAnsi="Times New Roman" w:cs="Times New Roman"/>
              </w:rPr>
            </w:pPr>
            <w:r>
              <w:rPr>
                <w:rFonts w:ascii="Times New Roman" w:eastAsia="Times New Roman" w:hAnsi="Times New Roman" w:cs="Times New Roman"/>
                <w:b/>
                <w:bCs/>
              </w:rPr>
              <w:t>Embase (Ovid)</w:t>
            </w:r>
          </w:p>
        </w:tc>
        <w:tc>
          <w:tcPr>
            <w:tcW w:w="8820" w:type="dxa"/>
          </w:tcPr>
          <w:p w14:paraId="0E8B25E5" w14:textId="77777777" w:rsidR="006A12D8" w:rsidRDefault="001D6DC1" w:rsidP="00A837FD">
            <w:pPr>
              <w:spacing w:after="160"/>
              <w:jc w:val="both"/>
              <w:rPr>
                <w:rFonts w:ascii="Times New Roman" w:eastAsia="Times New Roman" w:hAnsi="Times New Roman" w:cs="Times New Roman"/>
              </w:rPr>
            </w:pPr>
            <w:r>
              <w:rPr>
                <w:rFonts w:ascii="Times New Roman" w:eastAsia="Times New Roman" w:hAnsi="Times New Roman" w:cs="Times New Roman"/>
              </w:rPr>
              <w:t xml:space="preserve">(’artificial intelligence’/exp OR ’machine learning’/exp OR ’deep learning’/exp OR artificial </w:t>
            </w:r>
            <w:proofErr w:type="spellStart"/>
            <w:r>
              <w:rPr>
                <w:rFonts w:ascii="Times New Roman" w:eastAsia="Times New Roman" w:hAnsi="Times New Roman" w:cs="Times New Roman"/>
              </w:rPr>
              <w:t>intelligence:ti,ab,kw</w:t>
            </w:r>
            <w:proofErr w:type="spellEnd"/>
            <w:r>
              <w:rPr>
                <w:rFonts w:ascii="Times New Roman" w:eastAsia="Times New Roman" w:hAnsi="Times New Roman" w:cs="Times New Roman"/>
              </w:rPr>
              <w:t xml:space="preserve"> OR machine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deep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neural network*:</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graph neural network*:</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GNN:ti,ab,kw</w:t>
            </w:r>
            <w:proofErr w:type="spellEnd"/>
            <w:r>
              <w:rPr>
                <w:rFonts w:ascii="Times New Roman" w:eastAsia="Times New Roman" w:hAnsi="Times New Roman" w:cs="Times New Roman"/>
              </w:rPr>
              <w:t xml:space="preserve"> OR reinforcement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generative:ti,ab,kw</w:t>
            </w:r>
            <w:proofErr w:type="spellEnd"/>
            <w:r>
              <w:rPr>
                <w:rFonts w:ascii="Times New Roman" w:eastAsia="Times New Roman" w:hAnsi="Times New Roman" w:cs="Times New Roman"/>
              </w:rPr>
              <w:t xml:space="preserve"> OR ’de novo’:</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NLP:ti,ab,kw</w:t>
            </w:r>
            <w:proofErr w:type="spellEnd"/>
            <w:r>
              <w:rPr>
                <w:rFonts w:ascii="Times New Roman" w:eastAsia="Times New Roman" w:hAnsi="Times New Roman" w:cs="Times New Roman"/>
              </w:rPr>
              <w:t>) AND (’drug discovery’/exp OR ’drug development’/exp OR ’drug design’/exp OR ’clinical trial’/exp OR drug discover*:</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drug develop*:</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lead </w:t>
            </w:r>
            <w:proofErr w:type="spellStart"/>
            <w:r>
              <w:rPr>
                <w:rFonts w:ascii="Times New Roman" w:eastAsia="Times New Roman" w:hAnsi="Times New Roman" w:cs="Times New Roman"/>
              </w:rPr>
              <w:t>optimiz</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hit discover*:</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virtual screen*:</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dna</w:t>
            </w:r>
            <w:proofErr w:type="spellEnd"/>
            <w:r>
              <w:rPr>
                <w:rFonts w:ascii="Times New Roman" w:eastAsia="Times New Roman" w:hAnsi="Times New Roman" w:cs="Times New Roman"/>
              </w:rPr>
              <w:t xml:space="preserve"> encoded library’:</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DEL:ti,ab,kw</w:t>
            </w:r>
            <w:proofErr w:type="spellEnd"/>
            <w:r>
              <w:rPr>
                <w:rFonts w:ascii="Times New Roman" w:eastAsia="Times New Roman" w:hAnsi="Times New Roman" w:cs="Times New Roman"/>
              </w:rPr>
              <w:t xml:space="preserve"> OR drug </w:t>
            </w:r>
            <w:proofErr w:type="spellStart"/>
            <w:r>
              <w:rPr>
                <w:rFonts w:ascii="Times New Roman" w:eastAsia="Times New Roman" w:hAnsi="Times New Roman" w:cs="Times New Roman"/>
              </w:rPr>
              <w:t>repurpos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ADME:ti,ab,kw</w:t>
            </w:r>
            <w:proofErr w:type="spellEnd"/>
            <w:r>
              <w:rPr>
                <w:rFonts w:ascii="Times New Roman" w:eastAsia="Times New Roman" w:hAnsi="Times New Roman" w:cs="Times New Roman"/>
              </w:rPr>
              <w:t xml:space="preserve"> OR pharmacokinetic*:</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preclinical:ti,ab,kw</w:t>
            </w:r>
            <w:proofErr w:type="spellEnd"/>
            <w:r>
              <w:rPr>
                <w:rFonts w:ascii="Times New Roman" w:eastAsia="Times New Roman" w:hAnsi="Times New Roman" w:cs="Times New Roman"/>
              </w:rPr>
              <w:t xml:space="preserve"> OR clinical trial*:</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recruitment:ti,ab,kw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eligibility:ti,ab,kw</w:t>
            </w:r>
            <w:proofErr w:type="spellEnd"/>
            <w:r>
              <w:rPr>
                <w:rFonts w:ascii="Times New Roman" w:eastAsia="Times New Roman" w:hAnsi="Times New Roman" w:cs="Times New Roman"/>
              </w:rPr>
              <w:t>) AND [</w:t>
            </w:r>
            <w:proofErr w:type="spellStart"/>
            <w:r>
              <w:rPr>
                <w:rFonts w:ascii="Times New Roman" w:eastAsia="Times New Roman" w:hAnsi="Times New Roman" w:cs="Times New Roman"/>
              </w:rPr>
              <w:t>english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lim</w:t>
            </w:r>
            <w:proofErr w:type="spellEnd"/>
            <w:r>
              <w:rPr>
                <w:rFonts w:ascii="Times New Roman" w:eastAsia="Times New Roman" w:hAnsi="Times New Roman" w:cs="Times New Roman"/>
              </w:rPr>
              <w:t xml:space="preserve"> AND [article]/</w:t>
            </w:r>
            <w:proofErr w:type="spellStart"/>
            <w:r>
              <w:rPr>
                <w:rFonts w:ascii="Times New Roman" w:eastAsia="Times New Roman" w:hAnsi="Times New Roman" w:cs="Times New Roman"/>
              </w:rPr>
              <w:t>lim</w:t>
            </w:r>
            <w:proofErr w:type="spellEnd"/>
          </w:p>
        </w:tc>
      </w:tr>
    </w:tbl>
    <w:p w14:paraId="375B27AC" w14:textId="77777777" w:rsidR="006A12D8" w:rsidRDefault="006A12D8" w:rsidP="00A837FD">
      <w:pPr>
        <w:jc w:val="both"/>
        <w:rPr>
          <w:rFonts w:ascii="Times New Roman" w:eastAsia="Times New Roman" w:hAnsi="Times New Roman" w:cs="Times New Roman"/>
          <w:b/>
          <w:bCs/>
        </w:rPr>
      </w:pPr>
    </w:p>
    <w:p w14:paraId="071F7EC8" w14:textId="77777777" w:rsidR="00EA1CED" w:rsidRDefault="00EA1CED" w:rsidP="00A837FD">
      <w:pPr>
        <w:jc w:val="both"/>
        <w:rPr>
          <w:rFonts w:ascii="Times New Roman" w:eastAsia="Times New Roman" w:hAnsi="Times New Roman" w:cs="Times New Roman"/>
          <w:b/>
          <w:bCs/>
        </w:rPr>
      </w:pPr>
    </w:p>
    <w:p w14:paraId="3F0DC1BC" w14:textId="1A45E99A"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0DCE116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Data charting used a standardized extraction template aligned to eight variables (columns): included study; drug discovery/translation stage; modality; AI/ML technique(s); data inputs; outputs; validation; and key results and barriers/limitations. This template was iteratively refined during the charting process to ensure consistent capture of the translational maturity and pipeline stage. This reflected the mixed evidence types in the included set (e.g. peptide biologics validation, wet-lab validated small-molecule discovery, and clinical trial operational tools). The synthesis was descriptive and mapping-oriented rather than effect-estimating.  A numerical summary was prepared (e.g. counts by pipeline stage, modality, AI technique family and validation level, such as biochemical/cellular, in vivo or clinical/operational evaluation). Narrative synthesis grouped the findings in order to answer the review questions. These were: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AI methods by pipeline stage and their respective strengths and limitations; (ii) translation signals (i.e. progression towards trials or demonstrated clinical trial operational benefit); and (iii) barriers and proposed mitigation strategies relating to data access and quality, interpretability, and translation and regulatory constraints.</w:t>
      </w:r>
    </w:p>
    <w:p w14:paraId="357D860A"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2B8BF24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32DA033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database search yielded 461 records. After removal of 243 duplicates, 218 records remained for title-abstract screening against the criteria above, and 96 papers were retained for full-text assessment. Seventy-seven papers were excluded at this stage(Reason 1: review papers/editorials/letters/viewpoints l; protocols without results; conference abstracts without full text; preprints/grey literature=35; Reason 2:unrelated to therapeutics or clinical translation; non biomedical ML without drug discovery/development relevance=17; Reason 3: purely theoretical algorithms without drug no prospective validation or applied evaluation; AI not central to discovery/translation decisions = 16; Reason 4: outputs not linked to discovery/translation decisions =9). Finally, 19 studies met all criteria and were synthesized (Fig.1)</w:t>
      </w:r>
    </w:p>
    <w:p w14:paraId="70BAB0D1"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77A105CF" wp14:editId="7768BECC">
            <wp:extent cx="3817555" cy="2869245"/>
            <wp:effectExtent l="0" t="0" r="0" b="0"/>
            <wp:docPr id="100767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17555" cy="2869245"/>
                    </a:xfrm>
                    <a:prstGeom prst="rect">
                      <a:avLst/>
                    </a:prstGeom>
                    <a:ln/>
                  </pic:spPr>
                </pic:pic>
              </a:graphicData>
            </a:graphic>
          </wp:inline>
        </w:drawing>
      </w:r>
    </w:p>
    <w:p w14:paraId="451E3F9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347A0222"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47B0A55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evidence base comprised 19 peer-reviewed applied studies (2015–2025), which covered trial-facing applications, preclinical translation and discovery. The majority of the studies focused on optimization and small-molecule discovery, while a smaller subset addressed peptide/biologic antimicrobial discovery. Pipeline coverage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hit discovery (including large-scale virtual screening, explainable classification and DNA-encoded library learning), de novo/generative design (deep generative models and reinforcement learning) and lead optimization supported by computational–experimental iteration. Preclinical validation was common and included biochemical/cellular assays, as well as multiple in vivo infection or inflammatory models. Only a few studies evaluated clinical translation directly via progression into clinical trials, while others addressed clinical trial operations, using natural language processing (NLP) for eligibility screening and machine learning for recruitment or duration prediction. Data inputs ranged from curated screening datasets and DNA-encoded library selections to electronic metagenomic catalogues and metagenomic catalogues. Reported outputs included candidate prioritization, potency/binding metrics, operational performance indicators and functional efficacy signals.</w:t>
      </w:r>
    </w:p>
    <w:p w14:paraId="5EC5113D"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4933484C"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Theme 1: Scalable AI screening and hit discovery with prospective validation</w:t>
      </w:r>
    </w:p>
    <w:p w14:paraId="4F695E1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Across the included studies, AI provides the most obvious applied value at the earliest stages of the pipeline by triaging vast chemical spaces into sets that can be tested in experiments. A deep-learning screening strategy first identified a structurally distinct antibacterial candidate, and then demonstrated in vivo efficacy signals and wet-lab. This shows that model-guided prioritization can result in actionable hits (Stokes et al., 2020). Explainable graph neural network ensembles reinforce this initial role by linking predictions to interpretable structural features while still advancing candidates that show promise in preclinical trials against resistant pathogens (Wong et al., 2024). </w:t>
      </w:r>
    </w:p>
    <w:p w14:paraId="184C0B2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DNA-encoded library (DEL) learning frameworks demonstrate how 'scale' is operationalized in practice when prediction is coupled with prospective testing. A DEL-ML paradigm reported potent actives across multiple protein targets after testing the compounds ranked by the model in an experiment, thus supporting the feasibility of generalizing beyond the originating library when validation is built in (McCloskey et al., 2020). However, a separate DEL benchmarking study confirmed that only a subset of predicted binders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present, highlighting that sparse positives and domain shift can inflate perceived performance if calibration is not explicitly managed (Iqbal et al., 2025).</w:t>
      </w:r>
    </w:p>
    <w:p w14:paraId="385391E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Open workflows also emerge as an enabling condition for reproducible discovery. A public, end-to-end DEL-ML pipeline reported experimentally confirmed binders and established openness as a means of achieving broader comparability and participation across groups (Wellnitz et al., 2025). Taken together, these studies demonstrate that 'success' in AI-enabled hit finding hinges less on individual headline models and more on integrated design, encompassing prospective assays, transparent uncertainty and explicit boundaries on where models should not be trusted.</w:t>
      </w:r>
    </w:p>
    <w:p w14:paraId="79105AF9"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Theme 2: Lead optimization and preclinical evidence generation across modalities</w:t>
      </w:r>
    </w:p>
    <w:p w14:paraId="037EF46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The included studies demonstrate that, beyond hit finding, AI contributes to optimization by improving data efficiency in preclinical modelling and accelerating iterative design–make–test cycles. A hit-to-lead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targeting 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demonstrates the acceleration of potency through computationally guided refinement, supported by pharmacological profiling. This positions AI as a decision aid rather than a replacement for medicinal chemistry judgement (</w:t>
      </w: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2025). In parallel, de novo design driven by reinforcement learning produced validated inhibitor series for the same target, demonstrating that, while structural objectives can guide the generation process, biochemical confirmation remains essential for progress (</w:t>
      </w: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2024).</w:t>
      </w:r>
    </w:p>
    <w:p w14:paraId="3873B7B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Generative deep learning has also been employed to increase chemical diversity while maintaining biological validation. One generative approach reported the discovery of in vivo efficacy in inflammatory disease models and a novel scaffold inhibitor with in vitro functionality. This indicates that AI can support mechanism-relevant optimization when paired with the right models (Li et al., 2022). A multi-platform pipeline integrating chemistry tools and predicted structure with AI </w:t>
      </w:r>
      <w:r>
        <w:rPr>
          <w:rFonts w:ascii="Times New Roman" w:eastAsia="Times New Roman" w:hAnsi="Times New Roman" w:cs="Times New Roman"/>
        </w:rPr>
        <w:lastRenderedPageBreak/>
        <w:t>target reported rapid progression from target concept to experimentally characterized hits, emphasizing speed as a measurable output when synthesis and testing are streamlined (Ren et al., 2023).</w:t>
      </w:r>
    </w:p>
    <w:p w14:paraId="4A5BB13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Preclinical translation is further supported by methods that explicitly address data scarcity and noise. Active learning expands applicability through iterative selection and improves predictive performance with reduced training data. This highlights a practical strategy for ADME/exposure modelling where labels are costly (Ding et al., 2021). For biologics, optimization and large-scale AMP discovery combined prediction with mechanistic testing and synthesis to provide preclinical evidence while exposing gaps in manufacturability and safety downstream that AI alone does not resolve (Santos-Júnior et al., 2024). </w:t>
      </w:r>
    </w:p>
    <w:p w14:paraId="3AAA3444"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Theme 3: Translation to clinical impact and trial-system integration</w:t>
      </w:r>
    </w:p>
    <w:p w14:paraId="2EA3F1C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evidence of clinical translation in the included set is concentrated in two adjacent domains: a small number of therapeutic candidates originating from AI reaching clinical evaluation, and the more frequent deployment of AI to improve clinical trial processes. Notably, a generative AI-discovered TNIK inhibitor entered a randomized phase 2a trial for idiopathic pulmonary fibrosis, representing a rare instance of AI-enabled discovery progressing to mid-stage clinical testing within this evidence set (Xu et al., 2025). This type of translation is notable not only for therapeutic intent but also because it involves interaction with real-world constraints such as protocol governance, clinical endpoints, and regulatory expectations, which many preclinical AI successes have not yet encountered. More immediate 'clinical impact' is demonstrated through trial operations, where AI can alleviate bottlenecks without waiting for drug approval. For example, an NLP-driven eligibility screening system has improved the usability and accuracy of clinical trial screening, indicating the tangible workflow benefits of designing AI for interaction with clinicians and adapting to changing criteria (Hu et al., 2025). Predictive modelling of trial duration and recruitment success extends this operational focus upstream, suggesting that protocol features can be used to forecast timelines and feasibility before costly execution decisions are finalized (Wu et al., 2022).</w:t>
      </w:r>
    </w:p>
    <w:p w14:paraId="627EB69B" w14:textId="77777777" w:rsidR="006A12D8" w:rsidRDefault="001D6DC1" w:rsidP="00A837FD">
      <w:pPr>
        <w:jc w:val="both"/>
        <w:rPr>
          <w:rFonts w:ascii="Times New Roman" w:eastAsia="Times New Roman" w:hAnsi="Times New Roman" w:cs="Times New Roman"/>
        </w:rPr>
        <w:sectPr w:rsidR="006A12D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Times New Roman" w:eastAsia="Times New Roman" w:hAnsi="Times New Roman" w:cs="Times New Roman"/>
        </w:rPr>
        <w:t xml:space="preserve">Crucially, these operational gains do not equate to improved patient outcomes unless they measurably accelerate trial completion, improve participant matching or mitigate failure due to avoidable design flaws. The dominant translation barrier across the included studies is therefore not 'whether AI can predict', but whether AI outputs are sufficiently interpretable, </w:t>
      </w:r>
      <w:proofErr w:type="spellStart"/>
      <w:r>
        <w:rPr>
          <w:rFonts w:ascii="Times New Roman" w:eastAsia="Times New Roman" w:hAnsi="Times New Roman" w:cs="Times New Roman"/>
        </w:rPr>
        <w:t>generalisable</w:t>
      </w:r>
      <w:proofErr w:type="spellEnd"/>
      <w:r>
        <w:rPr>
          <w:rFonts w:ascii="Times New Roman" w:eastAsia="Times New Roman" w:hAnsi="Times New Roman" w:cs="Times New Roman"/>
        </w:rPr>
        <w:t xml:space="preserve"> across sites and auditable for governance purposes. This evidence implies a shift towards prospective multi-site evaluation, integration with clinical decision and transparent reporting and trial management systems, rather than standalone model demonstrations.</w:t>
      </w:r>
    </w:p>
    <w:p w14:paraId="3230404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Table 3: Data Extraction Table </w:t>
      </w:r>
    </w:p>
    <w:tbl>
      <w:tblPr>
        <w:tblStyle w:val="a1"/>
        <w:tblW w:w="14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2"/>
        <w:gridCol w:w="1912"/>
        <w:gridCol w:w="1002"/>
        <w:gridCol w:w="1922"/>
        <w:gridCol w:w="2205"/>
        <w:gridCol w:w="1629"/>
        <w:gridCol w:w="1619"/>
        <w:gridCol w:w="2865"/>
      </w:tblGrid>
      <w:tr w:rsidR="006A12D8" w14:paraId="4D87851F" w14:textId="77777777">
        <w:tc>
          <w:tcPr>
            <w:tcW w:w="1462" w:type="dxa"/>
          </w:tcPr>
          <w:p w14:paraId="001FF50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Included study</w:t>
            </w:r>
          </w:p>
        </w:tc>
        <w:tc>
          <w:tcPr>
            <w:tcW w:w="1912" w:type="dxa"/>
          </w:tcPr>
          <w:p w14:paraId="6508280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Drug discovery/translation stage</w:t>
            </w:r>
          </w:p>
        </w:tc>
        <w:tc>
          <w:tcPr>
            <w:tcW w:w="1002" w:type="dxa"/>
          </w:tcPr>
          <w:p w14:paraId="04F51CA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Modality</w:t>
            </w:r>
          </w:p>
        </w:tc>
        <w:tc>
          <w:tcPr>
            <w:tcW w:w="1922" w:type="dxa"/>
          </w:tcPr>
          <w:p w14:paraId="4A5998D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AI/ML technique(s) reported</w:t>
            </w:r>
          </w:p>
        </w:tc>
        <w:tc>
          <w:tcPr>
            <w:tcW w:w="2205" w:type="dxa"/>
          </w:tcPr>
          <w:p w14:paraId="6A4996A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Data inputs</w:t>
            </w:r>
          </w:p>
        </w:tc>
        <w:tc>
          <w:tcPr>
            <w:tcW w:w="1629" w:type="dxa"/>
          </w:tcPr>
          <w:p w14:paraId="2426162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Outputs</w:t>
            </w:r>
          </w:p>
        </w:tc>
        <w:tc>
          <w:tcPr>
            <w:tcW w:w="1619" w:type="dxa"/>
          </w:tcPr>
          <w:p w14:paraId="642CD5E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Validation &amp; key results</w:t>
            </w:r>
          </w:p>
        </w:tc>
        <w:tc>
          <w:tcPr>
            <w:tcW w:w="2865" w:type="dxa"/>
          </w:tcPr>
          <w:p w14:paraId="27178CF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Barriers/limitations noted (or evident from report)</w:t>
            </w:r>
          </w:p>
        </w:tc>
      </w:tr>
      <w:tr w:rsidR="006A12D8" w14:paraId="3B55842E" w14:textId="77777777">
        <w:tc>
          <w:tcPr>
            <w:tcW w:w="1462" w:type="dxa"/>
          </w:tcPr>
          <w:p w14:paraId="630AC23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Hu et al., 2025 (</w:t>
            </w:r>
            <w:proofErr w:type="spellStart"/>
            <w:r>
              <w:rPr>
                <w:rFonts w:ascii="Times New Roman" w:eastAsia="Times New Roman" w:hAnsi="Times New Roman" w:cs="Times New Roman"/>
              </w:rPr>
              <w:t>iTEST</w:t>
            </w:r>
            <w:proofErr w:type="spellEnd"/>
            <w:r>
              <w:rPr>
                <w:rFonts w:ascii="Times New Roman" w:eastAsia="Times New Roman" w:hAnsi="Times New Roman" w:cs="Times New Roman"/>
              </w:rPr>
              <w:t>)</w:t>
            </w:r>
          </w:p>
        </w:tc>
        <w:tc>
          <w:tcPr>
            <w:tcW w:w="1912" w:type="dxa"/>
          </w:tcPr>
          <w:p w14:paraId="2ECA7F0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Clinical trial design &amp; conduct (eligibility screening)</w:t>
            </w:r>
          </w:p>
        </w:tc>
        <w:tc>
          <w:tcPr>
            <w:tcW w:w="1002" w:type="dxa"/>
          </w:tcPr>
          <w:p w14:paraId="29789D8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Clinical trial operations</w:t>
            </w:r>
          </w:p>
        </w:tc>
        <w:tc>
          <w:tcPr>
            <w:tcW w:w="1922" w:type="dxa"/>
          </w:tcPr>
          <w:p w14:paraId="133FA69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NLP + clinician-editable rule authoring (</w:t>
            </w:r>
            <w:proofErr w:type="spellStart"/>
            <w:r>
              <w:rPr>
                <w:rFonts w:ascii="Times New Roman" w:eastAsia="Times New Roman" w:hAnsi="Times New Roman" w:cs="Times New Roman"/>
              </w:rPr>
              <w:t>Blockly</w:t>
            </w:r>
            <w:proofErr w:type="spellEnd"/>
            <w:r>
              <w:rPr>
                <w:rFonts w:ascii="Times New Roman" w:eastAsia="Times New Roman" w:hAnsi="Times New Roman" w:cs="Times New Roman"/>
              </w:rPr>
              <w:t>); concept extraction (</w:t>
            </w:r>
            <w:proofErr w:type="spellStart"/>
            <w:r>
              <w:rPr>
                <w:rFonts w:ascii="Times New Roman" w:eastAsia="Times New Roman" w:hAnsi="Times New Roman" w:cs="Times New Roman"/>
              </w:rPr>
              <w:t>MetaMap</w:t>
            </w:r>
            <w:proofErr w:type="spellEnd"/>
            <w:r>
              <w:rPr>
                <w:rFonts w:ascii="Times New Roman" w:eastAsia="Times New Roman" w:hAnsi="Times New Roman" w:cs="Times New Roman"/>
              </w:rPr>
              <w:t xml:space="preserve"> Lite)</w:t>
            </w:r>
          </w:p>
        </w:tc>
        <w:tc>
          <w:tcPr>
            <w:tcW w:w="2205" w:type="dxa"/>
          </w:tcPr>
          <w:p w14:paraId="0BE706A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Structured + unstructured EMR documents; lab data; stroke trial criteria</w:t>
            </w:r>
          </w:p>
        </w:tc>
        <w:tc>
          <w:tcPr>
            <w:tcW w:w="1629" w:type="dxa"/>
          </w:tcPr>
          <w:p w14:paraId="38F75B6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Eligibility decisions; usability/workload metrics</w:t>
            </w:r>
          </w:p>
        </w:tc>
        <w:tc>
          <w:tcPr>
            <w:tcW w:w="1619" w:type="dxa"/>
          </w:tcPr>
          <w:p w14:paraId="04799E37" w14:textId="77777777" w:rsidR="006A12D8" w:rsidRDefault="00E2047D" w:rsidP="00A837FD">
            <w:pPr>
              <w:jc w:val="both"/>
              <w:rPr>
                <w:rFonts w:ascii="Times New Roman" w:eastAsia="Times New Roman" w:hAnsi="Times New Roman" w:cs="Times New Roman"/>
              </w:rPr>
            </w:pPr>
            <w:sdt>
              <w:sdtPr>
                <w:tag w:val="goog_rdk_0"/>
                <w:id w:val="-2023275715"/>
              </w:sdtPr>
              <w:sdtEndPr/>
              <w:sdtContent>
                <w:r w:rsidR="001D6DC1">
                  <w:rPr>
                    <w:rFonts w:ascii="Cardo" w:eastAsia="Cardo" w:hAnsi="Cardo" w:cs="Cardo"/>
                  </w:rPr>
                  <w:t>Accuracy improved (0.91→1.00); time reduced (3.18→2.44 min); lower NASA‑TLX; higher SUS</w:t>
                </w:r>
              </w:sdtContent>
            </w:sdt>
          </w:p>
        </w:tc>
        <w:tc>
          <w:tcPr>
            <w:tcW w:w="2865" w:type="dxa"/>
          </w:tcPr>
          <w:p w14:paraId="48B74EC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Generalizability beyond setting/trials not established; further deployment work needed</w:t>
            </w:r>
          </w:p>
        </w:tc>
      </w:tr>
      <w:tr w:rsidR="006A12D8" w14:paraId="050DE41E" w14:textId="77777777">
        <w:tc>
          <w:tcPr>
            <w:tcW w:w="1462" w:type="dxa"/>
          </w:tcPr>
          <w:p w14:paraId="5ABC9D6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Wu et al., 2022</w:t>
            </w:r>
          </w:p>
        </w:tc>
        <w:tc>
          <w:tcPr>
            <w:tcW w:w="1912" w:type="dxa"/>
          </w:tcPr>
          <w:p w14:paraId="10F0015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Clinical trial planning (recruitment &amp; duration forecasting)</w:t>
            </w:r>
          </w:p>
        </w:tc>
        <w:tc>
          <w:tcPr>
            <w:tcW w:w="1002" w:type="dxa"/>
          </w:tcPr>
          <w:p w14:paraId="6271316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Clinical trial operations</w:t>
            </w:r>
          </w:p>
        </w:tc>
        <w:tc>
          <w:tcPr>
            <w:tcW w:w="1922" w:type="dxa"/>
          </w:tcPr>
          <w:p w14:paraId="2B81872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ML prediction models for operational efficiency</w:t>
            </w:r>
          </w:p>
        </w:tc>
        <w:tc>
          <w:tcPr>
            <w:tcW w:w="2205" w:type="dxa"/>
          </w:tcPr>
          <w:p w14:paraId="232B90C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Sponsor trial dataset (&gt;2,000 trials over ~20 years); trial features (procedures, eligibility, endpoints)</w:t>
            </w:r>
          </w:p>
        </w:tc>
        <w:tc>
          <w:tcPr>
            <w:tcW w:w="1629" w:type="dxa"/>
          </w:tcPr>
          <w:p w14:paraId="595D19E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recruitment success &amp; trial duration; design insights</w:t>
            </w:r>
          </w:p>
        </w:tc>
        <w:tc>
          <w:tcPr>
            <w:tcW w:w="1619" w:type="dxa"/>
          </w:tcPr>
          <w:p w14:paraId="63B85C7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Operational metrics shown to be predictable from trial features</w:t>
            </w:r>
          </w:p>
        </w:tc>
        <w:tc>
          <w:tcPr>
            <w:tcW w:w="2865" w:type="dxa"/>
          </w:tcPr>
          <w:p w14:paraId="32BFD9A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External validity across sponsors/therapeutic areas not demonstrated; regulatory pathway not addressed</w:t>
            </w:r>
          </w:p>
        </w:tc>
      </w:tr>
      <w:tr w:rsidR="006A12D8" w14:paraId="76E93AE3" w14:textId="77777777">
        <w:tc>
          <w:tcPr>
            <w:tcW w:w="1462" w:type="dxa"/>
          </w:tcPr>
          <w:p w14:paraId="00F4FD7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Xu et al., 2025 (</w:t>
            </w:r>
            <w:proofErr w:type="spellStart"/>
            <w:r>
              <w:rPr>
                <w:rFonts w:ascii="Times New Roman" w:eastAsia="Times New Roman" w:hAnsi="Times New Roman" w:cs="Times New Roman"/>
              </w:rPr>
              <w:t>rentosertib</w:t>
            </w:r>
            <w:proofErr w:type="spellEnd"/>
            <w:r>
              <w:rPr>
                <w:rFonts w:ascii="Times New Roman" w:eastAsia="Times New Roman" w:hAnsi="Times New Roman" w:cs="Times New Roman"/>
              </w:rPr>
              <w:t xml:space="preserve"> / ISM001‑055)</w:t>
            </w:r>
          </w:p>
        </w:tc>
        <w:tc>
          <w:tcPr>
            <w:tcW w:w="1912" w:type="dxa"/>
          </w:tcPr>
          <w:p w14:paraId="51AC51F0" w14:textId="77777777" w:rsidR="006A12D8" w:rsidRDefault="00E2047D" w:rsidP="00A837FD">
            <w:pPr>
              <w:jc w:val="both"/>
              <w:rPr>
                <w:rFonts w:ascii="Times New Roman" w:eastAsia="Times New Roman" w:hAnsi="Times New Roman" w:cs="Times New Roman"/>
              </w:rPr>
            </w:pPr>
            <w:sdt>
              <w:sdtPr>
                <w:tag w:val="goog_rdk_1"/>
                <w:id w:val="124122860"/>
              </w:sdtPr>
              <w:sdtEndPr/>
              <w:sdtContent>
                <w:r w:rsidR="001D6DC1">
                  <w:rPr>
                    <w:rFonts w:ascii="Cardo" w:eastAsia="Cardo" w:hAnsi="Cardo" w:cs="Cardo"/>
                  </w:rPr>
                  <w:t>Lead design → Phase 2a clinical trial</w:t>
                </w:r>
              </w:sdtContent>
            </w:sdt>
          </w:p>
        </w:tc>
        <w:tc>
          <w:tcPr>
            <w:tcW w:w="1002" w:type="dxa"/>
          </w:tcPr>
          <w:p w14:paraId="5AD0354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00981ED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Generative AI drug discovery (as reported)</w:t>
            </w:r>
          </w:p>
        </w:tc>
        <w:tc>
          <w:tcPr>
            <w:tcW w:w="2205" w:type="dxa"/>
          </w:tcPr>
          <w:p w14:paraId="66E2D26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AI-discovered TNIK inhibitor; clinical endpoints in IPF trial</w:t>
            </w:r>
          </w:p>
        </w:tc>
        <w:tc>
          <w:tcPr>
            <w:tcW w:w="1629" w:type="dxa"/>
          </w:tcPr>
          <w:p w14:paraId="26AD8B4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Safety/tolerability; lung function change</w:t>
            </w:r>
          </w:p>
        </w:tc>
        <w:tc>
          <w:tcPr>
            <w:tcW w:w="1619" w:type="dxa"/>
          </w:tcPr>
          <w:p w14:paraId="6AC54FBA" w14:textId="77777777" w:rsidR="006A12D8" w:rsidRDefault="00E2047D" w:rsidP="00A837FD">
            <w:pPr>
              <w:jc w:val="both"/>
              <w:rPr>
                <w:rFonts w:ascii="Times New Roman" w:eastAsia="Times New Roman" w:hAnsi="Times New Roman" w:cs="Times New Roman"/>
              </w:rPr>
            </w:pPr>
            <w:sdt>
              <w:sdtPr>
                <w:tag w:val="goog_rdk_2"/>
                <w:id w:val="1692882717"/>
              </w:sdtPr>
              <w:sdtEndPr/>
              <w:sdtContent>
                <w:r w:rsidR="001D6DC1">
                  <w:rPr>
                    <w:rFonts w:ascii="Gungsuh" w:eastAsia="Gungsuh" w:hAnsi="Gungsuh" w:cs="Gungsuh"/>
                  </w:rPr>
                  <w:t xml:space="preserve">Multicenter RCT phase 2a; similar AE rates across arms; highest dose </w:t>
                </w:r>
                <w:proofErr w:type="gramStart"/>
                <w:r w:rsidR="001D6DC1">
                  <w:rPr>
                    <w:rFonts w:ascii="Gungsuh" w:eastAsia="Gungsuh" w:hAnsi="Gungsuh" w:cs="Gungsuh"/>
                  </w:rPr>
                  <w:t>mean</w:t>
                </w:r>
                <w:proofErr w:type="gramEnd"/>
                <w:r w:rsidR="001D6DC1">
                  <w:rPr>
                    <w:rFonts w:ascii="Gungsuh" w:eastAsia="Gungsuh" w:hAnsi="Gungsuh" w:cs="Gungsuh"/>
                  </w:rPr>
                  <w:t xml:space="preserve"> FVC change +98.4 ml vs placebo −20.3 ml</w:t>
                </w:r>
              </w:sdtContent>
            </w:sdt>
          </w:p>
        </w:tc>
        <w:tc>
          <w:tcPr>
            <w:tcW w:w="2865" w:type="dxa"/>
          </w:tcPr>
          <w:p w14:paraId="2E90751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Translation remains to larger/longer trials; illustrates rarity of AI drugs reaching mid‑stage trials</w:t>
            </w:r>
          </w:p>
        </w:tc>
      </w:tr>
      <w:tr w:rsidR="006A12D8" w14:paraId="7273A817" w14:textId="77777777">
        <w:tc>
          <w:tcPr>
            <w:tcW w:w="1462" w:type="dxa"/>
          </w:tcPr>
          <w:p w14:paraId="6C850B80" w14:textId="77777777" w:rsidR="006A12D8" w:rsidRDefault="001D6DC1" w:rsidP="00A837FD">
            <w:pPr>
              <w:jc w:val="both"/>
              <w:rPr>
                <w:rFonts w:ascii="Times New Roman" w:eastAsia="Times New Roman" w:hAnsi="Times New Roman" w:cs="Times New Roman"/>
              </w:rPr>
            </w:pPr>
            <w:proofErr w:type="spellStart"/>
            <w:r>
              <w:rPr>
                <w:rFonts w:ascii="Times New Roman" w:eastAsia="Times New Roman" w:hAnsi="Times New Roman" w:cs="Times New Roman"/>
              </w:rPr>
              <w:t>Zhavoronkov</w:t>
            </w:r>
            <w:proofErr w:type="spellEnd"/>
            <w:r>
              <w:rPr>
                <w:rFonts w:ascii="Times New Roman" w:eastAsia="Times New Roman" w:hAnsi="Times New Roman" w:cs="Times New Roman"/>
              </w:rPr>
              <w:t xml:space="preserve"> et al., 2019 (DDR1)</w:t>
            </w:r>
          </w:p>
        </w:tc>
        <w:tc>
          <w:tcPr>
            <w:tcW w:w="1912" w:type="dxa"/>
          </w:tcPr>
          <w:p w14:paraId="47172336" w14:textId="77777777" w:rsidR="006A12D8" w:rsidRDefault="00E2047D" w:rsidP="00A837FD">
            <w:pPr>
              <w:jc w:val="both"/>
              <w:rPr>
                <w:rFonts w:ascii="Times New Roman" w:eastAsia="Times New Roman" w:hAnsi="Times New Roman" w:cs="Times New Roman"/>
              </w:rPr>
            </w:pPr>
            <w:sdt>
              <w:sdtPr>
                <w:tag w:val="goog_rdk_3"/>
                <w:id w:val="-127108292"/>
              </w:sdtPr>
              <w:sdtEndPr/>
              <w:sdtContent>
                <w:r w:rsidR="001D6DC1">
                  <w:rPr>
                    <w:rFonts w:ascii="Cardo" w:eastAsia="Cardo" w:hAnsi="Cardo" w:cs="Cardo"/>
                  </w:rPr>
                  <w:t>De novo design / hit discovery → early lead</w:t>
                </w:r>
              </w:sdtContent>
            </w:sdt>
          </w:p>
        </w:tc>
        <w:tc>
          <w:tcPr>
            <w:tcW w:w="1002" w:type="dxa"/>
          </w:tcPr>
          <w:p w14:paraId="5DAEB63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12924A6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Deep generative model with reinforcement learning (GENTRL)</w:t>
            </w:r>
          </w:p>
        </w:tc>
        <w:tc>
          <w:tcPr>
            <w:tcW w:w="2205" w:type="dxa"/>
          </w:tcPr>
          <w:p w14:paraId="113C4D9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Target DDR1; objectives include feasibility/novelty/activity</w:t>
            </w:r>
          </w:p>
        </w:tc>
        <w:tc>
          <w:tcPr>
            <w:tcW w:w="1629" w:type="dxa"/>
          </w:tcPr>
          <w:p w14:paraId="517A933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Candidate molecules; leads with activity/PK</w:t>
            </w:r>
          </w:p>
        </w:tc>
        <w:tc>
          <w:tcPr>
            <w:tcW w:w="1619" w:type="dxa"/>
          </w:tcPr>
          <w:p w14:paraId="666DB51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Inhibitors identified in 21 days; 4 </w:t>
            </w:r>
            <w:proofErr w:type="gramStart"/>
            <w:r>
              <w:rPr>
                <w:rFonts w:ascii="Times New Roman" w:eastAsia="Times New Roman" w:hAnsi="Times New Roman" w:cs="Times New Roman"/>
              </w:rPr>
              <w:t>active</w:t>
            </w:r>
            <w:proofErr w:type="gramEnd"/>
            <w:r>
              <w:rPr>
                <w:rFonts w:ascii="Times New Roman" w:eastAsia="Times New Roman" w:hAnsi="Times New Roman" w:cs="Times New Roman"/>
              </w:rPr>
              <w:t xml:space="preserve"> biochemically; 2 validated in cells; lead with </w:t>
            </w:r>
            <w:r>
              <w:rPr>
                <w:rFonts w:ascii="Times New Roman" w:eastAsia="Times New Roman" w:hAnsi="Times New Roman" w:cs="Times New Roman"/>
              </w:rPr>
              <w:lastRenderedPageBreak/>
              <w:t>favorable mouse PK</w:t>
            </w:r>
          </w:p>
        </w:tc>
        <w:tc>
          <w:tcPr>
            <w:tcW w:w="2865" w:type="dxa"/>
          </w:tcPr>
          <w:p w14:paraId="19C9EC1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Preclinical stage; broader safety/developability and external benchmarking not detailed</w:t>
            </w:r>
          </w:p>
        </w:tc>
      </w:tr>
      <w:tr w:rsidR="006A12D8" w14:paraId="79D4096D" w14:textId="77777777">
        <w:tc>
          <w:tcPr>
            <w:tcW w:w="1462" w:type="dxa"/>
          </w:tcPr>
          <w:p w14:paraId="5A0463D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Stokes et al., 2020 (</w:t>
            </w:r>
            <w:proofErr w:type="spellStart"/>
            <w:r>
              <w:rPr>
                <w:rFonts w:ascii="Times New Roman" w:eastAsia="Times New Roman" w:hAnsi="Times New Roman" w:cs="Times New Roman"/>
              </w:rPr>
              <w:t>halicin</w:t>
            </w:r>
            <w:proofErr w:type="spellEnd"/>
            <w:r>
              <w:rPr>
                <w:rFonts w:ascii="Times New Roman" w:eastAsia="Times New Roman" w:hAnsi="Times New Roman" w:cs="Times New Roman"/>
              </w:rPr>
              <w:t>)</w:t>
            </w:r>
          </w:p>
        </w:tc>
        <w:tc>
          <w:tcPr>
            <w:tcW w:w="1912" w:type="dxa"/>
          </w:tcPr>
          <w:p w14:paraId="757798C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Hit discovery / repurposing + preclinical validation</w:t>
            </w:r>
          </w:p>
        </w:tc>
        <w:tc>
          <w:tcPr>
            <w:tcW w:w="1002" w:type="dxa"/>
          </w:tcPr>
          <w:p w14:paraId="082E054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688D6B1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Deep neural network activity prediction</w:t>
            </w:r>
          </w:p>
        </w:tc>
        <w:tc>
          <w:tcPr>
            <w:tcW w:w="2205" w:type="dxa"/>
          </w:tcPr>
          <w:p w14:paraId="1452BD6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Multiple libraries; ZINC15‑scale virtual screening; Drug Repurposing Hub</w:t>
            </w:r>
          </w:p>
        </w:tc>
        <w:tc>
          <w:tcPr>
            <w:tcW w:w="1629" w:type="dxa"/>
          </w:tcPr>
          <w:p w14:paraId="4538128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antibacterial hits; novel scaffolds</w:t>
            </w:r>
          </w:p>
        </w:tc>
        <w:tc>
          <w:tcPr>
            <w:tcW w:w="1619" w:type="dxa"/>
          </w:tcPr>
          <w:p w14:paraId="132B61D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Discovered </w:t>
            </w:r>
            <w:proofErr w:type="spellStart"/>
            <w:r>
              <w:rPr>
                <w:rFonts w:ascii="Times New Roman" w:eastAsia="Times New Roman" w:hAnsi="Times New Roman" w:cs="Times New Roman"/>
              </w:rPr>
              <w:t>halicin</w:t>
            </w:r>
            <w:proofErr w:type="spellEnd"/>
            <w:r>
              <w:rPr>
                <w:rFonts w:ascii="Times New Roman" w:eastAsia="Times New Roman" w:hAnsi="Times New Roman" w:cs="Times New Roman"/>
              </w:rPr>
              <w:t>; broad bactericidal activity; murine infection model efficacy; additional predicted actives validated</w:t>
            </w:r>
          </w:p>
        </w:tc>
        <w:tc>
          <w:tcPr>
            <w:tcW w:w="2865" w:type="dxa"/>
          </w:tcPr>
          <w:p w14:paraId="02545F2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Clinical translation not addressed; interpretability/causality not central in summary</w:t>
            </w:r>
          </w:p>
        </w:tc>
      </w:tr>
      <w:tr w:rsidR="006A12D8" w14:paraId="2EA6A622" w14:textId="77777777">
        <w:tc>
          <w:tcPr>
            <w:tcW w:w="1462" w:type="dxa"/>
          </w:tcPr>
          <w:p w14:paraId="567A90C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Wellnitz et al., 2025 (</w:t>
            </w:r>
            <w:proofErr w:type="spellStart"/>
            <w:r>
              <w:rPr>
                <w:rFonts w:ascii="Times New Roman" w:eastAsia="Times New Roman" w:hAnsi="Times New Roman" w:cs="Times New Roman"/>
              </w:rPr>
              <w:t>OpenDEL</w:t>
            </w:r>
            <w:proofErr w:type="spellEnd"/>
            <w:r>
              <w:rPr>
                <w:rFonts w:ascii="Times New Roman" w:eastAsia="Times New Roman" w:hAnsi="Times New Roman" w:cs="Times New Roman"/>
              </w:rPr>
              <w:t>‑ML)</w:t>
            </w:r>
          </w:p>
        </w:tc>
        <w:tc>
          <w:tcPr>
            <w:tcW w:w="1912" w:type="dxa"/>
          </w:tcPr>
          <w:p w14:paraId="3710647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Hit discovery (DEL)</w:t>
            </w:r>
          </w:p>
        </w:tc>
        <w:tc>
          <w:tcPr>
            <w:tcW w:w="1002" w:type="dxa"/>
          </w:tcPr>
          <w:p w14:paraId="0AEB7BC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06F86AD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ML on DEL selections; automated end‑to‑end workflow</w:t>
            </w:r>
          </w:p>
        </w:tc>
        <w:tc>
          <w:tcPr>
            <w:tcW w:w="2205" w:type="dxa"/>
          </w:tcPr>
          <w:p w14:paraId="03289DD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Public DEL data (</w:t>
            </w:r>
            <w:proofErr w:type="spellStart"/>
            <w:r>
              <w:rPr>
                <w:rFonts w:ascii="Times New Roman" w:eastAsia="Times New Roman" w:hAnsi="Times New Roman" w:cs="Times New Roman"/>
              </w:rPr>
              <w:t>HitGen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OpenDEL</w:t>
            </w:r>
            <w:proofErr w:type="spellEnd"/>
            <w:r>
              <w:rPr>
                <w:rFonts w:ascii="Times New Roman" w:eastAsia="Times New Roman" w:hAnsi="Times New Roman" w:cs="Times New Roman"/>
              </w:rPr>
              <w:t>; 3B) + REAL Space (37B) screening</w:t>
            </w:r>
          </w:p>
        </w:tc>
        <w:tc>
          <w:tcPr>
            <w:tcW w:w="1629" w:type="dxa"/>
          </w:tcPr>
          <w:p w14:paraId="483D119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Ranked candidates; confirmed binders</w:t>
            </w:r>
          </w:p>
        </w:tc>
        <w:tc>
          <w:tcPr>
            <w:tcW w:w="1619" w:type="dxa"/>
          </w:tcPr>
          <w:p w14:paraId="69D95DD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50 candidates; 7 binders confirmed (</w:t>
            </w:r>
            <w:proofErr w:type="spellStart"/>
            <w:r>
              <w:rPr>
                <w:rFonts w:ascii="Times New Roman" w:eastAsia="Times New Roman" w:hAnsi="Times New Roman" w:cs="Times New Roman"/>
              </w:rPr>
              <w:t>Kd</w:t>
            </w:r>
            <w:proofErr w:type="spellEnd"/>
            <w:r>
              <w:rPr>
                <w:rFonts w:ascii="Times New Roman" w:eastAsia="Times New Roman" w:hAnsi="Times New Roman" w:cs="Times New Roman"/>
              </w:rPr>
              <w:t xml:space="preserve"> 2.7–21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w:t>
            </w:r>
          </w:p>
        </w:tc>
        <w:tc>
          <w:tcPr>
            <w:tcW w:w="2865" w:type="dxa"/>
          </w:tcPr>
          <w:p w14:paraId="52F225F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Early potency range; strengths include open workflow addressing data-access barriers</w:t>
            </w:r>
          </w:p>
        </w:tc>
      </w:tr>
      <w:tr w:rsidR="006A12D8" w14:paraId="3A20D53E" w14:textId="77777777">
        <w:tc>
          <w:tcPr>
            <w:tcW w:w="1462" w:type="dxa"/>
          </w:tcPr>
          <w:p w14:paraId="4A402B6F" w14:textId="77777777" w:rsidR="006A12D8" w:rsidRPr="00EA08AF" w:rsidRDefault="001D6DC1" w:rsidP="00A837FD">
            <w:pPr>
              <w:jc w:val="both"/>
              <w:rPr>
                <w:rFonts w:ascii="Times New Roman" w:eastAsia="Times New Roman" w:hAnsi="Times New Roman" w:cs="Times New Roman"/>
                <w:lang w:val="de-DE"/>
              </w:rPr>
            </w:pPr>
            <w:r w:rsidRPr="00EA08AF">
              <w:rPr>
                <w:rFonts w:ascii="Times New Roman" w:eastAsia="Times New Roman" w:hAnsi="Times New Roman" w:cs="Times New Roman"/>
                <w:lang w:val="de-DE"/>
              </w:rPr>
              <w:t>Yasgar et al., 2025 (ALDH probes)</w:t>
            </w:r>
          </w:p>
        </w:tc>
        <w:tc>
          <w:tcPr>
            <w:tcW w:w="1912" w:type="dxa"/>
          </w:tcPr>
          <w:p w14:paraId="1ACF2D4C" w14:textId="77777777" w:rsidR="006A12D8" w:rsidRDefault="00E2047D" w:rsidP="00A837FD">
            <w:pPr>
              <w:jc w:val="both"/>
              <w:rPr>
                <w:rFonts w:ascii="Times New Roman" w:eastAsia="Times New Roman" w:hAnsi="Times New Roman" w:cs="Times New Roman"/>
              </w:rPr>
            </w:pPr>
            <w:sdt>
              <w:sdtPr>
                <w:tag w:val="goog_rdk_4"/>
                <w:id w:val="1076402245"/>
              </w:sdtPr>
              <w:sdtEndPr/>
              <w:sdtContent>
                <w:r w:rsidR="001D6DC1">
                  <w:rPr>
                    <w:rFonts w:ascii="Cardo" w:eastAsia="Cardo" w:hAnsi="Cardo" w:cs="Cardo"/>
                  </w:rPr>
                  <w:t>Hit discovery → probe optimization</w:t>
                </w:r>
              </w:sdtContent>
            </w:sdt>
          </w:p>
        </w:tc>
        <w:tc>
          <w:tcPr>
            <w:tcW w:w="1002" w:type="dxa"/>
          </w:tcPr>
          <w:p w14:paraId="19098CA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1E64FC6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ML + pharmacophore (PH4) modeling integrated with </w:t>
            </w:r>
            <w:proofErr w:type="spellStart"/>
            <w:r>
              <w:rPr>
                <w:rFonts w:ascii="Times New Roman" w:eastAsia="Times New Roman" w:hAnsi="Times New Roman" w:cs="Times New Roman"/>
              </w:rPr>
              <w:t>qHTS</w:t>
            </w:r>
            <w:proofErr w:type="spellEnd"/>
          </w:p>
        </w:tc>
        <w:tc>
          <w:tcPr>
            <w:tcW w:w="2205" w:type="dxa"/>
          </w:tcPr>
          <w:p w14:paraId="2333647E" w14:textId="77777777" w:rsidR="006A12D8" w:rsidRDefault="001D6DC1" w:rsidP="00A837FD">
            <w:pPr>
              <w:jc w:val="both"/>
              <w:rPr>
                <w:rFonts w:ascii="Times New Roman" w:eastAsia="Times New Roman" w:hAnsi="Times New Roman" w:cs="Times New Roman"/>
              </w:rPr>
            </w:pPr>
            <w:proofErr w:type="spellStart"/>
            <w:r>
              <w:rPr>
                <w:rFonts w:ascii="Times New Roman" w:eastAsia="Times New Roman" w:hAnsi="Times New Roman" w:cs="Times New Roman"/>
              </w:rPr>
              <w:t>qHTS</w:t>
            </w:r>
            <w:proofErr w:type="spellEnd"/>
            <w:r>
              <w:rPr>
                <w:rFonts w:ascii="Times New Roman" w:eastAsia="Times New Roman" w:hAnsi="Times New Roman" w:cs="Times New Roman"/>
              </w:rPr>
              <w:t xml:space="preserve"> ~13,000; virtual screen 174,000; biochemical + cellular assays</w:t>
            </w:r>
          </w:p>
        </w:tc>
        <w:tc>
          <w:tcPr>
            <w:tcW w:w="1629" w:type="dxa"/>
          </w:tcPr>
          <w:p w14:paraId="05A2F94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Isoform-selective inhibitors; probe candidates</w:t>
            </w:r>
          </w:p>
        </w:tc>
        <w:tc>
          <w:tcPr>
            <w:tcW w:w="1619" w:type="dxa"/>
          </w:tcPr>
          <w:p w14:paraId="5842323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Potent/selective inhibitors across ALDH isoforms; cellular target engagement; dataset publicly available</w:t>
            </w:r>
          </w:p>
        </w:tc>
        <w:tc>
          <w:tcPr>
            <w:tcW w:w="2865" w:type="dxa"/>
          </w:tcPr>
          <w:p w14:paraId="7E8E74B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Probe-stage; clinical translation not shown; improves availability of training/evaluation data</w:t>
            </w:r>
          </w:p>
        </w:tc>
      </w:tr>
      <w:tr w:rsidR="006A12D8" w14:paraId="730784B8" w14:textId="77777777">
        <w:tc>
          <w:tcPr>
            <w:tcW w:w="1462" w:type="dxa"/>
          </w:tcPr>
          <w:p w14:paraId="18A1851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Wong et al., 2024 (explainable antibiotics)</w:t>
            </w:r>
          </w:p>
        </w:tc>
        <w:tc>
          <w:tcPr>
            <w:tcW w:w="1912" w:type="dxa"/>
          </w:tcPr>
          <w:p w14:paraId="077A92FA" w14:textId="77777777" w:rsidR="006A12D8" w:rsidRDefault="00E2047D" w:rsidP="00A837FD">
            <w:pPr>
              <w:jc w:val="both"/>
              <w:rPr>
                <w:rFonts w:ascii="Times New Roman" w:eastAsia="Times New Roman" w:hAnsi="Times New Roman" w:cs="Times New Roman"/>
              </w:rPr>
            </w:pPr>
            <w:sdt>
              <w:sdtPr>
                <w:tag w:val="goog_rdk_5"/>
                <w:id w:val="-1996871906"/>
              </w:sdtPr>
              <w:sdtEndPr/>
              <w:sdtContent>
                <w:r w:rsidR="001D6DC1">
                  <w:rPr>
                    <w:rFonts w:ascii="Cardo" w:eastAsia="Cardo" w:hAnsi="Cardo" w:cs="Cardo"/>
                  </w:rPr>
                  <w:t>Hit discovery with interpretability → preclinical in vivo</w:t>
                </w:r>
              </w:sdtContent>
            </w:sdt>
          </w:p>
        </w:tc>
        <w:tc>
          <w:tcPr>
            <w:tcW w:w="1002" w:type="dxa"/>
          </w:tcPr>
          <w:p w14:paraId="0465445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3BFB3D9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Explainable deep learning; GNN ensembles; explainable graph algorithms</w:t>
            </w:r>
          </w:p>
        </w:tc>
        <w:tc>
          <w:tcPr>
            <w:tcW w:w="2205" w:type="dxa"/>
          </w:tcPr>
          <w:p w14:paraId="30773D2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39,312 tested; predictions over 12,076,365; cytotoxicity profiling</w:t>
            </w:r>
          </w:p>
        </w:tc>
        <w:tc>
          <w:tcPr>
            <w:tcW w:w="1629" w:type="dxa"/>
          </w:tcPr>
          <w:p w14:paraId="6971AC7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activity + rationales (substructures); structural classes</w:t>
            </w:r>
          </w:p>
        </w:tc>
        <w:tc>
          <w:tcPr>
            <w:tcW w:w="1619" w:type="dxa"/>
          </w:tcPr>
          <w:p w14:paraId="48F29DB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283 tested; enriched active classes; one class active vs MRSA/VRE and reduced bacterial titers in mouse MRSA models</w:t>
            </w:r>
          </w:p>
        </w:tc>
        <w:tc>
          <w:tcPr>
            <w:tcW w:w="2865" w:type="dxa"/>
          </w:tcPr>
          <w:p w14:paraId="1E991D5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Human translation not addressed; demonstrates interpretability to guide chemistry decisions</w:t>
            </w:r>
          </w:p>
        </w:tc>
      </w:tr>
      <w:tr w:rsidR="006A12D8" w14:paraId="6C78587E" w14:textId="77777777">
        <w:tc>
          <w:tcPr>
            <w:tcW w:w="1462" w:type="dxa"/>
          </w:tcPr>
          <w:p w14:paraId="027B793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Krishnan et al., 2025 (de novo antibiotic design)</w:t>
            </w:r>
          </w:p>
        </w:tc>
        <w:tc>
          <w:tcPr>
            <w:tcW w:w="1912" w:type="dxa"/>
          </w:tcPr>
          <w:p w14:paraId="55E4E11B" w14:textId="77777777" w:rsidR="006A12D8" w:rsidRDefault="00E2047D" w:rsidP="00A837FD">
            <w:pPr>
              <w:jc w:val="both"/>
              <w:rPr>
                <w:rFonts w:ascii="Times New Roman" w:eastAsia="Times New Roman" w:hAnsi="Times New Roman" w:cs="Times New Roman"/>
              </w:rPr>
            </w:pPr>
            <w:sdt>
              <w:sdtPr>
                <w:tag w:val="goog_rdk_6"/>
                <w:id w:val="-401773786"/>
              </w:sdtPr>
              <w:sdtEndPr/>
              <w:sdtContent>
                <w:r w:rsidR="001D6DC1">
                  <w:rPr>
                    <w:rFonts w:ascii="Cardo" w:eastAsia="Cardo" w:hAnsi="Cardo" w:cs="Cardo"/>
                  </w:rPr>
                  <w:t>De novo design → preclinical in vivo</w:t>
                </w:r>
              </w:sdtContent>
            </w:sdt>
          </w:p>
        </w:tc>
        <w:tc>
          <w:tcPr>
            <w:tcW w:w="1002" w:type="dxa"/>
          </w:tcPr>
          <w:p w14:paraId="489CAB4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3D63341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Generative AI (genetic algorithms; variational autoencoders); GNN noted</w:t>
            </w:r>
          </w:p>
        </w:tc>
        <w:tc>
          <w:tcPr>
            <w:tcW w:w="2205" w:type="dxa"/>
          </w:tcPr>
          <w:p w14:paraId="21D2D8E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Fragment screening + de novo generation; synthesis/testing loop</w:t>
            </w:r>
          </w:p>
        </w:tc>
        <w:tc>
          <w:tcPr>
            <w:tcW w:w="1629" w:type="dxa"/>
          </w:tcPr>
          <w:p w14:paraId="30D91C9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Designed compounds; lead classes</w:t>
            </w:r>
          </w:p>
        </w:tc>
        <w:tc>
          <w:tcPr>
            <w:tcW w:w="1619" w:type="dxa"/>
          </w:tcPr>
          <w:p w14:paraId="142ACFE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24 synthesized; 7 selective antibacterials; 2 leads reduced bacterial burden in vivo </w:t>
            </w:r>
            <w:r>
              <w:rPr>
                <w:rFonts w:ascii="Times New Roman" w:eastAsia="Times New Roman" w:hAnsi="Times New Roman" w:cs="Times New Roman"/>
              </w:rPr>
              <w:lastRenderedPageBreak/>
              <w:t>(mouse infection models)</w:t>
            </w:r>
          </w:p>
        </w:tc>
        <w:tc>
          <w:tcPr>
            <w:tcW w:w="2865" w:type="dxa"/>
          </w:tcPr>
          <w:p w14:paraId="4976C53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Downstream PK/safety and clinical progression not detailed</w:t>
            </w:r>
          </w:p>
        </w:tc>
      </w:tr>
      <w:tr w:rsidR="006A12D8" w14:paraId="57829DCE" w14:textId="77777777">
        <w:tc>
          <w:tcPr>
            <w:tcW w:w="1462" w:type="dxa"/>
          </w:tcPr>
          <w:p w14:paraId="5FE7DC9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Wang et al., 2025 (</w:t>
            </w:r>
            <w:proofErr w:type="spellStart"/>
            <w:r>
              <w:rPr>
                <w:rFonts w:ascii="Times New Roman" w:eastAsia="Times New Roman" w:hAnsi="Times New Roman" w:cs="Times New Roman"/>
              </w:rPr>
              <w:t>EvoGradient</w:t>
            </w:r>
            <w:proofErr w:type="spellEnd"/>
            <w:r>
              <w:rPr>
                <w:rFonts w:ascii="Times New Roman" w:eastAsia="Times New Roman" w:hAnsi="Times New Roman" w:cs="Times New Roman"/>
              </w:rPr>
              <w:t xml:space="preserve"> AMPs)</w:t>
            </w:r>
          </w:p>
        </w:tc>
        <w:tc>
          <w:tcPr>
            <w:tcW w:w="1912" w:type="dxa"/>
          </w:tcPr>
          <w:p w14:paraId="5D06B91D" w14:textId="77777777" w:rsidR="006A12D8" w:rsidRDefault="00E2047D" w:rsidP="00A837FD">
            <w:pPr>
              <w:jc w:val="both"/>
              <w:rPr>
                <w:rFonts w:ascii="Times New Roman" w:eastAsia="Times New Roman" w:hAnsi="Times New Roman" w:cs="Times New Roman"/>
              </w:rPr>
            </w:pPr>
            <w:sdt>
              <w:sdtPr>
                <w:tag w:val="goog_rdk_7"/>
                <w:id w:val="839778486"/>
              </w:sdtPr>
              <w:sdtEndPr/>
              <w:sdtContent>
                <w:r w:rsidR="001D6DC1">
                  <w:rPr>
                    <w:rFonts w:ascii="Cardo" w:eastAsia="Cardo" w:hAnsi="Cardo" w:cs="Cardo"/>
                  </w:rPr>
                  <w:t>Biologics design/optimization → preclinical in vivo</w:t>
                </w:r>
              </w:sdtContent>
            </w:sdt>
          </w:p>
        </w:tc>
        <w:tc>
          <w:tcPr>
            <w:tcW w:w="1002" w:type="dxa"/>
          </w:tcPr>
          <w:p w14:paraId="65F87E1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Peptide biologics (AMPs)</w:t>
            </w:r>
          </w:p>
        </w:tc>
        <w:tc>
          <w:tcPr>
            <w:tcW w:w="1922" w:type="dxa"/>
          </w:tcPr>
          <w:p w14:paraId="0909985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Explainable DL + “virtual evolution” (in silico directed evolution)</w:t>
            </w:r>
          </w:p>
        </w:tc>
        <w:tc>
          <w:tcPr>
            <w:tcW w:w="2205" w:type="dxa"/>
          </w:tcPr>
          <w:p w14:paraId="5026EC1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Peptides from low-abundance oral bacteria; virtual evolution of 32 peptides</w:t>
            </w:r>
          </w:p>
        </w:tc>
        <w:tc>
          <w:tcPr>
            <w:tcW w:w="1629" w:type="dxa"/>
          </w:tcPr>
          <w:p w14:paraId="003D2DE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Optimized peptide sequences; potency predictions</w:t>
            </w:r>
          </w:p>
        </w:tc>
        <w:tc>
          <w:tcPr>
            <w:tcW w:w="1619" w:type="dxa"/>
          </w:tcPr>
          <w:p w14:paraId="46173CE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6 synthesized; activity vs MDR pathogens; top peptide validated in vivo with &gt;95% bacterial-load reduction (mouse thigh infection)</w:t>
            </w:r>
          </w:p>
        </w:tc>
        <w:tc>
          <w:tcPr>
            <w:tcW w:w="2865" w:type="dxa"/>
          </w:tcPr>
          <w:p w14:paraId="0487598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Manufacturability/immunogenicity and clinical translation not discussed</w:t>
            </w:r>
          </w:p>
        </w:tc>
      </w:tr>
      <w:tr w:rsidR="006A12D8" w14:paraId="0E707124" w14:textId="77777777">
        <w:tc>
          <w:tcPr>
            <w:tcW w:w="1462" w:type="dxa"/>
          </w:tcPr>
          <w:p w14:paraId="48ECDB2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Santos‑Júnior et al., 2024 (</w:t>
            </w:r>
            <w:proofErr w:type="spellStart"/>
            <w:r>
              <w:rPr>
                <w:rFonts w:ascii="Times New Roman" w:eastAsia="Times New Roman" w:hAnsi="Times New Roman" w:cs="Times New Roman"/>
              </w:rPr>
              <w:t>AMPSphere</w:t>
            </w:r>
            <w:proofErr w:type="spellEnd"/>
            <w:r>
              <w:rPr>
                <w:rFonts w:ascii="Times New Roman" w:eastAsia="Times New Roman" w:hAnsi="Times New Roman" w:cs="Times New Roman"/>
              </w:rPr>
              <w:t>)</w:t>
            </w:r>
          </w:p>
        </w:tc>
        <w:tc>
          <w:tcPr>
            <w:tcW w:w="1912" w:type="dxa"/>
          </w:tcPr>
          <w:p w14:paraId="41A02F8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Biologics discovery (mining + hit validation)</w:t>
            </w:r>
          </w:p>
        </w:tc>
        <w:tc>
          <w:tcPr>
            <w:tcW w:w="1002" w:type="dxa"/>
          </w:tcPr>
          <w:p w14:paraId="394CF98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Peptide biologics (AMPs)</w:t>
            </w:r>
          </w:p>
        </w:tc>
        <w:tc>
          <w:tcPr>
            <w:tcW w:w="1922" w:type="dxa"/>
          </w:tcPr>
          <w:p w14:paraId="590DB0E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ML-based AMP prediction at scale</w:t>
            </w:r>
          </w:p>
        </w:tc>
        <w:tc>
          <w:tcPr>
            <w:tcW w:w="2205" w:type="dxa"/>
          </w:tcPr>
          <w:p w14:paraId="7D49116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63,410 metagenomes + 87,920 genomes; catalog 863,498 peptides</w:t>
            </w:r>
          </w:p>
        </w:tc>
        <w:tc>
          <w:tcPr>
            <w:tcW w:w="1629" w:type="dxa"/>
          </w:tcPr>
          <w:p w14:paraId="772D2A5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AMP catalog; candidate AMPs</w:t>
            </w:r>
          </w:p>
        </w:tc>
        <w:tc>
          <w:tcPr>
            <w:tcW w:w="1619" w:type="dxa"/>
          </w:tcPr>
          <w:p w14:paraId="1ABEB6C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Synthesized/tested 100; 79 active (63 pathogen-targeting); membrane disruption mechanism reported</w:t>
            </w:r>
          </w:p>
        </w:tc>
        <w:tc>
          <w:tcPr>
            <w:tcW w:w="2865" w:type="dxa"/>
          </w:tcPr>
          <w:p w14:paraId="2177DD4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Translation remains early; clinical development steps not addressed</w:t>
            </w:r>
          </w:p>
        </w:tc>
      </w:tr>
      <w:tr w:rsidR="006A12D8" w14:paraId="76619FA1" w14:textId="77777777">
        <w:tc>
          <w:tcPr>
            <w:tcW w:w="1462" w:type="dxa"/>
          </w:tcPr>
          <w:p w14:paraId="0AB13A16" w14:textId="77777777" w:rsidR="006A12D8" w:rsidRDefault="001D6DC1" w:rsidP="00A837FD">
            <w:pPr>
              <w:jc w:val="both"/>
              <w:rPr>
                <w:rFonts w:ascii="Times New Roman" w:eastAsia="Times New Roman" w:hAnsi="Times New Roman" w:cs="Times New Roman"/>
              </w:rPr>
            </w:pP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inhibitors)</w:t>
            </w:r>
          </w:p>
        </w:tc>
        <w:tc>
          <w:tcPr>
            <w:tcW w:w="1912" w:type="dxa"/>
          </w:tcPr>
          <w:p w14:paraId="4C0E26D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De novo design / hit discovery</w:t>
            </w:r>
          </w:p>
        </w:tc>
        <w:tc>
          <w:tcPr>
            <w:tcW w:w="1002" w:type="dxa"/>
          </w:tcPr>
          <w:p w14:paraId="55F4356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14B1BEE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Deep reinforcement learning + pharmacophore/shape alignment + docking</w:t>
            </w:r>
          </w:p>
        </w:tc>
        <w:tc>
          <w:tcPr>
            <w:tcW w:w="2205" w:type="dxa"/>
          </w:tcPr>
          <w:p w14:paraId="01F69CB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structure; computational scoring/expansion</w:t>
            </w:r>
          </w:p>
        </w:tc>
        <w:tc>
          <w:tcPr>
            <w:tcW w:w="1629" w:type="dxa"/>
          </w:tcPr>
          <w:p w14:paraId="6CE79DD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Novel inhibitor series</w:t>
            </w:r>
          </w:p>
        </w:tc>
        <w:tc>
          <w:tcPr>
            <w:tcW w:w="1619" w:type="dxa"/>
          </w:tcPr>
          <w:p w14:paraId="0C9EBD7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3 series validated; IC50 1.3–2.3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selectivity reported</w:t>
            </w:r>
          </w:p>
        </w:tc>
        <w:tc>
          <w:tcPr>
            <w:tcW w:w="2865" w:type="dxa"/>
          </w:tcPr>
          <w:p w14:paraId="40D63FF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Translation beyond enzymatic potency not shown; typical gaps include PK/tox</w:t>
            </w:r>
          </w:p>
        </w:tc>
      </w:tr>
      <w:tr w:rsidR="006A12D8" w14:paraId="6D8D8C2F" w14:textId="77777777">
        <w:tc>
          <w:tcPr>
            <w:tcW w:w="1462" w:type="dxa"/>
          </w:tcPr>
          <w:p w14:paraId="1A35D1B6" w14:textId="77777777" w:rsidR="006A12D8" w:rsidRDefault="001D6DC1" w:rsidP="00A837FD">
            <w:pPr>
              <w:jc w:val="both"/>
              <w:rPr>
                <w:rFonts w:ascii="Times New Roman" w:eastAsia="Times New Roman" w:hAnsi="Times New Roman" w:cs="Times New Roman"/>
              </w:rPr>
            </w:pP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2025 (hit‑to‑lead acceleration)</w:t>
            </w:r>
          </w:p>
        </w:tc>
        <w:tc>
          <w:tcPr>
            <w:tcW w:w="1912" w:type="dxa"/>
          </w:tcPr>
          <w:p w14:paraId="1DBAEE1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Lead optimization</w:t>
            </w:r>
          </w:p>
        </w:tc>
        <w:tc>
          <w:tcPr>
            <w:tcW w:w="1002" w:type="dxa"/>
          </w:tcPr>
          <w:p w14:paraId="274C99F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40BB2F4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Computational simulations + docking/MD + high‑throughput medicinal chemistry</w:t>
            </w:r>
          </w:p>
        </w:tc>
        <w:tc>
          <w:tcPr>
            <w:tcW w:w="2205" w:type="dxa"/>
          </w:tcPr>
          <w:p w14:paraId="6811D0D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Structure-informed optimization; limited syntheses (reported)</w:t>
            </w:r>
          </w:p>
        </w:tc>
        <w:tc>
          <w:tcPr>
            <w:tcW w:w="1629" w:type="dxa"/>
          </w:tcPr>
          <w:p w14:paraId="0E85D9B2"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Optimized lead compound</w:t>
            </w:r>
          </w:p>
        </w:tc>
        <w:tc>
          <w:tcPr>
            <w:tcW w:w="1619" w:type="dxa"/>
          </w:tcPr>
          <w:p w14:paraId="3FFD325E" w14:textId="77777777" w:rsidR="006A12D8" w:rsidRDefault="00E2047D" w:rsidP="00A837FD">
            <w:pPr>
              <w:jc w:val="both"/>
              <w:rPr>
                <w:rFonts w:ascii="Times New Roman" w:eastAsia="Times New Roman" w:hAnsi="Times New Roman" w:cs="Times New Roman"/>
              </w:rPr>
            </w:pPr>
            <w:sdt>
              <w:sdtPr>
                <w:tag w:val="goog_rdk_8"/>
                <w:id w:val="-1798372696"/>
              </w:sdtPr>
              <w:sdtEndPr/>
              <w:sdtContent>
                <w:r w:rsidR="001D6DC1">
                  <w:rPr>
                    <w:rFonts w:ascii="Cardo" w:eastAsia="Cardo" w:hAnsi="Cardo" w:cs="Cardo"/>
                  </w:rPr>
                  <w:t xml:space="preserve">Potency improved from 14 </w:t>
                </w:r>
                <w:proofErr w:type="spellStart"/>
                <w:r w:rsidR="001D6DC1">
                  <w:rPr>
                    <w:rFonts w:ascii="Cardo" w:eastAsia="Cardo" w:hAnsi="Cardo" w:cs="Cardo"/>
                  </w:rPr>
                  <w:t>μM</w:t>
                </w:r>
                <w:proofErr w:type="spellEnd"/>
                <w:r w:rsidR="001D6DC1">
                  <w:rPr>
                    <w:rFonts w:ascii="Cardo" w:eastAsia="Cardo" w:hAnsi="Cardo" w:cs="Cardo"/>
                  </w:rPr>
                  <w:t xml:space="preserve"> hit → 16 </w:t>
                </w:r>
                <w:proofErr w:type="spellStart"/>
                <w:r w:rsidR="001D6DC1">
                  <w:rPr>
                    <w:rFonts w:ascii="Cardo" w:eastAsia="Cardo" w:hAnsi="Cardo" w:cs="Cardo"/>
                  </w:rPr>
                  <w:t>nM</w:t>
                </w:r>
                <w:proofErr w:type="spellEnd"/>
                <w:r w:rsidR="001D6DC1">
                  <w:rPr>
                    <w:rFonts w:ascii="Cardo" w:eastAsia="Cardo" w:hAnsi="Cardo" w:cs="Cardo"/>
                  </w:rPr>
                  <w:t xml:space="preserve"> lead; key pharmacological properties evaluated</w:t>
                </w:r>
              </w:sdtContent>
            </w:sdt>
          </w:p>
        </w:tc>
        <w:tc>
          <w:tcPr>
            <w:tcW w:w="2865" w:type="dxa"/>
          </w:tcPr>
          <w:p w14:paraId="6F821C8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Still preclinical; regulatory/clinical translation not detailed</w:t>
            </w:r>
          </w:p>
        </w:tc>
      </w:tr>
      <w:tr w:rsidR="006A12D8" w14:paraId="60C499BC" w14:textId="77777777">
        <w:tc>
          <w:tcPr>
            <w:tcW w:w="1462" w:type="dxa"/>
          </w:tcPr>
          <w:p w14:paraId="6A47CDC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Li et al., 2022 (RIPK1)</w:t>
            </w:r>
          </w:p>
        </w:tc>
        <w:tc>
          <w:tcPr>
            <w:tcW w:w="1912" w:type="dxa"/>
          </w:tcPr>
          <w:p w14:paraId="5FAF0C82" w14:textId="77777777" w:rsidR="006A12D8" w:rsidRDefault="00E2047D" w:rsidP="00A837FD">
            <w:pPr>
              <w:jc w:val="both"/>
              <w:rPr>
                <w:rFonts w:ascii="Times New Roman" w:eastAsia="Times New Roman" w:hAnsi="Times New Roman" w:cs="Times New Roman"/>
              </w:rPr>
            </w:pPr>
            <w:sdt>
              <w:sdtPr>
                <w:tag w:val="goog_rdk_9"/>
                <w:id w:val="2107149164"/>
              </w:sdtPr>
              <w:sdtEndPr/>
              <w:sdtContent>
                <w:r w:rsidR="001D6DC1">
                  <w:rPr>
                    <w:rFonts w:ascii="Cardo" w:eastAsia="Cardo" w:hAnsi="Cardo" w:cs="Cardo"/>
                  </w:rPr>
                  <w:t xml:space="preserve">Generative design → hit/lead </w:t>
                </w:r>
                <w:r w:rsidR="001D6DC1">
                  <w:rPr>
                    <w:rFonts w:ascii="Cardo" w:eastAsia="Cardo" w:hAnsi="Cardo" w:cs="Cardo"/>
                  </w:rPr>
                  <w:lastRenderedPageBreak/>
                  <w:t>discovery + preclinical efficacy</w:t>
                </w:r>
              </w:sdtContent>
            </w:sdt>
          </w:p>
        </w:tc>
        <w:tc>
          <w:tcPr>
            <w:tcW w:w="1002" w:type="dxa"/>
          </w:tcPr>
          <w:p w14:paraId="597FCBA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Small molecule</w:t>
            </w:r>
          </w:p>
        </w:tc>
        <w:tc>
          <w:tcPr>
            <w:tcW w:w="1922" w:type="dxa"/>
          </w:tcPr>
          <w:p w14:paraId="16B51CF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Generative deep learning </w:t>
            </w:r>
            <w:r>
              <w:rPr>
                <w:rFonts w:ascii="Times New Roman" w:eastAsia="Times New Roman" w:hAnsi="Times New Roman" w:cs="Times New Roman"/>
              </w:rPr>
              <w:lastRenderedPageBreak/>
              <w:t>(conditional RNN) + virtual screening</w:t>
            </w:r>
          </w:p>
        </w:tc>
        <w:tc>
          <w:tcPr>
            <w:tcW w:w="2205" w:type="dxa"/>
          </w:tcPr>
          <w:p w14:paraId="3D23F76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Target-conditioned library generation; bioactivity evaluation</w:t>
            </w:r>
          </w:p>
        </w:tc>
        <w:tc>
          <w:tcPr>
            <w:tcW w:w="1629" w:type="dxa"/>
          </w:tcPr>
          <w:p w14:paraId="27D730E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Novel-scaffold inhibitor (RI‑962)</w:t>
            </w:r>
          </w:p>
        </w:tc>
        <w:tc>
          <w:tcPr>
            <w:tcW w:w="1619" w:type="dxa"/>
          </w:tcPr>
          <w:p w14:paraId="057C5C9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In vitro protection from necroptosis; in </w:t>
            </w:r>
            <w:r>
              <w:rPr>
                <w:rFonts w:ascii="Times New Roman" w:eastAsia="Times New Roman" w:hAnsi="Times New Roman" w:cs="Times New Roman"/>
              </w:rPr>
              <w:lastRenderedPageBreak/>
              <w:t>vivo efficacy in two inflammatory models</w:t>
            </w:r>
          </w:p>
        </w:tc>
        <w:tc>
          <w:tcPr>
            <w:tcW w:w="2865" w:type="dxa"/>
          </w:tcPr>
          <w:p w14:paraId="0EF8258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Generality across targets not established; still preclinical</w:t>
            </w:r>
          </w:p>
        </w:tc>
      </w:tr>
      <w:tr w:rsidR="006A12D8" w14:paraId="200AC86A" w14:textId="77777777">
        <w:tc>
          <w:tcPr>
            <w:tcW w:w="1462" w:type="dxa"/>
          </w:tcPr>
          <w:p w14:paraId="714ABE8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Ren et al., 2023 (</w:t>
            </w: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PandaOmics</w:t>
            </w:r>
            <w:proofErr w:type="spellEnd"/>
            <w:r>
              <w:rPr>
                <w:rFonts w:ascii="Times New Roman" w:eastAsia="Times New Roman" w:hAnsi="Times New Roman" w:cs="Times New Roman"/>
              </w:rPr>
              <w:t xml:space="preserve"> + Chemistry42; CDK20)</w:t>
            </w:r>
          </w:p>
        </w:tc>
        <w:tc>
          <w:tcPr>
            <w:tcW w:w="1912" w:type="dxa"/>
          </w:tcPr>
          <w:p w14:paraId="5B7B225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Target selection + hit identification (structure-based)</w:t>
            </w:r>
          </w:p>
        </w:tc>
        <w:tc>
          <w:tcPr>
            <w:tcW w:w="1002" w:type="dxa"/>
          </w:tcPr>
          <w:p w14:paraId="1DE16EE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6C683AB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AlphaFold structure prediction integrated with AI platforms (targeting + generative chemistry)</w:t>
            </w:r>
          </w:p>
        </w:tc>
        <w:tc>
          <w:tcPr>
            <w:tcW w:w="2205" w:type="dxa"/>
          </w:tcPr>
          <w:p w14:paraId="75A1F53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structure; synthesis/testing loop (7 compounds first pass)</w:t>
            </w:r>
          </w:p>
        </w:tc>
        <w:tc>
          <w:tcPr>
            <w:tcW w:w="1629" w:type="dxa"/>
          </w:tcPr>
          <w:p w14:paraId="614944B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Hit compounds with binding/inhibition metrics</w:t>
            </w:r>
          </w:p>
        </w:tc>
        <w:tc>
          <w:tcPr>
            <w:tcW w:w="1619" w:type="dxa"/>
          </w:tcPr>
          <w:p w14:paraId="52DE7640" w14:textId="77777777" w:rsidR="006A12D8" w:rsidRDefault="00E2047D" w:rsidP="00A837FD">
            <w:pPr>
              <w:jc w:val="both"/>
              <w:rPr>
                <w:rFonts w:ascii="Times New Roman" w:eastAsia="Times New Roman" w:hAnsi="Times New Roman" w:cs="Times New Roman"/>
              </w:rPr>
            </w:pPr>
            <w:sdt>
              <w:sdtPr>
                <w:tag w:val="goog_rdk_10"/>
                <w:id w:val="1603847433"/>
              </w:sdtPr>
              <w:sdtEndPr/>
              <w:sdtContent>
                <w:r w:rsidR="001D6DC1">
                  <w:rPr>
                    <w:rFonts w:ascii="Cardo" w:eastAsia="Cardo" w:hAnsi="Cardo" w:cs="Cardo"/>
                  </w:rPr>
                  <w:t xml:space="preserve">Hit within 30 days; </w:t>
                </w:r>
                <w:proofErr w:type="spellStart"/>
                <w:r w:rsidR="001D6DC1">
                  <w:rPr>
                    <w:rFonts w:ascii="Cardo" w:eastAsia="Cardo" w:hAnsi="Cardo" w:cs="Cardo"/>
                  </w:rPr>
                  <w:t>Kd</w:t>
                </w:r>
                <w:proofErr w:type="spellEnd"/>
                <w:r w:rsidR="001D6DC1">
                  <w:rPr>
                    <w:rFonts w:ascii="Cardo" w:eastAsia="Cardo" w:hAnsi="Cardo" w:cs="Cardo"/>
                  </w:rPr>
                  <w:t xml:space="preserve"> 9.2 </w:t>
                </w:r>
                <w:proofErr w:type="spellStart"/>
                <w:r w:rsidR="001D6DC1">
                  <w:rPr>
                    <w:rFonts w:ascii="Cardo" w:eastAsia="Cardo" w:hAnsi="Cardo" w:cs="Cardo"/>
                  </w:rPr>
                  <w:t>μM</w:t>
                </w:r>
                <w:proofErr w:type="spellEnd"/>
                <w:r w:rsidR="001D6DC1">
                  <w:rPr>
                    <w:rFonts w:ascii="Cardo" w:eastAsia="Cardo" w:hAnsi="Cardo" w:cs="Cardo"/>
                  </w:rPr>
                  <w:t xml:space="preserve"> → 566.7 </w:t>
                </w:r>
                <w:proofErr w:type="spellStart"/>
                <w:r w:rsidR="001D6DC1">
                  <w:rPr>
                    <w:rFonts w:ascii="Cardo" w:eastAsia="Cardo" w:hAnsi="Cardo" w:cs="Cardo"/>
                  </w:rPr>
                  <w:t>nM</w:t>
                </w:r>
                <w:proofErr w:type="spellEnd"/>
                <w:r w:rsidR="001D6DC1">
                  <w:rPr>
                    <w:rFonts w:ascii="Cardo" w:eastAsia="Cardo" w:hAnsi="Cardo" w:cs="Cardo"/>
                  </w:rPr>
                  <w:t xml:space="preserve">; IC50 33.4 </w:t>
                </w:r>
                <w:proofErr w:type="spellStart"/>
                <w:r w:rsidR="001D6DC1">
                  <w:rPr>
                    <w:rFonts w:ascii="Cardo" w:eastAsia="Cardo" w:hAnsi="Cardo" w:cs="Cardo"/>
                  </w:rPr>
                  <w:t>nM</w:t>
                </w:r>
                <w:proofErr w:type="spellEnd"/>
                <w:r w:rsidR="001D6DC1">
                  <w:rPr>
                    <w:rFonts w:ascii="Cardo" w:eastAsia="Cardo" w:hAnsi="Cardo" w:cs="Cardo"/>
                  </w:rPr>
                  <w:t>; selective anti-proliferation in HCC cell line</w:t>
                </w:r>
              </w:sdtContent>
            </w:sdt>
          </w:p>
        </w:tc>
        <w:tc>
          <w:tcPr>
            <w:tcW w:w="2865" w:type="dxa"/>
          </w:tcPr>
          <w:p w14:paraId="3B6B578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Preclinical; no head-to-head time/cost comparison vs conventional pipelines in summary</w:t>
            </w:r>
          </w:p>
        </w:tc>
      </w:tr>
      <w:tr w:rsidR="006A12D8" w14:paraId="4C0BD9F7" w14:textId="77777777">
        <w:tc>
          <w:tcPr>
            <w:tcW w:w="1462" w:type="dxa"/>
          </w:tcPr>
          <w:p w14:paraId="58B75E9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Kaiser et al., 2021 (PI3Kα)</w:t>
            </w:r>
          </w:p>
        </w:tc>
        <w:tc>
          <w:tcPr>
            <w:tcW w:w="1912" w:type="dxa"/>
          </w:tcPr>
          <w:p w14:paraId="0DB425F7"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Hit-to-lead optimization</w:t>
            </w:r>
          </w:p>
        </w:tc>
        <w:tc>
          <w:tcPr>
            <w:tcW w:w="1002" w:type="dxa"/>
          </w:tcPr>
          <w:p w14:paraId="5321322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3B8E99B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Cheminformatics/ML-guided prioritization protocol</w:t>
            </w:r>
          </w:p>
        </w:tc>
        <w:tc>
          <w:tcPr>
            <w:tcW w:w="2205" w:type="dxa"/>
          </w:tcPr>
          <w:p w14:paraId="68AC42F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Selection protocol guiding synthesis (5 candidates)</w:t>
            </w:r>
          </w:p>
        </w:tc>
        <w:tc>
          <w:tcPr>
            <w:tcW w:w="1629" w:type="dxa"/>
          </w:tcPr>
          <w:p w14:paraId="3391179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Prioritized candidates for synthesis</w:t>
            </w:r>
          </w:p>
        </w:tc>
        <w:tc>
          <w:tcPr>
            <w:tcW w:w="1619" w:type="dxa"/>
          </w:tcPr>
          <w:p w14:paraId="6043590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All five synthesized compounds showed low‑nanomolar activity</w:t>
            </w:r>
          </w:p>
        </w:tc>
        <w:tc>
          <w:tcPr>
            <w:tcW w:w="2865" w:type="dxa"/>
          </w:tcPr>
          <w:p w14:paraId="12BBDCA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Evidence limited to early potency; later-stage translation not shown</w:t>
            </w:r>
          </w:p>
        </w:tc>
      </w:tr>
      <w:tr w:rsidR="006A12D8" w14:paraId="1CA0E167" w14:textId="77777777">
        <w:tc>
          <w:tcPr>
            <w:tcW w:w="1462" w:type="dxa"/>
          </w:tcPr>
          <w:p w14:paraId="7DB5AB8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Ding et al., 2021 (active learning; plasma exposure)</w:t>
            </w:r>
          </w:p>
        </w:tc>
        <w:tc>
          <w:tcPr>
            <w:tcW w:w="1912" w:type="dxa"/>
          </w:tcPr>
          <w:p w14:paraId="3D8228D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Preclinical modeling (ADME / exposure)</w:t>
            </w:r>
          </w:p>
        </w:tc>
        <w:tc>
          <w:tcPr>
            <w:tcW w:w="1002" w:type="dxa"/>
          </w:tcPr>
          <w:p w14:paraId="4566A9C9"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0E8C556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Active learning (two‑phase pipeline)</w:t>
            </w:r>
          </w:p>
        </w:tc>
        <w:tc>
          <w:tcPr>
            <w:tcW w:w="2205" w:type="dxa"/>
          </w:tcPr>
          <w:p w14:paraId="38B4C13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Noisy dataset; phase II explores 855K chemical space</w:t>
            </w:r>
          </w:p>
        </w:tc>
        <w:tc>
          <w:tcPr>
            <w:tcW w:w="1629" w:type="dxa"/>
          </w:tcPr>
          <w:p w14:paraId="0964ECF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Exposure predictions; expanded applicability domain</w:t>
            </w:r>
          </w:p>
        </w:tc>
        <w:tc>
          <w:tcPr>
            <w:tcW w:w="1619" w:type="dxa"/>
          </w:tcPr>
          <w:p w14:paraId="7FE389F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Phase I accuracy 0.856 using 30% training data; phase II improved accuracy and produced high-confidence predictions</w:t>
            </w:r>
          </w:p>
        </w:tc>
        <w:tc>
          <w:tcPr>
            <w:tcW w:w="2865" w:type="dxa"/>
          </w:tcPr>
          <w:p w14:paraId="5731629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Highlights limited high-quality data barrier; AL proposed mitigation; clinical impact not directly shown</w:t>
            </w:r>
          </w:p>
        </w:tc>
      </w:tr>
      <w:tr w:rsidR="006A12D8" w14:paraId="6D62427C" w14:textId="77777777">
        <w:tc>
          <w:tcPr>
            <w:tcW w:w="1462" w:type="dxa"/>
          </w:tcPr>
          <w:p w14:paraId="62F3E104" w14:textId="77777777" w:rsidR="006A12D8" w:rsidRPr="009A631C" w:rsidRDefault="001D6DC1" w:rsidP="00A837FD">
            <w:pPr>
              <w:jc w:val="both"/>
              <w:rPr>
                <w:rFonts w:ascii="Times New Roman" w:eastAsia="Times New Roman" w:hAnsi="Times New Roman" w:cs="Times New Roman"/>
                <w:lang w:val="fr-FR"/>
              </w:rPr>
            </w:pPr>
            <w:r w:rsidRPr="009A631C">
              <w:rPr>
                <w:rFonts w:ascii="Times New Roman" w:eastAsia="Times New Roman" w:hAnsi="Times New Roman" w:cs="Times New Roman"/>
                <w:lang w:val="fr-FR"/>
              </w:rPr>
              <w:t>Iqbal et al., 2025 (DEL + ML combinations)</w:t>
            </w:r>
          </w:p>
        </w:tc>
        <w:tc>
          <w:tcPr>
            <w:tcW w:w="1912" w:type="dxa"/>
          </w:tcPr>
          <w:p w14:paraId="410C43E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Hit discovery (DEL)</w:t>
            </w:r>
          </w:p>
        </w:tc>
        <w:tc>
          <w:tcPr>
            <w:tcW w:w="1002" w:type="dxa"/>
          </w:tcPr>
          <w:p w14:paraId="0E969D0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4313361D"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Comparative evaluation of multiple ML models with DEL data</w:t>
            </w:r>
          </w:p>
        </w:tc>
        <w:tc>
          <w:tcPr>
            <w:tcW w:w="2205" w:type="dxa"/>
          </w:tcPr>
          <w:p w14:paraId="530FDA3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3 DELs × 5 ML models (15 combos); targets CK1α/δ</w:t>
            </w:r>
          </w:p>
        </w:tc>
        <w:tc>
          <w:tcPr>
            <w:tcW w:w="1629" w:type="dxa"/>
          </w:tcPr>
          <w:p w14:paraId="2232539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Predicted binders/not-binders</w:t>
            </w:r>
          </w:p>
        </w:tc>
        <w:tc>
          <w:tcPr>
            <w:tcW w:w="1619" w:type="dxa"/>
          </w:tcPr>
          <w:p w14:paraId="7FBE37EC"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Biophysical confirmation: 10% predicted binders; 94% predicted not‑binders; includes two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binders (187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69.6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w:t>
            </w:r>
          </w:p>
        </w:tc>
        <w:tc>
          <w:tcPr>
            <w:tcW w:w="2865" w:type="dxa"/>
          </w:tcPr>
          <w:p w14:paraId="3F74580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Generalizability/chemical diversity challenges; emphasizes transparent evaluation/sharing</w:t>
            </w:r>
          </w:p>
        </w:tc>
      </w:tr>
      <w:tr w:rsidR="006A12D8" w14:paraId="143B9FE2" w14:textId="77777777">
        <w:tc>
          <w:tcPr>
            <w:tcW w:w="1462" w:type="dxa"/>
          </w:tcPr>
          <w:p w14:paraId="6D9D7A7E"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lastRenderedPageBreak/>
              <w:t>McCloskey et al., 2020 (ML on DELs)</w:t>
            </w:r>
          </w:p>
        </w:tc>
        <w:tc>
          <w:tcPr>
            <w:tcW w:w="1912" w:type="dxa"/>
          </w:tcPr>
          <w:p w14:paraId="4D711FE5" w14:textId="77777777" w:rsidR="006A12D8" w:rsidRDefault="00E2047D" w:rsidP="00A837FD">
            <w:pPr>
              <w:jc w:val="both"/>
              <w:rPr>
                <w:rFonts w:ascii="Times New Roman" w:eastAsia="Times New Roman" w:hAnsi="Times New Roman" w:cs="Times New Roman"/>
              </w:rPr>
            </w:pPr>
            <w:sdt>
              <w:sdtPr>
                <w:tag w:val="goog_rdk_11"/>
                <w:id w:val="1921678921"/>
              </w:sdtPr>
              <w:sdtEndPr/>
              <w:sdtContent>
                <w:r w:rsidR="001D6DC1">
                  <w:rPr>
                    <w:rFonts w:ascii="Cardo" w:eastAsia="Cardo" w:hAnsi="Cardo" w:cs="Cardo"/>
                  </w:rPr>
                  <w:t>Hit finding (DEL → off‑DEL predictions)</w:t>
                </w:r>
              </w:sdtContent>
            </w:sdt>
          </w:p>
        </w:tc>
        <w:tc>
          <w:tcPr>
            <w:tcW w:w="1002" w:type="dxa"/>
          </w:tcPr>
          <w:p w14:paraId="07E1723B"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14:paraId="6EE7F355"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ML trained on DEL selection data</w:t>
            </w:r>
          </w:p>
        </w:tc>
        <w:tc>
          <w:tcPr>
            <w:tcW w:w="2205" w:type="dxa"/>
          </w:tcPr>
          <w:p w14:paraId="536F0308"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DEL data; prospective test ~2000 compounds; targets </w:t>
            </w:r>
            <w:proofErr w:type="spellStart"/>
            <w:r>
              <w:rPr>
                <w:rFonts w:ascii="Times New Roman" w:eastAsia="Times New Roman" w:hAnsi="Times New Roman" w:cs="Times New Roman"/>
              </w:rPr>
              <w:t>sEH</w:t>
            </w:r>
            <w:proofErr w:type="spellEnd"/>
            <w:r>
              <w:rPr>
                <w:rFonts w:ascii="Times New Roman" w:eastAsia="Times New Roman" w:hAnsi="Times New Roman" w:cs="Times New Roman"/>
              </w:rPr>
              <w:t>, ERα, c‑KIT</w:t>
            </w:r>
          </w:p>
        </w:tc>
        <w:tc>
          <w:tcPr>
            <w:tcW w:w="1629" w:type="dxa"/>
          </w:tcPr>
          <w:p w14:paraId="64D42D2F"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Ranked actives; diverse drug-like hits</w:t>
            </w:r>
          </w:p>
        </w:tc>
        <w:tc>
          <w:tcPr>
            <w:tcW w:w="1619" w:type="dxa"/>
          </w:tcPr>
          <w:p w14:paraId="3AD657C4"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Prospective hit rate ~30% at 30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potent IC50 &lt; 10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for each target; predictions extend beyond DEL space</w:t>
            </w:r>
          </w:p>
        </w:tc>
        <w:tc>
          <w:tcPr>
            <w:tcW w:w="2865" w:type="dxa"/>
          </w:tcPr>
          <w:p w14:paraId="4BF1BF1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Translation remains at hit discovery; downstream optimization/clinical steps required</w:t>
            </w:r>
          </w:p>
        </w:tc>
      </w:tr>
    </w:tbl>
    <w:p w14:paraId="4E715720" w14:textId="77777777" w:rsidR="006A12D8" w:rsidRDefault="006A12D8" w:rsidP="00A837FD">
      <w:pPr>
        <w:jc w:val="both"/>
        <w:rPr>
          <w:rFonts w:ascii="Times New Roman" w:eastAsia="Times New Roman" w:hAnsi="Times New Roman" w:cs="Times New Roman"/>
        </w:rPr>
      </w:pPr>
    </w:p>
    <w:p w14:paraId="6D283F0A" w14:textId="77777777" w:rsidR="006A12D8" w:rsidRDefault="006A12D8" w:rsidP="00A837FD">
      <w:pPr>
        <w:jc w:val="both"/>
        <w:rPr>
          <w:rFonts w:ascii="Times New Roman" w:eastAsia="Times New Roman" w:hAnsi="Times New Roman" w:cs="Times New Roman"/>
        </w:rPr>
      </w:pPr>
    </w:p>
    <w:p w14:paraId="3C07495C" w14:textId="77777777" w:rsidR="006A12D8" w:rsidRDefault="006A12D8" w:rsidP="00A837FD">
      <w:pPr>
        <w:jc w:val="both"/>
        <w:rPr>
          <w:rFonts w:ascii="Times New Roman" w:eastAsia="Times New Roman" w:hAnsi="Times New Roman" w:cs="Times New Roman"/>
        </w:rPr>
        <w:sectPr w:rsidR="006A12D8">
          <w:pgSz w:w="15840" w:h="12240" w:orient="landscape"/>
          <w:pgMar w:top="720" w:right="720" w:bottom="720" w:left="720" w:header="720" w:footer="720" w:gutter="0"/>
          <w:cols w:space="720"/>
        </w:sectPr>
      </w:pPr>
    </w:p>
    <w:p w14:paraId="7E96297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61C161F1"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52D73EE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At every stage, AI was most valuable when embedded in end-to-end workflows that coupled prediction or generation with prospective validation. In hit discovery, for example, models reduced the search space and prioritized activity that had been confirmed through experimentation. Meanwhile, open DEL-ML pipelines supported wider participation and reproducibility. Explainability approaches helped to connect predictions to chemical substructures and improved interpretability; however, they did not eliminate the need for stringent confirmation. In optimization, iterative computation–experiment loops supported candidate refinement and accelerated potency gains, while active learning improved efficiency in the face of scarce data. For biologics, peptide 'virtual evolution' and metagenome-scale prediction generated candidates with strong preclinical signals, demonstrating the feasibility of this approach beyond small molecules. However, translation to clinical impact remained limited, with only a small fraction of AI-discovered candidates reaching mid-stage trials. In contrast, trial-operations tools more consistently demonstrated measurable gains in accuracy, time and usability. The dominant barriers were access and data bias, limited external validation, governance/regulatory readiness and uncertain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w:t>
      </w:r>
    </w:p>
    <w:p w14:paraId="26941FE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1B986C16"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study synthesis suggests that the most convincing AI contributions are those in which the feedback loops are fast and objectives are narrow. This is particularly evident in preclinical validation, hit discovery and hit-to-lead progression. This aligns with the view that machine learning enhances decision-making when problems are clearly defined and supported by high-quality data (Vamathevan et al., 2019). In the evidence set, models progress candidates to in vitro or in vivo testing; however, clinical translation remains uncommon, highlighting the ongoing disparity between computational success and clinical impact. Where structure informs design, improved structural coverage can reduce uncertainty in target–ligand modelling at an early stage (Jumper et al., 2021).</w:t>
      </w:r>
    </w:p>
    <w:p w14:paraId="41773DF1"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Methodologically, the findings reinforce the idea that performance claims require stronger benchmarking and clearer applicability domains. While </w:t>
      </w:r>
      <w:proofErr w:type="spellStart"/>
      <w:r>
        <w:rPr>
          <w:rFonts w:ascii="Times New Roman" w:eastAsia="Times New Roman" w:hAnsi="Times New Roman" w:cs="Times New Roman"/>
        </w:rPr>
        <w:t>MoleculeNet</w:t>
      </w:r>
      <w:proofErr w:type="spellEnd"/>
      <w:r>
        <w:rPr>
          <w:rFonts w:ascii="Times New Roman" w:eastAsia="Times New Roman" w:hAnsi="Times New Roman" w:cs="Times New Roman"/>
        </w:rPr>
        <w:t xml:space="preserve"> addressed the lack of standard benchmarks, it also demonstrated that imbalance and data scarcity can still degrade model reliability (Wu et al., 2017). Coverage bias can limit portability when training sets poorly represent the intended chemical space. This can inflate apparent accuracy and obscure risk in prospective use (</w:t>
      </w:r>
      <w:proofErr w:type="spellStart"/>
      <w:r>
        <w:rPr>
          <w:rFonts w:ascii="Times New Roman" w:eastAsia="Times New Roman" w:hAnsi="Times New Roman" w:cs="Times New Roman"/>
        </w:rPr>
        <w:t>Artrith</w:t>
      </w:r>
      <w:proofErr w:type="spellEnd"/>
      <w:r>
        <w:rPr>
          <w:rFonts w:ascii="Times New Roman" w:eastAsia="Times New Roman" w:hAnsi="Times New Roman" w:cs="Times New Roman"/>
        </w:rPr>
        <w:t xml:space="preserve"> et al., 2021). 'Activity cliffs' explain why potency prediction can fail even for close analogues, highlighting the need for cliff-aware evaluation beyond averaged metrics (van </w:t>
      </w:r>
      <w:proofErr w:type="spellStart"/>
      <w:r>
        <w:rPr>
          <w:rFonts w:ascii="Times New Roman" w:eastAsia="Times New Roman" w:hAnsi="Times New Roman" w:cs="Times New Roman"/>
        </w:rPr>
        <w:t>Tilborg</w:t>
      </w:r>
      <w:proofErr w:type="spellEnd"/>
      <w:r>
        <w:rPr>
          <w:rFonts w:ascii="Times New Roman" w:eastAsia="Times New Roman" w:hAnsi="Times New Roman" w:cs="Times New Roman"/>
        </w:rPr>
        <w:t xml:space="preserve"> et al., 2022). In de novo design, </w:t>
      </w:r>
      <w:proofErr w:type="spellStart"/>
      <w:r>
        <w:rPr>
          <w:rFonts w:ascii="Times New Roman" w:eastAsia="Times New Roman" w:hAnsi="Times New Roman" w:cs="Times New Roman"/>
        </w:rPr>
        <w:t>GuacaMol</w:t>
      </w:r>
      <w:proofErr w:type="spellEnd"/>
      <w:r>
        <w:rPr>
          <w:rFonts w:ascii="Times New Roman" w:eastAsia="Times New Roman" w:hAnsi="Times New Roman" w:cs="Times New Roman"/>
        </w:rPr>
        <w:t xml:space="preserve"> emphasizes novelty and multi-objective optimization, helping to interpret generative outputs as constrained trade-offs rather than as universally superior (Brown et al., 2019). Improving dataset documentation practices can enhance repeatability by clarifying provenance and intended use (Gebru et al., 2021).</w:t>
      </w:r>
    </w:p>
    <w:p w14:paraId="16901800"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The key differentiator between health outcomes and methodological promise in the results is clinical translation. The fact that an AI-discovered candidate has reached Phase 2a is consistent with the idea that AI-discovered molecules may be highly successful in Phase I (</w:t>
      </w:r>
      <w:proofErr w:type="spellStart"/>
      <w:r>
        <w:rPr>
          <w:rFonts w:ascii="Times New Roman" w:eastAsia="Times New Roman" w:hAnsi="Times New Roman" w:cs="Times New Roman"/>
        </w:rPr>
        <w:t>Jayatunga</w:t>
      </w:r>
      <w:proofErr w:type="spellEnd"/>
      <w:r>
        <w:rPr>
          <w:rFonts w:ascii="Times New Roman" w:eastAsia="Times New Roman" w:hAnsi="Times New Roman" w:cs="Times New Roman"/>
        </w:rPr>
        <w:t xml:space="preserve"> et al., 2024). However, the same analysis suggests that Phase II outcomes are less exceptional, implying that efficacy, patient heterogeneity and trial design remain dominant constraints (</w:t>
      </w:r>
      <w:proofErr w:type="spellStart"/>
      <w:r>
        <w:rPr>
          <w:rFonts w:ascii="Times New Roman" w:eastAsia="Times New Roman" w:hAnsi="Times New Roman" w:cs="Times New Roman"/>
        </w:rPr>
        <w:t>Jayatunga</w:t>
      </w:r>
      <w:proofErr w:type="spellEnd"/>
      <w:r>
        <w:rPr>
          <w:rFonts w:ascii="Times New Roman" w:eastAsia="Times New Roman" w:hAnsi="Times New Roman" w:cs="Times New Roman"/>
        </w:rPr>
        <w:t xml:space="preserve"> et al., 2024). To enable credible comparisons, trial reports should adhere to the CONSORT-AI guidelines, especially when describing inputs, error analyses and human–AI interactions (Liu et al., 2020). SPIRIT-AI strengthens protocol transparency for studies embedding AI in trial workflows (Cruz Rivera et al., 2023). TRIPOD+AI improves the reporting of clinical prediction models that could support trial operations (Collins et al., 2024). PROBAST enables structured risk-of-bias appraisal when judging applicability and analysis limitations (Wolff et al., 2019). Expectations of interpretability for high-stakes deployment align with calls for explainable drug discovery AI (Jiménez-Luna et al., 2020). However, translation must also account for the dual-use risks that can accompany generative capabilities (Urbina et al., 2022).</w:t>
      </w:r>
    </w:p>
    <w:p w14:paraId="30F57C7C" w14:textId="77777777" w:rsidR="006A12D8" w:rsidRDefault="006A12D8" w:rsidP="00A837FD">
      <w:pPr>
        <w:jc w:val="both"/>
        <w:rPr>
          <w:rFonts w:ascii="Times New Roman" w:eastAsia="Times New Roman" w:hAnsi="Times New Roman" w:cs="Times New Roman"/>
          <w:b/>
          <w:bCs/>
        </w:rPr>
      </w:pPr>
    </w:p>
    <w:p w14:paraId="54B57BA2" w14:textId="77777777" w:rsidR="006A12D8" w:rsidRDefault="006A12D8" w:rsidP="00A837FD">
      <w:pPr>
        <w:jc w:val="both"/>
        <w:rPr>
          <w:rFonts w:ascii="Times New Roman" w:eastAsia="Times New Roman" w:hAnsi="Times New Roman" w:cs="Times New Roman"/>
          <w:b/>
          <w:bCs/>
        </w:rPr>
      </w:pPr>
    </w:p>
    <w:p w14:paraId="5154E6D8"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4128C303" w14:textId="17C3C159"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Policy</w:t>
      </w:r>
      <w:r>
        <w:rPr>
          <w:rFonts w:ascii="Times New Roman" w:eastAsia="Times New Roman" w:hAnsi="Times New Roman" w:cs="Times New Roman"/>
        </w:rPr>
        <w:t>: It is proposed that the deployment of responsible AI in translational medicine and drug discovery should be formalized through enforceable governance spanning model development, data, validation and clinical evaluation. This would involve the mandatory documentation of datasets, including their representatives, completeness, provenance, intended use and known gaps, to ensure that downstream decisions can be audited and reproduced. In parallel, minimum benchmarking expectations should be set for both generative and predictive models using standardized tasks, transparent metrics and clearly stated domains of applicability. Policies should also require stress testing against known failure modes such as poor chemical space coverage and abrupt structure–activity discontinuities because these issues are strongly linked to poor model performance in prospective applications. In the context of clinical translation, AI-influenced interventions and AI-enabled trial tools should be governed by rigorous protocols and reporting standards. These standards should explicitly require the description of human–AI interaction, monitoring plans, error modes and accountability for decisions. Given the potential misuse of generative capabilities, policies should also mandate risk assessments, access controls and secure norms for model sharing that are proportionate to the potential harm.</w:t>
      </w:r>
      <w:r w:rsidR="00A61D85">
        <w:rPr>
          <w:rFonts w:ascii="Times New Roman" w:eastAsia="Times New Roman" w:hAnsi="Times New Roman" w:cs="Times New Roman"/>
        </w:rPr>
        <w:t xml:space="preserve"> </w:t>
      </w:r>
      <w:r w:rsidR="00A61D85" w:rsidRPr="00A61D85">
        <w:rPr>
          <w:rFonts w:ascii="Times New Roman" w:eastAsia="Times New Roman" w:hAnsi="Times New Roman" w:cs="Times New Roman"/>
        </w:rPr>
        <w:t xml:space="preserve">Figure 2 provides a concise synopsis of a governance loop for integrating context mapping, measurement, responsible AI </w:t>
      </w:r>
      <w:proofErr w:type="gramStart"/>
      <w:r w:rsidR="00A61D85" w:rsidRPr="00A61D85">
        <w:rPr>
          <w:rFonts w:ascii="Times New Roman" w:eastAsia="Times New Roman" w:hAnsi="Times New Roman" w:cs="Times New Roman"/>
        </w:rPr>
        <w:t>translation,  and</w:t>
      </w:r>
      <w:proofErr w:type="gramEnd"/>
      <w:r w:rsidR="00A61D85" w:rsidRPr="00A61D85">
        <w:rPr>
          <w:rFonts w:ascii="Times New Roman" w:eastAsia="Times New Roman" w:hAnsi="Times New Roman" w:cs="Times New Roman"/>
        </w:rPr>
        <w:t xml:space="preserve"> risk management under continuous oversight.</w:t>
      </w:r>
    </w:p>
    <w:p w14:paraId="004BAC2D" w14:textId="77777777" w:rsidR="00A61D85" w:rsidRDefault="00A61D85" w:rsidP="00E543D2">
      <w:pPr>
        <w:jc w:val="center"/>
        <w:rPr>
          <w:rFonts w:ascii="Times New Roman" w:eastAsia="Times New Roman" w:hAnsi="Times New Roman" w:cs="Times New Roman"/>
        </w:rPr>
      </w:pPr>
    </w:p>
    <w:p w14:paraId="7A45C616" w14:textId="4BDD351E" w:rsidR="00E543D2" w:rsidRDefault="00A61D85" w:rsidP="00E543D2">
      <w:pPr>
        <w:jc w:val="center"/>
        <w:rPr>
          <w:rFonts w:ascii="Times New Roman" w:eastAsia="Times New Roman" w:hAnsi="Times New Roman" w:cs="Times New Roman"/>
        </w:rPr>
      </w:pPr>
      <w:r>
        <w:rPr>
          <w:noProof/>
        </w:rPr>
        <w:drawing>
          <wp:inline distT="0" distB="0" distL="0" distR="0" wp14:anchorId="3BDDC29B" wp14:editId="77044BB9">
            <wp:extent cx="5998464" cy="3749040"/>
            <wp:effectExtent l="0" t="0" r="2540" b="3810"/>
            <wp:docPr id="747693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3610" cy="3752256"/>
                    </a:xfrm>
                    <a:prstGeom prst="rect">
                      <a:avLst/>
                    </a:prstGeom>
                    <a:noFill/>
                    <a:ln>
                      <a:noFill/>
                    </a:ln>
                  </pic:spPr>
                </pic:pic>
              </a:graphicData>
            </a:graphic>
          </wp:inline>
        </w:drawing>
      </w:r>
    </w:p>
    <w:p w14:paraId="77DD258B" w14:textId="252A3FF5" w:rsidR="00A61D85" w:rsidRDefault="00A61D85" w:rsidP="00A61D85">
      <w:pPr>
        <w:jc w:val="center"/>
        <w:rPr>
          <w:rFonts w:ascii="Times New Roman" w:eastAsia="Times New Roman" w:hAnsi="Times New Roman" w:cs="Times New Roman"/>
          <w:b/>
          <w:bCs/>
        </w:rPr>
      </w:pPr>
      <w:r w:rsidRPr="00A61D85">
        <w:rPr>
          <w:rFonts w:ascii="Times New Roman" w:eastAsia="Times New Roman" w:hAnsi="Times New Roman" w:cs="Times New Roman"/>
          <w:b/>
          <w:bCs/>
        </w:rPr>
        <w:t>Figure 2. Governance loop for responsible AI translation in drug discovery and translational medicine</w:t>
      </w:r>
    </w:p>
    <w:p w14:paraId="53CE1C0F" w14:textId="64A70E51"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b/>
          <w:bCs/>
        </w:rPr>
        <w:t xml:space="preserve">Practice: </w:t>
      </w:r>
      <w:r>
        <w:rPr>
          <w:rFonts w:ascii="Times New Roman" w:eastAsia="Times New Roman" w:hAnsi="Times New Roman" w:cs="Times New Roman"/>
        </w:rPr>
        <w:t xml:space="preserve">It is essential to implement an end-to-end 'define–benchmark–validate–translate' model. Teams should start by selecting clearly defined questions, creating fit-for-purpose datasets and establishing baseline comparators before making any claims of improvement. For candidate prioritization and molecular prediction, workflows should combine model outputs with prospective wet-lab confirmation, using explicit stop rules and predefined success thresholds when there is high uncertainty. For generative design, outputs should be filtered through multi-objective criteria that reflect real-world </w:t>
      </w:r>
      <w:r>
        <w:rPr>
          <w:rFonts w:ascii="Times New Roman" w:eastAsia="Times New Roman" w:hAnsi="Times New Roman" w:cs="Times New Roman"/>
        </w:rPr>
        <w:lastRenderedPageBreak/>
        <w:t xml:space="preserve">development constraints, such as novelty, </w:t>
      </w:r>
      <w:proofErr w:type="spellStart"/>
      <w:r>
        <w:rPr>
          <w:rFonts w:ascii="Times New Roman" w:eastAsia="Times New Roman" w:hAnsi="Times New Roman" w:cs="Times New Roman"/>
        </w:rPr>
        <w:t>synthesisability</w:t>
      </w:r>
      <w:proofErr w:type="spellEnd"/>
      <w:r>
        <w:rPr>
          <w:rFonts w:ascii="Times New Roman" w:eastAsia="Times New Roman" w:hAnsi="Times New Roman" w:cs="Times New Roman"/>
        </w:rPr>
        <w:t xml:space="preserve">, selectivity, potency, and safety-related proxies, while maintaining diversity to prevent the narrow exploration of chemical space. Interpretability should be considered a practical decision-making tool rather than an afterthought, enabling researchers to understand why candidates were prioritized and where models are likely to fail. Preclinical modelling should be integrated from the outset, with routine checks reducing false confidence and identifying brittle performance and during lead optimization. Where structural uncertainty limits progress, structure prediction tools can be used to generate hypotheses; however, experimental confirmation should remain the gatekeeper for progression. For translational claims,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should prospectively track candidate progression, comparing phase transition outcomes and timelines with credible historical baselines rather than relying on isolated success stories. In settings with limited resources, the adoption of open benchmarks, shared assay infrastructure and lightweight validation protocols should be prioritized to reduce duplication, lower costs, and improve the equity of participation. </w:t>
      </w:r>
    </w:p>
    <w:p w14:paraId="251760B7"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4.4 Limitations of Review</w:t>
      </w:r>
    </w:p>
    <w:p w14:paraId="0CE60A3A"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 xml:space="preserve">As this scoping review was limited to English-language peer-reviewed articles and two databases, relevant evidence may have been overlooked. No formal risk-of-bias appraisal was conducted. The included studies were often preclinical and heterogeneous, with limited external validation and sparse progression beyond early trials. This constrains the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and inference of clinical impact across settings.</w:t>
      </w:r>
    </w:p>
    <w:p w14:paraId="7022F9F5" w14:textId="77777777" w:rsidR="006A12D8" w:rsidRDefault="001D6DC1" w:rsidP="00A837FD">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08DC1043" w14:textId="77777777" w:rsidR="006A12D8" w:rsidRDefault="001D6DC1" w:rsidP="00A837FD">
      <w:pPr>
        <w:jc w:val="both"/>
        <w:rPr>
          <w:rFonts w:ascii="Times New Roman" w:eastAsia="Times New Roman" w:hAnsi="Times New Roman" w:cs="Times New Roman"/>
        </w:rPr>
      </w:pPr>
      <w:r>
        <w:rPr>
          <w:rFonts w:ascii="Times New Roman" w:eastAsia="Times New Roman" w:hAnsi="Times New Roman" w:cs="Times New Roman"/>
        </w:rPr>
        <w:t>This scoping review mapped the use of applied AI and machine learning across the drug discovery and translational pipeline, from de novo design and hit identification to preclinical modelling and clinical trial operations. While evidence shows that AI can expand searchable biological and chemical spaces, improve trial workflows and compress design–make–test cycles, translation into confirmed clinical benefits remains uncommon. While most studies demonstrate cellular, biochemical, or animal validation, only a small fraction reach mid-stage trials. Persistent constraints include the availability and bias of datasets, weak external validation, limited interpretability, and unclear regulatory pathways. Progress will depend on open, well-documented datasets; benchmarked, uncertainty-aware models; prospective, multi-site evaluations; and the early integration of safety, governance requirements and manufacturability. Taking these steps could help to turn the promise of AI into reality.</w:t>
      </w:r>
    </w:p>
    <w:p w14:paraId="7D688F50" w14:textId="77777777" w:rsidR="00112FA9" w:rsidRDefault="00112FA9" w:rsidP="00A837FD">
      <w:pPr>
        <w:jc w:val="both"/>
        <w:rPr>
          <w:rFonts w:ascii="Times New Roman" w:eastAsia="Times New Roman" w:hAnsi="Times New Roman" w:cs="Times New Roman"/>
        </w:rPr>
      </w:pPr>
    </w:p>
    <w:p w14:paraId="2F4EDA03" w14:textId="77777777" w:rsidR="00112FA9" w:rsidRPr="003A29C6" w:rsidRDefault="00112FA9" w:rsidP="00A837FD">
      <w:pPr>
        <w:jc w:val="both"/>
        <w:outlineLvl w:val="0"/>
        <w:rPr>
          <w:rFonts w:ascii="Arial" w:hAnsi="Arial" w:cs="Arial"/>
        </w:rPr>
      </w:pPr>
      <w:r w:rsidRPr="003A29C6">
        <w:rPr>
          <w:rFonts w:ascii="Arial" w:hAnsi="Arial" w:cs="Arial"/>
          <w:b/>
          <w:bCs/>
        </w:rPr>
        <w:t>COMPETING INTERESTS DISCLAIMER:</w:t>
      </w:r>
    </w:p>
    <w:p w14:paraId="7F0E78EE" w14:textId="77777777" w:rsidR="00112FA9" w:rsidRDefault="00112FA9" w:rsidP="00A837FD">
      <w:pPr>
        <w:jc w:val="both"/>
      </w:pPr>
      <w:r w:rsidRPr="00A10EDE">
        <w:t>Authors have declared that they have no known competing financial interests OR non-financial interests OR personal relationships that could have appeared to influence the work reported in this paper.</w:t>
      </w:r>
    </w:p>
    <w:p w14:paraId="69424C7A" w14:textId="77777777" w:rsidR="009A631C" w:rsidRPr="009A631C" w:rsidRDefault="009A631C" w:rsidP="00A837FD">
      <w:pPr>
        <w:spacing w:after="0" w:line="240" w:lineRule="auto"/>
        <w:jc w:val="both"/>
        <w:rPr>
          <w:rFonts w:ascii="Times New Roman" w:eastAsia="Calibri" w:hAnsi="Times New Roman" w:cs="Times New Roman"/>
          <w:kern w:val="2"/>
          <w:highlight w:val="yellow"/>
          <w:lang w:val="en-US" w:eastAsia="en-US"/>
        </w:rPr>
      </w:pPr>
      <w:bookmarkStart w:id="1" w:name="_Hlk198031404"/>
      <w:bookmarkStart w:id="2" w:name="_Hlk219125673"/>
      <w:r w:rsidRPr="009A631C">
        <w:rPr>
          <w:rFonts w:ascii="Times New Roman" w:eastAsia="Calibri" w:hAnsi="Times New Roman" w:cs="Times New Roman"/>
          <w:kern w:val="2"/>
          <w:highlight w:val="yellow"/>
          <w:lang w:val="en-US" w:eastAsia="en-US"/>
        </w:rPr>
        <w:t>Disclaimer (Artificial intelligence)</w:t>
      </w:r>
    </w:p>
    <w:p w14:paraId="2F7CD4A4" w14:textId="77777777" w:rsidR="009A631C" w:rsidRPr="009A631C" w:rsidRDefault="009A631C" w:rsidP="00A837FD">
      <w:pPr>
        <w:spacing w:after="0" w:line="240" w:lineRule="auto"/>
        <w:jc w:val="both"/>
        <w:rPr>
          <w:rFonts w:ascii="Times New Roman" w:eastAsia="Calibri" w:hAnsi="Times New Roman" w:cs="Times New Roman"/>
          <w:kern w:val="2"/>
          <w:highlight w:val="yellow"/>
          <w:lang w:val="en-US" w:eastAsia="en-US"/>
        </w:rPr>
      </w:pPr>
    </w:p>
    <w:p w14:paraId="62F655C4" w14:textId="77777777" w:rsidR="009A631C" w:rsidRPr="009A631C" w:rsidRDefault="009A631C" w:rsidP="00A837FD">
      <w:pPr>
        <w:spacing w:after="0" w:line="240" w:lineRule="auto"/>
        <w:jc w:val="both"/>
        <w:rPr>
          <w:rFonts w:ascii="Times New Roman" w:eastAsia="Calibri" w:hAnsi="Times New Roman" w:cs="Times New Roman"/>
          <w:kern w:val="2"/>
          <w:highlight w:val="yellow"/>
          <w:lang w:val="en-US" w:eastAsia="en-US"/>
        </w:rPr>
      </w:pPr>
      <w:r w:rsidRPr="009A631C">
        <w:rPr>
          <w:rFonts w:ascii="Times New Roman" w:eastAsia="Calibri" w:hAnsi="Times New Roman" w:cs="Times New Roman"/>
          <w:kern w:val="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1"/>
    <w:p w14:paraId="1F453744" w14:textId="77777777" w:rsidR="009A631C" w:rsidRPr="009A631C" w:rsidRDefault="009A631C" w:rsidP="00A837FD">
      <w:pPr>
        <w:jc w:val="both"/>
        <w:rPr>
          <w:rFonts w:ascii="Calibri" w:eastAsia="Calibri" w:hAnsi="Calibri" w:cs="Times New Roman"/>
          <w:sz w:val="28"/>
          <w:lang w:val="en-US" w:eastAsia="en-US"/>
        </w:rPr>
      </w:pPr>
    </w:p>
    <w:bookmarkEnd w:id="2"/>
    <w:p w14:paraId="3D65F73B" w14:textId="77777777" w:rsidR="00112FA9" w:rsidRPr="009A631C" w:rsidRDefault="00112FA9" w:rsidP="00A837FD">
      <w:pPr>
        <w:jc w:val="both"/>
        <w:rPr>
          <w:rFonts w:ascii="Times New Roman" w:eastAsia="Times New Roman" w:hAnsi="Times New Roman" w:cs="Times New Roman"/>
          <w:lang w:val="en-US"/>
        </w:rPr>
      </w:pPr>
    </w:p>
    <w:p w14:paraId="0BCA6FDF" w14:textId="77777777" w:rsidR="006A12D8" w:rsidRPr="00A837FD" w:rsidRDefault="001D6DC1" w:rsidP="00A837FD">
      <w:pPr>
        <w:jc w:val="both"/>
        <w:rPr>
          <w:rFonts w:ascii="Times New Roman" w:eastAsia="Times New Roman" w:hAnsi="Times New Roman" w:cs="Times New Roman"/>
          <w:b/>
          <w:bCs/>
        </w:rPr>
      </w:pPr>
      <w:r w:rsidRPr="00A837FD">
        <w:rPr>
          <w:rFonts w:ascii="Times New Roman" w:eastAsia="Times New Roman" w:hAnsi="Times New Roman" w:cs="Times New Roman"/>
          <w:b/>
          <w:bCs/>
        </w:rPr>
        <w:t>References</w:t>
      </w:r>
    </w:p>
    <w:p w14:paraId="6E5D565E" w14:textId="7893B56E" w:rsidR="00A837FD" w:rsidRDefault="00A837FD" w:rsidP="00A837FD">
      <w:pPr>
        <w:pStyle w:val="NormalWeb"/>
        <w:jc w:val="both"/>
      </w:pPr>
      <w:proofErr w:type="spellStart"/>
      <w:r>
        <w:t>Artrith</w:t>
      </w:r>
      <w:proofErr w:type="spellEnd"/>
      <w:r>
        <w:t xml:space="preserve">, N., Butler, K. T., Coudert, F. X., Han, S., Isayev, O., Jain, A., &amp; Walsh, A. (2021). Best practices in machine learning for chemistry. </w:t>
      </w:r>
      <w:r>
        <w:rPr>
          <w:rStyle w:val="Emphasis"/>
        </w:rPr>
        <w:t>Nature Chemistry, 13</w:t>
      </w:r>
      <w:r>
        <w:t xml:space="preserve">(6), 505–508. </w:t>
      </w:r>
      <w:hyperlink r:id="rId16" w:tgtFrame="_new" w:history="1">
        <w:r>
          <w:rPr>
            <w:rStyle w:val="Hyperlink"/>
          </w:rPr>
          <w:t>https://doi.org/10.1038/s41557-021-00716-z</w:t>
        </w:r>
      </w:hyperlink>
    </w:p>
    <w:p w14:paraId="0DC74B5D" w14:textId="77777777" w:rsidR="00A837FD" w:rsidRDefault="00A837FD" w:rsidP="00A837FD">
      <w:pPr>
        <w:pStyle w:val="NormalWeb"/>
        <w:jc w:val="both"/>
      </w:pPr>
      <w:r>
        <w:lastRenderedPageBreak/>
        <w:t xml:space="preserve">Brown, N., </w:t>
      </w:r>
      <w:proofErr w:type="spellStart"/>
      <w:r>
        <w:t>Fiscato</w:t>
      </w:r>
      <w:proofErr w:type="spellEnd"/>
      <w:r>
        <w:t xml:space="preserve">, M., Segler, M. H. S., &amp; Vaucher, A. C. (2019). </w:t>
      </w:r>
      <w:proofErr w:type="spellStart"/>
      <w:r>
        <w:t>GuacaMol</w:t>
      </w:r>
      <w:proofErr w:type="spellEnd"/>
      <w:r>
        <w:t xml:space="preserve">: Benchmarking models for de novo molecular design. </w:t>
      </w:r>
      <w:r>
        <w:rPr>
          <w:rStyle w:val="Emphasis"/>
        </w:rPr>
        <w:t>Journal of Chemical Information and Modeling, 59</w:t>
      </w:r>
      <w:r>
        <w:t xml:space="preserve">(3), 1096–1108. </w:t>
      </w:r>
      <w:hyperlink r:id="rId17" w:tgtFrame="_new" w:history="1">
        <w:r>
          <w:rPr>
            <w:rStyle w:val="Hyperlink"/>
          </w:rPr>
          <w:t>https://doi.org/10.1021/acs.jcim.8b00839</w:t>
        </w:r>
      </w:hyperlink>
    </w:p>
    <w:p w14:paraId="31A2E1F6" w14:textId="77777777" w:rsidR="00A837FD" w:rsidRDefault="00A837FD" w:rsidP="00A837FD">
      <w:pPr>
        <w:pStyle w:val="NormalWeb"/>
        <w:jc w:val="both"/>
      </w:pPr>
      <w:r>
        <w:t xml:space="preserve">Ching, T., Himmelstein, D. S., Beaulieu-Jones, B. K., Kalinin, A. A., Do, B. T., Way, G. P., Ferrero, E., </w:t>
      </w:r>
      <w:proofErr w:type="spellStart"/>
      <w:r>
        <w:t>Agapow</w:t>
      </w:r>
      <w:proofErr w:type="spellEnd"/>
      <w:r>
        <w:t xml:space="preserve">, P. M., Zietz, M., Hoffman, M. M., Xie, W., Rosen, G. L., Lengerich, B. J., Israeli, J., </w:t>
      </w:r>
      <w:proofErr w:type="spellStart"/>
      <w:r>
        <w:t>Lanchantin</w:t>
      </w:r>
      <w:proofErr w:type="spellEnd"/>
      <w:r>
        <w:t xml:space="preserve">, J., </w:t>
      </w:r>
      <w:proofErr w:type="spellStart"/>
      <w:r>
        <w:t>Woloszynek</w:t>
      </w:r>
      <w:proofErr w:type="spellEnd"/>
      <w:r>
        <w:t xml:space="preserve">, S., Carpenter, A. E., Shrikumar, A., Xu, J., … Greene, C. S. (2018). Opportunities and obstacles for deep learning in biology and medicine. </w:t>
      </w:r>
      <w:r>
        <w:rPr>
          <w:rStyle w:val="Emphasis"/>
        </w:rPr>
        <w:t>Journal of the Royal Society Interface, 15</w:t>
      </w:r>
      <w:r>
        <w:t xml:space="preserve">(141), 20170387. </w:t>
      </w:r>
      <w:hyperlink r:id="rId18" w:tgtFrame="_new" w:history="1">
        <w:r>
          <w:rPr>
            <w:rStyle w:val="Hyperlink"/>
          </w:rPr>
          <w:t>https://doi.org/10.1098/rsif.2017.0387</w:t>
        </w:r>
      </w:hyperlink>
    </w:p>
    <w:p w14:paraId="50C37687" w14:textId="77777777" w:rsidR="00A837FD" w:rsidRDefault="00A837FD" w:rsidP="00A837FD">
      <w:pPr>
        <w:pStyle w:val="NormalWeb"/>
        <w:jc w:val="both"/>
      </w:pPr>
      <w:r>
        <w:t xml:space="preserve">Collins, G. S., Moons, K. G. M., Dhiman, P., Riley, R. D., Beam, A. L., Van </w:t>
      </w:r>
      <w:proofErr w:type="spellStart"/>
      <w:r>
        <w:t>Calster</w:t>
      </w:r>
      <w:proofErr w:type="spellEnd"/>
      <w:r>
        <w:t xml:space="preserve">, B., Ghassemi, M., Liu, X., Reitsma, J. B., van Smeden, M., Boulesteix, A.-L., </w:t>
      </w:r>
      <w:proofErr w:type="spellStart"/>
      <w:r>
        <w:t>Camaradou</w:t>
      </w:r>
      <w:proofErr w:type="spellEnd"/>
      <w:r>
        <w:t xml:space="preserve">, J.-C., Celi, L. A., </w:t>
      </w:r>
      <w:proofErr w:type="spellStart"/>
      <w:r>
        <w:t>Denaxas</w:t>
      </w:r>
      <w:proofErr w:type="spellEnd"/>
      <w:r>
        <w:t xml:space="preserve">, S., Denniston, A. K., Glocker, B., Golub, R. M., Harvey, H., Heinze, G., … Logullo, P. (2024). TRIPOD+AI statement: Updated guidance for reporting clinical prediction models that use regression or machine learning methods. </w:t>
      </w:r>
      <w:r>
        <w:rPr>
          <w:rStyle w:val="Emphasis"/>
        </w:rPr>
        <w:t>BMJ, 385</w:t>
      </w:r>
      <w:r>
        <w:t xml:space="preserve">, e078378. </w:t>
      </w:r>
      <w:hyperlink r:id="rId19" w:tgtFrame="_new" w:history="1">
        <w:r>
          <w:rPr>
            <w:rStyle w:val="Hyperlink"/>
          </w:rPr>
          <w:t>https://doi.org/10.1136/bmj-2023-078378</w:t>
        </w:r>
      </w:hyperlink>
    </w:p>
    <w:p w14:paraId="75A702EA" w14:textId="77777777" w:rsidR="00A837FD" w:rsidRDefault="00A837FD" w:rsidP="00A837FD">
      <w:pPr>
        <w:pStyle w:val="NormalWeb"/>
        <w:jc w:val="both"/>
      </w:pPr>
      <w:r>
        <w:t xml:space="preserve">Cruz Rivera, S., Liu, X., Chan, A.-W., Denniston, A. K., Calvert, M. J., Grupo de </w:t>
      </w:r>
      <w:proofErr w:type="spellStart"/>
      <w:r>
        <w:t>Trabajo</w:t>
      </w:r>
      <w:proofErr w:type="spellEnd"/>
      <w:r>
        <w:t xml:space="preserve"> SPIRIT-AI y CONSORT-AI, Grupo </w:t>
      </w:r>
      <w:proofErr w:type="spellStart"/>
      <w:r>
        <w:t>Directivo</w:t>
      </w:r>
      <w:proofErr w:type="spellEnd"/>
      <w:r>
        <w:t xml:space="preserve"> SPIRIT-AI y CONSORT-AI, &amp; Grupo de </w:t>
      </w:r>
      <w:proofErr w:type="spellStart"/>
      <w:r>
        <w:t>Consenso</w:t>
      </w:r>
      <w:proofErr w:type="spellEnd"/>
      <w:r>
        <w:t xml:space="preserve"> SPIRIT-AI y CONSORT-AI. (2024). Directrices para los </w:t>
      </w:r>
      <w:proofErr w:type="spellStart"/>
      <w:r>
        <w:t>protocolos</w:t>
      </w:r>
      <w:proofErr w:type="spellEnd"/>
      <w:r>
        <w:t xml:space="preserve"> de </w:t>
      </w:r>
      <w:proofErr w:type="spellStart"/>
      <w:r>
        <w:t>ensayos</w:t>
      </w:r>
      <w:proofErr w:type="spellEnd"/>
      <w:r>
        <w:t xml:space="preserve"> </w:t>
      </w:r>
      <w:proofErr w:type="spellStart"/>
      <w:r>
        <w:t>clínicos</w:t>
      </w:r>
      <w:proofErr w:type="spellEnd"/>
      <w:r>
        <w:t xml:space="preserve"> de </w:t>
      </w:r>
      <w:proofErr w:type="spellStart"/>
      <w:r>
        <w:t>intervenciones</w:t>
      </w:r>
      <w:proofErr w:type="spellEnd"/>
      <w:r>
        <w:t xml:space="preserve"> con </w:t>
      </w:r>
      <w:proofErr w:type="spellStart"/>
      <w:r>
        <w:t>inteligencia</w:t>
      </w:r>
      <w:proofErr w:type="spellEnd"/>
      <w:r>
        <w:t xml:space="preserve"> artificial: La </w:t>
      </w:r>
      <w:proofErr w:type="spellStart"/>
      <w:r>
        <w:t>extensión</w:t>
      </w:r>
      <w:proofErr w:type="spellEnd"/>
      <w:r>
        <w:t xml:space="preserve"> SPIRIT-AI [Guidelines for clinical trial protocols for interventions involving artificial intelligence: The SPIRIT-AI extension]. </w:t>
      </w:r>
      <w:r>
        <w:rPr>
          <w:rStyle w:val="Emphasis"/>
        </w:rPr>
        <w:t>Revista Panamericana de Salud Pública, 48</w:t>
      </w:r>
      <w:r>
        <w:t xml:space="preserve">, e12. </w:t>
      </w:r>
      <w:hyperlink r:id="rId20" w:tgtFrame="_new" w:history="1">
        <w:r>
          <w:rPr>
            <w:rStyle w:val="Hyperlink"/>
          </w:rPr>
          <w:t>https://doi.org/10.26633/RPSP.2024.12</w:t>
        </w:r>
      </w:hyperlink>
    </w:p>
    <w:p w14:paraId="2327BE1A" w14:textId="77777777" w:rsidR="00A837FD" w:rsidRDefault="00A837FD" w:rsidP="00A837FD">
      <w:pPr>
        <w:pStyle w:val="NormalWeb"/>
        <w:jc w:val="both"/>
      </w:pPr>
      <w:r>
        <w:t xml:space="preserve">DiMasi, J. A., Grabowski, H. G., &amp; Hansen, R. W. (2016). Innovation in the pharmaceutical industry: New estimates of R&amp;D costs. </w:t>
      </w:r>
      <w:r>
        <w:rPr>
          <w:rStyle w:val="Emphasis"/>
        </w:rPr>
        <w:t>Journal of Health Economics, 47</w:t>
      </w:r>
      <w:r>
        <w:t xml:space="preserve">, 20–33. </w:t>
      </w:r>
      <w:hyperlink r:id="rId21" w:tgtFrame="_new" w:history="1">
        <w:r>
          <w:rPr>
            <w:rStyle w:val="Hyperlink"/>
          </w:rPr>
          <w:t>https://doi.org/10.1016/j.jhealeco.2016.01.012</w:t>
        </w:r>
      </w:hyperlink>
    </w:p>
    <w:p w14:paraId="46B49EEC" w14:textId="77777777" w:rsidR="00A837FD" w:rsidRDefault="00A837FD" w:rsidP="00A837FD">
      <w:pPr>
        <w:pStyle w:val="NormalWeb"/>
        <w:jc w:val="both"/>
      </w:pPr>
      <w:r>
        <w:t xml:space="preserve">Ding, X., Cui, R., Yu, J., Liu, T., Zhu, T., Wang, D., Chang, J., Fan, Z., Liu, X., Chen, K., Jiang, H., Li, X., Luo, X., &amp; Zheng, M. (2021). Active learning for drug design: A case study on the plasma exposure of orally administered drugs. </w:t>
      </w:r>
      <w:r>
        <w:rPr>
          <w:rStyle w:val="Emphasis"/>
        </w:rPr>
        <w:t>Journal of Medicinal Chemistry, 64</w:t>
      </w:r>
      <w:r>
        <w:t xml:space="preserve">(22), 16838–16853. </w:t>
      </w:r>
      <w:hyperlink r:id="rId22" w:tgtFrame="_new" w:history="1">
        <w:r>
          <w:rPr>
            <w:rStyle w:val="Hyperlink"/>
          </w:rPr>
          <w:t>https://doi.org/10.1021/acs.jmedchem.1c01683</w:t>
        </w:r>
      </w:hyperlink>
    </w:p>
    <w:p w14:paraId="1A419569" w14:textId="77777777" w:rsidR="00A837FD" w:rsidRDefault="00A837FD" w:rsidP="00A837FD">
      <w:pPr>
        <w:pStyle w:val="NormalWeb"/>
        <w:jc w:val="both"/>
      </w:pPr>
      <w:r>
        <w:t xml:space="preserve">Freedman, L. P., Cockburn, I. M., &amp; Simcoe, T. S. (2015). The economics of reproducibility in preclinical research. </w:t>
      </w:r>
      <w:r>
        <w:rPr>
          <w:rStyle w:val="Emphasis"/>
        </w:rPr>
        <w:t>PLOS Biology, 13</w:t>
      </w:r>
      <w:r>
        <w:t xml:space="preserve">(6), e1002165. </w:t>
      </w:r>
      <w:hyperlink r:id="rId23" w:tgtFrame="_new" w:history="1">
        <w:r>
          <w:rPr>
            <w:rStyle w:val="Hyperlink"/>
          </w:rPr>
          <w:t>https://doi.org/10.1371/journal.pbio.1002165</w:t>
        </w:r>
      </w:hyperlink>
    </w:p>
    <w:p w14:paraId="610D902B" w14:textId="77777777" w:rsidR="00A837FD" w:rsidRDefault="00A837FD" w:rsidP="00A837FD">
      <w:pPr>
        <w:pStyle w:val="NormalWeb"/>
        <w:jc w:val="both"/>
      </w:pPr>
      <w:r>
        <w:t xml:space="preserve">Gebru, T., Morgenstern, J., Vecchione, B., Vaughan, J. W., Wallach, H., III, H. D., &amp; Crawford, K. (2021). Datasheets for datasets. </w:t>
      </w:r>
      <w:r>
        <w:rPr>
          <w:rStyle w:val="Emphasis"/>
        </w:rPr>
        <w:t>Communications of the ACM, 64</w:t>
      </w:r>
      <w:r>
        <w:t xml:space="preserve">(12), 86–92. </w:t>
      </w:r>
      <w:hyperlink r:id="rId24" w:tgtFrame="_new" w:history="1">
        <w:r>
          <w:rPr>
            <w:rStyle w:val="Hyperlink"/>
          </w:rPr>
          <w:t>https://doi.org/10.48550/arXiv.1803.09010</w:t>
        </w:r>
      </w:hyperlink>
    </w:p>
    <w:p w14:paraId="6060B635" w14:textId="77777777" w:rsidR="00A837FD" w:rsidRDefault="00A837FD" w:rsidP="00A837FD">
      <w:pPr>
        <w:pStyle w:val="NormalWeb"/>
        <w:jc w:val="both"/>
      </w:pPr>
      <w:r>
        <w:t xml:space="preserve">Hazemann, J., </w:t>
      </w:r>
      <w:proofErr w:type="spellStart"/>
      <w:r>
        <w:t>Kimmerlin</w:t>
      </w:r>
      <w:proofErr w:type="spellEnd"/>
      <w:r>
        <w:t xml:space="preserve">, T., Lange, R., Mac Sweeney, A., Bourquin, G., Ritz, D., &amp; </w:t>
      </w:r>
      <w:proofErr w:type="spellStart"/>
      <w:r>
        <w:t>Czodrowski</w:t>
      </w:r>
      <w:proofErr w:type="spellEnd"/>
      <w:r>
        <w:t xml:space="preserve">, P. (2024). Identification of SARS-CoV-2 </w:t>
      </w:r>
      <w:proofErr w:type="spellStart"/>
      <w:r>
        <w:t>Mpro</w:t>
      </w:r>
      <w:proofErr w:type="spellEnd"/>
      <w:r>
        <w:t xml:space="preserve"> inhibitors through deep reinforcement learning for de novo drug design and computational chemistry approaches. </w:t>
      </w:r>
      <w:r>
        <w:rPr>
          <w:rStyle w:val="Emphasis"/>
        </w:rPr>
        <w:t>RSC Medicinal Chemistry, 15</w:t>
      </w:r>
      <w:r>
        <w:t xml:space="preserve">(6), 2146–2159. </w:t>
      </w:r>
      <w:hyperlink r:id="rId25" w:tgtFrame="_new" w:history="1">
        <w:r>
          <w:rPr>
            <w:rStyle w:val="Hyperlink"/>
          </w:rPr>
          <w:t>https://doi.org/10.1039/d4md00106k</w:t>
        </w:r>
      </w:hyperlink>
    </w:p>
    <w:p w14:paraId="793B015E" w14:textId="77777777" w:rsidR="00A837FD" w:rsidRDefault="00A837FD" w:rsidP="00A837FD">
      <w:pPr>
        <w:pStyle w:val="NormalWeb"/>
        <w:jc w:val="both"/>
      </w:pPr>
      <w:r>
        <w:t xml:space="preserve">Hazemann, J., </w:t>
      </w:r>
      <w:proofErr w:type="spellStart"/>
      <w:r>
        <w:t>Kimmerlin</w:t>
      </w:r>
      <w:proofErr w:type="spellEnd"/>
      <w:r>
        <w:t xml:space="preserve">, T., Mac Sweeney, A., Bourquin, G., Lange, R., Ritz, D., Richard-Bildstein, S., </w:t>
      </w:r>
      <w:proofErr w:type="spellStart"/>
      <w:r>
        <w:t>Regeon</w:t>
      </w:r>
      <w:proofErr w:type="spellEnd"/>
      <w:r>
        <w:t xml:space="preserve">, S., &amp; </w:t>
      </w:r>
      <w:proofErr w:type="spellStart"/>
      <w:r>
        <w:t>Czodrowski</w:t>
      </w:r>
      <w:proofErr w:type="spellEnd"/>
      <w:r>
        <w:t xml:space="preserve">, P. (2025). Accelerating the hit-to-lead optimization of a SARS-CoV-2 </w:t>
      </w:r>
      <w:proofErr w:type="spellStart"/>
      <w:r>
        <w:t>Mpro</w:t>
      </w:r>
      <w:proofErr w:type="spellEnd"/>
      <w:r>
        <w:t xml:space="preserve"> inhibitor series by combining high-throughput medicinal chemistry and computational simulations. </w:t>
      </w:r>
      <w:r>
        <w:rPr>
          <w:rStyle w:val="Emphasis"/>
        </w:rPr>
        <w:t>Journal of Medicinal Chemistry, 68</w:t>
      </w:r>
      <w:r>
        <w:t xml:space="preserve">(8), 8269–8294. </w:t>
      </w:r>
      <w:hyperlink r:id="rId26" w:tgtFrame="_new" w:history="1">
        <w:r>
          <w:rPr>
            <w:rStyle w:val="Hyperlink"/>
          </w:rPr>
          <w:t>https://doi.org/10.1021/acs.jmedchem.4c02941</w:t>
        </w:r>
      </w:hyperlink>
    </w:p>
    <w:p w14:paraId="67B0657D" w14:textId="77777777" w:rsidR="00A837FD" w:rsidRDefault="00A837FD" w:rsidP="00A837FD">
      <w:pPr>
        <w:pStyle w:val="NormalWeb"/>
        <w:jc w:val="both"/>
      </w:pPr>
      <w:r>
        <w:t xml:space="preserve">Hu, Y.-H., Cheng, Y.-Y., Lan, C.-C., Su, Y.-H., &amp; Sung, S.-F. (2025). An intelligent trial eligibility screening tool using natural language processing with a block-based visual programming interface: Development and usability study. </w:t>
      </w:r>
      <w:r>
        <w:rPr>
          <w:rStyle w:val="Emphasis"/>
        </w:rPr>
        <w:t>JMIR Medical Informatics, 13</w:t>
      </w:r>
      <w:r>
        <w:t xml:space="preserve">, e80072. </w:t>
      </w:r>
      <w:hyperlink r:id="rId27" w:tgtFrame="_new" w:history="1">
        <w:r>
          <w:rPr>
            <w:rStyle w:val="Hyperlink"/>
          </w:rPr>
          <w:t>https://doi.org/10.2196/80072</w:t>
        </w:r>
      </w:hyperlink>
    </w:p>
    <w:p w14:paraId="75324D70" w14:textId="77777777" w:rsidR="00A837FD" w:rsidRPr="00A837FD" w:rsidRDefault="00A837FD" w:rsidP="00A837FD">
      <w:pPr>
        <w:pStyle w:val="NormalWeb"/>
        <w:jc w:val="both"/>
        <w:rPr>
          <w:lang w:val="de-DE"/>
        </w:rPr>
      </w:pPr>
      <w:r>
        <w:lastRenderedPageBreak/>
        <w:t xml:space="preserve">Iqbal, S., Jiang, W., Hansen, E., </w:t>
      </w:r>
      <w:proofErr w:type="spellStart"/>
      <w:r>
        <w:t>Aristotelous</w:t>
      </w:r>
      <w:proofErr w:type="spellEnd"/>
      <w:r>
        <w:t xml:space="preserve">, T., Liu, S., Reidenbach, A., Raffier, C., Leed, A., Chen, C., Chung, L., Sigel, E., Burgin, A., Gould, S., &amp; Soutter, H. H. (2025). Evaluation of DNA encoded library and machine learning model combinations for hit discovery. </w:t>
      </w:r>
      <w:proofErr w:type="spellStart"/>
      <w:r>
        <w:rPr>
          <w:rStyle w:val="Emphasis"/>
        </w:rPr>
        <w:t>npj</w:t>
      </w:r>
      <w:proofErr w:type="spellEnd"/>
      <w:r>
        <w:rPr>
          <w:rStyle w:val="Emphasis"/>
        </w:rPr>
        <w:t xml:space="preserve"> Drug Discovery, 2</w:t>
      </w:r>
      <w:r>
        <w:t xml:space="preserve">, 5. </w:t>
      </w:r>
      <w:hyperlink r:id="rId28" w:tgtFrame="_new" w:history="1">
        <w:r w:rsidRPr="00A837FD">
          <w:rPr>
            <w:rStyle w:val="Hyperlink"/>
            <w:lang w:val="de-DE"/>
          </w:rPr>
          <w:t>https://doi.org/10.1038/s44386-025-00007-4</w:t>
        </w:r>
      </w:hyperlink>
    </w:p>
    <w:p w14:paraId="25D1CA82" w14:textId="77777777" w:rsidR="00A837FD" w:rsidRDefault="00A837FD" w:rsidP="00A837FD">
      <w:pPr>
        <w:pStyle w:val="NormalWeb"/>
        <w:jc w:val="both"/>
      </w:pPr>
      <w:r w:rsidRPr="00A837FD">
        <w:rPr>
          <w:lang w:val="de-DE"/>
        </w:rPr>
        <w:t xml:space="preserve">Jiménez-Luna, J., Grisoni, F., &amp; Schneider, G. (2020). </w:t>
      </w:r>
      <w:r>
        <w:t xml:space="preserve">Drug discovery with explainable artificial intelligence. </w:t>
      </w:r>
      <w:r>
        <w:rPr>
          <w:rStyle w:val="Emphasis"/>
        </w:rPr>
        <w:t>Nature Machine Intelligence, 2</w:t>
      </w:r>
      <w:r>
        <w:t xml:space="preserve">, 573–584. </w:t>
      </w:r>
      <w:hyperlink r:id="rId29" w:tgtFrame="_new" w:history="1">
        <w:r>
          <w:rPr>
            <w:rStyle w:val="Hyperlink"/>
          </w:rPr>
          <w:t>https://doi.org/10.1038/s42256-020-00236-4</w:t>
        </w:r>
      </w:hyperlink>
    </w:p>
    <w:p w14:paraId="7C52AAC6" w14:textId="77777777" w:rsidR="00A837FD" w:rsidRDefault="00A837FD" w:rsidP="00A837FD">
      <w:pPr>
        <w:pStyle w:val="NormalWeb"/>
        <w:jc w:val="both"/>
      </w:pPr>
      <w:r>
        <w:t xml:space="preserve">Jumper, J., Evans, R., Pritzel, A., Green, T., Figurnov, M., Ronneberger, O., </w:t>
      </w:r>
      <w:proofErr w:type="spellStart"/>
      <w:r>
        <w:t>Tunyasuvunakool</w:t>
      </w:r>
      <w:proofErr w:type="spellEnd"/>
      <w:r>
        <w:t xml:space="preserve">, K., Bates, R., </w:t>
      </w:r>
      <w:proofErr w:type="spellStart"/>
      <w:r>
        <w:t>Žídek</w:t>
      </w:r>
      <w:proofErr w:type="spellEnd"/>
      <w:r>
        <w:t xml:space="preserve">, A., Potapenko, A., </w:t>
      </w:r>
      <w:proofErr w:type="spellStart"/>
      <w:r>
        <w:t>Bridgland</w:t>
      </w:r>
      <w:proofErr w:type="spellEnd"/>
      <w:r>
        <w:t xml:space="preserve">, A., Meyer, C., Kohl, S. A. A., Ballard, A. J., Cowie, A., Romera-Paredes, B., Nikolov, S., Jain, R., Adler, J., … Hassabis, D. (2021). Highly accurate protein structure prediction with AlphaFold. </w:t>
      </w:r>
      <w:r>
        <w:rPr>
          <w:rStyle w:val="Emphasis"/>
        </w:rPr>
        <w:t>Nature, 596</w:t>
      </w:r>
      <w:r>
        <w:t xml:space="preserve">, 583–589. </w:t>
      </w:r>
      <w:hyperlink r:id="rId30" w:tgtFrame="_new" w:history="1">
        <w:r>
          <w:rPr>
            <w:rStyle w:val="Hyperlink"/>
          </w:rPr>
          <w:t>https://doi.org/10.1038/s41586-021-03819-2</w:t>
        </w:r>
      </w:hyperlink>
    </w:p>
    <w:p w14:paraId="0A6E6E10" w14:textId="77777777" w:rsidR="00A837FD" w:rsidRPr="00A837FD" w:rsidRDefault="00A837FD" w:rsidP="00A837FD">
      <w:pPr>
        <w:pStyle w:val="NormalWeb"/>
        <w:jc w:val="both"/>
        <w:rPr>
          <w:lang w:val="de-DE"/>
        </w:rPr>
      </w:pPr>
      <w:r>
        <w:t xml:space="preserve">Kaiser, T. M., Dentmon, Z. W., Burger, P. B., Snyder, J. P., &amp; Liotta, D. C. (2021). Prospective evaluation and success of a machine learning hit-to-lead drug development program against phosphatidylinositol 3-kinase α. </w:t>
      </w:r>
      <w:r>
        <w:rPr>
          <w:rStyle w:val="Emphasis"/>
        </w:rPr>
        <w:t>ARKIVOC: Online Journal of Organic Chemistry</w:t>
      </w:r>
      <w:r>
        <w:t xml:space="preserve">, 2021, Article 304. </w:t>
      </w:r>
      <w:hyperlink r:id="rId31" w:tgtFrame="_new" w:history="1">
        <w:r w:rsidRPr="00A837FD">
          <w:rPr>
            <w:rStyle w:val="Hyperlink"/>
            <w:lang w:val="de-DE"/>
          </w:rPr>
          <w:t>https://doi.org/10.24820/ark.5550190.p011.304</w:t>
        </w:r>
      </w:hyperlink>
    </w:p>
    <w:p w14:paraId="4981004D" w14:textId="77777777" w:rsidR="00A837FD" w:rsidRDefault="00A837FD" w:rsidP="00A837FD">
      <w:pPr>
        <w:pStyle w:val="NormalWeb"/>
        <w:jc w:val="both"/>
      </w:pPr>
      <w:r w:rsidRPr="00A837FD">
        <w:rPr>
          <w:lang w:val="de-DE"/>
        </w:rPr>
        <w:t xml:space="preserve">Kornauth, C., Pemovska, T., Vladimer, G. I., Bayer, G., Bergmann, M., Eder, S., Eichner, R., Erl, M., Esterbauer, H., Exner, R., Felsleitner-Hauer, V., Forte, M., Gaiger, A., Geissler, K., Greinix, H. T., Gstöttner, W., Hacker, M., Hartmann, B. L., Hauswirth, A. W., Heinemann, T., … </w:t>
      </w:r>
      <w:r>
        <w:t xml:space="preserve">Staber, P. B. (2022). Functional precision medicine provides clinical benefit in advanced aggressive hematologic cancers and identifies exceptional responders. </w:t>
      </w:r>
      <w:r>
        <w:rPr>
          <w:rStyle w:val="Emphasis"/>
        </w:rPr>
        <w:t>Cancer Discovery, 12</w:t>
      </w:r>
      <w:r>
        <w:t xml:space="preserve">(2), 372–387. </w:t>
      </w:r>
      <w:hyperlink r:id="rId32" w:tgtFrame="_new" w:history="1">
        <w:r>
          <w:rPr>
            <w:rStyle w:val="Hyperlink"/>
          </w:rPr>
          <w:t>https://doi.org/10.1158/2159-8290.CD-21-0538</w:t>
        </w:r>
      </w:hyperlink>
    </w:p>
    <w:p w14:paraId="74F5756B" w14:textId="77777777" w:rsidR="00A837FD" w:rsidRPr="00A837FD" w:rsidRDefault="00A837FD" w:rsidP="00A837FD">
      <w:pPr>
        <w:pStyle w:val="NormalWeb"/>
        <w:jc w:val="both"/>
        <w:rPr>
          <w:lang w:val="de-DE"/>
        </w:rPr>
      </w:pPr>
      <w:r>
        <w:t xml:space="preserve">Krishnan, A., </w:t>
      </w:r>
      <w:proofErr w:type="spellStart"/>
      <w:r>
        <w:t>Anahtar</w:t>
      </w:r>
      <w:proofErr w:type="spellEnd"/>
      <w:r>
        <w:t xml:space="preserve">, M. N., Valeri, J. A., Jin, W., Donghia, N. M., Sieben, L., </w:t>
      </w:r>
      <w:proofErr w:type="spellStart"/>
      <w:r>
        <w:t>Luttens</w:t>
      </w:r>
      <w:proofErr w:type="spellEnd"/>
      <w:r>
        <w:t xml:space="preserve">, A., Zhang, Y., </w:t>
      </w:r>
      <w:proofErr w:type="spellStart"/>
      <w:r>
        <w:t>Modaresi</w:t>
      </w:r>
      <w:proofErr w:type="spellEnd"/>
      <w:r>
        <w:t xml:space="preserve">, S. M., Hennes, A., Fromer, J., Bandyopadhyay, P., Chen, J. C., Rehman, D., Desai, R., Edwards, P., Lach, R. S., </w:t>
      </w:r>
      <w:proofErr w:type="spellStart"/>
      <w:r>
        <w:t>Aschtgen</w:t>
      </w:r>
      <w:proofErr w:type="spellEnd"/>
      <w:r>
        <w:t xml:space="preserve">, M. S., Gaborieau, M., Gaetani, M., … Collins, J. J. (2025). A generative deep learning approach to de novo antibiotic design. </w:t>
      </w:r>
      <w:r w:rsidRPr="00A837FD">
        <w:rPr>
          <w:rStyle w:val="Emphasis"/>
          <w:lang w:val="de-DE"/>
        </w:rPr>
        <w:t>Cell, 188</w:t>
      </w:r>
      <w:r w:rsidRPr="00A837FD">
        <w:rPr>
          <w:lang w:val="de-DE"/>
        </w:rPr>
        <w:t xml:space="preserve">(21), 5962–5979.e22. </w:t>
      </w:r>
      <w:hyperlink r:id="rId33" w:tgtFrame="_new" w:history="1">
        <w:r w:rsidRPr="00A837FD">
          <w:rPr>
            <w:rStyle w:val="Hyperlink"/>
            <w:lang w:val="de-DE"/>
          </w:rPr>
          <w:t>https://doi.org/10.1016/j.cell.2025.07.033</w:t>
        </w:r>
      </w:hyperlink>
    </w:p>
    <w:p w14:paraId="07A675D9" w14:textId="77777777" w:rsidR="00A837FD" w:rsidRDefault="00A837FD" w:rsidP="00A837FD">
      <w:pPr>
        <w:pStyle w:val="NormalWeb"/>
        <w:jc w:val="both"/>
      </w:pPr>
      <w:r w:rsidRPr="00A837FD">
        <w:rPr>
          <w:lang w:val="de-DE"/>
        </w:rPr>
        <w:t xml:space="preserve">Kp Jayatunga, M., Ayers, M., Bruens, L., Jayanth, D., &amp; Meier, C. (2024). </w:t>
      </w:r>
      <w:r>
        <w:t xml:space="preserve">How successful are AI-discovered drugs in clinical trials? A first analysis and emerging lessons. </w:t>
      </w:r>
      <w:r>
        <w:rPr>
          <w:rStyle w:val="Emphasis"/>
        </w:rPr>
        <w:t>Drug Discovery Today, 29</w:t>
      </w:r>
      <w:r>
        <w:t xml:space="preserve">(6), 104009. </w:t>
      </w:r>
      <w:hyperlink r:id="rId34" w:tgtFrame="_new" w:history="1">
        <w:r>
          <w:rPr>
            <w:rStyle w:val="Hyperlink"/>
          </w:rPr>
          <w:t>https://doi.org/10.1016/j.drudis.2024.104009</w:t>
        </w:r>
      </w:hyperlink>
    </w:p>
    <w:p w14:paraId="1803AF92" w14:textId="77777777" w:rsidR="00A837FD" w:rsidRDefault="00A837FD" w:rsidP="00A837FD">
      <w:pPr>
        <w:pStyle w:val="NormalWeb"/>
        <w:jc w:val="both"/>
      </w:pPr>
      <w:r>
        <w:t xml:space="preserve">Li, Y., Zhang, L., Wang, Y., Zou, J., Yang, R., Wu, C., Yang, W., Tian, C., Xu, H., Wang, F., Yang, X., Yang, S., Luo, X., &amp; Li, L. (2022). Generative deep learning enables the discovery of a potent and selective RIPK1 inhibitor. </w:t>
      </w:r>
      <w:r>
        <w:rPr>
          <w:rStyle w:val="Emphasis"/>
        </w:rPr>
        <w:t>Nature Communications, 13</w:t>
      </w:r>
      <w:r>
        <w:t xml:space="preserve">, 6891. </w:t>
      </w:r>
      <w:hyperlink r:id="rId35" w:tgtFrame="_new" w:history="1">
        <w:r>
          <w:rPr>
            <w:rStyle w:val="Hyperlink"/>
          </w:rPr>
          <w:t>https://doi.org/10.1038/s41467-022-34692-w</w:t>
        </w:r>
      </w:hyperlink>
    </w:p>
    <w:p w14:paraId="60732E2F" w14:textId="77777777" w:rsidR="00A837FD" w:rsidRDefault="00A837FD" w:rsidP="00A837FD">
      <w:pPr>
        <w:pStyle w:val="NormalWeb"/>
        <w:jc w:val="both"/>
      </w:pPr>
      <w:r>
        <w:t xml:space="preserve">Liu, X., Cruz Rivera, S., Moher, D., Calvert, M. J., Denniston, A. K., &amp; The SPIRIT-AI and CONSORT-AI Working Group. (2020). Reporting guidelines for clinical trial reports for interventions involving artificial intelligence: The CONSORT-AI extension. </w:t>
      </w:r>
      <w:r>
        <w:rPr>
          <w:rStyle w:val="Emphasis"/>
        </w:rPr>
        <w:t>Nature Medicine, 26</w:t>
      </w:r>
      <w:r>
        <w:t xml:space="preserve">, 1364–1374. </w:t>
      </w:r>
      <w:hyperlink r:id="rId36" w:tgtFrame="_new" w:history="1">
        <w:r>
          <w:rPr>
            <w:rStyle w:val="Hyperlink"/>
          </w:rPr>
          <w:t>https://doi.org/10.1038/s41591-020-1034-x</w:t>
        </w:r>
      </w:hyperlink>
    </w:p>
    <w:p w14:paraId="3DBF991E" w14:textId="77777777" w:rsidR="00A837FD" w:rsidRDefault="00A837FD" w:rsidP="00A837FD">
      <w:pPr>
        <w:pStyle w:val="NormalWeb"/>
        <w:jc w:val="both"/>
      </w:pPr>
      <w:r>
        <w:t xml:space="preserve">McCloskey, K., Sigel, E. A., Kearnes, S., Xue, L., Tian, X., Moccia, D., </w:t>
      </w:r>
      <w:proofErr w:type="spellStart"/>
      <w:r>
        <w:t>Gikunju</w:t>
      </w:r>
      <w:proofErr w:type="spellEnd"/>
      <w:r>
        <w:t xml:space="preserve">, D., Bazzaz, S., Chan, B., Clark, M. A., Cuozzo, J. W., </w:t>
      </w:r>
      <w:proofErr w:type="spellStart"/>
      <w:r>
        <w:t>Guié</w:t>
      </w:r>
      <w:proofErr w:type="spellEnd"/>
      <w:r>
        <w:t xml:space="preserve">, M.-A., Guilinger, J. P., Huguet, C., Hupp, C. D., Keefe, A. D., Mulhern, C. J., Zhang, Y., &amp; Riley, P. (2020). Machine learning on DNA-encoded libraries: A new paradigm for hit finding. </w:t>
      </w:r>
      <w:r>
        <w:rPr>
          <w:rStyle w:val="Emphasis"/>
        </w:rPr>
        <w:t>Journal of Medicinal Chemistry, 63</w:t>
      </w:r>
      <w:r>
        <w:t>(16), 8857–8866. https://doi.org/10.1021/acs.jmedchem.0c00452</w:t>
      </w:r>
    </w:p>
    <w:p w14:paraId="7A61D7C8" w14:textId="77777777" w:rsidR="00A837FD" w:rsidRDefault="00A837FD" w:rsidP="00A837FD">
      <w:pPr>
        <w:pStyle w:val="NormalWeb"/>
        <w:jc w:val="both"/>
      </w:pPr>
      <w:proofErr w:type="spellStart"/>
      <w:r>
        <w:t>Polykovskiy</w:t>
      </w:r>
      <w:proofErr w:type="spellEnd"/>
      <w:r>
        <w:t xml:space="preserve">, D., </w:t>
      </w:r>
      <w:proofErr w:type="spellStart"/>
      <w:r>
        <w:t>Zhebrak</w:t>
      </w:r>
      <w:proofErr w:type="spellEnd"/>
      <w:r>
        <w:t>, A., Sanchez-</w:t>
      </w:r>
      <w:proofErr w:type="spellStart"/>
      <w:r>
        <w:t>Lengeling</w:t>
      </w:r>
      <w:proofErr w:type="spellEnd"/>
      <w:r>
        <w:t xml:space="preserve">, B., Golovanov, S., Tatanov, O., Belyaev, S., Kurbanov, R., Artamonov, A., </w:t>
      </w:r>
      <w:proofErr w:type="spellStart"/>
      <w:r>
        <w:t>Aladinskiy</w:t>
      </w:r>
      <w:proofErr w:type="spellEnd"/>
      <w:r>
        <w:t xml:space="preserve">, V., Veselov, M., Kadurin, A., Johansson, S., Chen, H., Nikolenko, S., </w:t>
      </w:r>
      <w:proofErr w:type="spellStart"/>
      <w:r>
        <w:t>Aspuru-Guzik</w:t>
      </w:r>
      <w:proofErr w:type="spellEnd"/>
      <w:r>
        <w:t xml:space="preserve">, </w:t>
      </w:r>
      <w:r>
        <w:lastRenderedPageBreak/>
        <w:t xml:space="preserve">A., &amp; Zhavoronkov, A. (2020). Molecular Sets (MOSES): A benchmarking platform for molecular generation models. </w:t>
      </w:r>
      <w:r>
        <w:rPr>
          <w:rStyle w:val="Emphasis"/>
        </w:rPr>
        <w:t>Frontiers in Pharmacology, 11</w:t>
      </w:r>
      <w:r>
        <w:t xml:space="preserve">, 565644. </w:t>
      </w:r>
      <w:hyperlink r:id="rId37" w:tgtFrame="_new" w:history="1">
        <w:r>
          <w:rPr>
            <w:rStyle w:val="Hyperlink"/>
          </w:rPr>
          <w:t>https://doi.org/10.3389/fphar.2020.565644</w:t>
        </w:r>
      </w:hyperlink>
    </w:p>
    <w:p w14:paraId="16A0033A" w14:textId="77777777" w:rsidR="00A837FD" w:rsidRDefault="00A837FD" w:rsidP="00A837FD">
      <w:pPr>
        <w:pStyle w:val="NormalWeb"/>
        <w:jc w:val="both"/>
      </w:pPr>
      <w:proofErr w:type="spellStart"/>
      <w:r>
        <w:t>Pushpakom</w:t>
      </w:r>
      <w:proofErr w:type="spellEnd"/>
      <w:r>
        <w:t xml:space="preserve">, S., Iorio, F., Eyers, P. A., Escott, K. J., Hopper, S., Wells, A., Doig, A., Guilliams, T., Latimer, J., McNamee, C., Norris, A., </w:t>
      </w:r>
      <w:proofErr w:type="spellStart"/>
      <w:r>
        <w:t>Sanseau</w:t>
      </w:r>
      <w:proofErr w:type="spellEnd"/>
      <w:r>
        <w:t xml:space="preserve">, P., Cavalla, D., &amp; </w:t>
      </w:r>
      <w:proofErr w:type="spellStart"/>
      <w:r>
        <w:t>Pirmohamed</w:t>
      </w:r>
      <w:proofErr w:type="spellEnd"/>
      <w:r>
        <w:t xml:space="preserve">, M. (2019). Drug repurposing: Progress, challenges and recommendations. </w:t>
      </w:r>
      <w:r>
        <w:rPr>
          <w:rStyle w:val="Emphasis"/>
        </w:rPr>
        <w:t>Nature Reviews Drug Discovery, 18</w:t>
      </w:r>
      <w:r>
        <w:t xml:space="preserve">, 41–58. </w:t>
      </w:r>
      <w:hyperlink r:id="rId38" w:tgtFrame="_new" w:history="1">
        <w:r>
          <w:rPr>
            <w:rStyle w:val="Hyperlink"/>
          </w:rPr>
          <w:t>https://doi.org/10.1038/nrd.2018.168</w:t>
        </w:r>
      </w:hyperlink>
    </w:p>
    <w:p w14:paraId="13A88D62" w14:textId="77777777" w:rsidR="00A837FD" w:rsidRDefault="00A837FD" w:rsidP="00A837FD">
      <w:pPr>
        <w:pStyle w:val="NormalWeb"/>
        <w:jc w:val="both"/>
      </w:pPr>
      <w:r>
        <w:t xml:space="preserve">Ren, F., Ding, X., Zheng, M., Korzinkin, M., Cai, X., Zhu, W., </w:t>
      </w:r>
      <w:proofErr w:type="spellStart"/>
      <w:r>
        <w:t>Mantsyzov</w:t>
      </w:r>
      <w:proofErr w:type="spellEnd"/>
      <w:r>
        <w:t xml:space="preserve">, A., </w:t>
      </w:r>
      <w:proofErr w:type="spellStart"/>
      <w:r>
        <w:t>Aliper</w:t>
      </w:r>
      <w:proofErr w:type="spellEnd"/>
      <w:r>
        <w:t xml:space="preserve">, A., </w:t>
      </w:r>
      <w:proofErr w:type="spellStart"/>
      <w:r>
        <w:t>Aladinskiy</w:t>
      </w:r>
      <w:proofErr w:type="spellEnd"/>
      <w:r>
        <w:t xml:space="preserve">, V., Cao, Z., Kong, S., Long, X., Liu, B. H. M., Liu, Y., Naumov, V., Shneyderman, A., Ozerov, I. V., Wang, J., Pun, F. W., … Zhavoronkov, A. (2023). AlphaFold accelerates artificial intelligence powered drug discovery: Efficient discovery of a novel CDK20 small molecule inhibitor. </w:t>
      </w:r>
      <w:r>
        <w:rPr>
          <w:rStyle w:val="Emphasis"/>
        </w:rPr>
        <w:t>Chemical Science, 14</w:t>
      </w:r>
      <w:r>
        <w:t xml:space="preserve">(6), 1443–1452. </w:t>
      </w:r>
      <w:hyperlink r:id="rId39" w:tgtFrame="_new" w:history="1">
        <w:r>
          <w:rPr>
            <w:rStyle w:val="Hyperlink"/>
          </w:rPr>
          <w:t>https://doi.org/10.1039/d2sc05709c</w:t>
        </w:r>
      </w:hyperlink>
    </w:p>
    <w:p w14:paraId="44449CC0" w14:textId="77777777" w:rsidR="00A837FD" w:rsidRDefault="00A837FD" w:rsidP="00A837FD">
      <w:pPr>
        <w:pStyle w:val="NormalWeb"/>
        <w:jc w:val="both"/>
      </w:pPr>
      <w:r>
        <w:t>Sanchez-</w:t>
      </w:r>
      <w:proofErr w:type="spellStart"/>
      <w:r>
        <w:t>Lengeling</w:t>
      </w:r>
      <w:proofErr w:type="spellEnd"/>
      <w:r>
        <w:t xml:space="preserve">, B., &amp; </w:t>
      </w:r>
      <w:proofErr w:type="spellStart"/>
      <w:r>
        <w:t>Aspuru-Guzik</w:t>
      </w:r>
      <w:proofErr w:type="spellEnd"/>
      <w:r>
        <w:t xml:space="preserve">, A. (2018). Inverse molecular design using machine learning: Generative models for matter engineering. </w:t>
      </w:r>
      <w:r>
        <w:rPr>
          <w:rStyle w:val="Emphasis"/>
        </w:rPr>
        <w:t>Science, 361</w:t>
      </w:r>
      <w:r>
        <w:t xml:space="preserve">(6400), 360–365. </w:t>
      </w:r>
      <w:hyperlink r:id="rId40" w:tgtFrame="_new" w:history="1">
        <w:r>
          <w:rPr>
            <w:rStyle w:val="Hyperlink"/>
          </w:rPr>
          <w:t>https://doi.org/10.1126/science.aat2663</w:t>
        </w:r>
      </w:hyperlink>
    </w:p>
    <w:p w14:paraId="173E5BC7" w14:textId="77777777" w:rsidR="00A837FD" w:rsidRPr="00A837FD" w:rsidRDefault="00A837FD" w:rsidP="00A837FD">
      <w:pPr>
        <w:pStyle w:val="NormalWeb"/>
        <w:jc w:val="both"/>
        <w:rPr>
          <w:lang w:val="de-DE"/>
        </w:rPr>
      </w:pPr>
      <w:r>
        <w:t xml:space="preserve">Santos-Júnior, C. D., Torres, M. D. T., Duan, Y., Rodríguez Del Río, Á., Schmidt, T. S. B., Chong, H., Fullam, A., Kuhn, M., Zhu, C., Houseman, A., </w:t>
      </w:r>
      <w:proofErr w:type="spellStart"/>
      <w:r>
        <w:t>Somborski</w:t>
      </w:r>
      <w:proofErr w:type="spellEnd"/>
      <w:r>
        <w:t>, J., Vines, A., Zhao, X.-M., Bork, P., Huerta-</w:t>
      </w:r>
      <w:proofErr w:type="spellStart"/>
      <w:r>
        <w:t>Cepas</w:t>
      </w:r>
      <w:proofErr w:type="spellEnd"/>
      <w:r>
        <w:t xml:space="preserve">, J., de la Fuente-Nunez, C., &amp; Coelho, L. P. (2024). Discovery of antimicrobial peptides in the global microbiome with machine learning. </w:t>
      </w:r>
      <w:r w:rsidRPr="00A837FD">
        <w:rPr>
          <w:rStyle w:val="Emphasis"/>
          <w:lang w:val="de-DE"/>
        </w:rPr>
        <w:t>Cell, 187</w:t>
      </w:r>
      <w:r w:rsidRPr="00A837FD">
        <w:rPr>
          <w:lang w:val="de-DE"/>
        </w:rPr>
        <w:t xml:space="preserve">(14), 3761–3778.e16. </w:t>
      </w:r>
      <w:hyperlink r:id="rId41" w:tgtFrame="_new" w:history="1">
        <w:r w:rsidRPr="00A837FD">
          <w:rPr>
            <w:rStyle w:val="Hyperlink"/>
            <w:lang w:val="de-DE"/>
          </w:rPr>
          <w:t>https://doi.org/10.1016/j.cell.2024.05.013</w:t>
        </w:r>
      </w:hyperlink>
    </w:p>
    <w:p w14:paraId="4E539598" w14:textId="77777777" w:rsidR="00A837FD" w:rsidRDefault="00A837FD" w:rsidP="00A837FD">
      <w:pPr>
        <w:pStyle w:val="NormalWeb"/>
        <w:jc w:val="both"/>
      </w:pPr>
      <w:r w:rsidRPr="00A837FD">
        <w:rPr>
          <w:lang w:val="de-DE"/>
        </w:rPr>
        <w:t xml:space="preserve">Schuhmacher, A., Gassmann, O., &amp; Hinder, M. (2016). </w:t>
      </w:r>
      <w:r>
        <w:t xml:space="preserve">Changing R&amp;D models in research-based pharmaceutical companies. </w:t>
      </w:r>
      <w:r>
        <w:rPr>
          <w:rStyle w:val="Emphasis"/>
        </w:rPr>
        <w:t>Journal of Translational Medicine, 14</w:t>
      </w:r>
      <w:r>
        <w:t xml:space="preserve">(1), 105. </w:t>
      </w:r>
      <w:hyperlink r:id="rId42" w:tgtFrame="_new" w:history="1">
        <w:r>
          <w:rPr>
            <w:rStyle w:val="Hyperlink"/>
          </w:rPr>
          <w:t>https://doi.org/10.1186/s12967-016-0838-4</w:t>
        </w:r>
      </w:hyperlink>
    </w:p>
    <w:p w14:paraId="779EB9D0" w14:textId="77777777" w:rsidR="00A837FD" w:rsidRDefault="00A837FD" w:rsidP="00A837FD">
      <w:pPr>
        <w:pStyle w:val="NormalWeb"/>
        <w:jc w:val="both"/>
      </w:pPr>
      <w:r>
        <w:t xml:space="preserve">Schwaller, P., Laino, T., Gaudin, T., </w:t>
      </w:r>
      <w:proofErr w:type="spellStart"/>
      <w:r>
        <w:t>Bolgar</w:t>
      </w:r>
      <w:proofErr w:type="spellEnd"/>
      <w:r>
        <w:t xml:space="preserve">, P., Hunter, C. A., Bekas, C., &amp; Lee, A. A. (2019). Molecular transformer: A model for uncertainty-calibrated chemical reaction prediction. </w:t>
      </w:r>
      <w:r>
        <w:rPr>
          <w:rStyle w:val="Emphasis"/>
        </w:rPr>
        <w:t>ACS Central Science, 5</w:t>
      </w:r>
      <w:r>
        <w:t xml:space="preserve">(9), 1572–1583. </w:t>
      </w:r>
      <w:hyperlink r:id="rId43" w:tgtFrame="_new" w:history="1">
        <w:r>
          <w:rPr>
            <w:rStyle w:val="Hyperlink"/>
          </w:rPr>
          <w:t>https://doi.org/10.1021/acscentsci.9b00576</w:t>
        </w:r>
      </w:hyperlink>
    </w:p>
    <w:p w14:paraId="1F4B5959" w14:textId="77777777" w:rsidR="00A837FD" w:rsidRDefault="00A837FD" w:rsidP="00A837FD">
      <w:pPr>
        <w:pStyle w:val="NormalWeb"/>
        <w:jc w:val="both"/>
      </w:pPr>
      <w:r>
        <w:t xml:space="preserve">Segler, M., Preuss, M., &amp; Waller, M. (2018). Planning chemical syntheses with deep neural networks and symbolic AI. </w:t>
      </w:r>
      <w:r>
        <w:rPr>
          <w:rStyle w:val="Emphasis"/>
        </w:rPr>
        <w:t>Nature, 555</w:t>
      </w:r>
      <w:r>
        <w:t xml:space="preserve">, 604–610. </w:t>
      </w:r>
      <w:hyperlink r:id="rId44" w:tgtFrame="_new" w:history="1">
        <w:r>
          <w:rPr>
            <w:rStyle w:val="Hyperlink"/>
          </w:rPr>
          <w:t>https://doi.org/10.1038/nature25978</w:t>
        </w:r>
      </w:hyperlink>
    </w:p>
    <w:p w14:paraId="28AF7DAE" w14:textId="77777777" w:rsidR="00A837FD" w:rsidRDefault="00A837FD" w:rsidP="00A837FD">
      <w:pPr>
        <w:pStyle w:val="NormalWeb"/>
        <w:jc w:val="both"/>
      </w:pPr>
      <w:r>
        <w:t xml:space="preserve">Stokes, J. M., Yang, K., Swanson, K., Jin, W., Cubillos-Ruiz, A., Donghia, N. M., MacNair, C. R., French, S., Carfrae, L. A., Bloom-Ackermann, Z., Tran, V. M., </w:t>
      </w:r>
      <w:proofErr w:type="spellStart"/>
      <w:r>
        <w:t>Chiappino</w:t>
      </w:r>
      <w:proofErr w:type="spellEnd"/>
      <w:r>
        <w:t xml:space="preserve">-Pepe, A., Badran, A. H., Andrews, I. W., Chory, E. J., Church, G. M., Brown, E. D., Jaakkola, T. S., Barzilay, R., &amp; Collins, J. J. (2020). A deep learning approach to antibiotic discovery. </w:t>
      </w:r>
      <w:r>
        <w:rPr>
          <w:rStyle w:val="Emphasis"/>
        </w:rPr>
        <w:t>Cell, 180</w:t>
      </w:r>
      <w:r>
        <w:t xml:space="preserve">(4), 688–702.e13. </w:t>
      </w:r>
      <w:hyperlink r:id="rId45" w:tgtFrame="_new" w:history="1">
        <w:r>
          <w:rPr>
            <w:rStyle w:val="Hyperlink"/>
          </w:rPr>
          <w:t>https://doi.org/10.1016/j.cell.2020.01.021</w:t>
        </w:r>
      </w:hyperlink>
    </w:p>
    <w:p w14:paraId="6F754796" w14:textId="77777777" w:rsidR="00A837FD" w:rsidRDefault="00A837FD" w:rsidP="00A837FD">
      <w:pPr>
        <w:pStyle w:val="NormalWeb"/>
        <w:jc w:val="both"/>
      </w:pPr>
      <w:r>
        <w:t xml:space="preserve">van </w:t>
      </w:r>
      <w:proofErr w:type="spellStart"/>
      <w:r>
        <w:t>Tilborg</w:t>
      </w:r>
      <w:proofErr w:type="spellEnd"/>
      <w:r>
        <w:t xml:space="preserve">, D., </w:t>
      </w:r>
      <w:proofErr w:type="spellStart"/>
      <w:r>
        <w:t>Alenicheva</w:t>
      </w:r>
      <w:proofErr w:type="spellEnd"/>
      <w:r>
        <w:t xml:space="preserve">, A., &amp; </w:t>
      </w:r>
      <w:proofErr w:type="spellStart"/>
      <w:r>
        <w:t>Grisoni</w:t>
      </w:r>
      <w:proofErr w:type="spellEnd"/>
      <w:r>
        <w:t xml:space="preserve">, F. (2022). Exposing the limitations of molecular machine learning with activity cliffs. </w:t>
      </w:r>
      <w:r>
        <w:rPr>
          <w:rStyle w:val="Emphasis"/>
        </w:rPr>
        <w:t>Journal of Chemical Information and Modeling, 62</w:t>
      </w:r>
      <w:r>
        <w:t xml:space="preserve">(23), 5938–5951. </w:t>
      </w:r>
      <w:hyperlink r:id="rId46" w:tgtFrame="_new" w:history="1">
        <w:r>
          <w:rPr>
            <w:rStyle w:val="Hyperlink"/>
          </w:rPr>
          <w:t>https://doi.org/10.1021/acs.jcim.2c01073</w:t>
        </w:r>
      </w:hyperlink>
    </w:p>
    <w:p w14:paraId="01483B5C" w14:textId="77777777" w:rsidR="00A837FD" w:rsidRDefault="00A837FD" w:rsidP="00A837FD">
      <w:pPr>
        <w:pStyle w:val="NormalWeb"/>
        <w:jc w:val="both"/>
      </w:pPr>
      <w:r>
        <w:t xml:space="preserve">Varadi, M., Anyango, S., Deshpande, M., Nair, S., Natassia, C., Yordanova, G., Yuan, D., Stroe, O., Wood, G., Laydon, A., </w:t>
      </w:r>
      <w:proofErr w:type="spellStart"/>
      <w:r>
        <w:t>Žídek</w:t>
      </w:r>
      <w:proofErr w:type="spellEnd"/>
      <w:r>
        <w:t xml:space="preserve">, A., Green, T., </w:t>
      </w:r>
      <w:proofErr w:type="spellStart"/>
      <w:r>
        <w:t>Tunyasuvunakool</w:t>
      </w:r>
      <w:proofErr w:type="spellEnd"/>
      <w:r>
        <w:t xml:space="preserve">, K., Petersen, S., Jumper, J., Clancy, E., Green, R., Vora, A., Lutfi, M., … Velankar, S. (2022). AlphaFold Protein Structure Database: Massively expanding the structural coverage of protein-sequence space with high-accuracy models. </w:t>
      </w:r>
      <w:r>
        <w:rPr>
          <w:rStyle w:val="Emphasis"/>
        </w:rPr>
        <w:t>Nucleic Acids Research, 50</w:t>
      </w:r>
      <w:r>
        <w:t xml:space="preserve">(D1), D439–D444. </w:t>
      </w:r>
      <w:hyperlink r:id="rId47" w:tgtFrame="_new" w:history="1">
        <w:r>
          <w:rPr>
            <w:rStyle w:val="Hyperlink"/>
          </w:rPr>
          <w:t>https://doi.org/10.1093/nar/gkab1061</w:t>
        </w:r>
      </w:hyperlink>
    </w:p>
    <w:p w14:paraId="4B19E142" w14:textId="77777777" w:rsidR="00A837FD" w:rsidRDefault="00A837FD" w:rsidP="00A837FD">
      <w:pPr>
        <w:pStyle w:val="NormalWeb"/>
        <w:jc w:val="both"/>
      </w:pPr>
      <w:r>
        <w:t xml:space="preserve">Vamathevan, J., Clark, D., </w:t>
      </w:r>
      <w:proofErr w:type="spellStart"/>
      <w:r>
        <w:t>Czodrowski</w:t>
      </w:r>
      <w:proofErr w:type="spellEnd"/>
      <w:r>
        <w:t xml:space="preserve">, P., Dunham, I., Ferran, E., Lee, G., Li, B., </w:t>
      </w:r>
      <w:proofErr w:type="spellStart"/>
      <w:r>
        <w:t>Madabhushi</w:t>
      </w:r>
      <w:proofErr w:type="spellEnd"/>
      <w:r>
        <w:t xml:space="preserve">, A., Shah, P., Spitzer, M., &amp; Zhao, S. (2019). Applications of machine learning in drug discovery and development. </w:t>
      </w:r>
      <w:r>
        <w:rPr>
          <w:rStyle w:val="Emphasis"/>
        </w:rPr>
        <w:t>Nature Reviews Drug Discovery, 18</w:t>
      </w:r>
      <w:r>
        <w:t xml:space="preserve">(6), 463–477. </w:t>
      </w:r>
      <w:hyperlink r:id="rId48" w:tgtFrame="_new" w:history="1">
        <w:r>
          <w:rPr>
            <w:rStyle w:val="Hyperlink"/>
          </w:rPr>
          <w:t>https://doi.org/10.1038/s41573-019-0024-5</w:t>
        </w:r>
      </w:hyperlink>
    </w:p>
    <w:p w14:paraId="3AE37A98" w14:textId="77777777" w:rsidR="00A837FD" w:rsidRDefault="00A837FD" w:rsidP="00A837FD">
      <w:pPr>
        <w:pStyle w:val="NormalWeb"/>
        <w:jc w:val="both"/>
      </w:pPr>
      <w:r>
        <w:lastRenderedPageBreak/>
        <w:t xml:space="preserve">Wallach, I., &amp; </w:t>
      </w:r>
      <w:proofErr w:type="spellStart"/>
      <w:r>
        <w:t>Heifets</w:t>
      </w:r>
      <w:proofErr w:type="spellEnd"/>
      <w:r>
        <w:t xml:space="preserve">, A. (2018). Most ligand-based classification benchmarks reward memorization rather than generalization. </w:t>
      </w:r>
      <w:r>
        <w:rPr>
          <w:rStyle w:val="Emphasis"/>
        </w:rPr>
        <w:t>Journal of Chemical Information and Modeling, 58</w:t>
      </w:r>
      <w:r>
        <w:t xml:space="preserve">(5), 916–932. </w:t>
      </w:r>
      <w:hyperlink r:id="rId49" w:tgtFrame="_new" w:history="1">
        <w:r>
          <w:rPr>
            <w:rStyle w:val="Hyperlink"/>
          </w:rPr>
          <w:t>https://doi.org/10.1021/acs.jcim.7b00403</w:t>
        </w:r>
      </w:hyperlink>
    </w:p>
    <w:p w14:paraId="43E2E173" w14:textId="77777777" w:rsidR="00A837FD" w:rsidRDefault="00A837FD" w:rsidP="00A837FD">
      <w:pPr>
        <w:pStyle w:val="NormalWeb"/>
        <w:jc w:val="both"/>
      </w:pPr>
      <w:r w:rsidRPr="00A837FD">
        <w:rPr>
          <w:lang w:val="de-DE"/>
        </w:rPr>
        <w:t xml:space="preserve">Wang, B., Lin, P., Zhong, Y., Tan, X., Shen, Y., Huang, Y., Jin, K., Zhang, Y., Zhan, Y., Shen, D., Wang, M., Yu, Z., &amp; Wu, Y. (2025). </w:t>
      </w:r>
      <w:r>
        <w:t xml:space="preserve">Explainable deep learning and virtual evolution identifies antimicrobial peptides with activity against multidrug-resistant human pathogens. </w:t>
      </w:r>
      <w:r>
        <w:rPr>
          <w:rStyle w:val="Emphasis"/>
        </w:rPr>
        <w:t>Nature Microbiology, 10</w:t>
      </w:r>
      <w:r>
        <w:t xml:space="preserve">, 332–347. </w:t>
      </w:r>
      <w:hyperlink r:id="rId50" w:tgtFrame="_new" w:history="1">
        <w:r>
          <w:rPr>
            <w:rStyle w:val="Hyperlink"/>
          </w:rPr>
          <w:t>https://doi.org/10.1038/s41564-024-01907-3</w:t>
        </w:r>
      </w:hyperlink>
    </w:p>
    <w:p w14:paraId="71EFD683" w14:textId="77777777" w:rsidR="00A837FD" w:rsidRDefault="00A837FD" w:rsidP="00A837FD">
      <w:pPr>
        <w:pStyle w:val="NormalWeb"/>
        <w:jc w:val="both"/>
      </w:pPr>
      <w:r>
        <w:t xml:space="preserve">Wellnitz, J., Ahmad, S., </w:t>
      </w:r>
      <w:proofErr w:type="spellStart"/>
      <w:r>
        <w:t>Bagale</w:t>
      </w:r>
      <w:proofErr w:type="spellEnd"/>
      <w:r>
        <w:t xml:space="preserve">, N., Cheng, X., Joseph, J., Zeng, H., </w:t>
      </w:r>
      <w:proofErr w:type="spellStart"/>
      <w:r>
        <w:t>Bolotokova</w:t>
      </w:r>
      <w:proofErr w:type="spellEnd"/>
      <w:r>
        <w:t xml:space="preserve">, A., Dong, A., Reza, S., </w:t>
      </w:r>
      <w:proofErr w:type="spellStart"/>
      <w:r>
        <w:t>Ghiabi</w:t>
      </w:r>
      <w:proofErr w:type="spellEnd"/>
      <w:r>
        <w:t xml:space="preserve">, P., Gibson, E., Tu, G., Li, X., Liu, J., Dou, D., Li, J., Foley, T. L., Harris, A. R., Klug-McLeod, J. L., … </w:t>
      </w:r>
      <w:proofErr w:type="spellStart"/>
      <w:r>
        <w:t>Couñago</w:t>
      </w:r>
      <w:proofErr w:type="spellEnd"/>
      <w:r>
        <w:t xml:space="preserve">, R. M. (2025). Enabling open machine learning of deoxyribonucleic acid-encoded library selections to accelerate the discovery of small molecule protein binders. </w:t>
      </w:r>
      <w:r>
        <w:rPr>
          <w:rStyle w:val="Emphasis"/>
        </w:rPr>
        <w:t>Journal of Medicinal Chemistry, 68</w:t>
      </w:r>
      <w:r>
        <w:t xml:space="preserve">(20), 21635–21648. </w:t>
      </w:r>
      <w:hyperlink r:id="rId51" w:tgtFrame="_new" w:history="1">
        <w:r>
          <w:rPr>
            <w:rStyle w:val="Hyperlink"/>
          </w:rPr>
          <w:t>https://doi.org/10.1021/acs.jmedchem.5c01972</w:t>
        </w:r>
      </w:hyperlink>
    </w:p>
    <w:p w14:paraId="19054259" w14:textId="77777777" w:rsidR="00A837FD" w:rsidRDefault="00A837FD" w:rsidP="00A837FD">
      <w:pPr>
        <w:pStyle w:val="NormalWeb"/>
        <w:jc w:val="both"/>
      </w:pPr>
      <w:r>
        <w:t xml:space="preserve">Wong, C. H., Siah, K. W., &amp; Lo, A. W. (2019). Estimation of clinical trial success rates and related parameters. </w:t>
      </w:r>
      <w:r>
        <w:rPr>
          <w:rStyle w:val="Emphasis"/>
        </w:rPr>
        <w:t>Biostatistics, 20</w:t>
      </w:r>
      <w:r>
        <w:t xml:space="preserve">(2), 273–286. </w:t>
      </w:r>
      <w:hyperlink r:id="rId52" w:tgtFrame="_new" w:history="1">
        <w:r>
          <w:rPr>
            <w:rStyle w:val="Hyperlink"/>
          </w:rPr>
          <w:t>https://doi.org/10.1093/biostatistics/kxx069</w:t>
        </w:r>
      </w:hyperlink>
    </w:p>
    <w:p w14:paraId="79CF1364" w14:textId="77777777" w:rsidR="00A837FD" w:rsidRDefault="00A837FD" w:rsidP="00A837FD">
      <w:pPr>
        <w:pStyle w:val="NormalWeb"/>
        <w:jc w:val="both"/>
      </w:pPr>
      <w:r>
        <w:t xml:space="preserve">Wong, F., Zheng, E. J., Valeri, J. A., Donghia, N. M., </w:t>
      </w:r>
      <w:proofErr w:type="spellStart"/>
      <w:r>
        <w:t>Anahtar</w:t>
      </w:r>
      <w:proofErr w:type="spellEnd"/>
      <w:r>
        <w:t xml:space="preserve">, M. N., Omori, S., Li, A., Cubillos-Ruiz, A., Krishnan, A., Jin, W., Manson, A. L., Friedrichs, J., Helbig, R., Hajian, B., </w:t>
      </w:r>
      <w:proofErr w:type="spellStart"/>
      <w:r>
        <w:t>Fiejtek</w:t>
      </w:r>
      <w:proofErr w:type="spellEnd"/>
      <w:r>
        <w:t xml:space="preserve">, D. K., Wagner, F. F., Soutter, H. H., Earl, A. M., Stokes, J. M., Renner, L. D., … Collins, J. J. (2024). Discovery of a structural class of antibiotics with explainable deep learning. </w:t>
      </w:r>
      <w:r>
        <w:rPr>
          <w:rStyle w:val="Emphasis"/>
        </w:rPr>
        <w:t>Nature, 626</w:t>
      </w:r>
      <w:r>
        <w:t xml:space="preserve">(7997), 177–185. </w:t>
      </w:r>
      <w:hyperlink r:id="rId53" w:tgtFrame="_new" w:history="1">
        <w:r>
          <w:rPr>
            <w:rStyle w:val="Hyperlink"/>
          </w:rPr>
          <w:t>https://doi.org/10.1038/s41586-023-06887-8</w:t>
        </w:r>
      </w:hyperlink>
    </w:p>
    <w:p w14:paraId="1827D2F9" w14:textId="77777777" w:rsidR="00A837FD" w:rsidRDefault="00A837FD" w:rsidP="00A837FD">
      <w:pPr>
        <w:pStyle w:val="NormalWeb"/>
        <w:jc w:val="both"/>
      </w:pPr>
      <w:r>
        <w:t xml:space="preserve">Wouters, O. J., McKee, M., &amp; Luyten, J. (2020). Estimated research and development investment needed to bring a new medicine to market, 2009–2018. </w:t>
      </w:r>
      <w:r>
        <w:rPr>
          <w:rStyle w:val="Emphasis"/>
        </w:rPr>
        <w:t>JAMA, 323</w:t>
      </w:r>
      <w:r>
        <w:t xml:space="preserve">(9), 844–853. </w:t>
      </w:r>
      <w:hyperlink r:id="rId54" w:tgtFrame="_new" w:history="1">
        <w:r>
          <w:rPr>
            <w:rStyle w:val="Hyperlink"/>
          </w:rPr>
          <w:t>https://doi.org/10.1001/jama.2020.1166</w:t>
        </w:r>
      </w:hyperlink>
    </w:p>
    <w:p w14:paraId="4AD566CF" w14:textId="77777777" w:rsidR="00A837FD" w:rsidRPr="00A837FD" w:rsidRDefault="00A837FD" w:rsidP="00A837FD">
      <w:pPr>
        <w:pStyle w:val="NormalWeb"/>
        <w:jc w:val="both"/>
        <w:rPr>
          <w:lang w:val="de-DE"/>
        </w:rPr>
      </w:pPr>
      <w:r>
        <w:t xml:space="preserve">Wu, K., Wu, E., DAndrea, M., Chitale, N., Lim, M., Dabrowski, M., Kantor, K., Rangi, H., Liu, R., </w:t>
      </w:r>
      <w:proofErr w:type="spellStart"/>
      <w:r>
        <w:t>Garmhausen</w:t>
      </w:r>
      <w:proofErr w:type="spellEnd"/>
      <w:r>
        <w:t xml:space="preserve">, M., Pal, N., Harbron, C., Rizzo, S., Copping, R., &amp; Zou, J. (2022). Machine learning prediction of clinical trial operational efficiency. </w:t>
      </w:r>
      <w:r>
        <w:rPr>
          <w:rStyle w:val="Emphasis"/>
        </w:rPr>
        <w:t>The AAPS Journal, 24</w:t>
      </w:r>
      <w:r>
        <w:t xml:space="preserve">(3), 57. </w:t>
      </w:r>
      <w:hyperlink r:id="rId55" w:tgtFrame="_new" w:history="1">
        <w:r w:rsidRPr="00A837FD">
          <w:rPr>
            <w:rStyle w:val="Hyperlink"/>
            <w:lang w:val="de-DE"/>
          </w:rPr>
          <w:t>https://doi.org/10.1208/s12248-022-00703-3</w:t>
        </w:r>
      </w:hyperlink>
    </w:p>
    <w:p w14:paraId="77D5F08F" w14:textId="77777777" w:rsidR="00A837FD" w:rsidRDefault="00A837FD" w:rsidP="00A837FD">
      <w:pPr>
        <w:pStyle w:val="NormalWeb"/>
        <w:jc w:val="both"/>
      </w:pPr>
      <w:r w:rsidRPr="00A837FD">
        <w:rPr>
          <w:lang w:val="de-DE"/>
        </w:rPr>
        <w:t xml:space="preserve">Wu, Z., Ramsundar, B., Feinberg, E. N., Gomes, J., Geniesse, C., Pappu, A. S., Leswing, K., &amp; Pande, V. (2017). </w:t>
      </w:r>
      <w:proofErr w:type="spellStart"/>
      <w:r>
        <w:t>MoleculeNet</w:t>
      </w:r>
      <w:proofErr w:type="spellEnd"/>
      <w:r>
        <w:t xml:space="preserve">: A benchmark for molecular machine learning. </w:t>
      </w:r>
      <w:r>
        <w:rPr>
          <w:rStyle w:val="Emphasis"/>
        </w:rPr>
        <w:t>Chemical Science, 9</w:t>
      </w:r>
      <w:r>
        <w:t xml:space="preserve">(2), 513–530. </w:t>
      </w:r>
      <w:hyperlink r:id="rId56" w:tgtFrame="_new" w:history="1">
        <w:r>
          <w:rPr>
            <w:rStyle w:val="Hyperlink"/>
          </w:rPr>
          <w:t>https://doi.org/10.1039/c7sc02664a</w:t>
        </w:r>
      </w:hyperlink>
    </w:p>
    <w:p w14:paraId="657A8439" w14:textId="77777777" w:rsidR="00A837FD" w:rsidRDefault="00A837FD" w:rsidP="00A837FD">
      <w:pPr>
        <w:pStyle w:val="NormalWeb"/>
        <w:jc w:val="both"/>
      </w:pPr>
      <w:r>
        <w:t xml:space="preserve">Xu, Z., Ren, F., Wang, P., Cao, J., Tan, C., Ma, D., Zhao, L., Dai, J., Ding, Y., Fang, H., Li, H., Liu, H., Luo, F., Meng, Y., Pan, P., Xiang, P., Xiao, Z., Rao, S., Satler, C., … Zhavoronkov, A. (2025). A generative AI-discovered TNIK inhibitor for idiopathic pulmonary fibrosis: A randomized phase 2a trial. </w:t>
      </w:r>
      <w:r>
        <w:rPr>
          <w:rStyle w:val="Emphasis"/>
        </w:rPr>
        <w:t>Nature Medicine, 31</w:t>
      </w:r>
      <w:r>
        <w:t xml:space="preserve">, 2602–2610. </w:t>
      </w:r>
      <w:hyperlink r:id="rId57" w:tgtFrame="_new" w:history="1">
        <w:r>
          <w:rPr>
            <w:rStyle w:val="Hyperlink"/>
          </w:rPr>
          <w:t>https://doi.org/10.1038/s41591-025-03743-2</w:t>
        </w:r>
      </w:hyperlink>
    </w:p>
    <w:p w14:paraId="282F7CAA" w14:textId="77777777" w:rsidR="00A837FD" w:rsidRDefault="00A837FD" w:rsidP="00A837FD">
      <w:pPr>
        <w:pStyle w:val="NormalWeb"/>
        <w:jc w:val="both"/>
      </w:pPr>
      <w:proofErr w:type="spellStart"/>
      <w:r>
        <w:t>Yasgar</w:t>
      </w:r>
      <w:proofErr w:type="spellEnd"/>
      <w:r>
        <w:t xml:space="preserve">, A., Jain, S., Davies, M., Danchik, C., Niehoff, T., Ran, J., Rai, G., Yang, S.-M., Simeonov, A., Zakharov, A. V., &amp; Martinez, N. J. (2025). Integrated approach of machine learning and high-throughput screening to identify chemical probe candidates targeting aldehyde dehydrogenases. </w:t>
      </w:r>
      <w:r>
        <w:rPr>
          <w:rStyle w:val="Emphasis"/>
        </w:rPr>
        <w:t>ACS Pharmacology &amp; Translational Science, 8</w:t>
      </w:r>
      <w:r>
        <w:t>(10), 3568–3584. https://doi.org/10.1021/acsptsci.5c00395</w:t>
      </w:r>
    </w:p>
    <w:p w14:paraId="40CE4632" w14:textId="77777777" w:rsidR="00A837FD" w:rsidRDefault="00A837FD" w:rsidP="00A837FD">
      <w:pPr>
        <w:pStyle w:val="NormalWeb"/>
        <w:jc w:val="both"/>
      </w:pPr>
      <w:r>
        <w:t xml:space="preserve">Zhavoronkov, A., Ivanenkov, Y. A., </w:t>
      </w:r>
      <w:proofErr w:type="spellStart"/>
      <w:r>
        <w:t>Aliper</w:t>
      </w:r>
      <w:proofErr w:type="spellEnd"/>
      <w:r>
        <w:t xml:space="preserve">, A., Veselov, M. S., </w:t>
      </w:r>
      <w:proofErr w:type="spellStart"/>
      <w:r>
        <w:t>Aladinskiy</w:t>
      </w:r>
      <w:proofErr w:type="spellEnd"/>
      <w:r>
        <w:t xml:space="preserve">, V. A., </w:t>
      </w:r>
      <w:proofErr w:type="spellStart"/>
      <w:r>
        <w:t>Aladinskaya</w:t>
      </w:r>
      <w:proofErr w:type="spellEnd"/>
      <w:r>
        <w:t xml:space="preserve">, A. V., Terentiev, V. A., </w:t>
      </w:r>
      <w:proofErr w:type="spellStart"/>
      <w:r>
        <w:t>Polykovskiy</w:t>
      </w:r>
      <w:proofErr w:type="spellEnd"/>
      <w:r>
        <w:t xml:space="preserve">, D. A., Kuznetsov, M. D., </w:t>
      </w:r>
      <w:proofErr w:type="spellStart"/>
      <w:r>
        <w:t>Asadulaev</w:t>
      </w:r>
      <w:proofErr w:type="spellEnd"/>
      <w:r>
        <w:t xml:space="preserve">, A., Volkov, Y., </w:t>
      </w:r>
      <w:proofErr w:type="spellStart"/>
      <w:r>
        <w:t>Zholus</w:t>
      </w:r>
      <w:proofErr w:type="spellEnd"/>
      <w:r>
        <w:t xml:space="preserve">, A., </w:t>
      </w:r>
      <w:proofErr w:type="spellStart"/>
      <w:r>
        <w:t>Shayakhmetov</w:t>
      </w:r>
      <w:proofErr w:type="spellEnd"/>
      <w:r>
        <w:t xml:space="preserve">, R. R., </w:t>
      </w:r>
      <w:proofErr w:type="spellStart"/>
      <w:r>
        <w:t>Zhebrak</w:t>
      </w:r>
      <w:proofErr w:type="spellEnd"/>
      <w:r>
        <w:t xml:space="preserve">, A., Minaeva, L. I., </w:t>
      </w:r>
      <w:proofErr w:type="spellStart"/>
      <w:r>
        <w:t>Zagribelnyy</w:t>
      </w:r>
      <w:proofErr w:type="spellEnd"/>
      <w:r>
        <w:t xml:space="preserve">, B. A., Lee, L. H., Soll, R., Madge, D., … </w:t>
      </w:r>
      <w:proofErr w:type="spellStart"/>
      <w:r>
        <w:t>Aspuru-Guzik</w:t>
      </w:r>
      <w:proofErr w:type="spellEnd"/>
      <w:r>
        <w:t xml:space="preserve">, A. (2019). Deep learning enables rapid identification of potent DDR1 kinase inhibitors. </w:t>
      </w:r>
      <w:r>
        <w:rPr>
          <w:rStyle w:val="Emphasis"/>
        </w:rPr>
        <w:t>Nature Biotechnology, 37</w:t>
      </w:r>
      <w:r>
        <w:t xml:space="preserve">, 1038–1040. </w:t>
      </w:r>
      <w:hyperlink r:id="rId58" w:tgtFrame="_new" w:history="1">
        <w:r>
          <w:rPr>
            <w:rStyle w:val="Hyperlink"/>
          </w:rPr>
          <w:t>https://doi.org/10.1038/s41587-019-0224-x</w:t>
        </w:r>
      </w:hyperlink>
    </w:p>
    <w:p w14:paraId="18DD2A00" w14:textId="79EF5A04" w:rsidR="006A12D8" w:rsidRDefault="006A12D8" w:rsidP="00A837FD">
      <w:pPr>
        <w:jc w:val="both"/>
        <w:rPr>
          <w:rFonts w:ascii="Times New Roman" w:eastAsia="Times New Roman" w:hAnsi="Times New Roman" w:cs="Times New Roman"/>
        </w:rPr>
      </w:pPr>
    </w:p>
    <w:sectPr w:rsidR="006A12D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D8DAF" w14:textId="77777777" w:rsidR="00E2047D" w:rsidRDefault="00E2047D" w:rsidP="003015E7">
      <w:pPr>
        <w:spacing w:after="0" w:line="240" w:lineRule="auto"/>
      </w:pPr>
      <w:r>
        <w:separator/>
      </w:r>
    </w:p>
  </w:endnote>
  <w:endnote w:type="continuationSeparator" w:id="0">
    <w:p w14:paraId="355B5CC4" w14:textId="77777777" w:rsidR="00E2047D" w:rsidRDefault="00E2047D" w:rsidP="00301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01FD637E-6240-41E7-9B77-47F06FA4E2E2}"/>
    <w:embedBold r:id="rId2" w:fontKey="{5D813021-5978-46C5-8B8C-CF06DBB45BB9}"/>
    <w:embedItalic r:id="rId3" w:fontKey="{B5BC3B3C-4416-4639-AEF3-4677B4779DDE}"/>
    <w:embedBoldItalic r:id="rId4" w:fontKey="{B661F7F0-A062-4D73-8F3E-B0E19CD52C02}"/>
  </w:font>
  <w:font w:name="Calibri">
    <w:panose1 w:val="020F0502020204030204"/>
    <w:charset w:val="00"/>
    <w:family w:val="swiss"/>
    <w:pitch w:val="variable"/>
    <w:sig w:usb0="E4002EFF" w:usb1="C200247B" w:usb2="00000009" w:usb3="00000000" w:csb0="000001FF" w:csb1="00000000"/>
    <w:embedRegular r:id="rId5" w:fontKey="{9D045B2B-516A-4A7C-8036-C69C5E5A4B1E}"/>
    <w:embedBold r:id="rId6" w:fontKey="{D0671E40-D7E8-491E-B99C-09D34791861D}"/>
    <w:embedItalic r:id="rId7" w:fontKey="{B3A5039A-0DA1-4AC2-B1D1-A9805C4D7329}"/>
    <w:embedBoldItalic r:id="rId8" w:fontKey="{61181E64-6F31-4B5F-94BD-F028A616E2B2}"/>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rdo">
    <w:charset w:val="00"/>
    <w:family w:val="auto"/>
    <w:pitch w:val="default"/>
    <w:embedRegular r:id="rId9" w:fontKey="{CBFF2EAF-2E6B-415F-925D-6E23C2B8F6B9}"/>
  </w:font>
  <w:font w:name="Gungsuh">
    <w:charset w:val="81"/>
    <w:family w:val="roman"/>
    <w:pitch w:val="variable"/>
    <w:sig w:usb0="B00002AF" w:usb1="69D77CFB" w:usb2="00000030" w:usb3="00000000" w:csb0="0008009F" w:csb1="00000000"/>
    <w:embedRegular r:id="rId10" w:subsetted="1" w:fontKey="{1FE319AC-7CF6-4334-A1EE-E627F045D90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D5D3" w14:textId="77777777" w:rsidR="003015E7" w:rsidRDefault="00301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6F9E" w14:textId="77777777" w:rsidR="003015E7" w:rsidRDefault="00301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04B0" w14:textId="77777777" w:rsidR="003015E7" w:rsidRDefault="00301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748FC" w14:textId="77777777" w:rsidR="00E2047D" w:rsidRDefault="00E2047D" w:rsidP="003015E7">
      <w:pPr>
        <w:spacing w:after="0" w:line="240" w:lineRule="auto"/>
      </w:pPr>
      <w:r>
        <w:separator/>
      </w:r>
    </w:p>
  </w:footnote>
  <w:footnote w:type="continuationSeparator" w:id="0">
    <w:p w14:paraId="0D104755" w14:textId="77777777" w:rsidR="00E2047D" w:rsidRDefault="00E2047D" w:rsidP="00301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D60F3" w14:textId="77777777" w:rsidR="003015E7" w:rsidRDefault="00E2047D">
    <w:pPr>
      <w:pStyle w:val="Header"/>
    </w:pPr>
    <w:r>
      <w:rPr>
        <w:noProof/>
      </w:rPr>
      <w:pict w14:anchorId="3CD30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7" o:spid="_x0000_s2050"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03E1F" w14:textId="77777777" w:rsidR="003015E7" w:rsidRDefault="00E2047D">
    <w:pPr>
      <w:pStyle w:val="Header"/>
    </w:pPr>
    <w:r>
      <w:rPr>
        <w:noProof/>
      </w:rPr>
      <w:pict w14:anchorId="07255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8" o:spid="_x0000_s2051"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011FF" w14:textId="77777777" w:rsidR="003015E7" w:rsidRDefault="00E2047D">
    <w:pPr>
      <w:pStyle w:val="Header"/>
    </w:pPr>
    <w:r>
      <w:rPr>
        <w:noProof/>
      </w:rPr>
      <w:pict w14:anchorId="3DE98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6" o:spid="_x0000_s2049"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E7769"/>
    <w:multiLevelType w:val="multilevel"/>
    <w:tmpl w:val="7780EDD6"/>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E162C7"/>
    <w:multiLevelType w:val="multilevel"/>
    <w:tmpl w:val="4E9AD3A0"/>
    <w:lvl w:ilvl="0">
      <w:start w:val="1"/>
      <w:numFmt w:val="decimal"/>
      <w:pStyle w:val="ListBullet"/>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6D4246D1"/>
    <w:multiLevelType w:val="multilevel"/>
    <w:tmpl w:val="F9B07D82"/>
    <w:lvl w:ilvl="0">
      <w:start w:val="1"/>
      <w:numFmt w:val="lowerRoman"/>
      <w:pStyle w:val="ListBullet2"/>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Q0NbAwtDC3tDQzNDdX0lEKTi0uzszPAykwrAUAXpRskCwAAAA="/>
  </w:docVars>
  <w:rsids>
    <w:rsidRoot w:val="006A12D8"/>
    <w:rsid w:val="000D0BE7"/>
    <w:rsid w:val="0011226D"/>
    <w:rsid w:val="00112FA9"/>
    <w:rsid w:val="001D6DC1"/>
    <w:rsid w:val="00202679"/>
    <w:rsid w:val="0021274A"/>
    <w:rsid w:val="00296DF4"/>
    <w:rsid w:val="002C2822"/>
    <w:rsid w:val="003015E7"/>
    <w:rsid w:val="0033296B"/>
    <w:rsid w:val="006A12D8"/>
    <w:rsid w:val="006C1B46"/>
    <w:rsid w:val="00723DDB"/>
    <w:rsid w:val="0079067C"/>
    <w:rsid w:val="009A631C"/>
    <w:rsid w:val="00A61D85"/>
    <w:rsid w:val="00A837FD"/>
    <w:rsid w:val="00C3280E"/>
    <w:rsid w:val="00E2047D"/>
    <w:rsid w:val="00E543D2"/>
    <w:rsid w:val="00E9576B"/>
    <w:rsid w:val="00EA08AF"/>
    <w:rsid w:val="00EA1CED"/>
    <w:rsid w:val="00FA3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6ADD2A"/>
  <w15:docId w15:val="{E262E376-3A0E-408F-B926-62B0E2E5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A837F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A837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98/rsif.2017.0387" TargetMode="External"/><Relationship Id="rId26" Type="http://schemas.openxmlformats.org/officeDocument/2006/relationships/hyperlink" Target="https://doi.org/10.1021/acs.jmedchem.4c02941" TargetMode="External"/><Relationship Id="rId39" Type="http://schemas.openxmlformats.org/officeDocument/2006/relationships/hyperlink" Target="https://doi.org/10.1039/d2sc05709c" TargetMode="External"/><Relationship Id="rId21" Type="http://schemas.openxmlformats.org/officeDocument/2006/relationships/hyperlink" Target="https://doi.org/10.1016/j.jhealeco.2016.01.012" TargetMode="External"/><Relationship Id="rId34" Type="http://schemas.openxmlformats.org/officeDocument/2006/relationships/hyperlink" Target="https://doi.org/10.1016/j.drudis.2024.104009" TargetMode="External"/><Relationship Id="rId42" Type="http://schemas.openxmlformats.org/officeDocument/2006/relationships/hyperlink" Target="https://doi.org/10.1186/s12967-016-0838-4" TargetMode="External"/><Relationship Id="rId47" Type="http://schemas.openxmlformats.org/officeDocument/2006/relationships/hyperlink" Target="https://doi.org/10.1093/nar/gkab1061" TargetMode="External"/><Relationship Id="rId50" Type="http://schemas.openxmlformats.org/officeDocument/2006/relationships/hyperlink" Target="https://doi.org/10.1038/s41564-024-01907-3" TargetMode="External"/><Relationship Id="rId55" Type="http://schemas.openxmlformats.org/officeDocument/2006/relationships/hyperlink" Target="https://doi.org/10.1208/s12248-022-0070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57-021-00716-z" TargetMode="External"/><Relationship Id="rId29" Type="http://schemas.openxmlformats.org/officeDocument/2006/relationships/hyperlink" Target="https://doi.org/10.1038/s42256-020-00236-4" TargetMode="External"/><Relationship Id="rId11" Type="http://schemas.openxmlformats.org/officeDocument/2006/relationships/footer" Target="footer1.xml"/><Relationship Id="rId24" Type="http://schemas.openxmlformats.org/officeDocument/2006/relationships/hyperlink" Target="https://doi.org/10.48550/arXiv.1803.09010" TargetMode="External"/><Relationship Id="rId32" Type="http://schemas.openxmlformats.org/officeDocument/2006/relationships/hyperlink" Target="https://doi.org/10.1158/2159-8290.CD-21-0538" TargetMode="External"/><Relationship Id="rId37" Type="http://schemas.openxmlformats.org/officeDocument/2006/relationships/hyperlink" Target="https://doi.org/10.3389/fphar.2020.565644" TargetMode="External"/><Relationship Id="rId40" Type="http://schemas.openxmlformats.org/officeDocument/2006/relationships/hyperlink" Target="https://doi.org/10.1126/science.aat2663" TargetMode="External"/><Relationship Id="rId45" Type="http://schemas.openxmlformats.org/officeDocument/2006/relationships/hyperlink" Target="https://doi.org/10.1016/j.cell.2020.01.021" TargetMode="External"/><Relationship Id="rId53" Type="http://schemas.openxmlformats.org/officeDocument/2006/relationships/hyperlink" Target="https://doi.org/10.1038/s41586-023-06887-8" TargetMode="External"/><Relationship Id="rId58" Type="http://schemas.openxmlformats.org/officeDocument/2006/relationships/hyperlink" Target="https://doi.org/10.1038/s41587-019-0224-x" TargetMode="External"/><Relationship Id="rId5" Type="http://schemas.openxmlformats.org/officeDocument/2006/relationships/webSettings" Target="webSettings.xml"/><Relationship Id="rId19" Type="http://schemas.openxmlformats.org/officeDocument/2006/relationships/hyperlink" Target="https://doi.org/10.1136/bmj-2023-07837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21/acs.jmedchem.1c01683" TargetMode="External"/><Relationship Id="rId27" Type="http://schemas.openxmlformats.org/officeDocument/2006/relationships/hyperlink" Target="https://doi.org/10.2196/80072" TargetMode="External"/><Relationship Id="rId30" Type="http://schemas.openxmlformats.org/officeDocument/2006/relationships/hyperlink" Target="https://doi.org/10.1038/s41586-021-03819-2" TargetMode="External"/><Relationship Id="rId35" Type="http://schemas.openxmlformats.org/officeDocument/2006/relationships/hyperlink" Target="https://doi.org/10.1038/s41467-022-34692-w" TargetMode="External"/><Relationship Id="rId43" Type="http://schemas.openxmlformats.org/officeDocument/2006/relationships/hyperlink" Target="https://doi.org/10.1021/acscentsci.9b00576" TargetMode="External"/><Relationship Id="rId48" Type="http://schemas.openxmlformats.org/officeDocument/2006/relationships/hyperlink" Target="https://doi.org/10.1038/s41573-019-0024-5" TargetMode="External"/><Relationship Id="rId56" Type="http://schemas.openxmlformats.org/officeDocument/2006/relationships/hyperlink" Target="https://doi.org/10.1039/c7sc02664a" TargetMode="External"/><Relationship Id="rId8" Type="http://schemas.openxmlformats.org/officeDocument/2006/relationships/image" Target="media/image1.png"/><Relationship Id="rId51" Type="http://schemas.openxmlformats.org/officeDocument/2006/relationships/hyperlink" Target="https://doi.org/10.1021/acs.jmedchem.5c01972"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21/acs.jcim.8b00839" TargetMode="External"/><Relationship Id="rId25" Type="http://schemas.openxmlformats.org/officeDocument/2006/relationships/hyperlink" Target="https://doi.org/10.1039/d4md00106k" TargetMode="External"/><Relationship Id="rId33" Type="http://schemas.openxmlformats.org/officeDocument/2006/relationships/hyperlink" Target="https://doi.org/10.1016/j.cell.2025.07.033" TargetMode="External"/><Relationship Id="rId38" Type="http://schemas.openxmlformats.org/officeDocument/2006/relationships/hyperlink" Target="https://doi.org/10.1038/nrd.2018.168" TargetMode="External"/><Relationship Id="rId46" Type="http://schemas.openxmlformats.org/officeDocument/2006/relationships/hyperlink" Target="https://doi.org/10.1021/acs.jcim.2c01073" TargetMode="External"/><Relationship Id="rId59" Type="http://schemas.openxmlformats.org/officeDocument/2006/relationships/fontTable" Target="fontTable.xml"/><Relationship Id="rId20" Type="http://schemas.openxmlformats.org/officeDocument/2006/relationships/hyperlink" Target="https://doi.org/10.26633/RPSP.2024.12" TargetMode="External"/><Relationship Id="rId41" Type="http://schemas.openxmlformats.org/officeDocument/2006/relationships/hyperlink" Target="https://doi.org/10.1016/j.cell.2024.05.013" TargetMode="External"/><Relationship Id="rId54" Type="http://schemas.openxmlformats.org/officeDocument/2006/relationships/hyperlink" Target="https://doi.org/10.1001/jama.2020.11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371/journal.pbio.1002165" TargetMode="External"/><Relationship Id="rId28" Type="http://schemas.openxmlformats.org/officeDocument/2006/relationships/hyperlink" Target="https://doi.org/10.1038/s44386-025-00007-4" TargetMode="External"/><Relationship Id="rId36" Type="http://schemas.openxmlformats.org/officeDocument/2006/relationships/hyperlink" Target="https://doi.org/10.1038/s41591-020-1034-x" TargetMode="External"/><Relationship Id="rId49" Type="http://schemas.openxmlformats.org/officeDocument/2006/relationships/hyperlink" Target="https://doi.org/10.1021/acs.jcim.7b00403" TargetMode="External"/><Relationship Id="rId57" Type="http://schemas.openxmlformats.org/officeDocument/2006/relationships/hyperlink" Target="https://doi.org/10.1038/s41591-025-03743-2" TargetMode="External"/><Relationship Id="rId10" Type="http://schemas.openxmlformats.org/officeDocument/2006/relationships/header" Target="header2.xml"/><Relationship Id="rId31" Type="http://schemas.openxmlformats.org/officeDocument/2006/relationships/hyperlink" Target="https://doi.org/10.24820/ark.5550190.p011.304" TargetMode="External"/><Relationship Id="rId44" Type="http://schemas.openxmlformats.org/officeDocument/2006/relationships/hyperlink" Target="https://doi.org/10.1038/nature25978" TargetMode="External"/><Relationship Id="rId52" Type="http://schemas.openxmlformats.org/officeDocument/2006/relationships/hyperlink" Target="https://doi.org/10.1093/biostatistics/kxx069"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M3C5BLGqw6ZzpvKGFYI5dkSkg==">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20</Pages>
  <Words>9257</Words>
  <Characters>52765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1020</cp:lastModifiedBy>
  <cp:revision>19</cp:revision>
  <dcterms:created xsi:type="dcterms:W3CDTF">2013-12-23T23:15:00Z</dcterms:created>
  <dcterms:modified xsi:type="dcterms:W3CDTF">2026-04-06T12:08:00Z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52c5778d-263b-4351-ac09-f8ca4610c0e7</vt:lpwstr>
  </property>
</Properties>
</file>