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95B" w:rsidRDefault="001C0DA4" w:rsidP="001D1D16">
      <w:pPr>
        <w:pStyle w:val="CustomTitle"/>
        <w:jc w:val="both"/>
      </w:pPr>
      <w:r>
        <w:t>Management Challenges and Surgical Role in Hidradenitis Suppurativa: A Comprehensive Review</w:t>
      </w:r>
    </w:p>
    <w:p w:rsidR="003835D9" w:rsidRDefault="003835D9" w:rsidP="001D1D16">
      <w:pPr>
        <w:pStyle w:val="Heading1"/>
        <w:jc w:val="both"/>
        <w:rPr>
          <w:rFonts w:ascii="Times New Roman" w:hAnsi="Times New Roman" w:cs="Times New Roman"/>
        </w:rPr>
      </w:pPr>
    </w:p>
    <w:p w:rsidR="007E195B" w:rsidRDefault="001C0DA4" w:rsidP="001D1D16">
      <w:pPr>
        <w:pStyle w:val="Heading1"/>
        <w:jc w:val="both"/>
      </w:pPr>
      <w:r>
        <w:rPr>
          <w:rFonts w:ascii="Times New Roman" w:hAnsi="Times New Roman" w:cs="Times New Roman"/>
        </w:rPr>
        <w:t>Abstract</w:t>
      </w:r>
    </w:p>
    <w:p w:rsidR="007E195B" w:rsidRDefault="001C0DA4" w:rsidP="001D1D16">
      <w:pPr>
        <w:spacing w:after="160"/>
        <w:jc w:val="both"/>
      </w:pPr>
      <w:r>
        <w:t>Hidradenitis suppurativa is a chronic, relapsing, inflammatory disorder of the follicular unit that produces painful nodules, abscesses, draining tunnels and permanent scarring in intertriginous skin. Despite substantial therapeutic progress, disease control remains difficult because hidradenitis suppurativa is clinically heterogeneous, commonly diagnosed late, tightly linked to obesity, smoking and metabolic comorbidity, and associated with a symptom burden that extends beyond inflammatory lesion counts to pain, odour, drainage, psychosocial distress and functional limitation. Medical therapy has expanded from antibiotics and adjunctive anti-inflammatory regimens to biologics and emerging targeted small molecules, yet established tunnels and scarred tissue often remain only partially reversible. For this reason, surgery should not be regarded solely as salvage therapy for end-stage disease, but as a core component of staged management for selected lesions and anatomical regions.</w:t>
      </w:r>
      <w:r w:rsidR="001D1D16">
        <w:t xml:space="preserve"> </w:t>
      </w:r>
      <w:r>
        <w:t>This narrative review examines the principal management challenges in hidradenitis suppurativa and critically appraises the contemporary role of surgery within an integrated care pathway. A structured literature search of PubMed, Scopus, Web of Science and Google Scholar was undertaken for publications from January 2000 to March 2026, with emphasis on guidelines, randomised trials, meta-analyses, cohort studies and recent high-quality reviews relevant to epidemiology, burden, medical therapy and operative care. The review discusses why current treatment pathways often fail, including diagnostic delay, discordance between inflammatory activity and structural damage, limitations of conventional outcome measures, fragmentation of multidisciplinary care and variable access to procedural expertise. It then evaluates deroofing, limited excision, wide excision, laser-based procedures and reconstructive strategies, alongside perioperative integration with systemic therapy.</w:t>
      </w:r>
      <w:r>
        <w:br/>
        <w:t>The available evidence supports a shift from a linear “medical first, surgery last” model towards phenotype-driven, anatomy-specific and temporally coordinated care. Tissue-sparing procedures are valuable for localised tunnels and recurrent nodules, whereas wide excision remains important for extensive tunnelled or scarred disease. Reconstruction and wound-healing choices should be individualised according to site, contamination, function and patient goals. Perioperative biologic therapy, particularly adalimumab in selected candidates, appears feasible without mandatory interruption. The best long-term outcomes are most likely to arise from early recognition of irreversible lesions, joint planning by dermatology and surgery, rigorous risk-factor optimisation and continued postoperative medical suppression of disease activity beyond the operative field.</w:t>
      </w:r>
    </w:p>
    <w:p w:rsidR="007E195B" w:rsidRDefault="001C0DA4" w:rsidP="001D1D16">
      <w:pPr>
        <w:spacing w:after="200"/>
        <w:jc w:val="both"/>
      </w:pPr>
      <w:r>
        <w:t>Keywords: hidradenitis suppurativa; acne inversa; surgery; deroofing; wide excision; biologics; multidisciplinary care; narrative review</w:t>
      </w:r>
    </w:p>
    <w:p w:rsidR="007E195B" w:rsidRDefault="001C0DA4" w:rsidP="001D1D16">
      <w:pPr>
        <w:pStyle w:val="Heading1"/>
        <w:jc w:val="both"/>
      </w:pPr>
      <w:r>
        <w:rPr>
          <w:rFonts w:ascii="Times New Roman" w:hAnsi="Times New Roman" w:cs="Times New Roman"/>
        </w:rPr>
        <w:lastRenderedPageBreak/>
        <w:t>1. Introduction</w:t>
      </w:r>
    </w:p>
    <w:p w:rsidR="007E195B" w:rsidRDefault="001C0DA4" w:rsidP="001D1D16">
      <w:pPr>
        <w:jc w:val="both"/>
      </w:pPr>
      <w:r>
        <w:t>Hidradenitis suppurativa (HS), also known as acne inversa, is a chronic inflammatory disease of the folliculopilosebaceous unit characterised by recurrent painful nodules, abscesses, draining tunnels and scarring that predominantly involve the axillae, groin, perineum, buttocks and inframammary folds. Although HS has been recognised for decades, its contemporary framing as a systemic inflammatory disease with strong mechanical, metabolic and psychosocial dimensions has transformed the way clinicians interpret its natural history and therapeutic needs (Nguyen et al., 2021; Nielsen et al., 2024). The condition is neither rare in community terms nor trivial in consequence. Systematic syntheses suggest a marked variation in reported prevalence across study designs and populations, reflecting under-recognition, inconsistent ascertainment and differences between questionnaire-based and clinician-confirmed estimates (</w:t>
      </w:r>
      <w:proofErr w:type="spellStart"/>
      <w:r>
        <w:t>Jfri</w:t>
      </w:r>
      <w:proofErr w:type="spellEnd"/>
      <w:r>
        <w:t xml:space="preserve"> et al., 2021). What is consistent, however, is the substantial burden carried by affected patients.</w:t>
      </w:r>
      <w:r w:rsidR="001D1D16">
        <w:t xml:space="preserve"> </w:t>
      </w:r>
      <w:r w:rsidR="001D1D16" w:rsidRPr="00BE19CA">
        <w:rPr>
          <w:rFonts w:ascii="Cambria" w:hAnsi="Cambria"/>
          <w:color w:val="1B1B1B"/>
          <w:sz w:val="22"/>
          <w:szCs w:val="28"/>
          <w:highlight w:val="yellow"/>
          <w:shd w:val="clear" w:color="auto" w:fill="FFFFFF"/>
        </w:rPr>
        <w:t>HS occurs as a result of the destruction of hair follicles, leading to a severe acute inflammatory response and sebaceous gland destruction. Subsequently, the patient develops painful abscesses, sinus tracts, fibrosis, hypertrophic scars, and nodules.</w:t>
      </w:r>
      <w:r w:rsidR="001D1D16" w:rsidRPr="00BE19CA">
        <w:rPr>
          <w:rFonts w:ascii="Cambria" w:hAnsi="Cambria"/>
          <w:sz w:val="22"/>
          <w:szCs w:val="28"/>
          <w:highlight w:val="yellow"/>
          <w:shd w:val="clear" w:color="auto" w:fill="FFFFFF"/>
        </w:rPr>
        <w:t xml:space="preserve"> </w:t>
      </w:r>
      <w:r w:rsidR="001D1D16" w:rsidRPr="00BE19CA">
        <w:rPr>
          <w:rFonts w:ascii="Cambria" w:hAnsi="Cambria"/>
          <w:color w:val="1B1B1B"/>
          <w:sz w:val="22"/>
          <w:szCs w:val="28"/>
          <w:highlight w:val="yellow"/>
          <w:shd w:val="clear" w:color="auto" w:fill="FFFFFF"/>
        </w:rPr>
        <w:t>Common areas affected include the inguinal region, anogenital area, and breast areola, as well as the inframammary, axillae, and periumbilical regions. In advanced cases, deep tracts may be formed as a result of sinus dissection into fascia and musculature</w:t>
      </w:r>
      <w:r w:rsidR="001D1D16">
        <w:rPr>
          <w:rFonts w:ascii="Cambria" w:hAnsi="Cambria"/>
          <w:color w:val="1B1B1B"/>
          <w:sz w:val="22"/>
          <w:szCs w:val="28"/>
          <w:highlight w:val="yellow"/>
          <w:shd w:val="clear" w:color="auto" w:fill="FFFFFF"/>
        </w:rPr>
        <w:t xml:space="preserve"> (</w:t>
      </w:r>
      <w:r w:rsidR="001D1D16" w:rsidRPr="007C6240">
        <w:rPr>
          <w:rFonts w:ascii="Consolas" w:eastAsia="Times New Roman" w:hAnsi="Consolas"/>
          <w:color w:val="1B1B1B"/>
          <w:sz w:val="20"/>
          <w:szCs w:val="20"/>
          <w:highlight w:val="yellow"/>
        </w:rPr>
        <w:t>Chawla</w:t>
      </w:r>
      <w:r w:rsidR="001D1D16">
        <w:rPr>
          <w:rFonts w:ascii="Consolas" w:eastAsia="Times New Roman" w:hAnsi="Consolas"/>
          <w:color w:val="1B1B1B"/>
          <w:sz w:val="20"/>
          <w:szCs w:val="20"/>
          <w:highlight w:val="yellow"/>
        </w:rPr>
        <w:t xml:space="preserve"> et al., 2022</w:t>
      </w:r>
      <w:r w:rsidR="001D1D16">
        <w:rPr>
          <w:rFonts w:ascii="Cambria" w:hAnsi="Cambria"/>
          <w:color w:val="1B1B1B"/>
          <w:sz w:val="22"/>
          <w:szCs w:val="28"/>
          <w:highlight w:val="yellow"/>
          <w:shd w:val="clear" w:color="auto" w:fill="FFFFFF"/>
        </w:rPr>
        <w:t>)</w:t>
      </w:r>
      <w:r w:rsidR="001D1D16" w:rsidRPr="00BE19CA">
        <w:rPr>
          <w:rFonts w:ascii="Cambria" w:hAnsi="Cambria"/>
          <w:color w:val="1B1B1B"/>
          <w:sz w:val="22"/>
          <w:szCs w:val="28"/>
          <w:highlight w:val="yellow"/>
          <w:shd w:val="clear" w:color="auto" w:fill="FFFFFF"/>
        </w:rPr>
        <w:t>.</w:t>
      </w:r>
    </w:p>
    <w:p w:rsidR="007E195B" w:rsidRDefault="001C0DA4" w:rsidP="001D1D16">
      <w:pPr>
        <w:jc w:val="both"/>
      </w:pPr>
      <w:r>
        <w:t>HS disrupts quality of life through mechanisms that are unusually multifaceted for a dermatological disorder. Pain is often severe and unpredictable, drainage soils clothing and dressings, malodour compounds embarrassment, and scar contracture or lesion location may impair walking, sitting, sexual activity or arm movement. Social isolation, employment difficulty and treatment fatigue are common, while patients frequently report years of ineffective consultations before receiving a confident diagnosis (Kimball, Kirby, et al., 2024; Daveluy &amp; Okoye, 2024; Tsentemeidou et al., 2024). The patient journey is therefore shaped not only by biological inflammation but also by the cumulative consequences of delayed recognition, chronic symptoms and repeated partial responses to therapy.</w:t>
      </w:r>
      <w:r w:rsidR="002564DA">
        <w:t xml:space="preserve"> </w:t>
      </w:r>
      <w:r w:rsidR="002564DA" w:rsidRPr="00BE19CA">
        <w:rPr>
          <w:rFonts w:ascii="Arial" w:hAnsi="Arial" w:cs="Arial"/>
          <w:sz w:val="21"/>
          <w:szCs w:val="21"/>
          <w:highlight w:val="yellow"/>
          <w:shd w:val="clear" w:color="auto" w:fill="FFFFFF"/>
        </w:rPr>
        <w:t xml:space="preserve">Historically, HS </w:t>
      </w:r>
      <w:r w:rsidR="0033055F" w:rsidRPr="0033055F">
        <w:rPr>
          <w:rFonts w:ascii="Arial" w:hAnsi="Arial" w:cs="Arial"/>
          <w:sz w:val="21"/>
          <w:szCs w:val="21"/>
          <w:highlight w:val="yellow"/>
          <w:shd w:val="clear" w:color="auto" w:fill="FFFFFF"/>
        </w:rPr>
        <w:t>was attributed</w:t>
      </w:r>
      <w:r w:rsidR="002564DA" w:rsidRPr="00BE19CA">
        <w:rPr>
          <w:rFonts w:ascii="Arial" w:hAnsi="Arial" w:cs="Arial"/>
          <w:sz w:val="21"/>
          <w:szCs w:val="21"/>
          <w:highlight w:val="yellow"/>
          <w:shd w:val="clear" w:color="auto" w:fill="FFFFFF"/>
        </w:rPr>
        <w:t xml:space="preserve"> </w:t>
      </w:r>
      <w:r w:rsidR="00814DEE" w:rsidRPr="00814DEE">
        <w:rPr>
          <w:rFonts w:ascii="Arial" w:hAnsi="Arial" w:cs="Arial"/>
          <w:sz w:val="21"/>
          <w:szCs w:val="21"/>
          <w:highlight w:val="yellow"/>
          <w:shd w:val="clear" w:color="auto" w:fill="FFFFFF"/>
        </w:rPr>
        <w:t xml:space="preserve">to </w:t>
      </w:r>
      <w:proofErr w:type="gramStart"/>
      <w:r w:rsidR="00814DEE" w:rsidRPr="00814DEE">
        <w:rPr>
          <w:rFonts w:ascii="Arial" w:hAnsi="Arial" w:cs="Arial"/>
          <w:sz w:val="21"/>
          <w:szCs w:val="21"/>
          <w:highlight w:val="yellow"/>
          <w:shd w:val="clear" w:color="auto" w:fill="FFFFFF"/>
        </w:rPr>
        <w:t>apocrine</w:t>
      </w:r>
      <w:r w:rsidR="002564DA" w:rsidRPr="00BE19CA">
        <w:rPr>
          <w:rFonts w:ascii="Arial" w:hAnsi="Arial" w:cs="Arial"/>
          <w:sz w:val="21"/>
          <w:szCs w:val="21"/>
          <w:highlight w:val="yellow"/>
          <w:shd w:val="clear" w:color="auto" w:fill="FFFFFF"/>
        </w:rPr>
        <w:t xml:space="preserve">  gland</w:t>
      </w:r>
      <w:proofErr w:type="gramEnd"/>
      <w:r w:rsidR="002564DA" w:rsidRPr="00BE19CA">
        <w:rPr>
          <w:rFonts w:ascii="Arial" w:hAnsi="Arial" w:cs="Arial"/>
          <w:sz w:val="21"/>
          <w:szCs w:val="21"/>
          <w:highlight w:val="yellow"/>
          <w:shd w:val="clear" w:color="auto" w:fill="FFFFFF"/>
        </w:rPr>
        <w:t xml:space="preserve">  inflammation; however,  current  evidence  implicates  follicular  occlusion  as  the primary  pathogenic  event.  Occlusion leads to cellular debris </w:t>
      </w:r>
      <w:r w:rsidR="00814DEE" w:rsidRPr="00814DEE">
        <w:rPr>
          <w:rFonts w:ascii="Arial" w:hAnsi="Arial" w:cs="Arial"/>
          <w:sz w:val="21"/>
          <w:szCs w:val="21"/>
          <w:highlight w:val="yellow"/>
          <w:shd w:val="clear" w:color="auto" w:fill="FFFFFF"/>
        </w:rPr>
        <w:t xml:space="preserve">accumulation, cyst </w:t>
      </w:r>
      <w:proofErr w:type="gramStart"/>
      <w:r w:rsidR="00814DEE" w:rsidRPr="00814DEE">
        <w:rPr>
          <w:rFonts w:ascii="Arial" w:hAnsi="Arial" w:cs="Arial"/>
          <w:sz w:val="21"/>
          <w:szCs w:val="21"/>
          <w:highlight w:val="yellow"/>
          <w:shd w:val="clear" w:color="auto" w:fill="FFFFFF"/>
        </w:rPr>
        <w:t>formation</w:t>
      </w:r>
      <w:r w:rsidR="002564DA" w:rsidRPr="00BE19CA">
        <w:rPr>
          <w:rFonts w:ascii="Arial" w:hAnsi="Arial" w:cs="Arial"/>
          <w:sz w:val="21"/>
          <w:szCs w:val="21"/>
          <w:highlight w:val="yellow"/>
          <w:shd w:val="clear" w:color="auto" w:fill="FFFFFF"/>
        </w:rPr>
        <w:t>,  and</w:t>
      </w:r>
      <w:proofErr w:type="gramEnd"/>
      <w:r w:rsidR="002564DA" w:rsidRPr="00BE19CA">
        <w:rPr>
          <w:rFonts w:ascii="Arial" w:hAnsi="Arial" w:cs="Arial"/>
          <w:sz w:val="21"/>
          <w:szCs w:val="21"/>
          <w:highlight w:val="yellow"/>
          <w:shd w:val="clear" w:color="auto" w:fill="FFFFFF"/>
        </w:rPr>
        <w:t>,  upon  rupture,  triggers  local immune responses, pain, scarring, and, in some cases, malodor.</w:t>
      </w:r>
      <w:r w:rsidR="002564DA" w:rsidRPr="00BE19CA">
        <w:rPr>
          <w:rFonts w:ascii="Arial" w:hAnsi="Arial" w:cs="Arial"/>
          <w:sz w:val="14"/>
          <w:szCs w:val="14"/>
          <w:highlight w:val="yellow"/>
          <w:shd w:val="clear" w:color="auto" w:fill="FFFFFF"/>
        </w:rPr>
        <w:t xml:space="preserve"> </w:t>
      </w:r>
      <w:r w:rsidR="002564DA" w:rsidRPr="00BE19CA">
        <w:rPr>
          <w:rFonts w:ascii="Arial" w:hAnsi="Arial" w:cs="Arial"/>
          <w:sz w:val="21"/>
          <w:szCs w:val="21"/>
          <w:highlight w:val="yellow"/>
          <w:shd w:val="clear" w:color="auto" w:fill="FFFFFF"/>
        </w:rPr>
        <w:t>Pain is a prominent complication, manifesting as both acute nociceptive pain during flares and chronic discomfort, which can progress to reduced mobility and impair work performance and daily activities</w:t>
      </w:r>
      <w:r w:rsidR="002564DA">
        <w:rPr>
          <w:rFonts w:ascii="Arial" w:hAnsi="Arial" w:cs="Arial"/>
          <w:sz w:val="21"/>
          <w:szCs w:val="21"/>
          <w:highlight w:val="yellow"/>
          <w:shd w:val="clear" w:color="auto" w:fill="FFFFFF"/>
        </w:rPr>
        <w:t xml:space="preserve"> (</w:t>
      </w:r>
      <w:proofErr w:type="spellStart"/>
      <w:r w:rsidR="0033055F" w:rsidRPr="00BE19CA">
        <w:rPr>
          <w:rFonts w:ascii="inherit" w:hAnsi="inherit" w:cs="Helvetica"/>
          <w:color w:val="222222"/>
          <w:sz w:val="20"/>
          <w:szCs w:val="18"/>
          <w:highlight w:val="yellow"/>
        </w:rPr>
        <w:t>Ocker</w:t>
      </w:r>
      <w:proofErr w:type="spellEnd"/>
      <w:r w:rsidR="0033055F" w:rsidRPr="00BE19CA">
        <w:rPr>
          <w:rFonts w:ascii="Segoe UI" w:eastAsia="Times New Roman" w:hAnsi="Segoe UI" w:cs="Segoe UI"/>
          <w:sz w:val="22"/>
          <w:szCs w:val="16"/>
          <w:highlight w:val="yellow"/>
        </w:rPr>
        <w:t xml:space="preserve"> et al., 2022; </w:t>
      </w:r>
      <w:r w:rsidR="002564DA" w:rsidRPr="00BE19CA">
        <w:rPr>
          <w:rFonts w:ascii="Segoe UI" w:eastAsia="Times New Roman" w:hAnsi="Segoe UI" w:cs="Segoe UI"/>
          <w:sz w:val="22"/>
          <w:szCs w:val="16"/>
          <w:highlight w:val="yellow"/>
        </w:rPr>
        <w:t>Rivera-Díaz et al., 2025</w:t>
      </w:r>
      <w:r w:rsidR="002564DA">
        <w:rPr>
          <w:rFonts w:ascii="Arial" w:hAnsi="Arial" w:cs="Arial"/>
          <w:sz w:val="21"/>
          <w:szCs w:val="21"/>
          <w:highlight w:val="yellow"/>
          <w:shd w:val="clear" w:color="auto" w:fill="FFFFFF"/>
        </w:rPr>
        <w:t>)</w:t>
      </w:r>
      <w:r w:rsidR="002564DA" w:rsidRPr="00BE19CA">
        <w:rPr>
          <w:rFonts w:ascii="Arial" w:hAnsi="Arial" w:cs="Arial"/>
          <w:sz w:val="21"/>
          <w:szCs w:val="21"/>
          <w:highlight w:val="yellow"/>
          <w:shd w:val="clear" w:color="auto" w:fill="FFFFFF"/>
        </w:rPr>
        <w:t>.</w:t>
      </w:r>
    </w:p>
    <w:p w:rsidR="007E195B" w:rsidRDefault="001C0DA4" w:rsidP="001D1D16">
      <w:pPr>
        <w:jc w:val="both"/>
      </w:pPr>
      <w:r>
        <w:t xml:space="preserve">Management has become more sophisticated over the last decade. Evidence-based guidelines now recommend structured assessment, comorbidity screening, topical and systemic anti-inflammatory therapy, lifestyle modification, wound care, procedural intervention and, in selected patients, biologic treatment (Alikhan et al., 2019a; Alikhan et al., 2019b; Zouboulis et al., 2024). In parallel, randomised trials have established a benchmark evidence base for tumour necrosis factor and interleukin-17 targeting, and newer small-molecule approaches are under active development (Kimball et al., 2016; Kimball et al., 2023; Kimball, Jemec, et al., 2024; Ackerman et al., 2025). Yet this therapeutic expansion has not eliminated the central paradox of HS care: inflammation can often be modulated, but once a region has </w:t>
      </w:r>
      <w:r>
        <w:lastRenderedPageBreak/>
        <w:t>developed persistent tunnels, fibrotic plates and distorted tissue planes, medical therapy alone may not restore normal architecture or durable local control.</w:t>
      </w:r>
    </w:p>
    <w:p w:rsidR="007E195B" w:rsidRDefault="001C0DA4" w:rsidP="001D1D16">
      <w:pPr>
        <w:jc w:val="both"/>
      </w:pPr>
      <w:r>
        <w:t>This paradox explains why surgery remains indispensable. Historically, operative intervention was often reserved for the most advanced or refractory disease, partly because of concerns about wound healing, recurrence and the morbidity of excision in intertriginous areas. Contemporary practice, by contrast, increasingly treats surgery as a strategic modality that can remove irreversible disease, reduce inflammatory load, improve symptoms and complement systemic therapy rather than compete with it (Wong et al., 2024; Mehdizadeh et al., 2015; Riddle et al., 2021). However, the appropriate timing, choice of procedure, reconstructive method and perioperative integration with medical treatment continue to be debated, and real-world access to surgical expertise remains inconsistent.</w:t>
      </w:r>
    </w:p>
    <w:p w:rsidR="007E195B" w:rsidRDefault="001C0DA4" w:rsidP="001D1D16">
      <w:pPr>
        <w:jc w:val="both"/>
      </w:pPr>
      <w:r>
        <w:t>For clinicians, the most difficult questions are therefore no longer simply which drug to prescribe or which operation to perform, but how to sequence, combine and personalise these modalities in a disease that varies by phenotype, anatomical site, comorbidity and stage. A modern review of HS management must address this broader challenge rather than treating surgery as an isolated technical appendix.</w:t>
      </w:r>
    </w:p>
    <w:p w:rsidR="007E195B" w:rsidRDefault="001C0DA4" w:rsidP="001D1D16">
      <w:pPr>
        <w:pStyle w:val="Heading2"/>
        <w:jc w:val="both"/>
      </w:pPr>
      <w:r>
        <w:rPr>
          <w:rFonts w:ascii="Times New Roman" w:hAnsi="Times New Roman" w:cs="Times New Roman"/>
        </w:rPr>
        <w:t>1.1 Scope and objective of the article</w:t>
      </w:r>
    </w:p>
    <w:p w:rsidR="007E195B" w:rsidRDefault="001C0DA4" w:rsidP="001D1D16">
      <w:pPr>
        <w:jc w:val="both"/>
      </w:pPr>
      <w:r>
        <w:t>This review aims to provide an up-to-date, clinically oriented narrative synthesis of the major management challenges in hidradenitis suppurativa and to define the role of surgery within contemporary multidisciplinary care. Particular emphasis is placed on the distinction between reversible inflammatory activity and irreversible tunnelled or scarred disease, the practical integration of medical and operative strategies, and the procedural choices most relevant to dermatologists, surgeons and wound-care teams. The review is intended to support phenotype-driven decision-making rather than to prescribe a rigid algorithm, and it prioritises issues that are central to long-term disease control, patient-centred outcomes and implementation in routine practice.</w:t>
      </w:r>
    </w:p>
    <w:p w:rsidR="007E195B" w:rsidRDefault="001C0DA4" w:rsidP="001D1D16">
      <w:pPr>
        <w:pStyle w:val="Heading1"/>
        <w:jc w:val="both"/>
      </w:pPr>
      <w:r>
        <w:rPr>
          <w:rFonts w:ascii="Times New Roman" w:hAnsi="Times New Roman" w:cs="Times New Roman"/>
        </w:rPr>
        <w:t>2. Methods for literature selection</w:t>
      </w:r>
    </w:p>
    <w:p w:rsidR="007E195B" w:rsidRDefault="001C0DA4" w:rsidP="001D1D16">
      <w:pPr>
        <w:jc w:val="both"/>
      </w:pPr>
      <w:r>
        <w:t>This article was designed as a narrative review rather than a systematic review. The objective was to synthesise the broad clinical and surgical literature on hidradenitis suppurativa, integrate guideline recommendations with trial data, and provide a critical interpretive discussion of management challenges that cannot be captured fully by a narrowly quantitative synthesis. A structured literature search was undertaken in PubMed, Scopus, Web of Science and Google Scholar for publications dated from 1 January 2000 to 31 March 2026. The principal search string combined disease terms with management and procedural terms, including “hidradenitis suppurativa” OR “acne inversa” AND “management”, “surgery”, “deroofing”, “wide excision”, “laser”, “biologic”, “adalimumab”, “secukinumab”, “bimekizumab”, “quality of life”, “diagnostic delay”, “recurrence” and “wound closure”. Priority was given to clinical practice guidelines, randomised trials, meta-analyses, systematic reviews, cohort studies and major narrative reviews from established academic journals. Additional relevant records were identified by hand-searching reference lists of key articles.</w:t>
      </w:r>
    </w:p>
    <w:p w:rsidR="007E195B" w:rsidRDefault="001C0DA4" w:rsidP="001D1D16">
      <w:pPr>
        <w:jc w:val="both"/>
      </w:pPr>
      <w:r>
        <w:lastRenderedPageBreak/>
        <w:t>Publications were included when they directly informed epidemiology, burden of illness, disease assessment, medical treatment, surgery, reconstructive strategy or multidisciplinary care. Conference abstracts, books, grey literature, non-peer-reviewed sources and papers with limited relevance to the review question were excluded. Because the purpose of this review was conceptual integration rather than exhaustive study enumeration, the search was not preregistered, formal risk-of-bias scoring was not applied to every included source, and the final selection was purposive, favouring clinically influential and methodologically informative literature.</w:t>
      </w:r>
      <w:r w:rsidR="00F55DD3">
        <w:t xml:space="preserve"> </w:t>
      </w:r>
      <w:r w:rsidR="00F55DD3" w:rsidRPr="00F55DD3">
        <w:t>Figure 1 explains structured methods of literature selection.</w:t>
      </w:r>
      <w:r w:rsidR="00F55DD3">
        <w:t xml:space="preserve"> </w:t>
      </w:r>
    </w:p>
    <w:p w:rsidR="00F55DD3" w:rsidRPr="00F55DD3" w:rsidRDefault="00F55DD3" w:rsidP="001D1D16">
      <w:pPr>
        <w:spacing w:before="100" w:beforeAutospacing="1" w:after="100" w:afterAutospacing="1" w:line="240" w:lineRule="auto"/>
        <w:jc w:val="both"/>
        <w:rPr>
          <w:rFonts w:eastAsia="Times New Roman"/>
          <w:szCs w:val="24"/>
          <w:lang w:val="en-GB"/>
        </w:rPr>
      </w:pPr>
    </w:p>
    <w:p w:rsidR="00F55DD3" w:rsidRPr="00F55DD3" w:rsidRDefault="00D3667B" w:rsidP="001D1D16">
      <w:pPr>
        <w:spacing w:after="0" w:line="240" w:lineRule="auto"/>
        <w:ind w:left="10" w:right="56" w:hanging="10"/>
        <w:jc w:val="both"/>
        <w:rPr>
          <w:rFonts w:eastAsia="Times New Roman"/>
          <w:color w:val="000000"/>
          <w:kern w:val="2"/>
          <w:szCs w:val="24"/>
          <w:lang w:val="en-GB" w:eastAsia="en-IN"/>
        </w:rPr>
      </w:pPr>
      <w:r>
        <w:rPr>
          <w:rFonts w:eastAsia="Times New Roman"/>
          <w:noProof/>
          <w:color w:val="000000"/>
          <w:kern w:val="2"/>
          <w:szCs w:val="24"/>
          <w:lang w:val="en-GB" w:eastAsia="en-IN"/>
        </w:rPr>
        <w:pict>
          <v:rect id="Rectangle 2" o:spid="_x0000_s1073" style="position:absolute;left:0;text-align:left;margin-left:239.35pt;margin-top:6.05pt;width:183.8pt;height:97.85pt;z-index:2516495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" filled="f" strokeweight="1pt">
            <v:textbox>
              <w:txbxContent>
                <w:p w:rsidR="00E24B67" w:rsidRPr="00F55DD3" w:rsidRDefault="00E24B67" w:rsidP="00F55DD3">
                  <w:pPr>
                    <w:spacing w:after="0" w:line="240" w:lineRule="auto"/>
                    <w:rPr>
                      <w:rFonts w:ascii="Arial" w:hAnsi="Arial" w:cs="Arial"/>
                      <w:color w:val="000000"/>
                      <w:sz w:val="18"/>
                      <w:szCs w:val="20"/>
                    </w:rPr>
                  </w:pPr>
                  <w:r w:rsidRPr="00F55DD3">
                    <w:rPr>
                      <w:rFonts w:ascii="Arial" w:hAnsi="Arial" w:cs="Arial"/>
                      <w:color w:val="000000"/>
                      <w:sz w:val="18"/>
                      <w:szCs w:val="20"/>
                    </w:rPr>
                    <w:t xml:space="preserve">Records removed </w:t>
                  </w:r>
                  <w:r w:rsidRPr="00F55DD3">
                    <w:rPr>
                      <w:rFonts w:ascii="Arial" w:hAnsi="Arial" w:cs="Arial"/>
                      <w:i/>
                      <w:iCs/>
                      <w:color w:val="000000"/>
                      <w:sz w:val="18"/>
                      <w:szCs w:val="20"/>
                    </w:rPr>
                    <w:t>before screening</w:t>
                  </w:r>
                  <w:r w:rsidRPr="00F55DD3">
                    <w:rPr>
                      <w:rFonts w:ascii="Arial" w:hAnsi="Arial" w:cs="Arial"/>
                      <w:color w:val="000000"/>
                      <w:sz w:val="18"/>
                      <w:szCs w:val="20"/>
                    </w:rPr>
                    <w:t>:</w:t>
                  </w:r>
                </w:p>
                <w:p w:rsidR="00E24B67" w:rsidRPr="00F55DD3" w:rsidRDefault="00E24B67" w:rsidP="00F55DD3">
                  <w:pPr>
                    <w:spacing w:after="0" w:line="240" w:lineRule="auto"/>
                    <w:ind w:left="284"/>
                    <w:rPr>
                      <w:rFonts w:ascii="Arial" w:hAnsi="Arial" w:cs="Arial"/>
                      <w:color w:val="000000"/>
                      <w:sz w:val="18"/>
                      <w:szCs w:val="20"/>
                    </w:rPr>
                  </w:pPr>
                  <w:r w:rsidRPr="00F55DD3">
                    <w:rPr>
                      <w:rFonts w:ascii="Arial" w:hAnsi="Arial" w:cs="Arial"/>
                      <w:color w:val="000000"/>
                      <w:sz w:val="18"/>
                      <w:szCs w:val="20"/>
                    </w:rPr>
                    <w:t xml:space="preserve">Duplicate records </w:t>
                  </w:r>
                  <w:proofErr w:type="gramStart"/>
                  <w:r w:rsidRPr="00F55DD3">
                    <w:rPr>
                      <w:rFonts w:ascii="Arial" w:hAnsi="Arial" w:cs="Arial"/>
                      <w:color w:val="000000"/>
                      <w:sz w:val="18"/>
                      <w:szCs w:val="20"/>
                    </w:rPr>
                    <w:t>removed  (</w:t>
                  </w:r>
                  <w:proofErr w:type="gramEnd"/>
                  <w:r w:rsidRPr="00F55DD3">
                    <w:rPr>
                      <w:rFonts w:ascii="Arial" w:hAnsi="Arial" w:cs="Arial"/>
                      <w:color w:val="000000"/>
                      <w:sz w:val="18"/>
                      <w:szCs w:val="20"/>
                    </w:rPr>
                    <w:t>n =148)</w:t>
                  </w:r>
                </w:p>
                <w:p w:rsidR="00E24B67" w:rsidRPr="00F55DD3" w:rsidRDefault="00E24B67" w:rsidP="00F55DD3">
                  <w:pPr>
                    <w:spacing w:after="0" w:line="240" w:lineRule="auto"/>
                    <w:ind w:left="284"/>
                    <w:rPr>
                      <w:rFonts w:ascii="Arial" w:hAnsi="Arial" w:cs="Arial"/>
                      <w:color w:val="000000"/>
                      <w:sz w:val="18"/>
                      <w:szCs w:val="20"/>
                    </w:rPr>
                  </w:pPr>
                  <w:r w:rsidRPr="00F55DD3">
                    <w:rPr>
                      <w:rFonts w:ascii="Arial" w:hAnsi="Arial" w:cs="Arial"/>
                      <w:color w:val="000000"/>
                      <w:sz w:val="18"/>
                      <w:szCs w:val="20"/>
                    </w:rPr>
                    <w:t>Records marked as ineligible (n =34)</w:t>
                  </w:r>
                </w:p>
              </w:txbxContent>
            </v:textbox>
          </v:rect>
        </w:pict>
      </w:r>
      <w:r>
        <w:rPr>
          <w:rFonts w:eastAsia="Times New Roman"/>
          <w:noProof/>
          <w:color w:val="000000"/>
          <w:kern w:val="2"/>
          <w:szCs w:val="24"/>
          <w:lang w:val="en-GB" w:eastAsia="en-IN"/>
        </w:rPr>
        <w:pict>
          <v:rect id="Rectangle 1" o:spid="_x0000_s1074" style="position:absolute;left:0;text-align:left;margin-left:44.05pt;margin-top:6.05pt;width:148.6pt;height:97.9pt;z-index:2516505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" filled="f" strokeweight="1pt">
            <v:textbox>
              <w:txbxContent>
                <w:p w:rsidR="00E24B67" w:rsidRPr="00F55DD3" w:rsidRDefault="00E24B67" w:rsidP="00F55DD3">
                  <w:pPr>
                    <w:spacing w:after="0" w:line="240" w:lineRule="auto"/>
                    <w:rPr>
                      <w:rFonts w:ascii="Arial" w:hAnsi="Arial" w:cs="Arial"/>
                      <w:color w:val="000000"/>
                      <w:sz w:val="18"/>
                      <w:szCs w:val="20"/>
                    </w:rPr>
                  </w:pPr>
                  <w:r w:rsidRPr="00F55DD3">
                    <w:rPr>
                      <w:rFonts w:ascii="Arial" w:hAnsi="Arial" w:cs="Arial"/>
                      <w:color w:val="000000"/>
                      <w:sz w:val="18"/>
                      <w:szCs w:val="20"/>
                    </w:rPr>
                    <w:t>Records identified from:</w:t>
                  </w:r>
                </w:p>
                <w:p w:rsidR="00E24B67" w:rsidRPr="00F55DD3" w:rsidRDefault="00E24B67" w:rsidP="00F55DD3">
                  <w:pPr>
                    <w:spacing w:after="0" w:line="240" w:lineRule="auto"/>
                    <w:ind w:left="284"/>
                    <w:rPr>
                      <w:rFonts w:ascii="Arial" w:hAnsi="Arial" w:cs="Arial"/>
                      <w:color w:val="000000"/>
                      <w:sz w:val="18"/>
                      <w:szCs w:val="20"/>
                    </w:rPr>
                  </w:pPr>
                  <w:r w:rsidRPr="00F55DD3">
                    <w:rPr>
                      <w:rFonts w:ascii="Arial" w:hAnsi="Arial" w:cs="Arial"/>
                      <w:color w:val="000000"/>
                      <w:sz w:val="18"/>
                      <w:szCs w:val="20"/>
                    </w:rPr>
                    <w:t>Databases (n =612)</w:t>
                  </w:r>
                </w:p>
              </w:txbxContent>
            </v:textbox>
          </v:rect>
        </w:pict>
      </w:r>
    </w:p>
    <w:p w:rsidR="00F55DD3" w:rsidRPr="00F55DD3" w:rsidRDefault="00F55DD3" w:rsidP="001D1D16">
      <w:pPr>
        <w:spacing w:after="0" w:line="240" w:lineRule="auto"/>
        <w:ind w:left="10" w:right="56" w:hanging="10"/>
        <w:jc w:val="both"/>
        <w:rPr>
          <w:rFonts w:eastAsia="Times New Roman"/>
          <w:color w:val="000000"/>
          <w:kern w:val="2"/>
          <w:szCs w:val="24"/>
          <w:lang w:val="en-GB" w:eastAsia="en-IN"/>
        </w:rPr>
      </w:pPr>
    </w:p>
    <w:p w:rsidR="00F55DD3" w:rsidRPr="00F55DD3" w:rsidRDefault="00F55DD3" w:rsidP="001D1D16">
      <w:pPr>
        <w:spacing w:after="0" w:line="240" w:lineRule="auto"/>
        <w:ind w:left="10" w:right="56" w:hanging="10"/>
        <w:jc w:val="both"/>
        <w:rPr>
          <w:rFonts w:eastAsia="Times New Roman"/>
          <w:color w:val="000000"/>
          <w:kern w:val="2"/>
          <w:szCs w:val="24"/>
          <w:lang w:val="en-GB" w:eastAsia="en-IN"/>
        </w:rPr>
      </w:pPr>
    </w:p>
    <w:p w:rsidR="00F55DD3" w:rsidRPr="00F55DD3" w:rsidRDefault="00F55DD3" w:rsidP="001D1D16">
      <w:pPr>
        <w:spacing w:after="0" w:line="240" w:lineRule="auto"/>
        <w:ind w:left="10" w:right="56" w:hanging="10"/>
        <w:jc w:val="both"/>
        <w:rPr>
          <w:rFonts w:eastAsia="Times New Roman"/>
          <w:color w:val="000000"/>
          <w:kern w:val="2"/>
          <w:szCs w:val="24"/>
          <w:lang w:val="en-GB" w:eastAsia="en-IN"/>
        </w:rPr>
      </w:pPr>
    </w:p>
    <w:p w:rsidR="00F55DD3" w:rsidRPr="00F55DD3" w:rsidRDefault="00D3667B" w:rsidP="001D1D16">
      <w:pPr>
        <w:spacing w:after="0" w:line="240" w:lineRule="auto"/>
        <w:ind w:left="10" w:right="56" w:hanging="10"/>
        <w:jc w:val="both"/>
        <w:rPr>
          <w:rFonts w:eastAsia="Times New Roman"/>
          <w:color w:val="000000"/>
          <w:kern w:val="2"/>
          <w:szCs w:val="24"/>
          <w:lang w:val="en-GB" w:eastAsia="en-IN"/>
        </w:rPr>
      </w:pPr>
      <w:r>
        <w:rPr>
          <w:rFonts w:eastAsia="Times New Roman"/>
          <w:noProof/>
          <w:color w:val="000000"/>
          <w:kern w:val="2"/>
          <w:szCs w:val="24"/>
          <w:lang w:val="en-GB" w:eastAsia="en-IN"/>
        </w:rPr>
        <w:pict>
          <v:shapetype id="_x0000_t32" coordsize="21600,21600" o:spt="32" o:oned="t" path="m,l21600,21600e" filled="f">
            <v:path arrowok="t" fillok="f" o:connecttype="none"/>
            <o:lock v:ext="edit" shapetype="t"/>
          </v:shapetype>
          <v:shape id="Straight Arrow Connector 14" o:spid="_x0000_s1058" type="#_x0000_t32" style="position:absolute;left:0;text-align:left;margin-left:193.25pt;margin-top:.75pt;width:44.35pt;height:0;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" strokeweight=".5pt">
            <v:stroke endarrow="block" joinstyle="miter"/>
          </v:shape>
        </w:pict>
      </w:r>
    </w:p>
    <w:p w:rsidR="00F55DD3" w:rsidRPr="00F55DD3" w:rsidRDefault="00F55DD3" w:rsidP="001D1D16">
      <w:pPr>
        <w:spacing w:after="0" w:line="240" w:lineRule="auto"/>
        <w:ind w:left="10" w:right="56" w:hanging="10"/>
        <w:jc w:val="both"/>
        <w:rPr>
          <w:rFonts w:eastAsia="Times New Roman"/>
          <w:color w:val="000000"/>
          <w:kern w:val="2"/>
          <w:szCs w:val="24"/>
          <w:lang w:val="en-GB" w:eastAsia="en-IN"/>
        </w:rPr>
      </w:pPr>
    </w:p>
    <w:p w:rsidR="00F55DD3" w:rsidRPr="00F55DD3" w:rsidRDefault="00F55DD3" w:rsidP="001D1D16">
      <w:pPr>
        <w:spacing w:after="0" w:line="240" w:lineRule="auto"/>
        <w:ind w:left="10" w:right="56" w:hanging="10"/>
        <w:jc w:val="both"/>
        <w:rPr>
          <w:rFonts w:eastAsia="Times New Roman"/>
          <w:color w:val="000000"/>
          <w:kern w:val="2"/>
          <w:szCs w:val="24"/>
          <w:lang w:val="en-GB" w:eastAsia="en-IN"/>
        </w:rPr>
      </w:pPr>
    </w:p>
    <w:p w:rsidR="00F55DD3" w:rsidRPr="00F55DD3" w:rsidRDefault="00D3667B" w:rsidP="001D1D16">
      <w:pPr>
        <w:spacing w:after="0" w:line="240" w:lineRule="auto"/>
        <w:ind w:left="10" w:right="56" w:hanging="10"/>
        <w:jc w:val="both"/>
        <w:rPr>
          <w:rFonts w:eastAsia="Times New Roman"/>
          <w:color w:val="000000"/>
          <w:kern w:val="2"/>
          <w:szCs w:val="24"/>
          <w:lang w:val="en-GB" w:eastAsia="en-IN"/>
        </w:rPr>
      </w:pPr>
      <w:r>
        <w:rPr>
          <w:rFonts w:eastAsia="Times New Roman"/>
          <w:noProof/>
          <w:color w:val="000000"/>
          <w:kern w:val="2"/>
          <w:szCs w:val="24"/>
          <w:lang w:val="en-GB" w:eastAsia="en-IN"/>
        </w:rPr>
        <w:pict>
          <v:shape id="Straight Arrow Connector 27" o:spid="_x0000_s1059" type="#_x0000_t32" style="position:absolute;left:0;text-align:left;margin-left:110.25pt;margin-top:10.15pt;width:0;height:22.1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" strokeweight=".5pt">
            <v:stroke endarrow="block" joinstyle="miter"/>
          </v:shape>
        </w:pict>
      </w:r>
    </w:p>
    <w:p w:rsidR="00F55DD3" w:rsidRPr="00F55DD3" w:rsidRDefault="00F55DD3" w:rsidP="001D1D16">
      <w:pPr>
        <w:spacing w:after="0" w:line="240" w:lineRule="auto"/>
        <w:ind w:left="10" w:right="56" w:hanging="10"/>
        <w:jc w:val="both"/>
        <w:rPr>
          <w:rFonts w:eastAsia="Times New Roman"/>
          <w:color w:val="000000"/>
          <w:kern w:val="2"/>
          <w:szCs w:val="24"/>
          <w:lang w:val="en-GB" w:eastAsia="en-IN"/>
        </w:rPr>
      </w:pPr>
    </w:p>
    <w:p w:rsidR="00F55DD3" w:rsidRPr="00F55DD3" w:rsidRDefault="00D3667B" w:rsidP="001D1D16">
      <w:pPr>
        <w:spacing w:after="0" w:line="240" w:lineRule="auto"/>
        <w:ind w:left="10" w:right="56" w:hanging="10"/>
        <w:jc w:val="both"/>
        <w:rPr>
          <w:rFonts w:eastAsia="Times New Roman"/>
          <w:color w:val="000000"/>
          <w:kern w:val="2"/>
          <w:szCs w:val="24"/>
          <w:lang w:val="en-GB" w:eastAsia="en-IN"/>
        </w:rPr>
      </w:pPr>
      <w:r>
        <w:rPr>
          <w:rFonts w:eastAsia="Times New Roman"/>
          <w:noProof/>
          <w:color w:val="000000"/>
          <w:kern w:val="2"/>
          <w:szCs w:val="24"/>
          <w:lang w:val="en-GB" w:eastAsia="en-IN"/>
        </w:rPr>
        <w:pict>
          <v:shape id="Straight Arrow Connector 15" o:spid="_x0000_s1060" type="#_x0000_t32" style="position:absolute;left:0;text-align:left;margin-left:193.2pt;margin-top:25.85pt;width:44.35pt;height:0;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" strokeweight=".5pt">
            <v:stroke endarrow="block" joinstyle="miter"/>
          </v:shape>
        </w:pict>
      </w:r>
      <w:r>
        <w:rPr>
          <w:rFonts w:eastAsia="Times New Roman"/>
          <w:noProof/>
          <w:color w:val="000000"/>
          <w:kern w:val="2"/>
          <w:szCs w:val="24"/>
          <w:lang w:val="en-GB" w:eastAsia="en-IN"/>
        </w:rPr>
        <w:pict>
          <v:rect id="Rectangle 3" o:spid="_x0000_s1061" style="position:absolute;left:0;text-align:left;margin-left:44.05pt;margin-top:5.9pt;width:148.6pt;height:41.45pt;z-index:2516546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s3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" filled="f" strokeweight="1pt">
            <v:textbox>
              <w:txbxContent>
                <w:p w:rsidR="00E24B67" w:rsidRPr="00F55DD3" w:rsidRDefault="00E24B67" w:rsidP="00F55DD3">
                  <w:pPr>
                    <w:spacing w:after="0" w:line="240" w:lineRule="auto"/>
                    <w:rPr>
                      <w:rFonts w:ascii="Arial" w:hAnsi="Arial" w:cs="Arial"/>
                      <w:color w:val="000000"/>
                      <w:sz w:val="18"/>
                      <w:szCs w:val="20"/>
                    </w:rPr>
                  </w:pPr>
                  <w:r w:rsidRPr="00F55DD3">
                    <w:rPr>
                      <w:rFonts w:ascii="Arial" w:hAnsi="Arial" w:cs="Arial"/>
                      <w:color w:val="000000"/>
                      <w:sz w:val="18"/>
                      <w:szCs w:val="20"/>
                    </w:rPr>
                    <w:t>Records screened</w:t>
                  </w:r>
                </w:p>
                <w:p w:rsidR="00E24B67" w:rsidRPr="00F55DD3" w:rsidRDefault="00E24B67" w:rsidP="00F55DD3">
                  <w:pPr>
                    <w:spacing w:after="0" w:line="240" w:lineRule="auto"/>
                    <w:rPr>
                      <w:rFonts w:ascii="Arial" w:hAnsi="Arial" w:cs="Arial"/>
                      <w:color w:val="000000"/>
                      <w:sz w:val="18"/>
                      <w:szCs w:val="20"/>
                    </w:rPr>
                  </w:pPr>
                  <w:r w:rsidRPr="00F55DD3">
                    <w:rPr>
                      <w:rFonts w:ascii="Arial" w:hAnsi="Arial" w:cs="Arial"/>
                      <w:color w:val="000000"/>
                      <w:sz w:val="18"/>
                      <w:szCs w:val="20"/>
                    </w:rPr>
                    <w:t>(n =430)</w:t>
                  </w:r>
                </w:p>
              </w:txbxContent>
            </v:textbox>
          </v:rect>
        </w:pict>
      </w:r>
      <w:r>
        <w:rPr>
          <w:rFonts w:eastAsia="Times New Roman"/>
          <w:noProof/>
          <w:color w:val="000000"/>
          <w:kern w:val="2"/>
          <w:szCs w:val="24"/>
          <w:lang w:val="en-GB" w:eastAsia="en-IN"/>
        </w:rPr>
        <w:pict>
          <v:rect id="Rectangle 4" o:spid="_x0000_s1062" style="position:absolute;left:0;text-align:left;margin-left:240pt;margin-top:5.9pt;width:148.6pt;height:41.45pt;z-index:2516556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6hgIAAHA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" filled="f" strokeweight="1pt">
            <v:textbox>
              <w:txbxContent>
                <w:p w:rsidR="00E24B67" w:rsidRPr="00F55DD3" w:rsidRDefault="00E24B67" w:rsidP="00F55DD3">
                  <w:pPr>
                    <w:spacing w:after="0" w:line="240" w:lineRule="auto"/>
                    <w:rPr>
                      <w:rFonts w:ascii="Arial" w:hAnsi="Arial" w:cs="Arial"/>
                      <w:color w:val="000000"/>
                      <w:sz w:val="18"/>
                      <w:szCs w:val="20"/>
                    </w:rPr>
                  </w:pPr>
                  <w:r w:rsidRPr="00F55DD3">
                    <w:rPr>
                      <w:rFonts w:ascii="Arial" w:hAnsi="Arial" w:cs="Arial"/>
                      <w:color w:val="000000"/>
                      <w:sz w:val="18"/>
                      <w:szCs w:val="20"/>
                    </w:rPr>
                    <w:t>Records excluded</w:t>
                  </w:r>
                </w:p>
                <w:p w:rsidR="00E24B67" w:rsidRPr="00F55DD3" w:rsidRDefault="00E24B67" w:rsidP="00F55DD3">
                  <w:pPr>
                    <w:spacing w:after="0" w:line="240" w:lineRule="auto"/>
                    <w:rPr>
                      <w:rFonts w:ascii="Arial" w:hAnsi="Arial" w:cs="Arial"/>
                      <w:color w:val="000000"/>
                      <w:sz w:val="18"/>
                      <w:szCs w:val="20"/>
                    </w:rPr>
                  </w:pPr>
                  <w:r w:rsidRPr="00F55DD3">
                    <w:rPr>
                      <w:rFonts w:ascii="Arial" w:hAnsi="Arial" w:cs="Arial"/>
                      <w:color w:val="000000"/>
                      <w:sz w:val="18"/>
                      <w:szCs w:val="20"/>
                    </w:rPr>
                    <w:t>(n =321)</w:t>
                  </w:r>
                </w:p>
              </w:txbxContent>
            </v:textbox>
          </v:rect>
        </w:pict>
      </w:r>
    </w:p>
    <w:p w:rsidR="00F55DD3" w:rsidRPr="00F55DD3" w:rsidRDefault="00F55DD3" w:rsidP="001D1D16">
      <w:pPr>
        <w:spacing w:after="0" w:line="240" w:lineRule="auto"/>
        <w:ind w:left="10" w:right="56" w:hanging="10"/>
        <w:jc w:val="both"/>
        <w:rPr>
          <w:rFonts w:eastAsia="Times New Roman"/>
          <w:color w:val="000000"/>
          <w:kern w:val="2"/>
          <w:szCs w:val="24"/>
          <w:lang w:val="en-GB" w:eastAsia="en-IN"/>
        </w:rPr>
      </w:pPr>
    </w:p>
    <w:p w:rsidR="00F55DD3" w:rsidRPr="00F55DD3" w:rsidRDefault="00F55DD3" w:rsidP="001D1D16">
      <w:pPr>
        <w:spacing w:after="0" w:line="240" w:lineRule="auto"/>
        <w:ind w:left="10" w:right="56" w:hanging="10"/>
        <w:jc w:val="both"/>
        <w:rPr>
          <w:rFonts w:eastAsia="Times New Roman"/>
          <w:color w:val="000000"/>
          <w:kern w:val="2"/>
          <w:szCs w:val="24"/>
          <w:lang w:val="en-GB" w:eastAsia="en-IN"/>
        </w:rPr>
      </w:pPr>
    </w:p>
    <w:p w:rsidR="00F55DD3" w:rsidRPr="00F55DD3" w:rsidRDefault="00D3667B" w:rsidP="001D1D16">
      <w:pPr>
        <w:spacing w:after="0" w:line="240" w:lineRule="auto"/>
        <w:ind w:left="10" w:right="56" w:hanging="10"/>
        <w:jc w:val="both"/>
        <w:rPr>
          <w:rFonts w:eastAsia="Times New Roman"/>
          <w:color w:val="000000"/>
          <w:kern w:val="2"/>
          <w:szCs w:val="24"/>
          <w:lang w:val="en-GB" w:eastAsia="en-IN"/>
        </w:rPr>
      </w:pPr>
      <w:r>
        <w:rPr>
          <w:rFonts w:eastAsia="Times New Roman"/>
          <w:noProof/>
          <w:color w:val="000000"/>
          <w:kern w:val="2"/>
          <w:szCs w:val="24"/>
          <w:lang w:val="en-GB" w:eastAsia="en-IN"/>
        </w:rPr>
        <w:pict>
          <v:shape id="Straight Arrow Connector 35" o:spid="_x0000_s1063" type="#_x0000_t32" style="position:absolute;left:0;text-align:left;margin-left:110.25pt;margin-top:7.85pt;width:0;height:22.1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" strokeweight=".5pt">
            <v:stroke endarrow="block" joinstyle="miter"/>
          </v:shape>
        </w:pict>
      </w:r>
    </w:p>
    <w:p w:rsidR="00F55DD3" w:rsidRPr="00F55DD3" w:rsidRDefault="00F55DD3" w:rsidP="001D1D16">
      <w:pPr>
        <w:spacing w:after="0" w:line="240" w:lineRule="auto"/>
        <w:ind w:left="10" w:right="56" w:hanging="10"/>
        <w:jc w:val="both"/>
        <w:rPr>
          <w:rFonts w:eastAsia="Times New Roman"/>
          <w:color w:val="000000"/>
          <w:kern w:val="2"/>
          <w:szCs w:val="24"/>
          <w:lang w:val="en-GB" w:eastAsia="en-IN"/>
        </w:rPr>
      </w:pPr>
    </w:p>
    <w:p w:rsidR="00F55DD3" w:rsidRPr="00F55DD3" w:rsidRDefault="00D3667B" w:rsidP="001D1D16">
      <w:pPr>
        <w:spacing w:after="0" w:line="240" w:lineRule="auto"/>
        <w:ind w:left="10" w:right="56" w:hanging="10"/>
        <w:jc w:val="both"/>
        <w:rPr>
          <w:rFonts w:eastAsia="Times New Roman"/>
          <w:color w:val="000000"/>
          <w:kern w:val="2"/>
          <w:szCs w:val="24"/>
          <w:lang w:val="en-GB" w:eastAsia="en-IN"/>
        </w:rPr>
      </w:pPr>
      <w:r>
        <w:rPr>
          <w:rFonts w:eastAsia="Times New Roman"/>
          <w:noProof/>
          <w:color w:val="000000"/>
          <w:kern w:val="2"/>
          <w:szCs w:val="24"/>
          <w:lang w:val="en-GB" w:eastAsia="en-IN"/>
        </w:rPr>
        <w:pict>
          <v:rect id="Rectangle 6" o:spid="_x0000_s1064" style="position:absolute;left:0;text-align:left;margin-left:240.1pt;margin-top:5.25pt;width:170.15pt;height:41.45pt;z-index:251657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J6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" filled="f" strokeweight="1pt">
            <v:textbox>
              <w:txbxContent>
                <w:p w:rsidR="00E24B67" w:rsidRPr="00F55DD3" w:rsidRDefault="00E24B67" w:rsidP="00F55DD3">
                  <w:pPr>
                    <w:spacing w:after="0" w:line="240" w:lineRule="auto"/>
                    <w:rPr>
                      <w:rFonts w:ascii="Arial" w:hAnsi="Arial" w:cs="Arial"/>
                      <w:color w:val="000000"/>
                      <w:sz w:val="18"/>
                      <w:szCs w:val="20"/>
                    </w:rPr>
                  </w:pPr>
                  <w:r w:rsidRPr="00F55DD3">
                    <w:rPr>
                      <w:rFonts w:ascii="Arial" w:hAnsi="Arial" w:cs="Arial"/>
                      <w:color w:val="000000"/>
                      <w:sz w:val="18"/>
                      <w:szCs w:val="20"/>
                    </w:rPr>
                    <w:t>Reports not retrieved</w:t>
                  </w:r>
                </w:p>
                <w:p w:rsidR="00E24B67" w:rsidRPr="00F55DD3" w:rsidRDefault="00E24B67" w:rsidP="00F55DD3">
                  <w:pPr>
                    <w:spacing w:after="0" w:line="240" w:lineRule="auto"/>
                    <w:rPr>
                      <w:rFonts w:ascii="Arial" w:hAnsi="Arial" w:cs="Arial"/>
                      <w:color w:val="000000"/>
                      <w:sz w:val="18"/>
                      <w:szCs w:val="20"/>
                    </w:rPr>
                  </w:pPr>
                  <w:r w:rsidRPr="00F55DD3">
                    <w:rPr>
                      <w:rFonts w:ascii="Arial" w:hAnsi="Arial" w:cs="Arial"/>
                      <w:color w:val="000000"/>
                      <w:sz w:val="18"/>
                      <w:szCs w:val="20"/>
                    </w:rPr>
                    <w:t>(n =8)</w:t>
                  </w:r>
                </w:p>
              </w:txbxContent>
            </v:textbox>
          </v:rect>
        </w:pict>
      </w:r>
      <w:r>
        <w:rPr>
          <w:rFonts w:eastAsia="Times New Roman"/>
          <w:noProof/>
          <w:color w:val="000000"/>
          <w:kern w:val="2"/>
          <w:szCs w:val="24"/>
          <w:lang w:val="en-GB" w:eastAsia="en-IN"/>
        </w:rPr>
        <w:pict>
          <v:rect id="Rectangle 5" o:spid="_x0000_s1065" style="position:absolute;left:0;text-align:left;margin-left:44.15pt;margin-top:3.75pt;width:148.6pt;height:41.45pt;z-index:251658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r3hwIAAHA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" filled="f" strokeweight="1pt">
            <v:textbox>
              <w:txbxContent>
                <w:p w:rsidR="00E24B67" w:rsidRPr="00F55DD3" w:rsidRDefault="00E24B67" w:rsidP="00F55DD3">
                  <w:pPr>
                    <w:spacing w:after="0" w:line="240" w:lineRule="auto"/>
                    <w:rPr>
                      <w:rFonts w:ascii="Arial" w:hAnsi="Arial" w:cs="Arial"/>
                      <w:color w:val="000000"/>
                      <w:sz w:val="18"/>
                      <w:szCs w:val="20"/>
                    </w:rPr>
                  </w:pPr>
                  <w:r w:rsidRPr="00F55DD3">
                    <w:rPr>
                      <w:rFonts w:ascii="Arial" w:hAnsi="Arial" w:cs="Arial"/>
                      <w:color w:val="000000"/>
                      <w:sz w:val="18"/>
                      <w:szCs w:val="20"/>
                    </w:rPr>
                    <w:t>Reports sought for retrieval</w:t>
                  </w:r>
                </w:p>
                <w:p w:rsidR="00E24B67" w:rsidRPr="00F55DD3" w:rsidRDefault="00E24B67" w:rsidP="00F55DD3">
                  <w:pPr>
                    <w:spacing w:after="0" w:line="240" w:lineRule="auto"/>
                    <w:rPr>
                      <w:rFonts w:ascii="Arial" w:hAnsi="Arial" w:cs="Arial"/>
                      <w:color w:val="000000"/>
                      <w:sz w:val="18"/>
                      <w:szCs w:val="20"/>
                    </w:rPr>
                  </w:pPr>
                  <w:r w:rsidRPr="00F55DD3">
                    <w:rPr>
                      <w:rFonts w:ascii="Arial" w:hAnsi="Arial" w:cs="Arial"/>
                      <w:color w:val="000000"/>
                      <w:sz w:val="18"/>
                      <w:szCs w:val="20"/>
                    </w:rPr>
                    <w:t>(n =109)</w:t>
                  </w:r>
                </w:p>
              </w:txbxContent>
            </v:textbox>
          </v:rect>
        </w:pict>
      </w:r>
      <w:r>
        <w:rPr>
          <w:rFonts w:eastAsia="Times New Roman"/>
          <w:noProof/>
          <w:color w:val="000000"/>
          <w:kern w:val="2"/>
          <w:szCs w:val="24"/>
          <w:lang w:val="en-GB" w:eastAsia="en-IN"/>
        </w:rPr>
        <w:pict>
          <v:shape id="Straight Arrow Connector 16" o:spid="_x0000_s1066" type="#_x0000_t32" style="position:absolute;left:0;text-align:left;margin-left:193.95pt;margin-top:25.25pt;width:44.35pt;height: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" strokeweight=".5pt">
            <v:stroke endarrow="block" joinstyle="miter"/>
          </v:shape>
        </w:pict>
      </w:r>
    </w:p>
    <w:p w:rsidR="00F55DD3" w:rsidRPr="00F55DD3" w:rsidRDefault="00F55DD3" w:rsidP="001D1D16">
      <w:pPr>
        <w:spacing w:after="0" w:line="240" w:lineRule="auto"/>
        <w:ind w:left="10" w:right="56" w:hanging="10"/>
        <w:jc w:val="both"/>
        <w:rPr>
          <w:rFonts w:eastAsia="Times New Roman"/>
          <w:color w:val="000000"/>
          <w:kern w:val="2"/>
          <w:szCs w:val="24"/>
          <w:lang w:val="en-GB" w:eastAsia="en-IN"/>
        </w:rPr>
      </w:pPr>
    </w:p>
    <w:p w:rsidR="00F55DD3" w:rsidRPr="00F55DD3" w:rsidRDefault="00F55DD3" w:rsidP="001D1D16">
      <w:pPr>
        <w:spacing w:after="0" w:line="240" w:lineRule="auto"/>
        <w:ind w:left="10" w:right="56" w:hanging="10"/>
        <w:jc w:val="both"/>
        <w:rPr>
          <w:rFonts w:eastAsia="Times New Roman"/>
          <w:color w:val="000000"/>
          <w:kern w:val="2"/>
          <w:szCs w:val="24"/>
          <w:lang w:val="en-GB" w:eastAsia="en-IN"/>
        </w:rPr>
      </w:pPr>
    </w:p>
    <w:p w:rsidR="00F55DD3" w:rsidRPr="00F55DD3" w:rsidRDefault="00D3667B" w:rsidP="001D1D16">
      <w:pPr>
        <w:spacing w:after="0" w:line="240" w:lineRule="auto"/>
        <w:ind w:left="10" w:right="56" w:hanging="10"/>
        <w:jc w:val="both"/>
        <w:rPr>
          <w:rFonts w:eastAsia="Times New Roman"/>
          <w:color w:val="000000"/>
          <w:kern w:val="2"/>
          <w:szCs w:val="24"/>
          <w:lang w:val="en-GB" w:eastAsia="en-IN"/>
        </w:rPr>
      </w:pPr>
      <w:r>
        <w:rPr>
          <w:rFonts w:eastAsia="Times New Roman"/>
          <w:noProof/>
          <w:color w:val="000000"/>
          <w:kern w:val="2"/>
          <w:szCs w:val="24"/>
          <w:lang w:val="en-GB" w:eastAsia="en-IN"/>
        </w:rPr>
        <w:pict>
          <v:shape id="Straight Arrow Connector 36" o:spid="_x0000_s1067" type="#_x0000_t32" style="position:absolute;left:0;text-align:left;margin-left:111pt;margin-top:4.45pt;width:0;height:22.1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" strokeweight=".5pt">
            <v:stroke endarrow="block" joinstyle="miter"/>
          </v:shape>
        </w:pict>
      </w:r>
    </w:p>
    <w:p w:rsidR="00F55DD3" w:rsidRPr="00F55DD3" w:rsidRDefault="00D3667B" w:rsidP="001D1D16">
      <w:pPr>
        <w:spacing w:after="0" w:line="240" w:lineRule="auto"/>
        <w:ind w:left="10" w:right="56" w:hanging="10"/>
        <w:jc w:val="both"/>
        <w:rPr>
          <w:rFonts w:eastAsia="Times New Roman"/>
          <w:color w:val="000000"/>
          <w:kern w:val="2"/>
          <w:szCs w:val="24"/>
          <w:lang w:val="en-GB" w:eastAsia="en-IN"/>
        </w:rPr>
      </w:pPr>
      <w:r>
        <w:rPr>
          <w:rFonts w:eastAsia="Times New Roman"/>
          <w:noProof/>
          <w:color w:val="000000"/>
          <w:kern w:val="2"/>
          <w:szCs w:val="24"/>
          <w:lang w:val="en-GB" w:eastAsia="en-IN"/>
        </w:rPr>
        <w:pict>
          <v:rect id="Rectangle 9" o:spid="_x0000_s1068" style="position:absolute;left:0;text-align:left;margin-left:240.75pt;margin-top:3.5pt;width:213.8pt;height:121.55pt;z-index:251661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" filled="f" strokeweight="1pt">
            <v:textbox inset="1.5mm,1mm,1.5mm,1mm">
              <w:txbxContent>
                <w:p w:rsidR="00E24B67" w:rsidRPr="00F55DD3" w:rsidRDefault="00E24B67" w:rsidP="00F55DD3">
                  <w:pPr>
                    <w:spacing w:after="0" w:line="240" w:lineRule="auto"/>
                    <w:rPr>
                      <w:rFonts w:ascii="Arial" w:hAnsi="Arial" w:cs="Arial"/>
                      <w:color w:val="000000"/>
                      <w:sz w:val="18"/>
                      <w:szCs w:val="20"/>
                    </w:rPr>
                  </w:pPr>
                  <w:r w:rsidRPr="00F55DD3">
                    <w:rPr>
                      <w:rFonts w:ascii="Arial" w:hAnsi="Arial" w:cs="Arial"/>
                      <w:color w:val="000000"/>
                      <w:sz w:val="18"/>
                      <w:szCs w:val="20"/>
                    </w:rPr>
                    <w:t>Reports excluded:</w:t>
                  </w:r>
                </w:p>
                <w:p w:rsidR="00E24B67" w:rsidRPr="00F55DD3" w:rsidRDefault="00E24B67" w:rsidP="00F55DD3">
                  <w:pPr>
                    <w:spacing w:after="0" w:line="240" w:lineRule="auto"/>
                    <w:ind w:left="284"/>
                    <w:rPr>
                      <w:rFonts w:ascii="Arial" w:hAnsi="Arial" w:cs="Arial"/>
                      <w:color w:val="000000"/>
                      <w:sz w:val="18"/>
                      <w:szCs w:val="20"/>
                    </w:rPr>
                  </w:pPr>
                  <w:r w:rsidRPr="00F55DD3">
                    <w:rPr>
                      <w:rFonts w:ascii="Arial" w:hAnsi="Arial" w:cs="Arial"/>
                      <w:color w:val="000000"/>
                      <w:sz w:val="18"/>
                      <w:szCs w:val="20"/>
                    </w:rPr>
                    <w:t>Reason 1: Not sufficiently focused on management challenges or surgical role in HS (n =</w:t>
                  </w:r>
                  <w:r>
                    <w:rPr>
                      <w:rFonts w:ascii="Arial" w:hAnsi="Arial" w:cs="Arial"/>
                      <w:color w:val="000000"/>
                      <w:sz w:val="18"/>
                      <w:szCs w:val="20"/>
                    </w:rPr>
                    <w:t>1</w:t>
                  </w:r>
                  <w:r w:rsidRPr="00F55DD3">
                    <w:rPr>
                      <w:rFonts w:ascii="Arial" w:hAnsi="Arial" w:cs="Arial"/>
                      <w:color w:val="000000"/>
                      <w:sz w:val="18"/>
                      <w:szCs w:val="20"/>
                    </w:rPr>
                    <w:t>9)</w:t>
                  </w:r>
                </w:p>
                <w:p w:rsidR="00E24B67" w:rsidRPr="00F55DD3" w:rsidRDefault="00E24B67" w:rsidP="00F55DD3">
                  <w:pPr>
                    <w:spacing w:after="0" w:line="240" w:lineRule="auto"/>
                    <w:ind w:left="284"/>
                    <w:rPr>
                      <w:rFonts w:ascii="Arial" w:hAnsi="Arial" w:cs="Arial"/>
                      <w:color w:val="000000"/>
                      <w:sz w:val="18"/>
                      <w:szCs w:val="20"/>
                    </w:rPr>
                  </w:pPr>
                  <w:r w:rsidRPr="00F55DD3">
                    <w:rPr>
                      <w:rFonts w:ascii="Arial" w:hAnsi="Arial" w:cs="Arial"/>
                      <w:color w:val="000000"/>
                      <w:sz w:val="18"/>
                      <w:szCs w:val="20"/>
                    </w:rPr>
                    <w:t>Reason 2: Inadequate procedural or outcome detail, or substantial overlap with better-quality/recent evidence (n =</w:t>
                  </w:r>
                  <w:r>
                    <w:rPr>
                      <w:rFonts w:ascii="Arial" w:hAnsi="Arial" w:cs="Arial"/>
                      <w:color w:val="000000"/>
                      <w:sz w:val="18"/>
                      <w:szCs w:val="20"/>
                    </w:rPr>
                    <w:t>1</w:t>
                  </w:r>
                  <w:r w:rsidRPr="00F55DD3">
                    <w:rPr>
                      <w:rFonts w:ascii="Arial" w:hAnsi="Arial" w:cs="Arial"/>
                      <w:color w:val="000000"/>
                      <w:sz w:val="18"/>
                      <w:szCs w:val="20"/>
                    </w:rPr>
                    <w:t>1)</w:t>
                  </w:r>
                </w:p>
                <w:p w:rsidR="00E24B67" w:rsidRPr="00F55DD3" w:rsidRDefault="00E24B67" w:rsidP="00F55DD3">
                  <w:pPr>
                    <w:spacing w:after="0" w:line="240" w:lineRule="auto"/>
                    <w:ind w:left="284"/>
                    <w:rPr>
                      <w:rFonts w:ascii="Arial" w:hAnsi="Arial" w:cs="Arial"/>
                      <w:color w:val="000000"/>
                      <w:sz w:val="18"/>
                      <w:szCs w:val="20"/>
                    </w:rPr>
                  </w:pPr>
                  <w:r w:rsidRPr="00F55DD3">
                    <w:rPr>
                      <w:rFonts w:ascii="Arial" w:hAnsi="Arial" w:cs="Arial"/>
                      <w:color w:val="000000"/>
                      <w:sz w:val="18"/>
                      <w:szCs w:val="20"/>
                    </w:rPr>
                    <w:t>Reason 3: Metadata/DOI could not be reliably verified or insufficient scholarly depth for inclusion in the review synthesis (n =17).</w:t>
                  </w:r>
                </w:p>
              </w:txbxContent>
            </v:textbox>
          </v:rect>
        </w:pict>
      </w:r>
    </w:p>
    <w:p w:rsidR="00F55DD3" w:rsidRPr="00F55DD3" w:rsidRDefault="00D3667B" w:rsidP="001D1D16">
      <w:pPr>
        <w:spacing w:after="0" w:line="240" w:lineRule="auto"/>
        <w:ind w:left="10" w:right="56" w:hanging="10"/>
        <w:jc w:val="both"/>
        <w:rPr>
          <w:rFonts w:eastAsia="Times New Roman"/>
          <w:color w:val="000000"/>
          <w:kern w:val="2"/>
          <w:szCs w:val="24"/>
          <w:lang w:val="en-GB" w:eastAsia="en-IN"/>
        </w:rPr>
      </w:pPr>
      <w:r>
        <w:rPr>
          <w:rFonts w:eastAsia="Times New Roman"/>
          <w:noProof/>
          <w:color w:val="000000"/>
          <w:kern w:val="2"/>
          <w:szCs w:val="24"/>
          <w:lang w:val="en-GB" w:eastAsia="en-IN"/>
        </w:rPr>
        <w:pict>
          <v:shape id="Straight Arrow Connector 17" o:spid="_x0000_s1069" type="#_x0000_t32" style="position:absolute;left:0;text-align:left;margin-left:195pt;margin-top:23.2pt;width:44.35pt;height:0;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" strokeweight=".5pt">
            <v:stroke endarrow="block" joinstyle="miter"/>
          </v:shape>
        </w:pict>
      </w:r>
      <w:r>
        <w:rPr>
          <w:rFonts w:eastAsia="Times New Roman"/>
          <w:noProof/>
          <w:color w:val="000000"/>
          <w:kern w:val="2"/>
          <w:szCs w:val="24"/>
          <w:lang w:val="en-GB" w:eastAsia="en-IN"/>
        </w:rPr>
        <w:pict>
          <v:rect id="Rectangle 8" o:spid="_x0000_s1070" style="position:absolute;left:0;text-align:left;margin-left:44.25pt;margin-top:1.05pt;width:148.6pt;height:41.45pt;z-index:2516638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" filled="f" strokeweight="1pt">
            <v:textbox>
              <w:txbxContent>
                <w:p w:rsidR="00E24B67" w:rsidRPr="00F55DD3" w:rsidRDefault="00E24B67" w:rsidP="00F55DD3">
                  <w:pPr>
                    <w:spacing w:after="0" w:line="240" w:lineRule="auto"/>
                    <w:rPr>
                      <w:rFonts w:ascii="Arial" w:hAnsi="Arial" w:cs="Arial"/>
                      <w:color w:val="000000"/>
                      <w:sz w:val="18"/>
                      <w:szCs w:val="20"/>
                    </w:rPr>
                  </w:pPr>
                  <w:r w:rsidRPr="00F55DD3">
                    <w:rPr>
                      <w:rFonts w:ascii="Arial" w:hAnsi="Arial" w:cs="Arial"/>
                      <w:color w:val="000000"/>
                      <w:sz w:val="18"/>
                      <w:szCs w:val="20"/>
                    </w:rPr>
                    <w:t>Reports assessed for eligibility</w:t>
                  </w:r>
                </w:p>
                <w:p w:rsidR="00E24B67" w:rsidRPr="00F55DD3" w:rsidRDefault="00E24B67" w:rsidP="00F55DD3">
                  <w:pPr>
                    <w:spacing w:after="0" w:line="240" w:lineRule="auto"/>
                    <w:rPr>
                      <w:rFonts w:ascii="Arial" w:hAnsi="Arial" w:cs="Arial"/>
                      <w:color w:val="000000"/>
                      <w:sz w:val="18"/>
                      <w:szCs w:val="20"/>
                    </w:rPr>
                  </w:pPr>
                  <w:r w:rsidRPr="00F55DD3">
                    <w:rPr>
                      <w:rFonts w:ascii="Arial" w:hAnsi="Arial" w:cs="Arial"/>
                      <w:color w:val="000000"/>
                      <w:sz w:val="18"/>
                      <w:szCs w:val="20"/>
                    </w:rPr>
                    <w:t>(n =101)</w:t>
                  </w:r>
                </w:p>
              </w:txbxContent>
            </v:textbox>
          </v:rect>
        </w:pict>
      </w:r>
    </w:p>
    <w:p w:rsidR="00F55DD3" w:rsidRPr="00F55DD3" w:rsidRDefault="00F55DD3" w:rsidP="001D1D16">
      <w:pPr>
        <w:spacing w:after="0" w:line="240" w:lineRule="auto"/>
        <w:ind w:left="10" w:right="56" w:hanging="10"/>
        <w:jc w:val="both"/>
        <w:rPr>
          <w:rFonts w:eastAsia="Times New Roman"/>
          <w:color w:val="000000"/>
          <w:kern w:val="2"/>
          <w:szCs w:val="24"/>
          <w:lang w:val="en-GB" w:eastAsia="en-IN"/>
        </w:rPr>
      </w:pPr>
    </w:p>
    <w:p w:rsidR="00F55DD3" w:rsidRPr="00F55DD3" w:rsidRDefault="00F55DD3" w:rsidP="001D1D16">
      <w:pPr>
        <w:spacing w:after="0" w:line="240" w:lineRule="auto"/>
        <w:ind w:left="10" w:right="56" w:hanging="10"/>
        <w:jc w:val="both"/>
        <w:rPr>
          <w:rFonts w:eastAsia="Times New Roman"/>
          <w:color w:val="000000"/>
          <w:kern w:val="2"/>
          <w:szCs w:val="24"/>
          <w:lang w:val="en-GB" w:eastAsia="en-IN"/>
        </w:rPr>
      </w:pPr>
    </w:p>
    <w:p w:rsidR="00F55DD3" w:rsidRPr="00F55DD3" w:rsidRDefault="00D3667B" w:rsidP="001D1D16">
      <w:pPr>
        <w:spacing w:after="0" w:line="240" w:lineRule="auto"/>
        <w:ind w:left="10" w:right="56" w:hanging="10"/>
        <w:jc w:val="both"/>
        <w:rPr>
          <w:rFonts w:eastAsia="Times New Roman"/>
          <w:color w:val="000000"/>
          <w:kern w:val="2"/>
          <w:szCs w:val="24"/>
          <w:lang w:val="en-GB" w:eastAsia="en-IN"/>
        </w:rPr>
      </w:pPr>
      <w:r>
        <w:rPr>
          <w:rFonts w:eastAsia="Times New Roman"/>
          <w:noProof/>
          <w:color w:val="000000"/>
          <w:kern w:val="2"/>
          <w:szCs w:val="24"/>
          <w:lang w:val="en-GB" w:eastAsia="en-IN"/>
        </w:rPr>
        <w:pict>
          <v:shape id="Straight Arrow Connector 19" o:spid="_x0000_s1071" type="#_x0000_t32" style="position:absolute;left:0;text-align:left;margin-left:110.3pt;margin-top:2.35pt;width:0;height:58.7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" strokeweight=".5pt">
            <v:stroke endarrow="block" joinstyle="miter"/>
          </v:shape>
        </w:pict>
      </w:r>
    </w:p>
    <w:p w:rsidR="00F55DD3" w:rsidRPr="00F55DD3" w:rsidRDefault="00F55DD3" w:rsidP="001D1D16">
      <w:pPr>
        <w:spacing w:after="0" w:line="240" w:lineRule="auto"/>
        <w:ind w:left="10" w:right="56" w:hanging="10"/>
        <w:jc w:val="both"/>
        <w:rPr>
          <w:rFonts w:eastAsia="Times New Roman"/>
          <w:color w:val="000000"/>
          <w:kern w:val="2"/>
          <w:szCs w:val="24"/>
          <w:lang w:val="en-GB" w:eastAsia="en-IN"/>
        </w:rPr>
      </w:pPr>
    </w:p>
    <w:p w:rsidR="00F55DD3" w:rsidRPr="00F55DD3" w:rsidRDefault="00F55DD3" w:rsidP="001D1D16">
      <w:pPr>
        <w:spacing w:after="0" w:line="240" w:lineRule="auto"/>
        <w:ind w:left="10" w:right="56" w:hanging="10"/>
        <w:jc w:val="both"/>
        <w:rPr>
          <w:rFonts w:eastAsia="Times New Roman"/>
          <w:color w:val="000000"/>
          <w:kern w:val="2"/>
          <w:szCs w:val="24"/>
          <w:lang w:val="en-GB" w:eastAsia="en-IN"/>
        </w:rPr>
      </w:pPr>
    </w:p>
    <w:p w:rsidR="00F55DD3" w:rsidRPr="00F55DD3" w:rsidRDefault="00F55DD3" w:rsidP="001D1D16">
      <w:pPr>
        <w:spacing w:after="0" w:line="240" w:lineRule="auto"/>
        <w:ind w:left="10" w:right="56" w:hanging="10"/>
        <w:jc w:val="both"/>
        <w:rPr>
          <w:rFonts w:eastAsia="Times New Roman"/>
          <w:color w:val="000000"/>
          <w:kern w:val="2"/>
          <w:szCs w:val="24"/>
          <w:lang w:val="en-GB" w:eastAsia="en-IN"/>
        </w:rPr>
      </w:pPr>
    </w:p>
    <w:p w:rsidR="00F55DD3" w:rsidRPr="00F55DD3" w:rsidRDefault="00D3667B" w:rsidP="001D1D16">
      <w:pPr>
        <w:spacing w:after="0" w:line="240" w:lineRule="auto"/>
        <w:ind w:left="10" w:right="56" w:hanging="10"/>
        <w:jc w:val="both"/>
        <w:rPr>
          <w:rFonts w:eastAsia="Times New Roman"/>
          <w:color w:val="000000"/>
          <w:kern w:val="2"/>
          <w:szCs w:val="24"/>
          <w:lang w:val="en-GB" w:eastAsia="en-IN"/>
        </w:rPr>
      </w:pPr>
      <w:r>
        <w:rPr>
          <w:rFonts w:eastAsia="Times New Roman"/>
          <w:noProof/>
          <w:color w:val="000000"/>
          <w:kern w:val="2"/>
          <w:szCs w:val="24"/>
          <w:lang w:val="en-GB" w:eastAsia="en-IN"/>
        </w:rPr>
        <w:pict>
          <v:rect id="Rectangle 13" o:spid="_x0000_s1072" style="position:absolute;left:0;text-align:left;margin-left:42.55pt;margin-top:8.7pt;width:148.6pt;height:36.1pt;z-index:2516659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" filled="f" strokeweight="1pt">
            <v:textbox>
              <w:txbxContent>
                <w:p w:rsidR="00E24B67" w:rsidRPr="00F55DD3" w:rsidRDefault="00E24B67" w:rsidP="00F55DD3">
                  <w:pPr>
                    <w:spacing w:after="0" w:line="240" w:lineRule="auto"/>
                    <w:rPr>
                      <w:rFonts w:ascii="Arial" w:hAnsi="Arial" w:cs="Arial"/>
                      <w:color w:val="000000"/>
                      <w:sz w:val="18"/>
                      <w:szCs w:val="20"/>
                    </w:rPr>
                  </w:pPr>
                  <w:r w:rsidRPr="00F55DD3">
                    <w:rPr>
                      <w:rFonts w:ascii="Arial" w:hAnsi="Arial" w:cs="Arial"/>
                      <w:color w:val="000000"/>
                      <w:sz w:val="18"/>
                      <w:szCs w:val="20"/>
                    </w:rPr>
                    <w:t xml:space="preserve">Report/Studies included in review (n = </w:t>
                  </w:r>
                  <w:r>
                    <w:rPr>
                      <w:rFonts w:ascii="Arial" w:hAnsi="Arial" w:cs="Arial"/>
                      <w:color w:val="000000"/>
                      <w:sz w:val="18"/>
                      <w:szCs w:val="20"/>
                    </w:rPr>
                    <w:t>5</w:t>
                  </w:r>
                  <w:r w:rsidRPr="00F55DD3">
                    <w:rPr>
                      <w:rFonts w:ascii="Arial" w:hAnsi="Arial" w:cs="Arial"/>
                      <w:color w:val="000000"/>
                      <w:sz w:val="18"/>
                      <w:szCs w:val="20"/>
                    </w:rPr>
                    <w:t>4)</w:t>
                  </w:r>
                </w:p>
              </w:txbxContent>
            </v:textbox>
          </v:rect>
        </w:pict>
      </w:r>
    </w:p>
    <w:p w:rsidR="00F55DD3" w:rsidRPr="00F55DD3" w:rsidRDefault="00F55DD3" w:rsidP="001D1D16">
      <w:pPr>
        <w:spacing w:after="0" w:line="240" w:lineRule="auto"/>
        <w:ind w:left="10" w:right="56" w:hanging="10"/>
        <w:jc w:val="both"/>
        <w:rPr>
          <w:rFonts w:eastAsia="Times New Roman"/>
          <w:color w:val="000000"/>
          <w:kern w:val="2"/>
          <w:szCs w:val="24"/>
          <w:lang w:val="en-GB" w:eastAsia="en-IN"/>
        </w:rPr>
      </w:pPr>
    </w:p>
    <w:p w:rsidR="00F55DD3" w:rsidRPr="00F55DD3" w:rsidRDefault="00F55DD3" w:rsidP="001D1D16">
      <w:pPr>
        <w:spacing w:after="0" w:line="240" w:lineRule="auto"/>
        <w:ind w:left="10" w:right="56" w:hanging="10"/>
        <w:jc w:val="both"/>
        <w:rPr>
          <w:rFonts w:eastAsia="Times New Roman"/>
          <w:color w:val="000000"/>
          <w:kern w:val="2"/>
          <w:szCs w:val="24"/>
          <w:lang w:val="en-GB" w:eastAsia="en-IN"/>
        </w:rPr>
      </w:pPr>
    </w:p>
    <w:p w:rsidR="00F55DD3" w:rsidRPr="00F55DD3" w:rsidRDefault="00F55DD3" w:rsidP="001D1D16">
      <w:pPr>
        <w:spacing w:after="0" w:line="240" w:lineRule="auto"/>
        <w:ind w:left="10" w:right="56" w:hanging="10"/>
        <w:jc w:val="both"/>
        <w:rPr>
          <w:rFonts w:eastAsia="Times New Roman"/>
          <w:color w:val="000000"/>
          <w:kern w:val="2"/>
          <w:szCs w:val="24"/>
          <w:lang w:val="en-GB" w:eastAsia="en-IN"/>
        </w:rPr>
      </w:pPr>
    </w:p>
    <w:p w:rsidR="00F55DD3" w:rsidRPr="00F55DD3" w:rsidRDefault="00F55DD3" w:rsidP="001D1D16">
      <w:pPr>
        <w:spacing w:before="100" w:beforeAutospacing="1" w:after="100" w:afterAutospacing="1" w:line="240" w:lineRule="auto"/>
        <w:jc w:val="both"/>
        <w:rPr>
          <w:rFonts w:eastAsia="Times New Roman"/>
          <w:szCs w:val="24"/>
          <w:lang w:val="en-GB"/>
        </w:rPr>
      </w:pPr>
      <w:r w:rsidRPr="00F55DD3">
        <w:rPr>
          <w:rFonts w:eastAsia="Times New Roman"/>
          <w:szCs w:val="24"/>
          <w:lang w:val="en-GB"/>
        </w:rPr>
        <w:t>Figure 1: Stratified methods of literature selection</w:t>
      </w:r>
    </w:p>
    <w:p w:rsidR="00F55DD3" w:rsidRDefault="00F55DD3" w:rsidP="001D1D16">
      <w:pPr>
        <w:jc w:val="both"/>
      </w:pPr>
    </w:p>
    <w:p w:rsidR="007E195B" w:rsidRDefault="001C0DA4" w:rsidP="001D1D16">
      <w:pPr>
        <w:pStyle w:val="Heading1"/>
        <w:jc w:val="both"/>
      </w:pPr>
      <w:r>
        <w:rPr>
          <w:rFonts w:ascii="Times New Roman" w:hAnsi="Times New Roman" w:cs="Times New Roman"/>
        </w:rPr>
        <w:lastRenderedPageBreak/>
        <w:t>3. Disease burden and pathobiological context</w:t>
      </w:r>
    </w:p>
    <w:p w:rsidR="007E195B" w:rsidRDefault="001C0DA4" w:rsidP="001D1D16">
      <w:pPr>
        <w:pStyle w:val="Heading2"/>
        <w:jc w:val="both"/>
      </w:pPr>
      <w:r>
        <w:rPr>
          <w:rFonts w:ascii="Times New Roman" w:hAnsi="Times New Roman" w:cs="Times New Roman"/>
        </w:rPr>
        <w:t>3.1 Epidemiology, diagnostic delay and burden</w:t>
      </w:r>
    </w:p>
    <w:p w:rsidR="007E195B" w:rsidRDefault="001C0DA4" w:rsidP="001D1D16">
      <w:pPr>
        <w:jc w:val="both"/>
      </w:pPr>
      <w:r>
        <w:t>Reported prevalence estimates for HS vary widely, which is partly a methodological problem and partly a clinical one. Questionnaire-based studies generally identify far more possible disease than clinician-confirmed registries, whereas population databases underestimate cases because HS is frequently mislabelled as recurrent boils, folliculitis, infected cysts or simple abscess disease (Jfri et al., 2021; Nguyen et al., 2021). Diagnostic delay remains a defining epidemiological feature. In practice, patients may present repeatedly to primary care, emergency services, surgery, gynaecology or infectious disease clinics before the recurring, site-specific and scarring nature of their symptoms is recognised as HS. The persistence of such delay is not a benign inconvenience; it allows inflammatory episodes to accumulate, tunnels to mature and scar burden to expand before definitive intervention is considered (Tsentemeidou et al., 2024). By the time many patients reach specialist care, the therapeutic problem is already structurally rather than purely inflammatory.</w:t>
      </w:r>
    </w:p>
    <w:p w:rsidR="007E195B" w:rsidRDefault="001C0DA4" w:rsidP="001D1D16">
      <w:pPr>
        <w:jc w:val="both"/>
      </w:pPr>
      <w:r>
        <w:t>Burden in HS is also distributed unevenly across symptom domains. Traditional dermatological assessment prioritises inflammatory lesion counts, but patients often identify pain, malodour, drainage, dressing dependency, sleep disturbance, sexual dysfunction and uncertainty about future flares as the dominant determinants of quality of life (Kimball, Kirby, et al., 2024; Daveluy &amp; Okoye, 2024). This matters clinically because two patients with similar lesion numbers may have radically different functional impairment depending on anatomical site, extent of tunnelling or the occupational and interpersonal consequences of drainage. The symptomatic burden is further intensified by repeated treatment cycles, long dressing routines, clinic attendance and surgical recovery, producing what has been described as a therapeutic burden in its own right.</w:t>
      </w:r>
    </w:p>
    <w:p w:rsidR="007E195B" w:rsidRDefault="001C0DA4" w:rsidP="001D1D16">
      <w:pPr>
        <w:jc w:val="both"/>
      </w:pPr>
      <w:r>
        <w:t>The population in whom HS occurs is also one in whom multimorbidity is common. Tobacco exposure, obesity, insulin resistance and metabolic syndrome occur at high frequency and influence both disease severity and management complexity (Acharya &amp; Mathur, 2020; Phan et al., 2019; Nielsen et al., 2024). These associations are not merely epidemiological curiosities. They influence the inflammatory milieu, increase frictional stress in intertriginous skin, complicate anaesthetic and wound-healing considerations, and can make long-term disease control more difficult. Consequently, epidemiology in HS should be understood not simply as a count of affected individuals, but as the description of a disorder that is systemically embedded and socially disruptive.</w:t>
      </w:r>
    </w:p>
    <w:p w:rsidR="007E195B" w:rsidRDefault="001C0DA4" w:rsidP="001D1D16">
      <w:pPr>
        <w:pStyle w:val="Heading2"/>
        <w:jc w:val="both"/>
      </w:pPr>
      <w:r>
        <w:rPr>
          <w:rFonts w:ascii="Times New Roman" w:hAnsi="Times New Roman" w:cs="Times New Roman"/>
        </w:rPr>
        <w:t>3.2 Pathogenesis and extrinsic disease modifiers</w:t>
      </w:r>
    </w:p>
    <w:p w:rsidR="007E195B" w:rsidRDefault="001C0DA4" w:rsidP="001D1D16">
      <w:pPr>
        <w:jc w:val="both"/>
      </w:pPr>
      <w:r>
        <w:t>Current models of HS pathogenesis place follicular occlusion and rupture at the centre of disease initiation, with subsequent amplification by keratinocyte dysfunction, innate and adaptive immune activation, microbial dysbiosis and environmental triggers (Nguyen et al., 2021; Nielsen et al., 2024</w:t>
      </w:r>
      <w:r w:rsidR="00170587">
        <w:t xml:space="preserve">; </w:t>
      </w:r>
      <w:proofErr w:type="spellStart"/>
      <w:r w:rsidR="00170587" w:rsidRPr="00170587">
        <w:t>Sabat</w:t>
      </w:r>
      <w:proofErr w:type="spellEnd"/>
      <w:r w:rsidR="00170587">
        <w:t xml:space="preserve"> et al., 2020; </w:t>
      </w:r>
      <w:proofErr w:type="spellStart"/>
      <w:r w:rsidR="00170587" w:rsidRPr="00170587">
        <w:t>Wolk</w:t>
      </w:r>
      <w:proofErr w:type="spellEnd"/>
      <w:r w:rsidR="00170587">
        <w:t xml:space="preserve"> et al., 2020</w:t>
      </w:r>
      <w:r>
        <w:t xml:space="preserve">). This model has important therapeutic implications. It helps explain why therapies directed only at secondary bacterial colonisation or acute inflammation often produce incomplete benefit: they do not necessarily eradicate the abnormal follicular units and epithelialised tunnels that can continue to seed </w:t>
      </w:r>
      <w:r>
        <w:lastRenderedPageBreak/>
        <w:t>recurrent disease. It also helps explain why surgery can play a mechanistically coherent role, because excision or deroofing removes diseased follicular and tunnel structures rather than merely suppressing their inflammatory output.</w:t>
      </w:r>
    </w:p>
    <w:p w:rsidR="007E195B" w:rsidRDefault="001C0DA4" w:rsidP="001D1D16">
      <w:pPr>
        <w:jc w:val="both"/>
      </w:pPr>
      <w:r>
        <w:t>Extrinsic and host factors appear to interact with this follicular core. Smoking is strongly associated with HS and may exacerbate follicular plugging, neutrophilic inflammation and systemic oxidative stress (Acharya &amp; Mathur, 2020; Nielsen et al., 2024</w:t>
      </w:r>
      <w:r w:rsidR="00170587">
        <w:t xml:space="preserve">; </w:t>
      </w:r>
      <w:proofErr w:type="spellStart"/>
      <w:r w:rsidR="00170587" w:rsidRPr="00170587">
        <w:t>Wolk</w:t>
      </w:r>
      <w:proofErr w:type="spellEnd"/>
      <w:r w:rsidR="00170587">
        <w:t xml:space="preserve"> et al., 2020</w:t>
      </w:r>
      <w:r>
        <w:t>). Obesity and metabolic syndrome may worsen disease through friction, occlusion, endocrine dysregulation and chronic low-grade inflammation (Phan et al., 2019; Nielsen et al., 2024</w:t>
      </w:r>
      <w:r w:rsidR="00170587">
        <w:t xml:space="preserve">; </w:t>
      </w:r>
      <w:proofErr w:type="spellStart"/>
      <w:r w:rsidR="00170587" w:rsidRPr="00170587">
        <w:t>Sabat</w:t>
      </w:r>
      <w:proofErr w:type="spellEnd"/>
      <w:r w:rsidR="00170587">
        <w:t xml:space="preserve"> et al., 2020</w:t>
      </w:r>
      <w:r>
        <w:t>). In some patients, these influences appear to shape a clinical phenotype dominated by recurrent inflammatory nodules, whereas in others the dominant picture is extensive tunnelling and fibrosis. From a practical standpoint, this means that pathogenesis in HS is not simply a laboratory concept but a way of understanding why some lesions remain medically modifiable while others become anatomically fixed.</w:t>
      </w:r>
    </w:p>
    <w:p w:rsidR="007E195B" w:rsidRDefault="001C0DA4" w:rsidP="001D1D16">
      <w:pPr>
        <w:jc w:val="both"/>
      </w:pPr>
      <w:r>
        <w:t>The rise of targeted immunotherapy has highlighted the relevance of inflammatory pathways involving tumour necrosis factor and the interleukin-17 axis (Kimball et al., 2016; Kimball et al., 2023; Kimball, Jemec, et al., 2024). Nevertheless, the biological success of these agents does not abolish the need for lesion-directed thinking. Even highly active systemic therapy may reduce inflammatory counts without normalising the chronic tunnel network within a repeatedly affected field. This tension between inflammatory control and structural persistence is the key biological reason why HS management cannot be reduced to pharmacology alone.</w:t>
      </w:r>
    </w:p>
    <w:p w:rsidR="007E195B" w:rsidRDefault="001C0DA4" w:rsidP="001D1D16">
      <w:pPr>
        <w:pStyle w:val="Heading2"/>
        <w:jc w:val="both"/>
      </w:pPr>
      <w:r>
        <w:rPr>
          <w:rFonts w:ascii="Times New Roman" w:hAnsi="Times New Roman" w:cs="Times New Roman"/>
        </w:rPr>
        <w:t>3.3 Phenotypes, staging and assessment challenges</w:t>
      </w:r>
    </w:p>
    <w:p w:rsidR="007E195B" w:rsidRDefault="001C0DA4" w:rsidP="001D1D16">
      <w:pPr>
        <w:jc w:val="both"/>
      </w:pPr>
      <w:r>
        <w:t>Assessment instruments in HS reflect the same duality. Hurley staging remains useful for broad stratification because it distinguishes disease dominated by isolated abscesses from disease characterised by recurrent lesions with tunnels and scarring, and finally from diffuse interconnected disease (Alikhan et al., 2019a; Zouboulis et al., 2024). However, Hurley stage is static and relatively insensitive to short-term change. The International Hidradenitis Suppurativa Severity Score System (IHS4) was developed to provide a more dynamic measurement of inflammatory burden and has improved the ability of clinicians and trialists to quantify change over time (Zouboulis et al., 2017). Even so, no single score completely captures the distinction between active inflammatory lesions and the chronic structural disease that often drives surgical decision-making.</w:t>
      </w:r>
    </w:p>
    <w:p w:rsidR="007E195B" w:rsidRDefault="001C0DA4" w:rsidP="001D1D16">
      <w:pPr>
        <w:jc w:val="both"/>
      </w:pPr>
      <w:r>
        <w:t>This limitation is increasingly recognised in studies of draining tunnels. Real-world work comparing patients with and without tunnels shows that tunnelled disease is associated with greater burden, different treatment exposure and more complex management needs (Ingram et al., 2025). Such findings reinforce what clinicians observe in practice: tunnels are not a minor epiphenomenon but a marker of persistent, locally entrenched disease. A patient may meet an inflammatory response threshold while retaining functionally important scar bridges and sinus tracts that continue to leak, hurt or flare. In that scenario, trial endpoints can suggest improvement while the patient remains dissatisfied.</w:t>
      </w:r>
    </w:p>
    <w:p w:rsidR="007E195B" w:rsidRDefault="001C0DA4" w:rsidP="001D1D16">
      <w:pPr>
        <w:jc w:val="both"/>
      </w:pPr>
      <w:r>
        <w:lastRenderedPageBreak/>
        <w:t>A sophisticated review of HS management must therefore distinguish between inflammatory severity, anatomical damage and patient-experienced burden. The failure to separate these domains has historically contributed to overly linear treatment pathways and to the underuse of surgery in patients whose main unmet need is clearance of irreversible disease rather than further escalation of systemic suppression alone.</w:t>
      </w:r>
    </w:p>
    <w:p w:rsidR="007E195B" w:rsidRDefault="001C0DA4" w:rsidP="001D1D16">
      <w:pPr>
        <w:pStyle w:val="Heading1"/>
        <w:jc w:val="both"/>
      </w:pPr>
      <w:r>
        <w:rPr>
          <w:rFonts w:ascii="Times New Roman" w:hAnsi="Times New Roman" w:cs="Times New Roman"/>
        </w:rPr>
        <w:t>4. Why HS management remains difficult</w:t>
      </w:r>
    </w:p>
    <w:p w:rsidR="007E195B" w:rsidRDefault="001C0DA4" w:rsidP="001D1D16">
      <w:pPr>
        <w:pStyle w:val="Heading2"/>
        <w:jc w:val="both"/>
      </w:pPr>
      <w:r>
        <w:rPr>
          <w:rFonts w:ascii="Times New Roman" w:hAnsi="Times New Roman" w:cs="Times New Roman"/>
        </w:rPr>
        <w:t>4.1 Clinical heterogeneity and therapeutic drift</w:t>
      </w:r>
    </w:p>
    <w:p w:rsidR="007E195B" w:rsidRDefault="001C0DA4" w:rsidP="001D1D16">
      <w:pPr>
        <w:jc w:val="both"/>
      </w:pPr>
      <w:r>
        <w:t>The first major management challenge in HS is heterogeneity. Patients differ not only in disease severity, but in lesion morphology, anatomical distribution, tempo of progression, associated comorbidity and tolerance of previous treatment. Some present with recurrent inflammatory nodules and intermittent abscesses that remain relatively localised; others accumulate broad zones of bridged scarring and epithelialised tunnels in which inflammatory episodes arise from a chronically altered tissue bed. Guideline-based care is essential, but guidelines alone cannot solve the clinical problem when the same label encompasses both a biologically active inflammatory process and a surgically addressable structural disorder (Alikhan et al., 2019a; Alikhan et al., 2019b; Zouboulis et al., 2024).</w:t>
      </w:r>
    </w:p>
    <w:p w:rsidR="007E195B" w:rsidRDefault="001C0DA4" w:rsidP="001D1D16">
      <w:pPr>
        <w:jc w:val="both"/>
      </w:pPr>
      <w:r>
        <w:t>This heterogeneity also creates a mismatch between what clinicians aim to control and what patients most want relieved. The clinician may focus on reducing inflammatory lesion count, while the patient prioritises odour, drainage, freedom from dressings, ability to sit comfortably or confidence in intimate relationships. When these goals are not explicitly reconciled, treatment escalation can become repetitive and demoralising. A patient may receive serial antibiotic courses or biologic switching despite the fact that the most disabling lesion is a chronic tunnel complex in one axilla or groin that is unlikely to regress completely without a procedure.</w:t>
      </w:r>
    </w:p>
    <w:p w:rsidR="007E195B" w:rsidRDefault="001C0DA4" w:rsidP="001D1D16">
      <w:pPr>
        <w:jc w:val="both"/>
      </w:pPr>
      <w:r>
        <w:t>In addition, the course of HS often alternates between acute exacerbation and chronic background activity. This temporal fluctuation can lead to therapeutic indecision. During an acute flare, surgery may appear undesirable because of pain, oedema or infection concern. Once the flare settles, however, the opportunity for definitive local treatment may be missed, particularly if care is fragmented across specialties. As a result, patients can cycle for years between temporary control and recurrence without a clear transition to lesion-eliminating therapy (Touhouche et al., 2020; Wong et al., 2024).</w:t>
      </w:r>
    </w:p>
    <w:p w:rsidR="007E195B" w:rsidRDefault="001C0DA4" w:rsidP="001D1D16">
      <w:pPr>
        <w:pStyle w:val="Heading2"/>
        <w:jc w:val="both"/>
      </w:pPr>
      <w:r>
        <w:rPr>
          <w:rFonts w:ascii="Times New Roman" w:hAnsi="Times New Roman" w:cs="Times New Roman"/>
        </w:rPr>
        <w:t>4.2 Comorbidity, stigma and therapeutic burden</w:t>
      </w:r>
    </w:p>
    <w:p w:rsidR="007E195B" w:rsidRDefault="001C0DA4" w:rsidP="001D1D16">
      <w:pPr>
        <w:jc w:val="both"/>
      </w:pPr>
      <w:r>
        <w:t>A second challenge is the density of comorbidity surrounding HS. Smoking, obesity and metabolic syndrome are not merely background features; they interact with disease activity, mechanical stress and treatment outcomes (Acharya &amp; Mathur, 2020; Phan et al., 2019; Nielsen et al., 2024). Mental health burden is likewise substantial, and it is often amplified by stigma, chronic pain, delayed diagnosis and the exhausting practicalities of dressings and clinic visits (</w:t>
      </w:r>
      <w:r w:rsidR="00170587">
        <w:rPr>
          <w:rFonts w:eastAsia="Times New Roman"/>
          <w:szCs w:val="24"/>
        </w:rPr>
        <w:t xml:space="preserve">Machado </w:t>
      </w:r>
      <w:r w:rsidR="00170587">
        <w:t xml:space="preserve">et al., 2019; </w:t>
      </w:r>
      <w:r>
        <w:t xml:space="preserve">Kimball, Kirby, et al., 2024; Daveluy &amp; Okoye, 2024). When comorbid depression, anxiety, diabetes or inflammatory bowel disease coexist, </w:t>
      </w:r>
      <w:r>
        <w:lastRenderedPageBreak/>
        <w:t>treatment planning becomes more complex and time-consuming, and adherence may be compromised even in highly motivated patients</w:t>
      </w:r>
      <w:r w:rsidR="00B251E5">
        <w:t xml:space="preserve"> (</w:t>
      </w:r>
      <w:proofErr w:type="spellStart"/>
      <w:r w:rsidR="00B251E5">
        <w:rPr>
          <w:rFonts w:eastAsia="Times New Roman"/>
          <w:szCs w:val="24"/>
        </w:rPr>
        <w:t>Deckers</w:t>
      </w:r>
      <w:proofErr w:type="spellEnd"/>
      <w:r w:rsidR="00B251E5">
        <w:rPr>
          <w:rFonts w:eastAsia="Times New Roman"/>
          <w:szCs w:val="24"/>
        </w:rPr>
        <w:t xml:space="preserve"> </w:t>
      </w:r>
      <w:r w:rsidR="00B251E5">
        <w:t>et al., 2017)</w:t>
      </w:r>
      <w:r>
        <w:t>.</w:t>
      </w:r>
    </w:p>
    <w:p w:rsidR="007E195B" w:rsidRDefault="001C0DA4" w:rsidP="001D1D16">
      <w:pPr>
        <w:jc w:val="both"/>
      </w:pPr>
      <w:r>
        <w:t>The cumulative practical burden of HS deserves particular emphasis. Dressings may need frequent changing, clothing choices become strategic, and work or social plans are shaped around the fear of leakage, odour or sudden pain. Postoperative recovery can itself be substantial, especially when wide excision heals by secondary intention. Yet the alternative—ongoing chronic disease without definitive local control—can be even more disabling. The relevant clinical question is therefore not whether treatment is burdensome, but which burden is more acceptable and more likely to lead to sustained improvement. This is why genuinely shared decision-making is essential in HS and why procedural timing must be discussed in terms of long-term burden rather than short-term inconvenience.</w:t>
      </w:r>
    </w:p>
    <w:p w:rsidR="007E195B" w:rsidRDefault="001C0DA4" w:rsidP="001D1D16">
      <w:pPr>
        <w:jc w:val="both"/>
      </w:pPr>
      <w:r>
        <w:t>A third layer of complexity arises from the therapeutic burden of modern care. Biologics require monitoring, funding approval and adherence; office procedures require access to trained clinicians; major excision requires operative coordination and wound-care support. Patients with the greatest disease burden are often those least able to navigate such complex pathways. In this respect, HS exposes a broader health-system challenge: successful treatment depends not only on scientific advances but also on coordinated service design.</w:t>
      </w:r>
    </w:p>
    <w:p w:rsidR="007E195B" w:rsidRDefault="001C0DA4" w:rsidP="001D1D16">
      <w:pPr>
        <w:pStyle w:val="Heading2"/>
        <w:jc w:val="both"/>
      </w:pPr>
      <w:r>
        <w:rPr>
          <w:rFonts w:ascii="Times New Roman" w:hAnsi="Times New Roman" w:cs="Times New Roman"/>
        </w:rPr>
        <w:t>4.3 Endpoints, evidence gaps and care fragmentation</w:t>
      </w:r>
    </w:p>
    <w:p w:rsidR="007E195B" w:rsidRDefault="001C0DA4" w:rsidP="001D1D16">
      <w:pPr>
        <w:jc w:val="both"/>
      </w:pPr>
      <w:r>
        <w:t>Finally, outcome measurement remains an underappreciated barrier to optimal management. The most widely used trial endpoint, HS Clinical Response, has been critical for drug development and remains clinically useful. However, it emphasises inflammatory nodules and abscesses and is less sensitive to the chronic tunnel burden that often drives procedural need (Kimball et al., 2016; Kimball et al., 2023; Ingram et al., 2025). IHS4 improves dynamic assessment of inflammatory severity but does not fully replace careful anatomical examination, palpation, probing or adjunctive imaging when the operative question is whether tissue architecture has become irreversibly diseased (Zouboulis et al., 2017). This has real consequences. Medical trials may report meaningful mean improvement while leaving a subset of patients with persistent, highly symptomatic tunnel complexes that warrant surgery.</w:t>
      </w:r>
    </w:p>
    <w:p w:rsidR="007E195B" w:rsidRDefault="001C0DA4" w:rsidP="001D1D16">
      <w:pPr>
        <w:jc w:val="both"/>
      </w:pPr>
      <w:r>
        <w:t>The literature on surgery is also methodologically heterogeneous. Definitions of recurrence vary; anatomical sites are often pooled; closure methods are selected according to defect size rather than random assignment; and follow-up intervals differ substantially (Mehdizadeh et al., 2015; Bouazzi et al., 2020; Riddle et al., 2021). Because of this, clinicians must be cautious about comparing absolute recurrence percentages across studies as though they were directly interchangeable. What is more reliable is the recurrent signal across systematic reviews that limited procedures have different aims from wide excision, that reconstruction choice influences outcomes, and that the quality of evidence still lags behind the clinical importance of the topic.</w:t>
      </w:r>
    </w:p>
    <w:p w:rsidR="007E195B" w:rsidRDefault="001C0DA4" w:rsidP="001D1D16">
      <w:pPr>
        <w:jc w:val="both"/>
      </w:pPr>
      <w:r>
        <w:t xml:space="preserve">Taken together, these challenges mean that HS care fails when it is too linear, too discipline-specific or too endpoint-driven. The disease requires a model in which burden, biology and </w:t>
      </w:r>
      <w:r>
        <w:lastRenderedPageBreak/>
        <w:t>anatomy are considered simultaneously. Within such a model, surgery becomes not a competing philosophy but one of the principal tools for reconciling these domains.</w:t>
      </w:r>
    </w:p>
    <w:p w:rsidR="007E195B" w:rsidRDefault="001C0DA4" w:rsidP="001D1D16">
      <w:pPr>
        <w:pStyle w:val="Heading1"/>
        <w:jc w:val="both"/>
      </w:pPr>
      <w:r>
        <w:rPr>
          <w:rFonts w:ascii="Times New Roman" w:hAnsi="Times New Roman" w:cs="Times New Roman"/>
        </w:rPr>
        <w:t>5. Contemporary non-surgical management</w:t>
      </w:r>
    </w:p>
    <w:p w:rsidR="007E195B" w:rsidRDefault="001C0DA4" w:rsidP="001D1D16">
      <w:pPr>
        <w:pStyle w:val="Heading2"/>
        <w:jc w:val="both"/>
      </w:pPr>
      <w:r>
        <w:rPr>
          <w:rFonts w:ascii="Times New Roman" w:hAnsi="Times New Roman" w:cs="Times New Roman"/>
        </w:rPr>
        <w:t>5.1 Foundational care, lifestyle and wound support</w:t>
      </w:r>
    </w:p>
    <w:p w:rsidR="007E195B" w:rsidRDefault="001C0DA4" w:rsidP="001D1D16">
      <w:pPr>
        <w:jc w:val="both"/>
      </w:pPr>
      <w:r>
        <w:t>The foundational layer of HS management remains supportive and risk-modifying care. All major guidelines emphasise smoking cessation, weight optimisation where relevant, reduction of friction, appropriate cleansing, wound management and psychosocial support as necessary complements to lesion-directed therapy (Alikhan et al., 2019a; Zouboulis et al., 2024; Dagenet et al., 2025). These interventions are sometimes dismissed as “conservative” measures, but that description understates their importance. In a disease concentrated in occluded intertriginous sites, changes in frictional stress, moisture and dressing strategy can materially affect daily symptom burden even when they do not alter long-term inflammatory biology. Patients also benefit when clinicians normalise the need for practical wound-care discussion rather than treating dressings as an afterthought.</w:t>
      </w:r>
    </w:p>
    <w:p w:rsidR="007E195B" w:rsidRDefault="001C0DA4" w:rsidP="001D1D16">
      <w:pPr>
        <w:jc w:val="both"/>
      </w:pPr>
      <w:r>
        <w:t>Supportive treatment, however, has limits. Lifestyle modification is slow, difficult and often constrained by comorbid pain, obesity, low mood and socioeconomic factors. Advising weight reduction or smoking cessation without providing structured support can leave patients feeling blamed for a disease they did not choose. The goal should instead be therapeutic partnership: risk-factor optimisation is framed as one component of disease control and surgical safety, not as a precondition for compassion or specialist treatment (Dagenet et al., 2025; Touhouche et al., 2020). This distinction matters especially when surgery is being considered, because risk modification should improve outcomes without becoming a gatekeeping mechanism that indefinitely postpones definitive care.</w:t>
      </w:r>
    </w:p>
    <w:p w:rsidR="007E195B" w:rsidRDefault="001C0DA4" w:rsidP="001D1D16">
      <w:pPr>
        <w:jc w:val="both"/>
      </w:pPr>
      <w:r>
        <w:t>Pain management and wound care deserve specific mention. HS pain has inflammatory, neuropathic, mechanical and postoperative components</w:t>
      </w:r>
      <w:r w:rsidR="00B251E5">
        <w:t xml:space="preserve"> (</w:t>
      </w:r>
      <w:proofErr w:type="spellStart"/>
      <w:r w:rsidR="00B251E5">
        <w:rPr>
          <w:rFonts w:eastAsia="Times New Roman"/>
          <w:szCs w:val="24"/>
        </w:rPr>
        <w:t>Zouboulis</w:t>
      </w:r>
      <w:proofErr w:type="spellEnd"/>
      <w:r w:rsidR="00B251E5">
        <w:t>, 2021)</w:t>
      </w:r>
      <w:r>
        <w:t>. Absorptive dressings, atraumatic tape choices, topical barriers, analgesic plans and realistic expectations about drainage after procedures can significantly influence adherence and quality of life. In routine practice, these details often determine whether a management plan feels feasible to the patient. A technically correct treatment recommendation can fail if it is not paired with practical advice on how to live with the disease between visits.</w:t>
      </w:r>
    </w:p>
    <w:p w:rsidR="007E195B" w:rsidRDefault="001C0DA4" w:rsidP="001D1D16">
      <w:pPr>
        <w:pStyle w:val="Heading2"/>
        <w:jc w:val="both"/>
      </w:pPr>
      <w:r>
        <w:rPr>
          <w:rFonts w:ascii="Times New Roman" w:hAnsi="Times New Roman" w:cs="Times New Roman"/>
        </w:rPr>
        <w:t>5.2 Antibiotics and anti-inflammatory regimens</w:t>
      </w:r>
    </w:p>
    <w:p w:rsidR="007E195B" w:rsidRDefault="001C0DA4" w:rsidP="001D1D16">
      <w:pPr>
        <w:jc w:val="both"/>
      </w:pPr>
      <w:r>
        <w:t>For mild or more inflammatory phenotypes, medical management usually begins with topical and systemic anti-inflammatory or antimicrobial strategies. Topical clindamycin, intralesional corticosteroids, short courses of oral tetracyclines and combination antibiotic regimens such as clindamycin with rifampicin remain central elements of guideline-based care (</w:t>
      </w:r>
      <w:r w:rsidR="00ED0111">
        <w:rPr>
          <w:rFonts w:eastAsia="Times New Roman"/>
          <w:szCs w:val="24"/>
        </w:rPr>
        <w:t xml:space="preserve">van der Zee </w:t>
      </w:r>
      <w:r w:rsidR="00ED0111">
        <w:t xml:space="preserve">et al., 2009; </w:t>
      </w:r>
      <w:proofErr w:type="spellStart"/>
      <w:r w:rsidR="00ED0111">
        <w:rPr>
          <w:rFonts w:eastAsia="Times New Roman"/>
          <w:szCs w:val="24"/>
        </w:rPr>
        <w:t>Gener</w:t>
      </w:r>
      <w:proofErr w:type="spellEnd"/>
      <w:r w:rsidR="00ED0111">
        <w:rPr>
          <w:rFonts w:eastAsia="Times New Roman"/>
          <w:szCs w:val="24"/>
        </w:rPr>
        <w:t xml:space="preserve"> </w:t>
      </w:r>
      <w:r w:rsidR="00ED0111">
        <w:t xml:space="preserve">et al., 2009; </w:t>
      </w:r>
      <w:proofErr w:type="spellStart"/>
      <w:r w:rsidR="00ED0111">
        <w:rPr>
          <w:rFonts w:eastAsia="Times New Roman"/>
          <w:szCs w:val="24"/>
        </w:rPr>
        <w:t>Jemec</w:t>
      </w:r>
      <w:proofErr w:type="spellEnd"/>
      <w:r w:rsidR="00ED0111">
        <w:rPr>
          <w:rFonts w:eastAsia="Times New Roman"/>
          <w:szCs w:val="24"/>
        </w:rPr>
        <w:t xml:space="preserve"> &amp; </w:t>
      </w:r>
      <w:proofErr w:type="spellStart"/>
      <w:r w:rsidR="00ED0111">
        <w:rPr>
          <w:rFonts w:eastAsia="Times New Roman"/>
          <w:szCs w:val="24"/>
        </w:rPr>
        <w:t>Wendelboe</w:t>
      </w:r>
      <w:proofErr w:type="spellEnd"/>
      <w:r w:rsidR="00ED0111">
        <w:rPr>
          <w:rFonts w:eastAsia="Times New Roman"/>
          <w:szCs w:val="24"/>
        </w:rPr>
        <w:t xml:space="preserve">, 1998; </w:t>
      </w:r>
      <w:r w:rsidR="00C67EAB">
        <w:rPr>
          <w:rFonts w:eastAsia="Times New Roman"/>
          <w:szCs w:val="24"/>
        </w:rPr>
        <w:t xml:space="preserve">van </w:t>
      </w:r>
      <w:proofErr w:type="spellStart"/>
      <w:r w:rsidR="00C67EAB">
        <w:rPr>
          <w:rFonts w:eastAsia="Times New Roman"/>
          <w:szCs w:val="24"/>
        </w:rPr>
        <w:t>Straalen</w:t>
      </w:r>
      <w:proofErr w:type="spellEnd"/>
      <w:r w:rsidR="00C67EAB">
        <w:rPr>
          <w:rFonts w:eastAsia="Times New Roman"/>
          <w:szCs w:val="24"/>
        </w:rPr>
        <w:t xml:space="preserve"> </w:t>
      </w:r>
      <w:r w:rsidR="00C67EAB">
        <w:t xml:space="preserve">et al., 2021; </w:t>
      </w:r>
      <w:proofErr w:type="spellStart"/>
      <w:r>
        <w:t>Alikhan</w:t>
      </w:r>
      <w:proofErr w:type="spellEnd"/>
      <w:r>
        <w:t xml:space="preserve"> et al., 2019b; Zouboulis et al., 2024). In selected patients, these interventions reduce flare frequency and bridge the patient towards either more durable medical therapy or a well-timed procedure. They are especially useful when inflammation is active but tissue destruction is still limited.</w:t>
      </w:r>
    </w:p>
    <w:p w:rsidR="007E195B" w:rsidRDefault="001C0DA4" w:rsidP="001D1D16">
      <w:pPr>
        <w:jc w:val="both"/>
      </w:pPr>
      <w:r>
        <w:lastRenderedPageBreak/>
        <w:t>Nonetheless, antibiotics in HS occupy a therapeutically ambiguous position. They may reduce bacterial load and modulate inflammation, but they do not reliably eliminate established tunnels or fibrotic scar complexes. Repeated cycling of antibiotic regimens can therefore become a form of therapeutic drift, particularly when the principal problem is chronic local architecture rather than diffuse inflammatory activity. This does not mean antibiotics are unimportant; rather, it means their goals must be explicit. They are often best used to suppress acute inflammation, calm superinfection concerns and optimise the patient for subsequent definitive intervention when structural disease is obvious (Alikhan et al., 2019b; Wong et al., 2024).</w:t>
      </w:r>
    </w:p>
    <w:p w:rsidR="007E195B" w:rsidRDefault="001C0DA4" w:rsidP="001D1D16">
      <w:pPr>
        <w:jc w:val="both"/>
      </w:pPr>
      <w:r>
        <w:t>Clinical experience supports the view that the response of an acute inflammatory nodule and the response of a mature tunnel are fundamentally different biological events. The former may flatten under systemic anti-inflammatory treatment; the latter may continue to drain intermittently because its epithelialised tract persists. Failure to recognise this distinction is a common reason for prolonged, partially effective medical management and delayed referral for deroofing or excision.</w:t>
      </w:r>
    </w:p>
    <w:p w:rsidR="007E195B" w:rsidRDefault="001C0DA4" w:rsidP="001D1D16">
      <w:pPr>
        <w:pStyle w:val="Heading2"/>
        <w:jc w:val="both"/>
      </w:pPr>
      <w:r>
        <w:rPr>
          <w:rFonts w:ascii="Times New Roman" w:hAnsi="Times New Roman" w:cs="Times New Roman"/>
        </w:rPr>
        <w:t>5.3 Hormonal, metabolic and adjunctive strategies</w:t>
      </w:r>
    </w:p>
    <w:p w:rsidR="007E195B" w:rsidRDefault="001C0DA4" w:rsidP="001D1D16">
      <w:pPr>
        <w:jc w:val="both"/>
      </w:pPr>
      <w:r>
        <w:t>Adjunctive medical strategies are often chosen according to phenotype and comorbidity. Hormonal therapy may be reasonable in selected women with perimenstrual flares or hyperandrogenic features, while metformin can be attractive in patients with insulin resistance or metabolic syndrome (</w:t>
      </w:r>
      <w:proofErr w:type="spellStart"/>
      <w:r w:rsidR="00BC593F">
        <w:rPr>
          <w:rFonts w:eastAsia="Times New Roman"/>
          <w:szCs w:val="24"/>
        </w:rPr>
        <w:t>Golbari</w:t>
      </w:r>
      <w:proofErr w:type="spellEnd"/>
      <w:r w:rsidR="00BC593F">
        <w:rPr>
          <w:rFonts w:eastAsia="Times New Roman"/>
          <w:szCs w:val="24"/>
        </w:rPr>
        <w:t xml:space="preserve"> </w:t>
      </w:r>
      <w:r w:rsidR="00BC593F">
        <w:t>et al., 2019;</w:t>
      </w:r>
      <w:r w:rsidR="00CD226D">
        <w:t xml:space="preserve"> </w:t>
      </w:r>
      <w:r w:rsidR="00CD226D">
        <w:rPr>
          <w:rFonts w:eastAsia="Times New Roman"/>
          <w:szCs w:val="24"/>
        </w:rPr>
        <w:t xml:space="preserve">Kraft &amp; Searles, 2007; </w:t>
      </w:r>
      <w:proofErr w:type="spellStart"/>
      <w:r w:rsidR="00CD226D">
        <w:rPr>
          <w:rFonts w:eastAsia="Times New Roman"/>
          <w:szCs w:val="24"/>
        </w:rPr>
        <w:t>Verdolini</w:t>
      </w:r>
      <w:proofErr w:type="spellEnd"/>
      <w:r w:rsidR="00CD226D">
        <w:rPr>
          <w:rFonts w:eastAsia="Times New Roman"/>
          <w:szCs w:val="24"/>
        </w:rPr>
        <w:t xml:space="preserve"> </w:t>
      </w:r>
      <w:r w:rsidR="00CD226D">
        <w:t xml:space="preserve">et al., 2013; </w:t>
      </w:r>
      <w:proofErr w:type="spellStart"/>
      <w:r>
        <w:t>Alikhan</w:t>
      </w:r>
      <w:proofErr w:type="spellEnd"/>
      <w:r>
        <w:t xml:space="preserve"> et al., 2019b; Zouboulis et al., 2024; Phan et al., 2019). Retinoids and other systemic agents have more variable evidence and narrower niches</w:t>
      </w:r>
      <w:r w:rsidR="00CD226D">
        <w:t xml:space="preserve"> (</w:t>
      </w:r>
      <w:r w:rsidR="00CD226D">
        <w:rPr>
          <w:rFonts w:eastAsia="Times New Roman"/>
          <w:szCs w:val="24"/>
        </w:rPr>
        <w:t xml:space="preserve">Soria </w:t>
      </w:r>
      <w:r w:rsidR="00CD226D">
        <w:t xml:space="preserve">et al., 2009; </w:t>
      </w:r>
      <w:r w:rsidR="00CD226D">
        <w:rPr>
          <w:rFonts w:eastAsia="Times New Roman"/>
          <w:szCs w:val="24"/>
        </w:rPr>
        <w:t xml:space="preserve">Boer &amp; </w:t>
      </w:r>
      <w:proofErr w:type="spellStart"/>
      <w:r w:rsidR="00CD226D">
        <w:rPr>
          <w:rFonts w:eastAsia="Times New Roman"/>
          <w:szCs w:val="24"/>
        </w:rPr>
        <w:t>Nazary</w:t>
      </w:r>
      <w:proofErr w:type="spellEnd"/>
      <w:r w:rsidR="00CD226D">
        <w:rPr>
          <w:rFonts w:eastAsia="Times New Roman"/>
          <w:szCs w:val="24"/>
        </w:rPr>
        <w:t>, 2011</w:t>
      </w:r>
      <w:proofErr w:type="gramStart"/>
      <w:r w:rsidR="00CD226D">
        <w:rPr>
          <w:rFonts w:eastAsia="Times New Roman"/>
          <w:szCs w:val="24"/>
        </w:rPr>
        <w:t>)</w:t>
      </w:r>
      <w:r w:rsidR="00CD226D">
        <w:t xml:space="preserve"> </w:t>
      </w:r>
      <w:r w:rsidR="00CD226D">
        <w:rPr>
          <w:rFonts w:eastAsia="Times New Roman"/>
          <w:szCs w:val="24"/>
        </w:rPr>
        <w:t xml:space="preserve"> </w:t>
      </w:r>
      <w:r>
        <w:t>.</w:t>
      </w:r>
      <w:proofErr w:type="gramEnd"/>
      <w:r>
        <w:t xml:space="preserve"> The central point is that adjunctive therapies should be matched to patient context rather than applied reflexively after antibiotic failure.</w:t>
      </w:r>
    </w:p>
    <w:p w:rsidR="007E195B" w:rsidRDefault="001C0DA4" w:rsidP="001D1D16">
      <w:pPr>
        <w:jc w:val="both"/>
      </w:pPr>
      <w:r>
        <w:t>In practice, such agents can be valuable when they allow clinicians to reduce flare frequency, minimise antibiotic exposure and stabilise disease before or after surgery. Yet they rarely solve the full problem when extensive tunnels, scar bridges or recurrent anatomically fixed lesions are already present. For that reason, adjunctive therapy should be interpreted as part of a layered strategy: it may lower inflammatory pressure, but it usually does not replace lesion-specific clearance where irreversible disease has developed</w:t>
      </w:r>
      <w:r w:rsidR="00CD226D">
        <w:t xml:space="preserve"> (</w:t>
      </w:r>
      <w:proofErr w:type="spellStart"/>
      <w:r w:rsidR="00CD226D">
        <w:rPr>
          <w:rFonts w:eastAsia="Times New Roman"/>
          <w:szCs w:val="24"/>
        </w:rPr>
        <w:t>Golbari</w:t>
      </w:r>
      <w:proofErr w:type="spellEnd"/>
      <w:r w:rsidR="00CD226D">
        <w:rPr>
          <w:rFonts w:eastAsia="Times New Roman"/>
          <w:szCs w:val="24"/>
        </w:rPr>
        <w:t xml:space="preserve"> </w:t>
      </w:r>
      <w:r w:rsidR="00CD226D">
        <w:t xml:space="preserve">et al., 2019; </w:t>
      </w:r>
      <w:r w:rsidR="00CD226D">
        <w:rPr>
          <w:rFonts w:eastAsia="Times New Roman"/>
          <w:szCs w:val="24"/>
        </w:rPr>
        <w:t>Kraft &amp; Searles, 2007;</w:t>
      </w:r>
      <w:r w:rsidR="00CD226D">
        <w:t xml:space="preserve"> </w:t>
      </w:r>
      <w:proofErr w:type="spellStart"/>
      <w:r w:rsidR="00CD226D">
        <w:t>Zouboulis</w:t>
      </w:r>
      <w:proofErr w:type="spellEnd"/>
      <w:r w:rsidR="00CD226D">
        <w:t xml:space="preserve"> et al., 2024; Phan et al., 2019)</w:t>
      </w:r>
      <w:r>
        <w:t>.</w:t>
      </w:r>
    </w:p>
    <w:p w:rsidR="007E195B" w:rsidRDefault="001C0DA4" w:rsidP="001D1D16">
      <w:pPr>
        <w:jc w:val="both"/>
      </w:pPr>
      <w:r>
        <w:t>This broader treatment philosophy is important because patients often arrive having experienced a long sequence of empiric regimens, each with modest benefit but none with a clear overarching plan. A stronger clinical framework distinguishes what is being treated at each stage: diffuse inflammatory activity, comorbid metabolic drivers, acute painful flares, chronic tunnelled lesions, or postoperative suppression of disease beyond the excised field. Once those targets are separated, escalation becomes more rational and patient counselling becomes more honest.</w:t>
      </w:r>
    </w:p>
    <w:p w:rsidR="007E195B" w:rsidRDefault="001C0DA4" w:rsidP="001D1D16">
      <w:pPr>
        <w:pStyle w:val="Heading2"/>
        <w:jc w:val="both"/>
      </w:pPr>
      <w:r>
        <w:rPr>
          <w:rFonts w:ascii="Times New Roman" w:hAnsi="Times New Roman" w:cs="Times New Roman"/>
        </w:rPr>
        <w:t>5.4 Biologics and targeted small molecules</w:t>
      </w:r>
    </w:p>
    <w:p w:rsidR="007E195B" w:rsidRDefault="001C0DA4" w:rsidP="001D1D16">
      <w:pPr>
        <w:jc w:val="both"/>
      </w:pPr>
      <w:r>
        <w:t xml:space="preserve">The modern biologic era has transformed the medical landscape of HS. Adalimumab established proof of concept in two phase 3 trials, demonstrating superior short-term clinical </w:t>
      </w:r>
      <w:r>
        <w:lastRenderedPageBreak/>
        <w:t>response compared with placebo and creating the first robust platform for evidence-based biologic care in moderate-to-severe disease (Kimball et al., 2016). Subsequent integrated analyses clarified medium-term dosing strategy and reinforced the importance of sustained weekly administration in patients who respond (Jemec et al., 2019). Even so, the absolute response rates in pivotal studies remind clinicians that biologic efficacy is meaningful rather than miraculous; a substantial proportion of patients do not achieve satisfactory control, and some who respond still retain problematic localised structural disease.</w:t>
      </w:r>
    </w:p>
    <w:p w:rsidR="007E195B" w:rsidRDefault="001C0DA4" w:rsidP="001D1D16">
      <w:pPr>
        <w:jc w:val="both"/>
      </w:pPr>
      <w:r>
        <w:t>The interleukin-17 pathway has further expanded therapeutic possibilities. Phase 3 trials of secukinumab demonstrated clinically important benefits with durable responses to 52 weeks, while bimekizumab trials showed strong efficacy across 48 weeks and later pooled extension data suggested sustained benefit over longer treatment horizons (Kimball et al., 2023; Kimball, Jemec, et al., 2024; Sayed et al., 2026). Early-phase work with Janus kinase inhibition, including upadacitinib, suggests that the targeted-therapy landscape will continue to diversify (Ackerman et al., 2025). From the standpoint of surgical decision-making, however, these advances do not abolish the need for procedures. Instead, they create opportunities to reduce background inflammatory load, control disease in non-operated regions and optimise surgical timing.</w:t>
      </w:r>
    </w:p>
    <w:p w:rsidR="007E195B" w:rsidRDefault="001C0DA4" w:rsidP="001D1D16">
      <w:pPr>
        <w:jc w:val="both"/>
      </w:pPr>
      <w:r>
        <w:t>The critical limitation of all systemic therapy in HS is that even highly effective inflammatory suppression does not necessarily reverse mature tunnel architecture. Patients with draining tunnel-dominant disease illustrate this limitation particularly clearly (Ingram et al., 2025). A lesion may become less inflamed under biologic treatment yet continue to discharge intermittently because the epithelial tunnel persists. Hence the most productive way to view biologics is not as alternatives to surgery, but as agents that can either postpone, reduce or strategically complement surgery depending on phenotype, anatomy and response. This is the conceptual shift that underpins contemporary integrated care.</w:t>
      </w:r>
    </w:p>
    <w:p w:rsidR="007E195B" w:rsidRDefault="001C0DA4" w:rsidP="001D1D16">
      <w:pPr>
        <w:pStyle w:val="Heading1"/>
        <w:jc w:val="both"/>
      </w:pPr>
      <w:r>
        <w:rPr>
          <w:rFonts w:ascii="Times New Roman" w:hAnsi="Times New Roman" w:cs="Times New Roman"/>
        </w:rPr>
        <w:t>6. Defining the surgical role in HS</w:t>
      </w:r>
    </w:p>
    <w:p w:rsidR="007E195B" w:rsidRDefault="001C0DA4" w:rsidP="001D1D16">
      <w:pPr>
        <w:pStyle w:val="Heading2"/>
        <w:jc w:val="both"/>
      </w:pPr>
      <w:r>
        <w:rPr>
          <w:rFonts w:ascii="Times New Roman" w:hAnsi="Times New Roman" w:cs="Times New Roman"/>
        </w:rPr>
        <w:t>6.1 Rationale and indications</w:t>
      </w:r>
    </w:p>
    <w:p w:rsidR="007E195B" w:rsidRDefault="001C0DA4" w:rsidP="001D1D16">
      <w:pPr>
        <w:jc w:val="both"/>
      </w:pPr>
      <w:r>
        <w:t>Surgery in HS has a unique therapeutic logic. Whereas medical therapy primarily suppresses inflammatory signalling, surgery can physically remove diseased follicles, epithelialised tunnels and scarred tissue planes that have become chronic reservoirs of recurrence. This distinction is central to procedure selection. The indication for surgery is not simply “failure of medication” in a general sense, but the presence of lesions whose biology and anatomy make durable medical reversal unlikely. Recurrent tunnels in a confined anatomical site, scarred plaques with repeated drainage, painful fibrotic cords that restrict movement, and suspicious chronic wounds that require histological assessment are all examples of problems in which surgery is often mechanistically more appropriate than further incremental medical escalation (Alikhan et al., 2019a; Zouboulis et al., 2024; Wong et al., 2024).</w:t>
      </w:r>
    </w:p>
    <w:p w:rsidR="007E195B" w:rsidRDefault="001C0DA4" w:rsidP="001D1D16">
      <w:pPr>
        <w:jc w:val="both"/>
      </w:pPr>
      <w:r>
        <w:t xml:space="preserve">Seen in this light, the common historical framing of surgery as a last resort is too crude. It remains true that major excision can carry significant wound burden and that poorly timed surgery in uncontrolled acute inflammation may be undesirable. Yet delaying all procedures until disease is diffuse and mutilating can itself be harmful. Contemporary reviews </w:t>
      </w:r>
      <w:r>
        <w:lastRenderedPageBreak/>
        <w:t>increasingly argue for earlier operative consideration when lesions are localised, anatomically well mapped and clearly irreversible, because earlier intervention may preserve function, shorten cumulative disease duration and reduce the need for repeated temporising treatments (Wong et al., 2024; Riddle et al., 2021). The challenge is not whether surgery should be “early” or “late” in an abstract sense, but whether the lesion in front of the clinician is one that can plausibly resolve without excision or deroofing.</w:t>
      </w:r>
    </w:p>
    <w:p w:rsidR="007E195B" w:rsidRDefault="001C0DA4" w:rsidP="001D1D16">
      <w:pPr>
        <w:jc w:val="both"/>
      </w:pPr>
      <w:r>
        <w:t>Indication also depends on scale. Tissue-sparing approaches may suit isolated tunnels or limited recurrent nodules, while wide excision is generally reserved for more extensive Hurley II or III disease with confluent tunnels and scarred fields. Importantly, extensive disease in one region does not mean that all regions require the same surgical intensity. HS often demands anatomical pluralism: a patient may need biologic suppression for general inflammatory control, deroofing of one axillary tunnel complex, and watchful non-operative management of a second site.</w:t>
      </w:r>
    </w:p>
    <w:p w:rsidR="007E195B" w:rsidRDefault="001C0DA4" w:rsidP="001D1D16">
      <w:pPr>
        <w:pStyle w:val="Heading2"/>
        <w:jc w:val="both"/>
      </w:pPr>
      <w:r>
        <w:rPr>
          <w:rFonts w:ascii="Times New Roman" w:hAnsi="Times New Roman" w:cs="Times New Roman"/>
        </w:rPr>
        <w:t>6.2 Timing within the treatment pathway</w:t>
      </w:r>
    </w:p>
    <w:p w:rsidR="007E195B" w:rsidRDefault="001C0DA4" w:rsidP="001D1D16">
      <w:pPr>
        <w:jc w:val="both"/>
      </w:pPr>
      <w:r>
        <w:t>Timing is where surgical strategy becomes most clinically nuanced. Operating during uncontrolled acute inflammation may increase pain and complicate wound handling, yet postponing too long can allow further tissue destruction. The practical solution is often staged optimisation rather than indefinite deferral. Medical therapy can be used to reduce acute inflammatory burden, manage superinfection concerns, and stabilise disease in adjacent or distant areas, after which a targeted procedure addresses the persistent structural lesion (Alikhan et al., 2019b; Bechara et al., 2021; Touhouche et al., 2020). In this model, medical and surgical management are temporally coordinated rather than sequentially opposed.</w:t>
      </w:r>
    </w:p>
    <w:p w:rsidR="007E195B" w:rsidRDefault="001C0DA4" w:rsidP="001D1D16">
      <w:pPr>
        <w:jc w:val="both"/>
      </w:pPr>
      <w:r>
        <w:t>Preoperative assessment should define the exact lesion target, the extent of tunnelling, the relationship to functionally important structures, the likelihood of closure options, and the patient’s priorities regarding downtime, recurrence risk and cosmesis. Such planning is particularly important in axillary and inguinal disease, where under-treatment risks recurrence but over-aggressive excision can affect mobility or produce complex wounds. Clinical examination remains fundamental, but in specialised practice ultrasound and probing can help delineate the actual tract burden that needs to be deroofed or removed, reducing the risk of either incomplete treatment or unnecessarily wide sacrifice of tissue</w:t>
      </w:r>
      <w:r w:rsidR="00CD226D">
        <w:t xml:space="preserve"> (</w:t>
      </w:r>
      <w:r w:rsidR="00CD226D">
        <w:rPr>
          <w:rFonts w:eastAsia="Times New Roman"/>
          <w:szCs w:val="24"/>
        </w:rPr>
        <w:t xml:space="preserve">Martorell </w:t>
      </w:r>
      <w:r w:rsidR="00CD226D">
        <w:t xml:space="preserve">et al., 2019; </w:t>
      </w:r>
      <w:proofErr w:type="spellStart"/>
      <w:r w:rsidR="00CD226D">
        <w:rPr>
          <w:rFonts w:eastAsia="Times New Roman"/>
          <w:szCs w:val="24"/>
        </w:rPr>
        <w:t>Wortsman</w:t>
      </w:r>
      <w:proofErr w:type="spellEnd"/>
      <w:r w:rsidR="00CD226D">
        <w:rPr>
          <w:rFonts w:eastAsia="Times New Roman"/>
          <w:szCs w:val="24"/>
        </w:rPr>
        <w:t xml:space="preserve"> </w:t>
      </w:r>
      <w:r w:rsidR="00CD226D">
        <w:t>et al., 2013).</w:t>
      </w:r>
    </w:p>
    <w:p w:rsidR="007E195B" w:rsidRDefault="001C0DA4" w:rsidP="001D1D16">
      <w:pPr>
        <w:jc w:val="both"/>
      </w:pPr>
      <w:r>
        <w:t>From a systems perspective, optimal timing also requires the right referral culture. Dermatologists need to recognise surgically addressable lesions early; surgeons need familiarity with HS-specific disease behaviour; and wound-care support should be available before the first incision rather than only after complications arise. When this pathway functions well, surgery becomes a planned component of chronic disease control. When it fails, procedures are more likely to occur in crisis settings, such as repeated incision and drainage of acutely painful abscesses, with predictably disappointing long-term results.</w:t>
      </w:r>
    </w:p>
    <w:p w:rsidR="007E195B" w:rsidRDefault="001C0DA4" w:rsidP="001D1D16">
      <w:pPr>
        <w:pStyle w:val="Heading1"/>
        <w:jc w:val="both"/>
      </w:pPr>
      <w:r>
        <w:rPr>
          <w:rFonts w:ascii="Times New Roman" w:hAnsi="Times New Roman" w:cs="Times New Roman"/>
        </w:rPr>
        <w:lastRenderedPageBreak/>
        <w:t>7. Procedure-specific surgical strategies</w:t>
      </w:r>
    </w:p>
    <w:p w:rsidR="007E195B" w:rsidRDefault="001C0DA4" w:rsidP="001D1D16">
      <w:pPr>
        <w:pStyle w:val="Heading2"/>
        <w:jc w:val="both"/>
      </w:pPr>
      <w:r>
        <w:rPr>
          <w:rFonts w:ascii="Times New Roman" w:hAnsi="Times New Roman" w:cs="Times New Roman"/>
        </w:rPr>
        <w:t>7.1 Incision and drainage</w:t>
      </w:r>
    </w:p>
    <w:p w:rsidR="007E195B" w:rsidRDefault="001C0DA4" w:rsidP="001D1D16">
      <w:pPr>
        <w:jc w:val="both"/>
      </w:pPr>
      <w:r>
        <w:t>Incision and drainage retains a role in HS, but it is a narrow one. For a tense, exquisitely painful abscess causing severe distress, decompression can provide rapid symptomatic relief. However, it does not remove the follicular and tunnel substrate of disease and is therefore not a definitive strategy for chronic control (Alikhan et al., 2019a; Mehdizadeh et al., 2015). Overreliance on incision and drainage can inadvertently perpetuate the cycle of short-lived improvement followed by recurrent inflammation from the same anatomical field.</w:t>
      </w:r>
    </w:p>
    <w:p w:rsidR="007E195B" w:rsidRDefault="001C0DA4" w:rsidP="001D1D16">
      <w:pPr>
        <w:jc w:val="both"/>
      </w:pPr>
      <w:r>
        <w:t>Because of this, contemporary guidance generally reserves incision and drainage for selected acute situations while encouraging a plan for more definitive treatment once the crisis settles (Zouboulis et al., 2024). In practical terms, that means the procedure should trigger reassessment rather than therapeutic closure. If the lesion has a palpable tunnel, recurrent history or associated scar band, the clinician should ask immediately whether deroofing, limited excision or a broader procedure will be needed once acute pain improves.</w:t>
      </w:r>
    </w:p>
    <w:p w:rsidR="007E195B" w:rsidRDefault="001C0DA4" w:rsidP="001D1D16">
      <w:pPr>
        <w:pStyle w:val="Heading2"/>
        <w:jc w:val="both"/>
      </w:pPr>
      <w:r>
        <w:rPr>
          <w:rFonts w:ascii="Times New Roman" w:hAnsi="Times New Roman" w:cs="Times New Roman"/>
        </w:rPr>
        <w:t>7.2 Deroofing and limited excision</w:t>
      </w:r>
    </w:p>
    <w:p w:rsidR="007E195B" w:rsidRDefault="001C0DA4" w:rsidP="001D1D16">
      <w:pPr>
        <w:jc w:val="both"/>
      </w:pPr>
      <w:r>
        <w:t>Deroofing and limited excision occupy an especially important niche in HS because they are tissue-sparing, lesion-focused and often feasible in an outpatient setting. Deroofing removes the “roof” of a sinus tract or tunnel while preserving the floor, thereby converting a chronic enclosed structure into an open wound that can heal from the base. For isolated or limited tunnelled lesions, this offers a compelling balance between effectiveness and morbidity. Recent prospective data suggest rapid wound closure, very low postoperative pain and high patient satisfaction, with a mean closure time of approximately 4.4 weeks in one contemporary series (Krajewski et al., 2024). Such findings support the view that deroofing should be more widely incorporated into routine HS pathways rather than restricted to specialist enthusiasts.</w:t>
      </w:r>
    </w:p>
    <w:p w:rsidR="007E195B" w:rsidRDefault="001C0DA4" w:rsidP="001D1D16">
      <w:pPr>
        <w:jc w:val="both"/>
      </w:pPr>
      <w:r>
        <w:t>The advantages of deroofing are clinical as well as logistical. Because it is less extensive than wide excision, it can be easier to repeat, easier to combine with ongoing systemic therapy and easier for patients to accept when they are hesitant about major surgery. It is particularly attractive for localised Hurley I or II disease, recurrent nodules overlying a defined tract, and anatomically important regions where tissue preservation matters. Yet it should not be romanticised. If the field contains extensive interconnected tunnels, undermined scar plates or diffuse disease beyond what can be mapped confidently, deroofing may under-treat the problem and invite recurrence from residual structures (Ovadja et al., 2020; Wong et al., 2024).</w:t>
      </w:r>
    </w:p>
    <w:p w:rsidR="007E195B" w:rsidRDefault="001C0DA4" w:rsidP="001D1D16">
      <w:pPr>
        <w:jc w:val="both"/>
      </w:pPr>
      <w:r>
        <w:t>Limited excision occupies a similar intermediate space. It may be used for circumscribed lesions that are too broad for simple deroofing but do not justify radical resection of an entire regional field. In both deroofing and limited excision, success depends heavily on accurate lesion selection and complete treatment of the targeted tract network. These are not “minor” procedures in a conceptual sense; they are precise procedures whose value depends on good anatomical judgement.</w:t>
      </w:r>
    </w:p>
    <w:p w:rsidR="007E195B" w:rsidRDefault="001C0DA4" w:rsidP="001D1D16">
      <w:pPr>
        <w:pStyle w:val="Heading2"/>
        <w:jc w:val="both"/>
      </w:pPr>
      <w:r>
        <w:rPr>
          <w:rFonts w:ascii="Times New Roman" w:hAnsi="Times New Roman" w:cs="Times New Roman"/>
        </w:rPr>
        <w:lastRenderedPageBreak/>
        <w:t>7.3 Wide excision</w:t>
      </w:r>
    </w:p>
    <w:p w:rsidR="007E195B" w:rsidRDefault="001C0DA4" w:rsidP="001D1D16">
      <w:pPr>
        <w:jc w:val="both"/>
      </w:pPr>
      <w:r>
        <w:t>Wide excision remains the most important operative option for extensive, tunnelled and scarred HS. When a region has developed confluent disease with multiple interconnected tracts, repeated flares and dense fibrotic replacement of normal tissue, limited procedures may become inefficient or incomplete. Systematic reviews consistently suggest that wider excision is associated with lower recurrence than more conservative excision strategies, although the absolute rates vary according to anatomical site, study design and closure technique (Mehdizadeh et al., 2015; Ovadja et al., 2020; Riddle et al., 2021). The clinical message is not that wider is always better, but that inadequate field clearance is a major source of recurrence in advanced disease.</w:t>
      </w:r>
    </w:p>
    <w:p w:rsidR="007E195B" w:rsidRDefault="001C0DA4" w:rsidP="001D1D16">
      <w:pPr>
        <w:jc w:val="both"/>
      </w:pPr>
      <w:r>
        <w:t>This principle needs careful interpretation. In HS, “wide” should not be understood as a fixed circumferential margin borrowed from oncological surgery. Rather, it refers to excision that fully encompasses the clinically and, where available, sonographically involved tissue. Anatomical judgement is crucial. The surgeon must remove diseased tissue comprehensively enough to eliminate the pathologic field while preserving function and facilitating acceptable reconstruction. In axillary disease, for example, insufficient clearance risks recurrent tracts at the wound edge, whereas excessive sacrifice may exacerbate contracture or complicate closure. The same balance applies to inguinal, gluteal and inframammary sites, each of which has different contamination, mobility and reconstructive constraints (Wong et al., 2024; Cucu et al., 2025).</w:t>
      </w:r>
    </w:p>
    <w:p w:rsidR="007E195B" w:rsidRDefault="001C0DA4" w:rsidP="001D1D16">
      <w:pPr>
        <w:jc w:val="both"/>
      </w:pPr>
      <w:r>
        <w:t>Wide excision should also be framed honestly in patient counselling. It often offers the best chance of durable local control for severe disease, but it is not a systemic cure. New lesions may arise elsewhere, and even within the operated region recurrence can occur if disease extends beyond the excised field or if the patient’s broader inflammatory tendency remains active. For this reason, wide excision works best when it is combined with longitudinal dermatological care rather than presented as a one-off technical solution to an inherently chronic inflammatory condition.</w:t>
      </w:r>
    </w:p>
    <w:p w:rsidR="007E195B" w:rsidRDefault="001C0DA4" w:rsidP="001D1D16">
      <w:pPr>
        <w:pStyle w:val="Heading2"/>
        <w:jc w:val="both"/>
      </w:pPr>
      <w:r>
        <w:rPr>
          <w:rFonts w:ascii="Times New Roman" w:hAnsi="Times New Roman" w:cs="Times New Roman"/>
        </w:rPr>
        <w:t>7.4 Laser and energy-based procedures</w:t>
      </w:r>
    </w:p>
    <w:p w:rsidR="007E195B" w:rsidRDefault="001C0DA4" w:rsidP="001D1D16">
      <w:pPr>
        <w:jc w:val="both"/>
      </w:pPr>
      <w:r>
        <w:t>Laser and other energy-based procedures are increasingly relevant because they span the boundary between medical and surgical treatment. Laser hair removal, particularly with long-pulsed Nd:YAG systems, appears most useful in earlier or follicular-predominant disease, where reduction of hair follicle density may diminish recurrence and inflammatory activity. Recent systematic review and meta-analysis data support clinically meaningful benefit, although the overall evidence base remains modest and technique-dependent (Shipman et al., 2024; Jafarzadeh et al., 2025). In contrast, carbon dioxide laser approaches can be used in a more explicitly surgical manner for deroofing, ablation or excision of localised tunnelled disease.</w:t>
      </w:r>
    </w:p>
    <w:p w:rsidR="007E195B" w:rsidRDefault="001C0DA4" w:rsidP="001D1D16">
      <w:pPr>
        <w:jc w:val="both"/>
      </w:pPr>
      <w:r>
        <w:t xml:space="preserve">The attraction of laser-based treatment lies in precision, relative tissue preservation and the possibility of office-based intervention for selected lesions. Yet implementation is uneven. Expertise, equipment access, procedural protocols and patient selection vary considerably between centres, which helps explain the heterogeneity of published outcomes (Jafarzadeh et </w:t>
      </w:r>
      <w:r>
        <w:lastRenderedPageBreak/>
        <w:t>al., 2025). Laser treatment should therefore be viewed as an important component of the procedural armamentarium rather than as a universal alternative to conventional surgery. For some patients it offers a valuable middle ground; for others, especially those with bulky scar plates and extensive interconnected tunnels, formal excision remains more appropriate.</w:t>
      </w:r>
    </w:p>
    <w:p w:rsidR="007E195B" w:rsidRDefault="001C0DA4" w:rsidP="001D1D16">
      <w:pPr>
        <w:jc w:val="both"/>
      </w:pPr>
      <w:r>
        <w:t>A pragmatic interpretation is that laser procedures are best matched to lesion biology and local resources. Where expertise exists, they can meaningfully expand the options between purely medical care and conventional excision. Where it does not, forcing laser into the pathway may only delay definitive treatment.</w:t>
      </w:r>
    </w:p>
    <w:p w:rsidR="007E195B" w:rsidRDefault="001C0DA4" w:rsidP="001D1D16">
      <w:pPr>
        <w:pStyle w:val="Heading2"/>
        <w:jc w:val="both"/>
      </w:pPr>
      <w:r>
        <w:rPr>
          <w:rFonts w:ascii="Times New Roman" w:hAnsi="Times New Roman" w:cs="Times New Roman"/>
        </w:rPr>
        <w:t>7.5 Reconstruction and wound-closure strategy</w:t>
      </w:r>
    </w:p>
    <w:p w:rsidR="007E195B" w:rsidRDefault="001C0DA4" w:rsidP="001D1D16">
      <w:pPr>
        <w:jc w:val="both"/>
      </w:pPr>
      <w:r>
        <w:t>Once excision has been performed, wound management and reconstruction become central determinants of outcome. Primary closure offers speed and simplicity but may create tension, dead space or a geometry that is poorly suited to contaminated intertriginous sites. Flaps can provide robust coverage with tissue similar to the excised area, reduce contraction and, in some meta-analyses, are associated with comparatively low recurrence; grafts may also perform well in appropriately selected defects (Ovadja et al., 2021; Cucu et al., 2025; Wong et al., 2024). Secondary intention healing remains attractive for irregular wounds, fields with uncertain bacterial burden or situations in which gradual granulation offers the safest route to local control, but it usually entails a longer healing period and more prolonged wound care.</w:t>
      </w:r>
    </w:p>
    <w:p w:rsidR="007E195B" w:rsidRDefault="001C0DA4" w:rsidP="001D1D16">
      <w:pPr>
        <w:jc w:val="both"/>
      </w:pPr>
      <w:r>
        <w:t>Recent network-style evidence suggests that recurrence varies by closure method, with flaps performing favourably in pooled analyses, grafts occupying an intermediate position, and primary closure or secondary intention sometimes showing higher recurrence estimates (Cucu et al., 2025). Earlier meta-analyses, however, have produced somewhat different absolute figures, underscoring the effect of heterogeneity in case mix and technique (Mehdizadeh et al., 2015; Ovadja et al., 2020). Thus, closure choice should not be determined by recurrence percentage alone. Functional outcomes, site-specific movement, patient tolerance for wound care, cosmetic goals, surgeon expertise and the feasibility of postoperative support all matter.</w:t>
      </w:r>
    </w:p>
    <w:p w:rsidR="007E195B" w:rsidRDefault="001C0DA4" w:rsidP="001D1D16">
      <w:pPr>
        <w:jc w:val="both"/>
      </w:pPr>
      <w:r>
        <w:t>Reconstruction is also where multidisciplinary planning proves its value. Plastic surgery input may be especially helpful for axillary, perineal or large groin defects, whereas dermatological surgery and wound-care teams may be well placed to manage smaller wounds healing by secondary intention. The best closure is not the most technically elaborate one, but the one that aligns anatomy, function, contamination risk and the patient’s capacity to manage recovery.</w:t>
      </w:r>
    </w:p>
    <w:p w:rsidR="007E195B" w:rsidRDefault="001C0DA4" w:rsidP="001D1D16">
      <w:pPr>
        <w:pStyle w:val="Heading1"/>
        <w:jc w:val="both"/>
      </w:pPr>
      <w:r>
        <w:rPr>
          <w:rFonts w:ascii="Times New Roman" w:hAnsi="Times New Roman" w:cs="Times New Roman"/>
        </w:rPr>
        <w:t>8. Integrating surgery with medical therapy</w:t>
      </w:r>
    </w:p>
    <w:p w:rsidR="007E195B" w:rsidRDefault="001C0DA4" w:rsidP="001D1D16">
      <w:pPr>
        <w:pStyle w:val="Heading2"/>
        <w:jc w:val="both"/>
      </w:pPr>
      <w:r>
        <w:rPr>
          <w:rFonts w:ascii="Times New Roman" w:hAnsi="Times New Roman" w:cs="Times New Roman"/>
        </w:rPr>
        <w:t>8.1 Preoperative optimisation</w:t>
      </w:r>
    </w:p>
    <w:p w:rsidR="007E195B" w:rsidRDefault="001C0DA4" w:rsidP="001D1D16">
      <w:pPr>
        <w:jc w:val="both"/>
      </w:pPr>
      <w:r>
        <w:t>Integrated care begins before the operation. Preoperative optimisation in HS should include a focused review of smoking, weight, glycaemic status, anaesthetic risk, anticoagulation, pain management, dressing logistics and the patient’s likely ability to perform or receive wound care</w:t>
      </w:r>
      <w:r w:rsidR="00E24B67">
        <w:t xml:space="preserve"> (</w:t>
      </w:r>
      <w:r w:rsidR="00E24B67">
        <w:rPr>
          <w:rFonts w:eastAsia="Times New Roman"/>
          <w:szCs w:val="24"/>
        </w:rPr>
        <w:t xml:space="preserve">Denny &amp; </w:t>
      </w:r>
      <w:proofErr w:type="spellStart"/>
      <w:r w:rsidR="00E24B67">
        <w:rPr>
          <w:rFonts w:eastAsia="Times New Roman"/>
          <w:szCs w:val="24"/>
        </w:rPr>
        <w:t>Anadkat</w:t>
      </w:r>
      <w:proofErr w:type="spellEnd"/>
      <w:r w:rsidR="00E24B67">
        <w:rPr>
          <w:rFonts w:eastAsia="Times New Roman"/>
          <w:szCs w:val="24"/>
        </w:rPr>
        <w:t>, 2017).</w:t>
      </w:r>
      <w:r>
        <w:t xml:space="preserve"> These factors do not merely affect perioperative safety; they influence whether the chosen procedure is realistic and whether the postoperative period will be tolerable enough to justify the intervention (Acharya &amp; Mathur, 2020; Phan et al., 2019; </w:t>
      </w:r>
      <w:r>
        <w:lastRenderedPageBreak/>
        <w:t>Touhouche et al., 2020). Risk-factor optimisation is particularly relevant in larger excisions, but even office-based procedures benefit from deliberate preparation.</w:t>
      </w:r>
    </w:p>
    <w:p w:rsidR="007E195B" w:rsidRDefault="001C0DA4" w:rsidP="001D1D16">
      <w:pPr>
        <w:jc w:val="both"/>
      </w:pPr>
      <w:r>
        <w:t>Equally important is preoperative phenotyping. Is the region dominated by active inflammatory nodules that might still regress further with systemic therapy, or by persistent tunnels and scars that are unlikely to disappear? Are there multiple sites requiring prioritisation? Does the patient need one definitive major procedure or several smaller staged interventions? When such questions are answered explicitly, surgery becomes less reactive and more strategic. This in turn improves informed consent, because discussions can address not only the immediate wound but also the broader disease plan beyond the procedure itself.</w:t>
      </w:r>
    </w:p>
    <w:p w:rsidR="007E195B" w:rsidRDefault="001C0DA4" w:rsidP="001D1D16">
      <w:pPr>
        <w:pStyle w:val="Heading2"/>
        <w:jc w:val="both"/>
      </w:pPr>
      <w:r>
        <w:rPr>
          <w:rFonts w:ascii="Times New Roman" w:hAnsi="Times New Roman" w:cs="Times New Roman"/>
        </w:rPr>
        <w:t>8.2 Perioperative systemic treatment</w:t>
      </w:r>
    </w:p>
    <w:p w:rsidR="007E195B" w:rsidRDefault="001C0DA4" w:rsidP="001D1D16">
      <w:pPr>
        <w:jc w:val="both"/>
      </w:pPr>
      <w:r>
        <w:t>The integration of systemic therapy with surgery is one of the most consequential recent developments in HS care. The SHARPS randomised clinical trial demonstrated that adalimumab used in conjunction with wide-excision surgery followed by secondary intention healing improved overall clinical response without an evident excess of postoperative wound infection, complication or haemorrhage, suggesting that mandatory interruption before surgery is not always necessary in appropriately selected patients (Bechara et al., 2021). This finding is important because it directly challenges a historically conservative approach in which biologics were often withheld reflexively around operations despite limited evidence.</w:t>
      </w:r>
    </w:p>
    <w:p w:rsidR="007E195B" w:rsidRDefault="001C0DA4" w:rsidP="001D1D16">
      <w:pPr>
        <w:jc w:val="both"/>
      </w:pPr>
      <w:r>
        <w:t>The implications are broader than adalimumab alone, although extrapolation should be cautious. The trial does not prove that all biologics or all procedures can proceed without modification, but it supports a conceptual model in which systemic therapy and surgery are complementary. Biologics can reduce background inflammatory activity, stabilise non-operated sites and potentially improve the inflammatory environment in which wound healing occurs, while surgery clears lesions that remain structurally refractory (Bechara et al., 2021; Kimball et al., 2023; Kimball, Jemec, et al., 2024). In other words, perioperative biologic use in HS need not be framed primarily as a risk to be minimised; it may also be a therapeutic advantage when carefully managed.</w:t>
      </w:r>
    </w:p>
    <w:p w:rsidR="007E195B" w:rsidRDefault="001C0DA4" w:rsidP="001D1D16">
      <w:pPr>
        <w:jc w:val="both"/>
      </w:pPr>
      <w:r>
        <w:t>Antibiotics may have a role in this same integrative framework, especially for flare suppression, perioperative contamination control or the treatment of superinfection concern. However, they should not be expected to compensate for incomplete excision or residual tunnels. The most productive perioperative regimen is one in which each component has a clearly defined objective rather than serving as a vague attempt to “cover everything”.</w:t>
      </w:r>
    </w:p>
    <w:p w:rsidR="007E195B" w:rsidRDefault="001C0DA4" w:rsidP="001D1D16">
      <w:pPr>
        <w:pStyle w:val="Heading2"/>
        <w:jc w:val="both"/>
      </w:pPr>
      <w:r>
        <w:rPr>
          <w:rFonts w:ascii="Times New Roman" w:hAnsi="Times New Roman" w:cs="Times New Roman"/>
        </w:rPr>
        <w:t>8.3 Postoperative and longitudinal multidisciplinary care</w:t>
      </w:r>
    </w:p>
    <w:p w:rsidR="007E195B" w:rsidRDefault="001C0DA4" w:rsidP="001D1D16">
      <w:pPr>
        <w:jc w:val="both"/>
      </w:pPr>
      <w:r>
        <w:t>Postoperative care in HS extends well beyond wound closure. Ongoing dressings, pain management, mobility support, scar care and surveillance for new lesions in adjacent or distant sites are all necessary. Patients should be prepared for the possibility that surgery resolves a targeted region while the disease remains active elsewhere, necessitating continuation or initiation of systemic therapy after recovery (Touhouche et al., 2020; Wong et al., 2024). This is not a sign of operative failure; it is a reflection of the chronic and regionally heterogeneous nature of HS.</w:t>
      </w:r>
    </w:p>
    <w:p w:rsidR="007E195B" w:rsidRDefault="001C0DA4" w:rsidP="001D1D16">
      <w:pPr>
        <w:jc w:val="both"/>
      </w:pPr>
      <w:r>
        <w:lastRenderedPageBreak/>
        <w:t>Long-term success therefore depends on continuity between the operating team and the clinician managing chronic disease. If postoperative follow-up is siloed, patients may be discharged from surgical care with a healed wound but no plan for suppressing residual disease. Conversely, if dermatological follow-up resumes without understanding the surgical field, recurrence detection and wound counselling may be suboptimal. Multidisciplinary clinics are particularly valuable because they transform these handovers into a continuous pathway rather than a sequence of disconnected episodes (Touhouche et al., 2020).</w:t>
      </w:r>
    </w:p>
    <w:p w:rsidR="007E195B" w:rsidRDefault="001C0DA4" w:rsidP="001D1D16">
      <w:pPr>
        <w:pStyle w:val="Heading1"/>
        <w:jc w:val="both"/>
      </w:pPr>
      <w:r>
        <w:rPr>
          <w:rFonts w:ascii="Times New Roman" w:hAnsi="Times New Roman" w:cs="Times New Roman"/>
        </w:rPr>
        <w:t>9. Special clinical situations and oncological vigilance</w:t>
      </w:r>
    </w:p>
    <w:p w:rsidR="007E195B" w:rsidRDefault="001C0DA4" w:rsidP="001D1D16">
      <w:pPr>
        <w:pStyle w:val="Heading2"/>
        <w:jc w:val="both"/>
      </w:pPr>
      <w:r>
        <w:rPr>
          <w:rFonts w:ascii="Times New Roman" w:hAnsi="Times New Roman" w:cs="Times New Roman"/>
        </w:rPr>
        <w:t>9.1 Tunnel-dominant and site-specific disease</w:t>
      </w:r>
    </w:p>
    <w:p w:rsidR="007E195B" w:rsidRDefault="001C0DA4" w:rsidP="001D1D16">
      <w:pPr>
        <w:jc w:val="both"/>
      </w:pPr>
      <w:r>
        <w:t>Certain HS scenarios particularly illustrate the need for surgical thinking. Draining tunnel-dominant disease is one of them. Patients with visible or palpable tunnels tend to have greater disease burden and more complex treatment histories than patients whose disease is confined to recurrent inflammatory nodules (Ingram et al., 2025). In such cases, persistent drainage, bridging scars and local discomfort may continue despite otherwise respectable inflammatory response to systemic therapy. Procedural intervention is often required not because medical treatment has “failed” absolutely, but because it has reached the limit of what it can reverse anatomically.</w:t>
      </w:r>
    </w:p>
    <w:p w:rsidR="007E195B" w:rsidRDefault="001C0DA4" w:rsidP="001D1D16">
      <w:pPr>
        <w:jc w:val="both"/>
      </w:pPr>
      <w:r>
        <w:t>Anatomical site also shapes operative strategy. Axillary surgery must preserve shoulder function and minimise contracture; groin and perineal surgery must contend with moisture, friction and contamination; inframammary wounds raise different reconstructive and dressing issues; and gluteal disease may require especially careful assessment for chronic sinus extension. Although evidence quality is uneven, the overarching principle is consistent: procedure choice should be site-specific, not determined solely by global disease stage (Wong et al., 2024; Cucu et al., 2025). A patient with multifocal HS may therefore need different treatment intensities in different regions at the same time.</w:t>
      </w:r>
    </w:p>
    <w:p w:rsidR="007E195B" w:rsidRDefault="001C0DA4" w:rsidP="001D1D16">
      <w:pPr>
        <w:pStyle w:val="Heading2"/>
        <w:jc w:val="both"/>
      </w:pPr>
      <w:r>
        <w:rPr>
          <w:rFonts w:ascii="Times New Roman" w:hAnsi="Times New Roman" w:cs="Times New Roman"/>
        </w:rPr>
        <w:t>9.2 Obesity, smoking and metabolic disease</w:t>
      </w:r>
    </w:p>
    <w:p w:rsidR="007E195B" w:rsidRDefault="001C0DA4" w:rsidP="001D1D16">
      <w:pPr>
        <w:jc w:val="both"/>
      </w:pPr>
      <w:r>
        <w:t>Patients with obesity, smoking exposure and metabolic dysregulation often present the most difficult therapeutic dilemmas. These factors are associated with HS presence and severity and can increase concern about wound healing, recurrence and anaesthetic risk (Acharya &amp; Mathur, 2020; Phan et al., 2019; Nielsen et al., 2024). Yet they should not be treated as reasons to abandon procedural care. Doing so would disproportionately disadvantage patients with the highest burden. A more defensible approach is to optimise modifiable risk factors wherever possible while recognising that delayed definitive treatment can itself worsen quality of life and local disease destruction.</w:t>
      </w:r>
    </w:p>
    <w:p w:rsidR="007E195B" w:rsidRDefault="001C0DA4" w:rsidP="001D1D16">
      <w:pPr>
        <w:jc w:val="both"/>
      </w:pPr>
      <w:r>
        <w:t>This is where realistic counselling matters. Smoking cessation and metabolic optimisation should be discussed as outcome-improving strategies rather than moral prerequisites. In some patients, the symptomatic relief and improved mobility after successful surgery may even facilitate subsequent exercise, self-care and risk-factor modification. The relationship between surgery and lifestyle optimisation is therefore potentially reciprocal rather than strictly sequential.</w:t>
      </w:r>
    </w:p>
    <w:p w:rsidR="007E195B" w:rsidRDefault="001C0DA4" w:rsidP="001D1D16">
      <w:pPr>
        <w:pStyle w:val="Heading2"/>
        <w:jc w:val="both"/>
      </w:pPr>
      <w:r>
        <w:rPr>
          <w:rFonts w:ascii="Times New Roman" w:hAnsi="Times New Roman" w:cs="Times New Roman"/>
        </w:rPr>
        <w:lastRenderedPageBreak/>
        <w:t>9.3 Squamous cell carcinoma risk</w:t>
      </w:r>
    </w:p>
    <w:p w:rsidR="007E195B" w:rsidRDefault="001C0DA4" w:rsidP="001D1D16">
      <w:pPr>
        <w:jc w:val="both"/>
      </w:pPr>
      <w:r>
        <w:t>Malignant transformation is uncommon in HS, but squamous cell carcinoma arising in longstanding chronic lesions is a serious and potentially fatal complication, classically associated with severe gluteal or perineal disease (Gierek et al., 2023</w:t>
      </w:r>
      <w:r w:rsidR="00E24B67">
        <w:t xml:space="preserve">; </w:t>
      </w:r>
      <w:proofErr w:type="spellStart"/>
      <w:r w:rsidR="00E24B67">
        <w:rPr>
          <w:rFonts w:eastAsia="Times New Roman"/>
          <w:szCs w:val="24"/>
        </w:rPr>
        <w:t>Lavogiez</w:t>
      </w:r>
      <w:proofErr w:type="spellEnd"/>
      <w:r w:rsidR="00E24B67">
        <w:rPr>
          <w:rFonts w:eastAsia="Times New Roman"/>
          <w:szCs w:val="24"/>
        </w:rPr>
        <w:t xml:space="preserve"> </w:t>
      </w:r>
      <w:r w:rsidR="00E24B67">
        <w:t xml:space="preserve">et al., 2010; </w:t>
      </w:r>
      <w:proofErr w:type="spellStart"/>
      <w:r w:rsidR="00E24B67">
        <w:rPr>
          <w:rFonts w:eastAsia="Times New Roman"/>
          <w:szCs w:val="24"/>
        </w:rPr>
        <w:t>Racanelli</w:t>
      </w:r>
      <w:proofErr w:type="spellEnd"/>
      <w:r w:rsidR="00E24B67">
        <w:rPr>
          <w:rFonts w:eastAsia="Times New Roman"/>
          <w:szCs w:val="24"/>
        </w:rPr>
        <w:t xml:space="preserve"> </w:t>
      </w:r>
      <w:r w:rsidR="00E24B67">
        <w:t xml:space="preserve">et al., 2021; </w:t>
      </w:r>
      <w:r w:rsidR="00E24B67">
        <w:rPr>
          <w:rFonts w:eastAsia="Times New Roman"/>
          <w:szCs w:val="24"/>
        </w:rPr>
        <w:t>Sachdeva</w:t>
      </w:r>
      <w:r w:rsidR="00E24B67">
        <w:t xml:space="preserve"> et al., 2021</w:t>
      </w:r>
      <w:r>
        <w:t>). Chronic non-healing ulceration, exuberant verrucous change, bleeding or unexpected rapid tissue destruction in a longstanding HS field should lower the threshold for biopsy and oncological assessment. This is one context in which surgery carries not only symptom-control value but diagnostic and oncological necessity.</w:t>
      </w:r>
    </w:p>
    <w:p w:rsidR="007E195B" w:rsidRDefault="001C0DA4" w:rsidP="001D1D16">
      <w:pPr>
        <w:jc w:val="both"/>
      </w:pPr>
      <w:r>
        <w:t>The possibility of malignant transformation reinforces a broader clinical principle: not every chronic HS wound should be interpreted as “just another flare”. Regions that behave atypically, fail to follow the expected inflammatory pattern or become progressively destructive deserve renewed scrutiny. Timely biopsy and, where indicated, oncological excision are essential</w:t>
      </w:r>
      <w:r w:rsidR="00E24B67">
        <w:t xml:space="preserve"> (</w:t>
      </w:r>
      <w:proofErr w:type="spellStart"/>
      <w:r w:rsidR="00E24B67">
        <w:t>Gierek</w:t>
      </w:r>
      <w:proofErr w:type="spellEnd"/>
      <w:r w:rsidR="00E24B67">
        <w:t xml:space="preserve"> et al., 2023; </w:t>
      </w:r>
      <w:proofErr w:type="spellStart"/>
      <w:r w:rsidR="00E24B67">
        <w:rPr>
          <w:rFonts w:eastAsia="Times New Roman"/>
          <w:szCs w:val="24"/>
        </w:rPr>
        <w:t>Lavogiez</w:t>
      </w:r>
      <w:proofErr w:type="spellEnd"/>
      <w:r w:rsidR="00E24B67">
        <w:rPr>
          <w:rFonts w:eastAsia="Times New Roman"/>
          <w:szCs w:val="24"/>
        </w:rPr>
        <w:t xml:space="preserve"> </w:t>
      </w:r>
      <w:r w:rsidR="00E24B67">
        <w:t xml:space="preserve">et al., 2010; </w:t>
      </w:r>
      <w:proofErr w:type="spellStart"/>
      <w:r w:rsidR="00E24B67">
        <w:rPr>
          <w:rFonts w:eastAsia="Times New Roman"/>
          <w:szCs w:val="24"/>
        </w:rPr>
        <w:t>Racanelli</w:t>
      </w:r>
      <w:proofErr w:type="spellEnd"/>
      <w:r w:rsidR="00E24B67">
        <w:rPr>
          <w:rFonts w:eastAsia="Times New Roman"/>
          <w:szCs w:val="24"/>
        </w:rPr>
        <w:t xml:space="preserve"> </w:t>
      </w:r>
      <w:r w:rsidR="00E24B67">
        <w:t xml:space="preserve">et al., 2021; </w:t>
      </w:r>
      <w:r w:rsidR="00E24B67">
        <w:rPr>
          <w:rFonts w:eastAsia="Times New Roman"/>
          <w:szCs w:val="24"/>
        </w:rPr>
        <w:t>Sachdeva</w:t>
      </w:r>
      <w:r w:rsidR="00E24B67">
        <w:t xml:space="preserve"> et al., 2021)</w:t>
      </w:r>
      <w:r>
        <w:t>.</w:t>
      </w:r>
    </w:p>
    <w:p w:rsidR="007E195B" w:rsidRDefault="001C0DA4" w:rsidP="001D1D16">
      <w:pPr>
        <w:pStyle w:val="Heading1"/>
        <w:jc w:val="both"/>
      </w:pPr>
      <w:r>
        <w:rPr>
          <w:rFonts w:ascii="Times New Roman" w:hAnsi="Times New Roman" w:cs="Times New Roman"/>
        </w:rPr>
        <w:t>10. Future directions</w:t>
      </w:r>
    </w:p>
    <w:p w:rsidR="007E195B" w:rsidRDefault="001C0DA4" w:rsidP="001D1D16">
      <w:pPr>
        <w:jc w:val="both"/>
      </w:pPr>
      <w:r>
        <w:t>Several future directions are likely to reshape HS care. First, treatment algorithms should evolve from stage-based escalation alone towards phenotype- and lesion-based pathways that explicitly identify when tunnels and scar complexes merit procedural referral. Second, outcome measurement in trials and routine practice should better capture structural disease, wound burden and patient-prioritised outcomes such as drainage, odour, dressing dependence and function, rather than relying primarily on inflammatory counts (Zouboulis et al., 2017; Kimball, Kirby, et al., 2024; Ingram et al., 2025). Third, more prospective comparative research is needed on procedure selection, wound closure strategy and combined medical-surgical sequencing, because current surgical evidence remains dominated by retrospective case series and heterogeneous recurrence definitions (Bouazzi et al., 2020; Riddle et al., 2021; Cucu et al., 2025).</w:t>
      </w:r>
    </w:p>
    <w:p w:rsidR="007E195B" w:rsidRDefault="001C0DA4" w:rsidP="001D1D16">
      <w:pPr>
        <w:jc w:val="both"/>
      </w:pPr>
      <w:r>
        <w:t>The expanding targeted-therapy landscape will also influence surgery rather than replace it. As interleukin-17 inhibitors, Janus kinase inhibitors and other pathway-specific treatments mature, clinicians will need better evidence on which patients should undergo early surgery while receiving systemic suppression, which lesions can be down-staged into tissue-sparing procedures, and which anatomical regions remain best treated by excision despite biological control elsewhere (Kimball et al., 2023; Kimball, Jemec, et al., 2024; Ackerman et al., 2025; Sayed et al., 2026). Parallel work on cost-effectiveness suggests that office-based procedures such as deroofing may become increasingly important in value-conscious care models when appropriately matched to lesion type (Hundal et al., 2025). More than any single drug or procedure, the future of HS management will depend on designing care pathways that bring these tools together intelligently.</w:t>
      </w:r>
    </w:p>
    <w:p w:rsidR="007E195B" w:rsidRDefault="001C0DA4" w:rsidP="001D1D16">
      <w:pPr>
        <w:pStyle w:val="Heading1"/>
        <w:jc w:val="both"/>
      </w:pPr>
      <w:r>
        <w:rPr>
          <w:rFonts w:ascii="Times New Roman" w:hAnsi="Times New Roman" w:cs="Times New Roman"/>
        </w:rPr>
        <w:lastRenderedPageBreak/>
        <w:t>11. Conclusions</w:t>
      </w:r>
    </w:p>
    <w:p w:rsidR="007E195B" w:rsidRDefault="001C0DA4" w:rsidP="001D1D16">
      <w:pPr>
        <w:jc w:val="both"/>
      </w:pPr>
      <w:r>
        <w:t>HS remains one of the most challenging disorders in inflammatory dermatology because its burden arises from the intersection of active inflammation, irreversible tissue damage, multimorbidity and profound psychosocial impact. The central practical lesson from contemporary evidence is that medical and surgical treatments should not be set in opposition. Systemic therapy is indispensable for controlling inflammatory activity across regions and over time, but it often cannot eliminate the tunnelled and scarred lesions that continue to drive pain, drainage and disability. Surgery, in turn, offers the possibility of durable local control when such irreversible lesions are recognised and treated appropriately.</w:t>
      </w:r>
    </w:p>
    <w:p w:rsidR="007E195B" w:rsidRDefault="001C0DA4" w:rsidP="001D1D16">
      <w:pPr>
        <w:jc w:val="both"/>
      </w:pPr>
      <w:r>
        <w:t>The operative armamentarium should be understood as a continuum rather than a single drastic option. Incision and drainage has only a limited temporising role. Deroofing and limited excision are highly relevant for localised tunnelled disease. Wide excision remains crucial for confluent Hurley II and III fields in which the pathological tissue bed is too extensive for conservative procedures. Reconstruction and healing strategy must be tailored to anatomy, function and patient preference, while postoperative care should be integrated with continued dermatological management rather than treated as an endpoint in itself.</w:t>
      </w:r>
    </w:p>
    <w:p w:rsidR="007E195B" w:rsidRDefault="001C0DA4" w:rsidP="001D1D16">
      <w:pPr>
        <w:jc w:val="both"/>
      </w:pPr>
      <w:r>
        <w:t>In the most effective contemporary model, HS care is phenotype-driven, anatomy-specific and multidisciplinary. Earlier identification of irreversible lesions, better preoperative optimisation, and deliberate perioperative integration with systemic therapy can reduce the false choice between “more medicine” and “more surgery”. For many patients, the best outcomes will come from using both.</w:t>
      </w:r>
    </w:p>
    <w:p w:rsidR="007E195B" w:rsidRDefault="001C0DA4" w:rsidP="001D1D16">
      <w:pPr>
        <w:pStyle w:val="Heading1"/>
        <w:jc w:val="both"/>
      </w:pPr>
      <w:r>
        <w:rPr>
          <w:rFonts w:ascii="Times New Roman" w:hAnsi="Times New Roman" w:cs="Times New Roman"/>
        </w:rPr>
        <w:t>12. Limitations</w:t>
      </w:r>
    </w:p>
    <w:p w:rsidR="007E195B" w:rsidRDefault="001C0DA4" w:rsidP="001D1D16">
      <w:pPr>
        <w:jc w:val="both"/>
      </w:pPr>
      <w:r>
        <w:t>This review has several limitations. It is a narrative synthesis and was therefore designed to integrate and interpret the literature rather than to provide an exhaustive PRISMA-style systematic review or pooled quantitative estimate for each intervention. The surgical literature in particular is heterogeneous with respect to lesion selection, anatomical site, recurrence definition, follow-up duration and reconstruction method, which constrains direct comparison across studies. Some contemporary therapeutic areas are evolving rapidly, especially targeted immunotherapy, so the evidence base may continue to change after the search window used here. In addition, although every effort was made to prioritise influential and methodologically informative studies, selection bias is inherent to narrative review methodology. These limitations do not negate the conclusions of the review, but they do underscore the need for more standardised prospective studies and better integration of surgical endpoints into HS research.</w:t>
      </w:r>
    </w:p>
    <w:p w:rsidR="000D7976" w:rsidRDefault="000D7976" w:rsidP="001D1D16">
      <w:pPr>
        <w:jc w:val="both"/>
      </w:pPr>
    </w:p>
    <w:p w:rsidR="000D7976" w:rsidRDefault="000D7976" w:rsidP="001D1D16">
      <w:pPr>
        <w:jc w:val="both"/>
      </w:pPr>
    </w:p>
    <w:p w:rsidR="000D7976" w:rsidRDefault="000D7976" w:rsidP="001D1D16">
      <w:pPr>
        <w:jc w:val="both"/>
      </w:pPr>
    </w:p>
    <w:p w:rsidR="000D7976" w:rsidRPr="000D7976" w:rsidRDefault="000D7976" w:rsidP="001D1D16">
      <w:pPr>
        <w:spacing w:after="0" w:line="240" w:lineRule="auto"/>
        <w:jc w:val="both"/>
        <w:rPr>
          <w:rFonts w:eastAsia="Calibri"/>
          <w:kern w:val="2"/>
          <w:sz w:val="22"/>
          <w:highlight w:val="yellow"/>
        </w:rPr>
      </w:pPr>
      <w:bookmarkStart w:id="0" w:name="_Hlk198031404"/>
      <w:bookmarkStart w:id="1" w:name="_Hlk219125673"/>
      <w:r w:rsidRPr="000D7976">
        <w:rPr>
          <w:rFonts w:eastAsia="Calibri"/>
          <w:kern w:val="2"/>
          <w:sz w:val="22"/>
          <w:highlight w:val="yellow"/>
        </w:rPr>
        <w:t>Disclaimer (Artificial intelligence)</w:t>
      </w:r>
    </w:p>
    <w:p w:rsidR="000D7976" w:rsidRPr="000D7976" w:rsidRDefault="000D7976" w:rsidP="001D1D16">
      <w:pPr>
        <w:spacing w:after="0" w:line="240" w:lineRule="auto"/>
        <w:jc w:val="both"/>
        <w:rPr>
          <w:rFonts w:eastAsia="Calibri"/>
          <w:kern w:val="2"/>
          <w:sz w:val="22"/>
          <w:highlight w:val="yellow"/>
        </w:rPr>
      </w:pPr>
    </w:p>
    <w:p w:rsidR="000D7976" w:rsidRPr="000D7976" w:rsidRDefault="000D7976" w:rsidP="001D1D16">
      <w:pPr>
        <w:spacing w:after="0" w:line="240" w:lineRule="auto"/>
        <w:jc w:val="both"/>
        <w:rPr>
          <w:rFonts w:eastAsia="Calibri"/>
          <w:kern w:val="2"/>
          <w:sz w:val="22"/>
          <w:highlight w:val="yellow"/>
        </w:rPr>
      </w:pPr>
      <w:r w:rsidRPr="000D7976">
        <w:rPr>
          <w:rFonts w:eastAsia="Calibri"/>
          <w:kern w:val="2"/>
          <w:sz w:val="22"/>
          <w:highlight w:val="yellow"/>
        </w:rPr>
        <w:lastRenderedPageBreak/>
        <w:t>Author(s) hereby declare that NO generative AI technologies such as Large Language Models (</w:t>
      </w:r>
      <w:proofErr w:type="spellStart"/>
      <w:r w:rsidRPr="000D7976">
        <w:rPr>
          <w:rFonts w:eastAsia="Calibri"/>
          <w:kern w:val="2"/>
          <w:sz w:val="22"/>
          <w:highlight w:val="yellow"/>
        </w:rPr>
        <w:t>ChatGPT</w:t>
      </w:r>
      <w:proofErr w:type="spellEnd"/>
      <w:r w:rsidRPr="000D7976">
        <w:rPr>
          <w:rFonts w:eastAsia="Calibri"/>
          <w:kern w:val="2"/>
          <w:sz w:val="22"/>
          <w:highlight w:val="yellow"/>
        </w:rPr>
        <w:t xml:space="preserve">, COPILOT, etc.) and text-to-image generators have been used during the writing or editing of this manuscript. </w:t>
      </w:r>
    </w:p>
    <w:bookmarkEnd w:id="0"/>
    <w:p w:rsidR="000D7976" w:rsidRPr="000D7976" w:rsidRDefault="000D7976" w:rsidP="001D1D16">
      <w:pPr>
        <w:spacing w:after="200"/>
        <w:jc w:val="both"/>
        <w:rPr>
          <w:rFonts w:ascii="Calibri" w:eastAsia="Calibri" w:hAnsi="Calibri"/>
          <w:sz w:val="28"/>
        </w:rPr>
      </w:pPr>
    </w:p>
    <w:bookmarkEnd w:id="1"/>
    <w:p w:rsidR="000D7976" w:rsidRDefault="000D7976" w:rsidP="001D1D16">
      <w:pPr>
        <w:jc w:val="both"/>
      </w:pPr>
    </w:p>
    <w:p w:rsidR="007E195B" w:rsidRDefault="001C0DA4" w:rsidP="001D1D16">
      <w:pPr>
        <w:jc w:val="both"/>
      </w:pPr>
      <w:r>
        <w:br w:type="page"/>
      </w:r>
    </w:p>
    <w:p w:rsidR="007E195B" w:rsidRDefault="001C0DA4" w:rsidP="001D1D16">
      <w:pPr>
        <w:pStyle w:val="Heading1"/>
        <w:jc w:val="both"/>
      </w:pPr>
      <w:r>
        <w:rPr>
          <w:rFonts w:ascii="Times New Roman" w:hAnsi="Times New Roman" w:cs="Times New Roman"/>
        </w:rPr>
        <w:lastRenderedPageBreak/>
        <w:t>References</w:t>
      </w:r>
    </w:p>
    <w:p w:rsidR="00E24B67" w:rsidRPr="00E24B67" w:rsidRDefault="00E24B67" w:rsidP="001D1D16">
      <w:pPr>
        <w:pStyle w:val="ReferenceEntry"/>
        <w:jc w:val="both"/>
        <w:rPr>
          <w:sz w:val="24"/>
          <w:szCs w:val="24"/>
        </w:rPr>
      </w:pPr>
      <w:r w:rsidRPr="00E24B67">
        <w:rPr>
          <w:sz w:val="24"/>
          <w:szCs w:val="24"/>
        </w:rPr>
        <w:t xml:space="preserve">Acharya, P., &amp; Mathur, M. (2020). Hidradenitis suppurativa and smoking: A systematic review and meta-analysis. </w:t>
      </w:r>
      <w:r w:rsidRPr="00E24B67">
        <w:rPr>
          <w:i/>
          <w:sz w:val="24"/>
          <w:szCs w:val="24"/>
        </w:rPr>
        <w:t>Journal of the American Academy of Dermatology</w:t>
      </w:r>
      <w:r w:rsidRPr="00E24B67">
        <w:rPr>
          <w:sz w:val="24"/>
          <w:szCs w:val="24"/>
        </w:rPr>
        <w:t xml:space="preserve">, </w:t>
      </w:r>
      <w:r w:rsidRPr="00E24B67">
        <w:rPr>
          <w:i/>
          <w:sz w:val="24"/>
          <w:szCs w:val="24"/>
        </w:rPr>
        <w:t>82(4)</w:t>
      </w:r>
      <w:r w:rsidRPr="00E24B67">
        <w:rPr>
          <w:sz w:val="24"/>
          <w:szCs w:val="24"/>
        </w:rPr>
        <w:t xml:space="preserve">, 1006-1011. </w:t>
      </w:r>
      <w:hyperlink r:id="rId8" w:history="1">
        <w:r w:rsidRPr="008346C2">
          <w:rPr>
            <w:rStyle w:val="Hyperlink"/>
            <w:sz w:val="24"/>
            <w:szCs w:val="24"/>
          </w:rPr>
          <w:t>https://doi.org/10.1016/j.jaad.2019.10.044</w:t>
        </w:r>
      </w:hyperlink>
      <w:r>
        <w:rPr>
          <w:sz w:val="24"/>
          <w:szCs w:val="24"/>
        </w:rPr>
        <w:t xml:space="preserve"> </w:t>
      </w:r>
    </w:p>
    <w:p w:rsidR="00E24B67" w:rsidRPr="00E24B67" w:rsidRDefault="00E24B67" w:rsidP="001D1D16">
      <w:pPr>
        <w:pStyle w:val="ReferenceEntry"/>
        <w:jc w:val="both"/>
        <w:rPr>
          <w:sz w:val="24"/>
          <w:szCs w:val="24"/>
        </w:rPr>
      </w:pPr>
      <w:r w:rsidRPr="00E24B67">
        <w:rPr>
          <w:sz w:val="24"/>
          <w:szCs w:val="24"/>
        </w:rPr>
        <w:t xml:space="preserve">Ackerman, L. S., Schlosser, B. J., Zhan, T., Prajapati, V. H., Fretzin, S., Takahashi, H., Huang, X., Camp, H. S., &amp; Kimball, A. B. (2025). Improvements in moderate-to-severe hidradenitis suppurativa with upadacitinib: Results from a phase 2, randomized, placebo-controlled study. </w:t>
      </w:r>
      <w:r w:rsidRPr="00E24B67">
        <w:rPr>
          <w:i/>
          <w:sz w:val="24"/>
          <w:szCs w:val="24"/>
        </w:rPr>
        <w:t>Journal of the American Academy of Dermatology</w:t>
      </w:r>
      <w:r w:rsidRPr="00E24B67">
        <w:rPr>
          <w:sz w:val="24"/>
          <w:szCs w:val="24"/>
        </w:rPr>
        <w:t xml:space="preserve">, </w:t>
      </w:r>
      <w:r w:rsidRPr="00E24B67">
        <w:rPr>
          <w:i/>
          <w:sz w:val="24"/>
          <w:szCs w:val="24"/>
        </w:rPr>
        <w:t>92(6)</w:t>
      </w:r>
      <w:r w:rsidRPr="00E24B67">
        <w:rPr>
          <w:sz w:val="24"/>
          <w:szCs w:val="24"/>
        </w:rPr>
        <w:t xml:space="preserve">, 1252-1260. </w:t>
      </w:r>
      <w:hyperlink r:id="rId9" w:history="1">
        <w:r w:rsidR="00340039" w:rsidRPr="008346C2">
          <w:rPr>
            <w:rStyle w:val="Hyperlink"/>
            <w:sz w:val="24"/>
            <w:szCs w:val="24"/>
          </w:rPr>
          <w:t>https://doi.org/10.1016/j.jaad.2024.12.046</w:t>
        </w:r>
      </w:hyperlink>
      <w:r w:rsidR="00340039">
        <w:rPr>
          <w:sz w:val="24"/>
          <w:szCs w:val="24"/>
        </w:rPr>
        <w:t xml:space="preserve"> </w:t>
      </w:r>
    </w:p>
    <w:p w:rsidR="00E24B67" w:rsidRPr="00E24B67" w:rsidRDefault="00E24B67" w:rsidP="001D1D16">
      <w:pPr>
        <w:pStyle w:val="ReferenceEntry"/>
        <w:jc w:val="both"/>
        <w:rPr>
          <w:sz w:val="24"/>
          <w:szCs w:val="24"/>
        </w:rPr>
      </w:pPr>
      <w:r w:rsidRPr="00E24B67">
        <w:rPr>
          <w:sz w:val="24"/>
          <w:szCs w:val="24"/>
        </w:rPr>
        <w:t xml:space="preserve">Alikhan, A., Sayed, C., Alavi, A., Alhusayen, R., Brassard, A., Burkhart, C., Crowell, K., Eisen, D. B., Gottlieb, A. B., Hamzavi, I., Hazen, P. G., Jaleel, T., Kimball, A. B., </w:t>
      </w:r>
      <w:bookmarkStart w:id="2" w:name="_GoBack"/>
      <w:bookmarkEnd w:id="2"/>
      <w:r w:rsidRPr="00E24B67">
        <w:rPr>
          <w:sz w:val="24"/>
          <w:szCs w:val="24"/>
        </w:rPr>
        <w:t>Kirby, J., Lowes, M. A., Micheletti, R., Miller, A., Naik, H. B., Orgill, D., &amp; Poulin, Y. (2019a). North American clinical management guidelines for hidradenitis suppurativa: A publication from the United States and Canadian Hidradenitis Suppurativa Foundations: Part I: Diagnosis, evaluation, and the use of complementary and procedural management. Journal of the American Academy of Dermatology, 81(1), 76-90. https://doi.org/10.1016/j.jaad.2019.02.067</w:t>
      </w:r>
    </w:p>
    <w:p w:rsidR="00E24B67" w:rsidRPr="00E24B67" w:rsidRDefault="00E24B67" w:rsidP="001D1D16">
      <w:pPr>
        <w:pStyle w:val="ReferenceEntry"/>
        <w:jc w:val="both"/>
        <w:rPr>
          <w:sz w:val="24"/>
          <w:szCs w:val="24"/>
        </w:rPr>
      </w:pPr>
      <w:r w:rsidRPr="00E24B67">
        <w:rPr>
          <w:sz w:val="24"/>
          <w:szCs w:val="24"/>
        </w:rPr>
        <w:t>Alikhan, A., Sayed, C., Alavi, A., Alhusayen, R., Brassard, A., Burkhart, C., Crowell, K., Eisen, D. B., Gottlieb, A. B., Hamzavi, I., Hazen, P. G., Jaleel, T., Kimball, A. B., Kirby, J., Lowes, M. A., Micheletti, R., Miller, A., Naik, H. B., Orgill, D., &amp; Poulin, Y. (2019b). North American clinical management guidelines for hidradenitis suppurativa: A publication from the United States and Canadian Hidradenitis Suppurativa Foundations: Part II: Topical, intralesional, and systemic medical management. Journal of the American Academy of Dermatology, 81(1), 91-101. https://doi.org/10.1016/j.jaad.2019.02.068</w:t>
      </w:r>
    </w:p>
    <w:p w:rsidR="00E24B67" w:rsidRPr="00E24B67" w:rsidRDefault="00E24B67" w:rsidP="001D1D16">
      <w:pPr>
        <w:pStyle w:val="ReferenceEntry"/>
        <w:jc w:val="both"/>
        <w:rPr>
          <w:sz w:val="24"/>
          <w:szCs w:val="24"/>
        </w:rPr>
      </w:pPr>
      <w:r w:rsidRPr="00E24B67">
        <w:rPr>
          <w:sz w:val="24"/>
          <w:szCs w:val="24"/>
        </w:rPr>
        <w:t xml:space="preserve">Bechara, F. G., Podda, M., Prens, E. P., Horváth, B., Giamarellos-Bourboulis, E. J., Alavi, A., Szepietowski, J. C., Kirby, J., Geng, Z., Jean, C., Jemec, G. B. E., &amp; Zouboulis, C. C. (2021). Efficacy and safety of adalimumab in conjunction with surgery in moderate to severe hidradenitis suppurativa: The SHARPS randomized clinical trial. </w:t>
      </w:r>
      <w:r w:rsidRPr="00E24B67">
        <w:rPr>
          <w:i/>
          <w:sz w:val="24"/>
          <w:szCs w:val="24"/>
        </w:rPr>
        <w:t>JAMA Surgery</w:t>
      </w:r>
      <w:r w:rsidRPr="00E24B67">
        <w:rPr>
          <w:sz w:val="24"/>
          <w:szCs w:val="24"/>
        </w:rPr>
        <w:t xml:space="preserve">, </w:t>
      </w:r>
      <w:r w:rsidRPr="00E24B67">
        <w:rPr>
          <w:i/>
          <w:sz w:val="24"/>
          <w:szCs w:val="24"/>
        </w:rPr>
        <w:t>156(11)</w:t>
      </w:r>
      <w:r w:rsidRPr="00E24B67">
        <w:rPr>
          <w:sz w:val="24"/>
          <w:szCs w:val="24"/>
        </w:rPr>
        <w:t>, 1001-1009. https://doi.org/10.1001/jamasurg.2021.3655</w:t>
      </w:r>
    </w:p>
    <w:p w:rsidR="00E24B67" w:rsidRPr="000D7976" w:rsidRDefault="00E24B67" w:rsidP="001D1D16">
      <w:pPr>
        <w:pStyle w:val="ReferenceEntry"/>
        <w:jc w:val="both"/>
        <w:rPr>
          <w:color w:val="212121"/>
          <w:sz w:val="24"/>
          <w:szCs w:val="24"/>
          <w:shd w:val="clear" w:color="auto" w:fill="FFFFFF"/>
          <w:lang w:val="fr-FR"/>
        </w:rPr>
      </w:pPr>
      <w:r w:rsidRPr="00E24B67">
        <w:rPr>
          <w:color w:val="212121"/>
          <w:sz w:val="24"/>
          <w:szCs w:val="24"/>
          <w:shd w:val="clear" w:color="auto" w:fill="FFFFFF"/>
        </w:rPr>
        <w:t xml:space="preserve">Boer, J., &amp; </w:t>
      </w:r>
      <w:proofErr w:type="spellStart"/>
      <w:r w:rsidRPr="00E24B67">
        <w:rPr>
          <w:color w:val="212121"/>
          <w:sz w:val="24"/>
          <w:szCs w:val="24"/>
          <w:shd w:val="clear" w:color="auto" w:fill="FFFFFF"/>
        </w:rPr>
        <w:t>Nazary</w:t>
      </w:r>
      <w:proofErr w:type="spellEnd"/>
      <w:r w:rsidRPr="00E24B67">
        <w:rPr>
          <w:color w:val="212121"/>
          <w:sz w:val="24"/>
          <w:szCs w:val="24"/>
          <w:shd w:val="clear" w:color="auto" w:fill="FFFFFF"/>
        </w:rPr>
        <w:t xml:space="preserve">, M. (2011). Long-term results of acitretin therapy for hidradenitis suppurativa. Is acne </w:t>
      </w:r>
      <w:proofErr w:type="spellStart"/>
      <w:r w:rsidRPr="00E24B67">
        <w:rPr>
          <w:color w:val="212121"/>
          <w:sz w:val="24"/>
          <w:szCs w:val="24"/>
          <w:shd w:val="clear" w:color="auto" w:fill="FFFFFF"/>
        </w:rPr>
        <w:t>inversa</w:t>
      </w:r>
      <w:proofErr w:type="spellEnd"/>
      <w:r w:rsidRPr="00E24B67">
        <w:rPr>
          <w:color w:val="212121"/>
          <w:sz w:val="24"/>
          <w:szCs w:val="24"/>
          <w:shd w:val="clear" w:color="auto" w:fill="FFFFFF"/>
        </w:rPr>
        <w:t xml:space="preserve"> also a </w:t>
      </w:r>
      <w:proofErr w:type="gramStart"/>
      <w:r w:rsidRPr="00E24B67">
        <w:rPr>
          <w:color w:val="212121"/>
          <w:sz w:val="24"/>
          <w:szCs w:val="24"/>
          <w:shd w:val="clear" w:color="auto" w:fill="FFFFFF"/>
        </w:rPr>
        <w:t>misnomer?.</w:t>
      </w:r>
      <w:proofErr w:type="gramEnd"/>
      <w:r w:rsidRPr="00E24B67">
        <w:rPr>
          <w:color w:val="212121"/>
          <w:sz w:val="24"/>
          <w:szCs w:val="24"/>
          <w:shd w:val="clear" w:color="auto" w:fill="FFFFFF"/>
        </w:rPr>
        <w:t> </w:t>
      </w:r>
      <w:r w:rsidRPr="00E24B67">
        <w:rPr>
          <w:i/>
          <w:iCs/>
          <w:color w:val="212121"/>
          <w:sz w:val="24"/>
          <w:szCs w:val="24"/>
          <w:shd w:val="clear" w:color="auto" w:fill="FFFFFF"/>
        </w:rPr>
        <w:t>The British journal of dermatology</w:t>
      </w:r>
      <w:r w:rsidRPr="00E24B67">
        <w:rPr>
          <w:color w:val="212121"/>
          <w:sz w:val="24"/>
          <w:szCs w:val="24"/>
          <w:shd w:val="clear" w:color="auto" w:fill="FFFFFF"/>
        </w:rPr>
        <w:t>, </w:t>
      </w:r>
      <w:r w:rsidRPr="00E24B67">
        <w:rPr>
          <w:i/>
          <w:iCs/>
          <w:color w:val="212121"/>
          <w:sz w:val="24"/>
          <w:szCs w:val="24"/>
          <w:shd w:val="clear" w:color="auto" w:fill="FFFFFF"/>
        </w:rPr>
        <w:t>164</w:t>
      </w:r>
      <w:r w:rsidRPr="00E24B67">
        <w:rPr>
          <w:color w:val="212121"/>
          <w:sz w:val="24"/>
          <w:szCs w:val="24"/>
          <w:shd w:val="clear" w:color="auto" w:fill="FFFFFF"/>
        </w:rPr>
        <w:t xml:space="preserve">(1), 170–175. </w:t>
      </w:r>
      <w:hyperlink r:id="rId10" w:history="1">
        <w:r w:rsidRPr="000D7976">
          <w:rPr>
            <w:rStyle w:val="Hyperlink"/>
            <w:sz w:val="24"/>
            <w:szCs w:val="24"/>
            <w:shd w:val="clear" w:color="auto" w:fill="FFFFFF"/>
            <w:lang w:val="fr-FR"/>
          </w:rPr>
          <w:t>https://doi.org/10.1111/j.1365-2133.2010.10071.x</w:t>
        </w:r>
      </w:hyperlink>
      <w:r w:rsidRPr="000D7976">
        <w:rPr>
          <w:color w:val="212121"/>
          <w:sz w:val="24"/>
          <w:szCs w:val="24"/>
          <w:shd w:val="clear" w:color="auto" w:fill="FFFFFF"/>
          <w:lang w:val="fr-FR"/>
        </w:rPr>
        <w:t xml:space="preserve"> </w:t>
      </w:r>
    </w:p>
    <w:p w:rsidR="00E24B67" w:rsidRPr="00E24B67" w:rsidRDefault="00E24B67" w:rsidP="001D1D16">
      <w:pPr>
        <w:pStyle w:val="ReferenceEntry"/>
        <w:jc w:val="both"/>
        <w:rPr>
          <w:sz w:val="24"/>
          <w:szCs w:val="24"/>
        </w:rPr>
      </w:pPr>
      <w:proofErr w:type="spellStart"/>
      <w:r w:rsidRPr="000D7976">
        <w:rPr>
          <w:sz w:val="24"/>
          <w:szCs w:val="24"/>
          <w:lang w:val="fr-FR"/>
        </w:rPr>
        <w:t>Bouazzi</w:t>
      </w:r>
      <w:proofErr w:type="spellEnd"/>
      <w:r w:rsidRPr="000D7976">
        <w:rPr>
          <w:sz w:val="24"/>
          <w:szCs w:val="24"/>
          <w:lang w:val="fr-FR"/>
        </w:rPr>
        <w:t xml:space="preserve">, D., </w:t>
      </w:r>
      <w:proofErr w:type="spellStart"/>
      <w:r w:rsidRPr="000D7976">
        <w:rPr>
          <w:sz w:val="24"/>
          <w:szCs w:val="24"/>
          <w:lang w:val="fr-FR"/>
        </w:rPr>
        <w:t>Chafranska</w:t>
      </w:r>
      <w:proofErr w:type="spellEnd"/>
      <w:r w:rsidRPr="000D7976">
        <w:rPr>
          <w:sz w:val="24"/>
          <w:szCs w:val="24"/>
          <w:lang w:val="fr-FR"/>
        </w:rPr>
        <w:t xml:space="preserve">, L., </w:t>
      </w:r>
      <w:proofErr w:type="spellStart"/>
      <w:r w:rsidRPr="000D7976">
        <w:rPr>
          <w:sz w:val="24"/>
          <w:szCs w:val="24"/>
          <w:lang w:val="fr-FR"/>
        </w:rPr>
        <w:t>Saunte</w:t>
      </w:r>
      <w:proofErr w:type="spellEnd"/>
      <w:r w:rsidRPr="000D7976">
        <w:rPr>
          <w:sz w:val="24"/>
          <w:szCs w:val="24"/>
          <w:lang w:val="fr-FR"/>
        </w:rPr>
        <w:t xml:space="preserve">, D. M. L., &amp; </w:t>
      </w:r>
      <w:proofErr w:type="spellStart"/>
      <w:r w:rsidRPr="000D7976">
        <w:rPr>
          <w:sz w:val="24"/>
          <w:szCs w:val="24"/>
          <w:lang w:val="fr-FR"/>
        </w:rPr>
        <w:t>Jemec</w:t>
      </w:r>
      <w:proofErr w:type="spellEnd"/>
      <w:r w:rsidRPr="000D7976">
        <w:rPr>
          <w:sz w:val="24"/>
          <w:szCs w:val="24"/>
          <w:lang w:val="fr-FR"/>
        </w:rPr>
        <w:t xml:space="preserve">, G. B. E. (2020). </w:t>
      </w:r>
      <w:r w:rsidRPr="00E24B67">
        <w:rPr>
          <w:sz w:val="24"/>
          <w:szCs w:val="24"/>
        </w:rPr>
        <w:t xml:space="preserve">Systematic review of complications and recurrences after surgical interventions in hidradenitis suppurativa. </w:t>
      </w:r>
      <w:r w:rsidRPr="00E24B67">
        <w:rPr>
          <w:i/>
          <w:sz w:val="24"/>
          <w:szCs w:val="24"/>
        </w:rPr>
        <w:t>Dermatologic Surgery</w:t>
      </w:r>
      <w:r w:rsidRPr="00E24B67">
        <w:rPr>
          <w:sz w:val="24"/>
          <w:szCs w:val="24"/>
        </w:rPr>
        <w:t xml:space="preserve">, </w:t>
      </w:r>
      <w:r w:rsidRPr="00E24B67">
        <w:rPr>
          <w:i/>
          <w:sz w:val="24"/>
          <w:szCs w:val="24"/>
        </w:rPr>
        <w:t>46(7)</w:t>
      </w:r>
      <w:r w:rsidRPr="00E24B67">
        <w:rPr>
          <w:sz w:val="24"/>
          <w:szCs w:val="24"/>
        </w:rPr>
        <w:t>, 914-921. https://doi.org/10.1097/DSS.0000000000002323</w:t>
      </w:r>
    </w:p>
    <w:p w:rsidR="00E24B67" w:rsidRPr="00E24B67" w:rsidRDefault="00E24B67" w:rsidP="001D1D16">
      <w:pPr>
        <w:pStyle w:val="ReferenceEntry"/>
        <w:jc w:val="both"/>
        <w:rPr>
          <w:sz w:val="24"/>
          <w:szCs w:val="24"/>
        </w:rPr>
      </w:pPr>
      <w:proofErr w:type="spellStart"/>
      <w:r w:rsidRPr="00E24B67">
        <w:rPr>
          <w:sz w:val="24"/>
          <w:szCs w:val="24"/>
        </w:rPr>
        <w:t>Cucu</w:t>
      </w:r>
      <w:proofErr w:type="spellEnd"/>
      <w:r w:rsidRPr="00E24B67">
        <w:rPr>
          <w:sz w:val="24"/>
          <w:szCs w:val="24"/>
        </w:rPr>
        <w:t xml:space="preserve">, C. I., Ciobotariu, I., Paradisi, A., Di Nardo, L., Fossati, B., Mannino, M., Malvaso, D., Chiricozzi, A., &amp; Peris, K. (2025). Wound closure techniques after wide excision for hidradenitis suppurativa: A systematic review and meta-analysis. </w:t>
      </w:r>
      <w:r w:rsidRPr="00E24B67">
        <w:rPr>
          <w:i/>
          <w:sz w:val="24"/>
          <w:szCs w:val="24"/>
        </w:rPr>
        <w:t>International Journal of Dermatology</w:t>
      </w:r>
      <w:r w:rsidRPr="00E24B67">
        <w:rPr>
          <w:sz w:val="24"/>
          <w:szCs w:val="24"/>
        </w:rPr>
        <w:t xml:space="preserve">, </w:t>
      </w:r>
      <w:r w:rsidRPr="00E24B67">
        <w:rPr>
          <w:i/>
          <w:sz w:val="24"/>
          <w:szCs w:val="24"/>
        </w:rPr>
        <w:t>64(4)</w:t>
      </w:r>
      <w:r w:rsidRPr="00E24B67">
        <w:rPr>
          <w:sz w:val="24"/>
          <w:szCs w:val="24"/>
        </w:rPr>
        <w:t>, 647-653. https://doi.org/10.1111/ijd.17553</w:t>
      </w:r>
    </w:p>
    <w:p w:rsidR="00E24B67" w:rsidRPr="00E24B67" w:rsidRDefault="00E24B67" w:rsidP="001D1D16">
      <w:pPr>
        <w:pStyle w:val="ReferenceEntry"/>
        <w:jc w:val="both"/>
        <w:rPr>
          <w:sz w:val="24"/>
          <w:szCs w:val="24"/>
        </w:rPr>
      </w:pPr>
      <w:proofErr w:type="spellStart"/>
      <w:r w:rsidRPr="00E24B67">
        <w:rPr>
          <w:sz w:val="24"/>
          <w:szCs w:val="24"/>
        </w:rPr>
        <w:lastRenderedPageBreak/>
        <w:t>Dagenet</w:t>
      </w:r>
      <w:proofErr w:type="spellEnd"/>
      <w:r w:rsidRPr="00E24B67">
        <w:rPr>
          <w:sz w:val="24"/>
          <w:szCs w:val="24"/>
        </w:rPr>
        <w:t xml:space="preserve">, C. B., Gawey, L., Hsiao, J. L., &amp; Shi, V. Y. (2025). Lifestyle modifications and nonpharmacological treatments in hidradenitis suppurativa. </w:t>
      </w:r>
      <w:r w:rsidRPr="00E24B67">
        <w:rPr>
          <w:i/>
          <w:sz w:val="24"/>
          <w:szCs w:val="24"/>
        </w:rPr>
        <w:t>Dermatologic Clinics</w:t>
      </w:r>
      <w:r w:rsidRPr="00E24B67">
        <w:rPr>
          <w:sz w:val="24"/>
          <w:szCs w:val="24"/>
        </w:rPr>
        <w:t xml:space="preserve">, </w:t>
      </w:r>
      <w:r w:rsidRPr="00E24B67">
        <w:rPr>
          <w:i/>
          <w:sz w:val="24"/>
          <w:szCs w:val="24"/>
        </w:rPr>
        <w:t>43(2)</w:t>
      </w:r>
      <w:r w:rsidRPr="00E24B67">
        <w:rPr>
          <w:sz w:val="24"/>
          <w:szCs w:val="24"/>
        </w:rPr>
        <w:t>, 273-284. https://doi.org/10.1016/j.det.2024.12.011</w:t>
      </w:r>
    </w:p>
    <w:p w:rsidR="00E24B67" w:rsidRPr="00E24B67" w:rsidRDefault="00E24B67" w:rsidP="001D1D16">
      <w:pPr>
        <w:pStyle w:val="ReferenceEntry"/>
        <w:jc w:val="both"/>
        <w:rPr>
          <w:sz w:val="24"/>
          <w:szCs w:val="24"/>
        </w:rPr>
      </w:pPr>
      <w:proofErr w:type="spellStart"/>
      <w:r w:rsidRPr="00E24B67">
        <w:rPr>
          <w:sz w:val="24"/>
          <w:szCs w:val="24"/>
        </w:rPr>
        <w:t>Daveluy</w:t>
      </w:r>
      <w:proofErr w:type="spellEnd"/>
      <w:r w:rsidRPr="00E24B67">
        <w:rPr>
          <w:sz w:val="24"/>
          <w:szCs w:val="24"/>
        </w:rPr>
        <w:t xml:space="preserve">, S., &amp; Okoye, G. A. (2024). Quality of life and the patient journey in hidradenitis suppurativa. </w:t>
      </w:r>
      <w:r w:rsidRPr="00E24B67">
        <w:rPr>
          <w:i/>
          <w:sz w:val="24"/>
          <w:szCs w:val="24"/>
        </w:rPr>
        <w:t>Journal of the American Academy of Dermatology</w:t>
      </w:r>
      <w:r w:rsidRPr="00E24B67">
        <w:rPr>
          <w:sz w:val="24"/>
          <w:szCs w:val="24"/>
        </w:rPr>
        <w:t xml:space="preserve">, </w:t>
      </w:r>
      <w:r w:rsidRPr="00E24B67">
        <w:rPr>
          <w:i/>
          <w:sz w:val="24"/>
          <w:szCs w:val="24"/>
        </w:rPr>
        <w:t>91(6S)</w:t>
      </w:r>
      <w:r w:rsidRPr="00E24B67">
        <w:rPr>
          <w:sz w:val="24"/>
          <w:szCs w:val="24"/>
        </w:rPr>
        <w:t>, S8-S11. https://doi.org/10.1016/j.jaad.2024.09.008</w:t>
      </w:r>
    </w:p>
    <w:p w:rsidR="00E24B67" w:rsidRPr="00E24B67" w:rsidRDefault="00E24B67" w:rsidP="001D1D16">
      <w:pPr>
        <w:pStyle w:val="ReferenceEntry"/>
        <w:jc w:val="both"/>
        <w:rPr>
          <w:color w:val="212121"/>
          <w:sz w:val="24"/>
          <w:szCs w:val="24"/>
          <w:shd w:val="clear" w:color="auto" w:fill="FFFFFF"/>
        </w:rPr>
      </w:pPr>
      <w:proofErr w:type="spellStart"/>
      <w:r w:rsidRPr="00E24B67">
        <w:rPr>
          <w:color w:val="212121"/>
          <w:sz w:val="24"/>
          <w:szCs w:val="24"/>
          <w:shd w:val="clear" w:color="auto" w:fill="FFFFFF"/>
        </w:rPr>
        <w:t>Deckers</w:t>
      </w:r>
      <w:proofErr w:type="spellEnd"/>
      <w:r w:rsidRPr="00E24B67">
        <w:rPr>
          <w:color w:val="212121"/>
          <w:sz w:val="24"/>
          <w:szCs w:val="24"/>
          <w:shd w:val="clear" w:color="auto" w:fill="FFFFFF"/>
        </w:rPr>
        <w:t xml:space="preserve">, I. E., </w:t>
      </w:r>
      <w:proofErr w:type="spellStart"/>
      <w:r w:rsidRPr="00E24B67">
        <w:rPr>
          <w:color w:val="212121"/>
          <w:sz w:val="24"/>
          <w:szCs w:val="24"/>
          <w:shd w:val="clear" w:color="auto" w:fill="FFFFFF"/>
        </w:rPr>
        <w:t>Benhadou</w:t>
      </w:r>
      <w:proofErr w:type="spellEnd"/>
      <w:r w:rsidRPr="00E24B67">
        <w:rPr>
          <w:color w:val="212121"/>
          <w:sz w:val="24"/>
          <w:szCs w:val="24"/>
          <w:shd w:val="clear" w:color="auto" w:fill="FFFFFF"/>
        </w:rPr>
        <w:t xml:space="preserve">, F., </w:t>
      </w:r>
      <w:proofErr w:type="spellStart"/>
      <w:r w:rsidRPr="00E24B67">
        <w:rPr>
          <w:color w:val="212121"/>
          <w:sz w:val="24"/>
          <w:szCs w:val="24"/>
          <w:shd w:val="clear" w:color="auto" w:fill="FFFFFF"/>
        </w:rPr>
        <w:t>Koldijk</w:t>
      </w:r>
      <w:proofErr w:type="spellEnd"/>
      <w:r w:rsidRPr="00E24B67">
        <w:rPr>
          <w:color w:val="212121"/>
          <w:sz w:val="24"/>
          <w:szCs w:val="24"/>
          <w:shd w:val="clear" w:color="auto" w:fill="FFFFFF"/>
        </w:rPr>
        <w:t xml:space="preserve">, M. J., Del </w:t>
      </w:r>
      <w:proofErr w:type="spellStart"/>
      <w:r w:rsidRPr="00E24B67">
        <w:rPr>
          <w:color w:val="212121"/>
          <w:sz w:val="24"/>
          <w:szCs w:val="24"/>
          <w:shd w:val="clear" w:color="auto" w:fill="FFFFFF"/>
        </w:rPr>
        <w:t>Marmol</w:t>
      </w:r>
      <w:proofErr w:type="spellEnd"/>
      <w:r w:rsidRPr="00E24B67">
        <w:rPr>
          <w:color w:val="212121"/>
          <w:sz w:val="24"/>
          <w:szCs w:val="24"/>
          <w:shd w:val="clear" w:color="auto" w:fill="FFFFFF"/>
        </w:rPr>
        <w:t xml:space="preserve">, V., </w:t>
      </w:r>
      <w:proofErr w:type="spellStart"/>
      <w:r w:rsidRPr="00E24B67">
        <w:rPr>
          <w:color w:val="212121"/>
          <w:sz w:val="24"/>
          <w:szCs w:val="24"/>
          <w:shd w:val="clear" w:color="auto" w:fill="FFFFFF"/>
        </w:rPr>
        <w:t>Horváth</w:t>
      </w:r>
      <w:proofErr w:type="spellEnd"/>
      <w:r w:rsidRPr="00E24B67">
        <w:rPr>
          <w:color w:val="212121"/>
          <w:sz w:val="24"/>
          <w:szCs w:val="24"/>
          <w:shd w:val="clear" w:color="auto" w:fill="FFFFFF"/>
        </w:rPr>
        <w:t xml:space="preserve">, B., Boer, J., van der Zee, H. H., &amp; </w:t>
      </w:r>
      <w:proofErr w:type="spellStart"/>
      <w:r w:rsidRPr="00E24B67">
        <w:rPr>
          <w:color w:val="212121"/>
          <w:sz w:val="24"/>
          <w:szCs w:val="24"/>
          <w:shd w:val="clear" w:color="auto" w:fill="FFFFFF"/>
        </w:rPr>
        <w:t>Prens</w:t>
      </w:r>
      <w:proofErr w:type="spellEnd"/>
      <w:r w:rsidRPr="00E24B67">
        <w:rPr>
          <w:color w:val="212121"/>
          <w:sz w:val="24"/>
          <w:szCs w:val="24"/>
          <w:shd w:val="clear" w:color="auto" w:fill="FFFFFF"/>
        </w:rPr>
        <w:t>, E. P. (2017). Inflammatory bowel disease is associated with hidradenitis suppurativa: Results from a multicenter cross-sectional study. </w:t>
      </w:r>
      <w:r w:rsidRPr="00E24B67">
        <w:rPr>
          <w:i/>
          <w:iCs/>
          <w:color w:val="212121"/>
          <w:sz w:val="24"/>
          <w:szCs w:val="24"/>
          <w:shd w:val="clear" w:color="auto" w:fill="FFFFFF"/>
        </w:rPr>
        <w:t>Journal of the American Academy of Dermatology</w:t>
      </w:r>
      <w:r w:rsidRPr="00E24B67">
        <w:rPr>
          <w:color w:val="212121"/>
          <w:sz w:val="24"/>
          <w:szCs w:val="24"/>
          <w:shd w:val="clear" w:color="auto" w:fill="FFFFFF"/>
        </w:rPr>
        <w:t>, </w:t>
      </w:r>
      <w:r w:rsidRPr="00E24B67">
        <w:rPr>
          <w:i/>
          <w:iCs/>
          <w:color w:val="212121"/>
          <w:sz w:val="24"/>
          <w:szCs w:val="24"/>
          <w:shd w:val="clear" w:color="auto" w:fill="FFFFFF"/>
        </w:rPr>
        <w:t>76</w:t>
      </w:r>
      <w:r w:rsidRPr="00E24B67">
        <w:rPr>
          <w:color w:val="212121"/>
          <w:sz w:val="24"/>
          <w:szCs w:val="24"/>
          <w:shd w:val="clear" w:color="auto" w:fill="FFFFFF"/>
        </w:rPr>
        <w:t xml:space="preserve">(1), 49–53. </w:t>
      </w:r>
      <w:hyperlink r:id="rId11" w:history="1">
        <w:r w:rsidRPr="00E24B67">
          <w:rPr>
            <w:rStyle w:val="Hyperlink"/>
            <w:sz w:val="24"/>
            <w:szCs w:val="24"/>
            <w:shd w:val="clear" w:color="auto" w:fill="FFFFFF"/>
          </w:rPr>
          <w:t>https://doi.org/10.1016/j.jaad.2016.08.031</w:t>
        </w:r>
      </w:hyperlink>
      <w:r w:rsidRPr="00E24B67">
        <w:rPr>
          <w:color w:val="212121"/>
          <w:sz w:val="24"/>
          <w:szCs w:val="24"/>
          <w:shd w:val="clear" w:color="auto" w:fill="FFFFFF"/>
        </w:rPr>
        <w:t xml:space="preserve"> </w:t>
      </w:r>
    </w:p>
    <w:p w:rsidR="00E24B67" w:rsidRPr="00E24B67" w:rsidRDefault="00E24B67" w:rsidP="001D1D16">
      <w:pPr>
        <w:pStyle w:val="ReferenceEntry"/>
        <w:jc w:val="both"/>
        <w:rPr>
          <w:color w:val="212121"/>
          <w:sz w:val="24"/>
          <w:szCs w:val="24"/>
          <w:shd w:val="clear" w:color="auto" w:fill="FFFFFF"/>
        </w:rPr>
      </w:pPr>
      <w:r w:rsidRPr="00E24B67">
        <w:rPr>
          <w:color w:val="212121"/>
          <w:sz w:val="24"/>
          <w:szCs w:val="24"/>
          <w:shd w:val="clear" w:color="auto" w:fill="FFFFFF"/>
        </w:rPr>
        <w:t xml:space="preserve">Denny, G., &amp; </w:t>
      </w:r>
      <w:proofErr w:type="spellStart"/>
      <w:r w:rsidRPr="00E24B67">
        <w:rPr>
          <w:color w:val="212121"/>
          <w:sz w:val="24"/>
          <w:szCs w:val="24"/>
          <w:shd w:val="clear" w:color="auto" w:fill="FFFFFF"/>
        </w:rPr>
        <w:t>Anadkat</w:t>
      </w:r>
      <w:proofErr w:type="spellEnd"/>
      <w:r w:rsidRPr="00E24B67">
        <w:rPr>
          <w:color w:val="212121"/>
          <w:sz w:val="24"/>
          <w:szCs w:val="24"/>
          <w:shd w:val="clear" w:color="auto" w:fill="FFFFFF"/>
        </w:rPr>
        <w:t>, M. J. (2017). The effect of smoking and age on the response to first-line therapy of hidradenitis suppurativa: An institutional retrospective cohort study. </w:t>
      </w:r>
      <w:r w:rsidRPr="00E24B67">
        <w:rPr>
          <w:i/>
          <w:iCs/>
          <w:color w:val="212121"/>
          <w:sz w:val="24"/>
          <w:szCs w:val="24"/>
          <w:shd w:val="clear" w:color="auto" w:fill="FFFFFF"/>
        </w:rPr>
        <w:t>Journal of the American Academy of Dermatology</w:t>
      </w:r>
      <w:r w:rsidRPr="00E24B67">
        <w:rPr>
          <w:color w:val="212121"/>
          <w:sz w:val="24"/>
          <w:szCs w:val="24"/>
          <w:shd w:val="clear" w:color="auto" w:fill="FFFFFF"/>
        </w:rPr>
        <w:t>, </w:t>
      </w:r>
      <w:r w:rsidRPr="00E24B67">
        <w:rPr>
          <w:i/>
          <w:iCs/>
          <w:color w:val="212121"/>
          <w:sz w:val="24"/>
          <w:szCs w:val="24"/>
          <w:shd w:val="clear" w:color="auto" w:fill="FFFFFF"/>
        </w:rPr>
        <w:t>76</w:t>
      </w:r>
      <w:r w:rsidRPr="00E24B67">
        <w:rPr>
          <w:color w:val="212121"/>
          <w:sz w:val="24"/>
          <w:szCs w:val="24"/>
          <w:shd w:val="clear" w:color="auto" w:fill="FFFFFF"/>
        </w:rPr>
        <w:t xml:space="preserve">(1), 54–59. </w:t>
      </w:r>
      <w:hyperlink r:id="rId12" w:history="1">
        <w:r w:rsidRPr="00E24B67">
          <w:rPr>
            <w:rStyle w:val="Hyperlink"/>
            <w:sz w:val="24"/>
            <w:szCs w:val="24"/>
            <w:shd w:val="clear" w:color="auto" w:fill="FFFFFF"/>
          </w:rPr>
          <w:t>https://doi.org/10.1016/j.jaad.2016.07.041</w:t>
        </w:r>
      </w:hyperlink>
      <w:r w:rsidRPr="00E24B67">
        <w:rPr>
          <w:color w:val="212121"/>
          <w:sz w:val="24"/>
          <w:szCs w:val="24"/>
          <w:shd w:val="clear" w:color="auto" w:fill="FFFFFF"/>
        </w:rPr>
        <w:t xml:space="preserve"> </w:t>
      </w:r>
    </w:p>
    <w:p w:rsidR="00E24B67" w:rsidRPr="00E24B67" w:rsidRDefault="00E24B67" w:rsidP="001D1D16">
      <w:pPr>
        <w:pStyle w:val="ReferenceEntry"/>
        <w:jc w:val="both"/>
        <w:rPr>
          <w:color w:val="212121"/>
          <w:sz w:val="24"/>
          <w:szCs w:val="24"/>
          <w:shd w:val="clear" w:color="auto" w:fill="FFFFFF"/>
        </w:rPr>
      </w:pPr>
      <w:r w:rsidRPr="000D7976">
        <w:rPr>
          <w:color w:val="212121"/>
          <w:sz w:val="24"/>
          <w:szCs w:val="24"/>
          <w:shd w:val="clear" w:color="auto" w:fill="FFFFFF"/>
          <w:lang w:val="fr-FR"/>
        </w:rPr>
        <w:t xml:space="preserve">Gener, G., </w:t>
      </w:r>
      <w:proofErr w:type="spellStart"/>
      <w:r w:rsidRPr="000D7976">
        <w:rPr>
          <w:color w:val="212121"/>
          <w:sz w:val="24"/>
          <w:szCs w:val="24"/>
          <w:shd w:val="clear" w:color="auto" w:fill="FFFFFF"/>
          <w:lang w:val="fr-FR"/>
        </w:rPr>
        <w:t>Canoui</w:t>
      </w:r>
      <w:proofErr w:type="spellEnd"/>
      <w:r w:rsidRPr="000D7976">
        <w:rPr>
          <w:color w:val="212121"/>
          <w:sz w:val="24"/>
          <w:szCs w:val="24"/>
          <w:shd w:val="clear" w:color="auto" w:fill="FFFFFF"/>
          <w:lang w:val="fr-FR"/>
        </w:rPr>
        <w:t xml:space="preserve">-Poitrine, F., </w:t>
      </w:r>
      <w:proofErr w:type="spellStart"/>
      <w:r w:rsidRPr="000D7976">
        <w:rPr>
          <w:color w:val="212121"/>
          <w:sz w:val="24"/>
          <w:szCs w:val="24"/>
          <w:shd w:val="clear" w:color="auto" w:fill="FFFFFF"/>
          <w:lang w:val="fr-FR"/>
        </w:rPr>
        <w:t>Revuz</w:t>
      </w:r>
      <w:proofErr w:type="spellEnd"/>
      <w:r w:rsidRPr="000D7976">
        <w:rPr>
          <w:color w:val="212121"/>
          <w:sz w:val="24"/>
          <w:szCs w:val="24"/>
          <w:shd w:val="clear" w:color="auto" w:fill="FFFFFF"/>
          <w:lang w:val="fr-FR"/>
        </w:rPr>
        <w:t xml:space="preserve">, J. E., Faye, O., Poli, F., </w:t>
      </w:r>
      <w:proofErr w:type="spellStart"/>
      <w:r w:rsidRPr="000D7976">
        <w:rPr>
          <w:color w:val="212121"/>
          <w:sz w:val="24"/>
          <w:szCs w:val="24"/>
          <w:shd w:val="clear" w:color="auto" w:fill="FFFFFF"/>
          <w:lang w:val="fr-FR"/>
        </w:rPr>
        <w:t>Gabison</w:t>
      </w:r>
      <w:proofErr w:type="spellEnd"/>
      <w:r w:rsidRPr="000D7976">
        <w:rPr>
          <w:color w:val="212121"/>
          <w:sz w:val="24"/>
          <w:szCs w:val="24"/>
          <w:shd w:val="clear" w:color="auto" w:fill="FFFFFF"/>
          <w:lang w:val="fr-FR"/>
        </w:rPr>
        <w:t xml:space="preserve">, G., Pouget, F., </w:t>
      </w:r>
      <w:proofErr w:type="spellStart"/>
      <w:r w:rsidRPr="000D7976">
        <w:rPr>
          <w:color w:val="212121"/>
          <w:sz w:val="24"/>
          <w:szCs w:val="24"/>
          <w:shd w:val="clear" w:color="auto" w:fill="FFFFFF"/>
          <w:lang w:val="fr-FR"/>
        </w:rPr>
        <w:t>Viallette</w:t>
      </w:r>
      <w:proofErr w:type="spellEnd"/>
      <w:r w:rsidRPr="000D7976">
        <w:rPr>
          <w:color w:val="212121"/>
          <w:sz w:val="24"/>
          <w:szCs w:val="24"/>
          <w:shd w:val="clear" w:color="auto" w:fill="FFFFFF"/>
          <w:lang w:val="fr-FR"/>
        </w:rPr>
        <w:t xml:space="preserve">, C., </w:t>
      </w:r>
      <w:proofErr w:type="spellStart"/>
      <w:r w:rsidRPr="000D7976">
        <w:rPr>
          <w:color w:val="212121"/>
          <w:sz w:val="24"/>
          <w:szCs w:val="24"/>
          <w:shd w:val="clear" w:color="auto" w:fill="FFFFFF"/>
          <w:lang w:val="fr-FR"/>
        </w:rPr>
        <w:t>Wolkenstein</w:t>
      </w:r>
      <w:proofErr w:type="spellEnd"/>
      <w:r w:rsidRPr="000D7976">
        <w:rPr>
          <w:color w:val="212121"/>
          <w:sz w:val="24"/>
          <w:szCs w:val="24"/>
          <w:shd w:val="clear" w:color="auto" w:fill="FFFFFF"/>
          <w:lang w:val="fr-FR"/>
        </w:rPr>
        <w:t xml:space="preserve">, P., &amp; </w:t>
      </w:r>
      <w:proofErr w:type="spellStart"/>
      <w:r w:rsidRPr="000D7976">
        <w:rPr>
          <w:color w:val="212121"/>
          <w:sz w:val="24"/>
          <w:szCs w:val="24"/>
          <w:shd w:val="clear" w:color="auto" w:fill="FFFFFF"/>
          <w:lang w:val="fr-FR"/>
        </w:rPr>
        <w:t>Bastuji</w:t>
      </w:r>
      <w:proofErr w:type="spellEnd"/>
      <w:r w:rsidRPr="000D7976">
        <w:rPr>
          <w:color w:val="212121"/>
          <w:sz w:val="24"/>
          <w:szCs w:val="24"/>
          <w:shd w:val="clear" w:color="auto" w:fill="FFFFFF"/>
          <w:lang w:val="fr-FR"/>
        </w:rPr>
        <w:t xml:space="preserve">-Garin, S. (2009). </w:t>
      </w:r>
      <w:r w:rsidRPr="00E24B67">
        <w:rPr>
          <w:color w:val="212121"/>
          <w:sz w:val="24"/>
          <w:szCs w:val="24"/>
          <w:shd w:val="clear" w:color="auto" w:fill="FFFFFF"/>
        </w:rPr>
        <w:t>Combination therapy with clindamycin and rifampicin for hidradenitis suppurativa: a series of 116 consecutive patients. </w:t>
      </w:r>
      <w:r w:rsidRPr="00E24B67">
        <w:rPr>
          <w:i/>
          <w:iCs/>
          <w:color w:val="212121"/>
          <w:sz w:val="24"/>
          <w:szCs w:val="24"/>
          <w:shd w:val="clear" w:color="auto" w:fill="FFFFFF"/>
        </w:rPr>
        <w:t>Dermatology (Basel, Switzerland)</w:t>
      </w:r>
      <w:r w:rsidRPr="00E24B67">
        <w:rPr>
          <w:color w:val="212121"/>
          <w:sz w:val="24"/>
          <w:szCs w:val="24"/>
          <w:shd w:val="clear" w:color="auto" w:fill="FFFFFF"/>
        </w:rPr>
        <w:t>, </w:t>
      </w:r>
      <w:r w:rsidRPr="00E24B67">
        <w:rPr>
          <w:i/>
          <w:iCs/>
          <w:color w:val="212121"/>
          <w:sz w:val="24"/>
          <w:szCs w:val="24"/>
          <w:shd w:val="clear" w:color="auto" w:fill="FFFFFF"/>
        </w:rPr>
        <w:t>219</w:t>
      </w:r>
      <w:r w:rsidRPr="00E24B67">
        <w:rPr>
          <w:color w:val="212121"/>
          <w:sz w:val="24"/>
          <w:szCs w:val="24"/>
          <w:shd w:val="clear" w:color="auto" w:fill="FFFFFF"/>
        </w:rPr>
        <w:t xml:space="preserve">(2), 148–154. </w:t>
      </w:r>
      <w:hyperlink r:id="rId13" w:history="1">
        <w:r w:rsidRPr="00E24B67">
          <w:rPr>
            <w:rStyle w:val="Hyperlink"/>
            <w:sz w:val="24"/>
            <w:szCs w:val="24"/>
            <w:shd w:val="clear" w:color="auto" w:fill="FFFFFF"/>
          </w:rPr>
          <w:t>https://doi.org/10.1159/000228334</w:t>
        </w:r>
      </w:hyperlink>
      <w:r w:rsidRPr="00E24B67">
        <w:rPr>
          <w:color w:val="212121"/>
          <w:sz w:val="24"/>
          <w:szCs w:val="24"/>
          <w:shd w:val="clear" w:color="auto" w:fill="FFFFFF"/>
        </w:rPr>
        <w:t xml:space="preserve"> </w:t>
      </w:r>
    </w:p>
    <w:p w:rsidR="00E24B67" w:rsidRPr="00E24B67" w:rsidRDefault="00E24B67" w:rsidP="001D1D16">
      <w:pPr>
        <w:pStyle w:val="ReferenceEntry"/>
        <w:jc w:val="both"/>
        <w:rPr>
          <w:sz w:val="24"/>
          <w:szCs w:val="24"/>
        </w:rPr>
      </w:pPr>
      <w:proofErr w:type="spellStart"/>
      <w:r w:rsidRPr="00E24B67">
        <w:rPr>
          <w:sz w:val="24"/>
          <w:szCs w:val="24"/>
        </w:rPr>
        <w:t>Gierek</w:t>
      </w:r>
      <w:proofErr w:type="spellEnd"/>
      <w:r w:rsidRPr="00E24B67">
        <w:rPr>
          <w:sz w:val="24"/>
          <w:szCs w:val="24"/>
        </w:rPr>
        <w:t xml:space="preserve">, M., Niemiec, P., Szyluk, K., Ochała-Gierek, G., &amp; Bergler-Czop, B. (2023). Hidradenitis suppurativa and squamous cell carcinoma: A systematic review of the literature. </w:t>
      </w:r>
      <w:r w:rsidRPr="00E24B67">
        <w:rPr>
          <w:i/>
          <w:sz w:val="24"/>
          <w:szCs w:val="24"/>
        </w:rPr>
        <w:t>Advances in Dermatology and Allergology/Postępy Dermatologii i Alergologii</w:t>
      </w:r>
      <w:r w:rsidRPr="00E24B67">
        <w:rPr>
          <w:sz w:val="24"/>
          <w:szCs w:val="24"/>
        </w:rPr>
        <w:t xml:space="preserve">, </w:t>
      </w:r>
      <w:r w:rsidRPr="00E24B67">
        <w:rPr>
          <w:i/>
          <w:sz w:val="24"/>
          <w:szCs w:val="24"/>
        </w:rPr>
        <w:t>40(3)</w:t>
      </w:r>
      <w:r w:rsidRPr="00E24B67">
        <w:rPr>
          <w:sz w:val="24"/>
          <w:szCs w:val="24"/>
        </w:rPr>
        <w:t>, 350-354. https://doi.org/10.5114/ada.2023.126563</w:t>
      </w:r>
    </w:p>
    <w:p w:rsidR="00E24B67" w:rsidRPr="00E24B67" w:rsidRDefault="00E24B67" w:rsidP="001D1D16">
      <w:pPr>
        <w:pStyle w:val="ReferenceEntry"/>
        <w:jc w:val="both"/>
        <w:rPr>
          <w:color w:val="212121"/>
          <w:sz w:val="24"/>
          <w:szCs w:val="24"/>
          <w:shd w:val="clear" w:color="auto" w:fill="FFFFFF"/>
        </w:rPr>
      </w:pPr>
      <w:proofErr w:type="spellStart"/>
      <w:r w:rsidRPr="000D7976">
        <w:rPr>
          <w:color w:val="212121"/>
          <w:sz w:val="24"/>
          <w:szCs w:val="24"/>
          <w:shd w:val="clear" w:color="auto" w:fill="FFFFFF"/>
          <w:lang w:val="fr-FR"/>
        </w:rPr>
        <w:t>Golbari</w:t>
      </w:r>
      <w:proofErr w:type="spellEnd"/>
      <w:r w:rsidRPr="000D7976">
        <w:rPr>
          <w:color w:val="212121"/>
          <w:sz w:val="24"/>
          <w:szCs w:val="24"/>
          <w:shd w:val="clear" w:color="auto" w:fill="FFFFFF"/>
          <w:lang w:val="fr-FR"/>
        </w:rPr>
        <w:t xml:space="preserve">, N. M., Porter, M. L., &amp; Kimball, A. B. (2019). </w:t>
      </w:r>
      <w:r w:rsidRPr="00E24B67">
        <w:rPr>
          <w:color w:val="212121"/>
          <w:sz w:val="24"/>
          <w:szCs w:val="24"/>
          <w:shd w:val="clear" w:color="auto" w:fill="FFFFFF"/>
        </w:rPr>
        <w:t>Antiandrogen therapy with spironolactone for the treatment of hidradenitis suppurativa. </w:t>
      </w:r>
      <w:r w:rsidRPr="00E24B67">
        <w:rPr>
          <w:i/>
          <w:iCs/>
          <w:color w:val="212121"/>
          <w:sz w:val="24"/>
          <w:szCs w:val="24"/>
          <w:shd w:val="clear" w:color="auto" w:fill="FFFFFF"/>
        </w:rPr>
        <w:t>Journal of the American Academy of Dermatology</w:t>
      </w:r>
      <w:r w:rsidRPr="00E24B67">
        <w:rPr>
          <w:color w:val="212121"/>
          <w:sz w:val="24"/>
          <w:szCs w:val="24"/>
          <w:shd w:val="clear" w:color="auto" w:fill="FFFFFF"/>
        </w:rPr>
        <w:t>, </w:t>
      </w:r>
      <w:r w:rsidRPr="00E24B67">
        <w:rPr>
          <w:i/>
          <w:iCs/>
          <w:color w:val="212121"/>
          <w:sz w:val="24"/>
          <w:szCs w:val="24"/>
          <w:shd w:val="clear" w:color="auto" w:fill="FFFFFF"/>
        </w:rPr>
        <w:t>80</w:t>
      </w:r>
      <w:r w:rsidRPr="00E24B67">
        <w:rPr>
          <w:color w:val="212121"/>
          <w:sz w:val="24"/>
          <w:szCs w:val="24"/>
          <w:shd w:val="clear" w:color="auto" w:fill="FFFFFF"/>
        </w:rPr>
        <w:t xml:space="preserve">(1), 114–119. </w:t>
      </w:r>
      <w:hyperlink r:id="rId14" w:history="1">
        <w:r w:rsidRPr="00E24B67">
          <w:rPr>
            <w:rStyle w:val="Hyperlink"/>
            <w:sz w:val="24"/>
            <w:szCs w:val="24"/>
            <w:shd w:val="clear" w:color="auto" w:fill="FFFFFF"/>
          </w:rPr>
          <w:t>https://doi.org/10.1016/j.jaad.2018.06.063</w:t>
        </w:r>
      </w:hyperlink>
      <w:r w:rsidRPr="00E24B67">
        <w:rPr>
          <w:color w:val="212121"/>
          <w:sz w:val="24"/>
          <w:szCs w:val="24"/>
          <w:shd w:val="clear" w:color="auto" w:fill="FFFFFF"/>
        </w:rPr>
        <w:t xml:space="preserve"> </w:t>
      </w:r>
    </w:p>
    <w:p w:rsidR="00E24B67" w:rsidRPr="00E24B67" w:rsidRDefault="00E24B67" w:rsidP="001D1D16">
      <w:pPr>
        <w:pStyle w:val="ReferenceEntry"/>
        <w:jc w:val="both"/>
        <w:rPr>
          <w:sz w:val="24"/>
          <w:szCs w:val="24"/>
        </w:rPr>
      </w:pPr>
      <w:proofErr w:type="spellStart"/>
      <w:r w:rsidRPr="00E24B67">
        <w:rPr>
          <w:sz w:val="24"/>
          <w:szCs w:val="24"/>
        </w:rPr>
        <w:t>Hundal</w:t>
      </w:r>
      <w:proofErr w:type="spellEnd"/>
      <w:r w:rsidRPr="00E24B67">
        <w:rPr>
          <w:sz w:val="24"/>
          <w:szCs w:val="24"/>
        </w:rPr>
        <w:t xml:space="preserve">, S., Cappelli, J., Croitoru, D., Drucker, A. M., Ingram, J. R., Goldberg, S. R., &amp; Netchiporouk, E. (2025). Cost-utility analysis of clinic-based deroofing versus local excision for hidradenitis suppurativa. </w:t>
      </w:r>
      <w:r w:rsidRPr="00E24B67">
        <w:rPr>
          <w:i/>
          <w:sz w:val="24"/>
          <w:szCs w:val="24"/>
        </w:rPr>
        <w:t>Journal of the American Academy of Dermatology</w:t>
      </w:r>
      <w:r w:rsidRPr="00E24B67">
        <w:rPr>
          <w:sz w:val="24"/>
          <w:szCs w:val="24"/>
        </w:rPr>
        <w:t xml:space="preserve">, </w:t>
      </w:r>
      <w:r w:rsidRPr="00E24B67">
        <w:rPr>
          <w:i/>
          <w:sz w:val="24"/>
          <w:szCs w:val="24"/>
        </w:rPr>
        <w:t>92(4)</w:t>
      </w:r>
      <w:r w:rsidRPr="00E24B67">
        <w:rPr>
          <w:sz w:val="24"/>
          <w:szCs w:val="24"/>
        </w:rPr>
        <w:t>, 773-780. https://doi.org/10.1016/j.jaad.2024.11.057</w:t>
      </w:r>
    </w:p>
    <w:p w:rsidR="00E24B67" w:rsidRPr="00E24B67" w:rsidRDefault="00E24B67" w:rsidP="001D1D16">
      <w:pPr>
        <w:pStyle w:val="ReferenceEntry"/>
        <w:jc w:val="both"/>
        <w:rPr>
          <w:sz w:val="24"/>
          <w:szCs w:val="24"/>
        </w:rPr>
      </w:pPr>
      <w:r w:rsidRPr="00E24B67">
        <w:rPr>
          <w:sz w:val="24"/>
          <w:szCs w:val="24"/>
        </w:rPr>
        <w:t xml:space="preserve">Ingram, J. R., Marzano, A. V., Prens, E., Schneider-Burrus, S., Warren, R. B., Keal, A., Jha, R., Hernandez Daly, A. C., &amp; Kimball, A. B. (2025). Hidradenitis suppurativa with and without draining tunnels: A real-world study characterizing differences in treatment and disease burden. </w:t>
      </w:r>
      <w:r w:rsidRPr="00E24B67">
        <w:rPr>
          <w:i/>
          <w:sz w:val="24"/>
          <w:szCs w:val="24"/>
        </w:rPr>
        <w:t>Journal of the European Academy of Dermatology and Venereology</w:t>
      </w:r>
      <w:r w:rsidRPr="00E24B67">
        <w:rPr>
          <w:sz w:val="24"/>
          <w:szCs w:val="24"/>
        </w:rPr>
        <w:t xml:space="preserve">, </w:t>
      </w:r>
      <w:r w:rsidRPr="00E24B67">
        <w:rPr>
          <w:i/>
          <w:sz w:val="24"/>
          <w:szCs w:val="24"/>
        </w:rPr>
        <w:t>39(8)</w:t>
      </w:r>
      <w:r w:rsidRPr="00E24B67">
        <w:rPr>
          <w:sz w:val="24"/>
          <w:szCs w:val="24"/>
        </w:rPr>
        <w:t>, 1431-1441. https://doi.org/10.1111/jdv.20550</w:t>
      </w:r>
    </w:p>
    <w:p w:rsidR="00E24B67" w:rsidRPr="00E24B67" w:rsidRDefault="00E24B67" w:rsidP="001D1D16">
      <w:pPr>
        <w:pStyle w:val="ReferenceEntry"/>
        <w:jc w:val="both"/>
        <w:rPr>
          <w:sz w:val="24"/>
          <w:szCs w:val="24"/>
        </w:rPr>
      </w:pPr>
      <w:proofErr w:type="spellStart"/>
      <w:r w:rsidRPr="00E24B67">
        <w:rPr>
          <w:sz w:val="24"/>
          <w:szCs w:val="24"/>
        </w:rPr>
        <w:t>Jafarzadeh</w:t>
      </w:r>
      <w:proofErr w:type="spellEnd"/>
      <w:r w:rsidRPr="00E24B67">
        <w:rPr>
          <w:sz w:val="24"/>
          <w:szCs w:val="24"/>
        </w:rPr>
        <w:t xml:space="preserve">, A., Torkaman, N., Haeri Boroujeni, D., &amp; Goodarzi, A. (2025). Systematic review of laser and light-based procedural treatments for hidradenitis suppurativa. </w:t>
      </w:r>
      <w:r w:rsidRPr="00E24B67">
        <w:rPr>
          <w:i/>
          <w:sz w:val="24"/>
          <w:szCs w:val="24"/>
        </w:rPr>
        <w:t>Lasers in Medical Science</w:t>
      </w:r>
      <w:r w:rsidRPr="00E24B67">
        <w:rPr>
          <w:sz w:val="24"/>
          <w:szCs w:val="24"/>
        </w:rPr>
        <w:t xml:space="preserve">, </w:t>
      </w:r>
      <w:r w:rsidRPr="00E24B67">
        <w:rPr>
          <w:i/>
          <w:sz w:val="24"/>
          <w:szCs w:val="24"/>
        </w:rPr>
        <w:t>40(1)</w:t>
      </w:r>
      <w:r w:rsidRPr="00E24B67">
        <w:rPr>
          <w:sz w:val="24"/>
          <w:szCs w:val="24"/>
        </w:rPr>
        <w:t>, 469. https://doi.org/10.1007/s10103-025-04722-2</w:t>
      </w:r>
    </w:p>
    <w:p w:rsidR="00E24B67" w:rsidRPr="00E24B67" w:rsidRDefault="00E24B67" w:rsidP="001D1D16">
      <w:pPr>
        <w:pStyle w:val="ReferenceEntry"/>
        <w:jc w:val="both"/>
        <w:rPr>
          <w:sz w:val="24"/>
          <w:szCs w:val="24"/>
        </w:rPr>
      </w:pPr>
      <w:proofErr w:type="spellStart"/>
      <w:r w:rsidRPr="00E24B67">
        <w:rPr>
          <w:sz w:val="24"/>
          <w:szCs w:val="24"/>
        </w:rPr>
        <w:t>Jemec</w:t>
      </w:r>
      <w:proofErr w:type="spellEnd"/>
      <w:r w:rsidRPr="00E24B67">
        <w:rPr>
          <w:sz w:val="24"/>
          <w:szCs w:val="24"/>
        </w:rPr>
        <w:t xml:space="preserve">, G. B. E., Okun, M. M., Forman, S. B., Gulliver, W. P. F., Prens, E. P., Mrowietz, U., Armstrong, A. W., Geng, Z., Gu, Y., Williams, D. A., Teixeira, H. D., &amp; Kimball, A. B. (2019). Adalimumab medium-term dosing strategy in moderate-to-severe </w:t>
      </w:r>
      <w:r w:rsidRPr="00E24B67">
        <w:rPr>
          <w:sz w:val="24"/>
          <w:szCs w:val="24"/>
        </w:rPr>
        <w:lastRenderedPageBreak/>
        <w:t xml:space="preserve">hidradenitis suppurativa: Integrated results from the phase III randomized placebo-controlled PIONEER trials. </w:t>
      </w:r>
      <w:r w:rsidRPr="00E24B67">
        <w:rPr>
          <w:i/>
          <w:sz w:val="24"/>
          <w:szCs w:val="24"/>
        </w:rPr>
        <w:t>British Journal of Dermatology</w:t>
      </w:r>
      <w:r w:rsidRPr="00E24B67">
        <w:rPr>
          <w:sz w:val="24"/>
          <w:szCs w:val="24"/>
        </w:rPr>
        <w:t xml:space="preserve">, </w:t>
      </w:r>
      <w:r w:rsidRPr="00E24B67">
        <w:rPr>
          <w:i/>
          <w:sz w:val="24"/>
          <w:szCs w:val="24"/>
        </w:rPr>
        <w:t>181(5)</w:t>
      </w:r>
      <w:r w:rsidRPr="00E24B67">
        <w:rPr>
          <w:sz w:val="24"/>
          <w:szCs w:val="24"/>
        </w:rPr>
        <w:t>, 967-975. https://doi.org/10.1111/bjd.17919</w:t>
      </w:r>
    </w:p>
    <w:p w:rsidR="00E24B67" w:rsidRPr="00E24B67" w:rsidRDefault="00E24B67" w:rsidP="001D1D16">
      <w:pPr>
        <w:pStyle w:val="ReferenceEntry"/>
        <w:jc w:val="both"/>
        <w:rPr>
          <w:color w:val="212121"/>
          <w:sz w:val="24"/>
          <w:szCs w:val="24"/>
          <w:shd w:val="clear" w:color="auto" w:fill="FFFFFF"/>
        </w:rPr>
      </w:pPr>
      <w:proofErr w:type="spellStart"/>
      <w:r w:rsidRPr="00E24B67">
        <w:rPr>
          <w:color w:val="212121"/>
          <w:sz w:val="24"/>
          <w:szCs w:val="24"/>
          <w:shd w:val="clear" w:color="auto" w:fill="FFFFFF"/>
        </w:rPr>
        <w:t>Jemec</w:t>
      </w:r>
      <w:proofErr w:type="spellEnd"/>
      <w:r w:rsidRPr="00E24B67">
        <w:rPr>
          <w:color w:val="212121"/>
          <w:sz w:val="24"/>
          <w:szCs w:val="24"/>
          <w:shd w:val="clear" w:color="auto" w:fill="FFFFFF"/>
        </w:rPr>
        <w:t xml:space="preserve">, G. B., &amp; </w:t>
      </w:r>
      <w:proofErr w:type="spellStart"/>
      <w:r w:rsidRPr="00E24B67">
        <w:rPr>
          <w:color w:val="212121"/>
          <w:sz w:val="24"/>
          <w:szCs w:val="24"/>
          <w:shd w:val="clear" w:color="auto" w:fill="FFFFFF"/>
        </w:rPr>
        <w:t>Wendelboe</w:t>
      </w:r>
      <w:proofErr w:type="spellEnd"/>
      <w:r w:rsidRPr="00E24B67">
        <w:rPr>
          <w:color w:val="212121"/>
          <w:sz w:val="24"/>
          <w:szCs w:val="24"/>
          <w:shd w:val="clear" w:color="auto" w:fill="FFFFFF"/>
        </w:rPr>
        <w:t>, P. (1998). Topical clindamycin versus systemic tetracycline in the treatment of hidradenitis suppurativa. </w:t>
      </w:r>
      <w:r w:rsidRPr="00E24B67">
        <w:rPr>
          <w:i/>
          <w:iCs/>
          <w:color w:val="212121"/>
          <w:sz w:val="24"/>
          <w:szCs w:val="24"/>
          <w:shd w:val="clear" w:color="auto" w:fill="FFFFFF"/>
        </w:rPr>
        <w:t>Journal of the American Academy of Dermatology</w:t>
      </w:r>
      <w:r w:rsidRPr="00E24B67">
        <w:rPr>
          <w:color w:val="212121"/>
          <w:sz w:val="24"/>
          <w:szCs w:val="24"/>
          <w:shd w:val="clear" w:color="auto" w:fill="FFFFFF"/>
        </w:rPr>
        <w:t>, </w:t>
      </w:r>
      <w:r w:rsidRPr="00E24B67">
        <w:rPr>
          <w:i/>
          <w:iCs/>
          <w:color w:val="212121"/>
          <w:sz w:val="24"/>
          <w:szCs w:val="24"/>
          <w:shd w:val="clear" w:color="auto" w:fill="FFFFFF"/>
        </w:rPr>
        <w:t>39</w:t>
      </w:r>
      <w:r w:rsidRPr="00E24B67">
        <w:rPr>
          <w:color w:val="212121"/>
          <w:sz w:val="24"/>
          <w:szCs w:val="24"/>
          <w:shd w:val="clear" w:color="auto" w:fill="FFFFFF"/>
        </w:rPr>
        <w:t xml:space="preserve">(6), 971–974. </w:t>
      </w:r>
      <w:hyperlink r:id="rId15" w:history="1">
        <w:r w:rsidRPr="00E24B67">
          <w:rPr>
            <w:rStyle w:val="Hyperlink"/>
            <w:sz w:val="24"/>
            <w:szCs w:val="24"/>
            <w:shd w:val="clear" w:color="auto" w:fill="FFFFFF"/>
          </w:rPr>
          <w:t>https://doi.org/10.1016/s0190-9622(98)70272-5</w:t>
        </w:r>
      </w:hyperlink>
      <w:r w:rsidRPr="00E24B67">
        <w:rPr>
          <w:color w:val="212121"/>
          <w:sz w:val="24"/>
          <w:szCs w:val="24"/>
          <w:shd w:val="clear" w:color="auto" w:fill="FFFFFF"/>
        </w:rPr>
        <w:t xml:space="preserve"> </w:t>
      </w:r>
    </w:p>
    <w:p w:rsidR="00E24B67" w:rsidRPr="00E24B67" w:rsidRDefault="00E24B67" w:rsidP="001D1D16">
      <w:pPr>
        <w:pStyle w:val="ReferenceEntry"/>
        <w:jc w:val="both"/>
        <w:rPr>
          <w:sz w:val="24"/>
          <w:szCs w:val="24"/>
        </w:rPr>
      </w:pPr>
      <w:proofErr w:type="spellStart"/>
      <w:r w:rsidRPr="00E24B67">
        <w:rPr>
          <w:sz w:val="24"/>
          <w:szCs w:val="24"/>
        </w:rPr>
        <w:t>Jfri</w:t>
      </w:r>
      <w:proofErr w:type="spellEnd"/>
      <w:r w:rsidRPr="00E24B67">
        <w:rPr>
          <w:sz w:val="24"/>
          <w:szCs w:val="24"/>
        </w:rPr>
        <w:t xml:space="preserve">, A., Nassim, D., O'Brien, E., Gulliver, W., Nikolakis, G., &amp; Zouboulis, C. C. (2021). Prevalence of hidradenitis suppurativa: A systematic review and meta-regression analysis. </w:t>
      </w:r>
      <w:r w:rsidRPr="00E24B67">
        <w:rPr>
          <w:i/>
          <w:sz w:val="24"/>
          <w:szCs w:val="24"/>
        </w:rPr>
        <w:t>JAMA Dermatology</w:t>
      </w:r>
      <w:r w:rsidRPr="00E24B67">
        <w:rPr>
          <w:sz w:val="24"/>
          <w:szCs w:val="24"/>
        </w:rPr>
        <w:t xml:space="preserve">, </w:t>
      </w:r>
      <w:r w:rsidRPr="00E24B67">
        <w:rPr>
          <w:i/>
          <w:sz w:val="24"/>
          <w:szCs w:val="24"/>
        </w:rPr>
        <w:t>157(8)</w:t>
      </w:r>
      <w:r w:rsidRPr="00E24B67">
        <w:rPr>
          <w:sz w:val="24"/>
          <w:szCs w:val="24"/>
        </w:rPr>
        <w:t>, 924-931. https://doi.org/10.1001/jamadermatol.2021.1677</w:t>
      </w:r>
    </w:p>
    <w:p w:rsidR="00E24B67" w:rsidRPr="00E24B67" w:rsidRDefault="00E24B67" w:rsidP="001D1D16">
      <w:pPr>
        <w:pStyle w:val="ReferenceEntry"/>
        <w:jc w:val="both"/>
        <w:rPr>
          <w:sz w:val="24"/>
          <w:szCs w:val="24"/>
        </w:rPr>
      </w:pPr>
      <w:r w:rsidRPr="00E24B67">
        <w:rPr>
          <w:sz w:val="24"/>
          <w:szCs w:val="24"/>
        </w:rPr>
        <w:t xml:space="preserve">Kimball, A. B., Jemec, G. B. E., Alavi, A., Reguiai, Z., Gottlieb, A. B., Bechara, F. G., Paul, C., Giamarellos-Bourboulis, E. J., Villani, A. P., Schwinn, A., Ruëff, F., Pillay Ramaya, L., Reich, A., Lobo, I., Sinclair, R., Passeron, T., Martorell, A., Mendes-Bastos, P., Kokolakis, G., ... Muscianisi, E. (2023). Secukinumab in moderate-to-severe hidradenitis suppurativa (SUNSHINE and SUNRISE): Week 16 and week 52 results of two identical, multicentre, randomised, placebo-controlled, double-blind phase 3 trials. </w:t>
      </w:r>
      <w:r w:rsidRPr="00E24B67">
        <w:rPr>
          <w:i/>
          <w:sz w:val="24"/>
          <w:szCs w:val="24"/>
        </w:rPr>
        <w:t>Lancet</w:t>
      </w:r>
      <w:r w:rsidRPr="00E24B67">
        <w:rPr>
          <w:sz w:val="24"/>
          <w:szCs w:val="24"/>
        </w:rPr>
        <w:t xml:space="preserve">, </w:t>
      </w:r>
      <w:r w:rsidRPr="00E24B67">
        <w:rPr>
          <w:i/>
          <w:sz w:val="24"/>
          <w:szCs w:val="24"/>
        </w:rPr>
        <w:t>401(10378)</w:t>
      </w:r>
      <w:r w:rsidRPr="00E24B67">
        <w:rPr>
          <w:sz w:val="24"/>
          <w:szCs w:val="24"/>
        </w:rPr>
        <w:t>, 747-761. https://doi.org/10.1016/S0140-6736(23)00022-3</w:t>
      </w:r>
    </w:p>
    <w:p w:rsidR="00E24B67" w:rsidRPr="00E24B67" w:rsidRDefault="00E24B67" w:rsidP="001D1D16">
      <w:pPr>
        <w:pStyle w:val="ReferenceEntry"/>
        <w:jc w:val="both"/>
        <w:rPr>
          <w:sz w:val="24"/>
          <w:szCs w:val="24"/>
        </w:rPr>
      </w:pPr>
      <w:r w:rsidRPr="00E24B67">
        <w:rPr>
          <w:sz w:val="24"/>
          <w:szCs w:val="24"/>
        </w:rPr>
        <w:t xml:space="preserve">Kimball, A. B., Jemec, G. B. E., Sayed, C. J., Kirby, J. S., Prens, E., Ingram, J. R., Garg, A., Gottlieb, A. B., Szepietowski, J. C., Bechara, F. G., Giamarellos-Bourboulis, E. J., Fujita, H., Rolleri, R., Joshi, P., Dokhe, P., Muller, E., Peterson, L., Madden, C., Bari, M., &amp; Zouboulis, C. C. (2024). Efficacy and safety of bimekizumab in patients with moderate-to-severe hidradenitis suppurativa (BE HEARD I and BE HEARD II): Two 48-week, randomised, double-blind, placebo-controlled, multicentre phase 3 trials. </w:t>
      </w:r>
      <w:r w:rsidRPr="00E24B67">
        <w:rPr>
          <w:i/>
          <w:sz w:val="24"/>
          <w:szCs w:val="24"/>
        </w:rPr>
        <w:t>Lancet</w:t>
      </w:r>
      <w:r w:rsidRPr="00E24B67">
        <w:rPr>
          <w:sz w:val="24"/>
          <w:szCs w:val="24"/>
        </w:rPr>
        <w:t xml:space="preserve">, </w:t>
      </w:r>
      <w:r w:rsidRPr="00E24B67">
        <w:rPr>
          <w:i/>
          <w:sz w:val="24"/>
          <w:szCs w:val="24"/>
        </w:rPr>
        <w:t>403(10443)</w:t>
      </w:r>
      <w:r w:rsidRPr="00E24B67">
        <w:rPr>
          <w:sz w:val="24"/>
          <w:szCs w:val="24"/>
        </w:rPr>
        <w:t>, 2504-2519. https://doi.org/10.1016/S0140-6736(24)00101-6</w:t>
      </w:r>
    </w:p>
    <w:p w:rsidR="00E24B67" w:rsidRPr="00E24B67" w:rsidRDefault="00E24B67" w:rsidP="001D1D16">
      <w:pPr>
        <w:pStyle w:val="ReferenceEntry"/>
        <w:jc w:val="both"/>
        <w:rPr>
          <w:sz w:val="24"/>
          <w:szCs w:val="24"/>
        </w:rPr>
      </w:pPr>
      <w:r w:rsidRPr="00E24B67">
        <w:rPr>
          <w:sz w:val="24"/>
          <w:szCs w:val="24"/>
        </w:rPr>
        <w:t xml:space="preserve">Kimball, A. B., Kirby, J., Ingram, J. R., Tran, T., Pansar, I., Ciaravino, V., Willems, D., Lewis-Mikhael, A.-M., Tongbram, V., &amp; Garg, A. (2024). Burden of hidradenitis suppurativa: A systematic literature review of patient reported outcomes. </w:t>
      </w:r>
      <w:r w:rsidRPr="00E24B67">
        <w:rPr>
          <w:i/>
          <w:sz w:val="24"/>
          <w:szCs w:val="24"/>
        </w:rPr>
        <w:t>Dermatology and Therapy</w:t>
      </w:r>
      <w:r w:rsidRPr="00E24B67">
        <w:rPr>
          <w:sz w:val="24"/>
          <w:szCs w:val="24"/>
        </w:rPr>
        <w:t xml:space="preserve">, </w:t>
      </w:r>
      <w:r w:rsidRPr="00E24B67">
        <w:rPr>
          <w:i/>
          <w:sz w:val="24"/>
          <w:szCs w:val="24"/>
        </w:rPr>
        <w:t>14(1)</w:t>
      </w:r>
      <w:r w:rsidRPr="00E24B67">
        <w:rPr>
          <w:sz w:val="24"/>
          <w:szCs w:val="24"/>
        </w:rPr>
        <w:t>, 83-98. https://doi.org/10.1007/s13555-023-01085-w</w:t>
      </w:r>
    </w:p>
    <w:p w:rsidR="00E24B67" w:rsidRPr="00E24B67" w:rsidRDefault="00E24B67" w:rsidP="001D1D16">
      <w:pPr>
        <w:pStyle w:val="ReferenceEntry"/>
        <w:jc w:val="both"/>
        <w:rPr>
          <w:sz w:val="24"/>
          <w:szCs w:val="24"/>
        </w:rPr>
      </w:pPr>
      <w:r w:rsidRPr="00E24B67">
        <w:rPr>
          <w:sz w:val="24"/>
          <w:szCs w:val="24"/>
        </w:rPr>
        <w:t xml:space="preserve">Kimball, A. B., Okun, M. M., Williams, D. A., Gottlieb, A. B., Papp, K. A., Zouboulis, C. C., Armstrong, A. W., Kerdel, F., Gold, M. H., Forman, S. B., Korman, N. J., Giamarellos-Bourboulis, E. J., Crowley, J. J., Lynde, C., Reguiai, Z., Prens, E.-P., Alwawi, E., Mostafa, N. M., Pinsky, B., ... Jemec, G. B. E. (2016). Two phase 3 trials of adalimumab for hidradenitis suppurativa. </w:t>
      </w:r>
      <w:r w:rsidRPr="00E24B67">
        <w:rPr>
          <w:i/>
          <w:sz w:val="24"/>
          <w:szCs w:val="24"/>
        </w:rPr>
        <w:t>New England Journal of Medicine</w:t>
      </w:r>
      <w:r w:rsidRPr="00E24B67">
        <w:rPr>
          <w:sz w:val="24"/>
          <w:szCs w:val="24"/>
        </w:rPr>
        <w:t xml:space="preserve">, </w:t>
      </w:r>
      <w:r w:rsidRPr="00E24B67">
        <w:rPr>
          <w:i/>
          <w:sz w:val="24"/>
          <w:szCs w:val="24"/>
        </w:rPr>
        <w:t>375(5)</w:t>
      </w:r>
      <w:r w:rsidRPr="00E24B67">
        <w:rPr>
          <w:sz w:val="24"/>
          <w:szCs w:val="24"/>
        </w:rPr>
        <w:t>, 422-434. https://doi.org/10.1056/NEJMoa1504370</w:t>
      </w:r>
    </w:p>
    <w:p w:rsidR="00E24B67" w:rsidRPr="00E24B67" w:rsidRDefault="00E24B67" w:rsidP="001D1D16">
      <w:pPr>
        <w:pStyle w:val="ReferenceEntry"/>
        <w:jc w:val="both"/>
        <w:rPr>
          <w:color w:val="212121"/>
          <w:sz w:val="24"/>
          <w:szCs w:val="24"/>
          <w:shd w:val="clear" w:color="auto" w:fill="FFFFFF"/>
        </w:rPr>
      </w:pPr>
      <w:r w:rsidRPr="00E24B67">
        <w:rPr>
          <w:color w:val="212121"/>
          <w:sz w:val="24"/>
          <w:szCs w:val="24"/>
          <w:shd w:val="clear" w:color="auto" w:fill="FFFFFF"/>
        </w:rPr>
        <w:t>Kraft, J. N., &amp; Searles, G. E. (2007). Hidradenitis suppurativa in 64 female patients: retrospective study comparing oral antibiotics and antiandrogen therapy. </w:t>
      </w:r>
      <w:r w:rsidRPr="00E24B67">
        <w:rPr>
          <w:i/>
          <w:iCs/>
          <w:color w:val="212121"/>
          <w:sz w:val="24"/>
          <w:szCs w:val="24"/>
          <w:shd w:val="clear" w:color="auto" w:fill="FFFFFF"/>
        </w:rPr>
        <w:t>Journal of cutaneous medicine and surgery</w:t>
      </w:r>
      <w:r w:rsidRPr="00E24B67">
        <w:rPr>
          <w:color w:val="212121"/>
          <w:sz w:val="24"/>
          <w:szCs w:val="24"/>
          <w:shd w:val="clear" w:color="auto" w:fill="FFFFFF"/>
        </w:rPr>
        <w:t>, </w:t>
      </w:r>
      <w:r w:rsidRPr="00E24B67">
        <w:rPr>
          <w:i/>
          <w:iCs/>
          <w:color w:val="212121"/>
          <w:sz w:val="24"/>
          <w:szCs w:val="24"/>
          <w:shd w:val="clear" w:color="auto" w:fill="FFFFFF"/>
        </w:rPr>
        <w:t>11</w:t>
      </w:r>
      <w:r w:rsidRPr="00E24B67">
        <w:rPr>
          <w:color w:val="212121"/>
          <w:sz w:val="24"/>
          <w:szCs w:val="24"/>
          <w:shd w:val="clear" w:color="auto" w:fill="FFFFFF"/>
        </w:rPr>
        <w:t xml:space="preserve">(4), 125–131. </w:t>
      </w:r>
      <w:hyperlink r:id="rId16" w:history="1">
        <w:r w:rsidRPr="00E24B67">
          <w:rPr>
            <w:rStyle w:val="Hyperlink"/>
            <w:sz w:val="24"/>
            <w:szCs w:val="24"/>
            <w:shd w:val="clear" w:color="auto" w:fill="FFFFFF"/>
          </w:rPr>
          <w:t>https://doi.org/10.2310/7750.2007.00019</w:t>
        </w:r>
      </w:hyperlink>
    </w:p>
    <w:p w:rsidR="00E24B67" w:rsidRPr="00E24B67" w:rsidRDefault="00E24B67" w:rsidP="001D1D16">
      <w:pPr>
        <w:pStyle w:val="ReferenceEntry"/>
        <w:jc w:val="both"/>
        <w:rPr>
          <w:sz w:val="24"/>
          <w:szCs w:val="24"/>
        </w:rPr>
      </w:pPr>
      <w:proofErr w:type="spellStart"/>
      <w:r w:rsidRPr="00E24B67">
        <w:rPr>
          <w:sz w:val="24"/>
          <w:szCs w:val="24"/>
        </w:rPr>
        <w:t>Krajewski</w:t>
      </w:r>
      <w:proofErr w:type="spellEnd"/>
      <w:r w:rsidRPr="00E24B67">
        <w:rPr>
          <w:sz w:val="24"/>
          <w:szCs w:val="24"/>
        </w:rPr>
        <w:t xml:space="preserve">, P. K., Sanz-Motilva, V., Flores Martinez, S., Solera, M., Ochando, G., Jfri, A., &amp; Martorell, A. (2024). Deroofing: A safe, effective and well-tolerated procedure in </w:t>
      </w:r>
      <w:r w:rsidRPr="00E24B67">
        <w:rPr>
          <w:sz w:val="24"/>
          <w:szCs w:val="24"/>
        </w:rPr>
        <w:lastRenderedPageBreak/>
        <w:t xml:space="preserve">patients with hidradenitis suppurativa. </w:t>
      </w:r>
      <w:r w:rsidRPr="00E24B67">
        <w:rPr>
          <w:i/>
          <w:sz w:val="24"/>
          <w:szCs w:val="24"/>
        </w:rPr>
        <w:t>Journal of the European Academy of Dermatology and Venereology</w:t>
      </w:r>
      <w:r w:rsidRPr="00E24B67">
        <w:rPr>
          <w:sz w:val="24"/>
          <w:szCs w:val="24"/>
        </w:rPr>
        <w:t xml:space="preserve">, </w:t>
      </w:r>
      <w:r w:rsidRPr="00E24B67">
        <w:rPr>
          <w:i/>
          <w:sz w:val="24"/>
          <w:szCs w:val="24"/>
        </w:rPr>
        <w:t>38(5)</w:t>
      </w:r>
      <w:r w:rsidRPr="00E24B67">
        <w:rPr>
          <w:sz w:val="24"/>
          <w:szCs w:val="24"/>
        </w:rPr>
        <w:t>, 931-936. https://doi.org/10.1111/jdv.19810</w:t>
      </w:r>
    </w:p>
    <w:p w:rsidR="00E24B67" w:rsidRPr="00E24B67" w:rsidRDefault="00E24B67" w:rsidP="001D1D16">
      <w:pPr>
        <w:pStyle w:val="ReferenceEntry"/>
        <w:jc w:val="both"/>
        <w:rPr>
          <w:color w:val="212121"/>
          <w:sz w:val="24"/>
          <w:szCs w:val="24"/>
          <w:shd w:val="clear" w:color="auto" w:fill="FFFFFF"/>
        </w:rPr>
      </w:pPr>
      <w:proofErr w:type="spellStart"/>
      <w:r w:rsidRPr="000D7976">
        <w:rPr>
          <w:color w:val="212121"/>
          <w:sz w:val="24"/>
          <w:szCs w:val="24"/>
          <w:shd w:val="clear" w:color="auto" w:fill="FFFFFF"/>
          <w:lang w:val="fr-FR"/>
        </w:rPr>
        <w:t>Lavogiez</w:t>
      </w:r>
      <w:proofErr w:type="spellEnd"/>
      <w:r w:rsidRPr="000D7976">
        <w:rPr>
          <w:color w:val="212121"/>
          <w:sz w:val="24"/>
          <w:szCs w:val="24"/>
          <w:shd w:val="clear" w:color="auto" w:fill="FFFFFF"/>
          <w:lang w:val="fr-FR"/>
        </w:rPr>
        <w:t>, C., Delaporte, E., Darras-</w:t>
      </w:r>
      <w:proofErr w:type="spellStart"/>
      <w:r w:rsidRPr="000D7976">
        <w:rPr>
          <w:color w:val="212121"/>
          <w:sz w:val="24"/>
          <w:szCs w:val="24"/>
          <w:shd w:val="clear" w:color="auto" w:fill="FFFFFF"/>
          <w:lang w:val="fr-FR"/>
        </w:rPr>
        <w:t>Vercambre</w:t>
      </w:r>
      <w:proofErr w:type="spellEnd"/>
      <w:r w:rsidRPr="000D7976">
        <w:rPr>
          <w:color w:val="212121"/>
          <w:sz w:val="24"/>
          <w:szCs w:val="24"/>
          <w:shd w:val="clear" w:color="auto" w:fill="FFFFFF"/>
          <w:lang w:val="fr-FR"/>
        </w:rPr>
        <w:t xml:space="preserve">, S., Martin De Lassalle, E., Castillo, C., Mirabel, X., Laurent, F., </w:t>
      </w:r>
      <w:proofErr w:type="spellStart"/>
      <w:r w:rsidRPr="000D7976">
        <w:rPr>
          <w:color w:val="212121"/>
          <w:sz w:val="24"/>
          <w:szCs w:val="24"/>
          <w:shd w:val="clear" w:color="auto" w:fill="FFFFFF"/>
          <w:lang w:val="fr-FR"/>
        </w:rPr>
        <w:t>Patenotre</w:t>
      </w:r>
      <w:proofErr w:type="spellEnd"/>
      <w:r w:rsidRPr="000D7976">
        <w:rPr>
          <w:color w:val="212121"/>
          <w:sz w:val="24"/>
          <w:szCs w:val="24"/>
          <w:shd w:val="clear" w:color="auto" w:fill="FFFFFF"/>
          <w:lang w:val="fr-FR"/>
        </w:rPr>
        <w:t xml:space="preserve">, P., </w:t>
      </w:r>
      <w:proofErr w:type="spellStart"/>
      <w:r w:rsidRPr="000D7976">
        <w:rPr>
          <w:color w:val="212121"/>
          <w:sz w:val="24"/>
          <w:szCs w:val="24"/>
          <w:shd w:val="clear" w:color="auto" w:fill="FFFFFF"/>
          <w:lang w:val="fr-FR"/>
        </w:rPr>
        <w:t>Gheit</w:t>
      </w:r>
      <w:proofErr w:type="spellEnd"/>
      <w:r w:rsidRPr="000D7976">
        <w:rPr>
          <w:color w:val="212121"/>
          <w:sz w:val="24"/>
          <w:szCs w:val="24"/>
          <w:shd w:val="clear" w:color="auto" w:fill="FFFFFF"/>
          <w:lang w:val="fr-FR"/>
        </w:rPr>
        <w:t xml:space="preserve">, T., </w:t>
      </w:r>
      <w:proofErr w:type="spellStart"/>
      <w:r w:rsidRPr="000D7976">
        <w:rPr>
          <w:color w:val="212121"/>
          <w:sz w:val="24"/>
          <w:szCs w:val="24"/>
          <w:shd w:val="clear" w:color="auto" w:fill="FFFFFF"/>
          <w:lang w:val="fr-FR"/>
        </w:rPr>
        <w:t>Talmant</w:t>
      </w:r>
      <w:proofErr w:type="spellEnd"/>
      <w:r w:rsidRPr="000D7976">
        <w:rPr>
          <w:color w:val="212121"/>
          <w:sz w:val="24"/>
          <w:szCs w:val="24"/>
          <w:shd w:val="clear" w:color="auto" w:fill="FFFFFF"/>
          <w:lang w:val="fr-FR"/>
        </w:rPr>
        <w:t xml:space="preserve">, J. C., </w:t>
      </w:r>
      <w:proofErr w:type="spellStart"/>
      <w:r w:rsidRPr="000D7976">
        <w:rPr>
          <w:color w:val="212121"/>
          <w:sz w:val="24"/>
          <w:szCs w:val="24"/>
          <w:shd w:val="clear" w:color="auto" w:fill="FFFFFF"/>
          <w:lang w:val="fr-FR"/>
        </w:rPr>
        <w:t>Beylot</w:t>
      </w:r>
      <w:proofErr w:type="spellEnd"/>
      <w:r w:rsidRPr="000D7976">
        <w:rPr>
          <w:color w:val="212121"/>
          <w:sz w:val="24"/>
          <w:szCs w:val="24"/>
          <w:shd w:val="clear" w:color="auto" w:fill="FFFFFF"/>
          <w:lang w:val="fr-FR"/>
        </w:rPr>
        <w:t xml:space="preserve">-Barry, M., Martinot, V., Piette, F., Aubin, F., &amp; Mortier, L. (2010). </w:t>
      </w:r>
      <w:r w:rsidRPr="00E24B67">
        <w:rPr>
          <w:color w:val="212121"/>
          <w:sz w:val="24"/>
          <w:szCs w:val="24"/>
          <w:shd w:val="clear" w:color="auto" w:fill="FFFFFF"/>
        </w:rPr>
        <w:t>Clinicopathological study of 13 cases of squamous cell carcinoma complicating hidradenitis suppurativa. </w:t>
      </w:r>
      <w:r w:rsidRPr="00E24B67">
        <w:rPr>
          <w:i/>
          <w:iCs/>
          <w:color w:val="212121"/>
          <w:sz w:val="24"/>
          <w:szCs w:val="24"/>
          <w:shd w:val="clear" w:color="auto" w:fill="FFFFFF"/>
        </w:rPr>
        <w:t>Dermatology (Basel, Switzerland)</w:t>
      </w:r>
      <w:r w:rsidRPr="00E24B67">
        <w:rPr>
          <w:color w:val="212121"/>
          <w:sz w:val="24"/>
          <w:szCs w:val="24"/>
          <w:shd w:val="clear" w:color="auto" w:fill="FFFFFF"/>
        </w:rPr>
        <w:t>, </w:t>
      </w:r>
      <w:r w:rsidRPr="00E24B67">
        <w:rPr>
          <w:i/>
          <w:iCs/>
          <w:color w:val="212121"/>
          <w:sz w:val="24"/>
          <w:szCs w:val="24"/>
          <w:shd w:val="clear" w:color="auto" w:fill="FFFFFF"/>
        </w:rPr>
        <w:t>220</w:t>
      </w:r>
      <w:r w:rsidRPr="00E24B67">
        <w:rPr>
          <w:color w:val="212121"/>
          <w:sz w:val="24"/>
          <w:szCs w:val="24"/>
          <w:shd w:val="clear" w:color="auto" w:fill="FFFFFF"/>
        </w:rPr>
        <w:t xml:space="preserve">(2), 147–153. </w:t>
      </w:r>
      <w:hyperlink r:id="rId17" w:history="1">
        <w:r w:rsidRPr="00E24B67">
          <w:rPr>
            <w:rStyle w:val="Hyperlink"/>
            <w:sz w:val="24"/>
            <w:szCs w:val="24"/>
            <w:shd w:val="clear" w:color="auto" w:fill="FFFFFF"/>
          </w:rPr>
          <w:t>https://doi.org/10.1159/000269836</w:t>
        </w:r>
      </w:hyperlink>
      <w:r w:rsidRPr="00E24B67">
        <w:rPr>
          <w:color w:val="212121"/>
          <w:sz w:val="24"/>
          <w:szCs w:val="24"/>
          <w:shd w:val="clear" w:color="auto" w:fill="FFFFFF"/>
        </w:rPr>
        <w:t xml:space="preserve"> </w:t>
      </w:r>
    </w:p>
    <w:p w:rsidR="00E24B67" w:rsidRPr="00E24B67" w:rsidRDefault="00E24B67" w:rsidP="001D1D16">
      <w:pPr>
        <w:pStyle w:val="ReferenceEntry"/>
        <w:jc w:val="both"/>
        <w:rPr>
          <w:color w:val="212121"/>
          <w:sz w:val="24"/>
          <w:szCs w:val="24"/>
          <w:shd w:val="clear" w:color="auto" w:fill="FFFFFF"/>
        </w:rPr>
      </w:pPr>
      <w:r w:rsidRPr="00E24B67">
        <w:rPr>
          <w:color w:val="212121"/>
          <w:sz w:val="24"/>
          <w:szCs w:val="24"/>
          <w:shd w:val="clear" w:color="auto" w:fill="FFFFFF"/>
        </w:rPr>
        <w:t xml:space="preserve">Machado, M. O., </w:t>
      </w:r>
      <w:proofErr w:type="spellStart"/>
      <w:r w:rsidRPr="00E24B67">
        <w:rPr>
          <w:color w:val="212121"/>
          <w:sz w:val="24"/>
          <w:szCs w:val="24"/>
          <w:shd w:val="clear" w:color="auto" w:fill="FFFFFF"/>
        </w:rPr>
        <w:t>Stergiopoulos</w:t>
      </w:r>
      <w:proofErr w:type="spellEnd"/>
      <w:r w:rsidRPr="00E24B67">
        <w:rPr>
          <w:color w:val="212121"/>
          <w:sz w:val="24"/>
          <w:szCs w:val="24"/>
          <w:shd w:val="clear" w:color="auto" w:fill="FFFFFF"/>
        </w:rPr>
        <w:t xml:space="preserve">, V., </w:t>
      </w:r>
      <w:proofErr w:type="spellStart"/>
      <w:r w:rsidRPr="00E24B67">
        <w:rPr>
          <w:color w:val="212121"/>
          <w:sz w:val="24"/>
          <w:szCs w:val="24"/>
          <w:shd w:val="clear" w:color="auto" w:fill="FFFFFF"/>
        </w:rPr>
        <w:t>Maes</w:t>
      </w:r>
      <w:proofErr w:type="spellEnd"/>
      <w:r w:rsidRPr="00E24B67">
        <w:rPr>
          <w:color w:val="212121"/>
          <w:sz w:val="24"/>
          <w:szCs w:val="24"/>
          <w:shd w:val="clear" w:color="auto" w:fill="FFFFFF"/>
        </w:rPr>
        <w:t xml:space="preserve">, M., </w:t>
      </w:r>
      <w:proofErr w:type="spellStart"/>
      <w:r w:rsidRPr="00E24B67">
        <w:rPr>
          <w:color w:val="212121"/>
          <w:sz w:val="24"/>
          <w:szCs w:val="24"/>
          <w:shd w:val="clear" w:color="auto" w:fill="FFFFFF"/>
        </w:rPr>
        <w:t>Kurdyak</w:t>
      </w:r>
      <w:proofErr w:type="spellEnd"/>
      <w:r w:rsidRPr="00E24B67">
        <w:rPr>
          <w:color w:val="212121"/>
          <w:sz w:val="24"/>
          <w:szCs w:val="24"/>
          <w:shd w:val="clear" w:color="auto" w:fill="FFFFFF"/>
        </w:rPr>
        <w:t xml:space="preserve">, P. A., Lin, P. Y., Wang, L. J., </w:t>
      </w:r>
      <w:proofErr w:type="spellStart"/>
      <w:r w:rsidRPr="00E24B67">
        <w:rPr>
          <w:color w:val="212121"/>
          <w:sz w:val="24"/>
          <w:szCs w:val="24"/>
          <w:shd w:val="clear" w:color="auto" w:fill="FFFFFF"/>
        </w:rPr>
        <w:t>Shyu</w:t>
      </w:r>
      <w:proofErr w:type="spellEnd"/>
      <w:r w:rsidRPr="00E24B67">
        <w:rPr>
          <w:color w:val="212121"/>
          <w:sz w:val="24"/>
          <w:szCs w:val="24"/>
          <w:shd w:val="clear" w:color="auto" w:fill="FFFFFF"/>
        </w:rPr>
        <w:t xml:space="preserve">, Y. C., Firth, J., </w:t>
      </w:r>
      <w:proofErr w:type="spellStart"/>
      <w:r w:rsidRPr="00E24B67">
        <w:rPr>
          <w:color w:val="212121"/>
          <w:sz w:val="24"/>
          <w:szCs w:val="24"/>
          <w:shd w:val="clear" w:color="auto" w:fill="FFFFFF"/>
        </w:rPr>
        <w:t>Koyanagi</w:t>
      </w:r>
      <w:proofErr w:type="spellEnd"/>
      <w:r w:rsidRPr="00E24B67">
        <w:rPr>
          <w:color w:val="212121"/>
          <w:sz w:val="24"/>
          <w:szCs w:val="24"/>
          <w:shd w:val="clear" w:color="auto" w:fill="FFFFFF"/>
        </w:rPr>
        <w:t xml:space="preserve">, A., </w:t>
      </w:r>
      <w:proofErr w:type="spellStart"/>
      <w:r w:rsidRPr="00E24B67">
        <w:rPr>
          <w:color w:val="212121"/>
          <w:sz w:val="24"/>
          <w:szCs w:val="24"/>
          <w:shd w:val="clear" w:color="auto" w:fill="FFFFFF"/>
        </w:rPr>
        <w:t>Solmi</w:t>
      </w:r>
      <w:proofErr w:type="spellEnd"/>
      <w:r w:rsidRPr="00E24B67">
        <w:rPr>
          <w:color w:val="212121"/>
          <w:sz w:val="24"/>
          <w:szCs w:val="24"/>
          <w:shd w:val="clear" w:color="auto" w:fill="FFFFFF"/>
        </w:rPr>
        <w:t xml:space="preserve">, M., </w:t>
      </w:r>
      <w:proofErr w:type="spellStart"/>
      <w:r w:rsidRPr="00E24B67">
        <w:rPr>
          <w:color w:val="212121"/>
          <w:sz w:val="24"/>
          <w:szCs w:val="24"/>
          <w:shd w:val="clear" w:color="auto" w:fill="FFFFFF"/>
        </w:rPr>
        <w:t>Alavi</w:t>
      </w:r>
      <w:proofErr w:type="spellEnd"/>
      <w:r w:rsidRPr="00E24B67">
        <w:rPr>
          <w:color w:val="212121"/>
          <w:sz w:val="24"/>
          <w:szCs w:val="24"/>
          <w:shd w:val="clear" w:color="auto" w:fill="FFFFFF"/>
        </w:rPr>
        <w:t xml:space="preserve">, A., </w:t>
      </w:r>
      <w:proofErr w:type="spellStart"/>
      <w:r w:rsidRPr="00E24B67">
        <w:rPr>
          <w:color w:val="212121"/>
          <w:sz w:val="24"/>
          <w:szCs w:val="24"/>
          <w:shd w:val="clear" w:color="auto" w:fill="FFFFFF"/>
        </w:rPr>
        <w:t>Piguet</w:t>
      </w:r>
      <w:proofErr w:type="spellEnd"/>
      <w:r w:rsidRPr="00E24B67">
        <w:rPr>
          <w:color w:val="212121"/>
          <w:sz w:val="24"/>
          <w:szCs w:val="24"/>
          <w:shd w:val="clear" w:color="auto" w:fill="FFFFFF"/>
        </w:rPr>
        <w:t xml:space="preserve">, V., &amp; Carvalho, A. F. (2019). Depression and Anxiety in Adults </w:t>
      </w:r>
      <w:proofErr w:type="gramStart"/>
      <w:r w:rsidRPr="00E24B67">
        <w:rPr>
          <w:color w:val="212121"/>
          <w:sz w:val="24"/>
          <w:szCs w:val="24"/>
          <w:shd w:val="clear" w:color="auto" w:fill="FFFFFF"/>
        </w:rPr>
        <w:t>With</w:t>
      </w:r>
      <w:proofErr w:type="gramEnd"/>
      <w:r w:rsidRPr="00E24B67">
        <w:rPr>
          <w:color w:val="212121"/>
          <w:sz w:val="24"/>
          <w:szCs w:val="24"/>
          <w:shd w:val="clear" w:color="auto" w:fill="FFFFFF"/>
        </w:rPr>
        <w:t xml:space="preserve"> Hidradenitis Suppurativa: A Systematic Review and Meta-analysis. </w:t>
      </w:r>
      <w:r w:rsidRPr="00E24B67">
        <w:rPr>
          <w:i/>
          <w:iCs/>
          <w:color w:val="212121"/>
          <w:sz w:val="24"/>
          <w:szCs w:val="24"/>
          <w:shd w:val="clear" w:color="auto" w:fill="FFFFFF"/>
        </w:rPr>
        <w:t>JAMA dermatology</w:t>
      </w:r>
      <w:r w:rsidRPr="00E24B67">
        <w:rPr>
          <w:color w:val="212121"/>
          <w:sz w:val="24"/>
          <w:szCs w:val="24"/>
          <w:shd w:val="clear" w:color="auto" w:fill="FFFFFF"/>
        </w:rPr>
        <w:t>, </w:t>
      </w:r>
      <w:r w:rsidRPr="00E24B67">
        <w:rPr>
          <w:i/>
          <w:iCs/>
          <w:color w:val="212121"/>
          <w:sz w:val="24"/>
          <w:szCs w:val="24"/>
          <w:shd w:val="clear" w:color="auto" w:fill="FFFFFF"/>
        </w:rPr>
        <w:t>155</w:t>
      </w:r>
      <w:r w:rsidRPr="00E24B67">
        <w:rPr>
          <w:color w:val="212121"/>
          <w:sz w:val="24"/>
          <w:szCs w:val="24"/>
          <w:shd w:val="clear" w:color="auto" w:fill="FFFFFF"/>
        </w:rPr>
        <w:t xml:space="preserve">(8), 939–945. </w:t>
      </w:r>
      <w:hyperlink r:id="rId18" w:history="1">
        <w:r w:rsidRPr="00E24B67">
          <w:rPr>
            <w:rStyle w:val="Hyperlink"/>
            <w:sz w:val="24"/>
            <w:szCs w:val="24"/>
            <w:shd w:val="clear" w:color="auto" w:fill="FFFFFF"/>
          </w:rPr>
          <w:t>https://doi.org/10.1001/jamadermatol.2019.0759</w:t>
        </w:r>
      </w:hyperlink>
      <w:r w:rsidRPr="00E24B67">
        <w:rPr>
          <w:color w:val="212121"/>
          <w:sz w:val="24"/>
          <w:szCs w:val="24"/>
          <w:shd w:val="clear" w:color="auto" w:fill="FFFFFF"/>
        </w:rPr>
        <w:t xml:space="preserve"> </w:t>
      </w:r>
    </w:p>
    <w:p w:rsidR="00E24B67" w:rsidRPr="00E24B67" w:rsidRDefault="00E24B67" w:rsidP="001D1D16">
      <w:pPr>
        <w:pStyle w:val="ReferenceEntry"/>
        <w:jc w:val="both"/>
        <w:rPr>
          <w:color w:val="212121"/>
          <w:sz w:val="24"/>
          <w:szCs w:val="24"/>
          <w:shd w:val="clear" w:color="auto" w:fill="FFFFFF"/>
        </w:rPr>
      </w:pPr>
      <w:r w:rsidRPr="00E24B67">
        <w:rPr>
          <w:color w:val="212121"/>
          <w:sz w:val="24"/>
          <w:szCs w:val="24"/>
          <w:shd w:val="clear" w:color="auto" w:fill="FFFFFF"/>
        </w:rPr>
        <w:t xml:space="preserve">Martorell, A., </w:t>
      </w:r>
      <w:proofErr w:type="spellStart"/>
      <w:r w:rsidRPr="00E24B67">
        <w:rPr>
          <w:color w:val="212121"/>
          <w:sz w:val="24"/>
          <w:szCs w:val="24"/>
          <w:shd w:val="clear" w:color="auto" w:fill="FFFFFF"/>
        </w:rPr>
        <w:t>Alfageme</w:t>
      </w:r>
      <w:proofErr w:type="spellEnd"/>
      <w:r w:rsidRPr="00E24B67">
        <w:rPr>
          <w:color w:val="212121"/>
          <w:sz w:val="24"/>
          <w:szCs w:val="24"/>
          <w:shd w:val="clear" w:color="auto" w:fill="FFFFFF"/>
        </w:rPr>
        <w:t xml:space="preserve"> </w:t>
      </w:r>
      <w:proofErr w:type="spellStart"/>
      <w:r w:rsidRPr="00E24B67">
        <w:rPr>
          <w:color w:val="212121"/>
          <w:sz w:val="24"/>
          <w:szCs w:val="24"/>
          <w:shd w:val="clear" w:color="auto" w:fill="FFFFFF"/>
        </w:rPr>
        <w:t>Roldán</w:t>
      </w:r>
      <w:proofErr w:type="spellEnd"/>
      <w:r w:rsidRPr="00E24B67">
        <w:rPr>
          <w:color w:val="212121"/>
          <w:sz w:val="24"/>
          <w:szCs w:val="24"/>
          <w:shd w:val="clear" w:color="auto" w:fill="FFFFFF"/>
        </w:rPr>
        <w:t xml:space="preserve">, F., </w:t>
      </w:r>
      <w:proofErr w:type="spellStart"/>
      <w:r w:rsidRPr="00E24B67">
        <w:rPr>
          <w:color w:val="212121"/>
          <w:sz w:val="24"/>
          <w:szCs w:val="24"/>
          <w:shd w:val="clear" w:color="auto" w:fill="FFFFFF"/>
        </w:rPr>
        <w:t>Vilarrasa</w:t>
      </w:r>
      <w:proofErr w:type="spellEnd"/>
      <w:r w:rsidRPr="00E24B67">
        <w:rPr>
          <w:color w:val="212121"/>
          <w:sz w:val="24"/>
          <w:szCs w:val="24"/>
          <w:shd w:val="clear" w:color="auto" w:fill="FFFFFF"/>
        </w:rPr>
        <w:t xml:space="preserve"> </w:t>
      </w:r>
      <w:proofErr w:type="spellStart"/>
      <w:r w:rsidRPr="00E24B67">
        <w:rPr>
          <w:color w:val="212121"/>
          <w:sz w:val="24"/>
          <w:szCs w:val="24"/>
          <w:shd w:val="clear" w:color="auto" w:fill="FFFFFF"/>
        </w:rPr>
        <w:t>Rull</w:t>
      </w:r>
      <w:proofErr w:type="spellEnd"/>
      <w:r w:rsidRPr="00E24B67">
        <w:rPr>
          <w:color w:val="212121"/>
          <w:sz w:val="24"/>
          <w:szCs w:val="24"/>
          <w:shd w:val="clear" w:color="auto" w:fill="FFFFFF"/>
        </w:rPr>
        <w:t>, E., Ruiz-</w:t>
      </w:r>
      <w:proofErr w:type="spellStart"/>
      <w:r w:rsidRPr="00E24B67">
        <w:rPr>
          <w:color w:val="212121"/>
          <w:sz w:val="24"/>
          <w:szCs w:val="24"/>
          <w:shd w:val="clear" w:color="auto" w:fill="FFFFFF"/>
        </w:rPr>
        <w:t>Villaverde</w:t>
      </w:r>
      <w:proofErr w:type="spellEnd"/>
      <w:r w:rsidRPr="00E24B67">
        <w:rPr>
          <w:color w:val="212121"/>
          <w:sz w:val="24"/>
          <w:szCs w:val="24"/>
          <w:shd w:val="clear" w:color="auto" w:fill="FFFFFF"/>
        </w:rPr>
        <w:t xml:space="preserve">, R., </w:t>
      </w:r>
      <w:proofErr w:type="spellStart"/>
      <w:r w:rsidRPr="00E24B67">
        <w:rPr>
          <w:color w:val="212121"/>
          <w:sz w:val="24"/>
          <w:szCs w:val="24"/>
          <w:shd w:val="clear" w:color="auto" w:fill="FFFFFF"/>
        </w:rPr>
        <w:t>Romaní</w:t>
      </w:r>
      <w:proofErr w:type="spellEnd"/>
      <w:r w:rsidRPr="00E24B67">
        <w:rPr>
          <w:color w:val="212121"/>
          <w:sz w:val="24"/>
          <w:szCs w:val="24"/>
          <w:shd w:val="clear" w:color="auto" w:fill="FFFFFF"/>
        </w:rPr>
        <w:t xml:space="preserve"> De Gabriel, J., García Martínez, F., Vidal </w:t>
      </w:r>
      <w:proofErr w:type="spellStart"/>
      <w:r w:rsidRPr="00E24B67">
        <w:rPr>
          <w:color w:val="212121"/>
          <w:sz w:val="24"/>
          <w:szCs w:val="24"/>
          <w:shd w:val="clear" w:color="auto" w:fill="FFFFFF"/>
        </w:rPr>
        <w:t>Sarro</w:t>
      </w:r>
      <w:proofErr w:type="spellEnd"/>
      <w:r w:rsidRPr="00E24B67">
        <w:rPr>
          <w:color w:val="212121"/>
          <w:sz w:val="24"/>
          <w:szCs w:val="24"/>
          <w:shd w:val="clear" w:color="auto" w:fill="FFFFFF"/>
        </w:rPr>
        <w:t xml:space="preserve">, D., Velasco Pastor, M., Ciudad Blanco, C., Segura Palacios, J. M., Rodríguez Bandera, A. I., Pascual Ramírez, J. C., Sancho Sánchez, C., </w:t>
      </w:r>
      <w:proofErr w:type="spellStart"/>
      <w:r w:rsidRPr="00E24B67">
        <w:rPr>
          <w:color w:val="212121"/>
          <w:sz w:val="24"/>
          <w:szCs w:val="24"/>
          <w:shd w:val="clear" w:color="auto" w:fill="FFFFFF"/>
        </w:rPr>
        <w:t>Michelena</w:t>
      </w:r>
      <w:proofErr w:type="spellEnd"/>
      <w:r w:rsidRPr="00E24B67">
        <w:rPr>
          <w:color w:val="212121"/>
          <w:sz w:val="24"/>
          <w:szCs w:val="24"/>
          <w:shd w:val="clear" w:color="auto" w:fill="FFFFFF"/>
        </w:rPr>
        <w:t xml:space="preserve"> De </w:t>
      </w:r>
      <w:proofErr w:type="spellStart"/>
      <w:r w:rsidRPr="00E24B67">
        <w:rPr>
          <w:color w:val="212121"/>
          <w:sz w:val="24"/>
          <w:szCs w:val="24"/>
          <w:shd w:val="clear" w:color="auto" w:fill="FFFFFF"/>
        </w:rPr>
        <w:t>Gorosábel</w:t>
      </w:r>
      <w:proofErr w:type="spellEnd"/>
      <w:r w:rsidRPr="00E24B67">
        <w:rPr>
          <w:color w:val="212121"/>
          <w:sz w:val="24"/>
          <w:szCs w:val="24"/>
          <w:shd w:val="clear" w:color="auto" w:fill="FFFFFF"/>
        </w:rPr>
        <w:t xml:space="preserve">, N., &amp; </w:t>
      </w:r>
      <w:proofErr w:type="spellStart"/>
      <w:r w:rsidRPr="00E24B67">
        <w:rPr>
          <w:color w:val="212121"/>
          <w:sz w:val="24"/>
          <w:szCs w:val="24"/>
          <w:shd w:val="clear" w:color="auto" w:fill="FFFFFF"/>
        </w:rPr>
        <w:t>Wortsman</w:t>
      </w:r>
      <w:proofErr w:type="spellEnd"/>
      <w:r w:rsidRPr="00E24B67">
        <w:rPr>
          <w:color w:val="212121"/>
          <w:sz w:val="24"/>
          <w:szCs w:val="24"/>
          <w:shd w:val="clear" w:color="auto" w:fill="FFFFFF"/>
        </w:rPr>
        <w:t>, X. (2019). Ultrasound as a diagnostic and management tool in hidradenitis suppurativa patients: a multicentre study. </w:t>
      </w:r>
      <w:r w:rsidRPr="00E24B67">
        <w:rPr>
          <w:i/>
          <w:iCs/>
          <w:color w:val="212121"/>
          <w:sz w:val="24"/>
          <w:szCs w:val="24"/>
          <w:shd w:val="clear" w:color="auto" w:fill="FFFFFF"/>
        </w:rPr>
        <w:t xml:space="preserve">Journal of the European Academy of Dermatology and </w:t>
      </w:r>
      <w:proofErr w:type="gramStart"/>
      <w:r w:rsidRPr="00E24B67">
        <w:rPr>
          <w:i/>
          <w:iCs/>
          <w:color w:val="212121"/>
          <w:sz w:val="24"/>
          <w:szCs w:val="24"/>
          <w:shd w:val="clear" w:color="auto" w:fill="FFFFFF"/>
        </w:rPr>
        <w:t>Venereology :</w:t>
      </w:r>
      <w:proofErr w:type="gramEnd"/>
      <w:r w:rsidRPr="00E24B67">
        <w:rPr>
          <w:i/>
          <w:iCs/>
          <w:color w:val="212121"/>
          <w:sz w:val="24"/>
          <w:szCs w:val="24"/>
          <w:shd w:val="clear" w:color="auto" w:fill="FFFFFF"/>
        </w:rPr>
        <w:t xml:space="preserve"> JEADV</w:t>
      </w:r>
      <w:r w:rsidRPr="00E24B67">
        <w:rPr>
          <w:color w:val="212121"/>
          <w:sz w:val="24"/>
          <w:szCs w:val="24"/>
          <w:shd w:val="clear" w:color="auto" w:fill="FFFFFF"/>
        </w:rPr>
        <w:t>, </w:t>
      </w:r>
      <w:r w:rsidRPr="00E24B67">
        <w:rPr>
          <w:i/>
          <w:iCs/>
          <w:color w:val="212121"/>
          <w:sz w:val="24"/>
          <w:szCs w:val="24"/>
          <w:shd w:val="clear" w:color="auto" w:fill="FFFFFF"/>
        </w:rPr>
        <w:t>33</w:t>
      </w:r>
      <w:r w:rsidRPr="00E24B67">
        <w:rPr>
          <w:color w:val="212121"/>
          <w:sz w:val="24"/>
          <w:szCs w:val="24"/>
          <w:shd w:val="clear" w:color="auto" w:fill="FFFFFF"/>
        </w:rPr>
        <w:t xml:space="preserve">(11), 2137–2142. </w:t>
      </w:r>
      <w:hyperlink r:id="rId19" w:history="1">
        <w:r w:rsidRPr="00E24B67">
          <w:rPr>
            <w:rStyle w:val="Hyperlink"/>
            <w:sz w:val="24"/>
            <w:szCs w:val="24"/>
            <w:shd w:val="clear" w:color="auto" w:fill="FFFFFF"/>
          </w:rPr>
          <w:t>https://doi.org/10.1111/jdv.15710</w:t>
        </w:r>
      </w:hyperlink>
    </w:p>
    <w:p w:rsidR="00E24B67" w:rsidRPr="00E24B67" w:rsidRDefault="00E24B67" w:rsidP="001D1D16">
      <w:pPr>
        <w:pStyle w:val="ReferenceEntry"/>
        <w:jc w:val="both"/>
        <w:rPr>
          <w:sz w:val="24"/>
          <w:szCs w:val="24"/>
        </w:rPr>
      </w:pPr>
      <w:proofErr w:type="spellStart"/>
      <w:r w:rsidRPr="00E24B67">
        <w:rPr>
          <w:sz w:val="24"/>
          <w:szCs w:val="24"/>
        </w:rPr>
        <w:t>Mehdizadeh</w:t>
      </w:r>
      <w:proofErr w:type="spellEnd"/>
      <w:r w:rsidRPr="00E24B67">
        <w:rPr>
          <w:sz w:val="24"/>
          <w:szCs w:val="24"/>
        </w:rPr>
        <w:t xml:space="preserve">, A., Hazen, P. G., Bechara, F. G., Zwingerman, N., Moazenzadeh, M., Bashash, M., Sibbald, R. G., &amp; Alavi, A. (2015). Recurrence of hidradenitis suppurativa after surgical management: A systematic review and meta-analysis. </w:t>
      </w:r>
      <w:r w:rsidRPr="00E24B67">
        <w:rPr>
          <w:i/>
          <w:sz w:val="24"/>
          <w:szCs w:val="24"/>
        </w:rPr>
        <w:t>Journal of the American Academy of Dermatology</w:t>
      </w:r>
      <w:r w:rsidRPr="00E24B67">
        <w:rPr>
          <w:sz w:val="24"/>
          <w:szCs w:val="24"/>
        </w:rPr>
        <w:t xml:space="preserve">, </w:t>
      </w:r>
      <w:r w:rsidRPr="00E24B67">
        <w:rPr>
          <w:i/>
          <w:sz w:val="24"/>
          <w:szCs w:val="24"/>
        </w:rPr>
        <w:t>73(5 Suppl. 1)</w:t>
      </w:r>
      <w:r w:rsidRPr="00E24B67">
        <w:rPr>
          <w:sz w:val="24"/>
          <w:szCs w:val="24"/>
        </w:rPr>
        <w:t>, S70-S77. https://doi.org/10.1016/j.jaad.2015.07.044</w:t>
      </w:r>
    </w:p>
    <w:p w:rsidR="00E24B67" w:rsidRPr="00E24B67" w:rsidRDefault="00E24B67" w:rsidP="001D1D16">
      <w:pPr>
        <w:pStyle w:val="ReferenceEntry"/>
        <w:jc w:val="both"/>
        <w:rPr>
          <w:sz w:val="24"/>
          <w:szCs w:val="24"/>
        </w:rPr>
      </w:pPr>
      <w:r w:rsidRPr="000D7976">
        <w:rPr>
          <w:sz w:val="24"/>
          <w:szCs w:val="24"/>
          <w:lang w:val="fr-FR"/>
        </w:rPr>
        <w:t xml:space="preserve">Nguyen, T. V., </w:t>
      </w:r>
      <w:proofErr w:type="spellStart"/>
      <w:r w:rsidRPr="000D7976">
        <w:rPr>
          <w:sz w:val="24"/>
          <w:szCs w:val="24"/>
          <w:lang w:val="fr-FR"/>
        </w:rPr>
        <w:t>Damiani</w:t>
      </w:r>
      <w:proofErr w:type="spellEnd"/>
      <w:r w:rsidRPr="000D7976">
        <w:rPr>
          <w:sz w:val="24"/>
          <w:szCs w:val="24"/>
          <w:lang w:val="fr-FR"/>
        </w:rPr>
        <w:t xml:space="preserve">, G., </w:t>
      </w:r>
      <w:proofErr w:type="spellStart"/>
      <w:r w:rsidRPr="000D7976">
        <w:rPr>
          <w:sz w:val="24"/>
          <w:szCs w:val="24"/>
          <w:lang w:val="fr-FR"/>
        </w:rPr>
        <w:t>Orenstein</w:t>
      </w:r>
      <w:proofErr w:type="spellEnd"/>
      <w:r w:rsidRPr="000D7976">
        <w:rPr>
          <w:sz w:val="24"/>
          <w:szCs w:val="24"/>
          <w:lang w:val="fr-FR"/>
        </w:rPr>
        <w:t xml:space="preserve">, L. A. V., </w:t>
      </w:r>
      <w:proofErr w:type="spellStart"/>
      <w:r w:rsidRPr="000D7976">
        <w:rPr>
          <w:sz w:val="24"/>
          <w:szCs w:val="24"/>
          <w:lang w:val="fr-FR"/>
        </w:rPr>
        <w:t>Hamzavi</w:t>
      </w:r>
      <w:proofErr w:type="spellEnd"/>
      <w:r w:rsidRPr="000D7976">
        <w:rPr>
          <w:sz w:val="24"/>
          <w:szCs w:val="24"/>
          <w:lang w:val="fr-FR"/>
        </w:rPr>
        <w:t xml:space="preserve">, I., &amp; </w:t>
      </w:r>
      <w:proofErr w:type="spellStart"/>
      <w:r w:rsidRPr="000D7976">
        <w:rPr>
          <w:sz w:val="24"/>
          <w:szCs w:val="24"/>
          <w:lang w:val="fr-FR"/>
        </w:rPr>
        <w:t>Jemec</w:t>
      </w:r>
      <w:proofErr w:type="spellEnd"/>
      <w:r w:rsidRPr="000D7976">
        <w:rPr>
          <w:sz w:val="24"/>
          <w:szCs w:val="24"/>
          <w:lang w:val="fr-FR"/>
        </w:rPr>
        <w:t xml:space="preserve">, G. B. E. (2021). </w:t>
      </w:r>
      <w:r w:rsidRPr="00E24B67">
        <w:rPr>
          <w:sz w:val="24"/>
          <w:szCs w:val="24"/>
        </w:rPr>
        <w:t xml:space="preserve">Hidradenitis suppurativa: An update on epidemiology, phenotypes, diagnosis, pathogenesis, comorbidities and quality of life. </w:t>
      </w:r>
      <w:r w:rsidRPr="00E24B67">
        <w:rPr>
          <w:i/>
          <w:sz w:val="24"/>
          <w:szCs w:val="24"/>
        </w:rPr>
        <w:t>Journal of the European Academy of Dermatology and Venereology</w:t>
      </w:r>
      <w:r w:rsidRPr="00E24B67">
        <w:rPr>
          <w:sz w:val="24"/>
          <w:szCs w:val="24"/>
        </w:rPr>
        <w:t xml:space="preserve">, </w:t>
      </w:r>
      <w:r w:rsidRPr="00E24B67">
        <w:rPr>
          <w:i/>
          <w:sz w:val="24"/>
          <w:szCs w:val="24"/>
        </w:rPr>
        <w:t>35(1)</w:t>
      </w:r>
      <w:r w:rsidRPr="00E24B67">
        <w:rPr>
          <w:sz w:val="24"/>
          <w:szCs w:val="24"/>
        </w:rPr>
        <w:t>, 50-61. https://doi.org/10.1111/jdv.16677</w:t>
      </w:r>
    </w:p>
    <w:p w:rsidR="00E24B67" w:rsidRPr="00E24B67" w:rsidRDefault="00E24B67" w:rsidP="001D1D16">
      <w:pPr>
        <w:pStyle w:val="ReferenceEntry"/>
        <w:jc w:val="both"/>
        <w:rPr>
          <w:sz w:val="24"/>
          <w:szCs w:val="24"/>
        </w:rPr>
      </w:pPr>
      <w:r w:rsidRPr="00E24B67">
        <w:rPr>
          <w:sz w:val="24"/>
          <w:szCs w:val="24"/>
        </w:rPr>
        <w:t xml:space="preserve">Nielsen, V. W., Thomsen, S. F., &amp; Naik, H. B. (2024). Hidradenitis suppurativa pathogenesis: Extrinsic factors. </w:t>
      </w:r>
      <w:r w:rsidRPr="00E24B67">
        <w:rPr>
          <w:i/>
          <w:sz w:val="24"/>
          <w:szCs w:val="24"/>
        </w:rPr>
        <w:t>Journal of the American Academy of Dermatology</w:t>
      </w:r>
      <w:r w:rsidRPr="00E24B67">
        <w:rPr>
          <w:sz w:val="24"/>
          <w:szCs w:val="24"/>
        </w:rPr>
        <w:t xml:space="preserve">, </w:t>
      </w:r>
      <w:r w:rsidRPr="00E24B67">
        <w:rPr>
          <w:i/>
          <w:sz w:val="24"/>
          <w:szCs w:val="24"/>
        </w:rPr>
        <w:t>91(6S)</w:t>
      </w:r>
      <w:r w:rsidRPr="00E24B67">
        <w:rPr>
          <w:sz w:val="24"/>
          <w:szCs w:val="24"/>
        </w:rPr>
        <w:t>, S17-S21. https://doi.org/10.1016/j.jaad.2024.07.1524</w:t>
      </w:r>
    </w:p>
    <w:p w:rsidR="00E24B67" w:rsidRPr="00E24B67" w:rsidRDefault="00E24B67" w:rsidP="001D1D16">
      <w:pPr>
        <w:pStyle w:val="ReferenceEntry"/>
        <w:jc w:val="both"/>
        <w:rPr>
          <w:sz w:val="24"/>
          <w:szCs w:val="24"/>
        </w:rPr>
      </w:pPr>
      <w:proofErr w:type="spellStart"/>
      <w:r w:rsidRPr="00E24B67">
        <w:rPr>
          <w:sz w:val="24"/>
          <w:szCs w:val="24"/>
        </w:rPr>
        <w:t>Ovadja</w:t>
      </w:r>
      <w:proofErr w:type="spellEnd"/>
      <w:r w:rsidRPr="00E24B67">
        <w:rPr>
          <w:sz w:val="24"/>
          <w:szCs w:val="24"/>
        </w:rPr>
        <w:t xml:space="preserve">, Z. N., Jacobs, W., Zugaj, M., van der Horst, C. M. A. M., &amp; Lapid, O. (2020). Recurrence rates following excision of hidradenitis suppurativa: A systematic review and meta-analysis. </w:t>
      </w:r>
      <w:r w:rsidRPr="00E24B67">
        <w:rPr>
          <w:i/>
          <w:sz w:val="24"/>
          <w:szCs w:val="24"/>
        </w:rPr>
        <w:t>Dermatologic Surgery</w:t>
      </w:r>
      <w:r w:rsidRPr="00E24B67">
        <w:rPr>
          <w:sz w:val="24"/>
          <w:szCs w:val="24"/>
        </w:rPr>
        <w:t xml:space="preserve">, </w:t>
      </w:r>
      <w:r w:rsidRPr="00E24B67">
        <w:rPr>
          <w:i/>
          <w:sz w:val="24"/>
          <w:szCs w:val="24"/>
        </w:rPr>
        <w:t>46(8)</w:t>
      </w:r>
      <w:r w:rsidRPr="00E24B67">
        <w:rPr>
          <w:sz w:val="24"/>
          <w:szCs w:val="24"/>
        </w:rPr>
        <w:t>, e1-e7. https://doi.org/10.1097/DSS.0000000000002403</w:t>
      </w:r>
    </w:p>
    <w:p w:rsidR="00E24B67" w:rsidRPr="00E24B67" w:rsidRDefault="00E24B67" w:rsidP="001D1D16">
      <w:pPr>
        <w:pStyle w:val="ReferenceEntry"/>
        <w:jc w:val="both"/>
        <w:rPr>
          <w:sz w:val="24"/>
          <w:szCs w:val="24"/>
        </w:rPr>
      </w:pPr>
      <w:proofErr w:type="spellStart"/>
      <w:r w:rsidRPr="00E24B67">
        <w:rPr>
          <w:sz w:val="24"/>
          <w:szCs w:val="24"/>
        </w:rPr>
        <w:t>Ovadja</w:t>
      </w:r>
      <w:proofErr w:type="spellEnd"/>
      <w:r w:rsidRPr="00E24B67">
        <w:rPr>
          <w:sz w:val="24"/>
          <w:szCs w:val="24"/>
        </w:rPr>
        <w:t xml:space="preserve">, Z. N., Zugaj, M., Jacobs, W., van der Horst, C. M. A. M., &amp; Lapid, O. (2021). Recurrence rates following reconstruction strategies after wide excision of hidradenitis suppurativa: A systematic review and meta-analysis. </w:t>
      </w:r>
      <w:r w:rsidRPr="00E24B67">
        <w:rPr>
          <w:i/>
          <w:sz w:val="24"/>
          <w:szCs w:val="24"/>
        </w:rPr>
        <w:t>Dermatologic Surgery</w:t>
      </w:r>
      <w:r w:rsidRPr="00E24B67">
        <w:rPr>
          <w:sz w:val="24"/>
          <w:szCs w:val="24"/>
        </w:rPr>
        <w:t xml:space="preserve">, </w:t>
      </w:r>
      <w:r w:rsidRPr="00E24B67">
        <w:rPr>
          <w:i/>
          <w:sz w:val="24"/>
          <w:szCs w:val="24"/>
        </w:rPr>
        <w:t>47(4)</w:t>
      </w:r>
      <w:r w:rsidRPr="00E24B67">
        <w:rPr>
          <w:sz w:val="24"/>
          <w:szCs w:val="24"/>
        </w:rPr>
        <w:t>, e106-e110. https://doi.org/10.1097/DSS.0000000000002815</w:t>
      </w:r>
    </w:p>
    <w:p w:rsidR="00E24B67" w:rsidRPr="00E24B67" w:rsidRDefault="00E24B67" w:rsidP="001D1D16">
      <w:pPr>
        <w:pStyle w:val="ReferenceEntry"/>
        <w:jc w:val="both"/>
        <w:rPr>
          <w:sz w:val="24"/>
          <w:szCs w:val="24"/>
        </w:rPr>
      </w:pPr>
      <w:r w:rsidRPr="00E24B67">
        <w:rPr>
          <w:sz w:val="24"/>
          <w:szCs w:val="24"/>
        </w:rPr>
        <w:lastRenderedPageBreak/>
        <w:t xml:space="preserve">Phan, K., Charlton, O., &amp; Smith, S. D. (2019). Hidradenitis suppurativa and metabolic syndrome - Systematic review and adjusted meta-analysis. </w:t>
      </w:r>
      <w:r w:rsidRPr="00E24B67">
        <w:rPr>
          <w:i/>
          <w:sz w:val="24"/>
          <w:szCs w:val="24"/>
        </w:rPr>
        <w:t>International Journal of Dermatology</w:t>
      </w:r>
      <w:r w:rsidRPr="00E24B67">
        <w:rPr>
          <w:sz w:val="24"/>
          <w:szCs w:val="24"/>
        </w:rPr>
        <w:t xml:space="preserve">, </w:t>
      </w:r>
      <w:r w:rsidRPr="00E24B67">
        <w:rPr>
          <w:i/>
          <w:sz w:val="24"/>
          <w:szCs w:val="24"/>
        </w:rPr>
        <w:t>58(10)</w:t>
      </w:r>
      <w:r w:rsidRPr="00E24B67">
        <w:rPr>
          <w:sz w:val="24"/>
          <w:szCs w:val="24"/>
        </w:rPr>
        <w:t>, 1112-1117. https://doi.org/10.1111/ijd.14500</w:t>
      </w:r>
    </w:p>
    <w:p w:rsidR="00E24B67" w:rsidRPr="00E24B67" w:rsidRDefault="00E24B67" w:rsidP="001D1D16">
      <w:pPr>
        <w:pStyle w:val="ReferenceEntry"/>
        <w:jc w:val="both"/>
        <w:rPr>
          <w:color w:val="212121"/>
          <w:sz w:val="24"/>
          <w:szCs w:val="24"/>
          <w:shd w:val="clear" w:color="auto" w:fill="FFFFFF"/>
        </w:rPr>
      </w:pPr>
      <w:proofErr w:type="spellStart"/>
      <w:r w:rsidRPr="00E24B67">
        <w:rPr>
          <w:color w:val="212121"/>
          <w:sz w:val="24"/>
          <w:szCs w:val="24"/>
          <w:shd w:val="clear" w:color="auto" w:fill="FFFFFF"/>
        </w:rPr>
        <w:t>Racanelli</w:t>
      </w:r>
      <w:proofErr w:type="spellEnd"/>
      <w:r w:rsidRPr="00E24B67">
        <w:rPr>
          <w:color w:val="212121"/>
          <w:sz w:val="24"/>
          <w:szCs w:val="24"/>
          <w:shd w:val="clear" w:color="auto" w:fill="FFFFFF"/>
        </w:rPr>
        <w:t xml:space="preserve">, E., </w:t>
      </w:r>
      <w:proofErr w:type="spellStart"/>
      <w:r w:rsidRPr="00E24B67">
        <w:rPr>
          <w:color w:val="212121"/>
          <w:sz w:val="24"/>
          <w:szCs w:val="24"/>
          <w:shd w:val="clear" w:color="auto" w:fill="FFFFFF"/>
        </w:rPr>
        <w:t>Jfri</w:t>
      </w:r>
      <w:proofErr w:type="spellEnd"/>
      <w:r w:rsidRPr="00E24B67">
        <w:rPr>
          <w:color w:val="212121"/>
          <w:sz w:val="24"/>
          <w:szCs w:val="24"/>
          <w:shd w:val="clear" w:color="auto" w:fill="FFFFFF"/>
        </w:rPr>
        <w:t xml:space="preserve">, A., </w:t>
      </w:r>
      <w:proofErr w:type="spellStart"/>
      <w:r w:rsidRPr="00E24B67">
        <w:rPr>
          <w:color w:val="212121"/>
          <w:sz w:val="24"/>
          <w:szCs w:val="24"/>
          <w:shd w:val="clear" w:color="auto" w:fill="FFFFFF"/>
        </w:rPr>
        <w:t>Gefri</w:t>
      </w:r>
      <w:proofErr w:type="spellEnd"/>
      <w:r w:rsidRPr="00E24B67">
        <w:rPr>
          <w:color w:val="212121"/>
          <w:sz w:val="24"/>
          <w:szCs w:val="24"/>
          <w:shd w:val="clear" w:color="auto" w:fill="FFFFFF"/>
        </w:rPr>
        <w:t xml:space="preserve">, A., O'Brien, E., Litvinov, I. V., </w:t>
      </w:r>
      <w:proofErr w:type="spellStart"/>
      <w:r w:rsidRPr="00E24B67">
        <w:rPr>
          <w:color w:val="212121"/>
          <w:sz w:val="24"/>
          <w:szCs w:val="24"/>
          <w:shd w:val="clear" w:color="auto" w:fill="FFFFFF"/>
        </w:rPr>
        <w:t>Zubarev</w:t>
      </w:r>
      <w:proofErr w:type="spellEnd"/>
      <w:r w:rsidRPr="00E24B67">
        <w:rPr>
          <w:color w:val="212121"/>
          <w:sz w:val="24"/>
          <w:szCs w:val="24"/>
          <w:shd w:val="clear" w:color="auto" w:fill="FFFFFF"/>
        </w:rPr>
        <w:t xml:space="preserve">, A., </w:t>
      </w:r>
      <w:proofErr w:type="spellStart"/>
      <w:r w:rsidRPr="00E24B67">
        <w:rPr>
          <w:color w:val="212121"/>
          <w:sz w:val="24"/>
          <w:szCs w:val="24"/>
          <w:shd w:val="clear" w:color="auto" w:fill="FFFFFF"/>
        </w:rPr>
        <w:t>Savin</w:t>
      </w:r>
      <w:proofErr w:type="spellEnd"/>
      <w:r w:rsidRPr="00E24B67">
        <w:rPr>
          <w:color w:val="212121"/>
          <w:sz w:val="24"/>
          <w:szCs w:val="24"/>
          <w:shd w:val="clear" w:color="auto" w:fill="FFFFFF"/>
        </w:rPr>
        <w:t xml:space="preserve">, E., &amp; </w:t>
      </w:r>
      <w:proofErr w:type="spellStart"/>
      <w:r w:rsidRPr="00E24B67">
        <w:rPr>
          <w:color w:val="212121"/>
          <w:sz w:val="24"/>
          <w:szCs w:val="24"/>
          <w:shd w:val="clear" w:color="auto" w:fill="FFFFFF"/>
        </w:rPr>
        <w:t>Netchiporouk</w:t>
      </w:r>
      <w:proofErr w:type="spellEnd"/>
      <w:r w:rsidRPr="00E24B67">
        <w:rPr>
          <w:color w:val="212121"/>
          <w:sz w:val="24"/>
          <w:szCs w:val="24"/>
          <w:shd w:val="clear" w:color="auto" w:fill="FFFFFF"/>
        </w:rPr>
        <w:t>, E. (2021). Cutaneous Squamous Cell Carcinoma in Patients with Hidradenitis Suppurativa. </w:t>
      </w:r>
      <w:r w:rsidRPr="00E24B67">
        <w:rPr>
          <w:i/>
          <w:iCs/>
          <w:color w:val="212121"/>
          <w:sz w:val="24"/>
          <w:szCs w:val="24"/>
          <w:shd w:val="clear" w:color="auto" w:fill="FFFFFF"/>
        </w:rPr>
        <w:t>Cancers</w:t>
      </w:r>
      <w:r w:rsidRPr="00E24B67">
        <w:rPr>
          <w:color w:val="212121"/>
          <w:sz w:val="24"/>
          <w:szCs w:val="24"/>
          <w:shd w:val="clear" w:color="auto" w:fill="FFFFFF"/>
        </w:rPr>
        <w:t>, </w:t>
      </w:r>
      <w:r w:rsidRPr="00E24B67">
        <w:rPr>
          <w:i/>
          <w:iCs/>
          <w:color w:val="212121"/>
          <w:sz w:val="24"/>
          <w:szCs w:val="24"/>
          <w:shd w:val="clear" w:color="auto" w:fill="FFFFFF"/>
        </w:rPr>
        <w:t>13</w:t>
      </w:r>
      <w:r w:rsidRPr="00E24B67">
        <w:rPr>
          <w:color w:val="212121"/>
          <w:sz w:val="24"/>
          <w:szCs w:val="24"/>
          <w:shd w:val="clear" w:color="auto" w:fill="FFFFFF"/>
        </w:rPr>
        <w:t xml:space="preserve">(5), 1153. </w:t>
      </w:r>
      <w:hyperlink r:id="rId20" w:history="1">
        <w:r w:rsidRPr="00E24B67">
          <w:rPr>
            <w:rStyle w:val="Hyperlink"/>
            <w:sz w:val="24"/>
            <w:szCs w:val="24"/>
            <w:shd w:val="clear" w:color="auto" w:fill="FFFFFF"/>
          </w:rPr>
          <w:t>https://doi.org/10.3390/cancers13051153</w:t>
        </w:r>
      </w:hyperlink>
    </w:p>
    <w:p w:rsidR="00E24B67" w:rsidRPr="00E24B67" w:rsidRDefault="00E24B67" w:rsidP="001D1D16">
      <w:pPr>
        <w:pStyle w:val="ReferenceEntry"/>
        <w:jc w:val="both"/>
        <w:rPr>
          <w:sz w:val="24"/>
          <w:szCs w:val="24"/>
        </w:rPr>
      </w:pPr>
      <w:r w:rsidRPr="00E24B67">
        <w:rPr>
          <w:sz w:val="24"/>
          <w:szCs w:val="24"/>
        </w:rPr>
        <w:t xml:space="preserve">Riddle, A., Westerkam, L., Feltner, C., &amp; Sayed, C. (2021). Current surgical management of hidradenitis suppurativa: A systematic review and meta-analysis. </w:t>
      </w:r>
      <w:r w:rsidRPr="00E24B67">
        <w:rPr>
          <w:i/>
          <w:sz w:val="24"/>
          <w:szCs w:val="24"/>
        </w:rPr>
        <w:t>Dermatologic Surgery</w:t>
      </w:r>
      <w:r w:rsidRPr="00E24B67">
        <w:rPr>
          <w:sz w:val="24"/>
          <w:szCs w:val="24"/>
        </w:rPr>
        <w:t xml:space="preserve">, </w:t>
      </w:r>
      <w:r w:rsidRPr="00E24B67">
        <w:rPr>
          <w:i/>
          <w:sz w:val="24"/>
          <w:szCs w:val="24"/>
        </w:rPr>
        <w:t>47(3)</w:t>
      </w:r>
      <w:r w:rsidRPr="00E24B67">
        <w:rPr>
          <w:sz w:val="24"/>
          <w:szCs w:val="24"/>
        </w:rPr>
        <w:t>, 349-354. https://doi.org/10.1097/DSS.0000000000002892</w:t>
      </w:r>
    </w:p>
    <w:p w:rsidR="00E24B67" w:rsidRPr="00E24B67" w:rsidRDefault="00E24B67" w:rsidP="001D1D16">
      <w:pPr>
        <w:pStyle w:val="ReferenceEntry"/>
        <w:jc w:val="both"/>
        <w:rPr>
          <w:color w:val="212121"/>
          <w:sz w:val="24"/>
          <w:szCs w:val="24"/>
          <w:shd w:val="clear" w:color="auto" w:fill="FFFFFF"/>
        </w:rPr>
      </w:pPr>
      <w:proofErr w:type="spellStart"/>
      <w:r w:rsidRPr="00E24B67">
        <w:rPr>
          <w:color w:val="212121"/>
          <w:sz w:val="24"/>
          <w:szCs w:val="24"/>
          <w:shd w:val="clear" w:color="auto" w:fill="FFFFFF"/>
        </w:rPr>
        <w:t>Sabat</w:t>
      </w:r>
      <w:proofErr w:type="spellEnd"/>
      <w:r w:rsidRPr="00E24B67">
        <w:rPr>
          <w:color w:val="212121"/>
          <w:sz w:val="24"/>
          <w:szCs w:val="24"/>
          <w:shd w:val="clear" w:color="auto" w:fill="FFFFFF"/>
        </w:rPr>
        <w:t xml:space="preserve">, R., </w:t>
      </w:r>
      <w:proofErr w:type="spellStart"/>
      <w:r w:rsidRPr="00E24B67">
        <w:rPr>
          <w:color w:val="212121"/>
          <w:sz w:val="24"/>
          <w:szCs w:val="24"/>
          <w:shd w:val="clear" w:color="auto" w:fill="FFFFFF"/>
        </w:rPr>
        <w:t>Jemec</w:t>
      </w:r>
      <w:proofErr w:type="spellEnd"/>
      <w:r w:rsidRPr="00E24B67">
        <w:rPr>
          <w:color w:val="212121"/>
          <w:sz w:val="24"/>
          <w:szCs w:val="24"/>
          <w:shd w:val="clear" w:color="auto" w:fill="FFFFFF"/>
        </w:rPr>
        <w:t xml:space="preserve">, G. B. E., </w:t>
      </w:r>
      <w:proofErr w:type="spellStart"/>
      <w:r w:rsidRPr="00E24B67">
        <w:rPr>
          <w:color w:val="212121"/>
          <w:sz w:val="24"/>
          <w:szCs w:val="24"/>
          <w:shd w:val="clear" w:color="auto" w:fill="FFFFFF"/>
        </w:rPr>
        <w:t>Matusiak</w:t>
      </w:r>
      <w:proofErr w:type="spellEnd"/>
      <w:r w:rsidRPr="00E24B67">
        <w:rPr>
          <w:color w:val="212121"/>
          <w:sz w:val="24"/>
          <w:szCs w:val="24"/>
          <w:shd w:val="clear" w:color="auto" w:fill="FFFFFF"/>
        </w:rPr>
        <w:t xml:space="preserve">, Ł., Kimball, A. B., </w:t>
      </w:r>
      <w:proofErr w:type="spellStart"/>
      <w:r w:rsidRPr="00E24B67">
        <w:rPr>
          <w:color w:val="212121"/>
          <w:sz w:val="24"/>
          <w:szCs w:val="24"/>
          <w:shd w:val="clear" w:color="auto" w:fill="FFFFFF"/>
        </w:rPr>
        <w:t>Prens</w:t>
      </w:r>
      <w:proofErr w:type="spellEnd"/>
      <w:r w:rsidRPr="00E24B67">
        <w:rPr>
          <w:color w:val="212121"/>
          <w:sz w:val="24"/>
          <w:szCs w:val="24"/>
          <w:shd w:val="clear" w:color="auto" w:fill="FFFFFF"/>
        </w:rPr>
        <w:t xml:space="preserve">, E., &amp; </w:t>
      </w:r>
      <w:proofErr w:type="spellStart"/>
      <w:r w:rsidRPr="00E24B67">
        <w:rPr>
          <w:color w:val="212121"/>
          <w:sz w:val="24"/>
          <w:szCs w:val="24"/>
          <w:shd w:val="clear" w:color="auto" w:fill="FFFFFF"/>
        </w:rPr>
        <w:t>Wolk</w:t>
      </w:r>
      <w:proofErr w:type="spellEnd"/>
      <w:r w:rsidRPr="00E24B67">
        <w:rPr>
          <w:color w:val="212121"/>
          <w:sz w:val="24"/>
          <w:szCs w:val="24"/>
          <w:shd w:val="clear" w:color="auto" w:fill="FFFFFF"/>
        </w:rPr>
        <w:t>, K. (2020). Hidradenitis suppurativa. </w:t>
      </w:r>
      <w:r w:rsidRPr="00E24B67">
        <w:rPr>
          <w:i/>
          <w:iCs/>
          <w:color w:val="212121"/>
          <w:sz w:val="24"/>
          <w:szCs w:val="24"/>
          <w:shd w:val="clear" w:color="auto" w:fill="FFFFFF"/>
        </w:rPr>
        <w:t>Nature reviews. Disease primers</w:t>
      </w:r>
      <w:r w:rsidRPr="00E24B67">
        <w:rPr>
          <w:color w:val="212121"/>
          <w:sz w:val="24"/>
          <w:szCs w:val="24"/>
          <w:shd w:val="clear" w:color="auto" w:fill="FFFFFF"/>
        </w:rPr>
        <w:t>, </w:t>
      </w:r>
      <w:r w:rsidRPr="00E24B67">
        <w:rPr>
          <w:i/>
          <w:iCs/>
          <w:color w:val="212121"/>
          <w:sz w:val="24"/>
          <w:szCs w:val="24"/>
          <w:shd w:val="clear" w:color="auto" w:fill="FFFFFF"/>
        </w:rPr>
        <w:t>6</w:t>
      </w:r>
      <w:r w:rsidRPr="00E24B67">
        <w:rPr>
          <w:color w:val="212121"/>
          <w:sz w:val="24"/>
          <w:szCs w:val="24"/>
          <w:shd w:val="clear" w:color="auto" w:fill="FFFFFF"/>
        </w:rPr>
        <w:t xml:space="preserve">(1), 18. </w:t>
      </w:r>
      <w:hyperlink r:id="rId21" w:history="1">
        <w:r w:rsidRPr="00E24B67">
          <w:rPr>
            <w:rStyle w:val="Hyperlink"/>
            <w:sz w:val="24"/>
            <w:szCs w:val="24"/>
            <w:shd w:val="clear" w:color="auto" w:fill="FFFFFF"/>
          </w:rPr>
          <w:t>https://doi.org/10.1038/s41572-020-0149-1</w:t>
        </w:r>
      </w:hyperlink>
    </w:p>
    <w:p w:rsidR="00E24B67" w:rsidRPr="00E24B67" w:rsidRDefault="00E24B67" w:rsidP="001D1D16">
      <w:pPr>
        <w:pStyle w:val="ReferenceEntry"/>
        <w:jc w:val="both"/>
        <w:rPr>
          <w:color w:val="212121"/>
          <w:sz w:val="24"/>
          <w:szCs w:val="24"/>
          <w:shd w:val="clear" w:color="auto" w:fill="FFFFFF"/>
        </w:rPr>
      </w:pPr>
      <w:r w:rsidRPr="00E24B67">
        <w:rPr>
          <w:color w:val="212121"/>
          <w:sz w:val="24"/>
          <w:szCs w:val="24"/>
          <w:shd w:val="clear" w:color="auto" w:fill="FFFFFF"/>
        </w:rPr>
        <w:t xml:space="preserve">Sachdeva, M., Mufti, A., </w:t>
      </w:r>
      <w:proofErr w:type="spellStart"/>
      <w:r w:rsidRPr="00E24B67">
        <w:rPr>
          <w:color w:val="212121"/>
          <w:sz w:val="24"/>
          <w:szCs w:val="24"/>
          <w:shd w:val="clear" w:color="auto" w:fill="FFFFFF"/>
        </w:rPr>
        <w:t>Zaaroura</w:t>
      </w:r>
      <w:proofErr w:type="spellEnd"/>
      <w:r w:rsidRPr="00E24B67">
        <w:rPr>
          <w:color w:val="212121"/>
          <w:sz w:val="24"/>
          <w:szCs w:val="24"/>
          <w:shd w:val="clear" w:color="auto" w:fill="FFFFFF"/>
        </w:rPr>
        <w:t xml:space="preserve">, H., </w:t>
      </w:r>
      <w:proofErr w:type="spellStart"/>
      <w:r w:rsidRPr="00E24B67">
        <w:rPr>
          <w:color w:val="212121"/>
          <w:sz w:val="24"/>
          <w:szCs w:val="24"/>
          <w:shd w:val="clear" w:color="auto" w:fill="FFFFFF"/>
        </w:rPr>
        <w:t>Abduelmula</w:t>
      </w:r>
      <w:proofErr w:type="spellEnd"/>
      <w:r w:rsidRPr="00E24B67">
        <w:rPr>
          <w:color w:val="212121"/>
          <w:sz w:val="24"/>
          <w:szCs w:val="24"/>
          <w:shd w:val="clear" w:color="auto" w:fill="FFFFFF"/>
        </w:rPr>
        <w:t xml:space="preserve">, A., </w:t>
      </w:r>
      <w:proofErr w:type="spellStart"/>
      <w:r w:rsidRPr="00E24B67">
        <w:rPr>
          <w:color w:val="212121"/>
          <w:sz w:val="24"/>
          <w:szCs w:val="24"/>
          <w:shd w:val="clear" w:color="auto" w:fill="FFFFFF"/>
        </w:rPr>
        <w:t>Lansang</w:t>
      </w:r>
      <w:proofErr w:type="spellEnd"/>
      <w:r w:rsidRPr="00E24B67">
        <w:rPr>
          <w:color w:val="212121"/>
          <w:sz w:val="24"/>
          <w:szCs w:val="24"/>
          <w:shd w:val="clear" w:color="auto" w:fill="FFFFFF"/>
        </w:rPr>
        <w:t xml:space="preserve">, R. P., </w:t>
      </w:r>
      <w:proofErr w:type="spellStart"/>
      <w:r w:rsidRPr="00E24B67">
        <w:rPr>
          <w:color w:val="212121"/>
          <w:sz w:val="24"/>
          <w:szCs w:val="24"/>
          <w:shd w:val="clear" w:color="auto" w:fill="FFFFFF"/>
        </w:rPr>
        <w:t>Bagit</w:t>
      </w:r>
      <w:proofErr w:type="spellEnd"/>
      <w:r w:rsidRPr="00E24B67">
        <w:rPr>
          <w:color w:val="212121"/>
          <w:sz w:val="24"/>
          <w:szCs w:val="24"/>
          <w:shd w:val="clear" w:color="auto" w:fill="FFFFFF"/>
        </w:rPr>
        <w:t xml:space="preserve">, A., &amp; </w:t>
      </w:r>
      <w:proofErr w:type="spellStart"/>
      <w:r w:rsidRPr="00E24B67">
        <w:rPr>
          <w:color w:val="212121"/>
          <w:sz w:val="24"/>
          <w:szCs w:val="24"/>
          <w:shd w:val="clear" w:color="auto" w:fill="FFFFFF"/>
        </w:rPr>
        <w:t>Alhusayen</w:t>
      </w:r>
      <w:proofErr w:type="spellEnd"/>
      <w:r w:rsidRPr="00E24B67">
        <w:rPr>
          <w:color w:val="212121"/>
          <w:sz w:val="24"/>
          <w:szCs w:val="24"/>
          <w:shd w:val="clear" w:color="auto" w:fill="FFFFFF"/>
        </w:rPr>
        <w:t>, R. (2021). Squamous cell carcinoma arising within hidradenitis suppurativa: a literature review. </w:t>
      </w:r>
      <w:r w:rsidRPr="00E24B67">
        <w:rPr>
          <w:i/>
          <w:iCs/>
          <w:color w:val="212121"/>
          <w:sz w:val="24"/>
          <w:szCs w:val="24"/>
          <w:shd w:val="clear" w:color="auto" w:fill="FFFFFF"/>
        </w:rPr>
        <w:t>International journal of dermatology</w:t>
      </w:r>
      <w:r w:rsidRPr="00E24B67">
        <w:rPr>
          <w:color w:val="212121"/>
          <w:sz w:val="24"/>
          <w:szCs w:val="24"/>
          <w:shd w:val="clear" w:color="auto" w:fill="FFFFFF"/>
        </w:rPr>
        <w:t>, </w:t>
      </w:r>
      <w:r w:rsidRPr="00E24B67">
        <w:rPr>
          <w:i/>
          <w:iCs/>
          <w:color w:val="212121"/>
          <w:sz w:val="24"/>
          <w:szCs w:val="24"/>
          <w:shd w:val="clear" w:color="auto" w:fill="FFFFFF"/>
        </w:rPr>
        <w:t>60</w:t>
      </w:r>
      <w:r w:rsidRPr="00E24B67">
        <w:rPr>
          <w:color w:val="212121"/>
          <w:sz w:val="24"/>
          <w:szCs w:val="24"/>
          <w:shd w:val="clear" w:color="auto" w:fill="FFFFFF"/>
        </w:rPr>
        <w:t xml:space="preserve">(11), e459–e465. </w:t>
      </w:r>
      <w:hyperlink r:id="rId22" w:history="1">
        <w:r w:rsidRPr="00E24B67">
          <w:rPr>
            <w:rStyle w:val="Hyperlink"/>
            <w:sz w:val="24"/>
            <w:szCs w:val="24"/>
            <w:shd w:val="clear" w:color="auto" w:fill="FFFFFF"/>
          </w:rPr>
          <w:t>https://doi.org/10.1111/ijd.15677</w:t>
        </w:r>
      </w:hyperlink>
      <w:r w:rsidRPr="00E24B67">
        <w:rPr>
          <w:color w:val="212121"/>
          <w:sz w:val="24"/>
          <w:szCs w:val="24"/>
          <w:shd w:val="clear" w:color="auto" w:fill="FFFFFF"/>
        </w:rPr>
        <w:t xml:space="preserve">  </w:t>
      </w:r>
    </w:p>
    <w:p w:rsidR="00E24B67" w:rsidRPr="00E24B67" w:rsidRDefault="00E24B67" w:rsidP="001D1D16">
      <w:pPr>
        <w:pStyle w:val="ReferenceEntry"/>
        <w:jc w:val="both"/>
        <w:rPr>
          <w:sz w:val="24"/>
          <w:szCs w:val="24"/>
        </w:rPr>
      </w:pPr>
      <w:r w:rsidRPr="00E24B67">
        <w:rPr>
          <w:sz w:val="24"/>
          <w:szCs w:val="24"/>
        </w:rPr>
        <w:t xml:space="preserve">Sayed, C. J., Kirby, B., Garg, A., Naik, H. B., Kimball, A. B., Zouboulis, C. C., Jemec, G. B. E., Kokolakis, G., Ingram, J. R., Morita, A., Deherder, D., Crater, C., Rolleri, R. L., Vaux, T., Lambert, J., Lukowski, B., &amp; Bechara, F. G. (2026). Bimekizumab demonstrated a favorable safety profile and high levels of efficacy with up to 2 years of treatment in patients with moderate to severe hidradenitis suppurativa: Pooled results from two phase 3 randomized, controlled trials and their open-label extension. </w:t>
      </w:r>
      <w:r w:rsidRPr="00E24B67">
        <w:rPr>
          <w:i/>
          <w:sz w:val="24"/>
          <w:szCs w:val="24"/>
        </w:rPr>
        <w:t>Journal of the American Academy of Dermatology</w:t>
      </w:r>
      <w:r w:rsidRPr="00E24B67">
        <w:rPr>
          <w:sz w:val="24"/>
          <w:szCs w:val="24"/>
        </w:rPr>
        <w:t xml:space="preserve">, </w:t>
      </w:r>
      <w:r w:rsidRPr="00E24B67">
        <w:rPr>
          <w:i/>
          <w:sz w:val="24"/>
          <w:szCs w:val="24"/>
        </w:rPr>
        <w:t>94(3)</w:t>
      </w:r>
      <w:r w:rsidRPr="00E24B67">
        <w:rPr>
          <w:sz w:val="24"/>
          <w:szCs w:val="24"/>
        </w:rPr>
        <w:t>, 867-878. https://doi.org/10.1016/j.jaad.2025.11.031</w:t>
      </w:r>
    </w:p>
    <w:p w:rsidR="00E24B67" w:rsidRPr="00E24B67" w:rsidRDefault="00E24B67" w:rsidP="001D1D16">
      <w:pPr>
        <w:pStyle w:val="ReferenceEntry"/>
        <w:jc w:val="both"/>
        <w:rPr>
          <w:sz w:val="24"/>
          <w:szCs w:val="24"/>
        </w:rPr>
      </w:pPr>
      <w:r w:rsidRPr="00E24B67">
        <w:rPr>
          <w:sz w:val="24"/>
          <w:szCs w:val="24"/>
        </w:rPr>
        <w:t xml:space="preserve">Shipman, W. D., III, Williams, M. N., Suozzi, K. C., Eisenstein, A. S., &amp; Dover, J. S. (2024). Efficacy of laser hair removal in hidradenitis suppurativa: A systematic review and meta-analysis. </w:t>
      </w:r>
      <w:r w:rsidRPr="00E24B67">
        <w:rPr>
          <w:i/>
          <w:sz w:val="24"/>
          <w:szCs w:val="24"/>
        </w:rPr>
        <w:t>Lasers in Surgery and Medicine</w:t>
      </w:r>
      <w:r w:rsidRPr="00E24B67">
        <w:rPr>
          <w:sz w:val="24"/>
          <w:szCs w:val="24"/>
        </w:rPr>
        <w:t xml:space="preserve">, </w:t>
      </w:r>
      <w:r w:rsidRPr="00E24B67">
        <w:rPr>
          <w:i/>
          <w:sz w:val="24"/>
          <w:szCs w:val="24"/>
        </w:rPr>
        <w:t>56(5)</w:t>
      </w:r>
      <w:r w:rsidRPr="00E24B67">
        <w:rPr>
          <w:sz w:val="24"/>
          <w:szCs w:val="24"/>
        </w:rPr>
        <w:t>, 425-436. https://doi.org/10.1002/lsm.23796</w:t>
      </w:r>
    </w:p>
    <w:p w:rsidR="00E24B67" w:rsidRPr="000D7976" w:rsidRDefault="00E24B67" w:rsidP="001D1D16">
      <w:pPr>
        <w:pStyle w:val="ReferenceEntry"/>
        <w:jc w:val="both"/>
        <w:rPr>
          <w:color w:val="212121"/>
          <w:sz w:val="24"/>
          <w:szCs w:val="24"/>
          <w:shd w:val="clear" w:color="auto" w:fill="FFFFFF"/>
          <w:lang w:val="fr-FR"/>
        </w:rPr>
      </w:pPr>
      <w:r w:rsidRPr="00E24B67">
        <w:rPr>
          <w:color w:val="212121"/>
          <w:sz w:val="24"/>
          <w:szCs w:val="24"/>
          <w:shd w:val="clear" w:color="auto" w:fill="FFFFFF"/>
        </w:rPr>
        <w:t xml:space="preserve">Soria, A., </w:t>
      </w:r>
      <w:proofErr w:type="spellStart"/>
      <w:r w:rsidRPr="00E24B67">
        <w:rPr>
          <w:color w:val="212121"/>
          <w:sz w:val="24"/>
          <w:szCs w:val="24"/>
          <w:shd w:val="clear" w:color="auto" w:fill="FFFFFF"/>
        </w:rPr>
        <w:t>Canoui-Poitrine</w:t>
      </w:r>
      <w:proofErr w:type="spellEnd"/>
      <w:r w:rsidRPr="00E24B67">
        <w:rPr>
          <w:color w:val="212121"/>
          <w:sz w:val="24"/>
          <w:szCs w:val="24"/>
          <w:shd w:val="clear" w:color="auto" w:fill="FFFFFF"/>
        </w:rPr>
        <w:t xml:space="preserve">, F., </w:t>
      </w:r>
      <w:proofErr w:type="spellStart"/>
      <w:r w:rsidRPr="00E24B67">
        <w:rPr>
          <w:color w:val="212121"/>
          <w:sz w:val="24"/>
          <w:szCs w:val="24"/>
          <w:shd w:val="clear" w:color="auto" w:fill="FFFFFF"/>
        </w:rPr>
        <w:t>Wolkenstein</w:t>
      </w:r>
      <w:proofErr w:type="spellEnd"/>
      <w:r w:rsidRPr="00E24B67">
        <w:rPr>
          <w:color w:val="212121"/>
          <w:sz w:val="24"/>
          <w:szCs w:val="24"/>
          <w:shd w:val="clear" w:color="auto" w:fill="FFFFFF"/>
        </w:rPr>
        <w:t xml:space="preserve">, P., </w:t>
      </w:r>
      <w:proofErr w:type="spellStart"/>
      <w:r w:rsidRPr="00E24B67">
        <w:rPr>
          <w:color w:val="212121"/>
          <w:sz w:val="24"/>
          <w:szCs w:val="24"/>
          <w:shd w:val="clear" w:color="auto" w:fill="FFFFFF"/>
        </w:rPr>
        <w:t>Poli</w:t>
      </w:r>
      <w:proofErr w:type="spellEnd"/>
      <w:r w:rsidRPr="00E24B67">
        <w:rPr>
          <w:color w:val="212121"/>
          <w:sz w:val="24"/>
          <w:szCs w:val="24"/>
          <w:shd w:val="clear" w:color="auto" w:fill="FFFFFF"/>
        </w:rPr>
        <w:t xml:space="preserve">, F., </w:t>
      </w:r>
      <w:proofErr w:type="spellStart"/>
      <w:r w:rsidRPr="00E24B67">
        <w:rPr>
          <w:color w:val="212121"/>
          <w:sz w:val="24"/>
          <w:szCs w:val="24"/>
          <w:shd w:val="clear" w:color="auto" w:fill="FFFFFF"/>
        </w:rPr>
        <w:t>Gabison</w:t>
      </w:r>
      <w:proofErr w:type="spellEnd"/>
      <w:r w:rsidRPr="00E24B67">
        <w:rPr>
          <w:color w:val="212121"/>
          <w:sz w:val="24"/>
          <w:szCs w:val="24"/>
          <w:shd w:val="clear" w:color="auto" w:fill="FFFFFF"/>
        </w:rPr>
        <w:t xml:space="preserve">, G., </w:t>
      </w:r>
      <w:proofErr w:type="spellStart"/>
      <w:r w:rsidRPr="00E24B67">
        <w:rPr>
          <w:color w:val="212121"/>
          <w:sz w:val="24"/>
          <w:szCs w:val="24"/>
          <w:shd w:val="clear" w:color="auto" w:fill="FFFFFF"/>
        </w:rPr>
        <w:t>Pouget</w:t>
      </w:r>
      <w:proofErr w:type="spellEnd"/>
      <w:r w:rsidRPr="00E24B67">
        <w:rPr>
          <w:color w:val="212121"/>
          <w:sz w:val="24"/>
          <w:szCs w:val="24"/>
          <w:shd w:val="clear" w:color="auto" w:fill="FFFFFF"/>
        </w:rPr>
        <w:t xml:space="preserve">, F., </w:t>
      </w:r>
      <w:proofErr w:type="spellStart"/>
      <w:r w:rsidRPr="00E24B67">
        <w:rPr>
          <w:color w:val="212121"/>
          <w:sz w:val="24"/>
          <w:szCs w:val="24"/>
          <w:shd w:val="clear" w:color="auto" w:fill="FFFFFF"/>
        </w:rPr>
        <w:t>Viallette</w:t>
      </w:r>
      <w:proofErr w:type="spellEnd"/>
      <w:r w:rsidRPr="00E24B67">
        <w:rPr>
          <w:color w:val="212121"/>
          <w:sz w:val="24"/>
          <w:szCs w:val="24"/>
          <w:shd w:val="clear" w:color="auto" w:fill="FFFFFF"/>
        </w:rPr>
        <w:t xml:space="preserve">, C., &amp; </w:t>
      </w:r>
      <w:proofErr w:type="spellStart"/>
      <w:r w:rsidRPr="00E24B67">
        <w:rPr>
          <w:color w:val="212121"/>
          <w:sz w:val="24"/>
          <w:szCs w:val="24"/>
          <w:shd w:val="clear" w:color="auto" w:fill="FFFFFF"/>
        </w:rPr>
        <w:t>Revuz</w:t>
      </w:r>
      <w:proofErr w:type="spellEnd"/>
      <w:r w:rsidRPr="00E24B67">
        <w:rPr>
          <w:color w:val="212121"/>
          <w:sz w:val="24"/>
          <w:szCs w:val="24"/>
          <w:shd w:val="clear" w:color="auto" w:fill="FFFFFF"/>
        </w:rPr>
        <w:t>, J. (2009). Absence of efficacy of oral isotretinoin in hidradenitis suppurativa: a retrospective study based on patients' outcome assessment. </w:t>
      </w:r>
      <w:proofErr w:type="spellStart"/>
      <w:r w:rsidRPr="000D7976">
        <w:rPr>
          <w:i/>
          <w:iCs/>
          <w:color w:val="212121"/>
          <w:sz w:val="24"/>
          <w:szCs w:val="24"/>
          <w:shd w:val="clear" w:color="auto" w:fill="FFFFFF"/>
          <w:lang w:val="fr-FR"/>
        </w:rPr>
        <w:t>Dermatology</w:t>
      </w:r>
      <w:proofErr w:type="spellEnd"/>
      <w:r w:rsidRPr="000D7976">
        <w:rPr>
          <w:i/>
          <w:iCs/>
          <w:color w:val="212121"/>
          <w:sz w:val="24"/>
          <w:szCs w:val="24"/>
          <w:shd w:val="clear" w:color="auto" w:fill="FFFFFF"/>
          <w:lang w:val="fr-FR"/>
        </w:rPr>
        <w:t xml:space="preserve"> (Basel, </w:t>
      </w:r>
      <w:proofErr w:type="spellStart"/>
      <w:r w:rsidRPr="000D7976">
        <w:rPr>
          <w:i/>
          <w:iCs/>
          <w:color w:val="212121"/>
          <w:sz w:val="24"/>
          <w:szCs w:val="24"/>
          <w:shd w:val="clear" w:color="auto" w:fill="FFFFFF"/>
          <w:lang w:val="fr-FR"/>
        </w:rPr>
        <w:t>Switzerland</w:t>
      </w:r>
      <w:proofErr w:type="spellEnd"/>
      <w:r w:rsidRPr="000D7976">
        <w:rPr>
          <w:i/>
          <w:iCs/>
          <w:color w:val="212121"/>
          <w:sz w:val="24"/>
          <w:szCs w:val="24"/>
          <w:shd w:val="clear" w:color="auto" w:fill="FFFFFF"/>
          <w:lang w:val="fr-FR"/>
        </w:rPr>
        <w:t>)</w:t>
      </w:r>
      <w:r w:rsidRPr="000D7976">
        <w:rPr>
          <w:color w:val="212121"/>
          <w:sz w:val="24"/>
          <w:szCs w:val="24"/>
          <w:shd w:val="clear" w:color="auto" w:fill="FFFFFF"/>
          <w:lang w:val="fr-FR"/>
        </w:rPr>
        <w:t>, </w:t>
      </w:r>
      <w:r w:rsidRPr="000D7976">
        <w:rPr>
          <w:i/>
          <w:iCs/>
          <w:color w:val="212121"/>
          <w:sz w:val="24"/>
          <w:szCs w:val="24"/>
          <w:shd w:val="clear" w:color="auto" w:fill="FFFFFF"/>
          <w:lang w:val="fr-FR"/>
        </w:rPr>
        <w:t>218</w:t>
      </w:r>
      <w:r w:rsidRPr="000D7976">
        <w:rPr>
          <w:color w:val="212121"/>
          <w:sz w:val="24"/>
          <w:szCs w:val="24"/>
          <w:shd w:val="clear" w:color="auto" w:fill="FFFFFF"/>
          <w:lang w:val="fr-FR"/>
        </w:rPr>
        <w:t xml:space="preserve">(2), 134–135. </w:t>
      </w:r>
      <w:hyperlink r:id="rId23" w:history="1">
        <w:r w:rsidRPr="000D7976">
          <w:rPr>
            <w:rStyle w:val="Hyperlink"/>
            <w:sz w:val="24"/>
            <w:szCs w:val="24"/>
            <w:shd w:val="clear" w:color="auto" w:fill="FFFFFF"/>
            <w:lang w:val="fr-FR"/>
          </w:rPr>
          <w:t>https://doi.org/10.1159/000182261</w:t>
        </w:r>
      </w:hyperlink>
      <w:r w:rsidRPr="000D7976">
        <w:rPr>
          <w:color w:val="212121"/>
          <w:sz w:val="24"/>
          <w:szCs w:val="24"/>
          <w:shd w:val="clear" w:color="auto" w:fill="FFFFFF"/>
          <w:lang w:val="fr-FR"/>
        </w:rPr>
        <w:t xml:space="preserve"> </w:t>
      </w:r>
    </w:p>
    <w:p w:rsidR="00E24B67" w:rsidRPr="00E24B67" w:rsidRDefault="00E24B67" w:rsidP="001D1D16">
      <w:pPr>
        <w:pStyle w:val="ReferenceEntry"/>
        <w:jc w:val="both"/>
        <w:rPr>
          <w:sz w:val="24"/>
          <w:szCs w:val="24"/>
        </w:rPr>
      </w:pPr>
      <w:proofErr w:type="spellStart"/>
      <w:r w:rsidRPr="000D7976">
        <w:rPr>
          <w:sz w:val="24"/>
          <w:szCs w:val="24"/>
          <w:lang w:val="fr-FR"/>
        </w:rPr>
        <w:t>Touhouche</w:t>
      </w:r>
      <w:proofErr w:type="spellEnd"/>
      <w:r w:rsidRPr="000D7976">
        <w:rPr>
          <w:sz w:val="24"/>
          <w:szCs w:val="24"/>
          <w:lang w:val="fr-FR"/>
        </w:rPr>
        <w:t xml:space="preserve">, A. T., Chaput, B., Rouquet, R. M., </w:t>
      </w:r>
      <w:proofErr w:type="spellStart"/>
      <w:r w:rsidRPr="000D7976">
        <w:rPr>
          <w:sz w:val="24"/>
          <w:szCs w:val="24"/>
          <w:lang w:val="fr-FR"/>
        </w:rPr>
        <w:t>Montastier</w:t>
      </w:r>
      <w:proofErr w:type="spellEnd"/>
      <w:r w:rsidRPr="000D7976">
        <w:rPr>
          <w:sz w:val="24"/>
          <w:szCs w:val="24"/>
          <w:lang w:val="fr-FR"/>
        </w:rPr>
        <w:t xml:space="preserve">, E., Caron, P., Gall, Y., </w:t>
      </w:r>
      <w:proofErr w:type="spellStart"/>
      <w:r w:rsidRPr="000D7976">
        <w:rPr>
          <w:sz w:val="24"/>
          <w:szCs w:val="24"/>
          <w:lang w:val="fr-FR"/>
        </w:rPr>
        <w:t>Aquilina</w:t>
      </w:r>
      <w:proofErr w:type="spellEnd"/>
      <w:r w:rsidRPr="000D7976">
        <w:rPr>
          <w:sz w:val="24"/>
          <w:szCs w:val="24"/>
          <w:lang w:val="fr-FR"/>
        </w:rPr>
        <w:t xml:space="preserve">, C., </w:t>
      </w:r>
      <w:proofErr w:type="spellStart"/>
      <w:r w:rsidRPr="000D7976">
        <w:rPr>
          <w:sz w:val="24"/>
          <w:szCs w:val="24"/>
          <w:lang w:val="fr-FR"/>
        </w:rPr>
        <w:t>Boulinguez</w:t>
      </w:r>
      <w:proofErr w:type="spellEnd"/>
      <w:r w:rsidRPr="000D7976">
        <w:rPr>
          <w:sz w:val="24"/>
          <w:szCs w:val="24"/>
          <w:lang w:val="fr-FR"/>
        </w:rPr>
        <w:t xml:space="preserve">, S., Marguery, M. C., Giordano-Labadie, F., </w:t>
      </w:r>
      <w:proofErr w:type="spellStart"/>
      <w:r w:rsidRPr="000D7976">
        <w:rPr>
          <w:sz w:val="24"/>
          <w:szCs w:val="24"/>
          <w:lang w:val="fr-FR"/>
        </w:rPr>
        <w:t>Mazereeuw</w:t>
      </w:r>
      <w:proofErr w:type="spellEnd"/>
      <w:r w:rsidRPr="000D7976">
        <w:rPr>
          <w:sz w:val="24"/>
          <w:szCs w:val="24"/>
          <w:lang w:val="fr-FR"/>
        </w:rPr>
        <w:t xml:space="preserve">, J., Paul, C., &amp; </w:t>
      </w:r>
      <w:proofErr w:type="spellStart"/>
      <w:r w:rsidRPr="000D7976">
        <w:rPr>
          <w:sz w:val="24"/>
          <w:szCs w:val="24"/>
          <w:lang w:val="fr-FR"/>
        </w:rPr>
        <w:t>Konstantinou</w:t>
      </w:r>
      <w:proofErr w:type="spellEnd"/>
      <w:r w:rsidRPr="000D7976">
        <w:rPr>
          <w:sz w:val="24"/>
          <w:szCs w:val="24"/>
          <w:lang w:val="fr-FR"/>
        </w:rPr>
        <w:t xml:space="preserve">, M. P. (2020). </w:t>
      </w:r>
      <w:r w:rsidRPr="00E24B67">
        <w:rPr>
          <w:sz w:val="24"/>
          <w:szCs w:val="24"/>
        </w:rPr>
        <w:t xml:space="preserve">Integrated multidisciplinary approach to hidradenitis suppurativa in clinical practice. </w:t>
      </w:r>
      <w:r w:rsidRPr="00E24B67">
        <w:rPr>
          <w:i/>
          <w:sz w:val="24"/>
          <w:szCs w:val="24"/>
        </w:rPr>
        <w:t>International Journal of Women's Dermatology</w:t>
      </w:r>
      <w:r w:rsidRPr="00E24B67">
        <w:rPr>
          <w:sz w:val="24"/>
          <w:szCs w:val="24"/>
        </w:rPr>
        <w:t xml:space="preserve">, </w:t>
      </w:r>
      <w:r w:rsidRPr="00E24B67">
        <w:rPr>
          <w:i/>
          <w:sz w:val="24"/>
          <w:szCs w:val="24"/>
        </w:rPr>
        <w:t>6(3)</w:t>
      </w:r>
      <w:r w:rsidRPr="00E24B67">
        <w:rPr>
          <w:sz w:val="24"/>
          <w:szCs w:val="24"/>
        </w:rPr>
        <w:t>, 164-168. https://doi.org/10.1016/j.ijwd.2020.02.006</w:t>
      </w:r>
    </w:p>
    <w:p w:rsidR="00E24B67" w:rsidRPr="00E24B67" w:rsidRDefault="00E24B67" w:rsidP="001D1D16">
      <w:pPr>
        <w:pStyle w:val="ReferenceEntry"/>
        <w:jc w:val="both"/>
        <w:rPr>
          <w:sz w:val="24"/>
          <w:szCs w:val="24"/>
        </w:rPr>
      </w:pPr>
      <w:proofErr w:type="spellStart"/>
      <w:r w:rsidRPr="00E24B67">
        <w:rPr>
          <w:sz w:val="24"/>
          <w:szCs w:val="24"/>
        </w:rPr>
        <w:t>Tsentemeidou</w:t>
      </w:r>
      <w:proofErr w:type="spellEnd"/>
      <w:r w:rsidRPr="00E24B67">
        <w:rPr>
          <w:sz w:val="24"/>
          <w:szCs w:val="24"/>
        </w:rPr>
        <w:t xml:space="preserve">, A., Vakirlis, E., Bakirtzi, K., Chatzi-Sotiriou, T., Lallas, A., Kiritsi, D., &amp; Sotiriou, E. (2024). Diagnostic delay in hidradenitis suppurativa: A systematic review </w:t>
      </w:r>
      <w:r w:rsidRPr="00E24B67">
        <w:rPr>
          <w:sz w:val="24"/>
          <w:szCs w:val="24"/>
        </w:rPr>
        <w:lastRenderedPageBreak/>
        <w:t xml:space="preserve">and novel data from a Greek cohort. </w:t>
      </w:r>
      <w:r w:rsidRPr="00E24B67">
        <w:rPr>
          <w:i/>
          <w:sz w:val="24"/>
          <w:szCs w:val="24"/>
        </w:rPr>
        <w:t>Australasian Journal of Dermatology</w:t>
      </w:r>
      <w:r w:rsidRPr="00E24B67">
        <w:rPr>
          <w:sz w:val="24"/>
          <w:szCs w:val="24"/>
        </w:rPr>
        <w:t xml:space="preserve">, </w:t>
      </w:r>
      <w:r w:rsidRPr="00E24B67">
        <w:rPr>
          <w:i/>
          <w:sz w:val="24"/>
          <w:szCs w:val="24"/>
        </w:rPr>
        <w:t>65(4)</w:t>
      </w:r>
      <w:r w:rsidRPr="00E24B67">
        <w:rPr>
          <w:sz w:val="24"/>
          <w:szCs w:val="24"/>
        </w:rPr>
        <w:t>, 378-380. https://doi.org/10.1111/ajd.14247</w:t>
      </w:r>
    </w:p>
    <w:p w:rsidR="00E24B67" w:rsidRPr="00E24B67" w:rsidRDefault="00E24B67" w:rsidP="001D1D16">
      <w:pPr>
        <w:pStyle w:val="ReferenceEntry"/>
        <w:jc w:val="both"/>
        <w:rPr>
          <w:color w:val="212121"/>
          <w:sz w:val="24"/>
          <w:szCs w:val="24"/>
          <w:shd w:val="clear" w:color="auto" w:fill="FFFFFF"/>
        </w:rPr>
      </w:pPr>
      <w:r w:rsidRPr="00E24B67">
        <w:rPr>
          <w:color w:val="212121"/>
          <w:sz w:val="24"/>
          <w:szCs w:val="24"/>
          <w:shd w:val="clear" w:color="auto" w:fill="FFFFFF"/>
        </w:rPr>
        <w:t xml:space="preserve">van der Zee, H. H., Boer, J., </w:t>
      </w:r>
      <w:proofErr w:type="spellStart"/>
      <w:r w:rsidRPr="00E24B67">
        <w:rPr>
          <w:color w:val="212121"/>
          <w:sz w:val="24"/>
          <w:szCs w:val="24"/>
          <w:shd w:val="clear" w:color="auto" w:fill="FFFFFF"/>
        </w:rPr>
        <w:t>Prens</w:t>
      </w:r>
      <w:proofErr w:type="spellEnd"/>
      <w:r w:rsidRPr="00E24B67">
        <w:rPr>
          <w:color w:val="212121"/>
          <w:sz w:val="24"/>
          <w:szCs w:val="24"/>
          <w:shd w:val="clear" w:color="auto" w:fill="FFFFFF"/>
        </w:rPr>
        <w:t xml:space="preserve">, E. P., &amp; </w:t>
      </w:r>
      <w:proofErr w:type="spellStart"/>
      <w:r w:rsidRPr="00E24B67">
        <w:rPr>
          <w:color w:val="212121"/>
          <w:sz w:val="24"/>
          <w:szCs w:val="24"/>
          <w:shd w:val="clear" w:color="auto" w:fill="FFFFFF"/>
        </w:rPr>
        <w:t>Jemec</w:t>
      </w:r>
      <w:proofErr w:type="spellEnd"/>
      <w:r w:rsidRPr="00E24B67">
        <w:rPr>
          <w:color w:val="212121"/>
          <w:sz w:val="24"/>
          <w:szCs w:val="24"/>
          <w:shd w:val="clear" w:color="auto" w:fill="FFFFFF"/>
        </w:rPr>
        <w:t>, G. B. (2009). The effect of combined treatment with oral clindamycin and oral rifampicin in patients with hidradenitis suppurativa. </w:t>
      </w:r>
      <w:r w:rsidRPr="00E24B67">
        <w:rPr>
          <w:i/>
          <w:iCs/>
          <w:color w:val="212121"/>
          <w:sz w:val="24"/>
          <w:szCs w:val="24"/>
          <w:shd w:val="clear" w:color="auto" w:fill="FFFFFF"/>
        </w:rPr>
        <w:t>Dermatology (Basel, Switzerland)</w:t>
      </w:r>
      <w:r w:rsidRPr="00E24B67">
        <w:rPr>
          <w:color w:val="212121"/>
          <w:sz w:val="24"/>
          <w:szCs w:val="24"/>
          <w:shd w:val="clear" w:color="auto" w:fill="FFFFFF"/>
        </w:rPr>
        <w:t>, </w:t>
      </w:r>
      <w:r w:rsidRPr="00E24B67">
        <w:rPr>
          <w:i/>
          <w:iCs/>
          <w:color w:val="212121"/>
          <w:sz w:val="24"/>
          <w:szCs w:val="24"/>
          <w:shd w:val="clear" w:color="auto" w:fill="FFFFFF"/>
        </w:rPr>
        <w:t>219</w:t>
      </w:r>
      <w:r w:rsidRPr="00E24B67">
        <w:rPr>
          <w:color w:val="212121"/>
          <w:sz w:val="24"/>
          <w:szCs w:val="24"/>
          <w:shd w:val="clear" w:color="auto" w:fill="FFFFFF"/>
        </w:rPr>
        <w:t xml:space="preserve">(2), 143–147. </w:t>
      </w:r>
      <w:hyperlink r:id="rId24" w:history="1">
        <w:r w:rsidRPr="00E24B67">
          <w:rPr>
            <w:rStyle w:val="Hyperlink"/>
            <w:sz w:val="24"/>
            <w:szCs w:val="24"/>
            <w:shd w:val="clear" w:color="auto" w:fill="FFFFFF"/>
          </w:rPr>
          <w:t>https://doi.org/10.1159/000228337</w:t>
        </w:r>
      </w:hyperlink>
      <w:r w:rsidRPr="00E24B67">
        <w:rPr>
          <w:color w:val="212121"/>
          <w:sz w:val="24"/>
          <w:szCs w:val="24"/>
          <w:shd w:val="clear" w:color="auto" w:fill="FFFFFF"/>
        </w:rPr>
        <w:t xml:space="preserve"> </w:t>
      </w:r>
    </w:p>
    <w:p w:rsidR="00E24B67" w:rsidRPr="00E24B67" w:rsidRDefault="00E24B67" w:rsidP="001D1D16">
      <w:pPr>
        <w:pStyle w:val="ReferenceEntry"/>
        <w:jc w:val="both"/>
        <w:rPr>
          <w:color w:val="212121"/>
          <w:sz w:val="24"/>
          <w:szCs w:val="24"/>
          <w:shd w:val="clear" w:color="auto" w:fill="FFFFFF"/>
        </w:rPr>
      </w:pPr>
      <w:r w:rsidRPr="00E24B67">
        <w:rPr>
          <w:color w:val="212121"/>
          <w:sz w:val="24"/>
          <w:szCs w:val="24"/>
          <w:shd w:val="clear" w:color="auto" w:fill="FFFFFF"/>
        </w:rPr>
        <w:t xml:space="preserve">van </w:t>
      </w:r>
      <w:proofErr w:type="spellStart"/>
      <w:r w:rsidRPr="00E24B67">
        <w:rPr>
          <w:color w:val="212121"/>
          <w:sz w:val="24"/>
          <w:szCs w:val="24"/>
          <w:shd w:val="clear" w:color="auto" w:fill="FFFFFF"/>
        </w:rPr>
        <w:t>Straalen</w:t>
      </w:r>
      <w:proofErr w:type="spellEnd"/>
      <w:r w:rsidRPr="00E24B67">
        <w:rPr>
          <w:color w:val="212121"/>
          <w:sz w:val="24"/>
          <w:szCs w:val="24"/>
          <w:shd w:val="clear" w:color="auto" w:fill="FFFFFF"/>
        </w:rPr>
        <w:t xml:space="preserve">, K. R., </w:t>
      </w:r>
      <w:proofErr w:type="spellStart"/>
      <w:r w:rsidRPr="00E24B67">
        <w:rPr>
          <w:color w:val="212121"/>
          <w:sz w:val="24"/>
          <w:szCs w:val="24"/>
          <w:shd w:val="clear" w:color="auto" w:fill="FFFFFF"/>
        </w:rPr>
        <w:t>Tzellos</w:t>
      </w:r>
      <w:proofErr w:type="spellEnd"/>
      <w:r w:rsidRPr="00E24B67">
        <w:rPr>
          <w:color w:val="212121"/>
          <w:sz w:val="24"/>
          <w:szCs w:val="24"/>
          <w:shd w:val="clear" w:color="auto" w:fill="FFFFFF"/>
        </w:rPr>
        <w:t xml:space="preserve">, T., </w:t>
      </w:r>
      <w:proofErr w:type="spellStart"/>
      <w:r w:rsidRPr="00E24B67">
        <w:rPr>
          <w:color w:val="212121"/>
          <w:sz w:val="24"/>
          <w:szCs w:val="24"/>
          <w:shd w:val="clear" w:color="auto" w:fill="FFFFFF"/>
        </w:rPr>
        <w:t>Guillem</w:t>
      </w:r>
      <w:proofErr w:type="spellEnd"/>
      <w:r w:rsidRPr="00E24B67">
        <w:rPr>
          <w:color w:val="212121"/>
          <w:sz w:val="24"/>
          <w:szCs w:val="24"/>
          <w:shd w:val="clear" w:color="auto" w:fill="FFFFFF"/>
        </w:rPr>
        <w:t xml:space="preserve">, P., </w:t>
      </w:r>
      <w:proofErr w:type="spellStart"/>
      <w:r w:rsidRPr="00E24B67">
        <w:rPr>
          <w:color w:val="212121"/>
          <w:sz w:val="24"/>
          <w:szCs w:val="24"/>
          <w:shd w:val="clear" w:color="auto" w:fill="FFFFFF"/>
        </w:rPr>
        <w:t>Benhadou</w:t>
      </w:r>
      <w:proofErr w:type="spellEnd"/>
      <w:r w:rsidRPr="00E24B67">
        <w:rPr>
          <w:color w:val="212121"/>
          <w:sz w:val="24"/>
          <w:szCs w:val="24"/>
          <w:shd w:val="clear" w:color="auto" w:fill="FFFFFF"/>
        </w:rPr>
        <w:t>, F., Cuenca-</w:t>
      </w:r>
      <w:proofErr w:type="spellStart"/>
      <w:r w:rsidRPr="00E24B67">
        <w:rPr>
          <w:color w:val="212121"/>
          <w:sz w:val="24"/>
          <w:szCs w:val="24"/>
          <w:shd w:val="clear" w:color="auto" w:fill="FFFFFF"/>
        </w:rPr>
        <w:t>Barrales</w:t>
      </w:r>
      <w:proofErr w:type="spellEnd"/>
      <w:r w:rsidRPr="00E24B67">
        <w:rPr>
          <w:color w:val="212121"/>
          <w:sz w:val="24"/>
          <w:szCs w:val="24"/>
          <w:shd w:val="clear" w:color="auto" w:fill="FFFFFF"/>
        </w:rPr>
        <w:t xml:space="preserve">, C., </w:t>
      </w:r>
      <w:proofErr w:type="spellStart"/>
      <w:r w:rsidRPr="00E24B67">
        <w:rPr>
          <w:color w:val="212121"/>
          <w:sz w:val="24"/>
          <w:szCs w:val="24"/>
          <w:shd w:val="clear" w:color="auto" w:fill="FFFFFF"/>
        </w:rPr>
        <w:t>Daxhelet</w:t>
      </w:r>
      <w:proofErr w:type="spellEnd"/>
      <w:r w:rsidRPr="00E24B67">
        <w:rPr>
          <w:color w:val="212121"/>
          <w:sz w:val="24"/>
          <w:szCs w:val="24"/>
          <w:shd w:val="clear" w:color="auto" w:fill="FFFFFF"/>
        </w:rPr>
        <w:t xml:space="preserve">, M., Daoud, M., </w:t>
      </w:r>
      <w:proofErr w:type="spellStart"/>
      <w:r w:rsidRPr="00E24B67">
        <w:rPr>
          <w:color w:val="212121"/>
          <w:sz w:val="24"/>
          <w:szCs w:val="24"/>
          <w:shd w:val="clear" w:color="auto" w:fill="FFFFFF"/>
        </w:rPr>
        <w:t>Efthymiou</w:t>
      </w:r>
      <w:proofErr w:type="spellEnd"/>
      <w:r w:rsidRPr="00E24B67">
        <w:rPr>
          <w:color w:val="212121"/>
          <w:sz w:val="24"/>
          <w:szCs w:val="24"/>
          <w:shd w:val="clear" w:color="auto" w:fill="FFFFFF"/>
        </w:rPr>
        <w:t xml:space="preserve">, O., </w:t>
      </w:r>
      <w:proofErr w:type="spellStart"/>
      <w:r w:rsidRPr="00E24B67">
        <w:rPr>
          <w:color w:val="212121"/>
          <w:sz w:val="24"/>
          <w:szCs w:val="24"/>
          <w:shd w:val="clear" w:color="auto" w:fill="FFFFFF"/>
        </w:rPr>
        <w:t>Giamarellos-Bourboulis</w:t>
      </w:r>
      <w:proofErr w:type="spellEnd"/>
      <w:r w:rsidRPr="00E24B67">
        <w:rPr>
          <w:color w:val="212121"/>
          <w:sz w:val="24"/>
          <w:szCs w:val="24"/>
          <w:shd w:val="clear" w:color="auto" w:fill="FFFFFF"/>
        </w:rPr>
        <w:t xml:space="preserve">, E. J., </w:t>
      </w:r>
      <w:proofErr w:type="spellStart"/>
      <w:r w:rsidRPr="00E24B67">
        <w:rPr>
          <w:color w:val="212121"/>
          <w:sz w:val="24"/>
          <w:szCs w:val="24"/>
          <w:shd w:val="clear" w:color="auto" w:fill="FFFFFF"/>
        </w:rPr>
        <w:t>Jemec</w:t>
      </w:r>
      <w:proofErr w:type="spellEnd"/>
      <w:r w:rsidRPr="00E24B67">
        <w:rPr>
          <w:color w:val="212121"/>
          <w:sz w:val="24"/>
          <w:szCs w:val="24"/>
          <w:shd w:val="clear" w:color="auto" w:fill="FFFFFF"/>
        </w:rPr>
        <w:t xml:space="preserve">, G. B. E., </w:t>
      </w:r>
      <w:proofErr w:type="spellStart"/>
      <w:r w:rsidRPr="00E24B67">
        <w:rPr>
          <w:color w:val="212121"/>
          <w:sz w:val="24"/>
          <w:szCs w:val="24"/>
          <w:shd w:val="clear" w:color="auto" w:fill="FFFFFF"/>
        </w:rPr>
        <w:t>Katoulis</w:t>
      </w:r>
      <w:proofErr w:type="spellEnd"/>
      <w:r w:rsidRPr="00E24B67">
        <w:rPr>
          <w:color w:val="212121"/>
          <w:sz w:val="24"/>
          <w:szCs w:val="24"/>
          <w:shd w:val="clear" w:color="auto" w:fill="FFFFFF"/>
        </w:rPr>
        <w:t xml:space="preserve">, A. C., Koenig, A., </w:t>
      </w:r>
      <w:proofErr w:type="spellStart"/>
      <w:r w:rsidRPr="00E24B67">
        <w:rPr>
          <w:color w:val="212121"/>
          <w:sz w:val="24"/>
          <w:szCs w:val="24"/>
          <w:shd w:val="clear" w:color="auto" w:fill="FFFFFF"/>
        </w:rPr>
        <w:t>Lazaridou</w:t>
      </w:r>
      <w:proofErr w:type="spellEnd"/>
      <w:r w:rsidRPr="00E24B67">
        <w:rPr>
          <w:color w:val="212121"/>
          <w:sz w:val="24"/>
          <w:szCs w:val="24"/>
          <w:shd w:val="clear" w:color="auto" w:fill="FFFFFF"/>
        </w:rPr>
        <w:t xml:space="preserve">, E., Marzano, A. V., </w:t>
      </w:r>
      <w:proofErr w:type="spellStart"/>
      <w:r w:rsidRPr="00E24B67">
        <w:rPr>
          <w:color w:val="212121"/>
          <w:sz w:val="24"/>
          <w:szCs w:val="24"/>
          <w:shd w:val="clear" w:color="auto" w:fill="FFFFFF"/>
        </w:rPr>
        <w:t>Matusiak</w:t>
      </w:r>
      <w:proofErr w:type="spellEnd"/>
      <w:r w:rsidRPr="00E24B67">
        <w:rPr>
          <w:color w:val="212121"/>
          <w:sz w:val="24"/>
          <w:szCs w:val="24"/>
          <w:shd w:val="clear" w:color="auto" w:fill="FFFFFF"/>
        </w:rPr>
        <w:t xml:space="preserve">, Ł., Molina-Leyva, A., </w:t>
      </w:r>
      <w:proofErr w:type="spellStart"/>
      <w:r w:rsidRPr="00E24B67">
        <w:rPr>
          <w:color w:val="212121"/>
          <w:sz w:val="24"/>
          <w:szCs w:val="24"/>
          <w:shd w:val="clear" w:color="auto" w:fill="FFFFFF"/>
        </w:rPr>
        <w:t>Moltrasio</w:t>
      </w:r>
      <w:proofErr w:type="spellEnd"/>
      <w:r w:rsidRPr="00E24B67">
        <w:rPr>
          <w:color w:val="212121"/>
          <w:sz w:val="24"/>
          <w:szCs w:val="24"/>
          <w:shd w:val="clear" w:color="auto" w:fill="FFFFFF"/>
        </w:rPr>
        <w:t xml:space="preserve">, C., Pinter, A., Potenza, C., </w:t>
      </w:r>
      <w:proofErr w:type="spellStart"/>
      <w:r w:rsidRPr="00E24B67">
        <w:rPr>
          <w:color w:val="212121"/>
          <w:sz w:val="24"/>
          <w:szCs w:val="24"/>
          <w:shd w:val="clear" w:color="auto" w:fill="FFFFFF"/>
        </w:rPr>
        <w:t>Romaní</w:t>
      </w:r>
      <w:proofErr w:type="spellEnd"/>
      <w:r w:rsidRPr="00E24B67">
        <w:rPr>
          <w:color w:val="212121"/>
          <w:sz w:val="24"/>
          <w:szCs w:val="24"/>
          <w:shd w:val="clear" w:color="auto" w:fill="FFFFFF"/>
        </w:rPr>
        <w:t>, J., … van der Zee, H. H. (2021). The efficacy and tolerability of tetracyclines and clindamycin plus rifampicin for the treatment of hidradenitis suppurativa: Results of a prospective European cohort study. </w:t>
      </w:r>
      <w:r w:rsidRPr="00E24B67">
        <w:rPr>
          <w:i/>
          <w:iCs/>
          <w:color w:val="212121"/>
          <w:sz w:val="24"/>
          <w:szCs w:val="24"/>
          <w:shd w:val="clear" w:color="auto" w:fill="FFFFFF"/>
        </w:rPr>
        <w:t>Journal of the American Academy of Dermatology</w:t>
      </w:r>
      <w:r w:rsidRPr="00E24B67">
        <w:rPr>
          <w:color w:val="212121"/>
          <w:sz w:val="24"/>
          <w:szCs w:val="24"/>
          <w:shd w:val="clear" w:color="auto" w:fill="FFFFFF"/>
        </w:rPr>
        <w:t>, </w:t>
      </w:r>
      <w:r w:rsidRPr="00E24B67">
        <w:rPr>
          <w:i/>
          <w:iCs/>
          <w:color w:val="212121"/>
          <w:sz w:val="24"/>
          <w:szCs w:val="24"/>
          <w:shd w:val="clear" w:color="auto" w:fill="FFFFFF"/>
        </w:rPr>
        <w:t>85</w:t>
      </w:r>
      <w:r w:rsidRPr="00E24B67">
        <w:rPr>
          <w:color w:val="212121"/>
          <w:sz w:val="24"/>
          <w:szCs w:val="24"/>
          <w:shd w:val="clear" w:color="auto" w:fill="FFFFFF"/>
        </w:rPr>
        <w:t xml:space="preserve">(2), 369–378. </w:t>
      </w:r>
      <w:hyperlink r:id="rId25" w:history="1">
        <w:r w:rsidRPr="00E24B67">
          <w:rPr>
            <w:rStyle w:val="Hyperlink"/>
            <w:sz w:val="24"/>
            <w:szCs w:val="24"/>
            <w:shd w:val="clear" w:color="auto" w:fill="FFFFFF"/>
          </w:rPr>
          <w:t>https://doi.org/10.1016/j.jaad.2020.12.089</w:t>
        </w:r>
      </w:hyperlink>
    </w:p>
    <w:p w:rsidR="00E24B67" w:rsidRPr="000D7976" w:rsidRDefault="00E24B67" w:rsidP="001D1D16">
      <w:pPr>
        <w:pStyle w:val="ReferenceEntry"/>
        <w:jc w:val="both"/>
        <w:rPr>
          <w:color w:val="212121"/>
          <w:sz w:val="24"/>
          <w:szCs w:val="24"/>
          <w:shd w:val="clear" w:color="auto" w:fill="FFFFFF"/>
          <w:lang w:val="fr-FR"/>
        </w:rPr>
      </w:pPr>
      <w:proofErr w:type="spellStart"/>
      <w:r w:rsidRPr="00E24B67">
        <w:rPr>
          <w:color w:val="212121"/>
          <w:sz w:val="24"/>
          <w:szCs w:val="24"/>
          <w:shd w:val="clear" w:color="auto" w:fill="FFFFFF"/>
        </w:rPr>
        <w:t>Verdolini</w:t>
      </w:r>
      <w:proofErr w:type="spellEnd"/>
      <w:r w:rsidRPr="00E24B67">
        <w:rPr>
          <w:color w:val="212121"/>
          <w:sz w:val="24"/>
          <w:szCs w:val="24"/>
          <w:shd w:val="clear" w:color="auto" w:fill="FFFFFF"/>
        </w:rPr>
        <w:t xml:space="preserve">, R., Clayton, N., Smith, A., </w:t>
      </w:r>
      <w:proofErr w:type="spellStart"/>
      <w:r w:rsidRPr="00E24B67">
        <w:rPr>
          <w:color w:val="212121"/>
          <w:sz w:val="24"/>
          <w:szCs w:val="24"/>
          <w:shd w:val="clear" w:color="auto" w:fill="FFFFFF"/>
        </w:rPr>
        <w:t>Alwash</w:t>
      </w:r>
      <w:proofErr w:type="spellEnd"/>
      <w:r w:rsidRPr="00E24B67">
        <w:rPr>
          <w:color w:val="212121"/>
          <w:sz w:val="24"/>
          <w:szCs w:val="24"/>
          <w:shd w:val="clear" w:color="auto" w:fill="FFFFFF"/>
        </w:rPr>
        <w:t xml:space="preserve">, N., &amp; </w:t>
      </w:r>
      <w:proofErr w:type="spellStart"/>
      <w:r w:rsidRPr="00E24B67">
        <w:rPr>
          <w:color w:val="212121"/>
          <w:sz w:val="24"/>
          <w:szCs w:val="24"/>
          <w:shd w:val="clear" w:color="auto" w:fill="FFFFFF"/>
        </w:rPr>
        <w:t>Mannello</w:t>
      </w:r>
      <w:proofErr w:type="spellEnd"/>
      <w:r w:rsidRPr="00E24B67">
        <w:rPr>
          <w:color w:val="212121"/>
          <w:sz w:val="24"/>
          <w:szCs w:val="24"/>
          <w:shd w:val="clear" w:color="auto" w:fill="FFFFFF"/>
        </w:rPr>
        <w:t>, B. (2013). Metformin for the treatment of hidradenitis suppurativa: a little help along the way. </w:t>
      </w:r>
      <w:r w:rsidRPr="00E24B67">
        <w:rPr>
          <w:i/>
          <w:iCs/>
          <w:color w:val="212121"/>
          <w:sz w:val="24"/>
          <w:szCs w:val="24"/>
          <w:shd w:val="clear" w:color="auto" w:fill="FFFFFF"/>
        </w:rPr>
        <w:t xml:space="preserve">Journal of the European Academy of Dermatology and </w:t>
      </w:r>
      <w:proofErr w:type="gramStart"/>
      <w:r w:rsidRPr="00E24B67">
        <w:rPr>
          <w:i/>
          <w:iCs/>
          <w:color w:val="212121"/>
          <w:sz w:val="24"/>
          <w:szCs w:val="24"/>
          <w:shd w:val="clear" w:color="auto" w:fill="FFFFFF"/>
        </w:rPr>
        <w:t>Venereology :</w:t>
      </w:r>
      <w:proofErr w:type="gramEnd"/>
      <w:r w:rsidRPr="00E24B67">
        <w:rPr>
          <w:i/>
          <w:iCs/>
          <w:color w:val="212121"/>
          <w:sz w:val="24"/>
          <w:szCs w:val="24"/>
          <w:shd w:val="clear" w:color="auto" w:fill="FFFFFF"/>
        </w:rPr>
        <w:t xml:space="preserve"> JEADV</w:t>
      </w:r>
      <w:r w:rsidRPr="00E24B67">
        <w:rPr>
          <w:color w:val="212121"/>
          <w:sz w:val="24"/>
          <w:szCs w:val="24"/>
          <w:shd w:val="clear" w:color="auto" w:fill="FFFFFF"/>
        </w:rPr>
        <w:t>, </w:t>
      </w:r>
      <w:r w:rsidRPr="00E24B67">
        <w:rPr>
          <w:i/>
          <w:iCs/>
          <w:color w:val="212121"/>
          <w:sz w:val="24"/>
          <w:szCs w:val="24"/>
          <w:shd w:val="clear" w:color="auto" w:fill="FFFFFF"/>
        </w:rPr>
        <w:t>27</w:t>
      </w:r>
      <w:r w:rsidRPr="00E24B67">
        <w:rPr>
          <w:color w:val="212121"/>
          <w:sz w:val="24"/>
          <w:szCs w:val="24"/>
          <w:shd w:val="clear" w:color="auto" w:fill="FFFFFF"/>
        </w:rPr>
        <w:t xml:space="preserve">(9), 1101–1108. </w:t>
      </w:r>
      <w:hyperlink r:id="rId26" w:history="1">
        <w:r w:rsidRPr="000D7976">
          <w:rPr>
            <w:rStyle w:val="Hyperlink"/>
            <w:sz w:val="24"/>
            <w:szCs w:val="24"/>
            <w:shd w:val="clear" w:color="auto" w:fill="FFFFFF"/>
            <w:lang w:val="fr-FR"/>
          </w:rPr>
          <w:t>https://doi.org/10.1111/j.1468-3083.2012.04668.x</w:t>
        </w:r>
      </w:hyperlink>
    </w:p>
    <w:p w:rsidR="00E24B67" w:rsidRPr="00E24B67" w:rsidRDefault="00E24B67" w:rsidP="001D1D16">
      <w:pPr>
        <w:pStyle w:val="ReferenceEntry"/>
        <w:jc w:val="both"/>
        <w:rPr>
          <w:color w:val="212121"/>
          <w:sz w:val="24"/>
          <w:szCs w:val="24"/>
          <w:shd w:val="clear" w:color="auto" w:fill="FFFFFF"/>
        </w:rPr>
      </w:pPr>
      <w:proofErr w:type="spellStart"/>
      <w:r w:rsidRPr="000D7976">
        <w:rPr>
          <w:color w:val="212121"/>
          <w:sz w:val="24"/>
          <w:szCs w:val="24"/>
          <w:shd w:val="clear" w:color="auto" w:fill="FFFFFF"/>
          <w:lang w:val="fr-FR"/>
        </w:rPr>
        <w:t>Wolk</w:t>
      </w:r>
      <w:proofErr w:type="spellEnd"/>
      <w:r w:rsidRPr="000D7976">
        <w:rPr>
          <w:color w:val="212121"/>
          <w:sz w:val="24"/>
          <w:szCs w:val="24"/>
          <w:shd w:val="clear" w:color="auto" w:fill="FFFFFF"/>
          <w:lang w:val="fr-FR"/>
        </w:rPr>
        <w:t xml:space="preserve">, K., </w:t>
      </w:r>
      <w:proofErr w:type="spellStart"/>
      <w:r w:rsidRPr="000D7976">
        <w:rPr>
          <w:color w:val="212121"/>
          <w:sz w:val="24"/>
          <w:szCs w:val="24"/>
          <w:shd w:val="clear" w:color="auto" w:fill="FFFFFF"/>
          <w:lang w:val="fr-FR"/>
        </w:rPr>
        <w:t>Join</w:t>
      </w:r>
      <w:proofErr w:type="spellEnd"/>
      <w:r w:rsidRPr="000D7976">
        <w:rPr>
          <w:color w:val="212121"/>
          <w:sz w:val="24"/>
          <w:szCs w:val="24"/>
          <w:shd w:val="clear" w:color="auto" w:fill="FFFFFF"/>
          <w:lang w:val="fr-FR"/>
        </w:rPr>
        <w:t xml:space="preserve">-Lambert, O., &amp; </w:t>
      </w:r>
      <w:proofErr w:type="spellStart"/>
      <w:r w:rsidRPr="000D7976">
        <w:rPr>
          <w:color w:val="212121"/>
          <w:sz w:val="24"/>
          <w:szCs w:val="24"/>
          <w:shd w:val="clear" w:color="auto" w:fill="FFFFFF"/>
          <w:lang w:val="fr-FR"/>
        </w:rPr>
        <w:t>Sabat</w:t>
      </w:r>
      <w:proofErr w:type="spellEnd"/>
      <w:r w:rsidRPr="000D7976">
        <w:rPr>
          <w:color w:val="212121"/>
          <w:sz w:val="24"/>
          <w:szCs w:val="24"/>
          <w:shd w:val="clear" w:color="auto" w:fill="FFFFFF"/>
          <w:lang w:val="fr-FR"/>
        </w:rPr>
        <w:t xml:space="preserve">, R. (2020). </w:t>
      </w:r>
      <w:proofErr w:type="spellStart"/>
      <w:r w:rsidRPr="00E24B67">
        <w:rPr>
          <w:color w:val="212121"/>
          <w:sz w:val="24"/>
          <w:szCs w:val="24"/>
          <w:shd w:val="clear" w:color="auto" w:fill="FFFFFF"/>
        </w:rPr>
        <w:t>Aetiology</w:t>
      </w:r>
      <w:proofErr w:type="spellEnd"/>
      <w:r w:rsidRPr="00E24B67">
        <w:rPr>
          <w:color w:val="212121"/>
          <w:sz w:val="24"/>
          <w:szCs w:val="24"/>
          <w:shd w:val="clear" w:color="auto" w:fill="FFFFFF"/>
        </w:rPr>
        <w:t xml:space="preserve"> and pathogenesis of hidradenitis suppurativa. </w:t>
      </w:r>
      <w:r w:rsidRPr="00E24B67">
        <w:rPr>
          <w:i/>
          <w:iCs/>
          <w:color w:val="212121"/>
          <w:sz w:val="24"/>
          <w:szCs w:val="24"/>
          <w:shd w:val="clear" w:color="auto" w:fill="FFFFFF"/>
        </w:rPr>
        <w:t>The British journal of dermatology</w:t>
      </w:r>
      <w:r w:rsidRPr="00E24B67">
        <w:rPr>
          <w:color w:val="212121"/>
          <w:sz w:val="24"/>
          <w:szCs w:val="24"/>
          <w:shd w:val="clear" w:color="auto" w:fill="FFFFFF"/>
        </w:rPr>
        <w:t>, </w:t>
      </w:r>
      <w:r w:rsidRPr="00E24B67">
        <w:rPr>
          <w:i/>
          <w:iCs/>
          <w:color w:val="212121"/>
          <w:sz w:val="24"/>
          <w:szCs w:val="24"/>
          <w:shd w:val="clear" w:color="auto" w:fill="FFFFFF"/>
        </w:rPr>
        <w:t>183</w:t>
      </w:r>
      <w:r w:rsidRPr="00E24B67">
        <w:rPr>
          <w:color w:val="212121"/>
          <w:sz w:val="24"/>
          <w:szCs w:val="24"/>
          <w:shd w:val="clear" w:color="auto" w:fill="FFFFFF"/>
        </w:rPr>
        <w:t xml:space="preserve">(6), 999–1010. </w:t>
      </w:r>
      <w:hyperlink r:id="rId27" w:history="1">
        <w:r w:rsidRPr="00E24B67">
          <w:rPr>
            <w:rStyle w:val="Hyperlink"/>
            <w:sz w:val="24"/>
            <w:szCs w:val="24"/>
            <w:shd w:val="clear" w:color="auto" w:fill="FFFFFF"/>
          </w:rPr>
          <w:t>https://doi.org/10.1111/bjd.19556</w:t>
        </w:r>
      </w:hyperlink>
      <w:r w:rsidRPr="00E24B67">
        <w:rPr>
          <w:color w:val="212121"/>
          <w:sz w:val="24"/>
          <w:szCs w:val="24"/>
          <w:shd w:val="clear" w:color="auto" w:fill="FFFFFF"/>
        </w:rPr>
        <w:t xml:space="preserve"> </w:t>
      </w:r>
    </w:p>
    <w:p w:rsidR="00E24B67" w:rsidRPr="00E24B67" w:rsidRDefault="00E24B67" w:rsidP="001D1D16">
      <w:pPr>
        <w:pStyle w:val="ReferenceEntry"/>
        <w:jc w:val="both"/>
        <w:rPr>
          <w:sz w:val="24"/>
          <w:szCs w:val="24"/>
        </w:rPr>
      </w:pPr>
      <w:r w:rsidRPr="00E24B67">
        <w:rPr>
          <w:sz w:val="24"/>
          <w:szCs w:val="24"/>
        </w:rPr>
        <w:t xml:space="preserve">Wong, H.-S., Jiang, J.-Y., Huang, S.-D., Zhu, P., Ji, X., &amp; Wang, D.-G. (2024). A review of surgical and reconstructive techniques for hidradenitis suppurativa. </w:t>
      </w:r>
      <w:r w:rsidRPr="00E24B67">
        <w:rPr>
          <w:i/>
          <w:sz w:val="24"/>
          <w:szCs w:val="24"/>
        </w:rPr>
        <w:t>Archives of Dermatological Research</w:t>
      </w:r>
      <w:r w:rsidRPr="00E24B67">
        <w:rPr>
          <w:sz w:val="24"/>
          <w:szCs w:val="24"/>
        </w:rPr>
        <w:t xml:space="preserve">, </w:t>
      </w:r>
      <w:r w:rsidRPr="00E24B67">
        <w:rPr>
          <w:i/>
          <w:sz w:val="24"/>
          <w:szCs w:val="24"/>
        </w:rPr>
        <w:t>316(6)</w:t>
      </w:r>
      <w:r w:rsidRPr="00E24B67">
        <w:rPr>
          <w:sz w:val="24"/>
          <w:szCs w:val="24"/>
        </w:rPr>
        <w:t>, 270. https://doi.org/10.1007/s00403-024-03000-5</w:t>
      </w:r>
    </w:p>
    <w:p w:rsidR="00E24B67" w:rsidRPr="00E24B67" w:rsidRDefault="00E24B67" w:rsidP="001D1D16">
      <w:pPr>
        <w:pStyle w:val="ReferenceEntry"/>
        <w:jc w:val="both"/>
        <w:rPr>
          <w:color w:val="212121"/>
          <w:sz w:val="24"/>
          <w:szCs w:val="24"/>
          <w:shd w:val="clear" w:color="auto" w:fill="FFFFFF"/>
        </w:rPr>
      </w:pPr>
      <w:proofErr w:type="spellStart"/>
      <w:r w:rsidRPr="00E24B67">
        <w:rPr>
          <w:color w:val="212121"/>
          <w:sz w:val="24"/>
          <w:szCs w:val="24"/>
          <w:shd w:val="clear" w:color="auto" w:fill="FFFFFF"/>
        </w:rPr>
        <w:t>Wortsman</w:t>
      </w:r>
      <w:proofErr w:type="spellEnd"/>
      <w:r w:rsidRPr="00E24B67">
        <w:rPr>
          <w:color w:val="212121"/>
          <w:sz w:val="24"/>
          <w:szCs w:val="24"/>
          <w:shd w:val="clear" w:color="auto" w:fill="FFFFFF"/>
        </w:rPr>
        <w:t xml:space="preserve">, X., Moreno, C., Soto, R., Arellano, J., Pezo, C. and </w:t>
      </w:r>
      <w:proofErr w:type="spellStart"/>
      <w:r w:rsidRPr="00E24B67">
        <w:rPr>
          <w:color w:val="212121"/>
          <w:sz w:val="24"/>
          <w:szCs w:val="24"/>
          <w:shd w:val="clear" w:color="auto" w:fill="FFFFFF"/>
        </w:rPr>
        <w:t>Wortsman</w:t>
      </w:r>
      <w:proofErr w:type="spellEnd"/>
      <w:r w:rsidRPr="00E24B67">
        <w:rPr>
          <w:color w:val="212121"/>
          <w:sz w:val="24"/>
          <w:szCs w:val="24"/>
          <w:shd w:val="clear" w:color="auto" w:fill="FFFFFF"/>
        </w:rPr>
        <w:t xml:space="preserve">, J. (2013), Ultrasound In-Depth Characterization and Staging of Hidradenitis Suppurativa. Dermatol Surg, 39: 1835-1842. </w:t>
      </w:r>
      <w:hyperlink r:id="rId28" w:history="1">
        <w:r w:rsidRPr="00E24B67">
          <w:rPr>
            <w:rStyle w:val="Hyperlink"/>
            <w:sz w:val="24"/>
            <w:szCs w:val="24"/>
            <w:shd w:val="clear" w:color="auto" w:fill="FFFFFF"/>
          </w:rPr>
          <w:t>https://doi.org/10.1111/dsu.12329</w:t>
        </w:r>
      </w:hyperlink>
      <w:r w:rsidRPr="00E24B67">
        <w:rPr>
          <w:color w:val="212121"/>
          <w:sz w:val="24"/>
          <w:szCs w:val="24"/>
          <w:shd w:val="clear" w:color="auto" w:fill="FFFFFF"/>
        </w:rPr>
        <w:t xml:space="preserve"> </w:t>
      </w:r>
    </w:p>
    <w:p w:rsidR="00E24B67" w:rsidRPr="00E24B67" w:rsidRDefault="00E24B67" w:rsidP="001D1D16">
      <w:pPr>
        <w:pStyle w:val="ReferenceEntry"/>
        <w:jc w:val="both"/>
        <w:rPr>
          <w:color w:val="212121"/>
          <w:sz w:val="24"/>
          <w:szCs w:val="24"/>
          <w:shd w:val="clear" w:color="auto" w:fill="FFFFFF"/>
        </w:rPr>
      </w:pPr>
      <w:proofErr w:type="spellStart"/>
      <w:r w:rsidRPr="00E24B67">
        <w:rPr>
          <w:color w:val="212121"/>
          <w:sz w:val="24"/>
          <w:szCs w:val="24"/>
          <w:shd w:val="clear" w:color="auto" w:fill="FFFFFF"/>
        </w:rPr>
        <w:t>Zouboulis</w:t>
      </w:r>
      <w:proofErr w:type="spellEnd"/>
      <w:r w:rsidRPr="00E24B67">
        <w:rPr>
          <w:color w:val="212121"/>
          <w:sz w:val="24"/>
          <w:szCs w:val="24"/>
          <w:shd w:val="clear" w:color="auto" w:fill="FFFFFF"/>
        </w:rPr>
        <w:t xml:space="preserve"> C. C. (2021). Pain Index: a new prospective hidradenitis suppurativa patient-reported outcome measure instrument. </w:t>
      </w:r>
      <w:r w:rsidRPr="00E24B67">
        <w:rPr>
          <w:i/>
          <w:iCs/>
          <w:color w:val="212121"/>
          <w:sz w:val="24"/>
          <w:szCs w:val="24"/>
          <w:shd w:val="clear" w:color="auto" w:fill="FFFFFF"/>
        </w:rPr>
        <w:t>The British journal of dermatology</w:t>
      </w:r>
      <w:r w:rsidRPr="00E24B67">
        <w:rPr>
          <w:color w:val="212121"/>
          <w:sz w:val="24"/>
          <w:szCs w:val="24"/>
          <w:shd w:val="clear" w:color="auto" w:fill="FFFFFF"/>
        </w:rPr>
        <w:t>, </w:t>
      </w:r>
      <w:r w:rsidRPr="00E24B67">
        <w:rPr>
          <w:i/>
          <w:iCs/>
          <w:color w:val="212121"/>
          <w:sz w:val="24"/>
          <w:szCs w:val="24"/>
          <w:shd w:val="clear" w:color="auto" w:fill="FFFFFF"/>
        </w:rPr>
        <w:t>184</w:t>
      </w:r>
      <w:r w:rsidRPr="00E24B67">
        <w:rPr>
          <w:color w:val="212121"/>
          <w:sz w:val="24"/>
          <w:szCs w:val="24"/>
          <w:shd w:val="clear" w:color="auto" w:fill="FFFFFF"/>
        </w:rPr>
        <w:t xml:space="preserve">(6), 1203–1204. </w:t>
      </w:r>
      <w:hyperlink r:id="rId29" w:history="1">
        <w:r w:rsidRPr="00E24B67">
          <w:rPr>
            <w:rStyle w:val="Hyperlink"/>
            <w:sz w:val="24"/>
            <w:szCs w:val="24"/>
            <w:shd w:val="clear" w:color="auto" w:fill="FFFFFF"/>
          </w:rPr>
          <w:t>https://doi.org/10.1111/bjd.19798</w:t>
        </w:r>
      </w:hyperlink>
      <w:r w:rsidRPr="00E24B67">
        <w:rPr>
          <w:color w:val="212121"/>
          <w:sz w:val="24"/>
          <w:szCs w:val="24"/>
          <w:shd w:val="clear" w:color="auto" w:fill="FFFFFF"/>
        </w:rPr>
        <w:t xml:space="preserve"> </w:t>
      </w:r>
    </w:p>
    <w:p w:rsidR="00E24B67" w:rsidRPr="00E24B67" w:rsidRDefault="00E24B67" w:rsidP="001D1D16">
      <w:pPr>
        <w:pStyle w:val="ReferenceEntry"/>
        <w:jc w:val="both"/>
        <w:rPr>
          <w:sz w:val="24"/>
          <w:szCs w:val="24"/>
        </w:rPr>
      </w:pPr>
      <w:proofErr w:type="spellStart"/>
      <w:r w:rsidRPr="00E24B67">
        <w:rPr>
          <w:sz w:val="24"/>
          <w:szCs w:val="24"/>
        </w:rPr>
        <w:t>Zouboulis</w:t>
      </w:r>
      <w:proofErr w:type="spellEnd"/>
      <w:r w:rsidRPr="00E24B67">
        <w:rPr>
          <w:sz w:val="24"/>
          <w:szCs w:val="24"/>
        </w:rPr>
        <w:t xml:space="preserve">, C. C., Bechara, F. G., Fritz, K., Goebeler, M., Hetzer, F. H., Just, E., Kirsten, N., Kokolakis, G., Kurzen, H., Nikolakis, G., Pinter, A., Podda, M., Rosinski, K., Schneider-Burrus, S., Taube, K.-M., Volz, T., Winkler, T., Kristandt, A., Presser, D., &amp; Zouboulis, V. A. (2024). S2k guideline for the treatment of hidradenitis suppurativa / acne inversa - Short version. </w:t>
      </w:r>
      <w:r w:rsidRPr="00E24B67">
        <w:rPr>
          <w:i/>
          <w:sz w:val="24"/>
          <w:szCs w:val="24"/>
        </w:rPr>
        <w:t>Journal der Deutschen Dermatologischen Gesellschaft</w:t>
      </w:r>
      <w:r w:rsidRPr="00E24B67">
        <w:rPr>
          <w:sz w:val="24"/>
          <w:szCs w:val="24"/>
        </w:rPr>
        <w:t xml:space="preserve">, </w:t>
      </w:r>
      <w:r w:rsidRPr="00E24B67">
        <w:rPr>
          <w:i/>
          <w:sz w:val="24"/>
          <w:szCs w:val="24"/>
        </w:rPr>
        <w:t>22(6)</w:t>
      </w:r>
      <w:r w:rsidRPr="00E24B67">
        <w:rPr>
          <w:sz w:val="24"/>
          <w:szCs w:val="24"/>
        </w:rPr>
        <w:t>, 868-889. https://doi.org/10.1111/ddg.15412</w:t>
      </w:r>
    </w:p>
    <w:p w:rsidR="001D1D16" w:rsidRDefault="00E24B67" w:rsidP="001D1D16">
      <w:pPr>
        <w:pStyle w:val="ReferenceEntry"/>
        <w:jc w:val="both"/>
        <w:rPr>
          <w:rStyle w:val="Hyperlink"/>
          <w:sz w:val="24"/>
          <w:szCs w:val="24"/>
        </w:rPr>
      </w:pPr>
      <w:proofErr w:type="spellStart"/>
      <w:r w:rsidRPr="00E24B67">
        <w:rPr>
          <w:sz w:val="24"/>
          <w:szCs w:val="24"/>
        </w:rPr>
        <w:t>Zouboulis</w:t>
      </w:r>
      <w:proofErr w:type="spellEnd"/>
      <w:r w:rsidRPr="00E24B67">
        <w:rPr>
          <w:sz w:val="24"/>
          <w:szCs w:val="24"/>
        </w:rPr>
        <w:t xml:space="preserve">, C. C., Tzellos, T., Kyrgidis, A., Jemec, G. B. E., Bechara, F. G., Giamarellos-Bourboulis, E. J., Ingram, J. R., Kanni, T., Karagiannidis, I., Martorell, A., Matusiak, Ł., Pinter, A., Prens, E. P., Presser, D., Schneider-Burrus, S., von Stebut, E., Szepietowski, J. C., van der Zee, H. H., Wilden, S. M., &amp; Sabat, R. (2017). Development and validation of the International Hidradenitis Suppurativa Severity </w:t>
      </w:r>
      <w:r w:rsidRPr="00E24B67">
        <w:rPr>
          <w:sz w:val="24"/>
          <w:szCs w:val="24"/>
        </w:rPr>
        <w:lastRenderedPageBreak/>
        <w:t xml:space="preserve">Score System (IHS4), a novel dynamic scoring system to assess HS severity. </w:t>
      </w:r>
      <w:r w:rsidRPr="00E24B67">
        <w:rPr>
          <w:i/>
          <w:sz w:val="24"/>
          <w:szCs w:val="24"/>
        </w:rPr>
        <w:t>British Journal of Dermatology</w:t>
      </w:r>
      <w:r w:rsidRPr="00E24B67">
        <w:rPr>
          <w:sz w:val="24"/>
          <w:szCs w:val="24"/>
        </w:rPr>
        <w:t xml:space="preserve">, </w:t>
      </w:r>
      <w:r w:rsidRPr="00E24B67">
        <w:rPr>
          <w:i/>
          <w:sz w:val="24"/>
          <w:szCs w:val="24"/>
        </w:rPr>
        <w:t>177(5)</w:t>
      </w:r>
      <w:r w:rsidRPr="00E24B67">
        <w:rPr>
          <w:sz w:val="24"/>
          <w:szCs w:val="24"/>
        </w:rPr>
        <w:t xml:space="preserve">, 1401-1409. </w:t>
      </w:r>
      <w:hyperlink r:id="rId30" w:history="1">
        <w:r w:rsidRPr="00E24B67">
          <w:rPr>
            <w:rStyle w:val="Hyperlink"/>
            <w:sz w:val="24"/>
            <w:szCs w:val="24"/>
          </w:rPr>
          <w:t>https://doi.org/10.1111/bjd.15748</w:t>
        </w:r>
      </w:hyperlink>
    </w:p>
    <w:p w:rsidR="001D1D16" w:rsidRPr="00BE19CA" w:rsidRDefault="001D1D16" w:rsidP="00BE19CA">
      <w:pPr>
        <w:pStyle w:val="ReferenceEntry"/>
        <w:jc w:val="both"/>
        <w:rPr>
          <w:color w:val="0000FF" w:themeColor="hyperlink"/>
          <w:sz w:val="20"/>
          <w:szCs w:val="20"/>
          <w:u w:val="single"/>
        </w:rPr>
      </w:pPr>
      <w:r w:rsidRPr="00BE19CA">
        <w:rPr>
          <w:rFonts w:ascii="Consolas" w:eastAsia="Times New Roman" w:hAnsi="Consolas"/>
          <w:color w:val="1B1B1B"/>
          <w:sz w:val="20"/>
          <w:szCs w:val="20"/>
          <w:highlight w:val="yellow"/>
        </w:rPr>
        <w:t xml:space="preserve">Chawla S, </w:t>
      </w:r>
      <w:proofErr w:type="spellStart"/>
      <w:r w:rsidRPr="00BE19CA">
        <w:rPr>
          <w:rFonts w:ascii="Consolas" w:eastAsia="Times New Roman" w:hAnsi="Consolas"/>
          <w:color w:val="1B1B1B"/>
          <w:sz w:val="20"/>
          <w:szCs w:val="20"/>
          <w:highlight w:val="yellow"/>
        </w:rPr>
        <w:t>Toale</w:t>
      </w:r>
      <w:proofErr w:type="spellEnd"/>
      <w:r w:rsidRPr="00BE19CA">
        <w:rPr>
          <w:rFonts w:ascii="Consolas" w:eastAsia="Times New Roman" w:hAnsi="Consolas"/>
          <w:color w:val="1B1B1B"/>
          <w:sz w:val="20"/>
          <w:szCs w:val="20"/>
          <w:highlight w:val="yellow"/>
        </w:rPr>
        <w:t xml:space="preserve"> C, Morris M, Tobin AM, Kavanagh D. Surgical Management of Hidradenitis Suppurativa: A Narrative Review. J Clin </w:t>
      </w:r>
      <w:proofErr w:type="spellStart"/>
      <w:r w:rsidRPr="00BE19CA">
        <w:rPr>
          <w:rFonts w:ascii="Consolas" w:eastAsia="Times New Roman" w:hAnsi="Consolas"/>
          <w:color w:val="1B1B1B"/>
          <w:sz w:val="20"/>
          <w:szCs w:val="20"/>
          <w:highlight w:val="yellow"/>
        </w:rPr>
        <w:t>Aesthet</w:t>
      </w:r>
      <w:proofErr w:type="spellEnd"/>
      <w:r w:rsidRPr="00BE19CA">
        <w:rPr>
          <w:rFonts w:ascii="Consolas" w:eastAsia="Times New Roman" w:hAnsi="Consolas"/>
          <w:color w:val="1B1B1B"/>
          <w:sz w:val="20"/>
          <w:szCs w:val="20"/>
          <w:highlight w:val="yellow"/>
        </w:rPr>
        <w:t xml:space="preserve"> Dermatol. 2022 Jan;15(1):35-41. PMID: 35309275; PMCID: PMC8903230.</w:t>
      </w:r>
    </w:p>
    <w:p w:rsidR="00BE19CA" w:rsidRDefault="002564DA" w:rsidP="00BE19CA">
      <w:pPr>
        <w:shd w:val="clear" w:color="auto" w:fill="FFFFFF"/>
        <w:spacing w:after="0" w:line="240" w:lineRule="auto"/>
        <w:rPr>
          <w:rFonts w:ascii="Segoe UI" w:eastAsia="Times New Roman" w:hAnsi="Segoe UI" w:cs="Segoe UI"/>
          <w:sz w:val="16"/>
          <w:szCs w:val="16"/>
          <w:highlight w:val="yellow"/>
        </w:rPr>
      </w:pPr>
      <w:r w:rsidRPr="00BE19CA">
        <w:rPr>
          <w:rFonts w:ascii="Segoe UI" w:eastAsia="Times New Roman" w:hAnsi="Segoe UI" w:cs="Segoe UI"/>
          <w:sz w:val="16"/>
          <w:szCs w:val="16"/>
          <w:highlight w:val="yellow"/>
        </w:rPr>
        <w:t xml:space="preserve">Rivera-Díaz, J., Laguna </w:t>
      </w:r>
      <w:proofErr w:type="spellStart"/>
      <w:r w:rsidRPr="00BE19CA">
        <w:rPr>
          <w:rFonts w:ascii="Segoe UI" w:eastAsia="Times New Roman" w:hAnsi="Segoe UI" w:cs="Segoe UI"/>
          <w:sz w:val="16"/>
          <w:szCs w:val="16"/>
          <w:highlight w:val="yellow"/>
        </w:rPr>
        <w:t>Rocafort</w:t>
      </w:r>
      <w:proofErr w:type="spellEnd"/>
      <w:r w:rsidRPr="00BE19CA">
        <w:rPr>
          <w:rFonts w:ascii="Segoe UI" w:eastAsia="Times New Roman" w:hAnsi="Segoe UI" w:cs="Segoe UI"/>
          <w:sz w:val="16"/>
          <w:szCs w:val="16"/>
          <w:highlight w:val="yellow"/>
        </w:rPr>
        <w:t xml:space="preserve">, S., Bonilla, I. M., Figueroa </w:t>
      </w:r>
      <w:proofErr w:type="spellStart"/>
      <w:r w:rsidRPr="00BE19CA">
        <w:rPr>
          <w:rFonts w:ascii="Segoe UI" w:eastAsia="Times New Roman" w:hAnsi="Segoe UI" w:cs="Segoe UI"/>
          <w:sz w:val="16"/>
          <w:szCs w:val="16"/>
          <w:highlight w:val="yellow"/>
        </w:rPr>
        <w:t>Moreda</w:t>
      </w:r>
      <w:proofErr w:type="spellEnd"/>
      <w:r w:rsidRPr="00BE19CA">
        <w:rPr>
          <w:rFonts w:ascii="Segoe UI" w:eastAsia="Times New Roman" w:hAnsi="Segoe UI" w:cs="Segoe UI"/>
          <w:sz w:val="16"/>
          <w:szCs w:val="16"/>
          <w:highlight w:val="yellow"/>
        </w:rPr>
        <w:t xml:space="preserve">, A., &amp; </w:t>
      </w:r>
      <w:proofErr w:type="spellStart"/>
      <w:r w:rsidRPr="00BE19CA">
        <w:rPr>
          <w:rFonts w:ascii="Segoe UI" w:eastAsia="Times New Roman" w:hAnsi="Segoe UI" w:cs="Segoe UI"/>
          <w:sz w:val="16"/>
          <w:szCs w:val="16"/>
          <w:highlight w:val="yellow"/>
        </w:rPr>
        <w:t>Rabelo</w:t>
      </w:r>
      <w:proofErr w:type="spellEnd"/>
      <w:r w:rsidRPr="00BE19CA">
        <w:rPr>
          <w:rFonts w:ascii="Segoe UI" w:eastAsia="Times New Roman" w:hAnsi="Segoe UI" w:cs="Segoe UI"/>
          <w:sz w:val="16"/>
          <w:szCs w:val="16"/>
          <w:highlight w:val="yellow"/>
        </w:rPr>
        <w:t xml:space="preserve"> Cartagena, J. (2025). A Comprehensive Review of Hidradenitis Suppurativa: From Pathogenesis to Clinical Insights &amp; Novel Therapeutic Advancements. </w:t>
      </w:r>
      <w:r w:rsidRPr="00BE19CA">
        <w:rPr>
          <w:rFonts w:ascii="Segoe UI" w:eastAsia="Times New Roman" w:hAnsi="Segoe UI" w:cs="Segoe UI"/>
          <w:i/>
          <w:iCs/>
          <w:sz w:val="16"/>
          <w:szCs w:val="16"/>
          <w:highlight w:val="yellow"/>
        </w:rPr>
        <w:t>International Journal of Medical Students</w:t>
      </w:r>
      <w:r w:rsidRPr="00BE19CA">
        <w:rPr>
          <w:rFonts w:ascii="Segoe UI" w:eastAsia="Times New Roman" w:hAnsi="Segoe UI" w:cs="Segoe UI"/>
          <w:sz w:val="16"/>
          <w:szCs w:val="16"/>
          <w:highlight w:val="yellow"/>
        </w:rPr>
        <w:t>, </w:t>
      </w:r>
      <w:r w:rsidRPr="00BE19CA">
        <w:rPr>
          <w:rFonts w:ascii="Segoe UI" w:eastAsia="Times New Roman" w:hAnsi="Segoe UI" w:cs="Segoe UI"/>
          <w:i/>
          <w:iCs/>
          <w:sz w:val="16"/>
          <w:szCs w:val="16"/>
          <w:highlight w:val="yellow"/>
        </w:rPr>
        <w:t>13</w:t>
      </w:r>
      <w:r w:rsidRPr="00BE19CA">
        <w:rPr>
          <w:rFonts w:ascii="Segoe UI" w:eastAsia="Times New Roman" w:hAnsi="Segoe UI" w:cs="Segoe UI"/>
          <w:sz w:val="16"/>
          <w:szCs w:val="16"/>
          <w:highlight w:val="yellow"/>
        </w:rPr>
        <w:t xml:space="preserve">(4), 452–461. </w:t>
      </w:r>
      <w:hyperlink r:id="rId31" w:history="1">
        <w:r w:rsidR="00BE19CA" w:rsidRPr="00AD6B72">
          <w:rPr>
            <w:rStyle w:val="Hyperlink"/>
            <w:rFonts w:ascii="Segoe UI" w:eastAsia="Times New Roman" w:hAnsi="Segoe UI" w:cs="Segoe UI"/>
            <w:sz w:val="16"/>
            <w:szCs w:val="16"/>
            <w:highlight w:val="yellow"/>
          </w:rPr>
          <w:t>https://doi.org/10.5195/ijms.2025.2809</w:t>
        </w:r>
      </w:hyperlink>
    </w:p>
    <w:p w:rsidR="00BE19CA" w:rsidRDefault="00BE19CA" w:rsidP="00BE19CA">
      <w:pPr>
        <w:shd w:val="clear" w:color="auto" w:fill="FFFFFF"/>
        <w:spacing w:after="0" w:line="240" w:lineRule="auto"/>
        <w:rPr>
          <w:rFonts w:ascii="inherit" w:hAnsi="inherit" w:cs="Helvetica"/>
          <w:color w:val="222222"/>
          <w:sz w:val="18"/>
          <w:szCs w:val="18"/>
          <w:highlight w:val="yellow"/>
        </w:rPr>
      </w:pPr>
    </w:p>
    <w:p w:rsidR="0033055F" w:rsidRPr="00BE19CA" w:rsidRDefault="0033055F" w:rsidP="00BE19CA">
      <w:pPr>
        <w:shd w:val="clear" w:color="auto" w:fill="FFFFFF"/>
        <w:spacing w:after="0" w:line="240" w:lineRule="auto"/>
        <w:rPr>
          <w:rFonts w:ascii="Segoe UI" w:eastAsia="Times New Roman" w:hAnsi="Segoe UI" w:cs="Segoe UI"/>
          <w:sz w:val="16"/>
          <w:szCs w:val="16"/>
        </w:rPr>
      </w:pPr>
      <w:proofErr w:type="spellStart"/>
      <w:r w:rsidRPr="00BE19CA">
        <w:rPr>
          <w:rFonts w:ascii="inherit" w:hAnsi="inherit" w:cs="Helvetica"/>
          <w:color w:val="222222"/>
          <w:sz w:val="18"/>
          <w:szCs w:val="18"/>
          <w:highlight w:val="yellow"/>
        </w:rPr>
        <w:t>Ocker</w:t>
      </w:r>
      <w:proofErr w:type="spellEnd"/>
      <w:r w:rsidRPr="00BE19CA">
        <w:rPr>
          <w:rFonts w:ascii="inherit" w:hAnsi="inherit" w:cs="Helvetica"/>
          <w:color w:val="222222"/>
          <w:sz w:val="18"/>
          <w:szCs w:val="18"/>
          <w:highlight w:val="yellow"/>
        </w:rPr>
        <w:t xml:space="preserve">, L., Abu </w:t>
      </w:r>
      <w:proofErr w:type="spellStart"/>
      <w:r w:rsidRPr="00BE19CA">
        <w:rPr>
          <w:rFonts w:ascii="inherit" w:hAnsi="inherit" w:cs="Helvetica"/>
          <w:color w:val="222222"/>
          <w:sz w:val="18"/>
          <w:szCs w:val="18"/>
          <w:highlight w:val="yellow"/>
        </w:rPr>
        <w:t>Rached</w:t>
      </w:r>
      <w:proofErr w:type="spellEnd"/>
      <w:r w:rsidRPr="00BE19CA">
        <w:rPr>
          <w:rFonts w:ascii="inherit" w:hAnsi="inherit" w:cs="Helvetica"/>
          <w:color w:val="222222"/>
          <w:sz w:val="18"/>
          <w:szCs w:val="18"/>
          <w:highlight w:val="yellow"/>
        </w:rPr>
        <w:t>, N., Seifert, C., Scheel, C., &amp; Bechara, F. G. (2022). Current Medical and Surgical Treatment of Hidradenitis Suppurativa—A Comprehensive Review. </w:t>
      </w:r>
      <w:r w:rsidRPr="00BE19CA">
        <w:rPr>
          <w:rStyle w:val="Emphasis"/>
          <w:rFonts w:ascii="inherit" w:hAnsi="inherit" w:cs="Helvetica"/>
          <w:color w:val="222222"/>
          <w:sz w:val="18"/>
          <w:szCs w:val="18"/>
          <w:highlight w:val="yellow"/>
        </w:rPr>
        <w:t>Journal of Clinical Medicine</w:t>
      </w:r>
      <w:r w:rsidRPr="00BE19CA">
        <w:rPr>
          <w:rFonts w:ascii="inherit" w:hAnsi="inherit" w:cs="Helvetica"/>
          <w:color w:val="222222"/>
          <w:sz w:val="18"/>
          <w:szCs w:val="18"/>
          <w:highlight w:val="yellow"/>
        </w:rPr>
        <w:t>, </w:t>
      </w:r>
      <w:r w:rsidRPr="00BE19CA">
        <w:rPr>
          <w:rStyle w:val="Emphasis"/>
          <w:rFonts w:ascii="inherit" w:hAnsi="inherit" w:cs="Helvetica"/>
          <w:color w:val="222222"/>
          <w:sz w:val="18"/>
          <w:szCs w:val="18"/>
          <w:highlight w:val="yellow"/>
        </w:rPr>
        <w:t>11</w:t>
      </w:r>
      <w:r w:rsidRPr="00BE19CA">
        <w:rPr>
          <w:rFonts w:ascii="inherit" w:hAnsi="inherit" w:cs="Helvetica"/>
          <w:color w:val="222222"/>
          <w:sz w:val="18"/>
          <w:szCs w:val="18"/>
          <w:highlight w:val="yellow"/>
        </w:rPr>
        <w:t>(23), 7240. https://doi.org/10.3390/jcm11237240</w:t>
      </w:r>
    </w:p>
    <w:p w:rsidR="001D1D16" w:rsidRPr="001D1D16" w:rsidRDefault="001D1D16" w:rsidP="001D1D16">
      <w:pPr>
        <w:numPr>
          <w:ilvl w:val="0"/>
          <w:numId w:val="10"/>
        </w:numPr>
        <w:shd w:val="clear" w:color="auto" w:fill="FFFFFF"/>
        <w:spacing w:before="100" w:beforeAutospacing="1" w:after="0" w:line="240" w:lineRule="auto"/>
        <w:rPr>
          <w:rFonts w:ascii="Helvetica" w:eastAsia="Times New Roman" w:hAnsi="Helvetica" w:cs="Helvetica"/>
          <w:color w:val="1B1B1B"/>
          <w:szCs w:val="24"/>
        </w:rPr>
      </w:pPr>
    </w:p>
    <w:p w:rsidR="001D1D16" w:rsidRPr="00E24B67" w:rsidRDefault="001D1D16" w:rsidP="001D1D16">
      <w:pPr>
        <w:pStyle w:val="ReferenceEntry"/>
        <w:jc w:val="both"/>
        <w:rPr>
          <w:sz w:val="24"/>
          <w:szCs w:val="24"/>
        </w:rPr>
      </w:pPr>
    </w:p>
    <w:p w:rsidR="00E24B67" w:rsidRDefault="00E24B67" w:rsidP="001D1D16">
      <w:pPr>
        <w:pStyle w:val="ReferenceEntry"/>
        <w:jc w:val="both"/>
      </w:pPr>
    </w:p>
    <w:p w:rsidR="00B251E5" w:rsidRDefault="00B251E5" w:rsidP="001D1D16">
      <w:pPr>
        <w:pStyle w:val="ReferenceEntry"/>
        <w:jc w:val="both"/>
      </w:pPr>
    </w:p>
    <w:p w:rsidR="00B251E5" w:rsidRDefault="00B251E5" w:rsidP="001D1D16">
      <w:pPr>
        <w:pStyle w:val="ReferenceEntry"/>
        <w:jc w:val="both"/>
      </w:pPr>
    </w:p>
    <w:sectPr w:rsidR="00B251E5" w:rsidSect="00034616">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667B" w:rsidRDefault="00D3667B" w:rsidP="007E195B">
      <w:pPr>
        <w:spacing w:after="0" w:line="240" w:lineRule="auto"/>
      </w:pPr>
      <w:r>
        <w:separator/>
      </w:r>
    </w:p>
  </w:endnote>
  <w:endnote w:type="continuationSeparator" w:id="0">
    <w:p w:rsidR="00D3667B" w:rsidRDefault="00D3667B" w:rsidP="007E1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8F4" w:rsidRDefault="00D65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B67" w:rsidRDefault="00A742D9">
    <w:pPr>
      <w:pStyle w:val="Footer"/>
      <w:spacing w:before="120"/>
      <w:jc w:val="center"/>
    </w:pPr>
    <w:r>
      <w:fldChar w:fldCharType="begin"/>
    </w:r>
    <w:r>
      <w:instrText>PAGE</w:instrText>
    </w:r>
    <w:r>
      <w:fldChar w:fldCharType="separate"/>
    </w:r>
    <w:r w:rsidR="00340039">
      <w:rPr>
        <w:noProof/>
      </w:rPr>
      <w:t>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8F4" w:rsidRDefault="00D65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667B" w:rsidRDefault="00D3667B" w:rsidP="007E195B">
      <w:pPr>
        <w:spacing w:after="0" w:line="240" w:lineRule="auto"/>
      </w:pPr>
      <w:r>
        <w:separator/>
      </w:r>
    </w:p>
  </w:footnote>
  <w:footnote w:type="continuationSeparator" w:id="0">
    <w:p w:rsidR="00D3667B" w:rsidRDefault="00D3667B" w:rsidP="007E1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8F4" w:rsidRDefault="00D366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412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8F4" w:rsidRDefault="00D366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412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8F4" w:rsidRDefault="00D366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412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67514A"/>
    <w:multiLevelType w:val="multilevel"/>
    <w:tmpl w:val="AD3A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C2MLKwsLQwNjczNjFV0lEKTi0uzszPAykwrAUAv+UjSCwAAAA="/>
  </w:docVars>
  <w:rsids>
    <w:rsidRoot w:val="00B47730"/>
    <w:rsid w:val="0003189E"/>
    <w:rsid w:val="00034616"/>
    <w:rsid w:val="0006063C"/>
    <w:rsid w:val="000D7976"/>
    <w:rsid w:val="0015074B"/>
    <w:rsid w:val="00170587"/>
    <w:rsid w:val="00192303"/>
    <w:rsid w:val="001C0DA4"/>
    <w:rsid w:val="001D1D16"/>
    <w:rsid w:val="00212D33"/>
    <w:rsid w:val="002477F4"/>
    <w:rsid w:val="002564DA"/>
    <w:rsid w:val="002705AF"/>
    <w:rsid w:val="0029639D"/>
    <w:rsid w:val="00326F90"/>
    <w:rsid w:val="0033055F"/>
    <w:rsid w:val="00340039"/>
    <w:rsid w:val="003835D9"/>
    <w:rsid w:val="0044759A"/>
    <w:rsid w:val="004D336D"/>
    <w:rsid w:val="007E195B"/>
    <w:rsid w:val="00814DEE"/>
    <w:rsid w:val="00A742D9"/>
    <w:rsid w:val="00AA1D8D"/>
    <w:rsid w:val="00B251E5"/>
    <w:rsid w:val="00B47730"/>
    <w:rsid w:val="00BC593F"/>
    <w:rsid w:val="00BE19CA"/>
    <w:rsid w:val="00BF14C7"/>
    <w:rsid w:val="00C67EAB"/>
    <w:rsid w:val="00CB0664"/>
    <w:rsid w:val="00CD226D"/>
    <w:rsid w:val="00CE2960"/>
    <w:rsid w:val="00D3667B"/>
    <w:rsid w:val="00D658F4"/>
    <w:rsid w:val="00E24B67"/>
    <w:rsid w:val="00EA3A73"/>
    <w:rsid w:val="00ED0111"/>
    <w:rsid w:val="00F55DD3"/>
    <w:rsid w:val="00F9477D"/>
    <w:rsid w:val="00FC6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rules v:ext="edit">
        <o:r id="V:Rule1" type="connector" idref="#Straight Arrow Connector 19"/>
        <o:r id="V:Rule2" type="connector" idref="#Straight Arrow Connector 16"/>
        <o:r id="V:Rule3" type="connector" idref="#Straight Arrow Connector 27"/>
        <o:r id="V:Rule4" type="connector" idref="#Straight Arrow Connector 36"/>
        <o:r id="V:Rule5" type="connector" idref="#Straight Arrow Connector 35"/>
        <o:r id="V:Rule6" type="connector" idref="#Straight Arrow Connector 15"/>
        <o:r id="V:Rule7" type="connector" idref="#Straight Arrow Connector 17"/>
        <o:r id="V:Rule8" type="connector" idref="#Straight Arrow Connector 14"/>
      </o:rules>
    </o:shapelayout>
  </w:shapeDefaults>
  <w:decimalSymbol w:val="."/>
  <w:listSeparator w:val=","/>
  <w14:docId w14:val="37C5B3F5"/>
  <w15:docId w15:val="{DF8A232D-4BD3-4A40-B536-1733EE7D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pPr>
      <w:spacing w:after="120"/>
    </w:pPr>
    <w:rPr>
      <w:rFonts w:ascii="Times New Roman" w:hAnsi="Times New Roman" w:cs="Times New Roman"/>
      <w:sz w:val="24"/>
    </w:rPr>
  </w:style>
  <w:style w:type="paragraph" w:styleId="Heading1">
    <w:name w:val="heading 1"/>
    <w:basedOn w:val="Normal"/>
    <w:next w:val="Normal"/>
    <w:link w:val="Heading1Char"/>
    <w:uiPriority w:val="9"/>
    <w:qFormat/>
    <w:rsid w:val="00FC693F"/>
    <w:pPr>
      <w:keepNext/>
      <w:keepLines/>
      <w:spacing w:before="240" w:line="264" w:lineRule="auto"/>
      <w:outlineLvl w:val="0"/>
    </w:pPr>
    <w:rPr>
      <w:rFonts w:asciiTheme="majorHAnsi" w:eastAsiaTheme="majorEastAsia" w:hAnsiTheme="majorHAnsi" w:cstheme="majorBidi"/>
      <w:b/>
      <w:bCs/>
      <w:color w:val="1F375E"/>
      <w:sz w:val="26"/>
      <w:szCs w:val="28"/>
    </w:rPr>
  </w:style>
  <w:style w:type="paragraph" w:styleId="Heading2">
    <w:name w:val="heading 2"/>
    <w:basedOn w:val="Normal"/>
    <w:next w:val="Normal"/>
    <w:link w:val="Heading2Char"/>
    <w:uiPriority w:val="9"/>
    <w:unhideWhenUsed/>
    <w:qFormat/>
    <w:rsid w:val="00FC693F"/>
    <w:pPr>
      <w:keepNext/>
      <w:keepLines/>
      <w:spacing w:before="200" w:after="80" w:line="264" w:lineRule="auto"/>
      <w:outlineLvl w:val="1"/>
    </w:pPr>
    <w:rPr>
      <w:rFonts w:asciiTheme="majorHAnsi" w:eastAsiaTheme="majorEastAsia" w:hAnsiTheme="majorHAnsi" w:cstheme="majorBidi"/>
      <w:b/>
      <w:bCs/>
      <w:color w:val="1F375E"/>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ustomTitle">
    <w:name w:val="CustomTitle"/>
    <w:basedOn w:val="Title"/>
    <w:rsid w:val="007E195B"/>
    <w:pPr>
      <w:spacing w:before="240" w:after="240"/>
      <w:jc w:val="center"/>
    </w:pPr>
    <w:rPr>
      <w:rFonts w:ascii="Times New Roman" w:hAnsi="Times New Roman" w:cs="Times New Roman"/>
      <w:b/>
      <w:color w:val="1F375E"/>
      <w:sz w:val="32"/>
    </w:rPr>
  </w:style>
  <w:style w:type="paragraph" w:customStyle="1" w:styleId="ReferenceEntry">
    <w:name w:val="ReferenceEntry"/>
    <w:basedOn w:val="Normal"/>
    <w:rsid w:val="007E195B"/>
    <w:pPr>
      <w:spacing w:after="60"/>
      <w:ind w:left="720" w:hanging="720"/>
    </w:pPr>
    <w:rPr>
      <w:sz w:val="22"/>
    </w:rPr>
  </w:style>
  <w:style w:type="character" w:styleId="Hyperlink">
    <w:name w:val="Hyperlink"/>
    <w:basedOn w:val="DefaultParagraphFont"/>
    <w:uiPriority w:val="99"/>
    <w:unhideWhenUsed/>
    <w:rsid w:val="00170587"/>
    <w:rPr>
      <w:color w:val="0000FF" w:themeColor="hyperlink"/>
      <w:u w:val="single"/>
    </w:rPr>
  </w:style>
  <w:style w:type="paragraph" w:styleId="BalloonText">
    <w:name w:val="Balloon Text"/>
    <w:basedOn w:val="Normal"/>
    <w:link w:val="BalloonTextChar"/>
    <w:uiPriority w:val="99"/>
    <w:semiHidden/>
    <w:unhideWhenUsed/>
    <w:rsid w:val="001D1D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D16"/>
    <w:rPr>
      <w:rFonts w:ascii="Segoe UI" w:hAnsi="Segoe UI" w:cs="Segoe UI"/>
      <w:sz w:val="18"/>
      <w:szCs w:val="18"/>
    </w:rPr>
  </w:style>
  <w:style w:type="paragraph" w:styleId="NormalWeb">
    <w:name w:val="Normal (Web)"/>
    <w:basedOn w:val="Normal"/>
    <w:uiPriority w:val="99"/>
    <w:semiHidden/>
    <w:unhideWhenUsed/>
    <w:rsid w:val="0033055F"/>
    <w:pPr>
      <w:spacing w:before="100" w:beforeAutospacing="1" w:after="100" w:afterAutospacing="1" w:line="240" w:lineRule="auto"/>
    </w:pPr>
    <w:rPr>
      <w:rFonts w:eastAsia="Times New Roman"/>
      <w:szCs w:val="24"/>
    </w:rPr>
  </w:style>
  <w:style w:type="character" w:styleId="UnresolvedMention">
    <w:name w:val="Unresolved Mention"/>
    <w:basedOn w:val="DefaultParagraphFont"/>
    <w:uiPriority w:val="99"/>
    <w:semiHidden/>
    <w:unhideWhenUsed/>
    <w:rsid w:val="00BE1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18256">
      <w:bodyDiv w:val="1"/>
      <w:marLeft w:val="0"/>
      <w:marRight w:val="0"/>
      <w:marTop w:val="0"/>
      <w:marBottom w:val="0"/>
      <w:divBdr>
        <w:top w:val="none" w:sz="0" w:space="0" w:color="auto"/>
        <w:left w:val="none" w:sz="0" w:space="0" w:color="auto"/>
        <w:bottom w:val="none" w:sz="0" w:space="0" w:color="auto"/>
        <w:right w:val="none" w:sz="0" w:space="0" w:color="auto"/>
      </w:divBdr>
      <w:divsChild>
        <w:div w:id="2010400226">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222247713">
      <w:bodyDiv w:val="1"/>
      <w:marLeft w:val="0"/>
      <w:marRight w:val="0"/>
      <w:marTop w:val="0"/>
      <w:marBottom w:val="0"/>
      <w:divBdr>
        <w:top w:val="none" w:sz="0" w:space="0" w:color="auto"/>
        <w:left w:val="none" w:sz="0" w:space="0" w:color="auto"/>
        <w:bottom w:val="none" w:sz="0" w:space="0" w:color="auto"/>
        <w:right w:val="none" w:sz="0" w:space="0" w:color="auto"/>
      </w:divBdr>
      <w:divsChild>
        <w:div w:id="672562363">
          <w:marLeft w:val="0"/>
          <w:marRight w:val="0"/>
          <w:marTop w:val="0"/>
          <w:marBottom w:val="0"/>
          <w:divBdr>
            <w:top w:val="none" w:sz="0" w:space="0" w:color="auto"/>
            <w:left w:val="none" w:sz="0" w:space="0" w:color="auto"/>
            <w:bottom w:val="none" w:sz="0" w:space="0" w:color="auto"/>
            <w:right w:val="none" w:sz="0" w:space="0" w:color="auto"/>
          </w:divBdr>
          <w:divsChild>
            <w:div w:id="208668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587906">
      <w:bodyDiv w:val="1"/>
      <w:marLeft w:val="0"/>
      <w:marRight w:val="0"/>
      <w:marTop w:val="0"/>
      <w:marBottom w:val="0"/>
      <w:divBdr>
        <w:top w:val="none" w:sz="0" w:space="0" w:color="auto"/>
        <w:left w:val="none" w:sz="0" w:space="0" w:color="auto"/>
        <w:bottom w:val="none" w:sz="0" w:space="0" w:color="auto"/>
        <w:right w:val="none" w:sz="0" w:space="0" w:color="auto"/>
      </w:divBdr>
      <w:divsChild>
        <w:div w:id="1576087962">
          <w:marLeft w:val="0"/>
          <w:marRight w:val="0"/>
          <w:marTop w:val="0"/>
          <w:marBottom w:val="0"/>
          <w:divBdr>
            <w:top w:val="none" w:sz="0" w:space="0" w:color="auto"/>
            <w:left w:val="none" w:sz="0" w:space="0" w:color="auto"/>
            <w:bottom w:val="none" w:sz="0" w:space="0" w:color="auto"/>
            <w:right w:val="none" w:sz="0" w:space="0" w:color="auto"/>
          </w:divBdr>
          <w:divsChild>
            <w:div w:id="1717001792">
              <w:marLeft w:val="0"/>
              <w:marRight w:val="0"/>
              <w:marTop w:val="0"/>
              <w:marBottom w:val="0"/>
              <w:divBdr>
                <w:top w:val="none" w:sz="0" w:space="0" w:color="auto"/>
                <w:left w:val="none" w:sz="0" w:space="0" w:color="auto"/>
                <w:bottom w:val="none" w:sz="0" w:space="0" w:color="auto"/>
                <w:right w:val="none" w:sz="0" w:space="0" w:color="auto"/>
              </w:divBdr>
              <w:divsChild>
                <w:div w:id="110777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59/000228334" TargetMode="External"/><Relationship Id="rId18" Type="http://schemas.openxmlformats.org/officeDocument/2006/relationships/hyperlink" Target="https://doi.org/10.1001/jamadermatol.2019.0759" TargetMode="External"/><Relationship Id="rId26" Type="http://schemas.openxmlformats.org/officeDocument/2006/relationships/hyperlink" Target="https://doi.org/10.1111/j.1468-3083.2012.04668.x" TargetMode="External"/><Relationship Id="rId39" Type="http://schemas.openxmlformats.org/officeDocument/2006/relationships/theme" Target="theme/theme1.xml"/><Relationship Id="rId21" Type="http://schemas.openxmlformats.org/officeDocument/2006/relationships/hyperlink" Target="https://doi.org/10.1038/s41572-020-0149-1"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16/j.jaad.2016.07.041" TargetMode="External"/><Relationship Id="rId17" Type="http://schemas.openxmlformats.org/officeDocument/2006/relationships/hyperlink" Target="https://doi.org/10.1159/000269836" TargetMode="External"/><Relationship Id="rId25" Type="http://schemas.openxmlformats.org/officeDocument/2006/relationships/hyperlink" Target="https://doi.org/10.1016/j.jaad.2020.12.089"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310/7750.2007.00019" TargetMode="External"/><Relationship Id="rId20" Type="http://schemas.openxmlformats.org/officeDocument/2006/relationships/hyperlink" Target="https://doi.org/10.3390/cancers13051153" TargetMode="External"/><Relationship Id="rId29" Type="http://schemas.openxmlformats.org/officeDocument/2006/relationships/hyperlink" Target="https://doi.org/10.1111/bjd.197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aad.2016.08.031" TargetMode="External"/><Relationship Id="rId24" Type="http://schemas.openxmlformats.org/officeDocument/2006/relationships/hyperlink" Target="https://doi.org/10.1159/000228337"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s0190-9622(98)70272-5" TargetMode="External"/><Relationship Id="rId23" Type="http://schemas.openxmlformats.org/officeDocument/2006/relationships/hyperlink" Target="https://doi.org/10.1159/000182261" TargetMode="External"/><Relationship Id="rId28" Type="http://schemas.openxmlformats.org/officeDocument/2006/relationships/hyperlink" Target="https://doi.org/10.1111/dsu.12329" TargetMode="External"/><Relationship Id="rId36" Type="http://schemas.openxmlformats.org/officeDocument/2006/relationships/header" Target="header3.xml"/><Relationship Id="rId10" Type="http://schemas.openxmlformats.org/officeDocument/2006/relationships/hyperlink" Target="https://doi.org/10.1111/j.1365-2133.2010.10071.x" TargetMode="External"/><Relationship Id="rId19" Type="http://schemas.openxmlformats.org/officeDocument/2006/relationships/hyperlink" Target="https://doi.org/10.1111/jdv.15710" TargetMode="External"/><Relationship Id="rId31" Type="http://schemas.openxmlformats.org/officeDocument/2006/relationships/hyperlink" Target="https://doi.org/10.5195/ijms.2025.2809" TargetMode="External"/><Relationship Id="rId4" Type="http://schemas.openxmlformats.org/officeDocument/2006/relationships/settings" Target="settings.xml"/><Relationship Id="rId9" Type="http://schemas.openxmlformats.org/officeDocument/2006/relationships/hyperlink" Target="https://doi.org/10.1016/j.jaad.2024.12.046" TargetMode="External"/><Relationship Id="rId14" Type="http://schemas.openxmlformats.org/officeDocument/2006/relationships/hyperlink" Target="https://doi.org/10.1016/j.jaad.2018.06.063" TargetMode="External"/><Relationship Id="rId22" Type="http://schemas.openxmlformats.org/officeDocument/2006/relationships/hyperlink" Target="https://doi.org/10.1111/ijd.15677" TargetMode="External"/><Relationship Id="rId27" Type="http://schemas.openxmlformats.org/officeDocument/2006/relationships/hyperlink" Target="https://doi.org/10.1111/bjd.19556" TargetMode="External"/><Relationship Id="rId30" Type="http://schemas.openxmlformats.org/officeDocument/2006/relationships/hyperlink" Target="https://doi.org/10.1111/bjd.15748" TargetMode="External"/><Relationship Id="rId35" Type="http://schemas.openxmlformats.org/officeDocument/2006/relationships/footer" Target="footer2.xml"/><Relationship Id="rId8" Type="http://schemas.openxmlformats.org/officeDocument/2006/relationships/hyperlink" Target="https://doi.org/10.1016/j.jaad.2019.10.044"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391F1-0145-459A-887C-290882974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27</Pages>
  <Words>12157</Words>
  <Characters>69295</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Management Challenges and Surgical Role in Hidradenitis Suppurativa: A Comprehensive Review</vt:lpstr>
    </vt:vector>
  </TitlesOfParts>
  <Manager/>
  <Company/>
  <LinksUpToDate>false</LinksUpToDate>
  <CharactersWithSpaces>81290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Challenges and Surgical Role in Hidradenitis Suppurativa: A Comprehensive Review</dc:title>
  <dc:subject>Narrative review manuscript on hidradenitis suppurativa</dc:subject>
  <dc:creator>OpenAI</dc:creator>
  <cp:keywords>Keywords: hidradenitis suppurativa; acne inversa; surgery; deroofing; wide excision; biologics; multidisciplinary care; narrative review</cp:keywords>
  <dc:description>generated by python-docx</dc:description>
  <cp:lastModifiedBy>SDI PC New 16</cp:lastModifiedBy>
  <cp:revision>18</cp:revision>
  <dcterms:created xsi:type="dcterms:W3CDTF">2013-12-23T23:15:00Z</dcterms:created>
  <dcterms:modified xsi:type="dcterms:W3CDTF">2026-04-11T12:20:00Z</dcterms:modified>
  <cp:category/>
  <dc:language>en-GB</dc:language>
</cp:coreProperties>
</file>