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211" w:rsidRDefault="00B04211" w:rsidP="00B04211">
      <w:pPr>
        <w:jc w:val="both"/>
        <w:rPr>
          <w:rFonts w:ascii="Times New Roman" w:hAnsi="Times New Roman" w:cs="Times New Roman"/>
          <w:b/>
          <w:bCs/>
          <w:sz w:val="24"/>
          <w:szCs w:val="24"/>
        </w:rPr>
      </w:pPr>
      <w:r w:rsidRPr="00B04211">
        <w:rPr>
          <w:rFonts w:ascii="Times New Roman" w:hAnsi="Times New Roman" w:cs="Times New Roman"/>
          <w:b/>
          <w:bCs/>
          <w:sz w:val="24"/>
          <w:szCs w:val="24"/>
        </w:rPr>
        <w:t>Named Entity Recognition System for Igala Language: Design, Implementation and Evaluation</w:t>
      </w:r>
    </w:p>
    <w:p w:rsidR="005852A1" w:rsidRDefault="005852A1" w:rsidP="00B04211">
      <w:pPr>
        <w:jc w:val="both"/>
        <w:rPr>
          <w:rFonts w:ascii="Times New Roman" w:hAnsi="Times New Roman" w:cs="Times New Roman"/>
          <w:b/>
          <w:bCs/>
          <w:sz w:val="24"/>
          <w:szCs w:val="24"/>
        </w:rPr>
      </w:pPr>
    </w:p>
    <w:p w:rsidR="005852A1" w:rsidRPr="00B04211" w:rsidRDefault="005852A1" w:rsidP="00B04211">
      <w:pPr>
        <w:jc w:val="both"/>
        <w:rPr>
          <w:rFonts w:ascii="Times New Roman" w:hAnsi="Times New Roman" w:cs="Times New Roman"/>
          <w:b/>
          <w:bCs/>
          <w:sz w:val="24"/>
          <w:szCs w:val="24"/>
        </w:rPr>
      </w:pPr>
      <w:r>
        <w:rPr>
          <w:rFonts w:ascii="Times New Roman" w:hAnsi="Times New Roman" w:cs="Times New Roman"/>
          <w:b/>
          <w:bCs/>
          <w:sz w:val="24"/>
          <w:szCs w:val="24"/>
        </w:rPr>
        <w:t>Article Type: Original Research Article</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Abstract</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development of natural language processing resources for low-resource languages remains a critical challenge in computational linguistics, particularly for languages with millions of speakers but limited digital representation. This study presents the design, implementation, and evaluation of the first dedicated Named Entity Recognition (NER) system for the Igala language, a Yoruboid language spoken by approximately two million people in Kogi State, Nigeria. The research addresses the fundamental resource gap by creating a manually annotated Igala NER corpus comprising 35,000 sentences with 425,000 tokens, annotated for four entity types: person names, locations, organisations, and date expressions. Three NER architectures were implemented and evaluated: a Conditional Random Field (CRF) baseline model, a Bidirectional Long Short-Term Memory with Conditional Random Field (BiLSTM-CRF) neural model, and a fine-tuned African-focused transformer model (AfroXLMR-base). The BiLSTM-CRF model achieved the highest overall performance with an F1-score of 86.4%, followed by AfroXLMR-base with 84.7% and CRF with 79.2%. Statistical significance testing confirmed that the differences between models are significant (p &lt; 0.05). Error analysis revealed that person names achieved the highest recognition accuracy at 89.1%, while organisations proved most challenging at 81.3% due to morphological complexity and limited contextual patterns. The system demonstrates that high-performing NER resources can be developed for low-resource Nigerian languages through careful corpus design and appropriate model selection. This work contributes the first annotated Igala NER corpus, establishes baseline performance benchmarks, and provides a replicable methodological framework for NER development in other under-resourced African languages. The findings have significant implications for downstream applications including machine translation, information retrieval, and digital language preservation initiatives.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Keywords:</w:t>
      </w:r>
      <w:r w:rsidRPr="00B04211">
        <w:rPr>
          <w:rFonts w:ascii="Times New Roman" w:hAnsi="Times New Roman" w:cs="Times New Roman"/>
          <w:sz w:val="24"/>
          <w:szCs w:val="24"/>
        </w:rPr>
        <w:t xml:space="preserve"> Igala language, named entity recognition, low-resource NLP, African languages, deep learning</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1. Introduction</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Named Entity Recognition (NER) constitutes a fundamental task in natural language processing that involves identifying and classifying named entities within unstructured text into predefined categories such as person names, locations, organisations, and temporal expressions (Li et al., 2022). The task serves as a critical preprocessing component for numerous downstream applications including machine translation, information retrieval, question answering systems, and knowledge base construction. While NER systems have achieved remarkable performance for high-resource languages such as English, Chinese, and Arabic, the development of such resources for low-resource languages remains significantly underrepresented in computational linguistics research (Hedderich et al., 2021).</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 xml:space="preserve">The African continent presents a particularly striking disparity in NLP resource allocation. Despite hosting over 2,000 languages spoken by approximately 1.4 billion people, African </w:t>
      </w:r>
      <w:r w:rsidRPr="00B04211">
        <w:rPr>
          <w:rFonts w:ascii="Times New Roman" w:hAnsi="Times New Roman" w:cs="Times New Roman"/>
          <w:sz w:val="24"/>
          <w:szCs w:val="24"/>
        </w:rPr>
        <w:lastRenderedPageBreak/>
        <w:t>languages account for less than 3% of published NLP research and an even smaller fraction of available digital language resources (Nekoto et al., 2020). This underrepresentation has profound implications for digital inclusion, as millions of African language speakers are excluded from accessing information technologies in their native languages. The situation is particularly acute for Nigerian languages, where over 500 languages are spoken but only three—Hausa, Yoruba, and Igbo—have received any substantial computational attention (Emedem et al., 2025; Adelani et al., 2025).</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Igala language, classified within the Yoruboid branch of the Benue-Congo language family, is spoken by approximately two million people primarily in Kogi State, Nigeria (Omachonu, 2021). Despite its substantial speaker population and rich linguistic heritage, Igala remains virtually untouched by NLP research, with no existing resources for named entity recognition or related computational tasks. The absence of such foundational tools creates a cascading barrier to developing more sophisticated language technologies, as NER systems typically serve as essential components for information extraction, machine translation, and digital corpus development (Adedeji &amp; Akinwale, 2023).</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need for Igala language NER capabilities extends beyond academic interest to practical applications with tangible community benefits. Digital preservation efforts for Igala oral literature, folklore, and historical records require automated tools for indexing and retrieving culturally significant content (Ochala&amp; Mbah, 2024). Educational technology initiatives aiming to develop Igala language learning materials need NER systems to process and organise pedagogical content. Healthcare information systems targeting Igala-speaking communities require entity extraction to process patient records and deliver culturally appropriate health information (Sallauka et al., 2025). These applications underscore the urgent need for foundational NLP resources in the language.</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This research addresses the identified gap through the design, implementation, and evaluation of a dedicated Named Entity Recognition system for the Igala language. The study pursues three primary objectives: first, to create a manually annotated Igala NER corpus with high-quality entity annotations; second, to implement and evaluate multiple NER architectures ranging from traditional machine learning to state-of-the-art deep learning approaches; and third, to establish baseline performance benchmarks that can guide future research and system development for Igala and related low-resource languages.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significance of this work extends beyond the immediate contributions to Igala language technology. The methodological framework developed in this study offers replicable strategies for NER resource creation in other under-resourced African languages facing similar challenges of limited digital data, morphological complexity, and scarce computational expertise (Chukwuneke, 2025; Munkoh&amp; Asiedu, 2026). The comparative evaluation of different architectural approaches provides empirical evidence regarding the trade-offs between model complexity, data requirements, and achievable performance in low-resource settings. Furthermore, the annotated corpus and trained models constitute permanent contributions to the computational linguistics community, enabling future research on Igala and facilitating cross-lingual transfer learning for related languages.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 xml:space="preserve">The remainder of this paper is organised as follows. Section 2 presents a comprehensive review of related literature spanning NER methodologies, low-resource language approaches, and African language NLP development. Section 3 details the methodological framework </w:t>
      </w:r>
      <w:r w:rsidRPr="00B04211">
        <w:rPr>
          <w:rFonts w:ascii="Times New Roman" w:hAnsi="Times New Roman" w:cs="Times New Roman"/>
          <w:sz w:val="24"/>
          <w:szCs w:val="24"/>
        </w:rPr>
        <w:lastRenderedPageBreak/>
        <w:t>including corpus design, annotation procedures, and model architectures. Section 4 presents experimental results and systematic analysis of system performance. Section 5 discusses the implications of findings and identifies limitations and future directions. Section 6 concludes the study with recommendations for research and practice.</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2. Literature Review</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2.1 Evolution of Named Entity Recognition Methodologies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Named Entity Recognition has evolved through several distinct methodological paradigms since its introduction at the Sixth Message Understanding Conference in 1995. The earliest approaches relied on hand-crafted rules and lexicon-based matching, where linguists and domain experts developed extensive sets of patterns, regular expressions, and gazetteers to identify entity mentions in text (Grishman &amp; Sundheim, 1996). These rule-based systems achieved reasonable precision within narrow domains but suffered from poor recall and required substantial manual effort to adapt to new domains or languages. The rule-based paradigm, while largely superseded by statistical approaches, continues to influence contemporary NER development for low-resource languages where annotated data is scarce and linguistic expertise can be encoded directly into system design (Kamau, 2025).</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introduction of statistical machine learning methods marked a significant advancement in NER capabilities. Hidden Markov Models and Maximum Entropy classifiers represented early attempts to frame entity recognition as a sequence labelling problem, learning patterns from annotated corpora rather than relying on explicit rules (Bikel et al., 1999). The Conditional Random Field (CRF) framework, introduced by Lafferty et al. (2001), emerged as the dominant statistical approach for NER due to its ability to model dependencies between adjacent labels while relaxing the independence assumptions of generative models. CRF-based systems achieved state-of-the-art performance throughout the 2000s and remain valuable baselines for low-resource scenarios due to their effectiveness with modest training data sizes and their interpretable feature-based architecture (Sutton &amp; McCallum, 2012).</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deep learning revolution transformed NER methodology through the application of neural network architectures capable of learning hierarchical representations directly from text. Collobert et al. (2011) demonstrated that convolutional neural networks could achieve competitive NER performance without task-specific feature engineering. The introduction of recurrent neural networks, particularly Long Short-Term Memory (LSTM) architectures, enabled models to capture long-range contextual dependencies crucial for accurate entity classification (Hochreiter &amp;Schmidhuber, 1997). The bidirectional LSTM (BiLSTM) variant, which processes sequences in both forward and backward directions, proved especially effective for NER by incorporating context from both preceding and following tokens (Graves &amp;Schmidhuber, 2005).</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 xml:space="preserve">The combination of BiLSTM layers with CRF decoding emerged as the predominant neural architecture for NER throughout the late 2010s. The BiLSTM-CRF model leverages the sequential modelling capabilities of recurrent networks while ensuring coherent label sequences through the CRF layer's transition constraints (Huang et al., 2015). This architecture achieved state-of-the-art results across multiple languages and domains, demonstrating particular effectiveness for morphologically rich languages where entity boundaries can be ambiguous. Research by Lample et al. (2016) established BiLSTM-CRF </w:t>
      </w:r>
      <w:r w:rsidRPr="00B04211">
        <w:rPr>
          <w:rFonts w:ascii="Times New Roman" w:hAnsi="Times New Roman" w:cs="Times New Roman"/>
          <w:sz w:val="24"/>
          <w:szCs w:val="24"/>
        </w:rPr>
        <w:lastRenderedPageBreak/>
        <w:t>with character-level embeddings as a robust architecture that generalised well across languages with minimal language-specific adaptation.</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introduction of transformer architectures represented another paradigm shift in NLP methodology. The self-attention mechanism proposed by Vaswani et al. (2017) enabled models to capture dependencies between all positions in a sequence simultaneously, overcoming the sequential processing limitations of recurrent networks. Pre-trained transformer models such as BERT (Devlin et al., 2019) and its multilingual variants demonstrated that language models pre-trained on massive corpora could be fine-tuned for NER tasks with relatively small amounts of annotated data, achieving performance that surpassed previous approaches. The success of transformer-based NER hinges on the rich contextual representations learned during pre-training, which capture syntactic, semantic, and world knowledge relevant to entity recognition (Li et al., 2022).</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2.2 Named Entity Recognition for Low-Resource Languages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application of NER techniques to low-resource languages presents distinct challenges that differentiate this research domain from high-resource language work. Hedderich et al. (2021) provide a comprehensive taxonomy of low-resource NER challenges, identifying data scarcity, domain mismatch, morphological complexity, and script diversity as primary obstacles. The scarcity of annotated corpora remains the most fundamental constraint, as supervised learning approaches require substantial quantities of labelled data to achieve acceptable performance. For the vast majority of the world's languages, no NER-annotated corpora exist whatsoever, creating a complete barrier to system development (Magueresse et al., 2020).</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Transfer learning has emerged as a primary strategy for addressing data scarcity in low-resource NER. The approach leverages knowledge acquired from high-resource source languages or domains to improve performance on low-resource targets. Early transfer learning work focused on model parameter sharing and multi-task learning, where models trained on high-resource languages were adapted through fine-tuning on limited target language data (Zhou et al., 2019). The development of multilingual pre-trained models such as mBERT and XLM-R significantly enhanced transfer learning capabilities by providing shared representation spaces across languages, enabling zero-shot and few-shot transfer even between typologically distant languages (Pires et al., 2019; Conneau et al., 2020).</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Cross-lingual transfer for NER has been extensively studied for low-resource European and Asian languages, but African languages remain severely underrepresented in this research. Studies by Rahimi et al. (2019) demonstrated that zero-shot transfer from high-resource languages to low-resource targets achieves variable performance depending on linguistic similarity and script compatibility. Languages sharing writing systems and typological features benefit more substantially from transfer, suggesting that African language NER development may benefit from strategic selection of source languages within the same language families or geographical regions (Adelani et al., 2021; Adelani et al., 2025).</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 xml:space="preserve">Data augmentation techniques offer complementary strategies for expanding effective training data in low-resource settings. Simple approaches such as synonym replacement and entity substitution can generate synthetic training examples from limited annotated corpora (Wei &amp; Zou, 2019). More sophisticated methods leverage parallel corpora to project entity </w:t>
      </w:r>
      <w:r w:rsidRPr="00B04211">
        <w:rPr>
          <w:rFonts w:ascii="Times New Roman" w:hAnsi="Times New Roman" w:cs="Times New Roman"/>
          <w:sz w:val="24"/>
          <w:szCs w:val="24"/>
        </w:rPr>
        <w:lastRenderedPageBreak/>
        <w:t>annotations from high-resource to low-resource languages, a technique successfully applied in the development of Igbo NER resources (Chukwuneke, 2025). The projection approach requires high-quality word alignment and faces challenges with divergent entity mention patterns across languages, but offers a pathway to rapid corpus development when parallel texts exist.</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Active learning and semi-supervised learning represent additional paradigms for maximising value from limited annotation budgets. Active learning systems iteratively select the most informative unlabelled examples for manual annotation, reducing the total annotation effort required to achieve target performance levels (Settles, 2012). For NER, uncertainty sampling and diversity sampling have proven effective in selecting examples that maximise model improvement per annotated instance (Shen et al., 2017). Semi-supervised approaches leverage large quantities of unlabelled text through self-training or co-training, where model predictions on unlabelled data are used to generate additional training examples with appropriate confidence filtering (Liang et al., 2020).</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2.3 African Language NLP: Progress and Persistent Gaps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past five years have witnessed growing attention to African language NLP, catalysed by initiatives such as Masakhane, a grassroots community of researchers dedicated to advancing NLP for African languages (Nekoto et al., 2020). Masakhane has coordinated numerous efforts including machine translation benchmark development, part-of-speech tagging resource creation, and named entity recognition dataset construction across multiple African languages. The community's participatory approach, emphasising involvement of native speakers and local researchers, has established a sustainable model for African language technology development that prioritises community needs and linguistic authenticity.</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Named entity recognition for African languages has progressed through several notable projects targeting specific languages and language families. The development of IgboNER, the first dedicated NER system for the Igbo language, established a methodological template subsequently adapted for other Nigerian languages (Chukwuneke, 2025). The IgboNER project created an annotated corpus through annotation projection from English, leveraging a parallel English-Igbo corpus and word alignment techniques to transfer entity labels from English to Igbo sentences. The resulting system achieved F1-scores exceeding 80% for person and location entities, demonstrating the viability of projection-based approaches for African language NER development.</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WAZOBIA-NER project extended NER coverage to Nigeria's three major languages—Hausa, Yoruba, and Igbo—through a unified system supporting multiple entity types (Emedem et al., 2025). This research evaluated multiple architectural approaches including CRF, BiLSTM, and transformer-based models, finding that fine-tuned transformer models achieved the highest performance across all three languages. The WAZOBIA system also incorporated optical character recognition capabilities, enabling entity extraction from image inputs and broadening potential applications to digitised documents and photographed text. The project's cross-lingual architecture demonstrates the feasibility of developing NER systems that generalise across multiple African languages within a single framework.</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 xml:space="preserve">Research on NER for other African language families has proceeded in parallel with Nigerian language work. The development of an Awngi language NER system for this Ethiopian </w:t>
      </w:r>
      <w:r w:rsidRPr="00B04211">
        <w:rPr>
          <w:rFonts w:ascii="Times New Roman" w:hAnsi="Times New Roman" w:cs="Times New Roman"/>
          <w:sz w:val="24"/>
          <w:szCs w:val="24"/>
        </w:rPr>
        <w:lastRenderedPageBreak/>
        <w:t>language achieved exceptional performance using BiLSTM architecture with word2vec embeddings, reporting F1-scores exceeding 97% after data augmentation (Kassahun et al., 2025). The Awngi research benefited from careful corpus construction drawing from community media sources and educational materials, highlighting the importance of representative data collection in achieving high performance. Similarly, work on Kikuyu NER using memory-based learning algorithms demonstrated that traditional machine learning approaches remain viable for low-resource settings where neural network training data may be insufficient (Kamau, 2025). Recent work by Munkoh and Asiedu (2026) on Twi NER further confirms the importance of character-level features for morphologically complex African languages.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Despite these advances, significant gaps persist in African language NER coverage. The African Entity Recognition Bias Index (AERBI) developed by Shiaki (2025) systematically quantified performance disparities between African languages and high-resource languages, revealing that even the best-performing African NER systems lag substantially behind English-language benchmarks. The AERBI analysis further identified systematic biases in entity recognition across different entity types and linguistic contexts, with culturally specific entities such as traditional titles and location names showing particularly poor recognition rates. These findings underscore the need for continued investment in African language NER resources and the importance of culturally informed system design.</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2.4 The Igala Language: Linguistic Context and Computational Challenges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Igala language, spoken primarily in Kogi State, Nigeria, belongs to the Yoruboid group within the larger Benue-Congo branch of the Niger-Congo language family (Omachonu, 2021). Igala exhibits significant linguistic features that present both challenges and opportunities for computational processing. The language is tonal, with three level tones (high, mid, low) that distinguish lexical meaning and grammatical function. Tone marking is inconsistently represented in written Igala, creating ambiguity that affects entity recognition, particularly for names where tonal patterns may distinguish otherwise identical sequences (Ochala&amp; Mbah, 2024).</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Morphologically, Igala displays agglutinative characteristics with complex verb morphology incorporating subject agreement, tense-aspect marking, and derivational extensions (Adeyemi, 2022). Noun morphology is comparatively simpler but includes plural formation through prefixation and associative constructions marked by tonal changes. The interaction between morphological processes and entity mentions creates challenges for NER systems, as entity boundaries may not align with word boundaries identified through simple tokenisation. For example, person names in Igala may incorporate morphological markers indicating respect, origin, or familial relationships, complicating the identification of name boundaries and internal structure.</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 xml:space="preserve">The sociolinguistic situation of Igala further complicates computational resource development. The language exists in a diglossic relationship with English and Nigerian Pidgin, with code-switching and borrowing common in everyday communication (Omachonu&amp; Yusuf, 2023). Written Igala exhibits substantial orthographic variation due to the absence of a single standardised orthography and limited literacy instruction in the language. These factors mean that any NER system must contend with spelling variation, </w:t>
      </w:r>
      <w:r w:rsidRPr="00B04211">
        <w:rPr>
          <w:rFonts w:ascii="Times New Roman" w:hAnsi="Times New Roman" w:cs="Times New Roman"/>
          <w:sz w:val="24"/>
          <w:szCs w:val="24"/>
        </w:rPr>
        <w:lastRenderedPageBreak/>
        <w:t>inconsistent word boundaries, and mixed-language texts that diverge from the monolingual, standardised assumptions underlying most NLP systems.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Previous computational work on Igala remains extremely limited. Sani (2023) developed an English-to-Igala neural machine translation system using an encoder-decoder architecture with attention, trained on a parallel corpus of 50,000 sentences. The system achieved a BLEU score of 71.0% on a held-out test set, demonstrating that neural approaches can achieve reasonable performance for Igala despite limited data. This machine translation work provides the only substantial precedent for Igala NLP and offers valuable resources including parallel text that could support NER corpus development through annotation projection.</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Beyond machine translation, Igala lacks fundamental NLP resources including part-of-speech taggers, parsers, and morphological analysers. This absence of foundational tools means that NER development cannot rely on pre-processed linguistic features that might simplify entity recognition, such as part-of-speech tags or syntactic parse information. The Igala NER system must therefore operate directly on raw text, learning to identify entities from surface forms and distributional patterns alone—a more challenging task than in languages with available linguistic preprocessing tools.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2.5 Research Gap and Study Contribution</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literature review reveals a clear research gap: despite progress in NER for several Nigerian languages including Hausa, Yoruba, and Igbo, no dedicated NER resources exist for the Igala language. This absence is particularly striking given Igala's substantial speaker population and its typological relationship to Yoruba, for which NER resources have been developed. The gap perpetuates the broader pattern of African language underrepresentation in NLP and excludes Igala speakers from accessing language technologies available to speakers of neighbouring languages.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This study addresses the identified gap through three primary contributions. First, it creates the first manually annotated NER corpus for Igala, establishing a foundational resource that enables future research and system development. Second, it implements and evaluates multiple NER architectures, providing empirical evidence regarding optimal approaches for Igala specifically and for low-resource Yoruboid languages generally. Third, it establishes baseline performance benchmarks that can guide future work and enable systematic comparison of alternative methodologies. These contributions advance both the specific goal of Igala language technology and the broader objective of expanding African language NLP coverage.</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3. Methodology</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 xml:space="preserve">This study adopted a </w:t>
      </w:r>
      <w:r w:rsidRPr="00B04211">
        <w:rPr>
          <w:rFonts w:ascii="Times New Roman" w:hAnsi="Times New Roman" w:cs="Times New Roman"/>
          <w:b/>
          <w:bCs/>
          <w:sz w:val="24"/>
          <w:szCs w:val="24"/>
        </w:rPr>
        <w:t>design science research (DSR)</w:t>
      </w:r>
      <w:r w:rsidRPr="00B04211">
        <w:rPr>
          <w:rFonts w:ascii="Times New Roman" w:hAnsi="Times New Roman" w:cs="Times New Roman"/>
          <w:sz w:val="24"/>
          <w:szCs w:val="24"/>
        </w:rPr>
        <w:t xml:space="preserve"> methodology to develop and evaluate a novel Named Entity Recognition (NER) system for the Igala language. Design science research focuses on building and rigorously assessing innovative artefacts that solve identified practical problems while contributing to disciplinary knowledge (Peffers et al., 2020). The study followed four sequential phases: problem identification (establishing the absence of Igala NER resources), objectives definition (specifying entity types and performance criteria), artefact design and development (corpus creation, annotation, and model implementation), and demonstration and evaluation through systematic experimentation.</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lastRenderedPageBreak/>
        <w:t>Ethical Statement:</w:t>
      </w:r>
      <w:r w:rsidRPr="00B04211">
        <w:rPr>
          <w:rFonts w:ascii="Times New Roman" w:hAnsi="Times New Roman" w:cs="Times New Roman"/>
          <w:sz w:val="24"/>
          <w:szCs w:val="24"/>
        </w:rPr>
        <w:t xml:space="preserve"> All human participants (three native Igala linguists involved in annotation) provided written informed consent prior to participation. Participants were fully informed of the study's purpose, the nature of the annotation task, and their right to withdraw without penalty. Data was anonymised, and no sensitive personal information was collected.</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 xml:space="preserve">A high-quality annotated corpus was constructed from diverse Igala text sources to ensure linguistic representativeness. These sources included educational materials, radio broadcast transcripts, social media posts, and oral literature collections. After preprocessing (deduplication, UTF-8 standardisation, and rule-based sentence segmentation), the final corpus comprised </w:t>
      </w:r>
      <w:r w:rsidRPr="00B04211">
        <w:rPr>
          <w:rFonts w:ascii="Times New Roman" w:hAnsi="Times New Roman" w:cs="Times New Roman"/>
          <w:b/>
          <w:bCs/>
          <w:sz w:val="24"/>
          <w:szCs w:val="24"/>
        </w:rPr>
        <w:t>35,000 sentences and 425,160 tokens</w:t>
      </w:r>
      <w:r w:rsidRPr="00B04211">
        <w:rPr>
          <w:rFonts w:ascii="Times New Roman" w:hAnsi="Times New Roman" w:cs="Times New Roman"/>
          <w:sz w:val="24"/>
          <w:szCs w:val="24"/>
        </w:rPr>
        <w:t>, as detailed in Table 1.</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Table 1: Composition of Igala Text Corpus by Source Type</w:t>
      </w:r>
    </w:p>
    <w:tbl>
      <w:tblPr>
        <w:tblStyle w:val="TableGrid"/>
        <w:tblW w:w="0" w:type="auto"/>
        <w:tblLook w:val="04A0"/>
      </w:tblPr>
      <w:tblGrid>
        <w:gridCol w:w="2936"/>
        <w:gridCol w:w="1363"/>
        <w:gridCol w:w="1216"/>
        <w:gridCol w:w="996"/>
        <w:gridCol w:w="2425"/>
      </w:tblGrid>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Source Category</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Documents</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Sentences</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Tokens</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Percentage of Corpus</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Educational Materials</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45</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12,450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156,870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36.9%</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Radio Broadcast Transcripts</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28</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9,830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123,410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29.0%</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Social Media Posts</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156</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7,240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89,760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21.1%</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Oral Literature Collections</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12</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5,480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55,120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13.0%</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b/>
                <w:bCs/>
                <w:sz w:val="24"/>
                <w:szCs w:val="24"/>
              </w:rPr>
              <w:t>Total</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b/>
                <w:bCs/>
                <w:sz w:val="24"/>
                <w:szCs w:val="24"/>
              </w:rPr>
              <w:t>241</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b/>
                <w:bCs/>
                <w:sz w:val="24"/>
                <w:szCs w:val="24"/>
              </w:rPr>
              <w:t>35,000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b/>
                <w:bCs/>
                <w:sz w:val="24"/>
                <w:szCs w:val="24"/>
              </w:rPr>
              <w:t>425,160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b/>
                <w:bCs/>
                <w:sz w:val="24"/>
                <w:szCs w:val="24"/>
              </w:rPr>
              <w:t>100%</w:t>
            </w:r>
          </w:p>
        </w:tc>
      </w:tr>
    </w:tbl>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i/>
          <w:iCs/>
          <w:sz w:val="24"/>
          <w:szCs w:val="24"/>
        </w:rPr>
        <w:t>Source: Compiled by author from corpus documentation (2024)</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 xml:space="preserve">Four entity categories were annotated: Person (PER), Location (LOC), Organisation (ORG), and Date (DATE). Annotation was performed by three trained native Igala linguists using the BRAT tool, with quality control ensured through inter-annotator agreement assessment. Fleiss' kappa scores of 0.89 (identification) and 0.92 (classification) indicate high reliability. The final corpus contains </w:t>
      </w:r>
      <w:r w:rsidRPr="00B04211">
        <w:rPr>
          <w:rFonts w:ascii="Times New Roman" w:hAnsi="Times New Roman" w:cs="Times New Roman"/>
          <w:b/>
          <w:bCs/>
          <w:sz w:val="24"/>
          <w:szCs w:val="24"/>
        </w:rPr>
        <w:t>74,510 annotated entities</w:t>
      </w:r>
      <w:r w:rsidRPr="00B04211">
        <w:rPr>
          <w:rFonts w:ascii="Times New Roman" w:hAnsi="Times New Roman" w:cs="Times New Roman"/>
          <w:sz w:val="24"/>
          <w:szCs w:val="24"/>
        </w:rPr>
        <w:t>, distributed as shown in Table 2.</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Table 2: Distribution of Annotated Entities by Type in Igala NER Corpus</w:t>
      </w:r>
    </w:p>
    <w:tbl>
      <w:tblPr>
        <w:tblStyle w:val="TableGrid"/>
        <w:tblW w:w="0" w:type="auto"/>
        <w:tblLook w:val="04A0"/>
      </w:tblPr>
      <w:tblGrid>
        <w:gridCol w:w="1857"/>
        <w:gridCol w:w="1257"/>
        <w:gridCol w:w="1815"/>
        <w:gridCol w:w="2045"/>
        <w:gridCol w:w="2268"/>
      </w:tblGrid>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Entity Type</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Entity Count</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Percentage of Total</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Average Length (Tokens)</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Sentences Containing Type</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Person (PER)</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28,450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38.2%</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2.4</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14,850 (42.4%)</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Location (LOC)</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22,340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30.0%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1.8</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13,420 (38.3%)</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Organisation (ORG)</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12,890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17.3%</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3.1</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8,950 (25.6%)</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Date (DATE)</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10,830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14.5%</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1.5</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9,230 (26.4%)</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b/>
                <w:bCs/>
                <w:sz w:val="24"/>
                <w:szCs w:val="24"/>
              </w:rPr>
              <w:t>Total</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b/>
                <w:bCs/>
                <w:sz w:val="24"/>
                <w:szCs w:val="24"/>
              </w:rPr>
              <w:t>74,510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b/>
                <w:bCs/>
                <w:sz w:val="24"/>
                <w:szCs w:val="24"/>
              </w:rPr>
              <w:t>100%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b/>
                <w:bCs/>
                <w:sz w:val="24"/>
                <w:szCs w:val="24"/>
              </w:rPr>
              <w:t>2.2</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b/>
                <w:bCs/>
                <w:sz w:val="24"/>
                <w:szCs w:val="24"/>
              </w:rPr>
              <w:t>35,000 (100%)</w:t>
            </w:r>
          </w:p>
        </w:tc>
      </w:tr>
    </w:tbl>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i/>
          <w:iCs/>
          <w:sz w:val="24"/>
          <w:szCs w:val="24"/>
        </w:rPr>
        <w:t>Source: Annotation statistics compiled from corpus development documentation (2024)</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 xml:space="preserve">Three NER architectures were implemented for comparative evaluation: a Conditional Random Field (CRF) baseline, a BiLSTM-CRF neural model (Lample et al., 2016), and the transformer-based AfroXLMR-base model (Alabi et al., 2022). These models represent statistical, neural sequence, and multilingual transformer paradigms respectively. The CRF </w:t>
      </w:r>
      <w:r w:rsidRPr="00B04211">
        <w:rPr>
          <w:rFonts w:ascii="Times New Roman" w:hAnsi="Times New Roman" w:cs="Times New Roman"/>
          <w:sz w:val="24"/>
          <w:szCs w:val="24"/>
        </w:rPr>
        <w:lastRenderedPageBreak/>
        <w:t>relied on engineered linguistic features (orthographic, contextual, and gazetteer features). The BiLSTM-CRF incorporated character-level and word embeddings (100-dimensional pretrained word2vec embeddings trained on Igala text, character embeddings of dimension 50). AfroXLMR-base leveraged large-scale multilingual pre-training with task-specific fine-tuning. Their structural and computational differences are summarised in Table 3.</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Table 3: Comparison of Implemented NER Model Architectures</w:t>
      </w:r>
    </w:p>
    <w:tbl>
      <w:tblPr>
        <w:tblStyle w:val="TableGrid"/>
        <w:tblW w:w="0" w:type="auto"/>
        <w:tblLook w:val="04A0"/>
      </w:tblPr>
      <w:tblGrid>
        <w:gridCol w:w="1533"/>
        <w:gridCol w:w="1341"/>
        <w:gridCol w:w="1181"/>
        <w:gridCol w:w="2264"/>
        <w:gridCol w:w="1447"/>
        <w:gridCol w:w="1476"/>
      </w:tblGrid>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Architecture</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Parameter Count</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Training Time (Hours)</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Inference Speed (Sentences/Second)</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Pre-training Required</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Language-Specific Features</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CRF</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1.2M</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0.5</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850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No</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Engineered features</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BiLSTM-CRF</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8.4M</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4.5</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320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Word embeddings only</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Character-level morphology</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AfroXLMR-base</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270M</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12.0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45</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Massive multilingual</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Continued pre-training</w:t>
            </w:r>
          </w:p>
        </w:tc>
      </w:tr>
    </w:tbl>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i/>
          <w:iCs/>
          <w:sz w:val="24"/>
          <w:szCs w:val="24"/>
        </w:rPr>
        <w:t>Source: Model implementation metrics recorded during experimentation (2024)</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Reproducibility Details:</w:t>
      </w:r>
      <w:r w:rsidRPr="00B04211">
        <w:rPr>
          <w:rFonts w:ascii="Times New Roman" w:hAnsi="Times New Roman" w:cs="Times New Roman"/>
          <w:sz w:val="24"/>
          <w:szCs w:val="24"/>
        </w:rPr>
        <w:t xml:space="preserve"> All experiments were conducted on an NVIDIA Tesla T4 GPU (16GB VRAM) with 32GB RAM. For BiLSTM-CRF, hyperparameters were: learning rate 0.001 (Adam optimizer), dropout 0.5, batch size 32, 100 epochs with early stopping (patience=5). Word embeddings dimension: 100. Character embeddings dimension: 50. Tokenization used a simple whitespace + punctuation split with a custom Igala-specific tokenizer handling tone-marked characters. For AfroXLMR-base, fine-tuning used learning rate 2e-5, batch size 16, 10 epochs. CRF used L-BFGS optimization with feature templates of size ±3 context window. All random seeds were fixed (seed=42).</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dataset was split into training (80%), development (10%), and test (10%) sets using stratified sampling. Evaluation employed entity-level Precision, Recall, and F1-score, requiring exact boundary matching. Statistical significance of performance differences was assessed using McNemar's test (p &lt; 0.05). All experiments were conducted under controlled computational conditions with fixed random seeds to ensure reproducibility. Overall, the methodology integrates rigorous corpus construction, reliable annotation procedures, and systematic comparative modelling to advance low-resource NER research for the Igala language.</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4. Results and Discussion of Findings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4.1 Overall System Performance</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 xml:space="preserve">The three implemented models were evaluated on the held-out test set, with results summarised in Table 4. The BiLSTM-CRF architecture achieved the highest overall performance with an F1-score of 86.4%, followed closely by AfroXLMR-base at 84.7%, with the CRF baseline achieving 79.2%. These results demonstrate that all three approaches can achieve respectable NER performance for Igala despite the language's low-resource status, </w:t>
      </w:r>
      <w:r w:rsidRPr="00B04211">
        <w:rPr>
          <w:rFonts w:ascii="Times New Roman" w:hAnsi="Times New Roman" w:cs="Times New Roman"/>
          <w:sz w:val="24"/>
          <w:szCs w:val="24"/>
        </w:rPr>
        <w:lastRenderedPageBreak/>
        <w:t>confirming the viability of developing computational language tools for under-resourced African languages. McNemar's test confirmed that the differences between BiLSTM-CRF and CRF (p = 0.002) and between BiLSTM-CRF and AfroXLMR-base (p = 0.038) are statistically significant.</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Table 4: Overall Performance Comparison of Igala NER Models</w:t>
      </w:r>
    </w:p>
    <w:tbl>
      <w:tblPr>
        <w:tblStyle w:val="TableGrid"/>
        <w:tblW w:w="0" w:type="auto"/>
        <w:tblLook w:val="04A0"/>
      </w:tblPr>
      <w:tblGrid>
        <w:gridCol w:w="3450"/>
        <w:gridCol w:w="1618"/>
        <w:gridCol w:w="1316"/>
        <w:gridCol w:w="1592"/>
      </w:tblGrid>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Model</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Precision (%)</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Recall (%)</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F1-Score (%)</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Conditional Random Field (CRF)</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80.3</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78.1</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79.2</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BiLSTM-CRF</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87.2</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85.6</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86.4</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AfroXLMR-base</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85.9</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83.5</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84.7</w:t>
            </w:r>
          </w:p>
        </w:tc>
      </w:tr>
    </w:tbl>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i/>
          <w:iCs/>
          <w:sz w:val="24"/>
          <w:szCs w:val="24"/>
        </w:rPr>
        <w:t>Source: Experimental results from model evaluation on test set (2024)</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Table 4 reveals several important patterns in model performance. The BiLSTM-CRF architecture outperforms the CRF baseline by a substantial margin of 7.2 percentage points in F1-score, confirming the value of neural sequence modelling for Igala NER. The improvement stems primarily from the BiLSTM-CRF's ability to learn distributed representations capturing semantic and morphological patterns, whereas the CRF model relies on manually engineered features that may miss subtle patterns in the data. The BiLSTM-CRF's character-level component proves particularly valuable for handling the morphological complexity of Igala, enabling generalisation to word forms not observed during training.</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finding that BiLSTM-CRF outperforms AfroXLMR-base by 1.7 percentage points warrants careful analysis. This result contradicts the common expectation that larger pre-trained models should outperform task-specific architectures trained from scratch, particularly given AfroXLMR-base's demonstrated success for other African languages including Swahili, Yoruba, and Hausa (Alabi et al., 2022). Several factors may explain this outcome. First, AfroXLMR-base's pre-training data included minimal Igala text, limiting the model's ability to develop language-specific representations. Second, the substantial mismatch between AfroXLMR-base's subword tokenisation and Igala's morphological structure may fragment meaningful units, complicating entity boundary detection (Shiaki, 2025). Third, the model's massive capacity relative to fine-tuning data (28,000 sentences) creates risk of overfitting despite regularisation, whereas the BiLSTM-CRF's more constrained capacity better matches the available training data.</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CRF baseline's F1-score of 79.2% demonstrates that traditional machine learning approaches remain viable for low-resource NER when carefully engineered. The feature set, developed through iterative refinement on the development set, successfully captures many patterns relevant to Igala entity recognition. Gazetteer features proved particularly valuable, contributing an estimated 4-5 percentage points to CRF performance by providing direct evidence for entity candidates. However, the CRF model's reliance on explicit features limits its ability to generalise beyond observed patterns, explaining its lower recall (78.1%) compared to precision (80.3%).</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4.2 Performance Analysis by Entity Type</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lastRenderedPageBreak/>
        <w:t>Detailed analysis of per-entity type performance reveals substantial variation in recognition difficulty across categories, as shown in Table 5. This disaggregated analysis provides crucial insights for system improvement and identifies specific challenges requiring targeted attention in future work.</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Table 5: Per-Entity Type F1-Score Performance for Igala NER Models</w:t>
      </w:r>
    </w:p>
    <w:tbl>
      <w:tblPr>
        <w:tblStyle w:val="TableGrid"/>
        <w:tblW w:w="0" w:type="auto"/>
        <w:tblLook w:val="04A0"/>
      </w:tblPr>
      <w:tblGrid>
        <w:gridCol w:w="1955"/>
        <w:gridCol w:w="1245"/>
        <w:gridCol w:w="2083"/>
        <w:gridCol w:w="2363"/>
        <w:gridCol w:w="1596"/>
      </w:tblGrid>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Entity Type</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CRF F1 (%)</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BiLSTM-CRF F1 (%)</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AfroXLMR-base F1 (%)</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Average F1 (%)</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Person (PER)</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83.5</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90.2</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89.1</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87.6</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Location (LOC)</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81.2</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88.4</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86.7</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85.4</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Organisation (ORG)</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74.8</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82.1</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79.5</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78.8</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Date (DATE)</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77.3</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85.0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83.6</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82.0</w:t>
            </w:r>
          </w:p>
        </w:tc>
      </w:tr>
    </w:tbl>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i/>
          <w:iCs/>
          <w:sz w:val="24"/>
          <w:szCs w:val="24"/>
        </w:rPr>
        <w:t>Source: Disaggregated evaluation results from test set analysis (2024)</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Table 5 reveals that person names achieve the highest recognition performance across all models, with BiLSTM-CRF reaching 90.2% F1-score and even the CRF baseline exceeding 83%. This consistent performance likely reflects several factors: person names exhibit relatively consistent morphological and distributional patterns, they appear frequently across all text genres, and many personal names appear in gazetteers compiled from external sources. The high performance for person names aligns with findings from other African language NER research, including IgboNER where person names similarly achieved the highest recognition rates (Chukwuneke, 2025).</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Location names show slightly lower but still strong performance, with BiLSTM-CRF achieving 88.4% F1-score. Location names in Igala often correspond to geographical terms with predictable morphological markers, and many locations appear repeatedly across documents, enabling models to learn specific lexical patterns. However, locations present challenges when names coincide with common nouns or when locations are referenced through descriptive phrases rather than proper names, contributing to the modest performance gap relative to person names.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Organisation names emerge as the most challenging entity type, with average F1-score of only 78.8% across models and the BiLSTM-CRF achieving 82.1%. This difficulty reflects multiple factors. Organisation names in Igala frequently comprise multi-word phrases incorporating descriptive elements that vary across mentions. The same organisation may be referred to by full names, acronyms, and abbreviated forms, requiring models to recognise variant surface forms as referring to the same entity type. Organisation names also exhibit less consistent distributional patterns than person or location names, appearing in diverse syntactic contexts that provide weaker cues for classification. These findings mirror challenges reported for organisation recognition in other low-resource languages, where the category consistently proves most difficult (Kassahun et al., 2025).</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 xml:space="preserve">Date expressions achieve intermediate performance, with BiLSTM-CRF reaching 85.0% F1-score. Date recognition benefits from relatively constrained surface patterns, with Igala date </w:t>
      </w:r>
      <w:r w:rsidRPr="00B04211">
        <w:rPr>
          <w:rFonts w:ascii="Times New Roman" w:hAnsi="Times New Roman" w:cs="Times New Roman"/>
          <w:sz w:val="24"/>
          <w:szCs w:val="24"/>
        </w:rPr>
        <w:lastRenderedPageBreak/>
        <w:t>expressions typically incorporating numeral sequences and predictable date-related vocabulary. However, variation in date formatting, reference to non-Gregorian calendar systems, and the use of relative date expressions (such as "last month" or "next year") introduce complexity that reduces recognition accuracy below that of person and location entities.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4.3 Error Analysis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Systematic error analysis was conducted on the BiLSTM-CRF model's predictions to identify patterns in misclassifications and inform future improvement strategies. A random sample of 500 incorrectly processed sentences was extracted from the test set and manually analysed to categorise error types and identify underlying causes.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Boundary errors, where the model correctly identified the entity type but failed to identify the exact span, accounted for 38% of all errors. These errors primarily affected multi-word entities, particularly organisation names, where the model included too few tokens (truncation errors) or included adjacent non-entity tokens (expansion errors). Analysis suggests that boundary errors stem from uncertainty about the precise extent of entity mentions, particularly when entities incorporate function words or when entity boundaries align with syntactic phrase boundaries in ways that the model has not fully learned.</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Type confusion errors, where the model correctly identified an entity span but assigned the wrong type, constituted 31% of errors. The most common confusion pairs were organisation misclassified as location (particularly for organisations named after locations) and person misclassified as organisation (for organisations named after individuals). These confusions reflect genuine ambiguity in the data, as many Igala entities exhibit exactly this dual nature—for example, a family name may refer both to a person and to the family organisation.</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False positive errors, where the model identified entities that did not exist in the gold annotation, accounted for 19% of errors. These errors most commonly involved common nouns being misclassified as entities, particularly when those nouns appeared in contexts resembling entity mention patterns. The high frequency of false positives suggests that the model may benefit from more extensive training data or from explicit negative examples to better learn the distinction between entity and non-entity mentions.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False negative errors, where the model failed to identify gold entities, comprised the remaining 12% of errors. These errors predominantly affected rare entity mentions appearing only once in the training data, entities with unusual surface forms diverging from typical patterns, and entities in highly ambiguous contexts. The concentration of false negatives among rare entities highlights the continuing challenge of data sparsity even with 28,000 training sentences, as the long tail of entity mentions receives insufficient exemplars for robust learning.</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4.4 Comparative Analysis with Related Work</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Placing these results in the context of prior African language NER research enables assessment of progress and identification of relative strengths and weaknesses. Table 6 presents comparative performance figures from recent studies on related languages, acknowledging that direct comparison requires caution due to differences in corpus size, entity definitions, and evaluation protocols.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lastRenderedPageBreak/>
        <w:t>Table 6: Comparative Performance of African Language NER Systems</w:t>
      </w:r>
    </w:p>
    <w:tbl>
      <w:tblPr>
        <w:tblStyle w:val="TableGrid"/>
        <w:tblW w:w="0" w:type="auto"/>
        <w:tblLook w:val="04A0"/>
      </w:tblPr>
      <w:tblGrid>
        <w:gridCol w:w="1230"/>
        <w:gridCol w:w="1946"/>
        <w:gridCol w:w="1437"/>
        <w:gridCol w:w="1893"/>
        <w:gridCol w:w="1628"/>
        <w:gridCol w:w="1108"/>
      </w:tblGrid>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Language</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Study</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Model</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Corpus Size (Sentences)</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Entity Types</w:t>
            </w:r>
          </w:p>
        </w:tc>
        <w:tc>
          <w:tcPr>
            <w:tcW w:w="0" w:type="auto"/>
            <w:hideMark/>
          </w:tcPr>
          <w:p w:rsidR="00B04211" w:rsidRPr="00B04211" w:rsidRDefault="00B04211" w:rsidP="00B04211">
            <w:pPr>
              <w:spacing w:after="160" w:line="259" w:lineRule="auto"/>
              <w:jc w:val="both"/>
              <w:rPr>
                <w:rFonts w:ascii="Times New Roman" w:hAnsi="Times New Roman" w:cs="Times New Roman"/>
                <w:b/>
                <w:bCs/>
                <w:sz w:val="24"/>
                <w:szCs w:val="24"/>
              </w:rPr>
            </w:pPr>
            <w:r w:rsidRPr="00B04211">
              <w:rPr>
                <w:rFonts w:ascii="Times New Roman" w:hAnsi="Times New Roman" w:cs="Times New Roman"/>
                <w:b/>
                <w:bCs/>
                <w:sz w:val="24"/>
                <w:szCs w:val="24"/>
              </w:rPr>
              <w:t>F1-Score (%)</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Igbo</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Chukwuneke (2025)</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IgboBERT</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42,000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PER, LOC, ORG, DATE</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85.3</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Hausa</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Emedem et al. (2025)</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BiLSTM-CRF</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35,000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PER, LOC, ORG</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87.1</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Yoruba</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Emedem et al. (2025)</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BiLSTM-CRF</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35,000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PER, LOC, ORG</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86.2</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Awngi</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Kassahun et al. (2025)</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BiLSTM</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8,200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PER, LOC, ORG, DATE</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97.2*</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Kikuyu</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Kamau (2025)</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Memory-Based</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1,200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PER, LOC</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72.5</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Twi</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Munkoh&amp; Asiedu (2026)</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BiLSTM-CRF</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28,000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PER, LOC, ORG, DATE</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sz w:val="24"/>
                <w:szCs w:val="24"/>
              </w:rPr>
              <w:t>85.9</w:t>
            </w:r>
          </w:p>
        </w:tc>
      </w:tr>
      <w:tr w:rsidR="00B04211" w:rsidRPr="00B04211" w:rsidTr="00B04211">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b/>
                <w:bCs/>
                <w:sz w:val="24"/>
                <w:szCs w:val="24"/>
              </w:rPr>
              <w:t>Igala</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b/>
                <w:bCs/>
                <w:sz w:val="24"/>
                <w:szCs w:val="24"/>
              </w:rPr>
              <w:t>This study</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b/>
                <w:bCs/>
                <w:sz w:val="24"/>
                <w:szCs w:val="24"/>
              </w:rPr>
              <w:t>BiLSTM-CRF</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b/>
                <w:bCs/>
                <w:sz w:val="24"/>
                <w:szCs w:val="24"/>
              </w:rPr>
              <w:t>35,000</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b/>
                <w:bCs/>
                <w:sz w:val="24"/>
                <w:szCs w:val="24"/>
              </w:rPr>
              <w:t>PER, LOC, ORG, DATE</w:t>
            </w:r>
          </w:p>
        </w:tc>
        <w:tc>
          <w:tcPr>
            <w:tcW w:w="0" w:type="auto"/>
            <w:hideMark/>
          </w:tcPr>
          <w:p w:rsidR="00B04211" w:rsidRPr="00B04211" w:rsidRDefault="00B04211" w:rsidP="00B04211">
            <w:pPr>
              <w:spacing w:after="160" w:line="259" w:lineRule="auto"/>
              <w:jc w:val="both"/>
              <w:rPr>
                <w:rFonts w:ascii="Times New Roman" w:hAnsi="Times New Roman" w:cs="Times New Roman"/>
                <w:sz w:val="24"/>
                <w:szCs w:val="24"/>
              </w:rPr>
            </w:pPr>
            <w:r w:rsidRPr="00B04211">
              <w:rPr>
                <w:rFonts w:ascii="Times New Roman" w:hAnsi="Times New Roman" w:cs="Times New Roman"/>
                <w:b/>
                <w:bCs/>
                <w:sz w:val="24"/>
                <w:szCs w:val="24"/>
              </w:rPr>
              <w:t>86.4</w:t>
            </w:r>
          </w:p>
        </w:tc>
      </w:tr>
    </w:tbl>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i/>
          <w:iCs/>
          <w:sz w:val="24"/>
          <w:szCs w:val="24"/>
        </w:rPr>
        <w:t>Source: Compiled from cited studies with adjustments for comparable evaluation</w:t>
      </w:r>
      <w:r w:rsidRPr="00B04211">
        <w:rPr>
          <w:rFonts w:ascii="Times New Roman" w:hAnsi="Times New Roman" w:cs="Times New Roman"/>
          <w:sz w:val="24"/>
          <w:szCs w:val="24"/>
        </w:rPr>
        <w:br/>
      </w:r>
      <w:r w:rsidRPr="00B04211">
        <w:rPr>
          <w:rFonts w:ascii="Times New Roman" w:hAnsi="Times New Roman" w:cs="Times New Roman"/>
          <w:i/>
          <w:iCs/>
          <w:sz w:val="24"/>
          <w:szCs w:val="24"/>
        </w:rPr>
        <w:t>Note: Awngi study reports results after data augmentation, likely overstating realistic performance</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Table 6 situates the Igala NER system within the broader landscape of African language NER research. The achieved F1-score of 86.4% places the Igala system competitively among Nigerian language NER systems, slightly exceeding reported performance for Igbo (85.3%) and comparable to Hausa (87.1%) and Yoruba (86.2%). This equivalence is notable given that Igala has received substantially less prior computational attention than these major Nigerian languages, suggesting that careful corpus design and model selection can partially compensate for the absence of pre-existing resources.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exceptionally high performance reported for Awngi (97.2%) warrants critical examination. The Awngi study employed aggressive data augmentation techniques that generated synthetic training examples, potentially introducing bias and overstating realistic performance on naturally occurring text (Kassahun et al., 2025). The reported results likely reflect performance on test data sharing distributional characteristics with augmented training data rather than true generalisation to independent text. The Igala results, based on held-out natural text without augmentation, provide a more conservative but realistic estimate of achievable performance.</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 xml:space="preserve">The Kikuyu results (72.5%) with only 1,200 training sentences illustrate the steep performance gradient with corpus size, confirming that the investment in substantial corpus development (35,000 sentences) was warranted to achieve practically useful performance levels (Kamau, 2025). This finding has implications for future low-resource NER efforts, </w:t>
      </w:r>
      <w:r w:rsidRPr="00B04211">
        <w:rPr>
          <w:rFonts w:ascii="Times New Roman" w:hAnsi="Times New Roman" w:cs="Times New Roman"/>
          <w:sz w:val="24"/>
          <w:szCs w:val="24"/>
        </w:rPr>
        <w:lastRenderedPageBreak/>
        <w:t>suggesting that annotation of at least 20,000-30,000 sentences may be necessary to reach F1-scores above 85% for morphologically complex African languages.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4.5 Discussion of Findings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experimental results demonstrate that high-performing NER systems can be developed for low-resource African languages given sufficient investment in corpus development and appropriate model selection. The BiLSTM-CRF architecture's superior performance over both traditional CRF and massive transformer models carries important implications for methodology selection in low-resource contexts.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finding that BiLSTM-CRF outperforms AfroXLMR-base suggests that for languages with minimal representation in multilingual pre-training corpora, task-specific architectures trained from scratch may be preferable to fine-tuning large pre-trained models. This conclusion aligns with recent research on extremely low-resource language NER, which has found that the benefits of massive pre-training diminish when target language representation falls below certain thresholds (Hedderich et al., 2021). For languages like Igala with essentially no presence in common pre-training corpora, the mismatch between pre-training distribution and target language characteristics may outweigh the advantages of transfer learning.</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BiLSTM-CRF's character-level component proved crucial for handling Igala's morphological complexity and out-of-vocabulary words. Analysis of model predictions on unseen words revealed that the character-level representations enabled plausible entity classifications even for word forms never observed during training, whereas the CRF model's reliance on exact word matching caused frequent failures on novel forms. This capability is particularly valuable for morphologically rich languages where the space of possible word forms vastly exceeds what can be covered in any finite training corpus.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per-entity type performance variation highlights the importance of disaggregated evaluation for understanding system capabilities and limitations. The strong performance on person and location names suggests that these entity types may be sufficiently well-handled for practical deployment, while organisation recognition requires further improvement. Applications focused on personal names or geographical information could potentially deploy the current system with acceptable performance, while applications requiring accurate organisation extraction would need additional development.</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error analysis revealing boundary errors as the most frequent mistake category points to specific directions for model improvement. Incorporating explicit span-level features or adopting span-based NER architectures that directly predict entity boundaries rather than token-level tags could reduce boundary errors. Additionally, increasing the representation of multi-word entities in training data through targeted oversampling might help the model learn more precise boundary identification.</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 xml:space="preserve">The resource investment required for this research—approximately 18 months for corpus development, annotation, and experimentation—demonstrates the substantial effort needed to establish foundational NLP resources for previously unstudied languages. This investment, while significant, represents a one-time cost that enables ongoing research and application development. The annotated corpus and trained models constitute permanent infrastructure </w:t>
      </w:r>
      <w:r w:rsidRPr="00B04211">
        <w:rPr>
          <w:rFonts w:ascii="Times New Roman" w:hAnsi="Times New Roman" w:cs="Times New Roman"/>
          <w:sz w:val="24"/>
          <w:szCs w:val="24"/>
        </w:rPr>
        <w:lastRenderedPageBreak/>
        <w:t>for Igala language technology, supporting future work in machine translation, information retrieval, and digital preservation.</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5. Conclusion and Recommendations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This study successfully developed and evaluated the first dedicated Named Entity Recognition (NER) system for the Igala language, addressing a major gap in African language NLP resources. A key contribution is the creation of a 35,000-sentence manually annotated corpus containing 74,510 entity annotations across four categories. Through comparative evaluation of multiple architectures, the BiLSTM-CRF model achieved the best performance with an F1-score of 86.4%, demonstrating that well-designed task-specific models can outperform larger pre-trained transformer models in low-resource settings. The corpus and methodological framework provide a strong foundation for future Igala NLP research and offer a replicable model for other under-resourced languages.</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The research highlights important practical implications for Igala language technology, including applications in machine translation, information retrieval, digital archiving, and educational technology. By enabling accurate recognition of persons, locations, and organisations, the system supports improved translation quality, better document indexing, and enriched learning tools. More broadly, the study contributes to efforts aimed at reducing the digital divide for minority languages and strengthening linguistic preservation through technology.</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sz w:val="24"/>
          <w:szCs w:val="24"/>
        </w:rPr>
        <w:t>Despite these contributions, limitations remain. The corpus, while substantial, covers a limited set of domains and may not fully represent the diversity of Igala language use, particularly informal and spoken registers. The entity schema is restricted to four coarse types; fine-grained entity types (e.g., specific location subtypes, cultural titles) are not addressed. The system was evaluated only at sentence level without considering document-level consistency. Importantly, the system does not currently handle code-switching or mixed-language (Igala-English) text, which is common in real-world Igala usage, and this remains a significant limitation for practical deployment. Future research should expand corpus domains, incorporate additional entity types (including culturally specific entities), assess extrinsic impact on downstream tasks, explore efficient deployment strategies (including lightweight models for mobile deployment), and develop dedicated strategies for code-switched text.</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Future Work:</w:t>
      </w:r>
      <w:r w:rsidRPr="00B04211">
        <w:rPr>
          <w:rFonts w:ascii="Times New Roman" w:hAnsi="Times New Roman" w:cs="Times New Roman"/>
          <w:sz w:val="24"/>
          <w:szCs w:val="24"/>
        </w:rPr>
        <w:t xml:space="preserve"> Specific priorities include (1) collecting and annotating code-switched Igala-English corpora, (2) experimenting with span-based NER architectures to reduce boundary errors, (3) evaluating the system on downstream tasks such as Igala information retrieval, and (4) exploring cross-lingual transfer from Yoruba given the typological proximity.</w:t>
      </w:r>
    </w:p>
    <w:p w:rsidR="00B04211" w:rsidRPr="00B04211" w:rsidRDefault="00B04211" w:rsidP="00B04211">
      <w:pPr>
        <w:rPr>
          <w:rFonts w:ascii="Times New Roman" w:hAnsi="Times New Roman" w:cs="Times New Roman"/>
          <w:sz w:val="24"/>
          <w:szCs w:val="24"/>
        </w:rPr>
      </w:pPr>
      <w:r w:rsidRPr="00B04211">
        <w:rPr>
          <w:rFonts w:ascii="Times New Roman" w:hAnsi="Times New Roman" w:cs="Times New Roman"/>
          <w:b/>
          <w:bCs/>
          <w:sz w:val="24"/>
          <w:szCs w:val="24"/>
        </w:rPr>
        <w:t>Disclaimer (Artificial Intelligence)</w:t>
      </w:r>
      <w:r w:rsidRPr="00B04211">
        <w:rPr>
          <w:rFonts w:ascii="Times New Roman" w:hAnsi="Times New Roman" w:cs="Times New Roman"/>
          <w:sz w:val="24"/>
          <w:szCs w:val="24"/>
        </w:rPr>
        <w:br/>
        <w:t>Author(s) hereby declare that NO generative AI technologies such as Large Language Models (ChatGPT, COPILOT, etc.) and text-to-image generators have been used during the writing or editing of this manuscript.</w:t>
      </w:r>
    </w:p>
    <w:p w:rsidR="00B04211" w:rsidRPr="00B04211" w:rsidRDefault="00B04211" w:rsidP="00B04211">
      <w:pPr>
        <w:jc w:val="both"/>
        <w:rPr>
          <w:rFonts w:ascii="Times New Roman" w:hAnsi="Times New Roman" w:cs="Times New Roman"/>
          <w:sz w:val="24"/>
          <w:szCs w:val="24"/>
        </w:rPr>
      </w:pPr>
      <w:r w:rsidRPr="00B04211">
        <w:rPr>
          <w:rFonts w:ascii="Times New Roman" w:hAnsi="Times New Roman" w:cs="Times New Roman"/>
          <w:b/>
          <w:bCs/>
          <w:sz w:val="24"/>
          <w:szCs w:val="24"/>
        </w:rPr>
        <w:t>References</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lastRenderedPageBreak/>
        <w:t xml:space="preserve">Adedeji, A., &amp; Akinwale, A. (2023). Low-resource natural language processing for Nigerian languages: A systematic review. </w:t>
      </w:r>
      <w:r w:rsidRPr="00B04211">
        <w:rPr>
          <w:rFonts w:ascii="Times New Roman" w:hAnsi="Times New Roman" w:cs="Times New Roman"/>
          <w:i/>
          <w:iCs/>
          <w:sz w:val="24"/>
          <w:szCs w:val="24"/>
        </w:rPr>
        <w:t>Journal of African Language Technology</w:t>
      </w:r>
      <w:r w:rsidRPr="00B04211">
        <w:rPr>
          <w:rFonts w:ascii="Times New Roman" w:hAnsi="Times New Roman" w:cs="Times New Roman"/>
          <w:sz w:val="24"/>
          <w:szCs w:val="24"/>
        </w:rPr>
        <w:t>, 4(2), 112-134.</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Adelani, D. I., Abbott, J., Neubig, G., D'Souza, D., Kreutzer, J., Lignos, C., ... &amp; Olatunji, T. (2021). MasakhaNER: Named entity recognition for African languages. </w:t>
      </w:r>
      <w:r w:rsidRPr="00B04211">
        <w:rPr>
          <w:rFonts w:ascii="Times New Roman" w:hAnsi="Times New Roman" w:cs="Times New Roman"/>
          <w:i/>
          <w:iCs/>
          <w:sz w:val="24"/>
          <w:szCs w:val="24"/>
        </w:rPr>
        <w:t>Transactions of the Association for Computational Linguistics</w:t>
      </w:r>
      <w:r w:rsidRPr="00B04211">
        <w:rPr>
          <w:rFonts w:ascii="Times New Roman" w:hAnsi="Times New Roman" w:cs="Times New Roman"/>
          <w:sz w:val="24"/>
          <w:szCs w:val="24"/>
        </w:rPr>
        <w:t>, 9, 1116-1131.</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Adelani, D. I., Neubig, G., Ruder, S., &amp;Agić, Ž. (2025). MasakhaNER 2.0: Scaling up African named entity recognition. </w:t>
      </w:r>
      <w:r w:rsidRPr="00B04211">
        <w:rPr>
          <w:rFonts w:ascii="Times New Roman" w:hAnsi="Times New Roman" w:cs="Times New Roman"/>
          <w:i/>
          <w:iCs/>
          <w:sz w:val="24"/>
          <w:szCs w:val="24"/>
        </w:rPr>
        <w:t>Transactions of the Association for Computational Linguistics</w:t>
      </w:r>
      <w:r w:rsidRPr="00B04211">
        <w:rPr>
          <w:rFonts w:ascii="Times New Roman" w:hAnsi="Times New Roman" w:cs="Times New Roman"/>
          <w:sz w:val="24"/>
          <w:szCs w:val="24"/>
        </w:rPr>
        <w:t>, 13, 1-19.</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Adeyemi, B. (2022). Morphological processes in Igala noun formation. </w:t>
      </w:r>
      <w:r w:rsidRPr="00B04211">
        <w:rPr>
          <w:rFonts w:ascii="Times New Roman" w:hAnsi="Times New Roman" w:cs="Times New Roman"/>
          <w:i/>
          <w:iCs/>
          <w:sz w:val="24"/>
          <w:szCs w:val="24"/>
        </w:rPr>
        <w:t>Studies in African Linguistics</w:t>
      </w:r>
      <w:r w:rsidRPr="00B04211">
        <w:rPr>
          <w:rFonts w:ascii="Times New Roman" w:hAnsi="Times New Roman" w:cs="Times New Roman"/>
          <w:sz w:val="24"/>
          <w:szCs w:val="24"/>
        </w:rPr>
        <w:t>, 51(1), 78-95.</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Alabi, J. O., Adelani, D. I., Mosbach, M., &amp;Klakow, D. (2022). Adapting pre-trained language models to African languages via multilingual adaptive fine-tuning. </w:t>
      </w:r>
      <w:r w:rsidRPr="00B04211">
        <w:rPr>
          <w:rFonts w:ascii="Times New Roman" w:hAnsi="Times New Roman" w:cs="Times New Roman"/>
          <w:i/>
          <w:iCs/>
          <w:sz w:val="24"/>
          <w:szCs w:val="24"/>
        </w:rPr>
        <w:t>Proceedings of the 29th International Conference on Computational Linguistics</w:t>
      </w:r>
      <w:r w:rsidRPr="00B04211">
        <w:rPr>
          <w:rFonts w:ascii="Times New Roman" w:hAnsi="Times New Roman" w:cs="Times New Roman"/>
          <w:sz w:val="24"/>
          <w:szCs w:val="24"/>
        </w:rPr>
        <w:t>, 4336-4349.</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Bikel, D. M., Schwartz, R., &amp; Weischedel, R. M. (1999). An algorithm that learns what's in a name. </w:t>
      </w:r>
      <w:r w:rsidRPr="00B04211">
        <w:rPr>
          <w:rFonts w:ascii="Times New Roman" w:hAnsi="Times New Roman" w:cs="Times New Roman"/>
          <w:i/>
          <w:iCs/>
          <w:sz w:val="24"/>
          <w:szCs w:val="24"/>
        </w:rPr>
        <w:t>Machine Learning</w:t>
      </w:r>
      <w:r w:rsidRPr="00B04211">
        <w:rPr>
          <w:rFonts w:ascii="Times New Roman" w:hAnsi="Times New Roman" w:cs="Times New Roman"/>
          <w:sz w:val="24"/>
          <w:szCs w:val="24"/>
        </w:rPr>
        <w:t>, 34(1), 211-231.</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Chukwuneke, C. I. (2025). Named entity recognition for African languages: A focus on the Igbo language [Doctoral thesis, Lancaster University]. Lancaster University Repository. </w:t>
      </w:r>
      <w:hyperlink r:id="rId7" w:tgtFrame="_blank" w:history="1">
        <w:r w:rsidRPr="00B04211">
          <w:rPr>
            <w:rStyle w:val="Hyperlink"/>
            <w:rFonts w:ascii="Times New Roman" w:hAnsi="Times New Roman" w:cs="Times New Roman"/>
            <w:sz w:val="24"/>
            <w:szCs w:val="24"/>
          </w:rPr>
          <w:t>https://doi.org/10.17635/lancaster/thesis/2789</w:t>
        </w:r>
      </w:hyperlink>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Collobert, R., Weston, J., Bottou, L., Karlen, M., Kavukcuoglu, K., &amp;Kuksa, P. (2011). Natural language processing (almost) from scratch. </w:t>
      </w:r>
      <w:r w:rsidRPr="00B04211">
        <w:rPr>
          <w:rFonts w:ascii="Times New Roman" w:hAnsi="Times New Roman" w:cs="Times New Roman"/>
          <w:i/>
          <w:iCs/>
          <w:sz w:val="24"/>
          <w:szCs w:val="24"/>
        </w:rPr>
        <w:t>Journal of Machine Learning Research</w:t>
      </w:r>
      <w:r w:rsidRPr="00B04211">
        <w:rPr>
          <w:rFonts w:ascii="Times New Roman" w:hAnsi="Times New Roman" w:cs="Times New Roman"/>
          <w:sz w:val="24"/>
          <w:szCs w:val="24"/>
        </w:rPr>
        <w:t>, 12, 2493-2537.</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Conneau, A., Khandelwal, K., Goyal, N., Chaudhary, V., Wenzek, G., Guzmán, F., ... &amp; Stoyanov, V. (2020). Unsupervised cross-lingual representation learning at scale. </w:t>
      </w:r>
      <w:r w:rsidRPr="00B04211">
        <w:rPr>
          <w:rFonts w:ascii="Times New Roman" w:hAnsi="Times New Roman" w:cs="Times New Roman"/>
          <w:i/>
          <w:iCs/>
          <w:sz w:val="24"/>
          <w:szCs w:val="24"/>
        </w:rPr>
        <w:t>Proceedings of the 58th Annual Meeting of the Association for Computational Linguistics</w:t>
      </w:r>
      <w:r w:rsidRPr="00B04211">
        <w:rPr>
          <w:rFonts w:ascii="Times New Roman" w:hAnsi="Times New Roman" w:cs="Times New Roman"/>
          <w:sz w:val="24"/>
          <w:szCs w:val="24"/>
        </w:rPr>
        <w:t>, 8440-8451.</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Devlin, J., Chang, M. W., Lee, K., &amp; Toutanova, K. (2019). BERT: Pre-training of deep bidirectional transformers for language understanding. </w:t>
      </w:r>
      <w:r w:rsidRPr="00B04211">
        <w:rPr>
          <w:rFonts w:ascii="Times New Roman" w:hAnsi="Times New Roman" w:cs="Times New Roman"/>
          <w:i/>
          <w:iCs/>
          <w:sz w:val="24"/>
          <w:szCs w:val="24"/>
        </w:rPr>
        <w:t>Proceedings of the 2019 Conference of the North American Chapter of the Association for Computational Linguistics</w:t>
      </w:r>
      <w:r w:rsidRPr="00B04211">
        <w:rPr>
          <w:rFonts w:ascii="Times New Roman" w:hAnsi="Times New Roman" w:cs="Times New Roman"/>
          <w:sz w:val="24"/>
          <w:szCs w:val="24"/>
        </w:rPr>
        <w:t>, 4171-4186.</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Emedem, S. E., Onyenwe, I., &amp;Ogueji, K. (2025). Development of a WAZOBIA-Named Entity Recognition system. </w:t>
      </w:r>
      <w:r w:rsidRPr="00B04211">
        <w:rPr>
          <w:rFonts w:ascii="Times New Roman" w:hAnsi="Times New Roman" w:cs="Times New Roman"/>
          <w:i/>
          <w:iCs/>
          <w:sz w:val="24"/>
          <w:szCs w:val="24"/>
        </w:rPr>
        <w:t>arXiv preprint</w:t>
      </w:r>
      <w:r w:rsidRPr="00B04211">
        <w:rPr>
          <w:rFonts w:ascii="Times New Roman" w:hAnsi="Times New Roman" w:cs="Times New Roman"/>
          <w:sz w:val="24"/>
          <w:szCs w:val="24"/>
        </w:rPr>
        <w:t xml:space="preserve">. </w:t>
      </w:r>
      <w:hyperlink r:id="rId8" w:tgtFrame="_blank" w:history="1">
        <w:r w:rsidRPr="00B04211">
          <w:rPr>
            <w:rStyle w:val="Hyperlink"/>
            <w:rFonts w:ascii="Times New Roman" w:hAnsi="Times New Roman" w:cs="Times New Roman"/>
            <w:sz w:val="24"/>
            <w:szCs w:val="24"/>
          </w:rPr>
          <w:t>https://arxiv.org/abs/2505.07884</w:t>
        </w:r>
      </w:hyperlink>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Graves, A., &amp;Schmidhuber, J. (2005). Framewise phoneme classification with bidirectional LSTM and other neural network architectures. </w:t>
      </w:r>
      <w:r w:rsidRPr="00B04211">
        <w:rPr>
          <w:rFonts w:ascii="Times New Roman" w:hAnsi="Times New Roman" w:cs="Times New Roman"/>
          <w:i/>
          <w:iCs/>
          <w:sz w:val="24"/>
          <w:szCs w:val="24"/>
        </w:rPr>
        <w:t>Neural Networks</w:t>
      </w:r>
      <w:r w:rsidRPr="00B04211">
        <w:rPr>
          <w:rFonts w:ascii="Times New Roman" w:hAnsi="Times New Roman" w:cs="Times New Roman"/>
          <w:sz w:val="24"/>
          <w:szCs w:val="24"/>
        </w:rPr>
        <w:t>, 18(5-6), 602-610.</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Grishman, R., &amp; Sundheim, B. (1996). Message Understanding Conference-6: A brief history. </w:t>
      </w:r>
      <w:r w:rsidRPr="00B04211">
        <w:rPr>
          <w:rFonts w:ascii="Times New Roman" w:hAnsi="Times New Roman" w:cs="Times New Roman"/>
          <w:i/>
          <w:iCs/>
          <w:sz w:val="24"/>
          <w:szCs w:val="24"/>
        </w:rPr>
        <w:t>Proceedings of the 16th International Conference on Computational Linguistics</w:t>
      </w:r>
      <w:r w:rsidRPr="00B04211">
        <w:rPr>
          <w:rFonts w:ascii="Times New Roman" w:hAnsi="Times New Roman" w:cs="Times New Roman"/>
          <w:sz w:val="24"/>
          <w:szCs w:val="24"/>
        </w:rPr>
        <w:t>, 466-471.</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lastRenderedPageBreak/>
        <w:t xml:space="preserve">Hedderich, M. A., Lange, L., Adel, H., Strötgen, J., &amp;Klakow, D. (2021). A survey on recent approaches for natural language processing in low-resource scenarios. </w:t>
      </w:r>
      <w:r w:rsidRPr="00B04211">
        <w:rPr>
          <w:rFonts w:ascii="Times New Roman" w:hAnsi="Times New Roman" w:cs="Times New Roman"/>
          <w:i/>
          <w:iCs/>
          <w:sz w:val="24"/>
          <w:szCs w:val="24"/>
        </w:rPr>
        <w:t>Proceedings of the 2021 Conference of the North American Chapter of the Association for Computational Linguistics</w:t>
      </w:r>
      <w:r w:rsidRPr="00B04211">
        <w:rPr>
          <w:rFonts w:ascii="Times New Roman" w:hAnsi="Times New Roman" w:cs="Times New Roman"/>
          <w:sz w:val="24"/>
          <w:szCs w:val="24"/>
        </w:rPr>
        <w:t>, 2545-2568.</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Hochreiter, S., &amp;Schmidhuber, J. (1997). Long short-term memory. </w:t>
      </w:r>
      <w:r w:rsidRPr="00B04211">
        <w:rPr>
          <w:rFonts w:ascii="Times New Roman" w:hAnsi="Times New Roman" w:cs="Times New Roman"/>
          <w:i/>
          <w:iCs/>
          <w:sz w:val="24"/>
          <w:szCs w:val="24"/>
        </w:rPr>
        <w:t>Neural Computation</w:t>
      </w:r>
      <w:r w:rsidRPr="00B04211">
        <w:rPr>
          <w:rFonts w:ascii="Times New Roman" w:hAnsi="Times New Roman" w:cs="Times New Roman"/>
          <w:sz w:val="24"/>
          <w:szCs w:val="24"/>
        </w:rPr>
        <w:t>, 9(8), 1735-1780.</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Huang, Z., Xu, W., &amp; Yu, K. (2015). Bidirectional LSTM-CRF models for sequence tagging. </w:t>
      </w:r>
      <w:r w:rsidRPr="00B04211">
        <w:rPr>
          <w:rFonts w:ascii="Times New Roman" w:hAnsi="Times New Roman" w:cs="Times New Roman"/>
          <w:i/>
          <w:iCs/>
          <w:sz w:val="24"/>
          <w:szCs w:val="24"/>
        </w:rPr>
        <w:t>arXiv preprint</w:t>
      </w:r>
      <w:r w:rsidRPr="00B04211">
        <w:rPr>
          <w:rFonts w:ascii="Times New Roman" w:hAnsi="Times New Roman" w:cs="Times New Roman"/>
          <w:sz w:val="24"/>
          <w:szCs w:val="24"/>
        </w:rPr>
        <w:t xml:space="preserve">. </w:t>
      </w:r>
      <w:hyperlink r:id="rId9" w:tgtFrame="_blank" w:history="1">
        <w:r w:rsidRPr="00B04211">
          <w:rPr>
            <w:rStyle w:val="Hyperlink"/>
            <w:rFonts w:ascii="Times New Roman" w:hAnsi="Times New Roman" w:cs="Times New Roman"/>
            <w:sz w:val="24"/>
            <w:szCs w:val="24"/>
          </w:rPr>
          <w:t>https://arxiv.org/abs/1508.01991</w:t>
        </w:r>
      </w:hyperlink>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Kamau, F. M. (2025). Memory-based framework for named entity recognition [Master's thesis, Jomo Kenyatta University of Agriculture and Technology]. JKUAT Repository.</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Kassahun, A. B., Derb, E., Ayalew, A. A., Salau, A. O., Braide, S. L., &amp; Buhari, M. A. (2025). Design of named entity recognition model for Awngi language using deep learning approach. *2024 IEEE 5th International Conference on Electro-Computing Technologies for Humanity (NIGERCON)*. </w:t>
      </w:r>
      <w:hyperlink r:id="rId10" w:tgtFrame="_blank" w:history="1">
        <w:r w:rsidRPr="00B04211">
          <w:rPr>
            <w:rStyle w:val="Hyperlink"/>
            <w:rFonts w:ascii="Times New Roman" w:hAnsi="Times New Roman" w:cs="Times New Roman"/>
            <w:sz w:val="24"/>
            <w:szCs w:val="24"/>
          </w:rPr>
          <w:t>https://doi.org/10.1109/nigercon62786.2024.10927049</w:t>
        </w:r>
      </w:hyperlink>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Lafferty, J., McCallum, A., &amp; Pereira, F. (2001). Conditional random fields: Probabilistic models for segmenting and labeling sequence data. </w:t>
      </w:r>
      <w:r w:rsidRPr="00B04211">
        <w:rPr>
          <w:rFonts w:ascii="Times New Roman" w:hAnsi="Times New Roman" w:cs="Times New Roman"/>
          <w:i/>
          <w:iCs/>
          <w:sz w:val="24"/>
          <w:szCs w:val="24"/>
        </w:rPr>
        <w:t>Proceedings of the 18th International Conference on Machine Learning</w:t>
      </w:r>
      <w:r w:rsidRPr="00B04211">
        <w:rPr>
          <w:rFonts w:ascii="Times New Roman" w:hAnsi="Times New Roman" w:cs="Times New Roman"/>
          <w:sz w:val="24"/>
          <w:szCs w:val="24"/>
        </w:rPr>
        <w:t>, 282-289.</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Lample, G., Ballesteros, M., Subramanian, S., Kawakami, K., &amp; Dyer, C. (2016). Neural architectures for named entity recognition. </w:t>
      </w:r>
      <w:r w:rsidRPr="00B04211">
        <w:rPr>
          <w:rFonts w:ascii="Times New Roman" w:hAnsi="Times New Roman" w:cs="Times New Roman"/>
          <w:i/>
          <w:iCs/>
          <w:sz w:val="24"/>
          <w:szCs w:val="24"/>
        </w:rPr>
        <w:t>Proceedings of the 2016 Conference of the North American Chapter of the Association for Computational Linguistics</w:t>
      </w:r>
      <w:r w:rsidRPr="00B04211">
        <w:rPr>
          <w:rFonts w:ascii="Times New Roman" w:hAnsi="Times New Roman" w:cs="Times New Roman"/>
          <w:sz w:val="24"/>
          <w:szCs w:val="24"/>
        </w:rPr>
        <w:t>, 260-270.</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Li, J., Sun, A., Han, J., &amp; Li, C. (2022). A survey on deep learning for named entity recognition. </w:t>
      </w:r>
      <w:r w:rsidRPr="00B04211">
        <w:rPr>
          <w:rFonts w:ascii="Times New Roman" w:hAnsi="Times New Roman" w:cs="Times New Roman"/>
          <w:i/>
          <w:iCs/>
          <w:sz w:val="24"/>
          <w:szCs w:val="24"/>
        </w:rPr>
        <w:t>IEEE Transactions on Knowledge and Data Engineering</w:t>
      </w:r>
      <w:r w:rsidRPr="00B04211">
        <w:rPr>
          <w:rFonts w:ascii="Times New Roman" w:hAnsi="Times New Roman" w:cs="Times New Roman"/>
          <w:sz w:val="24"/>
          <w:szCs w:val="24"/>
        </w:rPr>
        <w:t>, 34(1), 50-70.</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Liang, C., Yu, Y., Jiang, H., Er, S., Wang, R., Zhao, T., &amp; Zhang, C. (2020). Bond: BERT-assisted open-domain named entity recognition with distant supervision. </w:t>
      </w:r>
      <w:r w:rsidRPr="00B04211">
        <w:rPr>
          <w:rFonts w:ascii="Times New Roman" w:hAnsi="Times New Roman" w:cs="Times New Roman"/>
          <w:i/>
          <w:iCs/>
          <w:sz w:val="24"/>
          <w:szCs w:val="24"/>
        </w:rPr>
        <w:t>Proceedings of the 26th ACM SIGKDD International Conference on Knowledge Discovery &amp; Data Mining</w:t>
      </w:r>
      <w:r w:rsidRPr="00B04211">
        <w:rPr>
          <w:rFonts w:ascii="Times New Roman" w:hAnsi="Times New Roman" w:cs="Times New Roman"/>
          <w:sz w:val="24"/>
          <w:szCs w:val="24"/>
        </w:rPr>
        <w:t>, 1054-1064.</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Magueresse, A., Carles, V., &amp; Heetderks, E. (2020). Low-resource languages: A review of past work and future challenges. </w:t>
      </w:r>
      <w:r w:rsidRPr="00B04211">
        <w:rPr>
          <w:rFonts w:ascii="Times New Roman" w:hAnsi="Times New Roman" w:cs="Times New Roman"/>
          <w:i/>
          <w:iCs/>
          <w:sz w:val="24"/>
          <w:szCs w:val="24"/>
        </w:rPr>
        <w:t>arXiv preprint</w:t>
      </w:r>
      <w:r w:rsidRPr="00B04211">
        <w:rPr>
          <w:rFonts w:ascii="Times New Roman" w:hAnsi="Times New Roman" w:cs="Times New Roman"/>
          <w:sz w:val="24"/>
          <w:szCs w:val="24"/>
        </w:rPr>
        <w:t xml:space="preserve">. </w:t>
      </w:r>
      <w:hyperlink r:id="rId11" w:tgtFrame="_blank" w:history="1">
        <w:r w:rsidRPr="00B04211">
          <w:rPr>
            <w:rStyle w:val="Hyperlink"/>
            <w:rFonts w:ascii="Times New Roman" w:hAnsi="Times New Roman" w:cs="Times New Roman"/>
            <w:sz w:val="24"/>
            <w:szCs w:val="24"/>
          </w:rPr>
          <w:t>https://arxiv.org/abs/2006.07264</w:t>
        </w:r>
      </w:hyperlink>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Munkoh, K., &amp; Asiedu, E. (2026). Character-aware NER for Twi: A low-resource African language case study. </w:t>
      </w:r>
      <w:r w:rsidRPr="00B04211">
        <w:rPr>
          <w:rFonts w:ascii="Times New Roman" w:hAnsi="Times New Roman" w:cs="Times New Roman"/>
          <w:i/>
          <w:iCs/>
          <w:sz w:val="24"/>
          <w:szCs w:val="24"/>
        </w:rPr>
        <w:t>Journal of African Language Computing</w:t>
      </w:r>
      <w:r w:rsidRPr="00B04211">
        <w:rPr>
          <w:rFonts w:ascii="Times New Roman" w:hAnsi="Times New Roman" w:cs="Times New Roman"/>
          <w:sz w:val="24"/>
          <w:szCs w:val="24"/>
        </w:rPr>
        <w:t>, 7(1), 45-67.</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Nekoto, W., Marivate, V., Matsila, T., Fasubaa, T., Kolawole, T., Fagbohungbe, T., ... &amp; Adelani, D. (2020). Participatory research for low-resourced machine translation: A case study in African languages. </w:t>
      </w:r>
      <w:r w:rsidRPr="00B04211">
        <w:rPr>
          <w:rFonts w:ascii="Times New Roman" w:hAnsi="Times New Roman" w:cs="Times New Roman"/>
          <w:i/>
          <w:iCs/>
          <w:sz w:val="24"/>
          <w:szCs w:val="24"/>
        </w:rPr>
        <w:t>Findings of the Association for Computational Linguistics: EMNLP 2020</w:t>
      </w:r>
      <w:r w:rsidRPr="00B04211">
        <w:rPr>
          <w:rFonts w:ascii="Times New Roman" w:hAnsi="Times New Roman" w:cs="Times New Roman"/>
          <w:sz w:val="24"/>
          <w:szCs w:val="24"/>
        </w:rPr>
        <w:t>, 2144-2160.</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Ochala, I., &amp; Mbah, B. M. (2024). Digital preservation of Igala oral literature: Challenges and opportunities. </w:t>
      </w:r>
      <w:r w:rsidRPr="00B04211">
        <w:rPr>
          <w:rFonts w:ascii="Times New Roman" w:hAnsi="Times New Roman" w:cs="Times New Roman"/>
          <w:i/>
          <w:iCs/>
          <w:sz w:val="24"/>
          <w:szCs w:val="24"/>
        </w:rPr>
        <w:t>Journal of African Cultural Studies</w:t>
      </w:r>
      <w:r w:rsidRPr="00B04211">
        <w:rPr>
          <w:rFonts w:ascii="Times New Roman" w:hAnsi="Times New Roman" w:cs="Times New Roman"/>
          <w:sz w:val="24"/>
          <w:szCs w:val="24"/>
        </w:rPr>
        <w:t>, 36(2), 189-205.</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Omachonu, G. S. (2021). </w:t>
      </w:r>
      <w:r w:rsidRPr="00B04211">
        <w:rPr>
          <w:rFonts w:ascii="Times New Roman" w:hAnsi="Times New Roman" w:cs="Times New Roman"/>
          <w:i/>
          <w:iCs/>
          <w:sz w:val="24"/>
          <w:szCs w:val="24"/>
        </w:rPr>
        <w:t>A descriptive grammar of Igala</w:t>
      </w:r>
      <w:r w:rsidRPr="00B04211">
        <w:rPr>
          <w:rFonts w:ascii="Times New Roman" w:hAnsi="Times New Roman" w:cs="Times New Roman"/>
          <w:sz w:val="24"/>
          <w:szCs w:val="24"/>
        </w:rPr>
        <w:t>. Kogi State University Press.</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lastRenderedPageBreak/>
        <w:t xml:space="preserve">Omachonu, G. S., &amp; Yusuf, A. (2023). Language endangerment and revitalisation efforts in Nigeria: The Igala example. </w:t>
      </w:r>
      <w:r w:rsidRPr="00B04211">
        <w:rPr>
          <w:rFonts w:ascii="Times New Roman" w:hAnsi="Times New Roman" w:cs="Times New Roman"/>
          <w:i/>
          <w:iCs/>
          <w:sz w:val="24"/>
          <w:szCs w:val="24"/>
        </w:rPr>
        <w:t>African Sociolinguistic Review</w:t>
      </w:r>
      <w:r w:rsidRPr="00B04211">
        <w:rPr>
          <w:rFonts w:ascii="Times New Roman" w:hAnsi="Times New Roman" w:cs="Times New Roman"/>
          <w:sz w:val="24"/>
          <w:szCs w:val="24"/>
        </w:rPr>
        <w:t>, 8(1), 45-62.</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Peffers, K., Tuunanen, T., Gengler, C. E., Rossi, M., Hui, W., Virtanen, V., &amp; Bragge, J. (2020). Design science research process: A model for producing and presenting information systems research. </w:t>
      </w:r>
      <w:r w:rsidRPr="00B04211">
        <w:rPr>
          <w:rFonts w:ascii="Times New Roman" w:hAnsi="Times New Roman" w:cs="Times New Roman"/>
          <w:i/>
          <w:iCs/>
          <w:sz w:val="24"/>
          <w:szCs w:val="24"/>
        </w:rPr>
        <w:t>Design Science in Information Systems Research</w:t>
      </w:r>
      <w:r w:rsidRPr="00B04211">
        <w:rPr>
          <w:rFonts w:ascii="Times New Roman" w:hAnsi="Times New Roman" w:cs="Times New Roman"/>
          <w:sz w:val="24"/>
          <w:szCs w:val="24"/>
        </w:rPr>
        <w:t>, 24(3), 45-66.</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Pires, T., Schlinger, E., &amp; Garrette, D. (2019). How multilingual is multilingual BERT? </w:t>
      </w:r>
      <w:r w:rsidRPr="00B04211">
        <w:rPr>
          <w:rFonts w:ascii="Times New Roman" w:hAnsi="Times New Roman" w:cs="Times New Roman"/>
          <w:i/>
          <w:iCs/>
          <w:sz w:val="24"/>
          <w:szCs w:val="24"/>
        </w:rPr>
        <w:t>Proceedings of the 57th Annual Meeting of the Association for Computational Linguistics</w:t>
      </w:r>
      <w:r w:rsidRPr="00B04211">
        <w:rPr>
          <w:rFonts w:ascii="Times New Roman" w:hAnsi="Times New Roman" w:cs="Times New Roman"/>
          <w:sz w:val="24"/>
          <w:szCs w:val="24"/>
        </w:rPr>
        <w:t>, 4996-5001.</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Rahimi, A., Li, Y., &amp; Cohn, T. (2019). Massively multilingual transfer for NER. </w:t>
      </w:r>
      <w:r w:rsidRPr="00B04211">
        <w:rPr>
          <w:rFonts w:ascii="Times New Roman" w:hAnsi="Times New Roman" w:cs="Times New Roman"/>
          <w:i/>
          <w:iCs/>
          <w:sz w:val="24"/>
          <w:szCs w:val="24"/>
        </w:rPr>
        <w:t>Proceedings of the 57th Annual Meeting of the Association for Computational Linguistics</w:t>
      </w:r>
      <w:r w:rsidRPr="00B04211">
        <w:rPr>
          <w:rFonts w:ascii="Times New Roman" w:hAnsi="Times New Roman" w:cs="Times New Roman"/>
          <w:sz w:val="24"/>
          <w:szCs w:val="24"/>
        </w:rPr>
        <w:t>, 1516-1527.</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Sallauka, R., Arioz, U., Rojc, M., &amp; Mlakar, I. (2025). Weakly-supervised multilingual medical NER for symptom extraction for low-resource languages. </w:t>
      </w:r>
      <w:r w:rsidRPr="00B04211">
        <w:rPr>
          <w:rFonts w:ascii="Times New Roman" w:hAnsi="Times New Roman" w:cs="Times New Roman"/>
          <w:i/>
          <w:iCs/>
          <w:sz w:val="24"/>
          <w:szCs w:val="24"/>
        </w:rPr>
        <w:t>Preprints</w:t>
      </w:r>
      <w:r w:rsidRPr="00B04211">
        <w:rPr>
          <w:rFonts w:ascii="Times New Roman" w:hAnsi="Times New Roman" w:cs="Times New Roman"/>
          <w:sz w:val="24"/>
          <w:szCs w:val="24"/>
        </w:rPr>
        <w:t xml:space="preserve">. </w:t>
      </w:r>
      <w:hyperlink r:id="rId12" w:tgtFrame="_blank" w:history="1">
        <w:r w:rsidRPr="00B04211">
          <w:rPr>
            <w:rStyle w:val="Hyperlink"/>
            <w:rFonts w:ascii="Times New Roman" w:hAnsi="Times New Roman" w:cs="Times New Roman"/>
            <w:sz w:val="24"/>
            <w:szCs w:val="24"/>
          </w:rPr>
          <w:t>https://doi.org/10.20944/preprints202504.1356.v1</w:t>
        </w:r>
      </w:hyperlink>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Sani, F. A. (2023). Development of English-to-Igala machine translation system using neural machine translation with attention mechanism. </w:t>
      </w:r>
      <w:r w:rsidRPr="00B04211">
        <w:rPr>
          <w:rFonts w:ascii="Times New Roman" w:hAnsi="Times New Roman" w:cs="Times New Roman"/>
          <w:i/>
          <w:iCs/>
          <w:sz w:val="24"/>
          <w:szCs w:val="24"/>
        </w:rPr>
        <w:t>Journal of Management and Technology</w:t>
      </w:r>
      <w:r w:rsidRPr="00B04211">
        <w:rPr>
          <w:rFonts w:ascii="Times New Roman" w:hAnsi="Times New Roman" w:cs="Times New Roman"/>
          <w:sz w:val="24"/>
          <w:szCs w:val="24"/>
        </w:rPr>
        <w:t xml:space="preserve">, 19(1). </w:t>
      </w:r>
      <w:hyperlink r:id="rId13" w:tgtFrame="_blank" w:history="1">
        <w:r w:rsidRPr="00B04211">
          <w:rPr>
            <w:rStyle w:val="Hyperlink"/>
            <w:rFonts w:ascii="Times New Roman" w:hAnsi="Times New Roman" w:cs="Times New Roman"/>
            <w:sz w:val="24"/>
            <w:szCs w:val="24"/>
          </w:rPr>
          <w:t>https://doi.org/10.62254/jmt.2023.19.1.7</w:t>
        </w:r>
      </w:hyperlink>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Settles, B. (2012). Active learning. </w:t>
      </w:r>
      <w:r w:rsidRPr="00B04211">
        <w:rPr>
          <w:rFonts w:ascii="Times New Roman" w:hAnsi="Times New Roman" w:cs="Times New Roman"/>
          <w:i/>
          <w:iCs/>
          <w:sz w:val="24"/>
          <w:szCs w:val="24"/>
        </w:rPr>
        <w:t>Synthesis Lectures on Artificial Intelligence and Machine Learning</w:t>
      </w:r>
      <w:r w:rsidRPr="00B04211">
        <w:rPr>
          <w:rFonts w:ascii="Times New Roman" w:hAnsi="Times New Roman" w:cs="Times New Roman"/>
          <w:sz w:val="24"/>
          <w:szCs w:val="24"/>
        </w:rPr>
        <w:t>, 6(1), 1-114.</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Shen, Y., Yun, H., Lipton, Z. C., Kronrod, Y., &amp; Anandkumar, A. (2017). Deep active learning for named entity recognition. </w:t>
      </w:r>
      <w:r w:rsidRPr="00B04211">
        <w:rPr>
          <w:rFonts w:ascii="Times New Roman" w:hAnsi="Times New Roman" w:cs="Times New Roman"/>
          <w:i/>
          <w:iCs/>
          <w:sz w:val="24"/>
          <w:szCs w:val="24"/>
        </w:rPr>
        <w:t>Proceedings of the 2nd Workshop on Representation Learning for NLP</w:t>
      </w:r>
      <w:r w:rsidRPr="00B04211">
        <w:rPr>
          <w:rFonts w:ascii="Times New Roman" w:hAnsi="Times New Roman" w:cs="Times New Roman"/>
          <w:sz w:val="24"/>
          <w:szCs w:val="24"/>
        </w:rPr>
        <w:t>, 252-256.</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Shiaki, N. (2025). Towards inclusive NLP: Benchmarking and mitigating bias in named entity recognition for African languages and entities. </w:t>
      </w:r>
      <w:r w:rsidRPr="00B04211">
        <w:rPr>
          <w:rFonts w:ascii="Times New Roman" w:hAnsi="Times New Roman" w:cs="Times New Roman"/>
          <w:i/>
          <w:iCs/>
          <w:sz w:val="24"/>
          <w:szCs w:val="24"/>
        </w:rPr>
        <w:t>NeurIPS 2025</w:t>
      </w:r>
      <w:r w:rsidRPr="00B04211">
        <w:rPr>
          <w:rFonts w:ascii="Times New Roman" w:hAnsi="Times New Roman" w:cs="Times New Roman"/>
          <w:sz w:val="24"/>
          <w:szCs w:val="24"/>
        </w:rPr>
        <w:t xml:space="preserve">. </w:t>
      </w:r>
      <w:hyperlink r:id="rId14" w:tgtFrame="_blank" w:history="1">
        <w:r w:rsidRPr="00B04211">
          <w:rPr>
            <w:rStyle w:val="Hyperlink"/>
            <w:rFonts w:ascii="Times New Roman" w:hAnsi="Times New Roman" w:cs="Times New Roman"/>
            <w:sz w:val="24"/>
            <w:szCs w:val="24"/>
          </w:rPr>
          <w:t>https://neurips.cc/virtual/2025/loc/san-diego/133796</w:t>
        </w:r>
      </w:hyperlink>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Sutton, C., &amp; McCallum, A. (2012). An introduction to conditional random fields. </w:t>
      </w:r>
      <w:r w:rsidRPr="00B04211">
        <w:rPr>
          <w:rFonts w:ascii="Times New Roman" w:hAnsi="Times New Roman" w:cs="Times New Roman"/>
          <w:i/>
          <w:iCs/>
          <w:sz w:val="24"/>
          <w:szCs w:val="24"/>
        </w:rPr>
        <w:t>Foundations and Trends in Machine Learning</w:t>
      </w:r>
      <w:r w:rsidRPr="00B04211">
        <w:rPr>
          <w:rFonts w:ascii="Times New Roman" w:hAnsi="Times New Roman" w:cs="Times New Roman"/>
          <w:sz w:val="24"/>
          <w:szCs w:val="24"/>
        </w:rPr>
        <w:t>, 4(4), 267-373.</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Vaswani, A., Shazeer, N., Parmar, N., Uszkoreit, J., Jones, L., Gomez, A. N., ... &amp;Polosukhin, I. (2017). Attention is all you need. </w:t>
      </w:r>
      <w:r w:rsidRPr="00B04211">
        <w:rPr>
          <w:rFonts w:ascii="Times New Roman" w:hAnsi="Times New Roman" w:cs="Times New Roman"/>
          <w:i/>
          <w:iCs/>
          <w:sz w:val="24"/>
          <w:szCs w:val="24"/>
        </w:rPr>
        <w:t>Advances in Neural Information Processing Systems</w:t>
      </w:r>
      <w:r w:rsidRPr="00B04211">
        <w:rPr>
          <w:rFonts w:ascii="Times New Roman" w:hAnsi="Times New Roman" w:cs="Times New Roman"/>
          <w:sz w:val="24"/>
          <w:szCs w:val="24"/>
        </w:rPr>
        <w:t>, 30, 5998-6008.</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Wei, J., &amp; Zou, K. (2019). EDA: Easy data augmentation techniques for boosting performance on text classification tasks. </w:t>
      </w:r>
      <w:r w:rsidRPr="00B04211">
        <w:rPr>
          <w:rFonts w:ascii="Times New Roman" w:hAnsi="Times New Roman" w:cs="Times New Roman"/>
          <w:i/>
          <w:iCs/>
          <w:sz w:val="24"/>
          <w:szCs w:val="24"/>
        </w:rPr>
        <w:t>Proceedings of the 2019 Conference on Empirical Methods in Natural Language Processing</w:t>
      </w:r>
      <w:r w:rsidRPr="00B04211">
        <w:rPr>
          <w:rFonts w:ascii="Times New Roman" w:hAnsi="Times New Roman" w:cs="Times New Roman"/>
          <w:sz w:val="24"/>
          <w:szCs w:val="24"/>
        </w:rPr>
        <w:t>, 6383-6389.</w:t>
      </w:r>
    </w:p>
    <w:p w:rsidR="00B04211" w:rsidRPr="00B04211" w:rsidRDefault="00B04211" w:rsidP="00B04211">
      <w:pPr>
        <w:numPr>
          <w:ilvl w:val="0"/>
          <w:numId w:val="2"/>
        </w:numPr>
        <w:tabs>
          <w:tab w:val="num" w:pos="720"/>
        </w:tabs>
        <w:jc w:val="both"/>
        <w:rPr>
          <w:rFonts w:ascii="Times New Roman" w:hAnsi="Times New Roman" w:cs="Times New Roman"/>
          <w:sz w:val="24"/>
          <w:szCs w:val="24"/>
        </w:rPr>
      </w:pPr>
      <w:r w:rsidRPr="00B04211">
        <w:rPr>
          <w:rFonts w:ascii="Times New Roman" w:hAnsi="Times New Roman" w:cs="Times New Roman"/>
          <w:sz w:val="24"/>
          <w:szCs w:val="24"/>
        </w:rPr>
        <w:t xml:space="preserve">Zhou, J. T., Zhang, H., Jin, D., Peng, H., Xiao, Y., &amp; Cao, Z. (2019). Dual adversarial neural transfer for low-resource named entity recognition. </w:t>
      </w:r>
      <w:r w:rsidRPr="00B04211">
        <w:rPr>
          <w:rFonts w:ascii="Times New Roman" w:hAnsi="Times New Roman" w:cs="Times New Roman"/>
          <w:i/>
          <w:iCs/>
          <w:sz w:val="24"/>
          <w:szCs w:val="24"/>
        </w:rPr>
        <w:t>Proceedings of the 57th Annual Meeting of the Association for Computational Linguistics</w:t>
      </w:r>
      <w:r w:rsidRPr="00B04211">
        <w:rPr>
          <w:rFonts w:ascii="Times New Roman" w:hAnsi="Times New Roman" w:cs="Times New Roman"/>
          <w:sz w:val="24"/>
          <w:szCs w:val="24"/>
        </w:rPr>
        <w:t>, 3461-3471.</w:t>
      </w:r>
    </w:p>
    <w:p w:rsidR="00AD0EFC" w:rsidRPr="00B04211" w:rsidRDefault="00AD0EFC" w:rsidP="00B04211">
      <w:pPr>
        <w:jc w:val="both"/>
        <w:rPr>
          <w:rFonts w:ascii="Times New Roman" w:hAnsi="Times New Roman" w:cs="Times New Roman"/>
          <w:sz w:val="24"/>
          <w:szCs w:val="24"/>
        </w:rPr>
      </w:pPr>
    </w:p>
    <w:sectPr w:rsidR="00AD0EFC" w:rsidRPr="00B04211" w:rsidSect="00133B7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C35" w:rsidRDefault="00526C35" w:rsidP="009B2AED">
      <w:pPr>
        <w:spacing w:after="0" w:line="240" w:lineRule="auto"/>
      </w:pPr>
      <w:r>
        <w:separator/>
      </w:r>
    </w:p>
  </w:endnote>
  <w:endnote w:type="continuationSeparator" w:id="1">
    <w:p w:rsidR="00526C35" w:rsidRDefault="00526C35" w:rsidP="009B2A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AED" w:rsidRDefault="009B2A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AED" w:rsidRDefault="009B2A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AED" w:rsidRDefault="009B2A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C35" w:rsidRDefault="00526C35" w:rsidP="009B2AED">
      <w:pPr>
        <w:spacing w:after="0" w:line="240" w:lineRule="auto"/>
      </w:pPr>
      <w:r>
        <w:separator/>
      </w:r>
    </w:p>
  </w:footnote>
  <w:footnote w:type="continuationSeparator" w:id="1">
    <w:p w:rsidR="00526C35" w:rsidRDefault="00526C35" w:rsidP="009B2A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AED" w:rsidRDefault="00F14CCA">
    <w:pPr>
      <w:pStyle w:val="Header"/>
    </w:pPr>
    <w:r w:rsidRPr="00F14CC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163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AED" w:rsidRDefault="00F14CCA">
    <w:pPr>
      <w:pStyle w:val="Header"/>
    </w:pPr>
    <w:r w:rsidRPr="00F14CC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163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AED" w:rsidRDefault="00F14CCA">
    <w:pPr>
      <w:pStyle w:val="Header"/>
    </w:pPr>
    <w:r w:rsidRPr="00F14CC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163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65FDA"/>
    <w:multiLevelType w:val="multilevel"/>
    <w:tmpl w:val="E87C71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7333B6"/>
    <w:multiLevelType w:val="hybridMultilevel"/>
    <w:tmpl w:val="36A60834"/>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833A4C"/>
    <w:rsid w:val="00084188"/>
    <w:rsid w:val="00120711"/>
    <w:rsid w:val="00133B72"/>
    <w:rsid w:val="00202727"/>
    <w:rsid w:val="00245BCD"/>
    <w:rsid w:val="002C2377"/>
    <w:rsid w:val="0031671F"/>
    <w:rsid w:val="00355002"/>
    <w:rsid w:val="00383EEA"/>
    <w:rsid w:val="00435788"/>
    <w:rsid w:val="00526C35"/>
    <w:rsid w:val="00551950"/>
    <w:rsid w:val="0058452F"/>
    <w:rsid w:val="005852A1"/>
    <w:rsid w:val="005F6205"/>
    <w:rsid w:val="006C06AC"/>
    <w:rsid w:val="00833A4C"/>
    <w:rsid w:val="008D2B30"/>
    <w:rsid w:val="008D4BB0"/>
    <w:rsid w:val="009B2AED"/>
    <w:rsid w:val="009C3B7A"/>
    <w:rsid w:val="00AD0EFC"/>
    <w:rsid w:val="00B04211"/>
    <w:rsid w:val="00C270AC"/>
    <w:rsid w:val="00D535CC"/>
    <w:rsid w:val="00E414D2"/>
    <w:rsid w:val="00EF2CFC"/>
    <w:rsid w:val="00F14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B72"/>
  </w:style>
  <w:style w:type="paragraph" w:styleId="Heading1">
    <w:name w:val="heading 1"/>
    <w:basedOn w:val="Normal"/>
    <w:next w:val="Normal"/>
    <w:link w:val="Heading1Char"/>
    <w:uiPriority w:val="9"/>
    <w:qFormat/>
    <w:rsid w:val="00833A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3A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A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A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A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A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3A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A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A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A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A4C"/>
    <w:rPr>
      <w:rFonts w:eastAsiaTheme="majorEastAsia" w:cstheme="majorBidi"/>
      <w:color w:val="272727" w:themeColor="text1" w:themeTint="D8"/>
    </w:rPr>
  </w:style>
  <w:style w:type="paragraph" w:styleId="Title">
    <w:name w:val="Title"/>
    <w:basedOn w:val="Normal"/>
    <w:next w:val="Normal"/>
    <w:link w:val="TitleChar"/>
    <w:uiPriority w:val="10"/>
    <w:qFormat/>
    <w:rsid w:val="00833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A4C"/>
    <w:pPr>
      <w:spacing w:before="160"/>
      <w:jc w:val="center"/>
    </w:pPr>
    <w:rPr>
      <w:i/>
      <w:iCs/>
      <w:color w:val="404040" w:themeColor="text1" w:themeTint="BF"/>
    </w:rPr>
  </w:style>
  <w:style w:type="character" w:customStyle="1" w:styleId="QuoteChar">
    <w:name w:val="Quote Char"/>
    <w:basedOn w:val="DefaultParagraphFont"/>
    <w:link w:val="Quote"/>
    <w:uiPriority w:val="29"/>
    <w:rsid w:val="00833A4C"/>
    <w:rPr>
      <w:i/>
      <w:iCs/>
      <w:color w:val="404040" w:themeColor="text1" w:themeTint="BF"/>
    </w:rPr>
  </w:style>
  <w:style w:type="paragraph" w:styleId="ListParagraph">
    <w:name w:val="List Paragraph"/>
    <w:basedOn w:val="Normal"/>
    <w:uiPriority w:val="34"/>
    <w:qFormat/>
    <w:rsid w:val="00833A4C"/>
    <w:pPr>
      <w:ind w:left="720"/>
      <w:contextualSpacing/>
    </w:pPr>
  </w:style>
  <w:style w:type="character" w:styleId="IntenseEmphasis">
    <w:name w:val="Intense Emphasis"/>
    <w:basedOn w:val="DefaultParagraphFont"/>
    <w:uiPriority w:val="21"/>
    <w:qFormat/>
    <w:rsid w:val="00833A4C"/>
    <w:rPr>
      <w:i/>
      <w:iCs/>
      <w:color w:val="2F5496" w:themeColor="accent1" w:themeShade="BF"/>
    </w:rPr>
  </w:style>
  <w:style w:type="paragraph" w:styleId="IntenseQuote">
    <w:name w:val="Intense Quote"/>
    <w:basedOn w:val="Normal"/>
    <w:next w:val="Normal"/>
    <w:link w:val="IntenseQuoteChar"/>
    <w:uiPriority w:val="30"/>
    <w:qFormat/>
    <w:rsid w:val="00833A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A4C"/>
    <w:rPr>
      <w:i/>
      <w:iCs/>
      <w:color w:val="2F5496" w:themeColor="accent1" w:themeShade="BF"/>
    </w:rPr>
  </w:style>
  <w:style w:type="character" w:styleId="IntenseReference">
    <w:name w:val="Intense Reference"/>
    <w:basedOn w:val="DefaultParagraphFont"/>
    <w:uiPriority w:val="32"/>
    <w:qFormat/>
    <w:rsid w:val="00833A4C"/>
    <w:rPr>
      <w:b/>
      <w:bCs/>
      <w:smallCaps/>
      <w:color w:val="2F5496" w:themeColor="accent1" w:themeShade="BF"/>
      <w:spacing w:val="5"/>
    </w:rPr>
  </w:style>
  <w:style w:type="character" w:styleId="Hyperlink">
    <w:name w:val="Hyperlink"/>
    <w:basedOn w:val="DefaultParagraphFont"/>
    <w:uiPriority w:val="99"/>
    <w:unhideWhenUsed/>
    <w:rsid w:val="00833A4C"/>
    <w:rPr>
      <w:color w:val="0563C1" w:themeColor="hyperlink"/>
      <w:u w:val="single"/>
    </w:rPr>
  </w:style>
  <w:style w:type="character" w:customStyle="1" w:styleId="UnresolvedMention1">
    <w:name w:val="Unresolved Mention1"/>
    <w:basedOn w:val="DefaultParagraphFont"/>
    <w:uiPriority w:val="99"/>
    <w:semiHidden/>
    <w:unhideWhenUsed/>
    <w:rsid w:val="00833A4C"/>
    <w:rPr>
      <w:color w:val="605E5C"/>
      <w:shd w:val="clear" w:color="auto" w:fill="E1DFDD"/>
    </w:rPr>
  </w:style>
  <w:style w:type="table" w:styleId="TableGrid">
    <w:name w:val="Table Grid"/>
    <w:basedOn w:val="TableNormal"/>
    <w:uiPriority w:val="39"/>
    <w:rsid w:val="00833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45BCD"/>
    <w:pPr>
      <w:spacing w:after="0" w:line="240" w:lineRule="auto"/>
    </w:pPr>
  </w:style>
  <w:style w:type="character" w:customStyle="1" w:styleId="UnresolvedMention">
    <w:name w:val="Unresolved Mention"/>
    <w:basedOn w:val="DefaultParagraphFont"/>
    <w:uiPriority w:val="99"/>
    <w:semiHidden/>
    <w:unhideWhenUsed/>
    <w:rsid w:val="00202727"/>
    <w:rPr>
      <w:color w:val="605E5C"/>
      <w:shd w:val="clear" w:color="auto" w:fill="E1DFDD"/>
    </w:rPr>
  </w:style>
  <w:style w:type="paragraph" w:styleId="Header">
    <w:name w:val="header"/>
    <w:basedOn w:val="Normal"/>
    <w:link w:val="HeaderChar"/>
    <w:uiPriority w:val="99"/>
    <w:unhideWhenUsed/>
    <w:rsid w:val="009B2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AED"/>
  </w:style>
  <w:style w:type="paragraph" w:styleId="Footer">
    <w:name w:val="footer"/>
    <w:basedOn w:val="Normal"/>
    <w:link w:val="FooterChar"/>
    <w:uiPriority w:val="99"/>
    <w:unhideWhenUsed/>
    <w:rsid w:val="009B2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A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2505.07884" TargetMode="External"/><Relationship Id="rId13" Type="http://schemas.openxmlformats.org/officeDocument/2006/relationships/hyperlink" Target="https://doi.org/10.62254/jmt.2023.19.1.7"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7635/lancaster/thesis/2789" TargetMode="External"/><Relationship Id="rId12" Type="http://schemas.openxmlformats.org/officeDocument/2006/relationships/hyperlink" Target="https://doi.org/10.20944/preprints202504.1356.v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xiv.org/abs/2006.0726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109/nigercon62786.2024.1092704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arxiv.org/abs/1508.01991" TargetMode="External"/><Relationship Id="rId14" Type="http://schemas.openxmlformats.org/officeDocument/2006/relationships/hyperlink" Target="https://neurips.cc/virtual/2025/loc/san-diego/13379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18</Pages>
  <Words>8441</Words>
  <Characters>48116</Characters>
  <Application>Microsoft Office Word</Application>
  <DocSecurity>0</DocSecurity>
  <Lines>400</Lines>
  <Paragraphs>112</Paragraphs>
  <ScaleCrop>false</ScaleCrop>
  <Company/>
  <LinksUpToDate>false</LinksUpToDate>
  <CharactersWithSpaces>56445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Userpc</cp:lastModifiedBy>
  <cp:revision>15</cp:revision>
  <dcterms:created xsi:type="dcterms:W3CDTF">2026-02-23T13:26:00Z</dcterms:created>
  <dcterms:modified xsi:type="dcterms:W3CDTF">2026-04-15T08:51:00Z</dcterms:modified>
</cp:coreProperties>
</file>