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574EB" w14:textId="3BAFB6C7" w:rsidR="00457AF6" w:rsidRDefault="00F7427D">
      <w:pPr>
        <w:jc w:val="both"/>
        <w:rPr>
          <w:rFonts w:ascii="Arial" w:hAnsi="Arial" w:cs="Arial"/>
          <w:b/>
          <w:bCs/>
        </w:rPr>
      </w:pPr>
      <w:r w:rsidRPr="004756E2">
        <w:rPr>
          <w:rFonts w:ascii="Arial" w:hAnsi="Arial" w:cs="Arial"/>
          <w:b/>
          <w:bCs/>
          <w:iCs/>
          <w:color w:val="000000" w:themeColor="text1"/>
          <w:sz w:val="36"/>
          <w:szCs w:val="36"/>
        </w:rPr>
        <w:t xml:space="preserve">Antimicrobial </w:t>
      </w:r>
      <w:r>
        <w:rPr>
          <w:rFonts w:ascii="Arial" w:hAnsi="Arial" w:cs="Arial"/>
          <w:b/>
          <w:bCs/>
          <w:iCs/>
          <w:color w:val="000000" w:themeColor="text1"/>
          <w:sz w:val="36"/>
          <w:szCs w:val="36"/>
        </w:rPr>
        <w:t>a</w:t>
      </w:r>
      <w:r w:rsidRPr="004756E2">
        <w:rPr>
          <w:rFonts w:ascii="Arial" w:hAnsi="Arial" w:cs="Arial"/>
          <w:b/>
          <w:bCs/>
          <w:iCs/>
          <w:color w:val="000000" w:themeColor="text1"/>
          <w:sz w:val="36"/>
          <w:szCs w:val="36"/>
        </w:rPr>
        <w:t xml:space="preserve">nd Antioxidant Potential </w:t>
      </w:r>
      <w:r>
        <w:rPr>
          <w:rFonts w:ascii="Arial" w:hAnsi="Arial" w:cs="Arial"/>
          <w:b/>
          <w:bCs/>
          <w:iCs/>
          <w:color w:val="000000" w:themeColor="text1"/>
          <w:sz w:val="36"/>
          <w:szCs w:val="36"/>
        </w:rPr>
        <w:t>o</w:t>
      </w:r>
      <w:r w:rsidRPr="004756E2">
        <w:rPr>
          <w:rFonts w:ascii="Arial" w:hAnsi="Arial" w:cs="Arial"/>
          <w:b/>
          <w:bCs/>
          <w:iCs/>
          <w:color w:val="000000" w:themeColor="text1"/>
          <w:sz w:val="36"/>
          <w:szCs w:val="36"/>
        </w:rPr>
        <w:t xml:space="preserve">f Marine Endophytic Fungus </w:t>
      </w:r>
      <w:r w:rsidRPr="004756E2">
        <w:rPr>
          <w:rFonts w:ascii="Arial" w:hAnsi="Arial" w:cs="Arial"/>
          <w:b/>
          <w:bCs/>
          <w:i/>
          <w:color w:val="000000" w:themeColor="text1"/>
          <w:sz w:val="36"/>
          <w:szCs w:val="36"/>
        </w:rPr>
        <w:t xml:space="preserve">Penicillium </w:t>
      </w:r>
      <w:proofErr w:type="spellStart"/>
      <w:r w:rsidRPr="004756E2">
        <w:rPr>
          <w:rFonts w:ascii="Arial" w:hAnsi="Arial" w:cs="Arial"/>
          <w:b/>
          <w:bCs/>
          <w:i/>
          <w:color w:val="000000" w:themeColor="text1"/>
          <w:sz w:val="36"/>
          <w:szCs w:val="36"/>
        </w:rPr>
        <w:t>Javanicum</w:t>
      </w:r>
      <w:proofErr w:type="spellEnd"/>
      <w:r w:rsidRPr="004756E2">
        <w:rPr>
          <w:rFonts w:ascii="Arial" w:hAnsi="Arial" w:cs="Arial"/>
          <w:b/>
          <w:bCs/>
          <w:iCs/>
          <w:color w:val="000000" w:themeColor="text1"/>
          <w:sz w:val="36"/>
          <w:szCs w:val="36"/>
        </w:rPr>
        <w:t xml:space="preserve"> Ul1 Associated </w:t>
      </w:r>
      <w:r>
        <w:rPr>
          <w:rFonts w:ascii="Arial" w:hAnsi="Arial" w:cs="Arial"/>
          <w:b/>
          <w:bCs/>
          <w:iCs/>
          <w:color w:val="000000" w:themeColor="text1"/>
          <w:sz w:val="36"/>
          <w:szCs w:val="36"/>
        </w:rPr>
        <w:t>w</w:t>
      </w:r>
      <w:r w:rsidRPr="004756E2">
        <w:rPr>
          <w:rFonts w:ascii="Arial" w:hAnsi="Arial" w:cs="Arial"/>
          <w:b/>
          <w:bCs/>
          <w:iCs/>
          <w:color w:val="000000" w:themeColor="text1"/>
          <w:sz w:val="36"/>
          <w:szCs w:val="36"/>
        </w:rPr>
        <w:t xml:space="preserve">ith </w:t>
      </w:r>
      <w:r w:rsidRPr="004756E2">
        <w:rPr>
          <w:rFonts w:ascii="Arial" w:hAnsi="Arial" w:cs="Arial"/>
          <w:b/>
          <w:bCs/>
          <w:i/>
          <w:color w:val="000000" w:themeColor="text1"/>
          <w:sz w:val="36"/>
          <w:szCs w:val="36"/>
        </w:rPr>
        <w:t xml:space="preserve">Ulva </w:t>
      </w:r>
      <w:proofErr w:type="spellStart"/>
      <w:r w:rsidRPr="004756E2">
        <w:rPr>
          <w:rFonts w:ascii="Arial" w:hAnsi="Arial" w:cs="Arial"/>
          <w:b/>
          <w:bCs/>
          <w:i/>
          <w:color w:val="000000" w:themeColor="text1"/>
          <w:sz w:val="36"/>
          <w:szCs w:val="36"/>
        </w:rPr>
        <w:t>Lactuca</w:t>
      </w:r>
      <w:proofErr w:type="spellEnd"/>
    </w:p>
    <w:p w14:paraId="571D65AF" w14:textId="1DD2BE59" w:rsidR="00FF7ED2" w:rsidRDefault="00FF7ED2">
      <w:pPr>
        <w:jc w:val="both"/>
        <w:rPr>
          <w:rFonts w:ascii="Arial" w:hAnsi="Arial" w:cs="Arial"/>
          <w:b/>
          <w:bCs/>
        </w:rPr>
      </w:pPr>
    </w:p>
    <w:p w14:paraId="38DD12A8" w14:textId="77777777" w:rsidR="00FF7ED2" w:rsidRDefault="00FF7ED2">
      <w:pPr>
        <w:jc w:val="both"/>
        <w:rPr>
          <w:rFonts w:ascii="Arial" w:hAnsi="Arial" w:cs="Arial"/>
          <w:b/>
          <w:bCs/>
        </w:rPr>
      </w:pPr>
    </w:p>
    <w:p w14:paraId="28C8D286" w14:textId="15425911" w:rsidR="00AD29B7" w:rsidRPr="000D7BC8" w:rsidRDefault="00EF7F79">
      <w:pPr>
        <w:jc w:val="both"/>
        <w:rPr>
          <w:rFonts w:ascii="Arial" w:hAnsi="Arial" w:cs="Arial"/>
          <w:b/>
          <w:bCs/>
          <w:sz w:val="22"/>
          <w:szCs w:val="22"/>
        </w:rPr>
      </w:pPr>
      <w:r w:rsidRPr="000D7BC8">
        <w:rPr>
          <w:rFonts w:ascii="Arial" w:hAnsi="Arial" w:cs="Arial"/>
          <w:b/>
          <w:bCs/>
          <w:sz w:val="22"/>
          <w:szCs w:val="22"/>
        </w:rPr>
        <w:t>ABSTRACT</w:t>
      </w:r>
    </w:p>
    <w:p w14:paraId="3B413466" w14:textId="2ADEF3E3" w:rsidR="00AD29B7" w:rsidRPr="000D7BC8" w:rsidRDefault="00EF7F79">
      <w:pPr>
        <w:tabs>
          <w:tab w:val="left" w:pos="720"/>
        </w:tabs>
        <w:spacing w:line="240" w:lineRule="auto"/>
        <w:jc w:val="both"/>
        <w:rPr>
          <w:rFonts w:ascii="Arial" w:hAnsi="Arial" w:cs="Arial"/>
          <w:b/>
          <w:sz w:val="22"/>
          <w:szCs w:val="22"/>
        </w:rPr>
      </w:pPr>
      <w:r w:rsidRPr="000D7BC8">
        <w:rPr>
          <w:rFonts w:ascii="Arial" w:hAnsi="Arial" w:cs="Arial"/>
          <w:sz w:val="22"/>
          <w:szCs w:val="22"/>
        </w:rPr>
        <w:tab/>
      </w:r>
      <w:r w:rsidRPr="000D7BC8">
        <w:rPr>
          <w:rFonts w:ascii="Arial" w:hAnsi="Arial" w:cs="Arial"/>
          <w:sz w:val="20"/>
          <w:szCs w:val="20"/>
        </w:rPr>
        <w:t xml:space="preserve">Marine seaweeds are known to host diverse microbial communities, including endophytic fungi that are important sources of bioactive secondary metabolites with significant pharmacological potential. </w:t>
      </w:r>
      <w:r w:rsidRPr="000D7BC8">
        <w:rPr>
          <w:rFonts w:ascii="Arial" w:hAnsi="Arial" w:cs="Arial"/>
          <w:iCs/>
          <w:sz w:val="20"/>
          <w:szCs w:val="20"/>
        </w:rPr>
        <w:t xml:space="preserve">The present study investigated the antimicrobial and antioxidant activities of an endophytic fungal isolate obtained from the green seaweed </w:t>
      </w:r>
      <w:r w:rsidRPr="000D7BC8">
        <w:rPr>
          <w:rFonts w:ascii="Arial" w:hAnsi="Arial" w:cs="Arial"/>
          <w:i/>
          <w:sz w:val="20"/>
          <w:szCs w:val="20"/>
        </w:rPr>
        <w:t xml:space="preserve">Ulva </w:t>
      </w:r>
      <w:proofErr w:type="spellStart"/>
      <w:r w:rsidRPr="000D7BC8">
        <w:rPr>
          <w:rFonts w:ascii="Arial" w:hAnsi="Arial" w:cs="Arial"/>
          <w:i/>
          <w:sz w:val="20"/>
          <w:szCs w:val="20"/>
        </w:rPr>
        <w:t>lactuca</w:t>
      </w:r>
      <w:proofErr w:type="spellEnd"/>
      <w:r w:rsidRPr="000D7BC8">
        <w:rPr>
          <w:rFonts w:ascii="Arial" w:hAnsi="Arial" w:cs="Arial"/>
          <w:i/>
          <w:sz w:val="20"/>
          <w:szCs w:val="20"/>
        </w:rPr>
        <w:t xml:space="preserve">. </w:t>
      </w:r>
      <w:r w:rsidRPr="000D7BC8">
        <w:rPr>
          <w:rFonts w:ascii="Arial" w:hAnsi="Arial" w:cs="Arial"/>
          <w:iCs/>
          <w:sz w:val="20"/>
          <w:szCs w:val="20"/>
        </w:rPr>
        <w:t xml:space="preserve">The isolate was </w:t>
      </w:r>
      <w:r w:rsidR="000016D2" w:rsidRPr="000D7BC8">
        <w:rPr>
          <w:rFonts w:ascii="Arial" w:hAnsi="Arial" w:cs="Arial"/>
          <w:iCs/>
          <w:sz w:val="20"/>
          <w:szCs w:val="20"/>
        </w:rPr>
        <w:t xml:space="preserve">cultured </w:t>
      </w:r>
      <w:r w:rsidRPr="000D7BC8">
        <w:rPr>
          <w:rFonts w:ascii="Arial" w:hAnsi="Arial" w:cs="Arial"/>
          <w:iCs/>
          <w:sz w:val="20"/>
          <w:szCs w:val="20"/>
        </w:rPr>
        <w:t xml:space="preserve">on Potato Dextrose Agar (PDA) and identified through morphological and molecular characterization as </w:t>
      </w:r>
      <w:r w:rsidRPr="000D7BC8">
        <w:rPr>
          <w:rFonts w:ascii="Arial" w:hAnsi="Arial" w:cs="Arial"/>
          <w:i/>
          <w:sz w:val="20"/>
          <w:szCs w:val="20"/>
        </w:rPr>
        <w:t xml:space="preserve">Penicillium </w:t>
      </w:r>
      <w:proofErr w:type="spellStart"/>
      <w:r w:rsidRPr="000D7BC8">
        <w:rPr>
          <w:rFonts w:ascii="Arial" w:hAnsi="Arial" w:cs="Arial"/>
          <w:i/>
          <w:sz w:val="20"/>
          <w:szCs w:val="20"/>
        </w:rPr>
        <w:t>javanicum</w:t>
      </w:r>
      <w:proofErr w:type="spellEnd"/>
      <w:r w:rsidRPr="000D7BC8">
        <w:rPr>
          <w:rFonts w:ascii="Arial" w:hAnsi="Arial" w:cs="Arial"/>
          <w:iCs/>
          <w:sz w:val="20"/>
          <w:szCs w:val="20"/>
        </w:rPr>
        <w:t xml:space="preserve"> isolate UL1 (GenBank Accession No. MN559951).</w:t>
      </w:r>
      <w:r w:rsidR="000016D2" w:rsidRPr="000D7BC8">
        <w:rPr>
          <w:rFonts w:ascii="Arial" w:hAnsi="Arial" w:cs="Arial"/>
          <w:iCs/>
          <w:sz w:val="20"/>
          <w:szCs w:val="20"/>
        </w:rPr>
        <w:t xml:space="preserve"> </w:t>
      </w:r>
      <w:r w:rsidRPr="000D7BC8">
        <w:rPr>
          <w:rFonts w:ascii="Arial" w:hAnsi="Arial" w:cs="Arial"/>
          <w:iCs/>
          <w:sz w:val="20"/>
          <w:szCs w:val="20"/>
        </w:rPr>
        <w:t xml:space="preserve">The fungal isolate was cultivated in Potato Dextrose Broth (PDB) for 2–3 weeks, and crude metabolites were extracted from the mycelium and culture broth </w:t>
      </w:r>
      <w:r w:rsidR="000016D2" w:rsidRPr="000D7BC8">
        <w:rPr>
          <w:rFonts w:ascii="Arial" w:hAnsi="Arial" w:cs="Arial"/>
          <w:iCs/>
          <w:sz w:val="20"/>
          <w:szCs w:val="20"/>
        </w:rPr>
        <w:t xml:space="preserve">separately </w:t>
      </w:r>
      <w:r w:rsidRPr="000D7BC8">
        <w:rPr>
          <w:rFonts w:ascii="Arial" w:hAnsi="Arial" w:cs="Arial"/>
          <w:iCs/>
          <w:sz w:val="20"/>
          <w:szCs w:val="20"/>
        </w:rPr>
        <w:t xml:space="preserve">using ethyl acetate. The antimicrobial potential of the extracts was evaluated against six human pathogens and four fish pathogens. The culture broth extract exhibited inhibitory activity against all tested human pathogens except </w:t>
      </w:r>
      <w:r w:rsidRPr="000D7BC8">
        <w:rPr>
          <w:rFonts w:ascii="Arial" w:hAnsi="Arial" w:cs="Arial"/>
          <w:i/>
          <w:sz w:val="20"/>
          <w:szCs w:val="20"/>
        </w:rPr>
        <w:t>Enterococcus faecalis.</w:t>
      </w:r>
      <w:r w:rsidRPr="000D7BC8">
        <w:rPr>
          <w:rFonts w:ascii="Arial" w:hAnsi="Arial" w:cs="Arial"/>
          <w:iCs/>
          <w:sz w:val="20"/>
          <w:szCs w:val="20"/>
        </w:rPr>
        <w:t xml:space="preserve"> The highest antibacterial activity was observed against </w:t>
      </w:r>
      <w:r w:rsidRPr="000D7BC8">
        <w:rPr>
          <w:rFonts w:ascii="Arial" w:hAnsi="Arial" w:cs="Arial"/>
          <w:i/>
          <w:sz w:val="20"/>
          <w:szCs w:val="20"/>
        </w:rPr>
        <w:t>Pseudomonas aeruginosa</w:t>
      </w:r>
      <w:r w:rsidRPr="000D7BC8">
        <w:rPr>
          <w:rFonts w:ascii="Arial" w:hAnsi="Arial" w:cs="Arial"/>
          <w:iCs/>
          <w:sz w:val="20"/>
          <w:szCs w:val="20"/>
        </w:rPr>
        <w:t xml:space="preserve"> (17 ± 2 mm), while the lowest inhibition was recorded against </w:t>
      </w:r>
      <w:r w:rsidRPr="000D7BC8">
        <w:rPr>
          <w:rFonts w:ascii="Arial" w:hAnsi="Arial" w:cs="Arial"/>
          <w:i/>
          <w:sz w:val="20"/>
          <w:szCs w:val="20"/>
        </w:rPr>
        <w:t>Staphylococcus aureus</w:t>
      </w:r>
      <w:r w:rsidRPr="000D7BC8">
        <w:rPr>
          <w:rFonts w:ascii="Arial" w:hAnsi="Arial" w:cs="Arial"/>
          <w:iCs/>
          <w:sz w:val="20"/>
          <w:szCs w:val="20"/>
        </w:rPr>
        <w:t xml:space="preserve"> (13.6 ± 1.52 mm). Among fish pathogens, the strongest inhibition was detected against</w:t>
      </w:r>
      <w:r w:rsidRPr="000D7BC8">
        <w:rPr>
          <w:rFonts w:ascii="Arial" w:hAnsi="Arial" w:cs="Arial"/>
          <w:i/>
          <w:sz w:val="20"/>
          <w:szCs w:val="20"/>
        </w:rPr>
        <w:t xml:space="preserve"> </w:t>
      </w:r>
      <w:proofErr w:type="spellStart"/>
      <w:r w:rsidRPr="000D7BC8">
        <w:rPr>
          <w:rFonts w:ascii="Arial" w:hAnsi="Arial" w:cs="Arial"/>
          <w:i/>
          <w:sz w:val="20"/>
          <w:szCs w:val="20"/>
        </w:rPr>
        <w:t>Edwardsiella</w:t>
      </w:r>
      <w:proofErr w:type="spellEnd"/>
      <w:r w:rsidRPr="000D7BC8">
        <w:rPr>
          <w:rFonts w:ascii="Arial" w:hAnsi="Arial" w:cs="Arial"/>
          <w:i/>
          <w:sz w:val="20"/>
          <w:szCs w:val="20"/>
        </w:rPr>
        <w:t xml:space="preserve"> </w:t>
      </w:r>
      <w:proofErr w:type="spellStart"/>
      <w:r w:rsidRPr="000D7BC8">
        <w:rPr>
          <w:rFonts w:ascii="Arial" w:hAnsi="Arial" w:cs="Arial"/>
          <w:i/>
          <w:sz w:val="20"/>
          <w:szCs w:val="20"/>
        </w:rPr>
        <w:t>tarda</w:t>
      </w:r>
      <w:proofErr w:type="spellEnd"/>
      <w:r w:rsidRPr="000D7BC8">
        <w:rPr>
          <w:rFonts w:ascii="Arial" w:hAnsi="Arial" w:cs="Arial"/>
          <w:iCs/>
          <w:sz w:val="20"/>
          <w:szCs w:val="20"/>
        </w:rPr>
        <w:t xml:space="preserve"> (18 ± 2.64 mm), whereas the lowest activity was observed against </w:t>
      </w:r>
      <w:r w:rsidRPr="000D7BC8">
        <w:rPr>
          <w:rFonts w:ascii="Arial" w:hAnsi="Arial" w:cs="Arial"/>
          <w:i/>
          <w:sz w:val="20"/>
          <w:szCs w:val="20"/>
        </w:rPr>
        <w:t>Vibrio vulnificus</w:t>
      </w:r>
      <w:r w:rsidRPr="000D7BC8">
        <w:rPr>
          <w:rFonts w:ascii="Arial" w:hAnsi="Arial" w:cs="Arial"/>
          <w:iCs/>
          <w:sz w:val="20"/>
          <w:szCs w:val="20"/>
        </w:rPr>
        <w:t xml:space="preserve"> (15 ± 1.73 mm). In comparison, the mycelial extract showed limited activity, inhibiting three human pathogens (</w:t>
      </w:r>
      <w:r w:rsidRPr="000D7BC8">
        <w:rPr>
          <w:rFonts w:ascii="Arial" w:hAnsi="Arial" w:cs="Arial"/>
          <w:i/>
          <w:sz w:val="20"/>
          <w:szCs w:val="20"/>
        </w:rPr>
        <w:t xml:space="preserve">S. aureus, E. faecalis, </w:t>
      </w:r>
      <w:r w:rsidRPr="000D7BC8">
        <w:rPr>
          <w:rFonts w:ascii="Arial" w:hAnsi="Arial" w:cs="Arial"/>
          <w:iCs/>
          <w:sz w:val="20"/>
          <w:szCs w:val="20"/>
        </w:rPr>
        <w:t>and</w:t>
      </w:r>
      <w:r w:rsidRPr="000D7BC8">
        <w:rPr>
          <w:rFonts w:ascii="Arial" w:hAnsi="Arial" w:cs="Arial"/>
          <w:i/>
          <w:sz w:val="20"/>
          <w:szCs w:val="20"/>
        </w:rPr>
        <w:t xml:space="preserve"> P. aeruginosa</w:t>
      </w:r>
      <w:r w:rsidRPr="000D7BC8">
        <w:rPr>
          <w:rFonts w:ascii="Arial" w:hAnsi="Arial" w:cs="Arial"/>
          <w:iCs/>
          <w:sz w:val="20"/>
          <w:szCs w:val="20"/>
        </w:rPr>
        <w:t>) and one fish pathogen,</w:t>
      </w:r>
      <w:r w:rsidRPr="000D7BC8">
        <w:rPr>
          <w:rFonts w:ascii="Arial" w:hAnsi="Arial" w:cs="Arial"/>
          <w:i/>
          <w:sz w:val="20"/>
          <w:szCs w:val="20"/>
        </w:rPr>
        <w:t xml:space="preserve"> Aeromonas </w:t>
      </w:r>
      <w:proofErr w:type="spellStart"/>
      <w:r w:rsidRPr="000D7BC8">
        <w:rPr>
          <w:rFonts w:ascii="Arial" w:hAnsi="Arial" w:cs="Arial"/>
          <w:i/>
          <w:sz w:val="20"/>
          <w:szCs w:val="20"/>
        </w:rPr>
        <w:t>hydrophila</w:t>
      </w:r>
      <w:proofErr w:type="spellEnd"/>
      <w:r w:rsidRPr="000D7BC8">
        <w:rPr>
          <w:rFonts w:ascii="Arial" w:hAnsi="Arial" w:cs="Arial"/>
          <w:iCs/>
          <w:sz w:val="20"/>
          <w:szCs w:val="20"/>
        </w:rPr>
        <w:t>, with a zone of inhibition of 11.3 ± 1.24 mm. Antioxidant activity was determined through DPPH and nitric oxide radical scavenging assays. The extract demonstrated a maximum DPPH radical scavenging activity</w:t>
      </w:r>
      <w:r w:rsidR="00EC0510" w:rsidRPr="000D7BC8">
        <w:rPr>
          <w:rFonts w:ascii="Arial" w:hAnsi="Arial" w:cs="Arial"/>
          <w:iCs/>
          <w:sz w:val="20"/>
          <w:szCs w:val="20"/>
        </w:rPr>
        <w:t xml:space="preserve"> (64.12 ± 0.009 %)</w:t>
      </w:r>
      <w:r w:rsidRPr="000D7BC8">
        <w:rPr>
          <w:rFonts w:ascii="Arial" w:hAnsi="Arial" w:cs="Arial"/>
          <w:iCs/>
          <w:sz w:val="20"/>
          <w:szCs w:val="20"/>
        </w:rPr>
        <w:t xml:space="preserve"> </w:t>
      </w:r>
      <w:r w:rsidR="00EC0510" w:rsidRPr="000D7BC8">
        <w:rPr>
          <w:rFonts w:ascii="Arial" w:hAnsi="Arial" w:cs="Arial"/>
          <w:iCs/>
          <w:sz w:val="20"/>
          <w:szCs w:val="20"/>
        </w:rPr>
        <w:t xml:space="preserve">and nitric oxide scavenging activity (62.26 ± 0.011 %) </w:t>
      </w:r>
      <w:r w:rsidRPr="000D7BC8">
        <w:rPr>
          <w:rFonts w:ascii="Arial" w:hAnsi="Arial" w:cs="Arial"/>
          <w:iCs/>
          <w:sz w:val="20"/>
          <w:szCs w:val="20"/>
        </w:rPr>
        <w:t xml:space="preserve">at a concentration of 500µg. </w:t>
      </w:r>
      <w:r w:rsidR="00EC0510" w:rsidRPr="000D7BC8">
        <w:rPr>
          <w:rFonts w:ascii="Arial" w:hAnsi="Arial" w:cs="Arial"/>
          <w:iCs/>
          <w:sz w:val="20"/>
          <w:szCs w:val="20"/>
        </w:rPr>
        <w:t>T</w:t>
      </w:r>
      <w:r w:rsidRPr="000D7BC8">
        <w:rPr>
          <w:rFonts w:ascii="Arial" w:hAnsi="Arial" w:cs="Arial"/>
          <w:iCs/>
          <w:sz w:val="20"/>
          <w:szCs w:val="20"/>
        </w:rPr>
        <w:t>he lowest activity was observed at 100µg</w:t>
      </w:r>
      <w:r w:rsidR="00EC0510" w:rsidRPr="000D7BC8">
        <w:rPr>
          <w:rFonts w:ascii="Arial" w:hAnsi="Arial" w:cs="Arial"/>
          <w:iCs/>
          <w:sz w:val="20"/>
          <w:szCs w:val="20"/>
        </w:rPr>
        <w:t xml:space="preserve"> in both the assays</w:t>
      </w:r>
      <w:r w:rsidRPr="000D7BC8">
        <w:rPr>
          <w:rFonts w:ascii="Arial" w:hAnsi="Arial" w:cs="Arial"/>
          <w:iCs/>
          <w:sz w:val="20"/>
          <w:szCs w:val="20"/>
        </w:rPr>
        <w:t xml:space="preserve">. Additionally, the total antioxidant activity and total phenolic content were found to be 55.38 ± 1.00 µg/ml and 40.38 ± 2.00 µg/ml, respectively. These results suggest that the endophytic fungus </w:t>
      </w:r>
      <w:r w:rsidRPr="000D7BC8">
        <w:rPr>
          <w:rFonts w:ascii="Arial" w:hAnsi="Arial" w:cs="Arial"/>
          <w:i/>
          <w:sz w:val="20"/>
          <w:szCs w:val="20"/>
        </w:rPr>
        <w:t xml:space="preserve">Penicillium </w:t>
      </w:r>
      <w:proofErr w:type="spellStart"/>
      <w:r w:rsidRPr="000D7BC8">
        <w:rPr>
          <w:rFonts w:ascii="Arial" w:hAnsi="Arial" w:cs="Arial"/>
          <w:i/>
          <w:sz w:val="20"/>
          <w:szCs w:val="20"/>
        </w:rPr>
        <w:t>javanicum</w:t>
      </w:r>
      <w:proofErr w:type="spellEnd"/>
      <w:r w:rsidRPr="000D7BC8">
        <w:rPr>
          <w:rFonts w:ascii="Arial" w:hAnsi="Arial" w:cs="Arial"/>
          <w:iCs/>
          <w:sz w:val="20"/>
          <w:szCs w:val="20"/>
        </w:rPr>
        <w:t xml:space="preserve"> associated with </w:t>
      </w:r>
      <w:r w:rsidRPr="000D7BC8">
        <w:rPr>
          <w:rFonts w:ascii="Arial" w:hAnsi="Arial" w:cs="Arial"/>
          <w:i/>
          <w:sz w:val="20"/>
          <w:szCs w:val="20"/>
        </w:rPr>
        <w:t xml:space="preserve">U. </w:t>
      </w:r>
      <w:proofErr w:type="spellStart"/>
      <w:r w:rsidRPr="000D7BC8">
        <w:rPr>
          <w:rFonts w:ascii="Arial" w:hAnsi="Arial" w:cs="Arial"/>
          <w:i/>
          <w:sz w:val="20"/>
          <w:szCs w:val="20"/>
        </w:rPr>
        <w:t>lactuca</w:t>
      </w:r>
      <w:proofErr w:type="spellEnd"/>
      <w:r w:rsidRPr="000D7BC8">
        <w:rPr>
          <w:rFonts w:ascii="Arial" w:hAnsi="Arial" w:cs="Arial"/>
          <w:iCs/>
          <w:sz w:val="20"/>
          <w:szCs w:val="20"/>
        </w:rPr>
        <w:t xml:space="preserve"> represents a promising source of antimicrobial and antioxidant compounds with potential biomedical and aquaculture applications.</w:t>
      </w:r>
    </w:p>
    <w:p w14:paraId="4F83FF1A" w14:textId="77777777" w:rsidR="00AD29B7" w:rsidRPr="000D7BC8" w:rsidRDefault="00EF7F79" w:rsidP="0041575C">
      <w:pPr>
        <w:jc w:val="both"/>
        <w:rPr>
          <w:rFonts w:ascii="Arial" w:hAnsi="Arial" w:cs="Arial"/>
          <w:i/>
          <w:iCs/>
          <w:sz w:val="22"/>
          <w:szCs w:val="22"/>
        </w:rPr>
      </w:pPr>
      <w:r w:rsidRPr="000D7BC8">
        <w:rPr>
          <w:rFonts w:ascii="Arial" w:hAnsi="Arial" w:cs="Arial"/>
          <w:iCs/>
          <w:sz w:val="22"/>
          <w:szCs w:val="22"/>
        </w:rPr>
        <w:t xml:space="preserve"> </w:t>
      </w:r>
      <w:r w:rsidRPr="000D7BC8">
        <w:rPr>
          <w:rFonts w:ascii="Arial" w:hAnsi="Arial" w:cs="Arial"/>
          <w:b/>
          <w:bCs/>
          <w:i/>
          <w:iCs/>
          <w:sz w:val="20"/>
          <w:szCs w:val="20"/>
        </w:rPr>
        <w:t>Keywords:</w:t>
      </w:r>
      <w:r w:rsidRPr="000D7BC8">
        <w:rPr>
          <w:rFonts w:ascii="Arial" w:hAnsi="Arial" w:cs="Arial"/>
          <w:i/>
          <w:iCs/>
          <w:sz w:val="20"/>
          <w:szCs w:val="20"/>
        </w:rPr>
        <w:t xml:space="preserve"> Seaweed; Endophytic fungi; </w:t>
      </w:r>
      <w:proofErr w:type="spellStart"/>
      <w:r w:rsidRPr="000D7BC8">
        <w:rPr>
          <w:rFonts w:ascii="Arial" w:hAnsi="Arial" w:cs="Arial"/>
          <w:i/>
          <w:iCs/>
          <w:sz w:val="20"/>
          <w:szCs w:val="20"/>
        </w:rPr>
        <w:t>Pencillium</w:t>
      </w:r>
      <w:proofErr w:type="spellEnd"/>
      <w:r w:rsidRPr="000D7BC8">
        <w:rPr>
          <w:rFonts w:ascii="Arial" w:hAnsi="Arial" w:cs="Arial"/>
          <w:i/>
          <w:iCs/>
          <w:sz w:val="20"/>
          <w:szCs w:val="20"/>
        </w:rPr>
        <w:t xml:space="preserve"> </w:t>
      </w:r>
      <w:proofErr w:type="spellStart"/>
      <w:r w:rsidRPr="000D7BC8">
        <w:rPr>
          <w:rFonts w:ascii="Arial" w:hAnsi="Arial" w:cs="Arial"/>
          <w:i/>
          <w:iCs/>
          <w:sz w:val="20"/>
          <w:szCs w:val="20"/>
        </w:rPr>
        <w:t>javanicum</w:t>
      </w:r>
      <w:proofErr w:type="spellEnd"/>
      <w:r w:rsidRPr="000D7BC8">
        <w:rPr>
          <w:rFonts w:ascii="Arial" w:hAnsi="Arial" w:cs="Arial"/>
          <w:i/>
          <w:iCs/>
          <w:sz w:val="20"/>
          <w:szCs w:val="20"/>
        </w:rPr>
        <w:t xml:space="preserve">; Antimicrobial activity; Antioxidant activity </w:t>
      </w:r>
    </w:p>
    <w:p w14:paraId="15DE5E51" w14:textId="77777777" w:rsidR="00AD29B7" w:rsidRDefault="00AD29B7" w:rsidP="00FF7ED2">
      <w:pPr>
        <w:ind w:firstLine="720"/>
        <w:jc w:val="both"/>
        <w:rPr>
          <w:rFonts w:ascii="Arial" w:hAnsi="Arial" w:cs="Arial"/>
          <w:b/>
          <w:bCs/>
        </w:rPr>
      </w:pPr>
    </w:p>
    <w:p w14:paraId="1DB3B72F" w14:textId="77777777" w:rsidR="0041575C" w:rsidRDefault="0041575C">
      <w:pPr>
        <w:jc w:val="both"/>
        <w:rPr>
          <w:rFonts w:ascii="Arial" w:hAnsi="Arial" w:cs="Arial"/>
          <w:b/>
          <w:bCs/>
        </w:rPr>
      </w:pPr>
    </w:p>
    <w:p w14:paraId="0ED5030D" w14:textId="000E74C8" w:rsidR="00AD29B7" w:rsidRPr="000D7BC8" w:rsidRDefault="004F3097" w:rsidP="000D7BC8">
      <w:pPr>
        <w:rPr>
          <w:rFonts w:ascii="Arial" w:hAnsi="Arial" w:cs="Arial"/>
          <w:b/>
          <w:bCs/>
          <w:sz w:val="22"/>
          <w:szCs w:val="22"/>
        </w:rPr>
      </w:pPr>
      <w:r w:rsidRPr="000D7BC8">
        <w:rPr>
          <w:rFonts w:ascii="Arial" w:hAnsi="Arial" w:cs="Arial"/>
          <w:b/>
          <w:bCs/>
          <w:sz w:val="22"/>
          <w:szCs w:val="22"/>
        </w:rPr>
        <w:t xml:space="preserve">1. </w:t>
      </w:r>
      <w:r w:rsidR="00EF7F79" w:rsidRPr="000D7BC8">
        <w:rPr>
          <w:rFonts w:ascii="Arial" w:hAnsi="Arial" w:cs="Arial"/>
          <w:b/>
          <w:bCs/>
          <w:sz w:val="22"/>
          <w:szCs w:val="22"/>
        </w:rPr>
        <w:t xml:space="preserve">INTRODUCTION </w:t>
      </w:r>
    </w:p>
    <w:p w14:paraId="1CE2B0FD" w14:textId="77777777" w:rsidR="00AD29B7" w:rsidRPr="000D7BC8" w:rsidRDefault="00EF7F79">
      <w:pPr>
        <w:ind w:firstLine="720"/>
        <w:jc w:val="both"/>
        <w:rPr>
          <w:rFonts w:ascii="Arial" w:hAnsi="Arial" w:cs="Arial"/>
          <w:sz w:val="20"/>
          <w:szCs w:val="20"/>
        </w:rPr>
      </w:pPr>
      <w:r w:rsidRPr="000D7BC8">
        <w:rPr>
          <w:rFonts w:ascii="Arial" w:hAnsi="Arial" w:cs="Arial"/>
          <w:sz w:val="20"/>
          <w:szCs w:val="20"/>
        </w:rPr>
        <w:t xml:space="preserve">Marine ecosystems harbor an immense diversity of microorganisms that represent an underexplored reservoir of bioactive compounds with pharmaceutical and industrial relevance. (Ameen </w:t>
      </w:r>
      <w:r w:rsidRPr="000D7BC8">
        <w:rPr>
          <w:rFonts w:ascii="Arial" w:hAnsi="Arial" w:cs="Arial"/>
          <w:i/>
          <w:iCs/>
          <w:sz w:val="20"/>
          <w:szCs w:val="20"/>
        </w:rPr>
        <w:t>et al</w:t>
      </w:r>
      <w:r w:rsidRPr="000D7BC8">
        <w:rPr>
          <w:rFonts w:ascii="Arial" w:hAnsi="Arial" w:cs="Arial"/>
          <w:sz w:val="20"/>
          <w:szCs w:val="20"/>
        </w:rPr>
        <w:t>., 2020). Among these, marine-derived fungi have gained increasing attention due to their ability to produce structurally unique secondary metabolites with antimicrobial, antioxidant, anticancer, and other therapeutic properties (</w:t>
      </w:r>
      <w:proofErr w:type="spellStart"/>
      <w:r w:rsidRPr="000D7BC8">
        <w:rPr>
          <w:rFonts w:ascii="Arial" w:hAnsi="Arial" w:cs="Arial"/>
          <w:sz w:val="20"/>
          <w:szCs w:val="20"/>
        </w:rPr>
        <w:t>Barzkar</w:t>
      </w:r>
      <w:proofErr w:type="spellEnd"/>
      <w:r w:rsidRPr="000D7BC8">
        <w:rPr>
          <w:rFonts w:ascii="Arial" w:hAnsi="Arial" w:cs="Arial"/>
          <w:sz w:val="20"/>
          <w:szCs w:val="20"/>
        </w:rPr>
        <w:t xml:space="preserve"> </w:t>
      </w:r>
      <w:r w:rsidRPr="000D7BC8">
        <w:rPr>
          <w:rFonts w:ascii="Arial" w:hAnsi="Arial" w:cs="Arial"/>
          <w:i/>
          <w:iCs/>
          <w:sz w:val="20"/>
          <w:szCs w:val="20"/>
        </w:rPr>
        <w:t>et al</w:t>
      </w:r>
      <w:r w:rsidRPr="000D7BC8">
        <w:rPr>
          <w:rFonts w:ascii="Arial" w:hAnsi="Arial" w:cs="Arial"/>
          <w:sz w:val="20"/>
          <w:szCs w:val="20"/>
        </w:rPr>
        <w:t>., 2024). These endophytes enhance host defenses against herbivory by synthesizing secondary metabolites</w:t>
      </w:r>
      <w:r w:rsidRPr="000D7BC8">
        <w:rPr>
          <w:rFonts w:ascii="Arial" w:eastAsia="MinionPro-Regular" w:hAnsi="Arial" w:cs="Arial"/>
          <w:sz w:val="20"/>
          <w:szCs w:val="20"/>
        </w:rPr>
        <w:t xml:space="preserve"> (Clay and Schardt, 2002) and improving nutrient acquisition (Malinowski </w:t>
      </w:r>
      <w:r w:rsidRPr="000D7BC8">
        <w:rPr>
          <w:rFonts w:ascii="Arial" w:eastAsia="MinionPro-Regular" w:hAnsi="Arial" w:cs="Arial"/>
          <w:i/>
          <w:iCs/>
          <w:sz w:val="20"/>
          <w:szCs w:val="20"/>
        </w:rPr>
        <w:t>et al.,</w:t>
      </w:r>
      <w:r w:rsidRPr="000D7BC8">
        <w:rPr>
          <w:rFonts w:ascii="Arial" w:eastAsia="MinionPro-Regular" w:hAnsi="Arial" w:cs="Arial"/>
          <w:sz w:val="20"/>
          <w:szCs w:val="20"/>
        </w:rPr>
        <w:t xml:space="preserve"> 2000). Furthermore, they play a critical role in host adaptation to heat (Redman </w:t>
      </w:r>
      <w:r w:rsidRPr="000D7BC8">
        <w:rPr>
          <w:rFonts w:ascii="Arial" w:eastAsia="MinionPro-Regular" w:hAnsi="Arial" w:cs="Arial"/>
          <w:i/>
          <w:iCs/>
          <w:sz w:val="20"/>
          <w:szCs w:val="20"/>
        </w:rPr>
        <w:t>et al.,</w:t>
      </w:r>
      <w:r w:rsidRPr="000D7BC8">
        <w:rPr>
          <w:rFonts w:ascii="Arial" w:eastAsia="MinionPro-Regular" w:hAnsi="Arial" w:cs="Arial"/>
          <w:sz w:val="20"/>
          <w:szCs w:val="20"/>
        </w:rPr>
        <w:t xml:space="preserve"> 2002) and salinity (Rodriguez </w:t>
      </w:r>
      <w:r w:rsidRPr="000D7BC8">
        <w:rPr>
          <w:rFonts w:ascii="Arial" w:eastAsia="MinionPro-Regular" w:hAnsi="Arial" w:cs="Arial"/>
          <w:i/>
          <w:iCs/>
          <w:sz w:val="20"/>
          <w:szCs w:val="20"/>
        </w:rPr>
        <w:t>et al</w:t>
      </w:r>
      <w:r w:rsidRPr="000D7BC8">
        <w:rPr>
          <w:rFonts w:ascii="Arial" w:eastAsia="MinionPro-Regular" w:hAnsi="Arial" w:cs="Arial"/>
          <w:sz w:val="20"/>
          <w:szCs w:val="20"/>
        </w:rPr>
        <w:t xml:space="preserve">., 2004), while influencing broader evolutionary trajectories (Brundrett, 2006) and maintaining plant biodiversity (Krings </w:t>
      </w:r>
      <w:r w:rsidRPr="000D7BC8">
        <w:rPr>
          <w:rFonts w:ascii="Arial" w:eastAsia="MinionPro-Regular" w:hAnsi="Arial" w:cs="Arial"/>
          <w:i/>
          <w:iCs/>
          <w:sz w:val="20"/>
          <w:szCs w:val="20"/>
        </w:rPr>
        <w:t>et al</w:t>
      </w:r>
      <w:r w:rsidRPr="000D7BC8">
        <w:rPr>
          <w:rFonts w:ascii="Arial" w:eastAsia="MinionPro-Regular" w:hAnsi="Arial" w:cs="Arial"/>
          <w:sz w:val="20"/>
          <w:szCs w:val="20"/>
        </w:rPr>
        <w:t xml:space="preserve">., 2007; Arnold </w:t>
      </w:r>
      <w:r w:rsidRPr="000D7BC8">
        <w:rPr>
          <w:rFonts w:ascii="Arial" w:eastAsia="MinionPro-Regular" w:hAnsi="Arial" w:cs="Arial"/>
          <w:i/>
          <w:iCs/>
          <w:sz w:val="20"/>
          <w:szCs w:val="20"/>
        </w:rPr>
        <w:t>et al.,</w:t>
      </w:r>
      <w:r w:rsidRPr="000D7BC8">
        <w:rPr>
          <w:rFonts w:ascii="Arial" w:eastAsia="MinionPro-Regular" w:hAnsi="Arial" w:cs="Arial"/>
          <w:sz w:val="20"/>
          <w:szCs w:val="20"/>
        </w:rPr>
        <w:t xml:space="preserve"> 2007).</w:t>
      </w:r>
      <w:r w:rsidRPr="000D7BC8">
        <w:rPr>
          <w:rFonts w:ascii="Arial" w:hAnsi="Arial" w:cs="Arial"/>
          <w:sz w:val="20"/>
          <w:szCs w:val="20"/>
        </w:rPr>
        <w:t xml:space="preserve"> These adaptation of fungi to extreme marine environments, including high salinity, pressure, and competition for resources, </w:t>
      </w:r>
      <w:r w:rsidRPr="000D7BC8">
        <w:rPr>
          <w:rFonts w:ascii="Arial" w:hAnsi="Arial" w:cs="Arial"/>
          <w:sz w:val="20"/>
          <w:szCs w:val="20"/>
        </w:rPr>
        <w:lastRenderedPageBreak/>
        <w:t xml:space="preserve">often drives the synthesis of novel metabolites not commonly found in their terrestrial counterparts (Kamat </w:t>
      </w:r>
      <w:r w:rsidRPr="000D7BC8">
        <w:rPr>
          <w:rFonts w:ascii="Arial" w:hAnsi="Arial" w:cs="Arial"/>
          <w:i/>
          <w:iCs/>
          <w:sz w:val="20"/>
          <w:szCs w:val="20"/>
        </w:rPr>
        <w:t>et al.,</w:t>
      </w:r>
      <w:r w:rsidRPr="000D7BC8">
        <w:rPr>
          <w:rFonts w:ascii="Arial" w:hAnsi="Arial" w:cs="Arial"/>
          <w:sz w:val="20"/>
          <w:szCs w:val="20"/>
        </w:rPr>
        <w:t xml:space="preserve"> 2023). </w:t>
      </w:r>
      <w:r w:rsidRPr="000D7BC8">
        <w:rPr>
          <w:rFonts w:ascii="Arial" w:eastAsia="MinionPro-Regular" w:hAnsi="Arial" w:cs="Arial"/>
          <w:sz w:val="20"/>
          <w:szCs w:val="20"/>
        </w:rPr>
        <w:t xml:space="preserve">The genera </w:t>
      </w:r>
      <w:r w:rsidRPr="000D7BC8">
        <w:rPr>
          <w:rFonts w:ascii="Arial" w:eastAsia="MinionPro-Regular" w:hAnsi="Arial" w:cs="Arial"/>
          <w:i/>
          <w:iCs/>
          <w:sz w:val="20"/>
          <w:szCs w:val="20"/>
        </w:rPr>
        <w:t>Aspergillus, Cladosporium</w:t>
      </w:r>
      <w:r w:rsidRPr="000D7BC8">
        <w:rPr>
          <w:rFonts w:ascii="Arial" w:eastAsia="MinionPro-Regular" w:hAnsi="Arial" w:cs="Arial"/>
          <w:sz w:val="20"/>
          <w:szCs w:val="20"/>
        </w:rPr>
        <w:t xml:space="preserve"> and </w:t>
      </w:r>
      <w:r w:rsidRPr="000D7BC8">
        <w:rPr>
          <w:rFonts w:ascii="Arial" w:eastAsia="MinionPro-Regular" w:hAnsi="Arial" w:cs="Arial"/>
          <w:i/>
          <w:iCs/>
          <w:sz w:val="20"/>
          <w:szCs w:val="20"/>
        </w:rPr>
        <w:t>Penicillium</w:t>
      </w:r>
      <w:r w:rsidRPr="000D7BC8">
        <w:rPr>
          <w:rFonts w:ascii="Arial" w:eastAsia="MinionPro-Regular" w:hAnsi="Arial" w:cs="Arial"/>
          <w:sz w:val="20"/>
          <w:szCs w:val="20"/>
        </w:rPr>
        <w:t xml:space="preserve"> exhibit specialized adaptions to marine environments, leading to endophytic colonization on various seaweed species (Zuccaro </w:t>
      </w:r>
      <w:r w:rsidRPr="000D7BC8">
        <w:rPr>
          <w:rFonts w:ascii="Arial" w:eastAsia="MinionPro-Regular" w:hAnsi="Arial" w:cs="Arial"/>
          <w:i/>
          <w:iCs/>
          <w:sz w:val="20"/>
          <w:szCs w:val="20"/>
        </w:rPr>
        <w:t>et al.,</w:t>
      </w:r>
      <w:r w:rsidRPr="000D7BC8">
        <w:rPr>
          <w:rFonts w:ascii="Arial" w:eastAsia="MinionPro-Regular" w:hAnsi="Arial" w:cs="Arial"/>
          <w:sz w:val="20"/>
          <w:szCs w:val="20"/>
        </w:rPr>
        <w:t xml:space="preserve"> 2008; Suryanarayanan </w:t>
      </w:r>
      <w:r w:rsidRPr="000D7BC8">
        <w:rPr>
          <w:rFonts w:ascii="Arial" w:eastAsia="MinionPro-Regular" w:hAnsi="Arial" w:cs="Arial"/>
          <w:i/>
          <w:iCs/>
          <w:sz w:val="20"/>
          <w:szCs w:val="20"/>
        </w:rPr>
        <w:t>et al</w:t>
      </w:r>
      <w:r w:rsidRPr="000D7BC8">
        <w:rPr>
          <w:rFonts w:ascii="Arial" w:eastAsia="MinionPro-Regular" w:hAnsi="Arial" w:cs="Arial"/>
          <w:sz w:val="20"/>
          <w:szCs w:val="20"/>
        </w:rPr>
        <w:t>., 2010).</w:t>
      </w:r>
      <w:r w:rsidRPr="000D7BC8">
        <w:rPr>
          <w:rFonts w:ascii="Arial" w:hAnsi="Arial" w:cs="Arial"/>
          <w:sz w:val="20"/>
          <w:szCs w:val="20"/>
        </w:rPr>
        <w:t xml:space="preserve"> </w:t>
      </w:r>
    </w:p>
    <w:p w14:paraId="3FAC9448" w14:textId="77777777" w:rsidR="00AD29B7" w:rsidRPr="000D7BC8" w:rsidRDefault="00EF7F79">
      <w:pPr>
        <w:ind w:firstLine="720"/>
        <w:jc w:val="both"/>
        <w:rPr>
          <w:rFonts w:ascii="Arial" w:hAnsi="Arial" w:cs="Arial"/>
          <w:sz w:val="20"/>
          <w:szCs w:val="20"/>
        </w:rPr>
      </w:pPr>
      <w:r w:rsidRPr="000D7BC8">
        <w:rPr>
          <w:rFonts w:ascii="Arial" w:hAnsi="Arial" w:cs="Arial"/>
          <w:i/>
          <w:iCs/>
          <w:sz w:val="20"/>
          <w:szCs w:val="20"/>
        </w:rPr>
        <w:t>Penicillium</w:t>
      </w:r>
      <w:r w:rsidRPr="000D7BC8">
        <w:rPr>
          <w:rFonts w:ascii="Arial" w:hAnsi="Arial" w:cs="Arial"/>
          <w:sz w:val="20"/>
          <w:szCs w:val="20"/>
        </w:rPr>
        <w:t xml:space="preserve"> species are well-documented producers of antibiotics, mycotoxins, and a wide array of secondary metabolites with a huge potential in pharmaceutical applications. The previous studies show that </w:t>
      </w:r>
      <w:r w:rsidRPr="000D7BC8">
        <w:rPr>
          <w:rFonts w:ascii="Arial" w:hAnsi="Arial" w:cs="Arial"/>
          <w:i/>
          <w:iCs/>
          <w:sz w:val="20"/>
          <w:szCs w:val="20"/>
        </w:rPr>
        <w:t>Penicillium</w:t>
      </w:r>
      <w:r w:rsidRPr="000D7BC8">
        <w:rPr>
          <w:rFonts w:ascii="Arial" w:hAnsi="Arial" w:cs="Arial"/>
          <w:sz w:val="20"/>
          <w:szCs w:val="20"/>
        </w:rPr>
        <w:t xml:space="preserve"> from marine habitats can produce antimicrobial agents effective against drug-resistant bacteria and antioxidant compounds that neutralize reactive oxygen species (ROS), helping to reduce oxidative stress linked to aging and degenerative diseases (</w:t>
      </w:r>
      <w:proofErr w:type="spellStart"/>
      <w:r w:rsidRPr="000D7BC8">
        <w:rPr>
          <w:rFonts w:ascii="Arial" w:hAnsi="Arial" w:cs="Arial"/>
          <w:sz w:val="20"/>
          <w:szCs w:val="20"/>
        </w:rPr>
        <w:t>Lv</w:t>
      </w:r>
      <w:proofErr w:type="spellEnd"/>
      <w:r w:rsidRPr="000D7BC8">
        <w:rPr>
          <w:rFonts w:ascii="Arial" w:hAnsi="Arial" w:cs="Arial"/>
          <w:sz w:val="20"/>
          <w:szCs w:val="20"/>
        </w:rPr>
        <w:t xml:space="preserve"> and Zeng., 2024). The present study investigates the antimicrobial and antioxidant properties of </w:t>
      </w:r>
      <w:r w:rsidRPr="000D7BC8">
        <w:rPr>
          <w:rFonts w:ascii="Arial" w:hAnsi="Arial" w:cs="Arial"/>
          <w:i/>
          <w:sz w:val="20"/>
          <w:szCs w:val="20"/>
        </w:rPr>
        <w:t xml:space="preserve">Penicillium </w:t>
      </w:r>
      <w:proofErr w:type="spellStart"/>
      <w:r w:rsidRPr="000D7BC8">
        <w:rPr>
          <w:rFonts w:ascii="Arial" w:hAnsi="Arial" w:cs="Arial"/>
          <w:i/>
          <w:sz w:val="20"/>
          <w:szCs w:val="20"/>
        </w:rPr>
        <w:t>javanicum</w:t>
      </w:r>
      <w:proofErr w:type="spellEnd"/>
      <w:r w:rsidRPr="000D7BC8">
        <w:rPr>
          <w:rFonts w:ascii="Arial" w:hAnsi="Arial" w:cs="Arial"/>
          <w:i/>
          <w:sz w:val="20"/>
          <w:szCs w:val="20"/>
        </w:rPr>
        <w:t xml:space="preserve"> </w:t>
      </w:r>
      <w:r w:rsidRPr="000D7BC8">
        <w:rPr>
          <w:rFonts w:ascii="Arial" w:hAnsi="Arial" w:cs="Arial"/>
          <w:sz w:val="20"/>
          <w:szCs w:val="20"/>
        </w:rPr>
        <w:t>isolate</w:t>
      </w:r>
      <w:r w:rsidRPr="000D7BC8">
        <w:rPr>
          <w:rFonts w:ascii="Arial" w:hAnsi="Arial" w:cs="Arial"/>
          <w:i/>
          <w:sz w:val="20"/>
          <w:szCs w:val="20"/>
        </w:rPr>
        <w:t xml:space="preserve"> </w:t>
      </w:r>
      <w:r w:rsidRPr="000D7BC8">
        <w:rPr>
          <w:rFonts w:ascii="Arial" w:hAnsi="Arial" w:cs="Arial"/>
          <w:sz w:val="20"/>
          <w:szCs w:val="20"/>
        </w:rPr>
        <w:t xml:space="preserve">UL1, an endophytic fungus isolated from the marine alga </w:t>
      </w:r>
      <w:r w:rsidRPr="000D7BC8">
        <w:rPr>
          <w:rFonts w:ascii="Arial" w:hAnsi="Arial" w:cs="Arial"/>
          <w:i/>
          <w:iCs/>
          <w:sz w:val="20"/>
          <w:szCs w:val="20"/>
        </w:rPr>
        <w:t xml:space="preserve">Ulva </w:t>
      </w:r>
      <w:proofErr w:type="spellStart"/>
      <w:r w:rsidRPr="000D7BC8">
        <w:rPr>
          <w:rFonts w:ascii="Arial" w:hAnsi="Arial" w:cs="Arial"/>
          <w:i/>
          <w:sz w:val="20"/>
          <w:szCs w:val="20"/>
        </w:rPr>
        <w:t>lactuca</w:t>
      </w:r>
      <w:proofErr w:type="spellEnd"/>
      <w:r w:rsidRPr="000D7BC8">
        <w:rPr>
          <w:rFonts w:ascii="Arial" w:hAnsi="Arial" w:cs="Arial"/>
          <w:sz w:val="20"/>
          <w:szCs w:val="20"/>
        </w:rPr>
        <w:t xml:space="preserve">. The findings provide insights into its potential as a source of pharmacologically relevant metabolites and contribute to the growing knowledge of marine-derived endophytic fungi as reservoirs of novel bioactive compounds.  </w:t>
      </w:r>
    </w:p>
    <w:p w14:paraId="5AC154BD" w14:textId="730CA9B1" w:rsidR="00AD29B7" w:rsidRPr="000D7BC8" w:rsidRDefault="004B524B" w:rsidP="000D7BC8">
      <w:pPr>
        <w:tabs>
          <w:tab w:val="left" w:pos="720"/>
          <w:tab w:val="left" w:pos="8010"/>
        </w:tabs>
        <w:spacing w:before="240" w:line="240" w:lineRule="auto"/>
        <w:rPr>
          <w:rFonts w:ascii="Arial" w:hAnsi="Arial" w:cs="Arial"/>
          <w:b/>
          <w:sz w:val="22"/>
          <w:szCs w:val="22"/>
        </w:rPr>
      </w:pPr>
      <w:r w:rsidRPr="000D7BC8">
        <w:rPr>
          <w:rFonts w:ascii="Arial" w:hAnsi="Arial" w:cs="Arial"/>
          <w:b/>
          <w:sz w:val="22"/>
          <w:szCs w:val="22"/>
        </w:rPr>
        <w:t xml:space="preserve">2. </w:t>
      </w:r>
      <w:r w:rsidR="00EF7F79" w:rsidRPr="000D7BC8">
        <w:rPr>
          <w:rFonts w:ascii="Arial" w:hAnsi="Arial" w:cs="Arial"/>
          <w:b/>
          <w:sz w:val="22"/>
          <w:szCs w:val="22"/>
        </w:rPr>
        <w:t>MATERIALS AND METHODS</w:t>
      </w:r>
    </w:p>
    <w:p w14:paraId="45DCB48C" w14:textId="3146F6A0" w:rsidR="00AD29B7" w:rsidRPr="000D7BC8" w:rsidRDefault="004B524B">
      <w:pPr>
        <w:tabs>
          <w:tab w:val="left" w:pos="720"/>
        </w:tabs>
        <w:spacing w:before="240" w:line="240" w:lineRule="auto"/>
        <w:jc w:val="both"/>
        <w:rPr>
          <w:rFonts w:ascii="Arial" w:hAnsi="Arial" w:cs="Arial"/>
          <w:b/>
          <w:sz w:val="22"/>
          <w:szCs w:val="22"/>
        </w:rPr>
      </w:pPr>
      <w:r w:rsidRPr="000D7BC8">
        <w:rPr>
          <w:rFonts w:ascii="Arial" w:hAnsi="Arial" w:cs="Arial"/>
          <w:b/>
          <w:bCs/>
          <w:sz w:val="22"/>
          <w:szCs w:val="22"/>
        </w:rPr>
        <w:t xml:space="preserve">2.1 </w:t>
      </w:r>
      <w:r w:rsidR="00EF7F79" w:rsidRPr="000D7BC8">
        <w:rPr>
          <w:rFonts w:ascii="Arial" w:hAnsi="Arial" w:cs="Arial"/>
          <w:b/>
          <w:bCs/>
          <w:sz w:val="22"/>
          <w:szCs w:val="22"/>
        </w:rPr>
        <w:t>Collection of </w:t>
      </w:r>
      <w:r w:rsidR="00EF7F79" w:rsidRPr="000D7BC8">
        <w:rPr>
          <w:rFonts w:ascii="Arial" w:hAnsi="Arial" w:cs="Arial"/>
          <w:b/>
          <w:bCs/>
          <w:i/>
          <w:iCs/>
          <w:sz w:val="22"/>
          <w:szCs w:val="22"/>
        </w:rPr>
        <w:t xml:space="preserve">Ulva </w:t>
      </w:r>
      <w:proofErr w:type="spellStart"/>
      <w:r w:rsidR="00EF7F79" w:rsidRPr="000D7BC8">
        <w:rPr>
          <w:rFonts w:ascii="Arial" w:hAnsi="Arial" w:cs="Arial"/>
          <w:b/>
          <w:bCs/>
          <w:i/>
          <w:iCs/>
          <w:sz w:val="22"/>
          <w:szCs w:val="22"/>
        </w:rPr>
        <w:t>lactuca</w:t>
      </w:r>
      <w:proofErr w:type="spellEnd"/>
      <w:r w:rsidR="00EF7F79" w:rsidRPr="000D7BC8">
        <w:rPr>
          <w:rFonts w:ascii="Arial" w:hAnsi="Arial" w:cs="Arial"/>
          <w:b/>
          <w:bCs/>
          <w:sz w:val="22"/>
          <w:szCs w:val="22"/>
        </w:rPr>
        <w:t> and isolation of endophytes</w:t>
      </w:r>
    </w:p>
    <w:p w14:paraId="3F072930" w14:textId="142184F6" w:rsidR="00AD29B7" w:rsidRDefault="00EF7F79">
      <w:pPr>
        <w:tabs>
          <w:tab w:val="left" w:pos="720"/>
        </w:tabs>
        <w:spacing w:line="240" w:lineRule="auto"/>
        <w:ind w:firstLine="720"/>
        <w:jc w:val="both"/>
        <w:rPr>
          <w:rFonts w:ascii="Arial" w:hAnsi="Arial" w:cs="Arial"/>
          <w:sz w:val="20"/>
          <w:szCs w:val="20"/>
        </w:rPr>
      </w:pPr>
      <w:r w:rsidRPr="000D7BC8">
        <w:rPr>
          <w:rFonts w:ascii="Arial" w:hAnsi="Arial" w:cs="Arial"/>
          <w:sz w:val="20"/>
          <w:szCs w:val="20"/>
        </w:rPr>
        <w:t>Specimens of healthy </w:t>
      </w:r>
      <w:r w:rsidRPr="000D7BC8">
        <w:rPr>
          <w:rFonts w:ascii="Arial" w:hAnsi="Arial" w:cs="Arial"/>
          <w:i/>
          <w:iCs/>
          <w:sz w:val="20"/>
          <w:szCs w:val="20"/>
        </w:rPr>
        <w:t xml:space="preserve">Ulva </w:t>
      </w:r>
      <w:proofErr w:type="spellStart"/>
      <w:r w:rsidRPr="000D7BC8">
        <w:rPr>
          <w:rFonts w:ascii="Arial" w:hAnsi="Arial" w:cs="Arial"/>
          <w:i/>
          <w:iCs/>
          <w:sz w:val="20"/>
          <w:szCs w:val="20"/>
        </w:rPr>
        <w:t>lactuca</w:t>
      </w:r>
      <w:proofErr w:type="spellEnd"/>
      <w:r w:rsidRPr="000D7BC8">
        <w:rPr>
          <w:rFonts w:ascii="Arial" w:hAnsi="Arial" w:cs="Arial"/>
          <w:sz w:val="20"/>
          <w:szCs w:val="20"/>
        </w:rPr>
        <w:t> </w:t>
      </w:r>
      <w:r w:rsidR="007154C1" w:rsidRPr="000D7BC8">
        <w:rPr>
          <w:rFonts w:ascii="Arial" w:hAnsi="Arial" w:cs="Arial"/>
          <w:sz w:val="20"/>
          <w:szCs w:val="20"/>
        </w:rPr>
        <w:t>(Fig</w:t>
      </w:r>
      <w:r w:rsidR="004D0D1A">
        <w:rPr>
          <w:rFonts w:ascii="Arial" w:hAnsi="Arial" w:cs="Arial"/>
          <w:sz w:val="20"/>
          <w:szCs w:val="20"/>
        </w:rPr>
        <w:t>ure</w:t>
      </w:r>
      <w:r w:rsidR="007154C1" w:rsidRPr="000D7BC8">
        <w:rPr>
          <w:rFonts w:ascii="Arial" w:hAnsi="Arial" w:cs="Arial"/>
          <w:sz w:val="20"/>
          <w:szCs w:val="20"/>
        </w:rPr>
        <w:t xml:space="preserve"> 1A), </w:t>
      </w:r>
      <w:r w:rsidRPr="000D7BC8">
        <w:rPr>
          <w:rFonts w:ascii="Arial" w:hAnsi="Arial" w:cs="Arial"/>
          <w:sz w:val="20"/>
          <w:szCs w:val="20"/>
        </w:rPr>
        <w:t>were harvested from Someshwara Beach, Mangaluru (12.78°N, 74.85°E) (Fig</w:t>
      </w:r>
      <w:r w:rsidR="004D0D1A">
        <w:rPr>
          <w:rFonts w:ascii="Arial" w:hAnsi="Arial" w:cs="Arial"/>
          <w:sz w:val="20"/>
          <w:szCs w:val="20"/>
        </w:rPr>
        <w:t>ure</w:t>
      </w:r>
      <w:r w:rsidRPr="000D7BC8">
        <w:rPr>
          <w:rFonts w:ascii="Arial" w:hAnsi="Arial" w:cs="Arial"/>
          <w:sz w:val="20"/>
          <w:szCs w:val="20"/>
        </w:rPr>
        <w:t xml:space="preserve"> 1</w:t>
      </w:r>
      <w:r w:rsidR="007154C1" w:rsidRPr="000D7BC8">
        <w:rPr>
          <w:rFonts w:ascii="Arial" w:hAnsi="Arial" w:cs="Arial"/>
          <w:sz w:val="20"/>
          <w:szCs w:val="20"/>
        </w:rPr>
        <w:t>B</w:t>
      </w:r>
      <w:r w:rsidRPr="000D7BC8">
        <w:rPr>
          <w:rFonts w:ascii="Arial" w:hAnsi="Arial" w:cs="Arial"/>
          <w:sz w:val="20"/>
          <w:szCs w:val="20"/>
        </w:rPr>
        <w:t>), and transferred to the laboratory in chilled containers within a 12-hour window. To isolate true endophytes, surface sterilization was conducted according to the protocol by Kjer et al. (2010). The thalli (Fig</w:t>
      </w:r>
      <w:r w:rsidR="004D0D1A">
        <w:rPr>
          <w:rFonts w:ascii="Arial" w:hAnsi="Arial" w:cs="Arial"/>
          <w:sz w:val="20"/>
          <w:szCs w:val="20"/>
        </w:rPr>
        <w:t>ure</w:t>
      </w:r>
      <w:r w:rsidRPr="000D7BC8">
        <w:rPr>
          <w:rFonts w:ascii="Arial" w:hAnsi="Arial" w:cs="Arial"/>
          <w:sz w:val="20"/>
          <w:szCs w:val="20"/>
        </w:rPr>
        <w:t xml:space="preserve"> </w:t>
      </w:r>
      <w:r w:rsidR="00246D5A" w:rsidRPr="000D7BC8">
        <w:rPr>
          <w:rFonts w:ascii="Arial" w:hAnsi="Arial" w:cs="Arial"/>
          <w:sz w:val="20"/>
          <w:szCs w:val="20"/>
        </w:rPr>
        <w:t>2</w:t>
      </w:r>
      <w:r w:rsidRPr="000D7BC8">
        <w:rPr>
          <w:rFonts w:ascii="Arial" w:hAnsi="Arial" w:cs="Arial"/>
          <w:sz w:val="20"/>
          <w:szCs w:val="20"/>
        </w:rPr>
        <w:t>) were initially washed thrice with sterile seawater to clear external debris, followed by a 60–120 second immersion in 70% (v/v) ethanol to deactivate epiphytic microbes. After a final rinse in sterile seawater, the seaweed was meticulously dried using sterile cotton to prepare for downstream analysis.</w:t>
      </w:r>
    </w:p>
    <w:p w14:paraId="64F6813F" w14:textId="5FC92A59" w:rsidR="00FF7ED2" w:rsidRDefault="00FF7ED2">
      <w:pPr>
        <w:tabs>
          <w:tab w:val="left" w:pos="720"/>
        </w:tabs>
        <w:spacing w:line="240" w:lineRule="auto"/>
        <w:ind w:firstLine="720"/>
        <w:jc w:val="both"/>
        <w:rPr>
          <w:rFonts w:ascii="Arial" w:hAnsi="Arial" w:cs="Arial"/>
          <w:sz w:val="20"/>
          <w:szCs w:val="20"/>
        </w:rPr>
      </w:pPr>
    </w:p>
    <w:p w14:paraId="436A77B7" w14:textId="667F8A16" w:rsidR="00FF7ED2" w:rsidRDefault="00FF7ED2">
      <w:pPr>
        <w:tabs>
          <w:tab w:val="left" w:pos="720"/>
        </w:tabs>
        <w:spacing w:line="240" w:lineRule="auto"/>
        <w:ind w:firstLine="720"/>
        <w:jc w:val="both"/>
        <w:rPr>
          <w:rFonts w:ascii="Arial" w:hAnsi="Arial" w:cs="Arial"/>
          <w:sz w:val="20"/>
          <w:szCs w:val="20"/>
        </w:rPr>
      </w:pPr>
    </w:p>
    <w:p w14:paraId="45E14954" w14:textId="6EC70576" w:rsidR="00FF7ED2" w:rsidRDefault="00FF7ED2">
      <w:pPr>
        <w:tabs>
          <w:tab w:val="left" w:pos="720"/>
        </w:tabs>
        <w:spacing w:line="240" w:lineRule="auto"/>
        <w:ind w:firstLine="720"/>
        <w:jc w:val="both"/>
        <w:rPr>
          <w:rFonts w:ascii="Arial" w:hAnsi="Arial" w:cs="Arial"/>
          <w:sz w:val="20"/>
          <w:szCs w:val="20"/>
        </w:rPr>
      </w:pPr>
    </w:p>
    <w:p w14:paraId="642979EC" w14:textId="26374EE4" w:rsidR="00FF7ED2" w:rsidRDefault="00FF7ED2">
      <w:pPr>
        <w:tabs>
          <w:tab w:val="left" w:pos="720"/>
        </w:tabs>
        <w:spacing w:line="240" w:lineRule="auto"/>
        <w:ind w:firstLine="720"/>
        <w:jc w:val="both"/>
        <w:rPr>
          <w:rFonts w:ascii="Arial" w:hAnsi="Arial" w:cs="Arial"/>
          <w:sz w:val="20"/>
          <w:szCs w:val="20"/>
        </w:rPr>
      </w:pPr>
    </w:p>
    <w:p w14:paraId="32DA59D8" w14:textId="77777777" w:rsidR="00FF7ED2" w:rsidRPr="000D7BC8" w:rsidRDefault="00FF7ED2">
      <w:pPr>
        <w:tabs>
          <w:tab w:val="left" w:pos="720"/>
        </w:tabs>
        <w:spacing w:line="240" w:lineRule="auto"/>
        <w:ind w:firstLine="720"/>
        <w:jc w:val="both"/>
        <w:rPr>
          <w:rFonts w:ascii="Arial" w:hAnsi="Arial" w:cs="Arial"/>
          <w:sz w:val="20"/>
          <w:szCs w:val="20"/>
        </w:rPr>
      </w:pPr>
    </w:p>
    <w:p w14:paraId="10C3F779" w14:textId="26AF5EB1" w:rsidR="00AD29B7" w:rsidRPr="000D7BC8" w:rsidRDefault="009E1484">
      <w:pPr>
        <w:spacing w:line="240" w:lineRule="auto"/>
        <w:jc w:val="center"/>
        <w:rPr>
          <w:rFonts w:ascii="Arial" w:hAnsi="Arial" w:cs="Arial"/>
          <w:sz w:val="20"/>
          <w:szCs w:val="20"/>
        </w:rPr>
      </w:pPr>
      <w:r w:rsidRPr="000D7BC8">
        <w:rPr>
          <w:rFonts w:ascii="Arial" w:hAnsi="Arial" w:cs="Arial"/>
          <w:noProof/>
          <w:sz w:val="20"/>
          <w:szCs w:val="20"/>
        </w:rPr>
        <w:drawing>
          <wp:inline distT="0" distB="0" distL="0" distR="0" wp14:anchorId="65384EF7" wp14:editId="17370DAB">
            <wp:extent cx="5984240" cy="2342608"/>
            <wp:effectExtent l="0" t="0" r="0" b="635"/>
            <wp:docPr id="1338994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5705" cy="2347096"/>
                    </a:xfrm>
                    <a:prstGeom prst="rect">
                      <a:avLst/>
                    </a:prstGeom>
                    <a:noFill/>
                  </pic:spPr>
                </pic:pic>
              </a:graphicData>
            </a:graphic>
          </wp:inline>
        </w:drawing>
      </w:r>
    </w:p>
    <w:p w14:paraId="79D17596" w14:textId="76B8B5A4" w:rsidR="00043893" w:rsidRPr="000D7BC8" w:rsidRDefault="00043893" w:rsidP="002B5770">
      <w:pPr>
        <w:spacing w:line="240" w:lineRule="auto"/>
        <w:jc w:val="both"/>
        <w:rPr>
          <w:rFonts w:ascii="Arial" w:hAnsi="Arial" w:cs="Arial"/>
          <w:b/>
          <w:sz w:val="20"/>
          <w:szCs w:val="20"/>
        </w:rPr>
      </w:pPr>
      <w:r w:rsidRPr="000D7BC8">
        <w:rPr>
          <w:rFonts w:ascii="Arial" w:hAnsi="Arial" w:cs="Arial"/>
          <w:b/>
          <w:sz w:val="20"/>
          <w:szCs w:val="20"/>
        </w:rPr>
        <w:lastRenderedPageBreak/>
        <w:t>Fig</w:t>
      </w:r>
      <w:r w:rsidR="004D0D1A">
        <w:rPr>
          <w:rFonts w:ascii="Arial" w:hAnsi="Arial" w:cs="Arial"/>
          <w:b/>
          <w:sz w:val="20"/>
          <w:szCs w:val="20"/>
        </w:rPr>
        <w:t>.</w:t>
      </w:r>
      <w:r w:rsidRPr="000D7BC8">
        <w:rPr>
          <w:rFonts w:ascii="Arial" w:hAnsi="Arial" w:cs="Arial"/>
          <w:b/>
          <w:sz w:val="20"/>
          <w:szCs w:val="20"/>
        </w:rPr>
        <w:t xml:space="preserve"> 1. Photographs of the sampling site and associated macroalgae. (A) Someshwara Beach, Mangalore (12.78°N, 74.85°E). (B) Macroalgae growing on the rocky substrata at Someshwara Beach, Mangalore.</w:t>
      </w:r>
    </w:p>
    <w:p w14:paraId="76A8CD15" w14:textId="77777777" w:rsidR="00AD29B7" w:rsidRPr="000D7BC8" w:rsidRDefault="00EF7F79" w:rsidP="00407AC6">
      <w:pPr>
        <w:spacing w:before="240" w:line="240" w:lineRule="auto"/>
        <w:jc w:val="center"/>
        <w:rPr>
          <w:rFonts w:ascii="Arial" w:hAnsi="Arial" w:cs="Arial"/>
          <w:sz w:val="20"/>
          <w:szCs w:val="20"/>
        </w:rPr>
      </w:pPr>
      <w:r w:rsidRPr="000D7BC8">
        <w:rPr>
          <w:rFonts w:ascii="Arial" w:eastAsia="Calibri" w:hAnsi="Arial" w:cs="Arial"/>
          <w:noProof/>
          <w:sz w:val="20"/>
          <w:szCs w:val="20"/>
          <w:lang w:eastAsia="en-IN"/>
        </w:rPr>
        <w:drawing>
          <wp:inline distT="0" distB="0" distL="0" distR="0" wp14:anchorId="4CFCB3A3" wp14:editId="15845D31">
            <wp:extent cx="1955165" cy="1697990"/>
            <wp:effectExtent l="0" t="0" r="6985" b="0"/>
            <wp:docPr id="1395282756" name="Picture 37" descr="D:\1. Research\RESULTS OF SAMPLES  ( 1 to 9 )\4. Results\RESULTS (20.03.2020)\2. SEAWEEDS\DSC0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82756" name="Picture 37" descr="D:\1. Research\RESULTS OF SAMPLES  ( 1 to 9 )\4. Results\RESULTS (20.03.2020)\2. SEAWEEDS\DSC003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642" cy="1704553"/>
                    </a:xfrm>
                    <a:prstGeom prst="rect">
                      <a:avLst/>
                    </a:prstGeom>
                    <a:noFill/>
                    <a:ln>
                      <a:noFill/>
                    </a:ln>
                  </pic:spPr>
                </pic:pic>
              </a:graphicData>
            </a:graphic>
          </wp:inline>
        </w:drawing>
      </w:r>
    </w:p>
    <w:p w14:paraId="088F3560" w14:textId="271D5EE6" w:rsidR="00043893" w:rsidRPr="000D7BC8" w:rsidRDefault="00043893" w:rsidP="00043893">
      <w:pPr>
        <w:spacing w:before="240" w:line="240" w:lineRule="auto"/>
        <w:jc w:val="both"/>
        <w:rPr>
          <w:rFonts w:ascii="Arial" w:hAnsi="Arial" w:cs="Arial"/>
          <w:b/>
          <w:sz w:val="20"/>
          <w:szCs w:val="20"/>
        </w:rPr>
      </w:pPr>
      <w:r w:rsidRPr="000D7BC8">
        <w:rPr>
          <w:rFonts w:ascii="Arial" w:hAnsi="Arial" w:cs="Arial"/>
          <w:b/>
          <w:bCs/>
          <w:sz w:val="20"/>
          <w:szCs w:val="20"/>
        </w:rPr>
        <w:t>Fig</w:t>
      </w:r>
      <w:r w:rsidR="004D0D1A">
        <w:rPr>
          <w:rFonts w:ascii="Arial" w:hAnsi="Arial" w:cs="Arial"/>
          <w:b/>
          <w:bCs/>
          <w:sz w:val="20"/>
          <w:szCs w:val="20"/>
        </w:rPr>
        <w:t>.</w:t>
      </w:r>
      <w:r w:rsidRPr="000D7BC8">
        <w:rPr>
          <w:rFonts w:ascii="Arial" w:hAnsi="Arial" w:cs="Arial"/>
          <w:b/>
          <w:bCs/>
          <w:sz w:val="20"/>
          <w:szCs w:val="20"/>
        </w:rPr>
        <w:t xml:space="preserve"> </w:t>
      </w:r>
      <w:r w:rsidR="00246D5A" w:rsidRPr="000D7BC8">
        <w:rPr>
          <w:rFonts w:ascii="Arial" w:hAnsi="Arial" w:cs="Arial"/>
          <w:b/>
          <w:bCs/>
          <w:sz w:val="20"/>
          <w:szCs w:val="20"/>
        </w:rPr>
        <w:t>2</w:t>
      </w:r>
      <w:r w:rsidRPr="000D7BC8">
        <w:rPr>
          <w:rFonts w:ascii="Arial" w:hAnsi="Arial" w:cs="Arial"/>
          <w:b/>
          <w:bCs/>
          <w:sz w:val="20"/>
          <w:szCs w:val="20"/>
        </w:rPr>
        <w:t xml:space="preserve">. Green seaweed </w:t>
      </w:r>
      <w:r w:rsidRPr="000D7BC8">
        <w:rPr>
          <w:rFonts w:ascii="Arial" w:hAnsi="Arial" w:cs="Arial"/>
          <w:b/>
          <w:bCs/>
          <w:i/>
          <w:iCs/>
          <w:sz w:val="20"/>
          <w:szCs w:val="20"/>
        </w:rPr>
        <w:t xml:space="preserve">Ulva </w:t>
      </w:r>
      <w:proofErr w:type="spellStart"/>
      <w:r w:rsidRPr="000D7BC8">
        <w:rPr>
          <w:rFonts w:ascii="Arial" w:hAnsi="Arial" w:cs="Arial"/>
          <w:b/>
          <w:bCs/>
          <w:i/>
          <w:iCs/>
          <w:sz w:val="20"/>
          <w:szCs w:val="20"/>
        </w:rPr>
        <w:t>lactuca</w:t>
      </w:r>
      <w:proofErr w:type="spellEnd"/>
      <w:r w:rsidRPr="000D7BC8">
        <w:rPr>
          <w:rFonts w:ascii="Arial" w:hAnsi="Arial" w:cs="Arial"/>
          <w:b/>
          <w:bCs/>
          <w:sz w:val="20"/>
          <w:szCs w:val="20"/>
        </w:rPr>
        <w:t xml:space="preserve"> utilized in the present study.</w:t>
      </w:r>
    </w:p>
    <w:p w14:paraId="12DA3E29" w14:textId="099157AE" w:rsidR="00AD29B7" w:rsidRPr="000D7BC8" w:rsidRDefault="00EF7F79">
      <w:pPr>
        <w:tabs>
          <w:tab w:val="left" w:pos="720"/>
        </w:tabs>
        <w:spacing w:line="240" w:lineRule="auto"/>
        <w:ind w:firstLine="720"/>
        <w:jc w:val="both"/>
        <w:rPr>
          <w:rFonts w:ascii="Arial" w:hAnsi="Arial" w:cs="Arial"/>
          <w:sz w:val="20"/>
          <w:szCs w:val="20"/>
        </w:rPr>
      </w:pPr>
      <w:r w:rsidRPr="000D7BC8">
        <w:rPr>
          <w:rFonts w:ascii="Arial" w:hAnsi="Arial" w:cs="Arial"/>
          <w:sz w:val="20"/>
          <w:szCs w:val="20"/>
        </w:rPr>
        <w:t>The sterilized </w:t>
      </w:r>
      <w:r w:rsidRPr="000D7BC8">
        <w:rPr>
          <w:rFonts w:ascii="Arial" w:hAnsi="Arial" w:cs="Arial"/>
          <w:i/>
          <w:iCs/>
          <w:sz w:val="20"/>
          <w:szCs w:val="20"/>
        </w:rPr>
        <w:t xml:space="preserve">U. </w:t>
      </w:r>
      <w:proofErr w:type="spellStart"/>
      <w:r w:rsidRPr="000D7BC8">
        <w:rPr>
          <w:rFonts w:ascii="Arial" w:hAnsi="Arial" w:cs="Arial"/>
          <w:i/>
          <w:iCs/>
          <w:sz w:val="20"/>
          <w:szCs w:val="20"/>
        </w:rPr>
        <w:t>lactuca</w:t>
      </w:r>
      <w:proofErr w:type="spellEnd"/>
      <w:r w:rsidRPr="000D7BC8">
        <w:rPr>
          <w:rFonts w:ascii="Arial" w:hAnsi="Arial" w:cs="Arial"/>
          <w:sz w:val="20"/>
          <w:szCs w:val="20"/>
        </w:rPr>
        <w:t xml:space="preserve"> thalli were aseptically partitioned into small segments and inoculated onto Potato Dextrose Agar (PDA) supplemented with chloramphenicol (150 mg/L) to suppress bacterial growth. To ensure the efficacy of the surface sterilization, a control was established by plating the final rinse water. All plates were sealed and maintained at 25 °C for 14 days, following the protocols of Suryanarayanan et al. (2010). Emerging hyphae from the tissue margins were systematically </w:t>
      </w:r>
      <w:proofErr w:type="spellStart"/>
      <w:r w:rsidRPr="000D7BC8">
        <w:rPr>
          <w:rFonts w:ascii="Arial" w:hAnsi="Arial" w:cs="Arial"/>
          <w:sz w:val="20"/>
          <w:szCs w:val="20"/>
        </w:rPr>
        <w:t>subcultured</w:t>
      </w:r>
      <w:proofErr w:type="spellEnd"/>
      <w:r w:rsidRPr="000D7BC8">
        <w:rPr>
          <w:rFonts w:ascii="Arial" w:hAnsi="Arial" w:cs="Arial"/>
          <w:sz w:val="20"/>
          <w:szCs w:val="20"/>
        </w:rPr>
        <w:t xml:space="preserve"> onto fresh media to achieve axenic cultures. Long-term storage of the pure isolates was managed in Potato Dextrose Broth (PDB) enriched with 30% glycerol at -80 °C.</w:t>
      </w:r>
    </w:p>
    <w:p w14:paraId="598F6497" w14:textId="7F92B290" w:rsidR="00AD29B7" w:rsidRPr="000D7BC8" w:rsidRDefault="00C8460F">
      <w:pPr>
        <w:tabs>
          <w:tab w:val="left" w:pos="720"/>
        </w:tabs>
        <w:spacing w:line="240" w:lineRule="auto"/>
        <w:jc w:val="both"/>
        <w:rPr>
          <w:rFonts w:ascii="Arial" w:hAnsi="Arial" w:cs="Arial"/>
          <w:b/>
          <w:sz w:val="22"/>
          <w:szCs w:val="22"/>
          <w:lang w:val="en-IN"/>
        </w:rPr>
      </w:pPr>
      <w:r w:rsidRPr="000D7BC8">
        <w:rPr>
          <w:rFonts w:ascii="Arial" w:hAnsi="Arial" w:cs="Arial"/>
          <w:b/>
          <w:sz w:val="22"/>
          <w:szCs w:val="22"/>
        </w:rPr>
        <w:t xml:space="preserve">2.2 </w:t>
      </w:r>
      <w:r w:rsidR="00EF7F79" w:rsidRPr="000D7BC8">
        <w:rPr>
          <w:rFonts w:ascii="Arial" w:hAnsi="Arial" w:cs="Arial"/>
          <w:b/>
          <w:sz w:val="22"/>
          <w:szCs w:val="22"/>
        </w:rPr>
        <w:t>Morphological identification of fungi</w:t>
      </w:r>
    </w:p>
    <w:p w14:paraId="6D12C972" w14:textId="77777777" w:rsidR="00AD29B7" w:rsidRPr="000D7BC8" w:rsidRDefault="00EF7F79">
      <w:pPr>
        <w:tabs>
          <w:tab w:val="left" w:pos="720"/>
        </w:tabs>
        <w:spacing w:line="240" w:lineRule="auto"/>
        <w:jc w:val="both"/>
        <w:rPr>
          <w:rFonts w:ascii="Arial" w:hAnsi="Arial" w:cs="Arial"/>
          <w:sz w:val="20"/>
          <w:szCs w:val="20"/>
        </w:rPr>
      </w:pPr>
      <w:r w:rsidRPr="000D7BC8">
        <w:rPr>
          <w:rFonts w:ascii="Arial" w:hAnsi="Arial" w:cs="Arial"/>
          <w:sz w:val="20"/>
          <w:szCs w:val="20"/>
        </w:rPr>
        <w:tab/>
        <w:t xml:space="preserve">Hyphae and conidia from purified fungal colonies were mounted on glass slides, stained with lactophenol cotton blue, and examined under an optical microscope at 1000X magnification to observe morphological features (Gilman,1998 and Nagamani </w:t>
      </w:r>
      <w:r w:rsidRPr="000D7BC8">
        <w:rPr>
          <w:rFonts w:ascii="Arial" w:hAnsi="Arial" w:cs="Arial"/>
          <w:i/>
          <w:iCs/>
          <w:sz w:val="20"/>
          <w:szCs w:val="20"/>
        </w:rPr>
        <w:t>et al.,</w:t>
      </w:r>
      <w:r w:rsidRPr="000D7BC8">
        <w:rPr>
          <w:rFonts w:ascii="Arial" w:hAnsi="Arial" w:cs="Arial"/>
          <w:sz w:val="20"/>
          <w:szCs w:val="20"/>
        </w:rPr>
        <w:t xml:space="preserve">2006). </w:t>
      </w:r>
    </w:p>
    <w:p w14:paraId="04C71D65" w14:textId="30EC9ED8" w:rsidR="00AD29B7" w:rsidRPr="000D7BC8" w:rsidRDefault="00C8460F">
      <w:pPr>
        <w:tabs>
          <w:tab w:val="left" w:pos="720"/>
        </w:tabs>
        <w:spacing w:line="240" w:lineRule="auto"/>
        <w:jc w:val="both"/>
        <w:rPr>
          <w:rFonts w:ascii="Arial" w:hAnsi="Arial" w:cs="Arial"/>
          <w:sz w:val="22"/>
          <w:szCs w:val="22"/>
        </w:rPr>
      </w:pPr>
      <w:r>
        <w:rPr>
          <w:rFonts w:ascii="Arial" w:hAnsi="Arial" w:cs="Arial"/>
          <w:b/>
          <w:bCs/>
          <w:sz w:val="22"/>
          <w:szCs w:val="22"/>
        </w:rPr>
        <w:t xml:space="preserve">2.3 </w:t>
      </w:r>
      <w:r w:rsidR="00EF7F79" w:rsidRPr="000D7BC8">
        <w:rPr>
          <w:rFonts w:ascii="Arial" w:hAnsi="Arial" w:cs="Arial"/>
          <w:b/>
          <w:bCs/>
          <w:sz w:val="22"/>
          <w:szCs w:val="22"/>
        </w:rPr>
        <w:t>Scanning electron microscopy (SEM)</w:t>
      </w:r>
      <w:r w:rsidR="00EF7F79" w:rsidRPr="000D7BC8">
        <w:rPr>
          <w:rFonts w:ascii="Arial" w:hAnsi="Arial" w:cs="Arial"/>
          <w:sz w:val="22"/>
          <w:szCs w:val="22"/>
        </w:rPr>
        <w:t xml:space="preserve"> </w:t>
      </w:r>
    </w:p>
    <w:p w14:paraId="65BF4C49" w14:textId="77777777" w:rsidR="00AD29B7" w:rsidRPr="000D7BC8" w:rsidRDefault="00EF7F79">
      <w:pPr>
        <w:tabs>
          <w:tab w:val="left" w:pos="720"/>
        </w:tabs>
        <w:spacing w:line="240" w:lineRule="auto"/>
        <w:jc w:val="both"/>
        <w:rPr>
          <w:rFonts w:ascii="Arial" w:hAnsi="Arial" w:cs="Arial"/>
          <w:sz w:val="20"/>
          <w:szCs w:val="20"/>
        </w:rPr>
      </w:pPr>
      <w:r w:rsidRPr="000D7BC8">
        <w:rPr>
          <w:rFonts w:ascii="Arial" w:hAnsi="Arial" w:cs="Arial"/>
          <w:sz w:val="20"/>
          <w:szCs w:val="20"/>
        </w:rPr>
        <w:tab/>
        <w:t xml:space="preserve">To visualize the micromorphological features of the isolates, mycelial plugs (approx. 0.5 cm²) were excised from actively growing cultures and immediately submerged in modified </w:t>
      </w:r>
      <w:proofErr w:type="spellStart"/>
      <w:r w:rsidRPr="000D7BC8">
        <w:rPr>
          <w:rFonts w:ascii="Arial" w:hAnsi="Arial" w:cs="Arial"/>
          <w:sz w:val="20"/>
          <w:szCs w:val="20"/>
        </w:rPr>
        <w:t>Karnovsky’s</w:t>
      </w:r>
      <w:proofErr w:type="spellEnd"/>
      <w:r w:rsidRPr="000D7BC8">
        <w:rPr>
          <w:rFonts w:ascii="Arial" w:hAnsi="Arial" w:cs="Arial"/>
          <w:sz w:val="20"/>
          <w:szCs w:val="20"/>
        </w:rPr>
        <w:t xml:space="preserve"> fixative. This solution comprising 2.5% glutaraldehyde and 2.5% paraformaldehyde in a 0.05 M cacodylate buffer with 0.001 M calcium chloride was utilized to chemically stabilize the fungal structures during a 24-hour incubation at 4 °C. Following fixation, the samples underwent a triple rinse with 0.05 M cacodylate buffer, were post-fixed in 1% osmium tetroxide, and subsequently washed with distilled water. A graded acetone series (25%–100%) was employed for dehydration, followed by CO</w:t>
      </w:r>
      <w:r w:rsidRPr="000D7BC8">
        <w:rPr>
          <w:rFonts w:ascii="Cambria Math" w:hAnsi="Cambria Math" w:cs="Cambria Math"/>
          <w:sz w:val="20"/>
          <w:szCs w:val="20"/>
        </w:rPr>
        <w:t>₂</w:t>
      </w:r>
      <w:r w:rsidRPr="000D7BC8">
        <w:rPr>
          <w:rFonts w:ascii="Arial" w:hAnsi="Arial" w:cs="Arial"/>
          <w:sz w:val="20"/>
          <w:szCs w:val="20"/>
        </w:rPr>
        <w:t xml:space="preserve">-based critical point drying. After gold–palladium sputter coating, imaging was conducted at Mangalore University (Qiu, 2010). Final taxonomic identification was achieved by comparing morphological traits against established keys, including Barnett and Hunter (1971) and Ellis et al. (2007). </w:t>
      </w:r>
    </w:p>
    <w:p w14:paraId="76DE66E1" w14:textId="6397F8F6" w:rsidR="00AD29B7" w:rsidRPr="000D7BC8" w:rsidRDefault="00C8460F">
      <w:pPr>
        <w:tabs>
          <w:tab w:val="left" w:pos="720"/>
        </w:tabs>
        <w:spacing w:line="240" w:lineRule="auto"/>
        <w:jc w:val="both"/>
        <w:rPr>
          <w:rFonts w:ascii="Arial" w:hAnsi="Arial" w:cs="Arial"/>
          <w:b/>
          <w:sz w:val="22"/>
          <w:szCs w:val="22"/>
        </w:rPr>
      </w:pPr>
      <w:r w:rsidRPr="000D7BC8">
        <w:rPr>
          <w:rFonts w:ascii="Arial" w:hAnsi="Arial" w:cs="Arial"/>
          <w:b/>
          <w:sz w:val="22"/>
          <w:szCs w:val="22"/>
        </w:rPr>
        <w:t xml:space="preserve">2.4 </w:t>
      </w:r>
      <w:r w:rsidR="00EF7F79" w:rsidRPr="000D7BC8">
        <w:rPr>
          <w:rFonts w:ascii="Arial" w:hAnsi="Arial" w:cs="Arial"/>
          <w:b/>
          <w:sz w:val="22"/>
          <w:szCs w:val="22"/>
        </w:rPr>
        <w:t xml:space="preserve">Molecular identification of endophytic fungi </w:t>
      </w:r>
    </w:p>
    <w:p w14:paraId="4D1DC830" w14:textId="2CCE5D05" w:rsidR="00AD29B7" w:rsidRPr="000D7BC8" w:rsidRDefault="00C8460F" w:rsidP="000D7BC8">
      <w:pPr>
        <w:jc w:val="both"/>
        <w:rPr>
          <w:rFonts w:ascii="Arial" w:hAnsi="Arial" w:cs="Arial"/>
          <w:i/>
          <w:iCs/>
          <w:sz w:val="20"/>
          <w:szCs w:val="20"/>
        </w:rPr>
      </w:pPr>
      <w:r w:rsidRPr="000D7BC8">
        <w:rPr>
          <w:rFonts w:ascii="Arial" w:hAnsi="Arial" w:cs="Arial"/>
          <w:b/>
          <w:bCs/>
          <w:i/>
          <w:iCs/>
          <w:sz w:val="20"/>
          <w:szCs w:val="20"/>
        </w:rPr>
        <w:t xml:space="preserve">2.4.1 </w:t>
      </w:r>
      <w:r w:rsidR="00EF7F79" w:rsidRPr="000D7BC8">
        <w:rPr>
          <w:rFonts w:ascii="Arial" w:hAnsi="Arial" w:cs="Arial"/>
          <w:b/>
          <w:bCs/>
          <w:i/>
          <w:iCs/>
          <w:sz w:val="20"/>
          <w:szCs w:val="20"/>
        </w:rPr>
        <w:t>Genomic DNA extraction and PCR amplification</w:t>
      </w:r>
    </w:p>
    <w:p w14:paraId="17C8E09F" w14:textId="6C9A0EA1" w:rsidR="00572420" w:rsidRPr="00572420" w:rsidRDefault="00572420" w:rsidP="00572420">
      <w:pPr>
        <w:spacing w:before="100" w:beforeAutospacing="1" w:after="100" w:afterAutospacing="1" w:line="240" w:lineRule="auto"/>
        <w:rPr>
          <w:rFonts w:ascii="Times New Roman" w:eastAsia="Times New Roman" w:hAnsi="Times New Roman" w:cs="Times New Roman"/>
          <w:kern w:val="0"/>
          <w14:ligatures w14:val="none"/>
        </w:rPr>
      </w:pPr>
      <w:r w:rsidRPr="00572420">
        <w:rPr>
          <w:rFonts w:ascii="Times New Roman" w:eastAsia="Times New Roman" w:hAnsi="Times New Roman" w:cs="Times New Roman"/>
          <w:kern w:val="0"/>
          <w14:ligatures w14:val="none"/>
        </w:rPr>
        <w:t>Genomic DNA from the fungal isolate was extracted using a conventional protocol employing a digestion buffer composed of 10 mM Tris-HCl (pH 8.0), 0.1 M EDTA (pH 8.0), 0.5% Triton X-100, 6 M guanidine hydrochloride, and 0.1 M sodium acetate.</w:t>
      </w:r>
      <w:r>
        <w:rPr>
          <w:rFonts w:ascii="Times New Roman" w:eastAsia="Times New Roman" w:hAnsi="Times New Roman" w:cs="Times New Roman"/>
          <w:kern w:val="0"/>
          <w14:ligatures w14:val="none"/>
        </w:rPr>
        <w:t xml:space="preserve"> </w:t>
      </w:r>
      <w:r w:rsidRPr="00572420">
        <w:rPr>
          <w:rFonts w:ascii="Times New Roman" w:eastAsia="Times New Roman" w:hAnsi="Times New Roman" w:cs="Times New Roman"/>
          <w:kern w:val="0"/>
          <w14:ligatures w14:val="none"/>
        </w:rPr>
        <w:t xml:space="preserve">The internal transcribed spacer (ITS) region of the ribosomal DNA (rDNA) was amplified using the universal primer pair ITS1 (5′-TCCGTAGGTGAACCTGCGG-3′) and ITS4 (5′-TCCTCCGCTTATTGATATGC-3′) (White et al., 1990). Polymerase chain reaction (PCR) amplification was performed under the following </w:t>
      </w:r>
      <w:r w:rsidRPr="00572420">
        <w:rPr>
          <w:rFonts w:ascii="Times New Roman" w:eastAsia="Times New Roman" w:hAnsi="Times New Roman" w:cs="Times New Roman"/>
          <w:kern w:val="0"/>
          <w14:ligatures w14:val="none"/>
        </w:rPr>
        <w:lastRenderedPageBreak/>
        <w:t>thermal cycling conditions: initial denaturation at 95 °C for 5 min, followed by 35 cycles consisting of denaturation at 94 °C for 1 min, annealing at 55 °C for 30 s, and extension at 72 °C for 1 min, with a final extension step at 72 °C for 5 min.</w:t>
      </w:r>
    </w:p>
    <w:p w14:paraId="105E04FD" w14:textId="77777777" w:rsidR="00572420" w:rsidRPr="00572420" w:rsidRDefault="00572420" w:rsidP="00572420">
      <w:pPr>
        <w:spacing w:before="100" w:beforeAutospacing="1" w:after="100" w:afterAutospacing="1" w:line="240" w:lineRule="auto"/>
        <w:rPr>
          <w:rFonts w:ascii="Times New Roman" w:eastAsia="Times New Roman" w:hAnsi="Times New Roman" w:cs="Times New Roman"/>
          <w:kern w:val="0"/>
          <w14:ligatures w14:val="none"/>
        </w:rPr>
      </w:pPr>
      <w:r w:rsidRPr="00572420">
        <w:rPr>
          <w:rFonts w:ascii="Times New Roman" w:eastAsia="Times New Roman" w:hAnsi="Times New Roman" w:cs="Times New Roman"/>
          <w:kern w:val="0"/>
          <w14:ligatures w14:val="none"/>
        </w:rPr>
        <w:t xml:space="preserve">The resulting PCR amplicons were separated by electrophoresis on a 1.2% agarose gel, and the amplified DNA fragments were </w:t>
      </w:r>
      <w:proofErr w:type="spellStart"/>
      <w:r w:rsidRPr="00572420">
        <w:rPr>
          <w:rFonts w:ascii="Times New Roman" w:eastAsia="Times New Roman" w:hAnsi="Times New Roman" w:cs="Times New Roman"/>
          <w:kern w:val="0"/>
          <w14:ligatures w14:val="none"/>
        </w:rPr>
        <w:t>visualised</w:t>
      </w:r>
      <w:proofErr w:type="spellEnd"/>
      <w:r w:rsidRPr="00572420">
        <w:rPr>
          <w:rFonts w:ascii="Times New Roman" w:eastAsia="Times New Roman" w:hAnsi="Times New Roman" w:cs="Times New Roman"/>
          <w:kern w:val="0"/>
          <w14:ligatures w14:val="none"/>
        </w:rPr>
        <w:t xml:space="preserve"> under a UV transilluminator (Bio-Rad, USA).</w:t>
      </w:r>
    </w:p>
    <w:p w14:paraId="2D6A2CB0" w14:textId="03D35CE4" w:rsidR="00AD29B7" w:rsidRPr="000D7BC8" w:rsidRDefault="00C8460F" w:rsidP="000D7BC8">
      <w:pPr>
        <w:jc w:val="both"/>
        <w:rPr>
          <w:rFonts w:ascii="Arial" w:hAnsi="Arial" w:cs="Arial"/>
          <w:b/>
          <w:bCs/>
          <w:i/>
          <w:iCs/>
          <w:sz w:val="20"/>
          <w:szCs w:val="20"/>
        </w:rPr>
      </w:pPr>
      <w:r w:rsidRPr="000D7BC8">
        <w:rPr>
          <w:rFonts w:ascii="Arial" w:hAnsi="Arial" w:cs="Arial"/>
          <w:b/>
          <w:bCs/>
          <w:i/>
          <w:iCs/>
          <w:sz w:val="20"/>
          <w:szCs w:val="20"/>
        </w:rPr>
        <w:t xml:space="preserve">2.4.2 </w:t>
      </w:r>
      <w:r w:rsidR="00EF7F79" w:rsidRPr="000D7BC8">
        <w:rPr>
          <w:rFonts w:ascii="Arial" w:hAnsi="Arial" w:cs="Arial"/>
          <w:b/>
          <w:bCs/>
          <w:i/>
          <w:iCs/>
          <w:sz w:val="20"/>
          <w:szCs w:val="20"/>
        </w:rPr>
        <w:t xml:space="preserve">Sequencing and phylogenetic analysis  </w:t>
      </w:r>
    </w:p>
    <w:p w14:paraId="5D413148" w14:textId="77777777" w:rsidR="00AD29B7" w:rsidRPr="000D7BC8" w:rsidRDefault="00EF7F79">
      <w:pPr>
        <w:ind w:firstLine="720"/>
        <w:jc w:val="both"/>
        <w:rPr>
          <w:rFonts w:ascii="Arial" w:hAnsi="Arial" w:cs="Arial"/>
          <w:sz w:val="20"/>
          <w:szCs w:val="20"/>
        </w:rPr>
      </w:pPr>
      <w:r w:rsidRPr="000D7BC8">
        <w:rPr>
          <w:rFonts w:ascii="Arial" w:hAnsi="Arial" w:cs="Arial"/>
          <w:sz w:val="20"/>
          <w:szCs w:val="20"/>
        </w:rPr>
        <w:t xml:space="preserve">Purified PCR products were sequenced bi-directionally at Eurofins Genomics (Bangalore, India). The resulting ITS sequences were compared with existing sequences in the NCBI GenBank database using the BLASTN algorithm to determine taxonomic identity based on the highest sequence similarity. The sequences obtained in this study were deposited in GenBank. Multiple sequence alignments were performed using </w:t>
      </w:r>
      <w:proofErr w:type="spellStart"/>
      <w:r w:rsidRPr="000D7BC8">
        <w:rPr>
          <w:rFonts w:ascii="Arial" w:hAnsi="Arial" w:cs="Arial"/>
          <w:sz w:val="20"/>
          <w:szCs w:val="20"/>
        </w:rPr>
        <w:t>ClustalW</w:t>
      </w:r>
      <w:proofErr w:type="spellEnd"/>
      <w:r w:rsidRPr="000D7BC8">
        <w:rPr>
          <w:rFonts w:ascii="Arial" w:hAnsi="Arial" w:cs="Arial"/>
          <w:sz w:val="20"/>
          <w:szCs w:val="20"/>
        </w:rPr>
        <w:t xml:space="preserve"> (Thompson </w:t>
      </w:r>
      <w:r w:rsidRPr="000D7BC8">
        <w:rPr>
          <w:rFonts w:ascii="Arial" w:hAnsi="Arial" w:cs="Arial"/>
          <w:i/>
          <w:iCs/>
          <w:sz w:val="20"/>
          <w:szCs w:val="20"/>
        </w:rPr>
        <w:t>et al.,</w:t>
      </w:r>
      <w:r w:rsidRPr="000D7BC8">
        <w:rPr>
          <w:rFonts w:ascii="Arial" w:hAnsi="Arial" w:cs="Arial"/>
          <w:sz w:val="20"/>
          <w:szCs w:val="20"/>
        </w:rPr>
        <w:t xml:space="preserve"> 1994), and phylogenetic analysis was conducted in MEGA X version 5.2 (Tamura </w:t>
      </w:r>
      <w:r w:rsidRPr="000D7BC8">
        <w:rPr>
          <w:rFonts w:ascii="Arial" w:hAnsi="Arial" w:cs="Arial"/>
          <w:i/>
          <w:iCs/>
          <w:sz w:val="20"/>
          <w:szCs w:val="20"/>
        </w:rPr>
        <w:t>at al.,</w:t>
      </w:r>
      <w:r w:rsidRPr="000D7BC8">
        <w:rPr>
          <w:rFonts w:ascii="Arial" w:hAnsi="Arial" w:cs="Arial"/>
          <w:sz w:val="20"/>
          <w:szCs w:val="20"/>
        </w:rPr>
        <w:t xml:space="preserve"> 2011). A Neighbor-Joining tree was constructed using the Kimura 2-parameter model, and branch support was assessed by bootstrap analysis with 1000 replicates.</w:t>
      </w:r>
    </w:p>
    <w:p w14:paraId="290C6CBA" w14:textId="1705D8EA" w:rsidR="00AD29B7" w:rsidRPr="000D7BC8" w:rsidRDefault="00C8460F">
      <w:pPr>
        <w:jc w:val="both"/>
        <w:rPr>
          <w:rFonts w:ascii="Arial" w:hAnsi="Arial" w:cs="Arial"/>
          <w:b/>
          <w:bCs/>
          <w:sz w:val="22"/>
          <w:szCs w:val="22"/>
        </w:rPr>
      </w:pPr>
      <w:r w:rsidRPr="000D7BC8">
        <w:rPr>
          <w:rFonts w:ascii="Arial" w:hAnsi="Arial" w:cs="Arial"/>
          <w:b/>
          <w:bCs/>
          <w:sz w:val="22"/>
          <w:szCs w:val="22"/>
        </w:rPr>
        <w:t xml:space="preserve">2.5 </w:t>
      </w:r>
      <w:r w:rsidR="00EF7F79" w:rsidRPr="000D7BC8">
        <w:rPr>
          <w:rFonts w:ascii="Arial" w:hAnsi="Arial" w:cs="Arial"/>
          <w:b/>
          <w:bCs/>
          <w:sz w:val="22"/>
          <w:szCs w:val="22"/>
        </w:rPr>
        <w:t xml:space="preserve">Production and recovery of fungal crude extracts </w:t>
      </w:r>
    </w:p>
    <w:p w14:paraId="43A9D87F" w14:textId="5E47E692" w:rsidR="00572420" w:rsidRPr="00572420" w:rsidRDefault="00572420" w:rsidP="00572420">
      <w:pPr>
        <w:spacing w:before="100" w:beforeAutospacing="1" w:after="100" w:afterAutospacing="1" w:line="240" w:lineRule="auto"/>
        <w:jc w:val="both"/>
        <w:rPr>
          <w:rFonts w:ascii="Times New Roman" w:eastAsia="Times New Roman" w:hAnsi="Times New Roman" w:cs="Times New Roman"/>
          <w:kern w:val="0"/>
          <w14:ligatures w14:val="none"/>
        </w:rPr>
      </w:pPr>
      <w:r w:rsidRPr="00572420">
        <w:rPr>
          <w:rFonts w:ascii="Times New Roman" w:eastAsia="Times New Roman" w:hAnsi="Times New Roman" w:cs="Times New Roman"/>
          <w:kern w:val="0"/>
          <w14:ligatures w14:val="none"/>
        </w:rPr>
        <w:t>A pure fungal isolate was aseptically inoculated into 1000 mL Erlenmeyer flasks containing 300 mL of potato dextrose broth (PDB) and incubated at room temperature under static conditions for 3–4 weeks. After incubation, the culture broth was separated from the mycelial biomass by filtration through a double-layered muslin cloth.</w:t>
      </w:r>
      <w:r>
        <w:rPr>
          <w:rFonts w:ascii="Times New Roman" w:eastAsia="Times New Roman" w:hAnsi="Times New Roman" w:cs="Times New Roman"/>
          <w:kern w:val="0"/>
          <w14:ligatures w14:val="none"/>
        </w:rPr>
        <w:t xml:space="preserve"> </w:t>
      </w:r>
      <w:r w:rsidRPr="00572420">
        <w:rPr>
          <w:rFonts w:ascii="Times New Roman" w:eastAsia="Times New Roman" w:hAnsi="Times New Roman" w:cs="Times New Roman"/>
          <w:kern w:val="0"/>
          <w14:ligatures w14:val="none"/>
        </w:rPr>
        <w:t>The retained mycelial biomass was then subjected to ultrasonic disruption for 10 min in 300 mL of PDB to enhance cell lysis and metabolite release. Subsequently, both the sonicated mycelial suspension and the culture filtrate were independently extracted with ethyl acetate using a separatory funnel. The aqueous phase was re-extracted twice with 300 mL portions of ethyl acetate to ensure maximum recovery of secondary metabolites.</w:t>
      </w:r>
      <w:r>
        <w:rPr>
          <w:rFonts w:ascii="Times New Roman" w:eastAsia="Times New Roman" w:hAnsi="Times New Roman" w:cs="Times New Roman"/>
          <w:kern w:val="0"/>
          <w14:ligatures w14:val="none"/>
        </w:rPr>
        <w:t xml:space="preserve"> </w:t>
      </w:r>
      <w:r w:rsidRPr="00572420">
        <w:rPr>
          <w:rFonts w:ascii="Times New Roman" w:eastAsia="Times New Roman" w:hAnsi="Times New Roman" w:cs="Times New Roman"/>
          <w:kern w:val="0"/>
          <w14:ligatures w14:val="none"/>
        </w:rPr>
        <w:t>The combined organic phases from each extraction were pooled and concentrated to dryness by solvent evaporation. The resulting crude extracts, obtained separately from the mycelial biomass and culture filtrate, were stored at −20 °C until further downstream analysis (</w:t>
      </w:r>
      <w:proofErr w:type="spellStart"/>
      <w:r w:rsidRPr="00572420">
        <w:rPr>
          <w:rFonts w:ascii="Times New Roman" w:eastAsia="Times New Roman" w:hAnsi="Times New Roman" w:cs="Times New Roman"/>
          <w:kern w:val="0"/>
          <w14:ligatures w14:val="none"/>
        </w:rPr>
        <w:t>Doaa</w:t>
      </w:r>
      <w:proofErr w:type="spellEnd"/>
      <w:r w:rsidRPr="00572420">
        <w:rPr>
          <w:rFonts w:ascii="Times New Roman" w:eastAsia="Times New Roman" w:hAnsi="Times New Roman" w:cs="Times New Roman"/>
          <w:kern w:val="0"/>
          <w14:ligatures w14:val="none"/>
        </w:rPr>
        <w:t xml:space="preserve"> et al., 2020).</w:t>
      </w:r>
    </w:p>
    <w:p w14:paraId="7B98F451" w14:textId="23888D8A" w:rsidR="00AD29B7" w:rsidRPr="000D7BC8" w:rsidRDefault="00C8460F">
      <w:pPr>
        <w:jc w:val="both"/>
        <w:rPr>
          <w:rFonts w:ascii="Arial" w:hAnsi="Arial" w:cs="Arial"/>
          <w:b/>
          <w:bCs/>
          <w:sz w:val="22"/>
          <w:szCs w:val="22"/>
        </w:rPr>
      </w:pPr>
      <w:r>
        <w:rPr>
          <w:rFonts w:ascii="Arial" w:hAnsi="Arial" w:cs="Arial"/>
          <w:b/>
          <w:bCs/>
          <w:sz w:val="22"/>
          <w:szCs w:val="22"/>
        </w:rPr>
        <w:t xml:space="preserve">2.6 </w:t>
      </w:r>
      <w:r w:rsidR="00EF7F79" w:rsidRPr="000D7BC8">
        <w:rPr>
          <w:rFonts w:ascii="Arial" w:hAnsi="Arial" w:cs="Arial"/>
          <w:b/>
          <w:bCs/>
          <w:sz w:val="22"/>
          <w:szCs w:val="22"/>
        </w:rPr>
        <w:t>Evaluation of antimicrobial activity against human and fish pathogens</w:t>
      </w:r>
    </w:p>
    <w:p w14:paraId="053D2AE0" w14:textId="5FD9C66A" w:rsidR="00572420" w:rsidRPr="00572420" w:rsidRDefault="00572420" w:rsidP="00572420">
      <w:pPr>
        <w:spacing w:before="100" w:beforeAutospacing="1" w:after="100" w:afterAutospacing="1" w:line="240" w:lineRule="auto"/>
        <w:jc w:val="both"/>
        <w:rPr>
          <w:rFonts w:ascii="Times New Roman" w:eastAsia="Times New Roman" w:hAnsi="Times New Roman" w:cs="Times New Roman"/>
          <w:kern w:val="0"/>
          <w14:ligatures w14:val="none"/>
        </w:rPr>
      </w:pPr>
      <w:r w:rsidRPr="00572420">
        <w:rPr>
          <w:rFonts w:ascii="Times New Roman" w:eastAsia="Times New Roman" w:hAnsi="Times New Roman" w:cs="Times New Roman"/>
          <w:kern w:val="0"/>
          <w14:ligatures w14:val="none"/>
        </w:rPr>
        <w:t xml:space="preserve">The dried crude extracts (0.1 g each, obtained separately from mycelial biomass and culture broth) were dissolved in 10 mL of ethyl acetate and subsequently </w:t>
      </w:r>
      <w:proofErr w:type="spellStart"/>
      <w:r w:rsidRPr="00572420">
        <w:rPr>
          <w:rFonts w:ascii="Times New Roman" w:eastAsia="Times New Roman" w:hAnsi="Times New Roman" w:cs="Times New Roman"/>
          <w:kern w:val="0"/>
          <w14:ligatures w14:val="none"/>
        </w:rPr>
        <w:t>utilised</w:t>
      </w:r>
      <w:proofErr w:type="spellEnd"/>
      <w:r w:rsidRPr="00572420">
        <w:rPr>
          <w:rFonts w:ascii="Times New Roman" w:eastAsia="Times New Roman" w:hAnsi="Times New Roman" w:cs="Times New Roman"/>
          <w:kern w:val="0"/>
          <w14:ligatures w14:val="none"/>
        </w:rPr>
        <w:t xml:space="preserve"> for antimicrobial screening. Antimicrobial activity was assessed using the agar well diffusion method on Mueller–Hinton agar (MHA), with each well loaded with 30 µL of the respective extract (Taye et al., 2011).</w:t>
      </w:r>
      <w:r>
        <w:rPr>
          <w:rFonts w:ascii="Times New Roman" w:eastAsia="Times New Roman" w:hAnsi="Times New Roman" w:cs="Times New Roman"/>
          <w:kern w:val="0"/>
          <w14:ligatures w14:val="none"/>
        </w:rPr>
        <w:t xml:space="preserve"> </w:t>
      </w:r>
      <w:r w:rsidRPr="00572420">
        <w:rPr>
          <w:rFonts w:ascii="Times New Roman" w:eastAsia="Times New Roman" w:hAnsi="Times New Roman" w:cs="Times New Roman"/>
          <w:kern w:val="0"/>
          <w14:ligatures w14:val="none"/>
        </w:rPr>
        <w:t xml:space="preserve">The test panel comprised six human pathogenic microorganisms, namely </w:t>
      </w:r>
      <w:r w:rsidRPr="00572420">
        <w:rPr>
          <w:rFonts w:ascii="Times New Roman" w:eastAsia="Times New Roman" w:hAnsi="Times New Roman" w:cs="Times New Roman"/>
          <w:i/>
          <w:iCs/>
          <w:kern w:val="0"/>
          <w14:ligatures w14:val="none"/>
        </w:rPr>
        <w:t>Staphylococcus aureus</w:t>
      </w:r>
      <w:r w:rsidRPr="00572420">
        <w:rPr>
          <w:rFonts w:ascii="Times New Roman" w:eastAsia="Times New Roman" w:hAnsi="Times New Roman" w:cs="Times New Roman"/>
          <w:kern w:val="0"/>
          <w14:ligatures w14:val="none"/>
        </w:rPr>
        <w:t xml:space="preserve">, </w:t>
      </w:r>
      <w:r w:rsidRPr="00572420">
        <w:rPr>
          <w:rFonts w:ascii="Times New Roman" w:eastAsia="Times New Roman" w:hAnsi="Times New Roman" w:cs="Times New Roman"/>
          <w:i/>
          <w:iCs/>
          <w:kern w:val="0"/>
          <w14:ligatures w14:val="none"/>
        </w:rPr>
        <w:t>Listeria monocytogenes</w:t>
      </w:r>
      <w:r w:rsidRPr="00572420">
        <w:rPr>
          <w:rFonts w:ascii="Times New Roman" w:eastAsia="Times New Roman" w:hAnsi="Times New Roman" w:cs="Times New Roman"/>
          <w:kern w:val="0"/>
          <w14:ligatures w14:val="none"/>
        </w:rPr>
        <w:t xml:space="preserve">, </w:t>
      </w:r>
      <w:r w:rsidRPr="00572420">
        <w:rPr>
          <w:rFonts w:ascii="Times New Roman" w:eastAsia="Times New Roman" w:hAnsi="Times New Roman" w:cs="Times New Roman"/>
          <w:i/>
          <w:iCs/>
          <w:kern w:val="0"/>
          <w14:ligatures w14:val="none"/>
        </w:rPr>
        <w:t>Enterococcus faecalis</w:t>
      </w:r>
      <w:r w:rsidRPr="00572420">
        <w:rPr>
          <w:rFonts w:ascii="Times New Roman" w:eastAsia="Times New Roman" w:hAnsi="Times New Roman" w:cs="Times New Roman"/>
          <w:kern w:val="0"/>
          <w14:ligatures w14:val="none"/>
        </w:rPr>
        <w:t xml:space="preserve">, </w:t>
      </w:r>
      <w:r w:rsidRPr="00572420">
        <w:rPr>
          <w:rFonts w:ascii="Times New Roman" w:eastAsia="Times New Roman" w:hAnsi="Times New Roman" w:cs="Times New Roman"/>
          <w:i/>
          <w:iCs/>
          <w:kern w:val="0"/>
          <w14:ligatures w14:val="none"/>
        </w:rPr>
        <w:t>Pseudomonas aeruginosa</w:t>
      </w:r>
      <w:r w:rsidRPr="00572420">
        <w:rPr>
          <w:rFonts w:ascii="Times New Roman" w:eastAsia="Times New Roman" w:hAnsi="Times New Roman" w:cs="Times New Roman"/>
          <w:kern w:val="0"/>
          <w14:ligatures w14:val="none"/>
        </w:rPr>
        <w:t xml:space="preserve">, </w:t>
      </w:r>
      <w:r w:rsidRPr="00572420">
        <w:rPr>
          <w:rFonts w:ascii="Times New Roman" w:eastAsia="Times New Roman" w:hAnsi="Times New Roman" w:cs="Times New Roman"/>
          <w:i/>
          <w:iCs/>
          <w:kern w:val="0"/>
          <w14:ligatures w14:val="none"/>
        </w:rPr>
        <w:t>Escherichia coli</w:t>
      </w:r>
      <w:r w:rsidRPr="00572420">
        <w:rPr>
          <w:rFonts w:ascii="Times New Roman" w:eastAsia="Times New Roman" w:hAnsi="Times New Roman" w:cs="Times New Roman"/>
          <w:kern w:val="0"/>
          <w14:ligatures w14:val="none"/>
        </w:rPr>
        <w:t xml:space="preserve">, and </w:t>
      </w:r>
      <w:r w:rsidRPr="00572420">
        <w:rPr>
          <w:rFonts w:ascii="Times New Roman" w:eastAsia="Times New Roman" w:hAnsi="Times New Roman" w:cs="Times New Roman"/>
          <w:i/>
          <w:iCs/>
          <w:kern w:val="0"/>
          <w14:ligatures w14:val="none"/>
        </w:rPr>
        <w:t>Candida albicans</w:t>
      </w:r>
      <w:r w:rsidRPr="00572420">
        <w:rPr>
          <w:rFonts w:ascii="Times New Roman" w:eastAsia="Times New Roman" w:hAnsi="Times New Roman" w:cs="Times New Roman"/>
          <w:kern w:val="0"/>
          <w14:ligatures w14:val="none"/>
        </w:rPr>
        <w:t xml:space="preserve">, as well as four fish pathogenic bacteria, including </w:t>
      </w:r>
      <w:r w:rsidRPr="00572420">
        <w:rPr>
          <w:rFonts w:ascii="Times New Roman" w:eastAsia="Times New Roman" w:hAnsi="Times New Roman" w:cs="Times New Roman"/>
          <w:i/>
          <w:iCs/>
          <w:kern w:val="0"/>
          <w14:ligatures w14:val="none"/>
        </w:rPr>
        <w:t xml:space="preserve">Aeromonas </w:t>
      </w:r>
      <w:proofErr w:type="spellStart"/>
      <w:r w:rsidRPr="00572420">
        <w:rPr>
          <w:rFonts w:ascii="Times New Roman" w:eastAsia="Times New Roman" w:hAnsi="Times New Roman" w:cs="Times New Roman"/>
          <w:i/>
          <w:iCs/>
          <w:kern w:val="0"/>
          <w14:ligatures w14:val="none"/>
        </w:rPr>
        <w:t>hydrophila</w:t>
      </w:r>
      <w:proofErr w:type="spellEnd"/>
      <w:r w:rsidRPr="00572420">
        <w:rPr>
          <w:rFonts w:ascii="Times New Roman" w:eastAsia="Times New Roman" w:hAnsi="Times New Roman" w:cs="Times New Roman"/>
          <w:kern w:val="0"/>
          <w14:ligatures w14:val="none"/>
        </w:rPr>
        <w:t xml:space="preserve">, </w:t>
      </w:r>
      <w:proofErr w:type="spellStart"/>
      <w:r w:rsidRPr="00572420">
        <w:rPr>
          <w:rFonts w:ascii="Times New Roman" w:eastAsia="Times New Roman" w:hAnsi="Times New Roman" w:cs="Times New Roman"/>
          <w:i/>
          <w:iCs/>
          <w:kern w:val="0"/>
          <w14:ligatures w14:val="none"/>
        </w:rPr>
        <w:t>Edwardsiella</w:t>
      </w:r>
      <w:proofErr w:type="spellEnd"/>
      <w:r w:rsidRPr="00572420">
        <w:rPr>
          <w:rFonts w:ascii="Times New Roman" w:eastAsia="Times New Roman" w:hAnsi="Times New Roman" w:cs="Times New Roman"/>
          <w:i/>
          <w:iCs/>
          <w:kern w:val="0"/>
          <w14:ligatures w14:val="none"/>
        </w:rPr>
        <w:t xml:space="preserve"> </w:t>
      </w:r>
      <w:proofErr w:type="spellStart"/>
      <w:r w:rsidRPr="00572420">
        <w:rPr>
          <w:rFonts w:ascii="Times New Roman" w:eastAsia="Times New Roman" w:hAnsi="Times New Roman" w:cs="Times New Roman"/>
          <w:i/>
          <w:iCs/>
          <w:kern w:val="0"/>
          <w14:ligatures w14:val="none"/>
        </w:rPr>
        <w:t>tarda</w:t>
      </w:r>
      <w:proofErr w:type="spellEnd"/>
      <w:r w:rsidRPr="00572420">
        <w:rPr>
          <w:rFonts w:ascii="Times New Roman" w:eastAsia="Times New Roman" w:hAnsi="Times New Roman" w:cs="Times New Roman"/>
          <w:kern w:val="0"/>
          <w14:ligatures w14:val="none"/>
        </w:rPr>
        <w:t xml:space="preserve">, </w:t>
      </w:r>
      <w:r w:rsidRPr="00572420">
        <w:rPr>
          <w:rFonts w:ascii="Times New Roman" w:eastAsia="Times New Roman" w:hAnsi="Times New Roman" w:cs="Times New Roman"/>
          <w:i/>
          <w:iCs/>
          <w:kern w:val="0"/>
          <w14:ligatures w14:val="none"/>
        </w:rPr>
        <w:t xml:space="preserve">Vibrio </w:t>
      </w:r>
      <w:proofErr w:type="spellStart"/>
      <w:r w:rsidRPr="00572420">
        <w:rPr>
          <w:rFonts w:ascii="Times New Roman" w:eastAsia="Times New Roman" w:hAnsi="Times New Roman" w:cs="Times New Roman"/>
          <w:i/>
          <w:iCs/>
          <w:kern w:val="0"/>
          <w14:ligatures w14:val="none"/>
        </w:rPr>
        <w:t>harveyi</w:t>
      </w:r>
      <w:proofErr w:type="spellEnd"/>
      <w:r w:rsidRPr="00572420">
        <w:rPr>
          <w:rFonts w:ascii="Times New Roman" w:eastAsia="Times New Roman" w:hAnsi="Times New Roman" w:cs="Times New Roman"/>
          <w:kern w:val="0"/>
          <w14:ligatures w14:val="none"/>
        </w:rPr>
        <w:t xml:space="preserve">, and </w:t>
      </w:r>
      <w:r w:rsidRPr="00572420">
        <w:rPr>
          <w:rFonts w:ascii="Times New Roman" w:eastAsia="Times New Roman" w:hAnsi="Times New Roman" w:cs="Times New Roman"/>
          <w:i/>
          <w:iCs/>
          <w:kern w:val="0"/>
          <w14:ligatures w14:val="none"/>
        </w:rPr>
        <w:t>Vibrio vulnificus</w:t>
      </w:r>
      <w:r w:rsidRPr="00572420">
        <w:rPr>
          <w:rFonts w:ascii="Times New Roman" w:eastAsia="Times New Roman" w:hAnsi="Times New Roman" w:cs="Times New Roman"/>
          <w:kern w:val="0"/>
          <w14:ligatures w14:val="none"/>
        </w:rPr>
        <w:t>. Tetracycline (30 µg) was employed as the positive control, while ethyl acetate served as the negative control.</w:t>
      </w:r>
    </w:p>
    <w:p w14:paraId="16A28D73" w14:textId="77777777" w:rsidR="00572420" w:rsidRPr="00572420" w:rsidRDefault="00572420" w:rsidP="00572420">
      <w:pPr>
        <w:spacing w:before="100" w:beforeAutospacing="1" w:after="100" w:afterAutospacing="1" w:line="240" w:lineRule="auto"/>
        <w:jc w:val="both"/>
        <w:rPr>
          <w:rFonts w:ascii="Times New Roman" w:eastAsia="Times New Roman" w:hAnsi="Times New Roman" w:cs="Times New Roman"/>
          <w:kern w:val="0"/>
          <w14:ligatures w14:val="none"/>
        </w:rPr>
      </w:pPr>
      <w:r w:rsidRPr="00572420">
        <w:rPr>
          <w:rFonts w:ascii="Times New Roman" w:eastAsia="Times New Roman" w:hAnsi="Times New Roman" w:cs="Times New Roman"/>
          <w:kern w:val="0"/>
          <w14:ligatures w14:val="none"/>
        </w:rPr>
        <w:t>All assays were conducted in triplicate to ensure reproducibility, and antimicrobial efficacy was determined by measuring zones of inhibition using an Antibiotic Zone Scale (Hi-Media).</w:t>
      </w:r>
    </w:p>
    <w:p w14:paraId="328333ED" w14:textId="184BA523" w:rsidR="00AD29B7" w:rsidRPr="000D7BC8" w:rsidRDefault="00C8460F">
      <w:pPr>
        <w:tabs>
          <w:tab w:val="left" w:pos="720"/>
        </w:tabs>
        <w:jc w:val="both"/>
        <w:rPr>
          <w:rFonts w:ascii="Arial" w:hAnsi="Arial" w:cs="Arial"/>
          <w:b/>
          <w:bCs/>
          <w:sz w:val="22"/>
          <w:szCs w:val="22"/>
          <w:lang w:val="en-IN"/>
        </w:rPr>
      </w:pPr>
      <w:r w:rsidRPr="000D7BC8">
        <w:rPr>
          <w:rFonts w:ascii="Arial" w:hAnsi="Arial" w:cs="Arial"/>
          <w:b/>
          <w:bCs/>
          <w:sz w:val="22"/>
          <w:szCs w:val="22"/>
          <w:lang w:val="en-IN"/>
        </w:rPr>
        <w:lastRenderedPageBreak/>
        <w:t xml:space="preserve">2.7 </w:t>
      </w:r>
      <w:r w:rsidR="00EF7F79" w:rsidRPr="000D7BC8">
        <w:rPr>
          <w:rFonts w:ascii="Arial" w:hAnsi="Arial" w:cs="Arial"/>
          <w:b/>
          <w:bCs/>
          <w:sz w:val="22"/>
          <w:szCs w:val="22"/>
          <w:lang w:val="en-IN"/>
        </w:rPr>
        <w:t>Determination of DPPH activity</w:t>
      </w:r>
    </w:p>
    <w:p w14:paraId="04D8BE85" w14:textId="48EB5431" w:rsidR="00572420" w:rsidRPr="00572420" w:rsidRDefault="00572420" w:rsidP="00572420">
      <w:pPr>
        <w:spacing w:before="100" w:beforeAutospacing="1" w:after="100" w:afterAutospacing="1" w:line="240" w:lineRule="auto"/>
        <w:rPr>
          <w:rFonts w:ascii="Times New Roman" w:eastAsia="Times New Roman" w:hAnsi="Times New Roman" w:cs="Times New Roman"/>
          <w:kern w:val="0"/>
          <w14:ligatures w14:val="none"/>
        </w:rPr>
      </w:pPr>
      <w:r w:rsidRPr="00572420">
        <w:rPr>
          <w:rFonts w:ascii="Times New Roman" w:eastAsia="Times New Roman" w:hAnsi="Times New Roman" w:cs="Times New Roman"/>
          <w:kern w:val="0"/>
          <w14:ligatures w14:val="none"/>
        </w:rPr>
        <w:t>The free radical scavenging activity of the extracts was evaluated using the DPPH (2,2-diphenyl-1-picrylhydrazyl) assay as described by Brand-Williams et al. (1995), with minor modifications. Ethyl acetate extracts at concentrations ranging from 100 to 500 µg mL⁻¹ were prepared in separate test tubes, and the volume in each tube was adjusted to 1 mL using methanol. Ascorbic acid, at corresponding concentrations (100–500 µg mL⁻¹), was used as a positive control.</w:t>
      </w:r>
      <w:r>
        <w:rPr>
          <w:rFonts w:ascii="Times New Roman" w:eastAsia="Times New Roman" w:hAnsi="Times New Roman" w:cs="Times New Roman"/>
          <w:kern w:val="0"/>
          <w14:ligatures w14:val="none"/>
        </w:rPr>
        <w:t xml:space="preserve"> </w:t>
      </w:r>
      <w:r w:rsidRPr="00572420">
        <w:rPr>
          <w:rFonts w:ascii="Times New Roman" w:eastAsia="Times New Roman" w:hAnsi="Times New Roman" w:cs="Times New Roman"/>
          <w:kern w:val="0"/>
          <w14:ligatures w14:val="none"/>
        </w:rPr>
        <w:t xml:space="preserve">Subsequently, 3 mL of 0.1 M DPPH solution was added to each tube, and the mixtures were thoroughly </w:t>
      </w:r>
      <w:proofErr w:type="spellStart"/>
      <w:r w:rsidRPr="00572420">
        <w:rPr>
          <w:rFonts w:ascii="Times New Roman" w:eastAsia="Times New Roman" w:hAnsi="Times New Roman" w:cs="Times New Roman"/>
          <w:kern w:val="0"/>
          <w14:ligatures w14:val="none"/>
        </w:rPr>
        <w:t>homogenised</w:t>
      </w:r>
      <w:proofErr w:type="spellEnd"/>
      <w:r w:rsidRPr="00572420">
        <w:rPr>
          <w:rFonts w:ascii="Times New Roman" w:eastAsia="Times New Roman" w:hAnsi="Times New Roman" w:cs="Times New Roman"/>
          <w:kern w:val="0"/>
          <w14:ligatures w14:val="none"/>
        </w:rPr>
        <w:t xml:space="preserve"> using a vortex mixer. The reaction mixtures were then incubated in the dark at room temperature for 30 min to prevent photo-degradation of the DPPH radical. Following incubation, the absorbance was measured at 517 nm using a UV–visible spectrophotometer.</w:t>
      </w:r>
    </w:p>
    <w:p w14:paraId="0A119B82" w14:textId="77777777" w:rsidR="00572420" w:rsidRPr="00572420" w:rsidRDefault="00572420" w:rsidP="00572420">
      <w:pPr>
        <w:spacing w:before="100" w:beforeAutospacing="1" w:after="100" w:afterAutospacing="1" w:line="240" w:lineRule="auto"/>
        <w:rPr>
          <w:rFonts w:ascii="Times New Roman" w:eastAsia="Times New Roman" w:hAnsi="Times New Roman" w:cs="Times New Roman"/>
          <w:kern w:val="0"/>
          <w14:ligatures w14:val="none"/>
        </w:rPr>
      </w:pPr>
      <w:r w:rsidRPr="00572420">
        <w:rPr>
          <w:rFonts w:ascii="Times New Roman" w:eastAsia="Times New Roman" w:hAnsi="Times New Roman" w:cs="Times New Roman"/>
          <w:kern w:val="0"/>
          <w14:ligatures w14:val="none"/>
        </w:rPr>
        <w:t>All assays were conducted in triplicate, and the results were expressed as mean values with corresponding standard deviations (mean ± SD).</w:t>
      </w:r>
    </w:p>
    <w:p w14:paraId="6E6BCF48" w14:textId="00744E7D" w:rsidR="00AD29B7" w:rsidRPr="000D7BC8" w:rsidRDefault="00EF7F79">
      <w:pPr>
        <w:tabs>
          <w:tab w:val="left" w:pos="720"/>
        </w:tabs>
        <w:ind w:firstLine="720"/>
        <w:jc w:val="both"/>
        <w:rPr>
          <w:rFonts w:ascii="Arial" w:hAnsi="Arial" w:cs="Arial"/>
          <w:sz w:val="20"/>
          <w:szCs w:val="20"/>
        </w:rPr>
      </w:pPr>
      <w:r w:rsidRPr="000D7BC8">
        <w:rPr>
          <w:rFonts w:ascii="Arial" w:hAnsi="Arial" w:cs="Arial"/>
          <w:sz w:val="20"/>
          <w:szCs w:val="20"/>
          <w:lang w:val="en-IN"/>
        </w:rPr>
        <w:t>The percentage of DPPH radical scavenging activity was calculated using the following equation:</w:t>
      </w:r>
    </w:p>
    <w:p w14:paraId="38FBE23C" w14:textId="77777777" w:rsidR="00AD29B7" w:rsidRPr="000D7BC8" w:rsidRDefault="00EF7F79">
      <w:pPr>
        <w:spacing w:after="0" w:line="480" w:lineRule="auto"/>
        <w:ind w:firstLine="720"/>
        <w:jc w:val="both"/>
        <w:rPr>
          <w:rFonts w:ascii="Arial" w:eastAsia="Calibri" w:hAnsi="Arial" w:cs="Arial"/>
          <w:sz w:val="20"/>
          <w:szCs w:val="20"/>
        </w:rPr>
      </w:pPr>
      <m:oMathPara>
        <m:oMath>
          <m:r>
            <m:rPr>
              <m:sty m:val="p"/>
            </m:rPr>
            <w:rPr>
              <w:rFonts w:ascii="Cambria Math" w:eastAsia="Times-Roman" w:hAnsi="Cambria Math" w:cs="Arial"/>
              <w:sz w:val="20"/>
              <w:szCs w:val="20"/>
            </w:rPr>
            <m:t>Inhibition % =</m:t>
          </m:r>
          <m:f>
            <m:fPr>
              <m:ctrlPr>
                <w:rPr>
                  <w:rFonts w:ascii="Cambria Math" w:eastAsia="Times-Roman" w:hAnsi="Cambria Math" w:cs="Arial"/>
                  <w:sz w:val="20"/>
                  <w:szCs w:val="20"/>
                </w:rPr>
              </m:ctrlPr>
            </m:fPr>
            <m:num>
              <m:r>
                <m:rPr>
                  <m:sty m:val="p"/>
                </m:rPr>
                <w:rPr>
                  <w:rFonts w:ascii="Cambria Math" w:eastAsia="Times-Roman" w:hAnsi="Cambria Math" w:cs="Arial"/>
                  <w:sz w:val="20"/>
                  <w:szCs w:val="20"/>
                </w:rPr>
                <m:t xml:space="preserve">Absorbance of DPPH solution </m:t>
              </m:r>
              <m:r>
                <m:rPr>
                  <m:sty m:val="p"/>
                </m:rPr>
                <w:rPr>
                  <w:rFonts w:ascii="Cambria Math" w:eastAsia="Times-Roman" w:hAnsi="Cambria Math" w:cs="Arial"/>
                  <w:sz w:val="20"/>
                  <w:szCs w:val="20"/>
                  <w:u w:val="single"/>
                </w:rPr>
                <m:t>-</m:t>
              </m:r>
              <m:r>
                <m:rPr>
                  <m:sty m:val="p"/>
                </m:rPr>
                <w:rPr>
                  <w:rFonts w:ascii="Cambria Math" w:eastAsia="Times-Roman" w:hAnsi="Cambria Math" w:cs="Arial"/>
                  <w:sz w:val="20"/>
                  <w:szCs w:val="20"/>
                </w:rPr>
                <m:t xml:space="preserve">Absorbance of sample </m:t>
              </m:r>
            </m:num>
            <m:den>
              <m:r>
                <m:rPr>
                  <m:sty m:val="p"/>
                </m:rPr>
                <w:rPr>
                  <w:rFonts w:ascii="Cambria Math" w:eastAsia="Times-Roman" w:hAnsi="Cambria Math" w:cs="Arial"/>
                  <w:sz w:val="20"/>
                  <w:szCs w:val="20"/>
                </w:rPr>
                <m:t>Absorbance of DPPH solution </m:t>
              </m:r>
            </m:den>
          </m:f>
          <m:r>
            <w:rPr>
              <w:rFonts w:ascii="Cambria Math" w:eastAsia="Times-Roman" w:hAnsi="Cambria Math" w:cs="Arial"/>
              <w:sz w:val="20"/>
              <w:szCs w:val="20"/>
            </w:rPr>
            <m:t>×100</m:t>
          </m:r>
        </m:oMath>
      </m:oMathPara>
    </w:p>
    <w:p w14:paraId="3222F2FC" w14:textId="518A62BB" w:rsidR="00AD29B7" w:rsidRPr="000D7BC8" w:rsidRDefault="00C8460F">
      <w:pPr>
        <w:tabs>
          <w:tab w:val="left" w:pos="720"/>
        </w:tabs>
        <w:jc w:val="both"/>
        <w:rPr>
          <w:rFonts w:ascii="Arial" w:hAnsi="Arial" w:cs="Arial"/>
          <w:sz w:val="22"/>
          <w:szCs w:val="22"/>
        </w:rPr>
      </w:pPr>
      <w:r w:rsidRPr="000D7BC8">
        <w:rPr>
          <w:rFonts w:ascii="Arial" w:hAnsi="Arial" w:cs="Arial"/>
          <w:b/>
          <w:bCs/>
          <w:sz w:val="22"/>
          <w:szCs w:val="22"/>
          <w:lang w:val="en-IN"/>
        </w:rPr>
        <w:t xml:space="preserve">2.8 </w:t>
      </w:r>
      <w:r w:rsidR="00EF7F79" w:rsidRPr="000D7BC8">
        <w:rPr>
          <w:rFonts w:ascii="Arial" w:hAnsi="Arial" w:cs="Arial"/>
          <w:b/>
          <w:bCs/>
          <w:sz w:val="22"/>
          <w:szCs w:val="22"/>
          <w:lang w:val="en-IN"/>
        </w:rPr>
        <w:t xml:space="preserve">Determination of </w:t>
      </w:r>
      <w:r w:rsidR="00EF7F79" w:rsidRPr="000D7BC8">
        <w:rPr>
          <w:rFonts w:ascii="Arial" w:eastAsia="Calibri" w:hAnsi="Arial" w:cs="Arial"/>
          <w:b/>
          <w:sz w:val="22"/>
          <w:szCs w:val="22"/>
        </w:rPr>
        <w:t>nitric oxide radical scavenging assay (NORSA)</w:t>
      </w:r>
      <w:r w:rsidR="00EF7F79" w:rsidRPr="000D7BC8">
        <w:rPr>
          <w:rFonts w:ascii="Arial" w:eastAsia="Calibri" w:hAnsi="Arial" w:cs="Arial"/>
          <w:sz w:val="22"/>
          <w:szCs w:val="22"/>
        </w:rPr>
        <w:t xml:space="preserve">  </w:t>
      </w:r>
    </w:p>
    <w:p w14:paraId="5A7AEAE0" w14:textId="24B5007C" w:rsidR="00572420" w:rsidRPr="00572420" w:rsidRDefault="00EF7F79" w:rsidP="00572420">
      <w:pPr>
        <w:pStyle w:val="NormalWeb"/>
        <w:rPr>
          <w:rFonts w:eastAsia="Times New Roman"/>
          <w:kern w:val="0"/>
          <w14:ligatures w14:val="none"/>
        </w:rPr>
      </w:pPr>
      <w:r w:rsidRPr="000D7BC8">
        <w:rPr>
          <w:rFonts w:ascii="Arial" w:hAnsi="Arial" w:cs="Arial"/>
          <w:sz w:val="20"/>
          <w:szCs w:val="20"/>
        </w:rPr>
        <w:tab/>
      </w:r>
      <w:r w:rsidR="00572420" w:rsidRPr="00572420">
        <w:rPr>
          <w:rFonts w:eastAsia="Times New Roman"/>
          <w:kern w:val="0"/>
          <w14:ligatures w14:val="none"/>
        </w:rPr>
        <w:t>The nitric oxide scavenging activity of the extracts was evaluated using the Griess–</w:t>
      </w:r>
      <w:proofErr w:type="spellStart"/>
      <w:r w:rsidR="00572420" w:rsidRPr="00572420">
        <w:rPr>
          <w:rFonts w:eastAsia="Times New Roman"/>
          <w:kern w:val="0"/>
          <w14:ligatures w14:val="none"/>
        </w:rPr>
        <w:t>Ilosvay</w:t>
      </w:r>
      <w:proofErr w:type="spellEnd"/>
      <w:r w:rsidR="00572420" w:rsidRPr="00572420">
        <w:rPr>
          <w:rFonts w:eastAsia="Times New Roman"/>
          <w:kern w:val="0"/>
          <w14:ligatures w14:val="none"/>
        </w:rPr>
        <w:t xml:space="preserve"> reaction, following the method described by </w:t>
      </w:r>
      <w:proofErr w:type="spellStart"/>
      <w:r w:rsidR="00572420" w:rsidRPr="00572420">
        <w:rPr>
          <w:rFonts w:eastAsia="Times New Roman"/>
          <w:kern w:val="0"/>
          <w14:ligatures w14:val="none"/>
        </w:rPr>
        <w:t>Danagoudar</w:t>
      </w:r>
      <w:proofErr w:type="spellEnd"/>
      <w:r w:rsidR="00572420" w:rsidRPr="00572420">
        <w:rPr>
          <w:rFonts w:eastAsia="Times New Roman"/>
          <w:kern w:val="0"/>
          <w14:ligatures w14:val="none"/>
        </w:rPr>
        <w:t xml:space="preserve"> et al. (2017). The reaction mixture (3 mL) comprised 2 mL of 10 mM sodium nitroprusside, 0.5 mL of phosphate-buffered saline (PBS), and 0.5 mL of either the ethyl acetate extract or standard ascorbic acid at concentrations ranging from 100 to 500 µg mL⁻¹.</w:t>
      </w:r>
      <w:r w:rsidR="00572420">
        <w:rPr>
          <w:rFonts w:eastAsia="Times New Roman"/>
          <w:kern w:val="0"/>
          <w14:ligatures w14:val="none"/>
        </w:rPr>
        <w:t xml:space="preserve"> </w:t>
      </w:r>
      <w:r w:rsidR="00572420" w:rsidRPr="00572420">
        <w:rPr>
          <w:rFonts w:eastAsia="Times New Roman"/>
          <w:kern w:val="0"/>
          <w14:ligatures w14:val="none"/>
        </w:rPr>
        <w:t xml:space="preserve">The prepared mixtures were incubated at 25 °C for 150 min under light conditions to facilitate nitric oxide generation. Following incubation, 0.5 mL of the reaction mixture was transferred to a fresh test tube and treated with 1 mL of </w:t>
      </w:r>
      <w:proofErr w:type="spellStart"/>
      <w:r w:rsidR="00572420" w:rsidRPr="00572420">
        <w:rPr>
          <w:rFonts w:eastAsia="Times New Roman"/>
          <w:kern w:val="0"/>
          <w14:ligatures w14:val="none"/>
        </w:rPr>
        <w:t>sulfanilic</w:t>
      </w:r>
      <w:proofErr w:type="spellEnd"/>
      <w:r w:rsidR="00572420" w:rsidRPr="00572420">
        <w:rPr>
          <w:rFonts w:eastAsia="Times New Roman"/>
          <w:kern w:val="0"/>
          <w14:ligatures w14:val="none"/>
        </w:rPr>
        <w:t xml:space="preserve"> acid reagent (0.33% in 20% glacial acetic acid). After allowing 5 min for </w:t>
      </w:r>
      <w:proofErr w:type="spellStart"/>
      <w:r w:rsidR="00572420" w:rsidRPr="00572420">
        <w:rPr>
          <w:rFonts w:eastAsia="Times New Roman"/>
          <w:kern w:val="0"/>
          <w14:ligatures w14:val="none"/>
        </w:rPr>
        <w:t>diazotisation</w:t>
      </w:r>
      <w:proofErr w:type="spellEnd"/>
      <w:r w:rsidR="00572420" w:rsidRPr="00572420">
        <w:rPr>
          <w:rFonts w:eastAsia="Times New Roman"/>
          <w:kern w:val="0"/>
          <w14:ligatures w14:val="none"/>
        </w:rPr>
        <w:t xml:space="preserve">, 1 mL of </w:t>
      </w:r>
      <w:proofErr w:type="spellStart"/>
      <w:r w:rsidR="00572420" w:rsidRPr="00572420">
        <w:rPr>
          <w:rFonts w:eastAsia="Times New Roman"/>
          <w:kern w:val="0"/>
          <w14:ligatures w14:val="none"/>
        </w:rPr>
        <w:t>naphthylethylenediamine</w:t>
      </w:r>
      <w:proofErr w:type="spellEnd"/>
      <w:r w:rsidR="00572420" w:rsidRPr="00572420">
        <w:rPr>
          <w:rFonts w:eastAsia="Times New Roman"/>
          <w:kern w:val="0"/>
          <w14:ligatures w14:val="none"/>
        </w:rPr>
        <w:t xml:space="preserve"> dihydrochloride (NED) solution was added. The mixture was gently agitated and incubated at room temperature for 30 min to allow </w:t>
      </w:r>
      <w:proofErr w:type="spellStart"/>
      <w:r w:rsidR="00572420" w:rsidRPr="00572420">
        <w:rPr>
          <w:rFonts w:eastAsia="Times New Roman"/>
          <w:kern w:val="0"/>
          <w14:ligatures w14:val="none"/>
        </w:rPr>
        <w:t>colour</w:t>
      </w:r>
      <w:proofErr w:type="spellEnd"/>
      <w:r w:rsidR="00572420" w:rsidRPr="00572420">
        <w:rPr>
          <w:rFonts w:eastAsia="Times New Roman"/>
          <w:kern w:val="0"/>
          <w14:ligatures w14:val="none"/>
        </w:rPr>
        <w:t xml:space="preserve"> development.</w:t>
      </w:r>
    </w:p>
    <w:p w14:paraId="38917109" w14:textId="77777777" w:rsidR="00572420" w:rsidRPr="00572420" w:rsidRDefault="00572420" w:rsidP="00572420">
      <w:pPr>
        <w:spacing w:before="100" w:beforeAutospacing="1" w:after="100" w:afterAutospacing="1" w:line="240" w:lineRule="auto"/>
        <w:rPr>
          <w:rFonts w:ascii="Times New Roman" w:eastAsia="Times New Roman" w:hAnsi="Times New Roman" w:cs="Times New Roman"/>
          <w:kern w:val="0"/>
          <w14:ligatures w14:val="none"/>
        </w:rPr>
      </w:pPr>
      <w:r w:rsidRPr="00572420">
        <w:rPr>
          <w:rFonts w:ascii="Times New Roman" w:eastAsia="Times New Roman" w:hAnsi="Times New Roman" w:cs="Times New Roman"/>
          <w:kern w:val="0"/>
          <w14:ligatures w14:val="none"/>
        </w:rPr>
        <w:t>The absorbance of the resulting pink chromophore was measured at 546 nm using a UV–visible spectrophotometer. Phosphate buffer served as the blank, while ascorbic acid was used as the positive control.</w:t>
      </w:r>
    </w:p>
    <w:p w14:paraId="01D08990" w14:textId="5C648348" w:rsidR="00AD29B7" w:rsidRPr="000D7BC8" w:rsidRDefault="00EF7F79">
      <w:pPr>
        <w:tabs>
          <w:tab w:val="left" w:pos="720"/>
        </w:tabs>
        <w:jc w:val="both"/>
        <w:rPr>
          <w:rFonts w:ascii="Arial" w:hAnsi="Arial" w:cs="Arial"/>
          <w:b/>
          <w:bCs/>
          <w:sz w:val="20"/>
          <w:szCs w:val="20"/>
        </w:rPr>
      </w:pPr>
      <w:r w:rsidRPr="000D7BC8">
        <w:rPr>
          <w:rFonts w:ascii="Arial" w:hAnsi="Arial" w:cs="Arial"/>
          <w:sz w:val="20"/>
          <w:szCs w:val="20"/>
        </w:rPr>
        <w:t>The percentage inhibition of nitric oxide was calculated using the equation:</w:t>
      </w:r>
      <w:r w:rsidRPr="000D7BC8">
        <w:rPr>
          <w:rFonts w:ascii="Arial" w:hAnsi="Arial" w:cs="Arial"/>
          <w:b/>
          <w:bCs/>
          <w:sz w:val="20"/>
          <w:szCs w:val="20"/>
        </w:rPr>
        <w:t xml:space="preserve"> </w:t>
      </w:r>
    </w:p>
    <w:p w14:paraId="383A0EE3" w14:textId="77777777" w:rsidR="00AD29B7" w:rsidRPr="000D7BC8" w:rsidRDefault="00EF7F79">
      <w:pPr>
        <w:spacing w:after="0" w:line="480" w:lineRule="auto"/>
        <w:ind w:firstLine="720"/>
        <w:jc w:val="both"/>
        <w:rPr>
          <w:rFonts w:ascii="Arial" w:eastAsia="Calibri" w:hAnsi="Arial" w:cs="Arial"/>
          <w:sz w:val="20"/>
          <w:szCs w:val="20"/>
        </w:rPr>
      </w:pPr>
      <m:oMathPara>
        <m:oMath>
          <m:r>
            <m:rPr>
              <m:sty m:val="p"/>
            </m:rPr>
            <w:rPr>
              <w:rFonts w:ascii="Cambria Math" w:eastAsia="Times-Roman" w:hAnsi="Cambria Math" w:cs="Arial"/>
              <w:sz w:val="20"/>
              <w:szCs w:val="20"/>
            </w:rPr>
            <m:t>Inhibition % =</m:t>
          </m:r>
          <m:f>
            <m:fPr>
              <m:ctrlPr>
                <w:rPr>
                  <w:rFonts w:ascii="Cambria Math" w:eastAsia="Times-Roman" w:hAnsi="Cambria Math" w:cs="Arial"/>
                  <w:sz w:val="20"/>
                  <w:szCs w:val="20"/>
                </w:rPr>
              </m:ctrlPr>
            </m:fPr>
            <m:num>
              <m:r>
                <m:rPr>
                  <m:sty m:val="p"/>
                </m:rPr>
                <w:rPr>
                  <w:rFonts w:ascii="Cambria Math" w:eastAsia="Times-Roman" w:hAnsi="Cambria Math" w:cs="Arial"/>
                  <w:sz w:val="20"/>
                  <w:szCs w:val="20"/>
                </w:rPr>
                <m:t>Absorbance of control</m:t>
              </m:r>
              <m:r>
                <m:rPr>
                  <m:sty m:val="p"/>
                </m:rPr>
                <w:rPr>
                  <w:rFonts w:ascii="Cambria Math" w:eastAsia="Times-Roman" w:hAnsi="Cambria Math" w:cs="Arial"/>
                  <w:sz w:val="20"/>
                  <w:szCs w:val="20"/>
                  <w:u w:val="single"/>
                </w:rPr>
                <m:t>-</m:t>
              </m:r>
              <m:r>
                <m:rPr>
                  <m:sty m:val="p"/>
                </m:rPr>
                <w:rPr>
                  <w:rFonts w:ascii="Cambria Math" w:eastAsia="Times-Roman" w:hAnsi="Cambria Math" w:cs="Arial"/>
                  <w:sz w:val="20"/>
                  <w:szCs w:val="20"/>
                </w:rPr>
                <m:t>Absorbance of sample /standard</m:t>
              </m:r>
            </m:num>
            <m:den>
              <m:r>
                <m:rPr>
                  <m:sty m:val="p"/>
                </m:rPr>
                <w:rPr>
                  <w:rFonts w:ascii="Cambria Math" w:eastAsia="Times-Roman" w:hAnsi="Cambria Math" w:cs="Arial"/>
                  <w:sz w:val="20"/>
                  <w:szCs w:val="20"/>
                </w:rPr>
                <m:t xml:space="preserve">A control </m:t>
              </m:r>
            </m:den>
          </m:f>
          <m:r>
            <w:rPr>
              <w:rFonts w:ascii="Cambria Math" w:eastAsia="Times-Roman" w:hAnsi="Cambria Math" w:cs="Arial"/>
              <w:sz w:val="20"/>
              <w:szCs w:val="20"/>
            </w:rPr>
            <m:t>×100</m:t>
          </m:r>
        </m:oMath>
      </m:oMathPara>
    </w:p>
    <w:p w14:paraId="2659EF70" w14:textId="21DF60D1" w:rsidR="00AD29B7" w:rsidRPr="000D7BC8" w:rsidRDefault="00C8460F">
      <w:pPr>
        <w:jc w:val="both"/>
        <w:rPr>
          <w:rFonts w:ascii="Arial" w:hAnsi="Arial" w:cs="Arial"/>
          <w:b/>
          <w:bCs/>
          <w:sz w:val="22"/>
          <w:szCs w:val="22"/>
        </w:rPr>
      </w:pPr>
      <w:r w:rsidRPr="000D7BC8">
        <w:rPr>
          <w:rFonts w:ascii="Arial" w:hAnsi="Arial" w:cs="Arial"/>
          <w:b/>
          <w:bCs/>
          <w:sz w:val="22"/>
          <w:szCs w:val="22"/>
        </w:rPr>
        <w:t xml:space="preserve">2.9 </w:t>
      </w:r>
      <w:r w:rsidR="00EF7F79" w:rsidRPr="000D7BC8">
        <w:rPr>
          <w:rFonts w:ascii="Arial" w:hAnsi="Arial" w:cs="Arial"/>
          <w:b/>
          <w:bCs/>
          <w:sz w:val="22"/>
          <w:szCs w:val="22"/>
        </w:rPr>
        <w:t>Determination of total antioxidant capacity (TAC) assay</w:t>
      </w:r>
    </w:p>
    <w:p w14:paraId="021D709A" w14:textId="77777777" w:rsidR="00572420" w:rsidRPr="00572420" w:rsidRDefault="00572420" w:rsidP="00572420">
      <w:pPr>
        <w:spacing w:before="100" w:beforeAutospacing="1" w:after="100" w:afterAutospacing="1" w:line="240" w:lineRule="auto"/>
        <w:rPr>
          <w:rFonts w:ascii="Times New Roman" w:eastAsia="Times New Roman" w:hAnsi="Times New Roman" w:cs="Times New Roman"/>
          <w:kern w:val="0"/>
          <w14:ligatures w14:val="none"/>
        </w:rPr>
      </w:pPr>
      <w:r w:rsidRPr="00572420">
        <w:rPr>
          <w:rFonts w:ascii="Times New Roman" w:eastAsia="Times New Roman" w:hAnsi="Times New Roman" w:cs="Times New Roman"/>
          <w:kern w:val="0"/>
          <w14:ligatures w14:val="none"/>
        </w:rPr>
        <w:t xml:space="preserve">The total antioxidant capacity of the extracts was determined using the </w:t>
      </w:r>
      <w:proofErr w:type="spellStart"/>
      <w:r w:rsidRPr="00572420">
        <w:rPr>
          <w:rFonts w:ascii="Times New Roman" w:eastAsia="Times New Roman" w:hAnsi="Times New Roman" w:cs="Times New Roman"/>
          <w:kern w:val="0"/>
          <w14:ligatures w14:val="none"/>
        </w:rPr>
        <w:t>phosphomolybdenum</w:t>
      </w:r>
      <w:proofErr w:type="spellEnd"/>
      <w:r w:rsidRPr="00572420">
        <w:rPr>
          <w:rFonts w:ascii="Times New Roman" w:eastAsia="Times New Roman" w:hAnsi="Times New Roman" w:cs="Times New Roman"/>
          <w:kern w:val="0"/>
          <w14:ligatures w14:val="none"/>
        </w:rPr>
        <w:t xml:space="preserve"> assay, as described by </w:t>
      </w:r>
      <w:proofErr w:type="spellStart"/>
      <w:r w:rsidRPr="00572420">
        <w:rPr>
          <w:rFonts w:ascii="Times New Roman" w:eastAsia="Times New Roman" w:hAnsi="Times New Roman" w:cs="Times New Roman"/>
          <w:kern w:val="0"/>
          <w14:ligatures w14:val="none"/>
        </w:rPr>
        <w:t>Kanner</w:t>
      </w:r>
      <w:proofErr w:type="spellEnd"/>
      <w:r w:rsidRPr="00572420">
        <w:rPr>
          <w:rFonts w:ascii="Times New Roman" w:eastAsia="Times New Roman" w:hAnsi="Times New Roman" w:cs="Times New Roman"/>
          <w:kern w:val="0"/>
          <w14:ligatures w14:val="none"/>
        </w:rPr>
        <w:t xml:space="preserve"> et al. (1994), with slight modifications. An aliquot of ethyl acetate </w:t>
      </w:r>
      <w:r w:rsidRPr="00572420">
        <w:rPr>
          <w:rFonts w:ascii="Times New Roman" w:eastAsia="Times New Roman" w:hAnsi="Times New Roman" w:cs="Times New Roman"/>
          <w:kern w:val="0"/>
          <w14:ligatures w14:val="none"/>
        </w:rPr>
        <w:lastRenderedPageBreak/>
        <w:t>extract (1 mg mL⁻¹) was combined with 3 mL of phosphomolybdate reagent, consisting of 0.6 M H₂SO₄, 4 mM ammonium molybdate, and 28 mM sodium phosphate, in a test tube. The reaction mixture was incubated at 95 °C for 90 min.</w:t>
      </w:r>
    </w:p>
    <w:p w14:paraId="3E7584AF" w14:textId="77777777" w:rsidR="00572420" w:rsidRPr="00572420" w:rsidRDefault="00572420" w:rsidP="00572420">
      <w:pPr>
        <w:spacing w:before="100" w:beforeAutospacing="1" w:after="100" w:afterAutospacing="1" w:line="240" w:lineRule="auto"/>
        <w:rPr>
          <w:rFonts w:ascii="Times New Roman" w:eastAsia="Times New Roman" w:hAnsi="Times New Roman" w:cs="Times New Roman"/>
          <w:kern w:val="0"/>
          <w14:ligatures w14:val="none"/>
        </w:rPr>
      </w:pPr>
      <w:r w:rsidRPr="00572420">
        <w:rPr>
          <w:rFonts w:ascii="Times New Roman" w:eastAsia="Times New Roman" w:hAnsi="Times New Roman" w:cs="Times New Roman"/>
          <w:kern w:val="0"/>
          <w14:ligatures w14:val="none"/>
        </w:rPr>
        <w:t>Following incubation, the samples were allowed to cool to room temperature, and the absorbance was measured at 695 nm using a UV–visible spectrophotometer (Shimadzu, USA). The total antioxidant capacity was expressed as ascorbic acid equivalents (AAE). All experiments were conducted in triplicate, and the results were reported as mean values with corresponding standard deviations (mean ± SD).</w:t>
      </w:r>
    </w:p>
    <w:p w14:paraId="2B968985" w14:textId="1D724BDC" w:rsidR="00AD29B7" w:rsidRPr="000D7BC8" w:rsidRDefault="00C8460F">
      <w:pPr>
        <w:jc w:val="both"/>
        <w:rPr>
          <w:rFonts w:ascii="Arial" w:hAnsi="Arial" w:cs="Arial"/>
          <w:b/>
          <w:bCs/>
          <w:sz w:val="22"/>
          <w:szCs w:val="22"/>
        </w:rPr>
      </w:pPr>
      <w:r>
        <w:rPr>
          <w:rFonts w:ascii="Arial" w:hAnsi="Arial" w:cs="Arial"/>
          <w:b/>
          <w:bCs/>
          <w:sz w:val="22"/>
          <w:szCs w:val="22"/>
        </w:rPr>
        <w:t xml:space="preserve">2.10 </w:t>
      </w:r>
      <w:r w:rsidR="00EF7F79" w:rsidRPr="000D7BC8">
        <w:rPr>
          <w:rFonts w:ascii="Arial" w:hAnsi="Arial" w:cs="Arial"/>
          <w:b/>
          <w:bCs/>
          <w:sz w:val="22"/>
          <w:szCs w:val="22"/>
        </w:rPr>
        <w:t xml:space="preserve">Determination of total phenolic content (TPC) </w:t>
      </w:r>
    </w:p>
    <w:p w14:paraId="1C0655A3" w14:textId="0EE461F6" w:rsidR="00572420" w:rsidRPr="00572420" w:rsidRDefault="00572420" w:rsidP="00572420">
      <w:pPr>
        <w:spacing w:before="100" w:beforeAutospacing="1" w:after="100" w:afterAutospacing="1" w:line="240" w:lineRule="auto"/>
        <w:jc w:val="both"/>
        <w:rPr>
          <w:rFonts w:ascii="Times New Roman" w:eastAsia="Times New Roman" w:hAnsi="Times New Roman" w:cs="Times New Roman"/>
          <w:kern w:val="0"/>
          <w14:ligatures w14:val="none"/>
        </w:rPr>
      </w:pPr>
      <w:r w:rsidRPr="00572420">
        <w:rPr>
          <w:rFonts w:ascii="Times New Roman" w:eastAsia="Times New Roman" w:hAnsi="Times New Roman" w:cs="Times New Roman"/>
          <w:kern w:val="0"/>
          <w14:ligatures w14:val="none"/>
        </w:rPr>
        <w:t xml:space="preserve">The total phenolic content (TPC) of the extracts was determined using the </w:t>
      </w:r>
      <w:proofErr w:type="spellStart"/>
      <w:r w:rsidRPr="00572420">
        <w:rPr>
          <w:rFonts w:ascii="Times New Roman" w:eastAsia="Times New Roman" w:hAnsi="Times New Roman" w:cs="Times New Roman"/>
          <w:kern w:val="0"/>
          <w14:ligatures w14:val="none"/>
        </w:rPr>
        <w:t>Folin</w:t>
      </w:r>
      <w:proofErr w:type="spellEnd"/>
      <w:r w:rsidRPr="00572420">
        <w:rPr>
          <w:rFonts w:ascii="Times New Roman" w:eastAsia="Times New Roman" w:hAnsi="Times New Roman" w:cs="Times New Roman"/>
          <w:kern w:val="0"/>
          <w14:ligatures w14:val="none"/>
        </w:rPr>
        <w:t>–</w:t>
      </w:r>
      <w:proofErr w:type="spellStart"/>
      <w:r w:rsidRPr="00572420">
        <w:rPr>
          <w:rFonts w:ascii="Times New Roman" w:eastAsia="Times New Roman" w:hAnsi="Times New Roman" w:cs="Times New Roman"/>
          <w:kern w:val="0"/>
          <w14:ligatures w14:val="none"/>
        </w:rPr>
        <w:t>Ciocalteu</w:t>
      </w:r>
      <w:proofErr w:type="spellEnd"/>
      <w:r w:rsidRPr="00572420">
        <w:rPr>
          <w:rFonts w:ascii="Times New Roman" w:eastAsia="Times New Roman" w:hAnsi="Times New Roman" w:cs="Times New Roman"/>
          <w:kern w:val="0"/>
          <w14:ligatures w14:val="none"/>
        </w:rPr>
        <w:t xml:space="preserve"> assay, following the method described by Yadav et al. (2014). The ethyl acetate extract (1 mg mL⁻¹) and standard solutions were prepared for analysis. An aliquot of each sample was mixed with 0.5 mL of </w:t>
      </w:r>
      <w:proofErr w:type="spellStart"/>
      <w:r w:rsidRPr="00572420">
        <w:rPr>
          <w:rFonts w:ascii="Times New Roman" w:eastAsia="Times New Roman" w:hAnsi="Times New Roman" w:cs="Times New Roman"/>
          <w:kern w:val="0"/>
          <w14:ligatures w14:val="none"/>
        </w:rPr>
        <w:t>Folin</w:t>
      </w:r>
      <w:proofErr w:type="spellEnd"/>
      <w:r w:rsidRPr="00572420">
        <w:rPr>
          <w:rFonts w:ascii="Times New Roman" w:eastAsia="Times New Roman" w:hAnsi="Times New Roman" w:cs="Times New Roman"/>
          <w:kern w:val="0"/>
          <w14:ligatures w14:val="none"/>
        </w:rPr>
        <w:t>–</w:t>
      </w:r>
      <w:proofErr w:type="spellStart"/>
      <w:r w:rsidRPr="00572420">
        <w:rPr>
          <w:rFonts w:ascii="Times New Roman" w:eastAsia="Times New Roman" w:hAnsi="Times New Roman" w:cs="Times New Roman"/>
          <w:kern w:val="0"/>
          <w14:ligatures w14:val="none"/>
        </w:rPr>
        <w:t>Ciocalteu</w:t>
      </w:r>
      <w:proofErr w:type="spellEnd"/>
      <w:r w:rsidRPr="00572420">
        <w:rPr>
          <w:rFonts w:ascii="Times New Roman" w:eastAsia="Times New Roman" w:hAnsi="Times New Roman" w:cs="Times New Roman"/>
          <w:kern w:val="0"/>
          <w14:ligatures w14:val="none"/>
        </w:rPr>
        <w:t xml:space="preserve"> reagent (diluted 1:1) and 2.5 mL of 20% sodium carbonate solution, and the final volume was adjusted to 10 m</w:t>
      </w:r>
      <w:bookmarkStart w:id="0" w:name="_GoBack"/>
      <w:bookmarkEnd w:id="0"/>
      <w:r w:rsidRPr="00572420">
        <w:rPr>
          <w:rFonts w:ascii="Times New Roman" w:eastAsia="Times New Roman" w:hAnsi="Times New Roman" w:cs="Times New Roman"/>
          <w:kern w:val="0"/>
          <w14:ligatures w14:val="none"/>
        </w:rPr>
        <w:t>L with distilled water.</w:t>
      </w:r>
      <w:r>
        <w:rPr>
          <w:rFonts w:ascii="Times New Roman" w:eastAsia="Times New Roman" w:hAnsi="Times New Roman" w:cs="Times New Roman"/>
          <w:kern w:val="0"/>
          <w14:ligatures w14:val="none"/>
        </w:rPr>
        <w:t xml:space="preserve"> </w:t>
      </w:r>
      <w:r w:rsidRPr="00572420">
        <w:rPr>
          <w:rFonts w:ascii="Times New Roman" w:eastAsia="Times New Roman" w:hAnsi="Times New Roman" w:cs="Times New Roman"/>
          <w:kern w:val="0"/>
          <w14:ligatures w14:val="none"/>
        </w:rPr>
        <w:t xml:space="preserve">The reaction mixtures were incubated under appropriate conditions to allow </w:t>
      </w:r>
      <w:proofErr w:type="spellStart"/>
      <w:r w:rsidRPr="00572420">
        <w:rPr>
          <w:rFonts w:ascii="Times New Roman" w:eastAsia="Times New Roman" w:hAnsi="Times New Roman" w:cs="Times New Roman"/>
          <w:kern w:val="0"/>
          <w14:ligatures w14:val="none"/>
        </w:rPr>
        <w:t>colour</w:t>
      </w:r>
      <w:proofErr w:type="spellEnd"/>
      <w:r w:rsidRPr="00572420">
        <w:rPr>
          <w:rFonts w:ascii="Times New Roman" w:eastAsia="Times New Roman" w:hAnsi="Times New Roman" w:cs="Times New Roman"/>
          <w:kern w:val="0"/>
          <w14:ligatures w14:val="none"/>
        </w:rPr>
        <w:t xml:space="preserve"> development, after which the absorbance was measured at 760 nm using a UV–visible spectrophotometer (Shimadzu, USA). Gallic acid was employed as the reference standard, and the total phenolic content was expressed as milligrams of gallic acid equivalents (GAE).</w:t>
      </w:r>
      <w:r>
        <w:rPr>
          <w:rFonts w:ascii="Times New Roman" w:eastAsia="Times New Roman" w:hAnsi="Times New Roman" w:cs="Times New Roman"/>
          <w:kern w:val="0"/>
          <w14:ligatures w14:val="none"/>
        </w:rPr>
        <w:t xml:space="preserve"> </w:t>
      </w:r>
      <w:r w:rsidRPr="00572420">
        <w:rPr>
          <w:rFonts w:ascii="Times New Roman" w:eastAsia="Times New Roman" w:hAnsi="Times New Roman" w:cs="Times New Roman"/>
          <w:kern w:val="0"/>
          <w14:ligatures w14:val="none"/>
        </w:rPr>
        <w:t>All determinations were carried out in triplicate, and the results were reported as mean values with corresponding standard deviations (mean ± SD).</w:t>
      </w:r>
    </w:p>
    <w:p w14:paraId="59FBB294" w14:textId="78EE1F73" w:rsidR="00AD29B7" w:rsidRPr="000D7BC8" w:rsidRDefault="00C8460F">
      <w:pPr>
        <w:jc w:val="both"/>
        <w:rPr>
          <w:rFonts w:ascii="Arial" w:hAnsi="Arial" w:cs="Arial"/>
          <w:b/>
          <w:bCs/>
        </w:rPr>
      </w:pPr>
      <w:r>
        <w:rPr>
          <w:rFonts w:ascii="Arial" w:hAnsi="Arial" w:cs="Arial"/>
          <w:b/>
        </w:rPr>
        <w:t xml:space="preserve">3. </w:t>
      </w:r>
      <w:r w:rsidR="00EF7F79" w:rsidRPr="000D7BC8">
        <w:rPr>
          <w:rFonts w:ascii="Arial" w:hAnsi="Arial" w:cs="Arial"/>
          <w:b/>
        </w:rPr>
        <w:t>RESULTS AND DISCUSSION</w:t>
      </w:r>
    </w:p>
    <w:p w14:paraId="27FEB61A" w14:textId="099388A1" w:rsidR="00AD29B7" w:rsidRPr="000D7BC8" w:rsidRDefault="00C8460F">
      <w:pPr>
        <w:tabs>
          <w:tab w:val="left" w:pos="720"/>
        </w:tabs>
        <w:spacing w:line="240" w:lineRule="auto"/>
        <w:jc w:val="both"/>
        <w:rPr>
          <w:rFonts w:ascii="Arial" w:hAnsi="Arial" w:cs="Arial"/>
          <w:b/>
          <w:sz w:val="22"/>
          <w:szCs w:val="22"/>
        </w:rPr>
      </w:pPr>
      <w:r w:rsidRPr="000D7BC8">
        <w:rPr>
          <w:rFonts w:ascii="Arial" w:hAnsi="Arial" w:cs="Arial"/>
          <w:b/>
          <w:sz w:val="22"/>
          <w:szCs w:val="22"/>
        </w:rPr>
        <w:t xml:space="preserve">3.1 </w:t>
      </w:r>
      <w:r w:rsidR="00EF7F79" w:rsidRPr="000D7BC8">
        <w:rPr>
          <w:rFonts w:ascii="Arial" w:hAnsi="Arial" w:cs="Arial"/>
          <w:b/>
          <w:sz w:val="22"/>
          <w:szCs w:val="22"/>
        </w:rPr>
        <w:t xml:space="preserve">Isolation of endophytic fungi  </w:t>
      </w:r>
    </w:p>
    <w:p w14:paraId="719CD138" w14:textId="5E9F42A9" w:rsidR="00AD29B7" w:rsidRPr="000D7BC8" w:rsidRDefault="00EF7F79">
      <w:pPr>
        <w:tabs>
          <w:tab w:val="left" w:pos="720"/>
          <w:tab w:val="left" w:pos="8010"/>
        </w:tabs>
        <w:spacing w:line="240" w:lineRule="auto"/>
        <w:jc w:val="both"/>
        <w:rPr>
          <w:rFonts w:ascii="Arial" w:hAnsi="Arial" w:cs="Arial"/>
          <w:bCs/>
          <w:sz w:val="20"/>
          <w:szCs w:val="20"/>
        </w:rPr>
      </w:pPr>
      <w:r w:rsidRPr="000D7BC8">
        <w:rPr>
          <w:rFonts w:ascii="Arial" w:hAnsi="Arial" w:cs="Arial"/>
          <w:bCs/>
        </w:rPr>
        <w:tab/>
      </w:r>
      <w:r w:rsidRPr="000D7BC8">
        <w:rPr>
          <w:rFonts w:ascii="Arial" w:hAnsi="Arial" w:cs="Arial"/>
          <w:bCs/>
          <w:sz w:val="20"/>
          <w:szCs w:val="20"/>
        </w:rPr>
        <w:t xml:space="preserve">In the present study, five distinct endophytic fungal isolates were obtained from the green seaweed </w:t>
      </w:r>
      <w:r w:rsidRPr="000D7BC8">
        <w:rPr>
          <w:rFonts w:ascii="Arial" w:hAnsi="Arial" w:cs="Arial"/>
          <w:bCs/>
          <w:i/>
          <w:iCs/>
          <w:sz w:val="20"/>
          <w:szCs w:val="20"/>
        </w:rPr>
        <w:t xml:space="preserve">Ulva </w:t>
      </w:r>
      <w:proofErr w:type="spellStart"/>
      <w:r w:rsidRPr="000D7BC8">
        <w:rPr>
          <w:rFonts w:ascii="Arial" w:hAnsi="Arial" w:cs="Arial"/>
          <w:i/>
          <w:sz w:val="20"/>
          <w:szCs w:val="20"/>
        </w:rPr>
        <w:t>lactuca</w:t>
      </w:r>
      <w:proofErr w:type="spellEnd"/>
      <w:r w:rsidRPr="000D7BC8">
        <w:rPr>
          <w:rFonts w:ascii="Arial" w:hAnsi="Arial" w:cs="Arial"/>
          <w:bCs/>
          <w:sz w:val="20"/>
          <w:szCs w:val="20"/>
        </w:rPr>
        <w:t xml:space="preserve"> collected from the coastal region. Isolation was performed on potato dextrose agar (PDA) supplemented with chloramphenicol to suppress bacterial growth. All isolates exhibited characteristic fungal colony morphology and were subsequently purified for morphological and molecular characterization. Among the five isolates, the three (</w:t>
      </w:r>
      <w:r w:rsidRPr="000D7BC8">
        <w:rPr>
          <w:rFonts w:ascii="Arial" w:hAnsi="Arial" w:cs="Arial"/>
          <w:i/>
          <w:sz w:val="20"/>
          <w:szCs w:val="20"/>
        </w:rPr>
        <w:t xml:space="preserve">Penicillium </w:t>
      </w:r>
      <w:proofErr w:type="spellStart"/>
      <w:r w:rsidRPr="000D7BC8">
        <w:rPr>
          <w:rFonts w:ascii="Arial" w:hAnsi="Arial" w:cs="Arial"/>
          <w:i/>
          <w:sz w:val="20"/>
          <w:szCs w:val="20"/>
        </w:rPr>
        <w:t>javanicum</w:t>
      </w:r>
      <w:proofErr w:type="spellEnd"/>
      <w:r w:rsidRPr="000D7BC8">
        <w:rPr>
          <w:rFonts w:ascii="Arial" w:hAnsi="Arial" w:cs="Arial"/>
          <w:bCs/>
          <w:sz w:val="20"/>
          <w:szCs w:val="20"/>
        </w:rPr>
        <w:t xml:space="preserve"> isolate UL1,</w:t>
      </w:r>
      <w:r w:rsidR="00C55B08" w:rsidRPr="000D7BC8">
        <w:rPr>
          <w:rFonts w:ascii="Arial" w:hAnsi="Arial" w:cs="Arial"/>
          <w:bCs/>
          <w:sz w:val="20"/>
          <w:szCs w:val="20"/>
        </w:rPr>
        <w:t xml:space="preserve"> </w:t>
      </w:r>
      <w:proofErr w:type="spellStart"/>
      <w:r w:rsidRPr="000D7BC8">
        <w:rPr>
          <w:rFonts w:ascii="Arial" w:hAnsi="Arial" w:cs="Arial"/>
          <w:bCs/>
          <w:i/>
          <w:iCs/>
          <w:sz w:val="20"/>
          <w:szCs w:val="20"/>
        </w:rPr>
        <w:t>Talaromyces</w:t>
      </w:r>
      <w:proofErr w:type="spellEnd"/>
      <w:r w:rsidRPr="000D7BC8">
        <w:rPr>
          <w:rFonts w:ascii="Arial" w:hAnsi="Arial" w:cs="Arial"/>
          <w:bCs/>
          <w:sz w:val="20"/>
          <w:szCs w:val="20"/>
        </w:rPr>
        <w:t xml:space="preserve"> sp. Isolate UL2, </w:t>
      </w:r>
      <w:r w:rsidRPr="000D7BC8">
        <w:rPr>
          <w:rFonts w:ascii="Arial" w:hAnsi="Arial" w:cs="Arial"/>
          <w:bCs/>
          <w:i/>
          <w:iCs/>
          <w:sz w:val="20"/>
          <w:szCs w:val="20"/>
        </w:rPr>
        <w:t>Chaetomium</w:t>
      </w:r>
      <w:r w:rsidRPr="000D7BC8">
        <w:rPr>
          <w:rFonts w:ascii="Arial" w:hAnsi="Arial" w:cs="Arial"/>
          <w:bCs/>
          <w:sz w:val="20"/>
          <w:szCs w:val="20"/>
        </w:rPr>
        <w:t xml:space="preserve"> </w:t>
      </w:r>
      <w:proofErr w:type="spellStart"/>
      <w:r w:rsidRPr="000D7BC8">
        <w:rPr>
          <w:rFonts w:ascii="Arial" w:hAnsi="Arial" w:cs="Arial"/>
          <w:bCs/>
          <w:sz w:val="20"/>
          <w:szCs w:val="20"/>
        </w:rPr>
        <w:t>sp</w:t>
      </w:r>
      <w:proofErr w:type="spellEnd"/>
      <w:r w:rsidRPr="000D7BC8">
        <w:rPr>
          <w:rFonts w:ascii="Arial" w:hAnsi="Arial" w:cs="Arial"/>
          <w:bCs/>
          <w:sz w:val="20"/>
          <w:szCs w:val="20"/>
        </w:rPr>
        <w:t xml:space="preserve"> isolate UL37) exhibited the antimicrobial activity in preliminary screening were selected for morphological and molecular identification. </w:t>
      </w:r>
      <w:r w:rsidRPr="000D7BC8">
        <w:rPr>
          <w:rFonts w:ascii="Arial" w:hAnsi="Arial" w:cs="Arial"/>
          <w:i/>
          <w:sz w:val="20"/>
          <w:szCs w:val="20"/>
        </w:rPr>
        <w:t xml:space="preserve">Penicillium </w:t>
      </w:r>
      <w:proofErr w:type="spellStart"/>
      <w:r w:rsidRPr="000D7BC8">
        <w:rPr>
          <w:rFonts w:ascii="Arial" w:hAnsi="Arial" w:cs="Arial"/>
          <w:i/>
          <w:sz w:val="20"/>
          <w:szCs w:val="20"/>
        </w:rPr>
        <w:t>javanicum</w:t>
      </w:r>
      <w:proofErr w:type="spellEnd"/>
      <w:r w:rsidRPr="000D7BC8">
        <w:rPr>
          <w:rFonts w:ascii="Arial" w:hAnsi="Arial" w:cs="Arial"/>
          <w:bCs/>
          <w:sz w:val="20"/>
          <w:szCs w:val="20"/>
        </w:rPr>
        <w:t xml:space="preserve"> isolate UL1 (Fig</w:t>
      </w:r>
      <w:r w:rsidR="004D0D1A" w:rsidRPr="000D7BC8">
        <w:rPr>
          <w:rFonts w:ascii="Arial" w:hAnsi="Arial" w:cs="Arial"/>
          <w:bCs/>
          <w:sz w:val="20"/>
          <w:szCs w:val="20"/>
        </w:rPr>
        <w:t>ure</w:t>
      </w:r>
      <w:r w:rsidRPr="000D7BC8">
        <w:rPr>
          <w:rFonts w:ascii="Arial" w:hAnsi="Arial" w:cs="Arial"/>
          <w:bCs/>
          <w:sz w:val="20"/>
          <w:szCs w:val="20"/>
        </w:rPr>
        <w:t xml:space="preserve"> </w:t>
      </w:r>
      <w:r w:rsidR="00C55B08" w:rsidRPr="000D7BC8">
        <w:rPr>
          <w:rFonts w:ascii="Arial" w:hAnsi="Arial" w:cs="Arial"/>
          <w:bCs/>
          <w:sz w:val="20"/>
          <w:szCs w:val="20"/>
        </w:rPr>
        <w:t>3</w:t>
      </w:r>
      <w:r w:rsidRPr="000D7BC8">
        <w:rPr>
          <w:rFonts w:ascii="Arial" w:hAnsi="Arial" w:cs="Arial"/>
          <w:bCs/>
          <w:sz w:val="20"/>
          <w:szCs w:val="20"/>
        </w:rPr>
        <w:t xml:space="preserve">) was one among the three selected isolates. </w:t>
      </w:r>
      <w:r w:rsidRPr="000D7BC8">
        <w:rPr>
          <w:rFonts w:ascii="Arial" w:hAnsi="Arial" w:cs="Arial"/>
          <w:bCs/>
          <w:i/>
          <w:iCs/>
          <w:sz w:val="20"/>
          <w:szCs w:val="20"/>
        </w:rPr>
        <w:t>Penicillium</w:t>
      </w:r>
      <w:r w:rsidRPr="000D7BC8">
        <w:rPr>
          <w:rFonts w:ascii="Arial" w:hAnsi="Arial" w:cs="Arial"/>
          <w:bCs/>
          <w:sz w:val="20"/>
          <w:szCs w:val="20"/>
        </w:rPr>
        <w:t xml:space="preserve"> species have been frequently reported as endophytes from various seaweeds, including </w:t>
      </w:r>
      <w:r w:rsidRPr="000D7BC8">
        <w:rPr>
          <w:rFonts w:ascii="Arial" w:hAnsi="Arial" w:cs="Arial"/>
          <w:bCs/>
          <w:i/>
          <w:iCs/>
          <w:sz w:val="20"/>
          <w:szCs w:val="20"/>
        </w:rPr>
        <w:t xml:space="preserve">Ulva </w:t>
      </w:r>
      <w:proofErr w:type="spellStart"/>
      <w:r w:rsidRPr="000D7BC8">
        <w:rPr>
          <w:rFonts w:ascii="Arial" w:hAnsi="Arial" w:cs="Arial"/>
          <w:bCs/>
          <w:i/>
          <w:iCs/>
          <w:sz w:val="20"/>
          <w:szCs w:val="20"/>
        </w:rPr>
        <w:t>fasciata</w:t>
      </w:r>
      <w:proofErr w:type="spellEnd"/>
      <w:r w:rsidRPr="000D7BC8">
        <w:rPr>
          <w:rFonts w:ascii="Arial" w:hAnsi="Arial" w:cs="Arial"/>
          <w:bCs/>
          <w:sz w:val="20"/>
          <w:szCs w:val="20"/>
        </w:rPr>
        <w:t xml:space="preserve"> (Gamal </w:t>
      </w:r>
      <w:r w:rsidRPr="000D7BC8">
        <w:rPr>
          <w:rFonts w:ascii="Arial" w:hAnsi="Arial" w:cs="Arial"/>
          <w:bCs/>
          <w:i/>
          <w:iCs/>
          <w:sz w:val="20"/>
          <w:szCs w:val="20"/>
        </w:rPr>
        <w:t>et al</w:t>
      </w:r>
      <w:r w:rsidRPr="000D7BC8">
        <w:rPr>
          <w:rFonts w:ascii="Arial" w:hAnsi="Arial" w:cs="Arial"/>
          <w:bCs/>
          <w:sz w:val="20"/>
          <w:szCs w:val="20"/>
        </w:rPr>
        <w:t xml:space="preserve">., 2009; Suryanarayanan </w:t>
      </w:r>
      <w:r w:rsidRPr="000D7BC8">
        <w:rPr>
          <w:rFonts w:ascii="Arial" w:hAnsi="Arial" w:cs="Arial"/>
          <w:bCs/>
          <w:i/>
          <w:iCs/>
          <w:sz w:val="20"/>
          <w:szCs w:val="20"/>
        </w:rPr>
        <w:t>et al</w:t>
      </w:r>
      <w:r w:rsidRPr="000D7BC8">
        <w:rPr>
          <w:rFonts w:ascii="Arial" w:hAnsi="Arial" w:cs="Arial"/>
          <w:bCs/>
          <w:sz w:val="20"/>
          <w:szCs w:val="20"/>
        </w:rPr>
        <w:t xml:space="preserve">., 2010) and </w:t>
      </w:r>
      <w:r w:rsidRPr="000D7BC8">
        <w:rPr>
          <w:rFonts w:ascii="Arial" w:hAnsi="Arial" w:cs="Arial"/>
          <w:bCs/>
          <w:i/>
          <w:iCs/>
          <w:sz w:val="20"/>
          <w:szCs w:val="20"/>
        </w:rPr>
        <w:t xml:space="preserve">Ulva </w:t>
      </w:r>
      <w:proofErr w:type="spellStart"/>
      <w:r w:rsidRPr="000D7BC8">
        <w:rPr>
          <w:rFonts w:ascii="Arial" w:hAnsi="Arial" w:cs="Arial"/>
          <w:bCs/>
          <w:i/>
          <w:iCs/>
          <w:sz w:val="20"/>
          <w:szCs w:val="20"/>
        </w:rPr>
        <w:t>lactuca</w:t>
      </w:r>
      <w:proofErr w:type="spellEnd"/>
      <w:r w:rsidRPr="000D7BC8">
        <w:rPr>
          <w:rFonts w:ascii="Arial" w:hAnsi="Arial" w:cs="Arial"/>
          <w:bCs/>
          <w:sz w:val="20"/>
          <w:szCs w:val="20"/>
        </w:rPr>
        <w:t xml:space="preserve"> (</w:t>
      </w:r>
      <w:proofErr w:type="spellStart"/>
      <w:r w:rsidRPr="000D7BC8">
        <w:rPr>
          <w:rFonts w:ascii="Arial" w:hAnsi="Arial" w:cs="Arial"/>
          <w:bCs/>
          <w:sz w:val="20"/>
          <w:szCs w:val="20"/>
        </w:rPr>
        <w:t>Suryanarayanan</w:t>
      </w:r>
      <w:proofErr w:type="spellEnd"/>
      <w:r w:rsidRPr="000D7BC8">
        <w:rPr>
          <w:rFonts w:ascii="Arial" w:hAnsi="Arial" w:cs="Arial"/>
          <w:bCs/>
          <w:sz w:val="20"/>
          <w:szCs w:val="20"/>
        </w:rPr>
        <w:t xml:space="preserve"> </w:t>
      </w:r>
      <w:r w:rsidRPr="000D7BC8">
        <w:rPr>
          <w:rFonts w:ascii="Arial" w:hAnsi="Arial" w:cs="Arial"/>
          <w:bCs/>
          <w:i/>
          <w:iCs/>
          <w:sz w:val="20"/>
          <w:szCs w:val="20"/>
        </w:rPr>
        <w:t>et al</w:t>
      </w:r>
      <w:r w:rsidRPr="000D7BC8">
        <w:rPr>
          <w:rFonts w:ascii="Arial" w:hAnsi="Arial" w:cs="Arial"/>
          <w:bCs/>
          <w:sz w:val="20"/>
          <w:szCs w:val="20"/>
        </w:rPr>
        <w:t xml:space="preserve">., 2010; Andrew </w:t>
      </w:r>
      <w:r w:rsidRPr="000D7BC8">
        <w:rPr>
          <w:rFonts w:ascii="Arial" w:hAnsi="Arial" w:cs="Arial"/>
          <w:bCs/>
          <w:i/>
          <w:iCs/>
          <w:sz w:val="20"/>
          <w:szCs w:val="20"/>
        </w:rPr>
        <w:t>et al.,</w:t>
      </w:r>
      <w:r w:rsidRPr="000D7BC8">
        <w:rPr>
          <w:rFonts w:ascii="Arial" w:hAnsi="Arial" w:cs="Arial"/>
          <w:bCs/>
          <w:sz w:val="20"/>
          <w:szCs w:val="20"/>
        </w:rPr>
        <w:t xml:space="preserve"> 2013).</w:t>
      </w:r>
      <w:r w:rsidRPr="000D7BC8">
        <w:rPr>
          <w:rFonts w:ascii="Arial" w:hAnsi="Arial" w:cs="Arial"/>
          <w:sz w:val="20"/>
          <w:szCs w:val="20"/>
        </w:rPr>
        <w:t xml:space="preserve"> </w:t>
      </w:r>
      <w:r w:rsidRPr="000D7BC8">
        <w:rPr>
          <w:rFonts w:ascii="Arial" w:hAnsi="Arial" w:cs="Arial"/>
          <w:bCs/>
          <w:sz w:val="20"/>
          <w:szCs w:val="20"/>
        </w:rPr>
        <w:t xml:space="preserve">The successful isolation of endophytic fungi from seaweed tissues depends largely on the use of stringent sterile techniques, optimized culture conditions, and the intrinsic capacity of fungal strains to grow under </w:t>
      </w:r>
      <w:r w:rsidRPr="000D7BC8">
        <w:rPr>
          <w:rFonts w:ascii="Arial" w:hAnsi="Arial" w:cs="Arial"/>
          <w:bCs/>
          <w:i/>
          <w:iCs/>
          <w:sz w:val="20"/>
          <w:szCs w:val="20"/>
        </w:rPr>
        <w:t>in vitro</w:t>
      </w:r>
      <w:r w:rsidRPr="000D7BC8">
        <w:rPr>
          <w:rFonts w:ascii="Arial" w:hAnsi="Arial" w:cs="Arial"/>
          <w:bCs/>
          <w:sz w:val="20"/>
          <w:szCs w:val="20"/>
        </w:rPr>
        <w:t xml:space="preserve"> conditions (Guo </w:t>
      </w:r>
      <w:r w:rsidRPr="000D7BC8">
        <w:rPr>
          <w:rFonts w:ascii="Arial" w:hAnsi="Arial" w:cs="Arial"/>
          <w:bCs/>
          <w:i/>
          <w:iCs/>
          <w:sz w:val="20"/>
          <w:szCs w:val="20"/>
        </w:rPr>
        <w:t>et al.,</w:t>
      </w:r>
      <w:r w:rsidRPr="000D7BC8">
        <w:rPr>
          <w:rFonts w:ascii="Arial" w:hAnsi="Arial" w:cs="Arial"/>
          <w:bCs/>
          <w:sz w:val="20"/>
          <w:szCs w:val="20"/>
        </w:rPr>
        <w:t xml:space="preserve"> 2000; Hyde and </w:t>
      </w:r>
      <w:proofErr w:type="spellStart"/>
      <w:r w:rsidRPr="000D7BC8">
        <w:rPr>
          <w:rFonts w:ascii="Arial" w:hAnsi="Arial" w:cs="Arial"/>
          <w:bCs/>
          <w:sz w:val="20"/>
          <w:szCs w:val="20"/>
        </w:rPr>
        <w:t>Soytong</w:t>
      </w:r>
      <w:proofErr w:type="spellEnd"/>
      <w:r w:rsidRPr="000D7BC8">
        <w:rPr>
          <w:rFonts w:ascii="Arial" w:hAnsi="Arial" w:cs="Arial"/>
          <w:bCs/>
          <w:sz w:val="20"/>
          <w:szCs w:val="20"/>
        </w:rPr>
        <w:t>, 2008).</w:t>
      </w:r>
    </w:p>
    <w:p w14:paraId="28134004" w14:textId="77777777" w:rsidR="00AD29B7" w:rsidRPr="000D7BC8" w:rsidRDefault="00EF7F79">
      <w:pPr>
        <w:tabs>
          <w:tab w:val="left" w:pos="720"/>
          <w:tab w:val="left" w:pos="8010"/>
        </w:tabs>
        <w:spacing w:line="240" w:lineRule="auto"/>
        <w:jc w:val="center"/>
        <w:rPr>
          <w:rFonts w:ascii="Arial" w:hAnsi="Arial" w:cs="Arial"/>
        </w:rPr>
      </w:pPr>
      <w:r w:rsidRPr="000D7BC8">
        <w:rPr>
          <w:rFonts w:ascii="Arial" w:hAnsi="Arial" w:cs="Arial"/>
          <w:noProof/>
          <w:lang w:eastAsia="en-IN"/>
        </w:rPr>
        <w:lastRenderedPageBreak/>
        <w:drawing>
          <wp:inline distT="0" distB="0" distL="0" distR="0" wp14:anchorId="11F7E6A3" wp14:editId="6E57B9C7">
            <wp:extent cx="2585085" cy="2088515"/>
            <wp:effectExtent l="0" t="0" r="5715" b="6985"/>
            <wp:docPr id="1334244697" name="Picture 27" descr="D:\1. Research\RESULTS OF SAMPLES  ( 1 to 9 )\4. SEM PICS AND ITS SEQUENCE\Sample-1Penicillium javanicum\IMG_20190328_17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44697" name="Picture 27" descr="D:\1. Research\RESULTS OF SAMPLES  ( 1 to 9 )\4. SEM PICS AND ITS SEQUENCE\Sample-1Penicillium javanicum\IMG_20190328_17324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rot="10800000">
                      <a:off x="0" y="0"/>
                      <a:ext cx="2585085" cy="2088515"/>
                    </a:xfrm>
                    <a:prstGeom prst="rect">
                      <a:avLst/>
                    </a:prstGeom>
                    <a:noFill/>
                    <a:ln>
                      <a:noFill/>
                    </a:ln>
                  </pic:spPr>
                </pic:pic>
              </a:graphicData>
            </a:graphic>
          </wp:inline>
        </w:drawing>
      </w:r>
    </w:p>
    <w:p w14:paraId="1C23E23D" w14:textId="1ECD3134" w:rsidR="00C55B08" w:rsidRPr="000D7BC8" w:rsidRDefault="00C55B08" w:rsidP="002B5770">
      <w:pPr>
        <w:tabs>
          <w:tab w:val="left" w:pos="720"/>
          <w:tab w:val="left" w:pos="8010"/>
        </w:tabs>
        <w:spacing w:line="240" w:lineRule="auto"/>
        <w:jc w:val="both"/>
        <w:rPr>
          <w:rFonts w:ascii="Arial" w:hAnsi="Arial" w:cs="Arial"/>
          <w:b/>
          <w:sz w:val="20"/>
          <w:szCs w:val="28"/>
        </w:rPr>
      </w:pPr>
      <w:r w:rsidRPr="000D7BC8">
        <w:rPr>
          <w:rFonts w:ascii="Arial" w:hAnsi="Arial" w:cs="Arial"/>
          <w:b/>
          <w:bCs/>
          <w:sz w:val="20"/>
          <w:szCs w:val="28"/>
        </w:rPr>
        <w:t>Fig</w:t>
      </w:r>
      <w:r w:rsidR="004D0D1A" w:rsidRPr="000D7BC8">
        <w:rPr>
          <w:rFonts w:ascii="Arial" w:hAnsi="Arial" w:cs="Arial"/>
          <w:b/>
          <w:bCs/>
          <w:sz w:val="20"/>
          <w:szCs w:val="28"/>
        </w:rPr>
        <w:t>.</w:t>
      </w:r>
      <w:r w:rsidRPr="000D7BC8">
        <w:rPr>
          <w:rFonts w:ascii="Arial" w:hAnsi="Arial" w:cs="Arial"/>
          <w:b/>
          <w:bCs/>
          <w:sz w:val="20"/>
          <w:szCs w:val="28"/>
        </w:rPr>
        <w:t xml:space="preserve"> 3. Colony morphology of </w:t>
      </w:r>
      <w:r w:rsidRPr="000D7BC8">
        <w:rPr>
          <w:rFonts w:ascii="Arial" w:hAnsi="Arial" w:cs="Arial"/>
          <w:b/>
          <w:bCs/>
          <w:i/>
          <w:iCs/>
          <w:sz w:val="20"/>
          <w:szCs w:val="28"/>
        </w:rPr>
        <w:t xml:space="preserve">Penicillium </w:t>
      </w:r>
      <w:proofErr w:type="spellStart"/>
      <w:r w:rsidRPr="000D7BC8">
        <w:rPr>
          <w:rFonts w:ascii="Arial" w:hAnsi="Arial" w:cs="Arial"/>
          <w:b/>
          <w:bCs/>
          <w:i/>
          <w:iCs/>
          <w:sz w:val="20"/>
          <w:szCs w:val="28"/>
        </w:rPr>
        <w:t>javanicum</w:t>
      </w:r>
      <w:proofErr w:type="spellEnd"/>
      <w:r w:rsidRPr="000D7BC8">
        <w:rPr>
          <w:rFonts w:ascii="Arial" w:hAnsi="Arial" w:cs="Arial"/>
          <w:b/>
          <w:bCs/>
          <w:sz w:val="20"/>
          <w:szCs w:val="28"/>
        </w:rPr>
        <w:t xml:space="preserve"> isolate UL1 on potato dextrose agar (PDA).</w:t>
      </w:r>
    </w:p>
    <w:p w14:paraId="574E0540" w14:textId="0C99912F" w:rsidR="00AD29B7" w:rsidRPr="000D7BC8" w:rsidRDefault="00D32B1C">
      <w:pPr>
        <w:tabs>
          <w:tab w:val="left" w:pos="720"/>
          <w:tab w:val="left" w:pos="8010"/>
        </w:tabs>
        <w:spacing w:line="240" w:lineRule="auto"/>
        <w:jc w:val="both"/>
        <w:rPr>
          <w:rFonts w:ascii="Arial" w:hAnsi="Arial" w:cs="Arial"/>
          <w:sz w:val="22"/>
          <w:szCs w:val="22"/>
        </w:rPr>
      </w:pPr>
      <w:r w:rsidRPr="000D7BC8">
        <w:rPr>
          <w:rFonts w:ascii="Arial" w:hAnsi="Arial" w:cs="Arial"/>
          <w:b/>
          <w:sz w:val="22"/>
          <w:szCs w:val="22"/>
        </w:rPr>
        <w:t xml:space="preserve">3.2 </w:t>
      </w:r>
      <w:r w:rsidR="00EF7F79" w:rsidRPr="000D7BC8">
        <w:rPr>
          <w:rFonts w:ascii="Arial" w:hAnsi="Arial" w:cs="Arial"/>
          <w:b/>
          <w:sz w:val="22"/>
          <w:szCs w:val="22"/>
        </w:rPr>
        <w:t>Identification of endophytic fungi</w:t>
      </w:r>
      <w:r w:rsidR="00EF7F79" w:rsidRPr="000D7BC8">
        <w:rPr>
          <w:rFonts w:ascii="Arial" w:hAnsi="Arial" w:cs="Arial"/>
          <w:sz w:val="22"/>
          <w:szCs w:val="22"/>
        </w:rPr>
        <w:t xml:space="preserve"> </w:t>
      </w:r>
    </w:p>
    <w:p w14:paraId="672C4DC7" w14:textId="40E54945" w:rsidR="00AD29B7" w:rsidRPr="000D7BC8" w:rsidRDefault="00EF7F79">
      <w:pPr>
        <w:tabs>
          <w:tab w:val="left" w:pos="720"/>
          <w:tab w:val="left" w:pos="8010"/>
        </w:tabs>
        <w:spacing w:line="240" w:lineRule="auto"/>
        <w:jc w:val="both"/>
        <w:rPr>
          <w:rFonts w:ascii="Arial" w:hAnsi="Arial" w:cs="Arial"/>
        </w:rPr>
      </w:pPr>
      <w:r w:rsidRPr="000D7BC8">
        <w:rPr>
          <w:rFonts w:ascii="Arial" w:hAnsi="Arial" w:cs="Arial"/>
        </w:rPr>
        <w:tab/>
      </w:r>
      <w:r w:rsidRPr="000D7BC8">
        <w:rPr>
          <w:rFonts w:ascii="Arial" w:hAnsi="Arial" w:cs="Arial"/>
          <w:sz w:val="20"/>
          <w:szCs w:val="20"/>
        </w:rPr>
        <w:t>Optical and scanning electron microscopy revealed septate hyphae with bottle-shaped, unbranched chains of nearly spherical conidia (Fig</w:t>
      </w:r>
      <w:r w:rsidR="004D0D1A" w:rsidRPr="000D7BC8">
        <w:rPr>
          <w:rFonts w:ascii="Arial" w:hAnsi="Arial" w:cs="Arial"/>
          <w:sz w:val="20"/>
          <w:szCs w:val="20"/>
        </w:rPr>
        <w:t>ure</w:t>
      </w:r>
      <w:r w:rsidRPr="000D7BC8">
        <w:rPr>
          <w:rFonts w:ascii="Arial" w:hAnsi="Arial" w:cs="Arial"/>
          <w:sz w:val="20"/>
          <w:szCs w:val="20"/>
        </w:rPr>
        <w:t xml:space="preserve"> </w:t>
      </w:r>
      <w:r w:rsidR="00C55B08" w:rsidRPr="000D7BC8">
        <w:rPr>
          <w:rFonts w:ascii="Arial" w:hAnsi="Arial" w:cs="Arial"/>
          <w:sz w:val="20"/>
          <w:szCs w:val="20"/>
        </w:rPr>
        <w:t>4</w:t>
      </w:r>
      <w:r w:rsidRPr="000D7BC8">
        <w:rPr>
          <w:rFonts w:ascii="Arial" w:hAnsi="Arial" w:cs="Arial"/>
          <w:sz w:val="20"/>
          <w:szCs w:val="20"/>
        </w:rPr>
        <w:t xml:space="preserve"> &amp; </w:t>
      </w:r>
      <w:r w:rsidR="00C55B08" w:rsidRPr="000D7BC8">
        <w:rPr>
          <w:rFonts w:ascii="Arial" w:hAnsi="Arial" w:cs="Arial"/>
          <w:sz w:val="20"/>
          <w:szCs w:val="20"/>
        </w:rPr>
        <w:t>5</w:t>
      </w:r>
      <w:r w:rsidRPr="000D7BC8">
        <w:rPr>
          <w:rFonts w:ascii="Arial" w:hAnsi="Arial" w:cs="Arial"/>
          <w:sz w:val="20"/>
          <w:szCs w:val="20"/>
        </w:rPr>
        <w:t xml:space="preserve">). The overall morphology displayed the characteristic </w:t>
      </w:r>
      <w:r w:rsidRPr="000D7BC8">
        <w:rPr>
          <w:rFonts w:ascii="Arial" w:hAnsi="Arial" w:cs="Arial"/>
          <w:i/>
          <w:iCs/>
          <w:sz w:val="20"/>
          <w:szCs w:val="20"/>
        </w:rPr>
        <w:t>penicillus</w:t>
      </w:r>
      <w:r w:rsidRPr="000D7BC8">
        <w:rPr>
          <w:rFonts w:ascii="Arial" w:hAnsi="Arial" w:cs="Arial"/>
          <w:sz w:val="20"/>
          <w:szCs w:val="20"/>
        </w:rPr>
        <w:t xml:space="preserve"> or “brush-like” arrangement typical of </w:t>
      </w:r>
      <w:r w:rsidRPr="000D7BC8">
        <w:rPr>
          <w:rFonts w:ascii="Arial" w:hAnsi="Arial" w:cs="Arial"/>
          <w:i/>
          <w:iCs/>
          <w:sz w:val="20"/>
          <w:szCs w:val="20"/>
        </w:rPr>
        <w:t>Penicillium</w:t>
      </w:r>
      <w:r w:rsidRPr="000D7BC8">
        <w:rPr>
          <w:rFonts w:ascii="Arial" w:hAnsi="Arial" w:cs="Arial"/>
          <w:sz w:val="20"/>
          <w:szCs w:val="20"/>
        </w:rPr>
        <w:t xml:space="preserve"> species. The characteristic </w:t>
      </w:r>
      <w:r w:rsidRPr="000D7BC8">
        <w:rPr>
          <w:rFonts w:ascii="Arial" w:hAnsi="Arial" w:cs="Arial"/>
          <w:i/>
          <w:iCs/>
          <w:sz w:val="20"/>
          <w:szCs w:val="20"/>
        </w:rPr>
        <w:t>penicillus</w:t>
      </w:r>
      <w:r w:rsidRPr="000D7BC8">
        <w:rPr>
          <w:rFonts w:ascii="Arial" w:hAnsi="Arial" w:cs="Arial"/>
          <w:sz w:val="20"/>
          <w:szCs w:val="20"/>
        </w:rPr>
        <w:t xml:space="preserve"> arrangement is in agreement with earlier descriptions of </w:t>
      </w:r>
      <w:r w:rsidRPr="000D7BC8">
        <w:rPr>
          <w:rFonts w:ascii="Arial" w:hAnsi="Arial" w:cs="Arial"/>
          <w:i/>
          <w:iCs/>
          <w:sz w:val="20"/>
          <w:szCs w:val="20"/>
        </w:rPr>
        <w:t>Penicillium</w:t>
      </w:r>
      <w:r w:rsidRPr="000D7BC8">
        <w:rPr>
          <w:rFonts w:ascii="Arial" w:hAnsi="Arial" w:cs="Arial"/>
          <w:sz w:val="20"/>
          <w:szCs w:val="20"/>
        </w:rPr>
        <w:t xml:space="preserve"> sp. reported from marine and terrestrial sources. </w:t>
      </w:r>
      <w:r w:rsidRPr="000D7BC8">
        <w:rPr>
          <w:rFonts w:ascii="Arial" w:hAnsi="Arial" w:cs="Arial"/>
          <w:color w:val="000000" w:themeColor="text1"/>
          <w:sz w:val="20"/>
          <w:szCs w:val="20"/>
        </w:rPr>
        <w:t xml:space="preserve">According to Pitt (1979) and Samson </w:t>
      </w:r>
      <w:r w:rsidRPr="000D7BC8">
        <w:rPr>
          <w:rFonts w:ascii="Arial" w:hAnsi="Arial" w:cs="Arial"/>
          <w:i/>
          <w:iCs/>
          <w:color w:val="000000" w:themeColor="text1"/>
          <w:sz w:val="20"/>
          <w:szCs w:val="20"/>
        </w:rPr>
        <w:t>et al.</w:t>
      </w:r>
      <w:r w:rsidRPr="000D7BC8">
        <w:rPr>
          <w:rFonts w:ascii="Arial" w:hAnsi="Arial" w:cs="Arial"/>
          <w:color w:val="000000" w:themeColor="text1"/>
          <w:sz w:val="20"/>
          <w:szCs w:val="20"/>
        </w:rPr>
        <w:t xml:space="preserve"> (2010), </w:t>
      </w:r>
      <w:r w:rsidRPr="000D7BC8">
        <w:rPr>
          <w:rFonts w:ascii="Arial" w:hAnsi="Arial" w:cs="Arial"/>
          <w:i/>
          <w:iCs/>
          <w:sz w:val="20"/>
          <w:szCs w:val="20"/>
        </w:rPr>
        <w:t>Penicillium</w:t>
      </w:r>
      <w:r w:rsidRPr="000D7BC8">
        <w:rPr>
          <w:rFonts w:ascii="Arial" w:hAnsi="Arial" w:cs="Arial"/>
          <w:sz w:val="20"/>
          <w:szCs w:val="20"/>
        </w:rPr>
        <w:t xml:space="preserve"> species are distinguished by the presence of septate hyphae and brush-like conidiophores bearing unbranched or symmetrically branched chains of conidia. Similar morphological features were also reported in marine-derived </w:t>
      </w:r>
      <w:r w:rsidRPr="000D7BC8">
        <w:rPr>
          <w:rFonts w:ascii="Arial" w:hAnsi="Arial" w:cs="Arial"/>
          <w:i/>
          <w:iCs/>
          <w:sz w:val="20"/>
          <w:szCs w:val="20"/>
        </w:rPr>
        <w:t>Penicillium</w:t>
      </w:r>
      <w:r w:rsidRPr="000D7BC8">
        <w:rPr>
          <w:rFonts w:ascii="Arial" w:hAnsi="Arial" w:cs="Arial"/>
          <w:sz w:val="20"/>
          <w:szCs w:val="20"/>
        </w:rPr>
        <w:t xml:space="preserve"> isolates from </w:t>
      </w:r>
      <w:r w:rsidRPr="000D7BC8">
        <w:rPr>
          <w:rFonts w:ascii="Arial" w:hAnsi="Arial" w:cs="Arial"/>
          <w:i/>
          <w:iCs/>
          <w:sz w:val="20"/>
          <w:szCs w:val="20"/>
        </w:rPr>
        <w:t xml:space="preserve">Ulva </w:t>
      </w:r>
      <w:proofErr w:type="spellStart"/>
      <w:r w:rsidRPr="000D7BC8">
        <w:rPr>
          <w:rFonts w:ascii="Arial" w:hAnsi="Arial" w:cs="Arial"/>
          <w:i/>
          <w:iCs/>
          <w:sz w:val="20"/>
          <w:szCs w:val="20"/>
        </w:rPr>
        <w:t>lactuca</w:t>
      </w:r>
      <w:proofErr w:type="spellEnd"/>
      <w:r w:rsidRPr="000D7BC8">
        <w:rPr>
          <w:rFonts w:ascii="Arial" w:hAnsi="Arial" w:cs="Arial"/>
          <w:sz w:val="20"/>
          <w:szCs w:val="20"/>
        </w:rPr>
        <w:t xml:space="preserve"> (Andrew </w:t>
      </w:r>
      <w:r w:rsidRPr="000D7BC8">
        <w:rPr>
          <w:rFonts w:ascii="Arial" w:hAnsi="Arial" w:cs="Arial"/>
          <w:i/>
          <w:iCs/>
          <w:sz w:val="20"/>
          <w:szCs w:val="20"/>
        </w:rPr>
        <w:t>et al.,</w:t>
      </w:r>
      <w:r w:rsidRPr="000D7BC8">
        <w:rPr>
          <w:rFonts w:ascii="Arial" w:hAnsi="Arial" w:cs="Arial"/>
          <w:sz w:val="20"/>
          <w:szCs w:val="20"/>
        </w:rPr>
        <w:t xml:space="preserve"> 2013) and </w:t>
      </w:r>
      <w:r w:rsidRPr="000D7BC8">
        <w:rPr>
          <w:rFonts w:ascii="Arial" w:hAnsi="Arial" w:cs="Arial"/>
          <w:i/>
          <w:iCs/>
          <w:sz w:val="20"/>
          <w:szCs w:val="20"/>
        </w:rPr>
        <w:t xml:space="preserve">Ulva </w:t>
      </w:r>
      <w:proofErr w:type="spellStart"/>
      <w:r w:rsidRPr="000D7BC8">
        <w:rPr>
          <w:rFonts w:ascii="Arial" w:hAnsi="Arial" w:cs="Arial"/>
          <w:i/>
          <w:iCs/>
          <w:sz w:val="20"/>
          <w:szCs w:val="20"/>
        </w:rPr>
        <w:t>fasciata</w:t>
      </w:r>
      <w:proofErr w:type="spellEnd"/>
      <w:r w:rsidRPr="000D7BC8">
        <w:rPr>
          <w:rFonts w:ascii="Arial" w:hAnsi="Arial" w:cs="Arial"/>
          <w:sz w:val="20"/>
          <w:szCs w:val="20"/>
        </w:rPr>
        <w:t xml:space="preserve"> (Gamal </w:t>
      </w:r>
      <w:r w:rsidRPr="000D7BC8">
        <w:rPr>
          <w:rFonts w:ascii="Arial" w:hAnsi="Arial" w:cs="Arial"/>
          <w:i/>
          <w:iCs/>
          <w:sz w:val="20"/>
          <w:szCs w:val="20"/>
        </w:rPr>
        <w:t>et al.,</w:t>
      </w:r>
      <w:r w:rsidRPr="000D7BC8">
        <w:rPr>
          <w:rFonts w:ascii="Arial" w:hAnsi="Arial" w:cs="Arial"/>
          <w:sz w:val="20"/>
          <w:szCs w:val="20"/>
        </w:rPr>
        <w:t xml:space="preserve"> 2009).</w:t>
      </w:r>
      <w:r w:rsidRPr="000D7BC8">
        <w:rPr>
          <w:rFonts w:ascii="Arial" w:hAnsi="Arial" w:cs="Arial"/>
        </w:rPr>
        <w:t xml:space="preserve"> </w:t>
      </w:r>
    </w:p>
    <w:p w14:paraId="29B0A9DB" w14:textId="77777777" w:rsidR="00AD29B7" w:rsidRPr="000D7BC8" w:rsidRDefault="00EF7F79">
      <w:pPr>
        <w:tabs>
          <w:tab w:val="left" w:pos="720"/>
          <w:tab w:val="left" w:pos="8010"/>
        </w:tabs>
        <w:spacing w:line="240" w:lineRule="auto"/>
        <w:jc w:val="center"/>
        <w:rPr>
          <w:rFonts w:ascii="Arial" w:hAnsi="Arial" w:cs="Arial"/>
          <w:lang w:eastAsia="en-IN"/>
        </w:rPr>
      </w:pPr>
      <w:r w:rsidRPr="000D7BC8">
        <w:rPr>
          <w:rFonts w:ascii="Arial" w:hAnsi="Arial" w:cs="Arial"/>
          <w:noProof/>
          <w:lang w:eastAsia="en-IN"/>
        </w:rPr>
        <w:drawing>
          <wp:inline distT="0" distB="0" distL="0" distR="0" wp14:anchorId="367EFAD5" wp14:editId="40699AD1">
            <wp:extent cx="2472055" cy="2054860"/>
            <wp:effectExtent l="0" t="0" r="4445" b="2540"/>
            <wp:docPr id="1357392107" name="Picture 26" descr="D:\1. Research\Papers\Other things\FUNGI SEM PICS\S-5\IMG_20190703_10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92107" name="Picture 26" descr="D:\1. Research\Papers\Other things\FUNGI SEM PICS\S-5\IMG_20190703_105926.jpg"/>
                    <pic:cNvPicPr>
                      <a:picLocks noChangeAspect="1" noChangeArrowheads="1"/>
                    </pic:cNvPicPr>
                  </pic:nvPicPr>
                  <pic:blipFill>
                    <a:blip r:embed="rId11">
                      <a:extLst>
                        <a:ext uri="{28A0092B-C50C-407E-A947-70E740481C1C}">
                          <a14:useLocalDpi xmlns:a14="http://schemas.microsoft.com/office/drawing/2010/main" val="0"/>
                        </a:ext>
                      </a:extLst>
                    </a:blip>
                    <a:srcRect l="5867" t="17787" r="22400"/>
                    <a:stretch>
                      <a:fillRect/>
                    </a:stretch>
                  </pic:blipFill>
                  <pic:spPr>
                    <a:xfrm>
                      <a:off x="0" y="0"/>
                      <a:ext cx="2472055" cy="2054860"/>
                    </a:xfrm>
                    <a:prstGeom prst="rect">
                      <a:avLst/>
                    </a:prstGeom>
                    <a:noFill/>
                    <a:ln>
                      <a:noFill/>
                    </a:ln>
                  </pic:spPr>
                </pic:pic>
              </a:graphicData>
            </a:graphic>
          </wp:inline>
        </w:drawing>
      </w:r>
    </w:p>
    <w:p w14:paraId="7970F2DF" w14:textId="3738AA71" w:rsidR="00AD29B7" w:rsidRPr="000D7BC8" w:rsidRDefault="004D0D1A">
      <w:pPr>
        <w:tabs>
          <w:tab w:val="left" w:pos="720"/>
          <w:tab w:val="left" w:pos="8010"/>
        </w:tabs>
        <w:spacing w:line="240" w:lineRule="auto"/>
        <w:jc w:val="both"/>
        <w:rPr>
          <w:rFonts w:ascii="Arial" w:hAnsi="Arial" w:cs="Arial"/>
          <w:b/>
          <w:bCs/>
          <w:sz w:val="20"/>
          <w:szCs w:val="20"/>
          <w:lang w:eastAsia="en-IN"/>
        </w:rPr>
      </w:pPr>
      <w:r w:rsidRPr="000D7BC8">
        <w:rPr>
          <w:rFonts w:ascii="Arial" w:hAnsi="Arial" w:cs="Arial"/>
          <w:b/>
          <w:bCs/>
          <w:sz w:val="20"/>
          <w:szCs w:val="20"/>
          <w:lang w:eastAsia="en-IN"/>
        </w:rPr>
        <w:t xml:space="preserve">Fig. </w:t>
      </w:r>
      <w:r w:rsidR="00C55B08" w:rsidRPr="000D7BC8">
        <w:rPr>
          <w:rFonts w:ascii="Arial" w:hAnsi="Arial" w:cs="Arial"/>
          <w:b/>
          <w:bCs/>
          <w:sz w:val="20"/>
          <w:szCs w:val="20"/>
          <w:lang w:eastAsia="en-IN"/>
        </w:rPr>
        <w:t>4</w:t>
      </w:r>
      <w:r w:rsidR="00EF7F79" w:rsidRPr="000D7BC8">
        <w:rPr>
          <w:rFonts w:ascii="Arial" w:hAnsi="Arial" w:cs="Arial"/>
          <w:b/>
          <w:bCs/>
          <w:sz w:val="20"/>
          <w:szCs w:val="20"/>
          <w:lang w:eastAsia="en-IN"/>
        </w:rPr>
        <w:t xml:space="preserve">: </w:t>
      </w:r>
      <w:r w:rsidR="00026EF0" w:rsidRPr="000D7BC8">
        <w:rPr>
          <w:rFonts w:ascii="Arial" w:hAnsi="Arial" w:cs="Arial"/>
          <w:b/>
          <w:bCs/>
          <w:sz w:val="20"/>
          <w:szCs w:val="20"/>
          <w:lang w:eastAsia="en-IN"/>
        </w:rPr>
        <w:t xml:space="preserve">Optical micrograph of </w:t>
      </w:r>
      <w:r w:rsidR="00026EF0" w:rsidRPr="000D7BC8">
        <w:rPr>
          <w:rFonts w:ascii="Arial" w:hAnsi="Arial" w:cs="Arial"/>
          <w:b/>
          <w:bCs/>
          <w:i/>
          <w:iCs/>
          <w:sz w:val="20"/>
          <w:szCs w:val="20"/>
          <w:lang w:eastAsia="en-IN"/>
        </w:rPr>
        <w:t xml:space="preserve">Penicillium </w:t>
      </w:r>
      <w:proofErr w:type="spellStart"/>
      <w:r w:rsidR="00026EF0" w:rsidRPr="000D7BC8">
        <w:rPr>
          <w:rFonts w:ascii="Arial" w:hAnsi="Arial" w:cs="Arial"/>
          <w:b/>
          <w:bCs/>
          <w:i/>
          <w:iCs/>
          <w:sz w:val="20"/>
          <w:szCs w:val="20"/>
          <w:lang w:eastAsia="en-IN"/>
        </w:rPr>
        <w:t>javanicum</w:t>
      </w:r>
      <w:proofErr w:type="spellEnd"/>
      <w:r w:rsidR="00026EF0" w:rsidRPr="000D7BC8">
        <w:rPr>
          <w:rFonts w:ascii="Arial" w:hAnsi="Arial" w:cs="Arial"/>
          <w:b/>
          <w:bCs/>
          <w:sz w:val="20"/>
          <w:szCs w:val="20"/>
          <w:lang w:eastAsia="en-IN"/>
        </w:rPr>
        <w:t xml:space="preserve"> at 100X magnification</w:t>
      </w:r>
    </w:p>
    <w:p w14:paraId="7D225DAD" w14:textId="77777777" w:rsidR="00AD29B7" w:rsidRPr="000D7BC8" w:rsidRDefault="00AD29B7">
      <w:pPr>
        <w:tabs>
          <w:tab w:val="left" w:pos="720"/>
          <w:tab w:val="left" w:pos="8010"/>
        </w:tabs>
        <w:spacing w:line="240" w:lineRule="auto"/>
        <w:jc w:val="center"/>
        <w:rPr>
          <w:rFonts w:ascii="Arial" w:hAnsi="Arial" w:cs="Arial"/>
          <w:lang w:eastAsia="en-IN"/>
        </w:rPr>
      </w:pPr>
    </w:p>
    <w:p w14:paraId="2A70C20A" w14:textId="77777777" w:rsidR="00AD29B7" w:rsidRPr="000D7BC8" w:rsidRDefault="00EF7F79">
      <w:pPr>
        <w:tabs>
          <w:tab w:val="left" w:pos="720"/>
          <w:tab w:val="left" w:pos="8010"/>
        </w:tabs>
        <w:spacing w:line="240" w:lineRule="auto"/>
        <w:jc w:val="center"/>
        <w:rPr>
          <w:rFonts w:ascii="Arial" w:hAnsi="Arial" w:cs="Arial"/>
        </w:rPr>
      </w:pPr>
      <w:r w:rsidRPr="000D7BC8">
        <w:rPr>
          <w:rFonts w:ascii="Arial" w:hAnsi="Arial" w:cs="Arial"/>
          <w:noProof/>
          <w:lang w:eastAsia="en-IN"/>
        </w:rPr>
        <w:lastRenderedPageBreak/>
        <w:drawing>
          <wp:inline distT="0" distB="0" distL="0" distR="0" wp14:anchorId="2E650ACF" wp14:editId="755C7A97">
            <wp:extent cx="2618740" cy="2065655"/>
            <wp:effectExtent l="0" t="0" r="0" b="0"/>
            <wp:docPr id="2092836196" name="Picture 25" descr="D:\1. Research\Papers\Other things\FUNGI SEM PICS\S-5\5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36196" name="Picture 25" descr="D:\1. Research\Papers\Other things\FUNGI SEM PICS\S-5\527.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618740" cy="2065655"/>
                    </a:xfrm>
                    <a:prstGeom prst="rect">
                      <a:avLst/>
                    </a:prstGeom>
                    <a:noFill/>
                    <a:ln>
                      <a:noFill/>
                    </a:ln>
                  </pic:spPr>
                </pic:pic>
              </a:graphicData>
            </a:graphic>
          </wp:inline>
        </w:drawing>
      </w:r>
    </w:p>
    <w:p w14:paraId="42D0CDC7" w14:textId="13EF8ABE" w:rsidR="00AD29B7" w:rsidRPr="000D7BC8" w:rsidRDefault="004D0D1A">
      <w:pPr>
        <w:jc w:val="both"/>
        <w:rPr>
          <w:rFonts w:ascii="Arial" w:hAnsi="Arial" w:cs="Arial"/>
          <w:b/>
          <w:sz w:val="20"/>
          <w:szCs w:val="28"/>
        </w:rPr>
      </w:pPr>
      <w:r w:rsidRPr="000D7BC8">
        <w:rPr>
          <w:rFonts w:ascii="Arial" w:hAnsi="Arial" w:cs="Arial"/>
          <w:b/>
          <w:sz w:val="20"/>
          <w:szCs w:val="28"/>
        </w:rPr>
        <w:t xml:space="preserve">Fig. </w:t>
      </w:r>
      <w:r w:rsidR="00C55B08" w:rsidRPr="000D7BC8">
        <w:rPr>
          <w:rFonts w:ascii="Arial" w:hAnsi="Arial" w:cs="Arial"/>
          <w:b/>
          <w:sz w:val="20"/>
          <w:szCs w:val="28"/>
        </w:rPr>
        <w:t>5</w:t>
      </w:r>
      <w:r w:rsidR="00EF7F79" w:rsidRPr="000D7BC8">
        <w:rPr>
          <w:rFonts w:ascii="Arial" w:hAnsi="Arial" w:cs="Arial"/>
          <w:b/>
          <w:sz w:val="20"/>
          <w:szCs w:val="28"/>
        </w:rPr>
        <w:t xml:space="preserve">: </w:t>
      </w:r>
      <w:r w:rsidR="00D32B1C">
        <w:rPr>
          <w:rFonts w:ascii="Arial" w:hAnsi="Arial" w:cs="Arial"/>
          <w:b/>
          <w:sz w:val="20"/>
          <w:szCs w:val="28"/>
        </w:rPr>
        <w:t>Scanning electron microscope (</w:t>
      </w:r>
      <w:r w:rsidR="00EF7F79" w:rsidRPr="000D7BC8">
        <w:rPr>
          <w:rFonts w:ascii="Arial" w:hAnsi="Arial" w:cs="Arial"/>
          <w:b/>
          <w:sz w:val="20"/>
          <w:szCs w:val="28"/>
        </w:rPr>
        <w:t>SEM</w:t>
      </w:r>
      <w:r w:rsidR="00D32B1C">
        <w:rPr>
          <w:rFonts w:ascii="Arial" w:hAnsi="Arial" w:cs="Arial"/>
          <w:b/>
          <w:sz w:val="20"/>
          <w:szCs w:val="28"/>
        </w:rPr>
        <w:t>)</w:t>
      </w:r>
      <w:r w:rsidR="00EF7F79" w:rsidRPr="000D7BC8">
        <w:rPr>
          <w:rFonts w:ascii="Arial" w:hAnsi="Arial" w:cs="Arial"/>
          <w:b/>
          <w:sz w:val="20"/>
          <w:szCs w:val="28"/>
        </w:rPr>
        <w:t xml:space="preserve"> images of </w:t>
      </w:r>
      <w:r w:rsidR="00EF7F79" w:rsidRPr="000D7BC8">
        <w:rPr>
          <w:rFonts w:ascii="Arial" w:hAnsi="Arial" w:cs="Arial"/>
          <w:b/>
          <w:i/>
          <w:iCs/>
          <w:sz w:val="20"/>
          <w:szCs w:val="28"/>
        </w:rPr>
        <w:t xml:space="preserve">Penicillium </w:t>
      </w:r>
      <w:proofErr w:type="spellStart"/>
      <w:r w:rsidR="00EF7F79" w:rsidRPr="000D7BC8">
        <w:rPr>
          <w:rFonts w:ascii="Arial" w:hAnsi="Arial" w:cs="Arial"/>
          <w:b/>
          <w:i/>
          <w:iCs/>
          <w:sz w:val="20"/>
          <w:szCs w:val="28"/>
        </w:rPr>
        <w:t>javanicum</w:t>
      </w:r>
      <w:proofErr w:type="spellEnd"/>
      <w:r w:rsidR="00EF7F79" w:rsidRPr="000D7BC8">
        <w:rPr>
          <w:rFonts w:ascii="Arial" w:hAnsi="Arial" w:cs="Arial"/>
          <w:b/>
          <w:i/>
          <w:iCs/>
          <w:sz w:val="20"/>
          <w:szCs w:val="28"/>
        </w:rPr>
        <w:t xml:space="preserve"> </w:t>
      </w:r>
      <w:r w:rsidR="00EF7F79" w:rsidRPr="000D7BC8">
        <w:rPr>
          <w:rFonts w:ascii="Arial" w:hAnsi="Arial" w:cs="Arial"/>
          <w:b/>
          <w:sz w:val="20"/>
          <w:szCs w:val="28"/>
        </w:rPr>
        <w:t>isolate UL1 conidiophore stalks and numerous small conidia spore(500x)</w:t>
      </w:r>
    </w:p>
    <w:p w14:paraId="5F732475" w14:textId="67AA5EC2" w:rsidR="00AD29B7" w:rsidRPr="000D7BC8" w:rsidRDefault="00EF7F79">
      <w:pPr>
        <w:tabs>
          <w:tab w:val="left" w:pos="720"/>
          <w:tab w:val="left" w:pos="8010"/>
        </w:tabs>
        <w:spacing w:line="240" w:lineRule="auto"/>
        <w:jc w:val="both"/>
        <w:rPr>
          <w:rFonts w:ascii="Arial" w:hAnsi="Arial" w:cs="Arial"/>
        </w:rPr>
      </w:pPr>
      <w:r w:rsidRPr="000D7BC8">
        <w:rPr>
          <w:rFonts w:ascii="Arial" w:hAnsi="Arial" w:cs="Arial"/>
        </w:rPr>
        <w:tab/>
      </w:r>
      <w:r w:rsidRPr="000D7BC8">
        <w:rPr>
          <w:rFonts w:ascii="Arial" w:hAnsi="Arial" w:cs="Arial"/>
          <w:sz w:val="20"/>
          <w:szCs w:val="20"/>
        </w:rPr>
        <w:t xml:space="preserve">PCR amplified ITS sequence showed 100% similarity with </w:t>
      </w:r>
      <w:proofErr w:type="spellStart"/>
      <w:r w:rsidRPr="000D7BC8">
        <w:rPr>
          <w:rFonts w:ascii="Arial" w:hAnsi="Arial" w:cs="Arial"/>
          <w:i/>
          <w:iCs/>
          <w:sz w:val="20"/>
          <w:szCs w:val="20"/>
        </w:rPr>
        <w:t>Pencillium</w:t>
      </w:r>
      <w:proofErr w:type="spellEnd"/>
      <w:r w:rsidRPr="000D7BC8">
        <w:rPr>
          <w:rFonts w:ascii="Arial" w:hAnsi="Arial" w:cs="Arial"/>
          <w:i/>
          <w:iCs/>
          <w:sz w:val="20"/>
          <w:szCs w:val="20"/>
        </w:rPr>
        <w:t xml:space="preserve"> </w:t>
      </w:r>
      <w:r w:rsidRPr="000D7BC8">
        <w:rPr>
          <w:rFonts w:ascii="Arial" w:hAnsi="Arial" w:cs="Arial"/>
          <w:sz w:val="20"/>
          <w:szCs w:val="20"/>
        </w:rPr>
        <w:t>isolates of the NCBI database</w:t>
      </w:r>
      <w:r w:rsidRPr="000D7BC8">
        <w:rPr>
          <w:rFonts w:ascii="Arial" w:hAnsi="Arial" w:cs="Arial"/>
          <w:i/>
          <w:iCs/>
          <w:sz w:val="20"/>
          <w:szCs w:val="20"/>
        </w:rPr>
        <w:t xml:space="preserve">. </w:t>
      </w:r>
      <w:r w:rsidRPr="000D7BC8">
        <w:rPr>
          <w:rFonts w:ascii="Arial" w:hAnsi="Arial" w:cs="Arial"/>
          <w:sz w:val="20"/>
          <w:szCs w:val="20"/>
        </w:rPr>
        <w:t xml:space="preserve">The sequence of the present study was submitted to NCBI GenBank with the Accession No. MN559951. The phylogenetic tree analysis of the ITS sequence of the endophytic fungus and its closest relatives from NCBI showed maximum homology with </w:t>
      </w:r>
      <w:proofErr w:type="spellStart"/>
      <w:r w:rsidRPr="000D7BC8">
        <w:rPr>
          <w:rFonts w:ascii="Arial" w:hAnsi="Arial" w:cs="Arial"/>
          <w:i/>
          <w:iCs/>
          <w:sz w:val="20"/>
          <w:szCs w:val="20"/>
        </w:rPr>
        <w:t>Pencillium</w:t>
      </w:r>
      <w:proofErr w:type="spellEnd"/>
      <w:r w:rsidRPr="000D7BC8">
        <w:rPr>
          <w:rFonts w:ascii="Arial" w:hAnsi="Arial" w:cs="Arial"/>
          <w:i/>
          <w:iCs/>
          <w:sz w:val="20"/>
          <w:szCs w:val="20"/>
        </w:rPr>
        <w:t xml:space="preserve"> </w:t>
      </w:r>
      <w:r w:rsidRPr="000D7BC8">
        <w:rPr>
          <w:rFonts w:ascii="Arial" w:hAnsi="Arial" w:cs="Arial"/>
          <w:sz w:val="20"/>
          <w:szCs w:val="20"/>
        </w:rPr>
        <w:t>sp. strain FGB7-1 (MK399691.1) (Fig</w:t>
      </w:r>
      <w:r w:rsidR="004D0D1A" w:rsidRPr="000D7BC8">
        <w:rPr>
          <w:rFonts w:ascii="Arial" w:hAnsi="Arial" w:cs="Arial"/>
          <w:sz w:val="20"/>
          <w:szCs w:val="20"/>
        </w:rPr>
        <w:t>ure</w:t>
      </w:r>
      <w:r w:rsidRPr="000D7BC8">
        <w:rPr>
          <w:rFonts w:ascii="Arial" w:hAnsi="Arial" w:cs="Arial"/>
          <w:sz w:val="20"/>
          <w:szCs w:val="20"/>
        </w:rPr>
        <w:t xml:space="preserve"> 6). Schoch </w:t>
      </w:r>
      <w:r w:rsidRPr="000D7BC8">
        <w:rPr>
          <w:rFonts w:ascii="Arial" w:hAnsi="Arial" w:cs="Arial"/>
          <w:i/>
          <w:iCs/>
          <w:sz w:val="20"/>
          <w:szCs w:val="20"/>
        </w:rPr>
        <w:t xml:space="preserve">et al. </w:t>
      </w:r>
      <w:r w:rsidRPr="000D7BC8">
        <w:rPr>
          <w:rFonts w:ascii="Arial" w:hAnsi="Arial" w:cs="Arial"/>
          <w:sz w:val="20"/>
          <w:szCs w:val="20"/>
        </w:rPr>
        <w:t xml:space="preserve">(2012) identified ITS as the official fungal barcode based on its discriminatory power and availability in public databases like GenBank/NCBI. The initial identification of isolates via the BLAST algorithm is consistent with the methods employed by Arnold </w:t>
      </w:r>
      <w:r w:rsidRPr="000D7BC8">
        <w:rPr>
          <w:rFonts w:ascii="Arial" w:hAnsi="Arial" w:cs="Arial"/>
          <w:i/>
          <w:iCs/>
          <w:sz w:val="20"/>
          <w:szCs w:val="20"/>
        </w:rPr>
        <w:t>et al.</w:t>
      </w:r>
      <w:r w:rsidRPr="000D7BC8">
        <w:rPr>
          <w:rFonts w:ascii="Arial" w:hAnsi="Arial" w:cs="Arial"/>
          <w:sz w:val="20"/>
          <w:szCs w:val="20"/>
        </w:rPr>
        <w:t xml:space="preserve"> (2007) and </w:t>
      </w:r>
      <w:proofErr w:type="spellStart"/>
      <w:r w:rsidRPr="000D7BC8">
        <w:rPr>
          <w:rFonts w:ascii="Arial" w:hAnsi="Arial" w:cs="Arial"/>
          <w:sz w:val="20"/>
          <w:szCs w:val="20"/>
        </w:rPr>
        <w:t>Gazis</w:t>
      </w:r>
      <w:proofErr w:type="spellEnd"/>
      <w:r w:rsidRPr="000D7BC8">
        <w:rPr>
          <w:rFonts w:ascii="Arial" w:hAnsi="Arial" w:cs="Arial"/>
          <w:sz w:val="20"/>
          <w:szCs w:val="20"/>
        </w:rPr>
        <w:t xml:space="preserve"> and </w:t>
      </w:r>
      <w:proofErr w:type="spellStart"/>
      <w:r w:rsidRPr="000D7BC8">
        <w:rPr>
          <w:rFonts w:ascii="Arial" w:hAnsi="Arial" w:cs="Arial"/>
          <w:sz w:val="20"/>
          <w:szCs w:val="20"/>
        </w:rPr>
        <w:t>Chaverri</w:t>
      </w:r>
      <w:proofErr w:type="spellEnd"/>
      <w:r w:rsidRPr="000D7BC8">
        <w:rPr>
          <w:rFonts w:ascii="Arial" w:hAnsi="Arial" w:cs="Arial"/>
          <w:sz w:val="20"/>
          <w:szCs w:val="20"/>
        </w:rPr>
        <w:t xml:space="preserve">, (2015), who also used BLAST to compare endophytic fungal sequences against the NCBI database to determine taxonomic affiliations. </w:t>
      </w:r>
    </w:p>
    <w:p w14:paraId="5F4A7C30" w14:textId="77777777" w:rsidR="00AD29B7" w:rsidRPr="000D7BC8" w:rsidRDefault="00AD29B7">
      <w:pPr>
        <w:tabs>
          <w:tab w:val="left" w:pos="720"/>
          <w:tab w:val="left" w:pos="8010"/>
        </w:tabs>
        <w:spacing w:line="240" w:lineRule="auto"/>
        <w:jc w:val="both"/>
        <w:rPr>
          <w:rFonts w:ascii="Arial" w:hAnsi="Arial" w:cs="Arial"/>
        </w:rPr>
      </w:pPr>
    </w:p>
    <w:p w14:paraId="478B158E" w14:textId="77777777" w:rsidR="00AD29B7" w:rsidRPr="000D7BC8" w:rsidRDefault="00AD29B7">
      <w:pPr>
        <w:jc w:val="both"/>
        <w:rPr>
          <w:rFonts w:ascii="Arial" w:hAnsi="Arial" w:cs="Arial"/>
          <w:b/>
          <w:bCs/>
        </w:rPr>
      </w:pPr>
    </w:p>
    <w:p w14:paraId="3DC6B371" w14:textId="77777777" w:rsidR="00AD29B7" w:rsidRPr="000D7BC8" w:rsidRDefault="00AD29B7">
      <w:pPr>
        <w:jc w:val="both"/>
        <w:rPr>
          <w:rFonts w:ascii="Arial" w:hAnsi="Arial" w:cs="Arial"/>
          <w:b/>
          <w:bCs/>
        </w:rPr>
      </w:pPr>
    </w:p>
    <w:p w14:paraId="0ADEBB23" w14:textId="77777777" w:rsidR="00AD29B7" w:rsidRPr="000D7BC8" w:rsidRDefault="00AD29B7">
      <w:pPr>
        <w:jc w:val="both"/>
        <w:rPr>
          <w:rFonts w:ascii="Arial" w:hAnsi="Arial" w:cs="Arial"/>
          <w:b/>
          <w:bCs/>
        </w:rPr>
      </w:pPr>
    </w:p>
    <w:p w14:paraId="1DBDF353" w14:textId="77777777" w:rsidR="00AD29B7" w:rsidRPr="000D7BC8" w:rsidRDefault="00AD29B7">
      <w:pPr>
        <w:jc w:val="both"/>
        <w:rPr>
          <w:rFonts w:ascii="Arial" w:hAnsi="Arial" w:cs="Arial"/>
          <w:b/>
          <w:bCs/>
        </w:rPr>
      </w:pPr>
    </w:p>
    <w:p w14:paraId="1B2C872E" w14:textId="77777777" w:rsidR="00AD29B7" w:rsidRPr="000D7BC8" w:rsidRDefault="00EF7F79">
      <w:pPr>
        <w:jc w:val="center"/>
        <w:rPr>
          <w:rFonts w:ascii="Arial" w:hAnsi="Arial" w:cs="Arial"/>
          <w:b/>
          <w:bCs/>
        </w:rPr>
      </w:pPr>
      <w:r w:rsidRPr="000D7BC8">
        <w:rPr>
          <w:rFonts w:ascii="Arial" w:hAnsi="Arial" w:cs="Arial"/>
          <w:b/>
          <w:bCs/>
          <w:noProof/>
        </w:rPr>
        <w:lastRenderedPageBreak/>
        <w:drawing>
          <wp:inline distT="0" distB="0" distL="0" distR="0" wp14:anchorId="77D7F96C" wp14:editId="3388AD21">
            <wp:extent cx="4192270" cy="2752725"/>
            <wp:effectExtent l="0" t="0" r="0" b="9525"/>
            <wp:docPr id="1241778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78722"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225690" cy="2774669"/>
                    </a:xfrm>
                    <a:prstGeom prst="rect">
                      <a:avLst/>
                    </a:prstGeom>
                    <a:noFill/>
                    <a:ln>
                      <a:noFill/>
                    </a:ln>
                  </pic:spPr>
                </pic:pic>
              </a:graphicData>
            </a:graphic>
          </wp:inline>
        </w:drawing>
      </w:r>
    </w:p>
    <w:p w14:paraId="164AA2E4" w14:textId="0E021A1D" w:rsidR="00AD29B7" w:rsidRPr="000D7BC8" w:rsidRDefault="004D0D1A" w:rsidP="000D7BC8">
      <w:pPr>
        <w:rPr>
          <w:rFonts w:ascii="Arial" w:hAnsi="Arial" w:cs="Arial"/>
          <w:b/>
        </w:rPr>
      </w:pPr>
      <w:r w:rsidRPr="000D7BC8">
        <w:rPr>
          <w:rFonts w:ascii="Arial" w:hAnsi="Arial" w:cs="Arial"/>
          <w:b/>
          <w:sz w:val="20"/>
          <w:szCs w:val="28"/>
        </w:rPr>
        <w:t xml:space="preserve">Fig. </w:t>
      </w:r>
      <w:r w:rsidR="00EF7F79" w:rsidRPr="000D7BC8">
        <w:rPr>
          <w:rFonts w:ascii="Arial" w:hAnsi="Arial" w:cs="Arial"/>
          <w:b/>
          <w:sz w:val="20"/>
          <w:szCs w:val="28"/>
        </w:rPr>
        <w:t xml:space="preserve">6: Neighbor –joining tree for </w:t>
      </w:r>
      <w:r w:rsidR="00EF7F79" w:rsidRPr="000D7BC8">
        <w:rPr>
          <w:rFonts w:ascii="Arial" w:hAnsi="Arial" w:cs="Arial"/>
          <w:b/>
          <w:i/>
          <w:iCs/>
          <w:sz w:val="20"/>
          <w:szCs w:val="28"/>
        </w:rPr>
        <w:t xml:space="preserve">Penicillium </w:t>
      </w:r>
      <w:proofErr w:type="spellStart"/>
      <w:r w:rsidR="00EF7F79" w:rsidRPr="000D7BC8">
        <w:rPr>
          <w:rFonts w:ascii="Arial" w:hAnsi="Arial" w:cs="Arial"/>
          <w:b/>
          <w:i/>
          <w:iCs/>
          <w:sz w:val="20"/>
          <w:szCs w:val="28"/>
        </w:rPr>
        <w:t>javanicum</w:t>
      </w:r>
      <w:proofErr w:type="spellEnd"/>
      <w:r w:rsidR="00EF7F79" w:rsidRPr="000D7BC8">
        <w:rPr>
          <w:rFonts w:ascii="Arial" w:hAnsi="Arial" w:cs="Arial"/>
          <w:b/>
          <w:i/>
          <w:iCs/>
          <w:sz w:val="20"/>
          <w:szCs w:val="28"/>
        </w:rPr>
        <w:t xml:space="preserve"> </w:t>
      </w:r>
      <w:r w:rsidR="00EF7F79" w:rsidRPr="000D7BC8">
        <w:rPr>
          <w:rFonts w:ascii="Arial" w:hAnsi="Arial" w:cs="Arial"/>
          <w:b/>
          <w:sz w:val="20"/>
          <w:szCs w:val="28"/>
        </w:rPr>
        <w:t>isolate UL1. Tree generated using Mega 5.2 software</w:t>
      </w:r>
    </w:p>
    <w:p w14:paraId="689F75FF" w14:textId="0B292FC4" w:rsidR="00AD29B7" w:rsidRPr="000D7BC8" w:rsidRDefault="00F9372D">
      <w:pPr>
        <w:rPr>
          <w:rFonts w:ascii="Arial" w:hAnsi="Arial" w:cs="Arial"/>
          <w:iCs/>
          <w:sz w:val="22"/>
          <w:szCs w:val="22"/>
        </w:rPr>
      </w:pPr>
      <w:r w:rsidRPr="000D7BC8">
        <w:rPr>
          <w:rFonts w:ascii="Arial" w:hAnsi="Arial" w:cs="Arial"/>
          <w:b/>
          <w:sz w:val="22"/>
          <w:szCs w:val="22"/>
        </w:rPr>
        <w:t xml:space="preserve">3.3 </w:t>
      </w:r>
      <w:r w:rsidR="00EF7F79" w:rsidRPr="000D7BC8">
        <w:rPr>
          <w:rFonts w:ascii="Arial" w:hAnsi="Arial" w:cs="Arial"/>
          <w:b/>
          <w:sz w:val="22"/>
          <w:szCs w:val="22"/>
        </w:rPr>
        <w:t>Antimicrobial activity against human and fish pathogens</w:t>
      </w:r>
      <w:r w:rsidR="00EF7F79" w:rsidRPr="000D7BC8">
        <w:rPr>
          <w:rFonts w:ascii="Arial" w:hAnsi="Arial" w:cs="Arial"/>
          <w:i/>
          <w:sz w:val="22"/>
          <w:szCs w:val="22"/>
        </w:rPr>
        <w:t xml:space="preserve"> </w:t>
      </w:r>
    </w:p>
    <w:p w14:paraId="487EAABA" w14:textId="01B071A7" w:rsidR="00AD29B7" w:rsidRPr="000D7BC8" w:rsidRDefault="00EF7F79">
      <w:pPr>
        <w:ind w:firstLine="720"/>
        <w:jc w:val="both"/>
        <w:rPr>
          <w:rFonts w:ascii="Arial" w:hAnsi="Arial" w:cs="Arial"/>
          <w:iCs/>
          <w:sz w:val="20"/>
          <w:szCs w:val="20"/>
        </w:rPr>
      </w:pPr>
      <w:r w:rsidRPr="000D7BC8">
        <w:rPr>
          <w:rFonts w:ascii="Arial" w:hAnsi="Arial" w:cs="Arial"/>
          <w:iCs/>
          <w:sz w:val="20"/>
          <w:szCs w:val="20"/>
        </w:rPr>
        <w:t xml:space="preserve">The broth extract of </w:t>
      </w:r>
      <w:r w:rsidRPr="000D7BC8">
        <w:rPr>
          <w:rFonts w:ascii="Arial" w:hAnsi="Arial" w:cs="Arial"/>
          <w:i/>
          <w:sz w:val="20"/>
          <w:szCs w:val="20"/>
        </w:rPr>
        <w:t xml:space="preserve">Penicillium </w:t>
      </w:r>
      <w:proofErr w:type="spellStart"/>
      <w:r w:rsidRPr="000D7BC8">
        <w:rPr>
          <w:rFonts w:ascii="Arial" w:hAnsi="Arial" w:cs="Arial"/>
          <w:i/>
          <w:sz w:val="20"/>
          <w:szCs w:val="20"/>
        </w:rPr>
        <w:t>javanicum</w:t>
      </w:r>
      <w:proofErr w:type="spellEnd"/>
      <w:r w:rsidRPr="000D7BC8">
        <w:rPr>
          <w:rFonts w:ascii="Arial" w:hAnsi="Arial" w:cs="Arial"/>
          <w:iCs/>
          <w:sz w:val="20"/>
          <w:szCs w:val="20"/>
        </w:rPr>
        <w:t xml:space="preserve"> isolate UL1 (MN559951) inhibited all tested human pathogens except </w:t>
      </w:r>
      <w:r w:rsidRPr="000D7BC8">
        <w:rPr>
          <w:rFonts w:ascii="Arial" w:hAnsi="Arial" w:cs="Arial"/>
          <w:i/>
          <w:sz w:val="20"/>
          <w:szCs w:val="20"/>
        </w:rPr>
        <w:t>Enterococcus faecalis</w:t>
      </w:r>
      <w:r w:rsidRPr="000D7BC8">
        <w:rPr>
          <w:rFonts w:ascii="Arial" w:hAnsi="Arial" w:cs="Arial"/>
          <w:iCs/>
          <w:sz w:val="20"/>
          <w:szCs w:val="20"/>
        </w:rPr>
        <w:t xml:space="preserve">. The highest inhibition zone was observed against </w:t>
      </w:r>
      <w:r w:rsidRPr="000D7BC8">
        <w:rPr>
          <w:rFonts w:ascii="Arial" w:hAnsi="Arial" w:cs="Arial"/>
          <w:i/>
          <w:sz w:val="20"/>
          <w:szCs w:val="20"/>
        </w:rPr>
        <w:t>Pseudomonas aeruginosa</w:t>
      </w:r>
      <w:r w:rsidRPr="000D7BC8">
        <w:rPr>
          <w:rFonts w:ascii="Arial" w:hAnsi="Arial" w:cs="Arial"/>
          <w:iCs/>
          <w:sz w:val="20"/>
          <w:szCs w:val="20"/>
        </w:rPr>
        <w:t xml:space="preserve"> (17 ± 2 mm), while the smallest was against </w:t>
      </w:r>
      <w:r w:rsidRPr="000D7BC8">
        <w:rPr>
          <w:rFonts w:ascii="Arial" w:hAnsi="Arial" w:cs="Arial"/>
          <w:i/>
          <w:sz w:val="20"/>
          <w:szCs w:val="20"/>
        </w:rPr>
        <w:t>Staphylococcus aureus</w:t>
      </w:r>
      <w:r w:rsidRPr="000D7BC8">
        <w:rPr>
          <w:rFonts w:ascii="Arial" w:hAnsi="Arial" w:cs="Arial"/>
          <w:iCs/>
          <w:sz w:val="20"/>
          <w:szCs w:val="20"/>
        </w:rPr>
        <w:t xml:space="preserve"> (13.6 ± 1.52 mm). Inhibition zones for the remaining pathogens, in ascending order, were </w:t>
      </w:r>
      <w:r w:rsidRPr="000D7BC8">
        <w:rPr>
          <w:rFonts w:ascii="Arial" w:hAnsi="Arial" w:cs="Arial"/>
          <w:i/>
          <w:sz w:val="20"/>
          <w:szCs w:val="20"/>
        </w:rPr>
        <w:t>Listeria monocytogenes</w:t>
      </w:r>
      <w:r w:rsidRPr="000D7BC8">
        <w:rPr>
          <w:rFonts w:ascii="Arial" w:hAnsi="Arial" w:cs="Arial"/>
          <w:iCs/>
          <w:sz w:val="20"/>
          <w:szCs w:val="20"/>
        </w:rPr>
        <w:t xml:space="preserve"> (14 ± 1 mm), </w:t>
      </w:r>
      <w:r w:rsidRPr="000D7BC8">
        <w:rPr>
          <w:rFonts w:ascii="Arial" w:hAnsi="Arial" w:cs="Arial"/>
          <w:i/>
          <w:sz w:val="20"/>
          <w:szCs w:val="20"/>
        </w:rPr>
        <w:t>Candida albicans</w:t>
      </w:r>
      <w:r w:rsidRPr="000D7BC8">
        <w:rPr>
          <w:rFonts w:ascii="Arial" w:hAnsi="Arial" w:cs="Arial"/>
          <w:iCs/>
          <w:sz w:val="20"/>
          <w:szCs w:val="20"/>
        </w:rPr>
        <w:t xml:space="preserve"> (14 ± 2 mm), and </w:t>
      </w:r>
      <w:r w:rsidRPr="000D7BC8">
        <w:rPr>
          <w:rFonts w:ascii="Arial" w:hAnsi="Arial" w:cs="Arial"/>
          <w:i/>
          <w:sz w:val="20"/>
          <w:szCs w:val="20"/>
        </w:rPr>
        <w:t>Escherichia coli</w:t>
      </w:r>
      <w:r w:rsidRPr="000D7BC8">
        <w:rPr>
          <w:rFonts w:ascii="Arial" w:hAnsi="Arial" w:cs="Arial"/>
          <w:iCs/>
          <w:sz w:val="20"/>
          <w:szCs w:val="20"/>
        </w:rPr>
        <w:t xml:space="preserve"> (15 ± 2 mm). The crude mycelial extract inhibited </w:t>
      </w:r>
      <w:r w:rsidRPr="000D7BC8">
        <w:rPr>
          <w:rFonts w:ascii="Arial" w:hAnsi="Arial" w:cs="Arial"/>
          <w:i/>
          <w:iCs/>
          <w:sz w:val="20"/>
          <w:szCs w:val="20"/>
        </w:rPr>
        <w:t>S. aureus</w:t>
      </w:r>
      <w:r w:rsidRPr="000D7BC8">
        <w:rPr>
          <w:rFonts w:ascii="Arial" w:hAnsi="Arial" w:cs="Arial"/>
          <w:iCs/>
          <w:sz w:val="20"/>
          <w:szCs w:val="20"/>
        </w:rPr>
        <w:t xml:space="preserve">, </w:t>
      </w:r>
      <w:r w:rsidRPr="000D7BC8">
        <w:rPr>
          <w:rFonts w:ascii="Arial" w:hAnsi="Arial" w:cs="Arial"/>
          <w:i/>
          <w:iCs/>
          <w:sz w:val="20"/>
          <w:szCs w:val="20"/>
        </w:rPr>
        <w:t>E. faecalis</w:t>
      </w:r>
      <w:r w:rsidRPr="000D7BC8">
        <w:rPr>
          <w:rFonts w:ascii="Arial" w:hAnsi="Arial" w:cs="Arial"/>
          <w:iCs/>
          <w:sz w:val="20"/>
          <w:szCs w:val="20"/>
        </w:rPr>
        <w:t xml:space="preserve">, and </w:t>
      </w:r>
      <w:r w:rsidRPr="000D7BC8">
        <w:rPr>
          <w:rFonts w:ascii="Arial" w:hAnsi="Arial" w:cs="Arial"/>
          <w:i/>
          <w:iCs/>
          <w:sz w:val="20"/>
          <w:szCs w:val="20"/>
        </w:rPr>
        <w:t>P. aeruginosa</w:t>
      </w:r>
      <w:r w:rsidRPr="000D7BC8">
        <w:rPr>
          <w:rFonts w:ascii="Arial" w:hAnsi="Arial" w:cs="Arial"/>
          <w:iCs/>
          <w:sz w:val="20"/>
          <w:szCs w:val="20"/>
        </w:rPr>
        <w:t xml:space="preserve">, with the lowest activity against </w:t>
      </w:r>
      <w:r w:rsidRPr="000D7BC8">
        <w:rPr>
          <w:rFonts w:ascii="Arial" w:hAnsi="Arial" w:cs="Arial"/>
          <w:i/>
          <w:iCs/>
          <w:sz w:val="20"/>
          <w:szCs w:val="20"/>
        </w:rPr>
        <w:t>E. faecalis</w:t>
      </w:r>
      <w:r w:rsidRPr="000D7BC8">
        <w:rPr>
          <w:rFonts w:ascii="Arial" w:hAnsi="Arial" w:cs="Arial"/>
          <w:iCs/>
          <w:sz w:val="20"/>
          <w:szCs w:val="20"/>
        </w:rPr>
        <w:t xml:space="preserve"> (8.5 ± 1.63 mm) and the highest against </w:t>
      </w:r>
      <w:r w:rsidRPr="000D7BC8">
        <w:rPr>
          <w:rFonts w:ascii="Arial" w:hAnsi="Arial" w:cs="Arial"/>
          <w:i/>
          <w:iCs/>
          <w:sz w:val="20"/>
          <w:szCs w:val="20"/>
        </w:rPr>
        <w:t>P. aeruginosa</w:t>
      </w:r>
      <w:r w:rsidRPr="000D7BC8">
        <w:rPr>
          <w:rFonts w:ascii="Arial" w:hAnsi="Arial" w:cs="Arial"/>
          <w:iCs/>
          <w:sz w:val="20"/>
          <w:szCs w:val="20"/>
        </w:rPr>
        <w:t xml:space="preserve"> (13.6 ± 1.24 mm). Moderate inhibition was recorded for </w:t>
      </w:r>
      <w:r w:rsidRPr="000D7BC8">
        <w:rPr>
          <w:rFonts w:ascii="Arial" w:hAnsi="Arial" w:cs="Arial"/>
          <w:i/>
          <w:iCs/>
          <w:sz w:val="20"/>
          <w:szCs w:val="20"/>
        </w:rPr>
        <w:t>S. aureus</w:t>
      </w:r>
      <w:r w:rsidRPr="000D7BC8">
        <w:rPr>
          <w:rFonts w:ascii="Arial" w:hAnsi="Arial" w:cs="Arial"/>
          <w:iCs/>
          <w:sz w:val="20"/>
          <w:szCs w:val="20"/>
        </w:rPr>
        <w:t xml:space="preserve"> (12 ± 0.81 mm) (Table 1, Fig</w:t>
      </w:r>
      <w:r w:rsidR="004D0D1A" w:rsidRPr="000D7BC8">
        <w:rPr>
          <w:rFonts w:ascii="Arial" w:hAnsi="Arial" w:cs="Arial"/>
          <w:iCs/>
          <w:sz w:val="20"/>
          <w:szCs w:val="20"/>
        </w:rPr>
        <w:t>ure</w:t>
      </w:r>
      <w:r w:rsidRPr="000D7BC8">
        <w:rPr>
          <w:rFonts w:ascii="Arial" w:hAnsi="Arial" w:cs="Arial"/>
          <w:iCs/>
          <w:sz w:val="20"/>
          <w:szCs w:val="20"/>
        </w:rPr>
        <w:t xml:space="preserve"> 7). </w:t>
      </w:r>
    </w:p>
    <w:p w14:paraId="3E687B69" w14:textId="6904C019" w:rsidR="00AD29B7" w:rsidRPr="000D7BC8" w:rsidRDefault="00EF7F79" w:rsidP="000D7BC8">
      <w:pPr>
        <w:pStyle w:val="EndNoteBibliography"/>
        <w:spacing w:line="276" w:lineRule="auto"/>
        <w:jc w:val="left"/>
        <w:rPr>
          <w:rFonts w:ascii="Arial" w:hAnsi="Arial" w:cs="Arial"/>
          <w:b/>
          <w:sz w:val="20"/>
          <w:szCs w:val="20"/>
        </w:rPr>
      </w:pPr>
      <w:r w:rsidRPr="000D7BC8">
        <w:rPr>
          <w:rFonts w:ascii="Arial" w:hAnsi="Arial" w:cs="Arial"/>
          <w:b/>
          <w:sz w:val="20"/>
          <w:szCs w:val="20"/>
        </w:rPr>
        <w:t xml:space="preserve">Table:1 Antimicrobial activity against human pathogens (Diameter of the zone of inhibition in </w:t>
      </w:r>
      <w:r w:rsidR="00F9372D">
        <w:rPr>
          <w:rFonts w:ascii="Arial" w:hAnsi="Arial" w:cs="Arial"/>
          <w:b/>
          <w:sz w:val="20"/>
          <w:szCs w:val="20"/>
        </w:rPr>
        <w:t>‘</w:t>
      </w:r>
      <w:r w:rsidRPr="000D7BC8">
        <w:rPr>
          <w:rFonts w:ascii="Arial" w:hAnsi="Arial" w:cs="Arial"/>
          <w:b/>
          <w:sz w:val="20"/>
          <w:szCs w:val="20"/>
        </w:rPr>
        <w:t>mm’)</w:t>
      </w:r>
    </w:p>
    <w:tbl>
      <w:tblPr>
        <w:tblW w:w="4041" w:type="pct"/>
        <w:jc w:val="center"/>
        <w:tblLayout w:type="fixed"/>
        <w:tblLook w:val="04A0" w:firstRow="1" w:lastRow="0" w:firstColumn="1" w:lastColumn="0" w:noHBand="0" w:noVBand="1"/>
      </w:tblPr>
      <w:tblGrid>
        <w:gridCol w:w="3383"/>
        <w:gridCol w:w="1307"/>
        <w:gridCol w:w="1405"/>
        <w:gridCol w:w="1644"/>
      </w:tblGrid>
      <w:tr w:rsidR="00AD29B7" w:rsidRPr="005F4649" w14:paraId="69155136" w14:textId="77777777" w:rsidTr="00407AC6">
        <w:trPr>
          <w:trHeight w:val="288"/>
          <w:jc w:val="center"/>
        </w:trPr>
        <w:tc>
          <w:tcPr>
            <w:tcW w:w="2185" w:type="pct"/>
            <w:tcBorders>
              <w:top w:val="single" w:sz="4" w:space="0" w:color="auto"/>
              <w:left w:val="single" w:sz="4" w:space="0" w:color="auto"/>
              <w:bottom w:val="single" w:sz="4" w:space="0" w:color="auto"/>
              <w:right w:val="single" w:sz="4" w:space="0" w:color="auto"/>
            </w:tcBorders>
            <w:noWrap/>
            <w:vAlign w:val="center"/>
          </w:tcPr>
          <w:p w14:paraId="49533CD1" w14:textId="77777777" w:rsidR="00AD29B7" w:rsidRPr="000D7BC8" w:rsidRDefault="00EF7F79" w:rsidP="00407AC6">
            <w:pPr>
              <w:spacing w:after="0" w:line="480" w:lineRule="auto"/>
              <w:jc w:val="center"/>
              <w:rPr>
                <w:rFonts w:ascii="Arial" w:eastAsia="Times New Roman" w:hAnsi="Arial" w:cs="Arial"/>
                <w:b/>
                <w:bCs/>
                <w:color w:val="000000"/>
              </w:rPr>
            </w:pPr>
            <w:r w:rsidRPr="000D7BC8">
              <w:rPr>
                <w:rFonts w:ascii="Arial" w:eastAsia="Times New Roman" w:hAnsi="Arial" w:cs="Arial"/>
                <w:b/>
                <w:bCs/>
                <w:color w:val="000000"/>
              </w:rPr>
              <w:t>Test Organisms</w:t>
            </w:r>
          </w:p>
        </w:tc>
        <w:tc>
          <w:tcPr>
            <w:tcW w:w="844" w:type="pct"/>
            <w:tcBorders>
              <w:top w:val="single" w:sz="4" w:space="0" w:color="auto"/>
              <w:left w:val="single" w:sz="4" w:space="0" w:color="auto"/>
              <w:bottom w:val="single" w:sz="4" w:space="0" w:color="auto"/>
              <w:right w:val="single" w:sz="4" w:space="0" w:color="auto"/>
            </w:tcBorders>
            <w:noWrap/>
            <w:vAlign w:val="center"/>
          </w:tcPr>
          <w:p w14:paraId="1950F751" w14:textId="77777777" w:rsidR="00AD29B7" w:rsidRPr="000D7BC8" w:rsidRDefault="00EF7F79" w:rsidP="00407AC6">
            <w:pPr>
              <w:spacing w:after="0" w:line="480" w:lineRule="auto"/>
              <w:jc w:val="center"/>
              <w:rPr>
                <w:rFonts w:ascii="Arial" w:eastAsia="Times New Roman" w:hAnsi="Arial" w:cs="Arial"/>
                <w:b/>
                <w:bCs/>
                <w:color w:val="000000"/>
              </w:rPr>
            </w:pPr>
            <w:r w:rsidRPr="000D7BC8">
              <w:rPr>
                <w:rFonts w:ascii="Arial" w:eastAsia="Times New Roman" w:hAnsi="Arial" w:cs="Arial"/>
                <w:b/>
                <w:bCs/>
                <w:color w:val="000000"/>
              </w:rPr>
              <w:t>Broth</w:t>
            </w:r>
          </w:p>
        </w:tc>
        <w:tc>
          <w:tcPr>
            <w:tcW w:w="908" w:type="pct"/>
            <w:tcBorders>
              <w:top w:val="single" w:sz="4" w:space="0" w:color="auto"/>
              <w:left w:val="single" w:sz="4" w:space="0" w:color="auto"/>
              <w:bottom w:val="single" w:sz="4" w:space="0" w:color="auto"/>
              <w:right w:val="single" w:sz="4" w:space="0" w:color="auto"/>
            </w:tcBorders>
            <w:vAlign w:val="center"/>
          </w:tcPr>
          <w:p w14:paraId="522CACA6" w14:textId="77777777" w:rsidR="00AD29B7" w:rsidRPr="000D7BC8" w:rsidRDefault="00EF7F79" w:rsidP="00407AC6">
            <w:pPr>
              <w:spacing w:after="0" w:line="480" w:lineRule="auto"/>
              <w:jc w:val="center"/>
              <w:rPr>
                <w:rFonts w:ascii="Arial" w:eastAsia="Times New Roman" w:hAnsi="Arial" w:cs="Arial"/>
                <w:b/>
                <w:bCs/>
                <w:color w:val="000000"/>
              </w:rPr>
            </w:pPr>
            <w:r w:rsidRPr="000D7BC8">
              <w:rPr>
                <w:rFonts w:ascii="Arial" w:eastAsia="Times New Roman" w:hAnsi="Arial" w:cs="Arial"/>
                <w:b/>
                <w:bCs/>
                <w:color w:val="000000"/>
              </w:rPr>
              <w:t>Mycelium</w:t>
            </w:r>
          </w:p>
        </w:tc>
        <w:tc>
          <w:tcPr>
            <w:tcW w:w="1062" w:type="pct"/>
            <w:tcBorders>
              <w:top w:val="single" w:sz="4" w:space="0" w:color="auto"/>
              <w:left w:val="single" w:sz="4" w:space="0" w:color="auto"/>
              <w:bottom w:val="single" w:sz="4" w:space="0" w:color="auto"/>
              <w:right w:val="single" w:sz="4" w:space="0" w:color="auto"/>
            </w:tcBorders>
            <w:vAlign w:val="center"/>
          </w:tcPr>
          <w:p w14:paraId="16E84E6C" w14:textId="77777777" w:rsidR="00AD29B7" w:rsidRPr="000D7BC8" w:rsidRDefault="00EF7F79" w:rsidP="00407AC6">
            <w:pPr>
              <w:spacing w:after="0" w:line="480" w:lineRule="auto"/>
              <w:jc w:val="center"/>
              <w:rPr>
                <w:rFonts w:ascii="Arial" w:eastAsia="Times New Roman" w:hAnsi="Arial" w:cs="Arial"/>
                <w:b/>
                <w:bCs/>
                <w:color w:val="000000"/>
              </w:rPr>
            </w:pPr>
            <w:r w:rsidRPr="000D7BC8">
              <w:rPr>
                <w:rFonts w:ascii="Arial" w:eastAsia="Times New Roman" w:hAnsi="Arial" w:cs="Arial"/>
                <w:b/>
                <w:bCs/>
                <w:iCs/>
              </w:rPr>
              <w:t>Tetracycline</w:t>
            </w:r>
          </w:p>
        </w:tc>
      </w:tr>
      <w:tr w:rsidR="00AD29B7" w:rsidRPr="005F4649" w14:paraId="77FA940D" w14:textId="77777777" w:rsidTr="00407AC6">
        <w:trPr>
          <w:trHeight w:val="288"/>
          <w:jc w:val="center"/>
        </w:trPr>
        <w:tc>
          <w:tcPr>
            <w:tcW w:w="2185" w:type="pct"/>
            <w:tcBorders>
              <w:top w:val="single" w:sz="4" w:space="0" w:color="auto"/>
              <w:left w:val="single" w:sz="4" w:space="0" w:color="auto"/>
              <w:bottom w:val="single" w:sz="4" w:space="0" w:color="auto"/>
              <w:right w:val="single" w:sz="4" w:space="0" w:color="auto"/>
            </w:tcBorders>
            <w:noWrap/>
            <w:vAlign w:val="center"/>
          </w:tcPr>
          <w:p w14:paraId="71D9657F" w14:textId="77777777" w:rsidR="00AD29B7" w:rsidRPr="000D7BC8" w:rsidRDefault="00EF7F79" w:rsidP="00407AC6">
            <w:pPr>
              <w:spacing w:after="0" w:line="480" w:lineRule="auto"/>
              <w:jc w:val="center"/>
              <w:rPr>
                <w:rFonts w:ascii="Arial" w:eastAsia="Times New Roman" w:hAnsi="Arial" w:cs="Arial"/>
                <w:i/>
                <w:iCs/>
                <w:color w:val="000000"/>
              </w:rPr>
            </w:pPr>
            <w:r w:rsidRPr="000D7BC8">
              <w:rPr>
                <w:rFonts w:ascii="Arial" w:eastAsia="Times New Roman" w:hAnsi="Arial" w:cs="Arial"/>
                <w:i/>
                <w:iCs/>
                <w:color w:val="000000"/>
              </w:rPr>
              <w:t>Staphylococcus aureus</w:t>
            </w:r>
          </w:p>
        </w:tc>
        <w:tc>
          <w:tcPr>
            <w:tcW w:w="844" w:type="pct"/>
            <w:tcBorders>
              <w:top w:val="single" w:sz="4" w:space="0" w:color="auto"/>
              <w:left w:val="single" w:sz="4" w:space="0" w:color="auto"/>
              <w:bottom w:val="single" w:sz="4" w:space="0" w:color="auto"/>
              <w:right w:val="single" w:sz="4" w:space="0" w:color="auto"/>
            </w:tcBorders>
            <w:noWrap/>
            <w:vAlign w:val="center"/>
          </w:tcPr>
          <w:p w14:paraId="3C17B405" w14:textId="77777777" w:rsidR="00AD29B7" w:rsidRPr="000D7BC8" w:rsidRDefault="00EF7F79" w:rsidP="00407AC6">
            <w:pPr>
              <w:spacing w:after="0" w:line="480" w:lineRule="auto"/>
              <w:jc w:val="center"/>
              <w:rPr>
                <w:rFonts w:ascii="Arial" w:eastAsia="Times New Roman" w:hAnsi="Arial" w:cs="Arial"/>
                <w:color w:val="000000"/>
              </w:rPr>
            </w:pPr>
            <w:r w:rsidRPr="000D7BC8">
              <w:rPr>
                <w:rFonts w:ascii="Arial" w:eastAsia="Times New Roman" w:hAnsi="Arial" w:cs="Arial"/>
                <w:color w:val="000000"/>
              </w:rPr>
              <w:t>13.6±1.52</w:t>
            </w:r>
          </w:p>
        </w:tc>
        <w:tc>
          <w:tcPr>
            <w:tcW w:w="908" w:type="pct"/>
            <w:tcBorders>
              <w:top w:val="single" w:sz="4" w:space="0" w:color="auto"/>
              <w:left w:val="single" w:sz="4" w:space="0" w:color="auto"/>
              <w:bottom w:val="single" w:sz="4" w:space="0" w:color="auto"/>
              <w:right w:val="single" w:sz="4" w:space="0" w:color="auto"/>
            </w:tcBorders>
            <w:vAlign w:val="center"/>
          </w:tcPr>
          <w:p w14:paraId="7461F975" w14:textId="77777777" w:rsidR="00AD29B7" w:rsidRPr="000D7BC8" w:rsidRDefault="00EF7F79" w:rsidP="00407AC6">
            <w:pPr>
              <w:spacing w:after="0" w:line="480" w:lineRule="auto"/>
              <w:jc w:val="center"/>
              <w:rPr>
                <w:rFonts w:ascii="Arial" w:eastAsia="Times New Roman" w:hAnsi="Arial" w:cs="Arial"/>
                <w:color w:val="000000"/>
              </w:rPr>
            </w:pPr>
            <w:r w:rsidRPr="000D7BC8">
              <w:rPr>
                <w:rFonts w:ascii="Arial" w:eastAsia="Times New Roman" w:hAnsi="Arial" w:cs="Arial"/>
                <w:color w:val="000000"/>
              </w:rPr>
              <w:t>12±0.81</w:t>
            </w:r>
          </w:p>
        </w:tc>
        <w:tc>
          <w:tcPr>
            <w:tcW w:w="1062" w:type="pct"/>
            <w:tcBorders>
              <w:top w:val="single" w:sz="4" w:space="0" w:color="auto"/>
              <w:left w:val="single" w:sz="4" w:space="0" w:color="auto"/>
              <w:bottom w:val="single" w:sz="4" w:space="0" w:color="auto"/>
              <w:right w:val="single" w:sz="4" w:space="0" w:color="auto"/>
            </w:tcBorders>
            <w:vAlign w:val="center"/>
          </w:tcPr>
          <w:p w14:paraId="6DABEEF1" w14:textId="77777777" w:rsidR="00AD29B7" w:rsidRPr="000D7BC8" w:rsidRDefault="00EF7F79" w:rsidP="00407AC6">
            <w:pPr>
              <w:spacing w:after="0" w:line="480" w:lineRule="auto"/>
              <w:jc w:val="center"/>
              <w:rPr>
                <w:rFonts w:ascii="Arial" w:eastAsia="Times New Roman" w:hAnsi="Arial" w:cs="Arial"/>
                <w:color w:val="000000"/>
              </w:rPr>
            </w:pPr>
            <w:r w:rsidRPr="000D7BC8">
              <w:rPr>
                <w:rFonts w:ascii="Arial" w:hAnsi="Arial" w:cs="Arial"/>
                <w:bCs/>
              </w:rPr>
              <w:t>17±0.24</w:t>
            </w:r>
          </w:p>
        </w:tc>
      </w:tr>
      <w:tr w:rsidR="00AD29B7" w:rsidRPr="005F4649" w14:paraId="0E8CADE2" w14:textId="77777777" w:rsidTr="00407AC6">
        <w:trPr>
          <w:trHeight w:val="288"/>
          <w:jc w:val="center"/>
        </w:trPr>
        <w:tc>
          <w:tcPr>
            <w:tcW w:w="2185" w:type="pct"/>
            <w:tcBorders>
              <w:top w:val="single" w:sz="4" w:space="0" w:color="auto"/>
              <w:left w:val="single" w:sz="4" w:space="0" w:color="auto"/>
              <w:bottom w:val="single" w:sz="4" w:space="0" w:color="auto"/>
              <w:right w:val="single" w:sz="4" w:space="0" w:color="auto"/>
            </w:tcBorders>
            <w:noWrap/>
            <w:vAlign w:val="center"/>
          </w:tcPr>
          <w:p w14:paraId="630EA457" w14:textId="77777777" w:rsidR="00AD29B7" w:rsidRPr="000D7BC8" w:rsidRDefault="00EF7F79" w:rsidP="00407AC6">
            <w:pPr>
              <w:spacing w:after="0" w:line="480" w:lineRule="auto"/>
              <w:jc w:val="center"/>
              <w:rPr>
                <w:rFonts w:ascii="Arial" w:eastAsia="Times New Roman" w:hAnsi="Arial" w:cs="Arial"/>
                <w:i/>
                <w:iCs/>
                <w:color w:val="000000"/>
              </w:rPr>
            </w:pPr>
            <w:r w:rsidRPr="000D7BC8">
              <w:rPr>
                <w:rFonts w:ascii="Arial" w:eastAsia="Times New Roman" w:hAnsi="Arial" w:cs="Arial"/>
                <w:i/>
                <w:iCs/>
                <w:color w:val="000000"/>
              </w:rPr>
              <w:t>Listeria monocytogenes</w:t>
            </w:r>
          </w:p>
        </w:tc>
        <w:tc>
          <w:tcPr>
            <w:tcW w:w="844" w:type="pct"/>
            <w:tcBorders>
              <w:top w:val="single" w:sz="4" w:space="0" w:color="auto"/>
              <w:left w:val="single" w:sz="4" w:space="0" w:color="auto"/>
              <w:bottom w:val="single" w:sz="4" w:space="0" w:color="auto"/>
              <w:right w:val="single" w:sz="4" w:space="0" w:color="auto"/>
            </w:tcBorders>
            <w:noWrap/>
            <w:vAlign w:val="center"/>
          </w:tcPr>
          <w:p w14:paraId="43C393EB" w14:textId="77777777" w:rsidR="00AD29B7" w:rsidRPr="000D7BC8" w:rsidRDefault="00EF7F79" w:rsidP="00407AC6">
            <w:pPr>
              <w:spacing w:after="0" w:line="480" w:lineRule="auto"/>
              <w:jc w:val="center"/>
              <w:rPr>
                <w:rFonts w:ascii="Arial" w:eastAsia="Times New Roman" w:hAnsi="Arial" w:cs="Arial"/>
                <w:color w:val="000000"/>
              </w:rPr>
            </w:pPr>
            <w:r w:rsidRPr="000D7BC8">
              <w:rPr>
                <w:rFonts w:ascii="Arial" w:eastAsia="Times New Roman" w:hAnsi="Arial" w:cs="Arial"/>
                <w:color w:val="000000"/>
              </w:rPr>
              <w:t>14±1</w:t>
            </w:r>
          </w:p>
        </w:tc>
        <w:tc>
          <w:tcPr>
            <w:tcW w:w="908" w:type="pct"/>
            <w:tcBorders>
              <w:top w:val="single" w:sz="4" w:space="0" w:color="auto"/>
              <w:left w:val="single" w:sz="4" w:space="0" w:color="auto"/>
              <w:bottom w:val="single" w:sz="4" w:space="0" w:color="auto"/>
              <w:right w:val="single" w:sz="4" w:space="0" w:color="auto"/>
            </w:tcBorders>
            <w:vAlign w:val="center"/>
          </w:tcPr>
          <w:p w14:paraId="410E70F1" w14:textId="77777777" w:rsidR="00AD29B7" w:rsidRPr="000D7BC8" w:rsidRDefault="00EF7F79" w:rsidP="00407AC6">
            <w:pPr>
              <w:spacing w:after="0" w:line="480" w:lineRule="auto"/>
              <w:jc w:val="center"/>
              <w:rPr>
                <w:rFonts w:ascii="Arial" w:eastAsia="Times New Roman" w:hAnsi="Arial" w:cs="Arial"/>
                <w:color w:val="000000"/>
              </w:rPr>
            </w:pPr>
            <w:r w:rsidRPr="000D7BC8">
              <w:rPr>
                <w:rFonts w:ascii="Arial" w:eastAsia="Times New Roman" w:hAnsi="Arial" w:cs="Arial"/>
                <w:color w:val="000000"/>
              </w:rPr>
              <w:t>-</w:t>
            </w:r>
          </w:p>
        </w:tc>
        <w:tc>
          <w:tcPr>
            <w:tcW w:w="1062" w:type="pct"/>
            <w:tcBorders>
              <w:top w:val="single" w:sz="4" w:space="0" w:color="auto"/>
              <w:left w:val="single" w:sz="4" w:space="0" w:color="auto"/>
              <w:bottom w:val="single" w:sz="4" w:space="0" w:color="auto"/>
              <w:right w:val="single" w:sz="4" w:space="0" w:color="auto"/>
            </w:tcBorders>
            <w:vAlign w:val="center"/>
          </w:tcPr>
          <w:p w14:paraId="620FADD5" w14:textId="77777777" w:rsidR="00AD29B7" w:rsidRPr="000D7BC8" w:rsidRDefault="00EF7F79" w:rsidP="00407AC6">
            <w:pPr>
              <w:spacing w:after="0" w:line="480" w:lineRule="auto"/>
              <w:jc w:val="center"/>
              <w:rPr>
                <w:rFonts w:ascii="Arial" w:eastAsia="Times New Roman" w:hAnsi="Arial" w:cs="Arial"/>
                <w:color w:val="000000"/>
              </w:rPr>
            </w:pPr>
            <w:r w:rsidRPr="000D7BC8">
              <w:rPr>
                <w:rFonts w:ascii="Arial" w:hAnsi="Arial" w:cs="Arial"/>
                <w:bCs/>
              </w:rPr>
              <w:t>16±0.47</w:t>
            </w:r>
          </w:p>
        </w:tc>
      </w:tr>
      <w:tr w:rsidR="00AD29B7" w:rsidRPr="005F4649" w14:paraId="77482E4B" w14:textId="77777777" w:rsidTr="00407AC6">
        <w:trPr>
          <w:trHeight w:val="288"/>
          <w:jc w:val="center"/>
        </w:trPr>
        <w:tc>
          <w:tcPr>
            <w:tcW w:w="2185" w:type="pct"/>
            <w:tcBorders>
              <w:top w:val="single" w:sz="4" w:space="0" w:color="auto"/>
              <w:left w:val="single" w:sz="4" w:space="0" w:color="auto"/>
              <w:bottom w:val="single" w:sz="4" w:space="0" w:color="auto"/>
              <w:right w:val="single" w:sz="4" w:space="0" w:color="auto"/>
            </w:tcBorders>
            <w:noWrap/>
            <w:vAlign w:val="center"/>
          </w:tcPr>
          <w:p w14:paraId="45F760FD" w14:textId="77777777" w:rsidR="00AD29B7" w:rsidRPr="000D7BC8" w:rsidRDefault="00EF7F79" w:rsidP="00407AC6">
            <w:pPr>
              <w:spacing w:after="0" w:line="480" w:lineRule="auto"/>
              <w:jc w:val="center"/>
              <w:rPr>
                <w:rFonts w:ascii="Arial" w:eastAsia="Times New Roman" w:hAnsi="Arial" w:cs="Arial"/>
                <w:i/>
                <w:iCs/>
                <w:color w:val="000000"/>
              </w:rPr>
            </w:pPr>
            <w:r w:rsidRPr="000D7BC8">
              <w:rPr>
                <w:rFonts w:ascii="Arial" w:eastAsia="Times New Roman" w:hAnsi="Arial" w:cs="Arial"/>
                <w:i/>
                <w:iCs/>
                <w:color w:val="000000"/>
              </w:rPr>
              <w:t>Enterococcus faecalis</w:t>
            </w:r>
          </w:p>
        </w:tc>
        <w:tc>
          <w:tcPr>
            <w:tcW w:w="844" w:type="pct"/>
            <w:tcBorders>
              <w:top w:val="single" w:sz="4" w:space="0" w:color="auto"/>
              <w:left w:val="single" w:sz="4" w:space="0" w:color="auto"/>
              <w:bottom w:val="single" w:sz="4" w:space="0" w:color="auto"/>
              <w:right w:val="single" w:sz="4" w:space="0" w:color="auto"/>
            </w:tcBorders>
            <w:noWrap/>
            <w:vAlign w:val="center"/>
          </w:tcPr>
          <w:p w14:paraId="3E5091FE" w14:textId="77777777" w:rsidR="00AD29B7" w:rsidRPr="000D7BC8" w:rsidRDefault="00EF7F79" w:rsidP="00407AC6">
            <w:pPr>
              <w:spacing w:after="0" w:line="480" w:lineRule="auto"/>
              <w:jc w:val="center"/>
              <w:rPr>
                <w:rFonts w:ascii="Arial" w:eastAsia="Times New Roman" w:hAnsi="Arial" w:cs="Arial"/>
                <w:color w:val="000000"/>
              </w:rPr>
            </w:pPr>
            <w:r w:rsidRPr="000D7BC8">
              <w:rPr>
                <w:rFonts w:ascii="Arial" w:eastAsia="Times New Roman" w:hAnsi="Arial" w:cs="Arial"/>
                <w:color w:val="000000"/>
              </w:rPr>
              <w:t>-</w:t>
            </w:r>
          </w:p>
        </w:tc>
        <w:tc>
          <w:tcPr>
            <w:tcW w:w="908" w:type="pct"/>
            <w:tcBorders>
              <w:top w:val="single" w:sz="4" w:space="0" w:color="auto"/>
              <w:left w:val="single" w:sz="4" w:space="0" w:color="auto"/>
              <w:bottom w:val="single" w:sz="4" w:space="0" w:color="auto"/>
              <w:right w:val="single" w:sz="4" w:space="0" w:color="auto"/>
            </w:tcBorders>
            <w:vAlign w:val="center"/>
          </w:tcPr>
          <w:p w14:paraId="33FD8D13" w14:textId="77777777" w:rsidR="00AD29B7" w:rsidRPr="000D7BC8" w:rsidRDefault="00EF7F79" w:rsidP="00407AC6">
            <w:pPr>
              <w:spacing w:after="0" w:line="480" w:lineRule="auto"/>
              <w:jc w:val="center"/>
              <w:rPr>
                <w:rFonts w:ascii="Arial" w:eastAsia="Times New Roman" w:hAnsi="Arial" w:cs="Arial"/>
                <w:color w:val="000000"/>
              </w:rPr>
            </w:pPr>
            <w:r w:rsidRPr="000D7BC8">
              <w:rPr>
                <w:rFonts w:ascii="Arial" w:eastAsia="Times New Roman" w:hAnsi="Arial" w:cs="Arial"/>
                <w:color w:val="000000"/>
              </w:rPr>
              <w:t>8.5±1.62</w:t>
            </w:r>
          </w:p>
        </w:tc>
        <w:tc>
          <w:tcPr>
            <w:tcW w:w="1062" w:type="pct"/>
            <w:tcBorders>
              <w:top w:val="single" w:sz="4" w:space="0" w:color="auto"/>
              <w:left w:val="single" w:sz="4" w:space="0" w:color="auto"/>
              <w:bottom w:val="single" w:sz="4" w:space="0" w:color="auto"/>
              <w:right w:val="single" w:sz="4" w:space="0" w:color="auto"/>
            </w:tcBorders>
            <w:vAlign w:val="center"/>
          </w:tcPr>
          <w:p w14:paraId="2119D68A" w14:textId="77777777" w:rsidR="00AD29B7" w:rsidRPr="000D7BC8" w:rsidRDefault="00EF7F79" w:rsidP="00407AC6">
            <w:pPr>
              <w:spacing w:after="0" w:line="480" w:lineRule="auto"/>
              <w:jc w:val="center"/>
              <w:rPr>
                <w:rFonts w:ascii="Arial" w:eastAsia="Times New Roman" w:hAnsi="Arial" w:cs="Arial"/>
                <w:color w:val="000000"/>
              </w:rPr>
            </w:pPr>
            <w:r w:rsidRPr="000D7BC8">
              <w:rPr>
                <w:rFonts w:ascii="Arial" w:hAnsi="Arial" w:cs="Arial"/>
                <w:bCs/>
              </w:rPr>
              <w:t>10±0.81</w:t>
            </w:r>
          </w:p>
        </w:tc>
      </w:tr>
      <w:tr w:rsidR="00AD29B7" w:rsidRPr="005F4649" w14:paraId="4F43A27E" w14:textId="77777777" w:rsidTr="00407AC6">
        <w:trPr>
          <w:trHeight w:val="288"/>
          <w:jc w:val="center"/>
        </w:trPr>
        <w:tc>
          <w:tcPr>
            <w:tcW w:w="2185" w:type="pct"/>
            <w:tcBorders>
              <w:top w:val="single" w:sz="4" w:space="0" w:color="auto"/>
              <w:left w:val="single" w:sz="4" w:space="0" w:color="auto"/>
              <w:bottom w:val="single" w:sz="4" w:space="0" w:color="auto"/>
              <w:right w:val="single" w:sz="4" w:space="0" w:color="auto"/>
            </w:tcBorders>
            <w:noWrap/>
            <w:vAlign w:val="center"/>
          </w:tcPr>
          <w:p w14:paraId="2724DBFF" w14:textId="77777777" w:rsidR="00AD29B7" w:rsidRPr="000D7BC8" w:rsidRDefault="00EF7F79" w:rsidP="00407AC6">
            <w:pPr>
              <w:spacing w:after="0" w:line="480" w:lineRule="auto"/>
              <w:jc w:val="center"/>
              <w:rPr>
                <w:rFonts w:ascii="Arial" w:eastAsia="Times New Roman" w:hAnsi="Arial" w:cs="Arial"/>
                <w:i/>
                <w:iCs/>
                <w:color w:val="000000"/>
              </w:rPr>
            </w:pPr>
            <w:r w:rsidRPr="000D7BC8">
              <w:rPr>
                <w:rFonts w:ascii="Arial" w:eastAsia="Times New Roman" w:hAnsi="Arial" w:cs="Arial"/>
                <w:i/>
                <w:iCs/>
                <w:color w:val="000000"/>
              </w:rPr>
              <w:t>Pseudomonas aeruginosa</w:t>
            </w:r>
          </w:p>
        </w:tc>
        <w:tc>
          <w:tcPr>
            <w:tcW w:w="844" w:type="pct"/>
            <w:tcBorders>
              <w:top w:val="single" w:sz="4" w:space="0" w:color="auto"/>
              <w:left w:val="single" w:sz="4" w:space="0" w:color="auto"/>
              <w:bottom w:val="single" w:sz="4" w:space="0" w:color="auto"/>
              <w:right w:val="single" w:sz="4" w:space="0" w:color="auto"/>
            </w:tcBorders>
            <w:noWrap/>
            <w:vAlign w:val="center"/>
          </w:tcPr>
          <w:p w14:paraId="4C189D14" w14:textId="77777777" w:rsidR="00AD29B7" w:rsidRPr="000D7BC8" w:rsidRDefault="00EF7F79" w:rsidP="00407AC6">
            <w:pPr>
              <w:spacing w:after="0" w:line="480" w:lineRule="auto"/>
              <w:jc w:val="center"/>
              <w:rPr>
                <w:rFonts w:ascii="Arial" w:eastAsia="Times New Roman" w:hAnsi="Arial" w:cs="Arial"/>
                <w:color w:val="000000"/>
              </w:rPr>
            </w:pPr>
            <w:r w:rsidRPr="000D7BC8">
              <w:rPr>
                <w:rFonts w:ascii="Arial" w:eastAsia="Times New Roman" w:hAnsi="Arial" w:cs="Arial"/>
                <w:color w:val="000000"/>
              </w:rPr>
              <w:t>17±2</w:t>
            </w:r>
          </w:p>
        </w:tc>
        <w:tc>
          <w:tcPr>
            <w:tcW w:w="908" w:type="pct"/>
            <w:tcBorders>
              <w:top w:val="single" w:sz="4" w:space="0" w:color="auto"/>
              <w:left w:val="single" w:sz="4" w:space="0" w:color="auto"/>
              <w:bottom w:val="single" w:sz="4" w:space="0" w:color="auto"/>
              <w:right w:val="single" w:sz="4" w:space="0" w:color="auto"/>
            </w:tcBorders>
            <w:vAlign w:val="center"/>
          </w:tcPr>
          <w:p w14:paraId="674EE121" w14:textId="77777777" w:rsidR="00AD29B7" w:rsidRPr="000D7BC8" w:rsidRDefault="00EF7F79" w:rsidP="00407AC6">
            <w:pPr>
              <w:spacing w:after="0" w:line="480" w:lineRule="auto"/>
              <w:jc w:val="center"/>
              <w:rPr>
                <w:rFonts w:ascii="Arial" w:eastAsia="Times New Roman" w:hAnsi="Arial" w:cs="Arial"/>
                <w:color w:val="000000"/>
              </w:rPr>
            </w:pPr>
            <w:r w:rsidRPr="000D7BC8">
              <w:rPr>
                <w:rFonts w:ascii="Arial" w:eastAsia="Times New Roman" w:hAnsi="Arial" w:cs="Arial"/>
                <w:color w:val="000000"/>
              </w:rPr>
              <w:t>13.6±1.24</w:t>
            </w:r>
          </w:p>
        </w:tc>
        <w:tc>
          <w:tcPr>
            <w:tcW w:w="1062" w:type="pct"/>
            <w:tcBorders>
              <w:top w:val="single" w:sz="4" w:space="0" w:color="auto"/>
              <w:left w:val="single" w:sz="4" w:space="0" w:color="auto"/>
              <w:bottom w:val="single" w:sz="4" w:space="0" w:color="auto"/>
              <w:right w:val="single" w:sz="4" w:space="0" w:color="auto"/>
            </w:tcBorders>
            <w:vAlign w:val="center"/>
          </w:tcPr>
          <w:p w14:paraId="581F9929" w14:textId="77777777" w:rsidR="00AD29B7" w:rsidRPr="000D7BC8" w:rsidRDefault="00EF7F79" w:rsidP="00407AC6">
            <w:pPr>
              <w:spacing w:after="0" w:line="480" w:lineRule="auto"/>
              <w:jc w:val="center"/>
              <w:rPr>
                <w:rFonts w:ascii="Arial" w:eastAsia="Times New Roman" w:hAnsi="Arial" w:cs="Arial"/>
                <w:color w:val="000000"/>
              </w:rPr>
            </w:pPr>
            <w:r w:rsidRPr="000D7BC8">
              <w:rPr>
                <w:rFonts w:ascii="Arial" w:hAnsi="Arial" w:cs="Arial"/>
                <w:bCs/>
              </w:rPr>
              <w:t>12±0.58</w:t>
            </w:r>
          </w:p>
        </w:tc>
      </w:tr>
      <w:tr w:rsidR="00AD29B7" w:rsidRPr="005F4649" w14:paraId="18701A68" w14:textId="77777777" w:rsidTr="00407AC6">
        <w:trPr>
          <w:trHeight w:val="288"/>
          <w:jc w:val="center"/>
        </w:trPr>
        <w:tc>
          <w:tcPr>
            <w:tcW w:w="2185" w:type="pct"/>
            <w:tcBorders>
              <w:top w:val="single" w:sz="4" w:space="0" w:color="auto"/>
              <w:left w:val="single" w:sz="4" w:space="0" w:color="auto"/>
              <w:bottom w:val="single" w:sz="4" w:space="0" w:color="auto"/>
              <w:right w:val="single" w:sz="4" w:space="0" w:color="auto"/>
            </w:tcBorders>
            <w:noWrap/>
            <w:vAlign w:val="center"/>
          </w:tcPr>
          <w:p w14:paraId="70BDAB7D" w14:textId="77777777" w:rsidR="00AD29B7" w:rsidRPr="000D7BC8" w:rsidRDefault="00EF7F79" w:rsidP="00407AC6">
            <w:pPr>
              <w:spacing w:after="0" w:line="480" w:lineRule="auto"/>
              <w:jc w:val="center"/>
              <w:rPr>
                <w:rFonts w:ascii="Arial" w:eastAsia="Times New Roman" w:hAnsi="Arial" w:cs="Arial"/>
                <w:i/>
                <w:iCs/>
                <w:color w:val="000000"/>
              </w:rPr>
            </w:pPr>
            <w:r w:rsidRPr="000D7BC8">
              <w:rPr>
                <w:rFonts w:ascii="Arial" w:eastAsia="Times New Roman" w:hAnsi="Arial" w:cs="Arial"/>
                <w:i/>
                <w:iCs/>
                <w:color w:val="000000"/>
              </w:rPr>
              <w:t>Escherichia coli</w:t>
            </w:r>
          </w:p>
        </w:tc>
        <w:tc>
          <w:tcPr>
            <w:tcW w:w="844" w:type="pct"/>
            <w:tcBorders>
              <w:top w:val="single" w:sz="4" w:space="0" w:color="auto"/>
              <w:left w:val="single" w:sz="4" w:space="0" w:color="auto"/>
              <w:bottom w:val="single" w:sz="4" w:space="0" w:color="auto"/>
              <w:right w:val="single" w:sz="4" w:space="0" w:color="auto"/>
            </w:tcBorders>
            <w:noWrap/>
            <w:vAlign w:val="center"/>
          </w:tcPr>
          <w:p w14:paraId="3768D3F2" w14:textId="77777777" w:rsidR="00AD29B7" w:rsidRPr="000D7BC8" w:rsidRDefault="00EF7F79" w:rsidP="00407AC6">
            <w:pPr>
              <w:spacing w:after="0" w:line="480" w:lineRule="auto"/>
              <w:jc w:val="center"/>
              <w:rPr>
                <w:rFonts w:ascii="Arial" w:eastAsia="Times New Roman" w:hAnsi="Arial" w:cs="Arial"/>
                <w:color w:val="000000"/>
              </w:rPr>
            </w:pPr>
            <w:r w:rsidRPr="000D7BC8">
              <w:rPr>
                <w:rFonts w:ascii="Arial" w:eastAsia="Times New Roman" w:hAnsi="Arial" w:cs="Arial"/>
                <w:color w:val="000000"/>
              </w:rPr>
              <w:t>15±2</w:t>
            </w:r>
          </w:p>
        </w:tc>
        <w:tc>
          <w:tcPr>
            <w:tcW w:w="908" w:type="pct"/>
            <w:tcBorders>
              <w:top w:val="single" w:sz="4" w:space="0" w:color="auto"/>
              <w:left w:val="single" w:sz="4" w:space="0" w:color="auto"/>
              <w:bottom w:val="single" w:sz="4" w:space="0" w:color="auto"/>
              <w:right w:val="single" w:sz="4" w:space="0" w:color="auto"/>
            </w:tcBorders>
            <w:vAlign w:val="center"/>
          </w:tcPr>
          <w:p w14:paraId="4B97B65E" w14:textId="77777777" w:rsidR="00AD29B7" w:rsidRPr="000D7BC8" w:rsidRDefault="00EF7F79" w:rsidP="00407AC6">
            <w:pPr>
              <w:spacing w:after="0" w:line="480" w:lineRule="auto"/>
              <w:jc w:val="center"/>
              <w:rPr>
                <w:rFonts w:ascii="Arial" w:eastAsia="Times New Roman" w:hAnsi="Arial" w:cs="Arial"/>
                <w:color w:val="000000"/>
              </w:rPr>
            </w:pPr>
            <w:r w:rsidRPr="000D7BC8">
              <w:rPr>
                <w:rFonts w:ascii="Arial" w:eastAsia="Times New Roman" w:hAnsi="Arial" w:cs="Arial"/>
                <w:color w:val="000000"/>
              </w:rPr>
              <w:t>-</w:t>
            </w:r>
          </w:p>
        </w:tc>
        <w:tc>
          <w:tcPr>
            <w:tcW w:w="1062" w:type="pct"/>
            <w:tcBorders>
              <w:top w:val="single" w:sz="4" w:space="0" w:color="auto"/>
              <w:left w:val="single" w:sz="4" w:space="0" w:color="auto"/>
              <w:bottom w:val="single" w:sz="4" w:space="0" w:color="auto"/>
              <w:right w:val="single" w:sz="4" w:space="0" w:color="auto"/>
            </w:tcBorders>
            <w:vAlign w:val="center"/>
          </w:tcPr>
          <w:p w14:paraId="163C0A9E" w14:textId="77777777" w:rsidR="00AD29B7" w:rsidRPr="000D7BC8" w:rsidRDefault="00EF7F79" w:rsidP="00407AC6">
            <w:pPr>
              <w:spacing w:after="0" w:line="480" w:lineRule="auto"/>
              <w:jc w:val="center"/>
              <w:rPr>
                <w:rFonts w:ascii="Arial" w:eastAsia="Times New Roman" w:hAnsi="Arial" w:cs="Arial"/>
                <w:color w:val="000000"/>
              </w:rPr>
            </w:pPr>
            <w:r w:rsidRPr="000D7BC8">
              <w:rPr>
                <w:rFonts w:ascii="Arial" w:hAnsi="Arial" w:cs="Arial"/>
                <w:bCs/>
              </w:rPr>
              <w:t>11±0.81</w:t>
            </w:r>
          </w:p>
        </w:tc>
      </w:tr>
      <w:tr w:rsidR="00AD29B7" w:rsidRPr="005F4649" w14:paraId="60DEEEBE" w14:textId="77777777" w:rsidTr="00407AC6">
        <w:trPr>
          <w:trHeight w:val="288"/>
          <w:jc w:val="center"/>
        </w:trPr>
        <w:tc>
          <w:tcPr>
            <w:tcW w:w="2185" w:type="pct"/>
            <w:tcBorders>
              <w:top w:val="single" w:sz="4" w:space="0" w:color="auto"/>
              <w:left w:val="single" w:sz="4" w:space="0" w:color="auto"/>
              <w:bottom w:val="single" w:sz="4" w:space="0" w:color="auto"/>
              <w:right w:val="single" w:sz="4" w:space="0" w:color="auto"/>
            </w:tcBorders>
            <w:noWrap/>
            <w:vAlign w:val="center"/>
          </w:tcPr>
          <w:p w14:paraId="1FB1B471" w14:textId="77777777" w:rsidR="00AD29B7" w:rsidRPr="000D7BC8" w:rsidRDefault="00EF7F79" w:rsidP="00407AC6">
            <w:pPr>
              <w:spacing w:after="0" w:line="480" w:lineRule="auto"/>
              <w:jc w:val="center"/>
              <w:rPr>
                <w:rFonts w:ascii="Arial" w:eastAsia="Times New Roman" w:hAnsi="Arial" w:cs="Arial"/>
                <w:i/>
                <w:iCs/>
                <w:color w:val="000000"/>
              </w:rPr>
            </w:pPr>
            <w:r w:rsidRPr="000D7BC8">
              <w:rPr>
                <w:rFonts w:ascii="Arial" w:eastAsia="Times New Roman" w:hAnsi="Arial" w:cs="Arial"/>
                <w:i/>
                <w:iCs/>
                <w:color w:val="000000"/>
              </w:rPr>
              <w:t>Candida albicans</w:t>
            </w:r>
          </w:p>
        </w:tc>
        <w:tc>
          <w:tcPr>
            <w:tcW w:w="844" w:type="pct"/>
            <w:tcBorders>
              <w:top w:val="single" w:sz="4" w:space="0" w:color="auto"/>
              <w:left w:val="single" w:sz="4" w:space="0" w:color="auto"/>
              <w:bottom w:val="single" w:sz="4" w:space="0" w:color="auto"/>
              <w:right w:val="single" w:sz="4" w:space="0" w:color="auto"/>
            </w:tcBorders>
            <w:noWrap/>
            <w:vAlign w:val="center"/>
          </w:tcPr>
          <w:p w14:paraId="7F64106A" w14:textId="77777777" w:rsidR="00AD29B7" w:rsidRPr="000D7BC8" w:rsidRDefault="00EF7F79" w:rsidP="00407AC6">
            <w:pPr>
              <w:spacing w:after="0" w:line="480" w:lineRule="auto"/>
              <w:jc w:val="center"/>
              <w:rPr>
                <w:rFonts w:ascii="Arial" w:eastAsia="Times New Roman" w:hAnsi="Arial" w:cs="Arial"/>
                <w:color w:val="000000"/>
              </w:rPr>
            </w:pPr>
            <w:r w:rsidRPr="000D7BC8">
              <w:rPr>
                <w:rFonts w:ascii="Arial" w:eastAsia="Times New Roman" w:hAnsi="Arial" w:cs="Arial"/>
                <w:color w:val="000000"/>
              </w:rPr>
              <w:t>14±2.08</w:t>
            </w:r>
          </w:p>
        </w:tc>
        <w:tc>
          <w:tcPr>
            <w:tcW w:w="908" w:type="pct"/>
            <w:tcBorders>
              <w:top w:val="single" w:sz="4" w:space="0" w:color="auto"/>
              <w:left w:val="single" w:sz="4" w:space="0" w:color="auto"/>
              <w:bottom w:val="single" w:sz="4" w:space="0" w:color="auto"/>
              <w:right w:val="single" w:sz="4" w:space="0" w:color="auto"/>
            </w:tcBorders>
            <w:vAlign w:val="center"/>
          </w:tcPr>
          <w:p w14:paraId="3CD6A9A5" w14:textId="77777777" w:rsidR="00AD29B7" w:rsidRPr="000D7BC8" w:rsidRDefault="00EF7F79" w:rsidP="00407AC6">
            <w:pPr>
              <w:spacing w:after="0" w:line="480" w:lineRule="auto"/>
              <w:jc w:val="center"/>
              <w:rPr>
                <w:rFonts w:ascii="Arial" w:eastAsia="Times New Roman" w:hAnsi="Arial" w:cs="Arial"/>
                <w:color w:val="000000"/>
              </w:rPr>
            </w:pPr>
            <w:r w:rsidRPr="000D7BC8">
              <w:rPr>
                <w:rFonts w:ascii="Arial" w:eastAsia="Times New Roman" w:hAnsi="Arial" w:cs="Arial"/>
                <w:color w:val="000000"/>
              </w:rPr>
              <w:t>-</w:t>
            </w:r>
          </w:p>
        </w:tc>
        <w:tc>
          <w:tcPr>
            <w:tcW w:w="1062" w:type="pct"/>
            <w:tcBorders>
              <w:top w:val="single" w:sz="4" w:space="0" w:color="auto"/>
              <w:left w:val="single" w:sz="4" w:space="0" w:color="auto"/>
              <w:bottom w:val="single" w:sz="4" w:space="0" w:color="auto"/>
              <w:right w:val="single" w:sz="4" w:space="0" w:color="auto"/>
            </w:tcBorders>
            <w:vAlign w:val="center"/>
          </w:tcPr>
          <w:p w14:paraId="1236F197" w14:textId="77777777" w:rsidR="00AD29B7" w:rsidRPr="000D7BC8" w:rsidRDefault="00EF7F79" w:rsidP="00407AC6">
            <w:pPr>
              <w:spacing w:after="0" w:line="480" w:lineRule="auto"/>
              <w:jc w:val="center"/>
              <w:rPr>
                <w:rFonts w:ascii="Arial" w:eastAsia="Times New Roman" w:hAnsi="Arial" w:cs="Arial"/>
                <w:color w:val="000000"/>
              </w:rPr>
            </w:pPr>
            <w:r w:rsidRPr="000D7BC8">
              <w:rPr>
                <w:rFonts w:ascii="Arial" w:hAnsi="Arial" w:cs="Arial"/>
                <w:bCs/>
              </w:rPr>
              <w:t>16±0.94</w:t>
            </w:r>
          </w:p>
        </w:tc>
      </w:tr>
    </w:tbl>
    <w:p w14:paraId="6379D466" w14:textId="77777777" w:rsidR="00AD29B7" w:rsidRPr="000D7BC8" w:rsidRDefault="00AD29B7">
      <w:pPr>
        <w:jc w:val="both"/>
        <w:rPr>
          <w:rFonts w:ascii="Arial" w:hAnsi="Arial" w:cs="Arial"/>
          <w:b/>
          <w:bCs/>
        </w:rPr>
      </w:pPr>
    </w:p>
    <w:p w14:paraId="5737CD9D" w14:textId="1B8F443F" w:rsidR="00AD29B7" w:rsidRPr="000D7BC8" w:rsidRDefault="005656B9" w:rsidP="00407AC6">
      <w:pPr>
        <w:jc w:val="center"/>
        <w:rPr>
          <w:rFonts w:ascii="Arial" w:hAnsi="Arial" w:cs="Arial"/>
          <w:b/>
          <w:szCs w:val="36"/>
        </w:rPr>
      </w:pPr>
      <w:r w:rsidRPr="000D7BC8">
        <w:rPr>
          <w:rFonts w:ascii="Arial" w:hAnsi="Arial" w:cs="Arial"/>
          <w:b/>
          <w:noProof/>
          <w:szCs w:val="36"/>
        </w:rPr>
        <w:lastRenderedPageBreak/>
        <w:drawing>
          <wp:inline distT="0" distB="0" distL="0" distR="0" wp14:anchorId="27F6905D" wp14:editId="6580DC46">
            <wp:extent cx="4005580" cy="3999230"/>
            <wp:effectExtent l="0" t="0" r="0" b="1270"/>
            <wp:docPr id="1895656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5580" cy="3999230"/>
                    </a:xfrm>
                    <a:prstGeom prst="rect">
                      <a:avLst/>
                    </a:prstGeom>
                    <a:noFill/>
                  </pic:spPr>
                </pic:pic>
              </a:graphicData>
            </a:graphic>
          </wp:inline>
        </w:drawing>
      </w:r>
    </w:p>
    <w:p w14:paraId="12D7E0B2" w14:textId="764A7445" w:rsidR="00AD29B7" w:rsidRPr="000D7BC8" w:rsidRDefault="004D0D1A" w:rsidP="0032553B">
      <w:pPr>
        <w:jc w:val="both"/>
        <w:rPr>
          <w:rFonts w:ascii="Arial" w:hAnsi="Arial" w:cs="Arial"/>
          <w:b/>
          <w:sz w:val="20"/>
          <w:szCs w:val="28"/>
        </w:rPr>
      </w:pPr>
      <w:r w:rsidRPr="000D7BC8">
        <w:rPr>
          <w:rFonts w:ascii="Arial" w:hAnsi="Arial" w:cs="Arial"/>
          <w:b/>
          <w:sz w:val="20"/>
          <w:szCs w:val="28"/>
        </w:rPr>
        <w:t xml:space="preserve">Fig. </w:t>
      </w:r>
      <w:r w:rsidR="00EF7F79" w:rsidRPr="000D7BC8">
        <w:rPr>
          <w:rFonts w:ascii="Arial" w:hAnsi="Arial" w:cs="Arial"/>
          <w:b/>
          <w:sz w:val="20"/>
          <w:szCs w:val="28"/>
        </w:rPr>
        <w:t>7</w:t>
      </w:r>
      <w:r w:rsidR="006D5A16" w:rsidRPr="000D7BC8">
        <w:rPr>
          <w:rFonts w:ascii="Arial" w:hAnsi="Arial" w:cs="Arial"/>
          <w:b/>
          <w:sz w:val="20"/>
          <w:szCs w:val="28"/>
        </w:rPr>
        <w:t>:</w:t>
      </w:r>
      <w:r w:rsidR="006D5A16" w:rsidRPr="000D7BC8">
        <w:rPr>
          <w:rFonts w:ascii="Arial" w:hAnsi="Arial" w:cs="Arial"/>
          <w:sz w:val="28"/>
          <w:szCs w:val="28"/>
        </w:rPr>
        <w:t xml:space="preserve"> </w:t>
      </w:r>
      <w:r w:rsidR="006D5A16" w:rsidRPr="000D7BC8">
        <w:rPr>
          <w:rFonts w:ascii="Arial" w:hAnsi="Arial" w:cs="Arial"/>
          <w:b/>
          <w:sz w:val="20"/>
          <w:szCs w:val="28"/>
        </w:rPr>
        <w:t>Antimicrobial activity of test samples against selected human pathogens.</w:t>
      </w:r>
      <w:r w:rsidR="00361E89" w:rsidRPr="000D7BC8">
        <w:rPr>
          <w:rFonts w:ascii="Arial" w:hAnsi="Arial" w:cs="Arial"/>
          <w:b/>
          <w:sz w:val="20"/>
          <w:szCs w:val="28"/>
        </w:rPr>
        <w:t xml:space="preserve"> </w:t>
      </w:r>
      <w:r w:rsidR="006D5A16" w:rsidRPr="000D7BC8">
        <w:rPr>
          <w:rFonts w:ascii="Arial" w:hAnsi="Arial" w:cs="Arial"/>
          <w:b/>
          <w:sz w:val="20"/>
          <w:szCs w:val="28"/>
        </w:rPr>
        <w:t xml:space="preserve">Zones of inhibition are shown for: </w:t>
      </w:r>
      <w:r w:rsidR="006D5A16" w:rsidRPr="000D7BC8">
        <w:rPr>
          <w:rFonts w:ascii="Arial" w:hAnsi="Arial" w:cs="Arial"/>
          <w:b/>
          <w:bCs/>
          <w:sz w:val="20"/>
          <w:szCs w:val="28"/>
        </w:rPr>
        <w:t>A.</w:t>
      </w:r>
      <w:r w:rsidR="006D5A16" w:rsidRPr="000D7BC8">
        <w:rPr>
          <w:rFonts w:ascii="Arial" w:hAnsi="Arial" w:cs="Arial"/>
          <w:b/>
          <w:sz w:val="20"/>
          <w:szCs w:val="28"/>
        </w:rPr>
        <w:t xml:space="preserve"> </w:t>
      </w:r>
      <w:r w:rsidR="006D5A16" w:rsidRPr="000D7BC8">
        <w:rPr>
          <w:rFonts w:ascii="Arial" w:hAnsi="Arial" w:cs="Arial"/>
          <w:b/>
          <w:i/>
          <w:iCs/>
          <w:sz w:val="20"/>
          <w:szCs w:val="28"/>
        </w:rPr>
        <w:t>Staphylococcus aureus</w:t>
      </w:r>
      <w:r w:rsidR="006D5A16" w:rsidRPr="000D7BC8">
        <w:rPr>
          <w:rFonts w:ascii="Arial" w:hAnsi="Arial" w:cs="Arial"/>
          <w:b/>
          <w:sz w:val="20"/>
          <w:szCs w:val="28"/>
        </w:rPr>
        <w:t xml:space="preserve">, </w:t>
      </w:r>
      <w:r w:rsidR="006D5A16" w:rsidRPr="000D7BC8">
        <w:rPr>
          <w:rFonts w:ascii="Arial" w:hAnsi="Arial" w:cs="Arial"/>
          <w:b/>
          <w:bCs/>
          <w:sz w:val="20"/>
          <w:szCs w:val="28"/>
        </w:rPr>
        <w:t>B.</w:t>
      </w:r>
      <w:r w:rsidR="006D5A16" w:rsidRPr="000D7BC8">
        <w:rPr>
          <w:rFonts w:ascii="Arial" w:hAnsi="Arial" w:cs="Arial"/>
          <w:b/>
          <w:sz w:val="20"/>
          <w:szCs w:val="28"/>
        </w:rPr>
        <w:t xml:space="preserve"> </w:t>
      </w:r>
      <w:r w:rsidR="006D5A16" w:rsidRPr="000D7BC8">
        <w:rPr>
          <w:rFonts w:ascii="Arial" w:hAnsi="Arial" w:cs="Arial"/>
          <w:b/>
          <w:i/>
          <w:iCs/>
          <w:sz w:val="20"/>
          <w:szCs w:val="28"/>
        </w:rPr>
        <w:t>Listeria monocytogenes</w:t>
      </w:r>
      <w:r w:rsidR="006D5A16" w:rsidRPr="000D7BC8">
        <w:rPr>
          <w:rFonts w:ascii="Arial" w:hAnsi="Arial" w:cs="Arial"/>
          <w:b/>
          <w:sz w:val="20"/>
          <w:szCs w:val="28"/>
        </w:rPr>
        <w:t xml:space="preserve">, </w:t>
      </w:r>
      <w:r w:rsidR="006D5A16" w:rsidRPr="000D7BC8">
        <w:rPr>
          <w:rFonts w:ascii="Arial" w:hAnsi="Arial" w:cs="Arial"/>
          <w:b/>
          <w:bCs/>
          <w:sz w:val="20"/>
          <w:szCs w:val="28"/>
        </w:rPr>
        <w:t>C.</w:t>
      </w:r>
      <w:r w:rsidR="006D5A16" w:rsidRPr="000D7BC8">
        <w:rPr>
          <w:rFonts w:ascii="Arial" w:hAnsi="Arial" w:cs="Arial"/>
          <w:b/>
          <w:sz w:val="20"/>
          <w:szCs w:val="28"/>
        </w:rPr>
        <w:t xml:space="preserve"> </w:t>
      </w:r>
      <w:r w:rsidR="006D5A16" w:rsidRPr="000D7BC8">
        <w:rPr>
          <w:rFonts w:ascii="Arial" w:hAnsi="Arial" w:cs="Arial"/>
          <w:b/>
          <w:i/>
          <w:iCs/>
          <w:sz w:val="20"/>
          <w:szCs w:val="28"/>
        </w:rPr>
        <w:t xml:space="preserve">Pseudomonas aeruginosa, </w:t>
      </w:r>
      <w:r w:rsidR="006D5A16" w:rsidRPr="000D7BC8">
        <w:rPr>
          <w:rFonts w:ascii="Arial" w:hAnsi="Arial" w:cs="Arial"/>
          <w:b/>
          <w:bCs/>
          <w:sz w:val="20"/>
          <w:szCs w:val="28"/>
        </w:rPr>
        <w:t>D.</w:t>
      </w:r>
      <w:r w:rsidR="006D5A16" w:rsidRPr="000D7BC8">
        <w:rPr>
          <w:rFonts w:ascii="Arial" w:hAnsi="Arial" w:cs="Arial"/>
          <w:b/>
          <w:sz w:val="20"/>
          <w:szCs w:val="28"/>
        </w:rPr>
        <w:t xml:space="preserve"> </w:t>
      </w:r>
      <w:r w:rsidR="006D5A16" w:rsidRPr="000D7BC8">
        <w:rPr>
          <w:rFonts w:ascii="Arial" w:hAnsi="Arial" w:cs="Arial"/>
          <w:b/>
          <w:i/>
          <w:iCs/>
          <w:sz w:val="20"/>
          <w:szCs w:val="28"/>
        </w:rPr>
        <w:t>Candida albicans.</w:t>
      </w:r>
    </w:p>
    <w:p w14:paraId="7ED3CC46" w14:textId="215B6F35" w:rsidR="00AD29B7" w:rsidRPr="000D7BC8" w:rsidRDefault="00EF7F79">
      <w:pPr>
        <w:ind w:firstLine="720"/>
        <w:jc w:val="both"/>
        <w:rPr>
          <w:rFonts w:ascii="Arial" w:hAnsi="Arial" w:cs="Arial"/>
          <w:iCs/>
          <w:sz w:val="20"/>
          <w:szCs w:val="20"/>
        </w:rPr>
      </w:pPr>
      <w:r w:rsidRPr="000D7BC8">
        <w:rPr>
          <w:rFonts w:ascii="Arial" w:hAnsi="Arial" w:cs="Arial"/>
          <w:iCs/>
          <w:sz w:val="20"/>
          <w:szCs w:val="20"/>
        </w:rPr>
        <w:t xml:space="preserve">Against fish pathogens, the broth extract exhibited the strongest inhibitory activity against </w:t>
      </w:r>
      <w:proofErr w:type="spellStart"/>
      <w:r w:rsidRPr="000D7BC8">
        <w:rPr>
          <w:rFonts w:ascii="Arial" w:hAnsi="Arial" w:cs="Arial"/>
          <w:i/>
          <w:sz w:val="20"/>
          <w:szCs w:val="20"/>
        </w:rPr>
        <w:t>Edwardsiella</w:t>
      </w:r>
      <w:proofErr w:type="spellEnd"/>
      <w:r w:rsidRPr="000D7BC8">
        <w:rPr>
          <w:rFonts w:ascii="Arial" w:hAnsi="Arial" w:cs="Arial"/>
          <w:i/>
          <w:sz w:val="20"/>
          <w:szCs w:val="20"/>
        </w:rPr>
        <w:t xml:space="preserve"> </w:t>
      </w:r>
      <w:proofErr w:type="spellStart"/>
      <w:r w:rsidRPr="000D7BC8">
        <w:rPr>
          <w:rFonts w:ascii="Arial" w:hAnsi="Arial" w:cs="Arial"/>
          <w:i/>
          <w:sz w:val="20"/>
          <w:szCs w:val="20"/>
        </w:rPr>
        <w:t>tarda</w:t>
      </w:r>
      <w:proofErr w:type="spellEnd"/>
      <w:r w:rsidRPr="000D7BC8">
        <w:rPr>
          <w:rFonts w:ascii="Arial" w:hAnsi="Arial" w:cs="Arial"/>
          <w:iCs/>
          <w:sz w:val="20"/>
          <w:szCs w:val="20"/>
        </w:rPr>
        <w:t xml:space="preserve"> (18 ± 2.64 mm), followed by </w:t>
      </w:r>
      <w:r w:rsidRPr="000D7BC8">
        <w:rPr>
          <w:rFonts w:ascii="Arial" w:hAnsi="Arial" w:cs="Arial"/>
          <w:i/>
          <w:sz w:val="20"/>
          <w:szCs w:val="20"/>
        </w:rPr>
        <w:t xml:space="preserve">Aeromonas </w:t>
      </w:r>
      <w:proofErr w:type="spellStart"/>
      <w:r w:rsidRPr="000D7BC8">
        <w:rPr>
          <w:rFonts w:ascii="Arial" w:hAnsi="Arial" w:cs="Arial"/>
          <w:i/>
          <w:sz w:val="20"/>
          <w:szCs w:val="20"/>
        </w:rPr>
        <w:t>hydrophila</w:t>
      </w:r>
      <w:proofErr w:type="spellEnd"/>
      <w:r w:rsidRPr="000D7BC8">
        <w:rPr>
          <w:rFonts w:ascii="Arial" w:hAnsi="Arial" w:cs="Arial"/>
          <w:iCs/>
          <w:sz w:val="20"/>
          <w:szCs w:val="20"/>
        </w:rPr>
        <w:t xml:space="preserve"> (17±1) and </w:t>
      </w:r>
      <w:r w:rsidRPr="000D7BC8">
        <w:rPr>
          <w:rFonts w:ascii="Arial" w:hAnsi="Arial" w:cs="Arial"/>
          <w:i/>
          <w:sz w:val="20"/>
          <w:szCs w:val="20"/>
        </w:rPr>
        <w:t xml:space="preserve">Vibrio </w:t>
      </w:r>
      <w:proofErr w:type="spellStart"/>
      <w:r w:rsidRPr="000D7BC8">
        <w:rPr>
          <w:rFonts w:ascii="Arial" w:hAnsi="Arial" w:cs="Arial"/>
          <w:i/>
          <w:sz w:val="20"/>
          <w:szCs w:val="20"/>
        </w:rPr>
        <w:t>harveyi</w:t>
      </w:r>
      <w:proofErr w:type="spellEnd"/>
      <w:r w:rsidRPr="000D7BC8">
        <w:rPr>
          <w:rFonts w:ascii="Arial" w:hAnsi="Arial" w:cs="Arial"/>
          <w:iCs/>
          <w:sz w:val="20"/>
          <w:szCs w:val="20"/>
        </w:rPr>
        <w:t xml:space="preserve"> (15.6±1.52), whereas its effect was least pronounced against </w:t>
      </w:r>
      <w:r w:rsidRPr="000D7BC8">
        <w:rPr>
          <w:rFonts w:ascii="Arial" w:hAnsi="Arial" w:cs="Arial"/>
          <w:i/>
          <w:sz w:val="20"/>
          <w:szCs w:val="20"/>
        </w:rPr>
        <w:t>Vibrio vulnificus</w:t>
      </w:r>
      <w:r w:rsidRPr="000D7BC8">
        <w:rPr>
          <w:rFonts w:ascii="Arial" w:hAnsi="Arial" w:cs="Arial"/>
          <w:iCs/>
          <w:sz w:val="20"/>
          <w:szCs w:val="20"/>
        </w:rPr>
        <w:t xml:space="preserve"> (15 ± 1.73 mm). In contrast, the crude mycelial extract demonstrated activity solely against </w:t>
      </w:r>
      <w:r w:rsidRPr="000D7BC8">
        <w:rPr>
          <w:rFonts w:ascii="Arial" w:hAnsi="Arial" w:cs="Arial"/>
          <w:i/>
          <w:sz w:val="20"/>
          <w:szCs w:val="20"/>
        </w:rPr>
        <w:t xml:space="preserve">Aeromonas </w:t>
      </w:r>
      <w:proofErr w:type="spellStart"/>
      <w:r w:rsidRPr="000D7BC8">
        <w:rPr>
          <w:rFonts w:ascii="Arial" w:hAnsi="Arial" w:cs="Arial"/>
          <w:i/>
          <w:sz w:val="20"/>
          <w:szCs w:val="20"/>
        </w:rPr>
        <w:t>hydrophila</w:t>
      </w:r>
      <w:proofErr w:type="spellEnd"/>
      <w:r w:rsidRPr="000D7BC8">
        <w:rPr>
          <w:rFonts w:ascii="Arial" w:hAnsi="Arial" w:cs="Arial"/>
          <w:iCs/>
          <w:sz w:val="20"/>
          <w:szCs w:val="20"/>
        </w:rPr>
        <w:t>, producing an inhibition zone of 11.3 ± 1.24 mm (Table 2, Fig</w:t>
      </w:r>
      <w:r w:rsidR="004D0D1A" w:rsidRPr="000D7BC8">
        <w:rPr>
          <w:rFonts w:ascii="Arial" w:hAnsi="Arial" w:cs="Arial"/>
          <w:iCs/>
          <w:sz w:val="20"/>
          <w:szCs w:val="20"/>
        </w:rPr>
        <w:t>ure</w:t>
      </w:r>
      <w:r w:rsidRPr="000D7BC8">
        <w:rPr>
          <w:rFonts w:ascii="Arial" w:hAnsi="Arial" w:cs="Arial"/>
          <w:iCs/>
          <w:sz w:val="20"/>
          <w:szCs w:val="20"/>
        </w:rPr>
        <w:t xml:space="preserve"> 8). Culture filtrates commonly show higher activity than mycelial extracts because many active metabolites are excreted into the medium; similar patterns have been described in previous studies (Wang </w:t>
      </w:r>
      <w:r w:rsidRPr="000D7BC8">
        <w:rPr>
          <w:rFonts w:ascii="Arial" w:hAnsi="Arial" w:cs="Arial"/>
          <w:i/>
          <w:sz w:val="20"/>
          <w:szCs w:val="20"/>
        </w:rPr>
        <w:t>et al</w:t>
      </w:r>
      <w:r w:rsidRPr="000D7BC8">
        <w:rPr>
          <w:rFonts w:ascii="Arial" w:hAnsi="Arial" w:cs="Arial"/>
          <w:iCs/>
          <w:sz w:val="20"/>
          <w:szCs w:val="20"/>
        </w:rPr>
        <w:t>., 2024)</w:t>
      </w:r>
      <w:r w:rsidR="00A84915" w:rsidRPr="000D7BC8">
        <w:rPr>
          <w:rFonts w:ascii="Arial" w:hAnsi="Arial" w:cs="Arial"/>
          <w:iCs/>
          <w:sz w:val="20"/>
          <w:szCs w:val="20"/>
        </w:rPr>
        <w:t xml:space="preserve"> </w:t>
      </w:r>
      <w:r w:rsidRPr="000D7BC8">
        <w:rPr>
          <w:rFonts w:ascii="Arial" w:hAnsi="Arial" w:cs="Arial"/>
          <w:iCs/>
          <w:sz w:val="20"/>
          <w:szCs w:val="20"/>
        </w:rPr>
        <w:t xml:space="preserve">of marine endophytic and mangrove-derived </w:t>
      </w:r>
      <w:r w:rsidRPr="000D7BC8">
        <w:rPr>
          <w:rFonts w:ascii="Arial" w:hAnsi="Arial" w:cs="Arial"/>
          <w:i/>
          <w:iCs/>
          <w:sz w:val="20"/>
          <w:szCs w:val="20"/>
        </w:rPr>
        <w:t>Penicillium</w:t>
      </w:r>
      <w:r w:rsidRPr="000D7BC8">
        <w:rPr>
          <w:rFonts w:ascii="Arial" w:hAnsi="Arial" w:cs="Arial"/>
          <w:iCs/>
          <w:sz w:val="20"/>
          <w:szCs w:val="20"/>
        </w:rPr>
        <w:t xml:space="preserve"> isolates. Variability in susceptibility across target species (e.g., low activity against </w:t>
      </w:r>
      <w:r w:rsidRPr="000D7BC8">
        <w:rPr>
          <w:rFonts w:ascii="Arial" w:hAnsi="Arial" w:cs="Arial"/>
          <w:i/>
          <w:iCs/>
          <w:sz w:val="20"/>
          <w:szCs w:val="20"/>
        </w:rPr>
        <w:t>E. faecalis</w:t>
      </w:r>
      <w:r w:rsidRPr="000D7BC8">
        <w:rPr>
          <w:rFonts w:ascii="Arial" w:hAnsi="Arial" w:cs="Arial"/>
          <w:iCs/>
          <w:sz w:val="20"/>
          <w:szCs w:val="20"/>
        </w:rPr>
        <w:t>) likely reflects the different intrinsic resistance mechanisms of the pathogens and the specific metabolite profile of the extract (</w:t>
      </w:r>
      <w:proofErr w:type="spellStart"/>
      <w:r w:rsidRPr="000D7BC8">
        <w:rPr>
          <w:rFonts w:ascii="Arial" w:hAnsi="Arial" w:cs="Arial"/>
          <w:iCs/>
          <w:sz w:val="20"/>
          <w:szCs w:val="20"/>
        </w:rPr>
        <w:t>Narumon</w:t>
      </w:r>
      <w:proofErr w:type="spellEnd"/>
      <w:r w:rsidRPr="000D7BC8">
        <w:rPr>
          <w:rFonts w:ascii="Arial" w:hAnsi="Arial" w:cs="Arial"/>
          <w:iCs/>
          <w:sz w:val="20"/>
          <w:szCs w:val="20"/>
        </w:rPr>
        <w:t xml:space="preserve"> </w:t>
      </w:r>
      <w:proofErr w:type="spellStart"/>
      <w:r w:rsidRPr="000D7BC8">
        <w:rPr>
          <w:rFonts w:ascii="Arial" w:hAnsi="Arial" w:cs="Arial"/>
          <w:iCs/>
          <w:sz w:val="20"/>
          <w:szCs w:val="20"/>
        </w:rPr>
        <w:t>Tangthirasunun</w:t>
      </w:r>
      <w:proofErr w:type="spellEnd"/>
      <w:r w:rsidRPr="000D7BC8">
        <w:rPr>
          <w:rFonts w:ascii="Arial" w:hAnsi="Arial" w:cs="Arial"/>
          <w:iCs/>
          <w:sz w:val="20"/>
          <w:szCs w:val="20"/>
        </w:rPr>
        <w:t xml:space="preserve"> </w:t>
      </w:r>
      <w:r w:rsidRPr="000D7BC8">
        <w:rPr>
          <w:rFonts w:ascii="Arial" w:hAnsi="Arial" w:cs="Arial"/>
          <w:i/>
          <w:sz w:val="20"/>
          <w:szCs w:val="20"/>
        </w:rPr>
        <w:t>et al</w:t>
      </w:r>
      <w:r w:rsidRPr="000D7BC8">
        <w:rPr>
          <w:rFonts w:ascii="Arial" w:hAnsi="Arial" w:cs="Arial"/>
          <w:iCs/>
          <w:sz w:val="20"/>
          <w:szCs w:val="20"/>
        </w:rPr>
        <w:t xml:space="preserve">., 2024).  </w:t>
      </w:r>
    </w:p>
    <w:p w14:paraId="1E50A1CD" w14:textId="77777777" w:rsidR="00AD29B7" w:rsidRPr="000D7BC8" w:rsidRDefault="00EF7F79">
      <w:pPr>
        <w:rPr>
          <w:rFonts w:ascii="Arial" w:hAnsi="Arial" w:cs="Arial"/>
          <w:b/>
          <w:sz w:val="20"/>
          <w:szCs w:val="20"/>
        </w:rPr>
      </w:pPr>
      <w:r w:rsidRPr="000D7BC8">
        <w:rPr>
          <w:rFonts w:ascii="Arial" w:hAnsi="Arial" w:cs="Arial"/>
          <w:b/>
          <w:sz w:val="20"/>
          <w:szCs w:val="20"/>
        </w:rPr>
        <w:t xml:space="preserve">Table 2: Antimicrobial activity against fish pathogens (Diameter of the zone of inhibition in ‘mm’) </w:t>
      </w:r>
    </w:p>
    <w:tbl>
      <w:tblPr>
        <w:tblW w:w="4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4"/>
        <w:gridCol w:w="1307"/>
        <w:gridCol w:w="1743"/>
        <w:gridCol w:w="1845"/>
      </w:tblGrid>
      <w:tr w:rsidR="00AD29B7" w:rsidRPr="005F4649" w14:paraId="0073A4CA" w14:textId="77777777" w:rsidTr="000D7BC8">
        <w:trPr>
          <w:trHeight w:val="288"/>
          <w:jc w:val="center"/>
        </w:trPr>
        <w:tc>
          <w:tcPr>
            <w:tcW w:w="1917" w:type="pct"/>
            <w:noWrap/>
            <w:vAlign w:val="bottom"/>
          </w:tcPr>
          <w:p w14:paraId="165BFF6E" w14:textId="77777777" w:rsidR="00AD29B7" w:rsidRPr="000D7BC8" w:rsidRDefault="00EF7F79" w:rsidP="000D7BC8">
            <w:pPr>
              <w:spacing w:after="0" w:line="480" w:lineRule="auto"/>
              <w:jc w:val="center"/>
              <w:rPr>
                <w:rFonts w:ascii="Arial" w:eastAsia="Times New Roman" w:hAnsi="Arial" w:cs="Arial"/>
                <w:b/>
                <w:bCs/>
                <w:color w:val="000000"/>
              </w:rPr>
            </w:pPr>
            <w:r w:rsidRPr="000D7BC8">
              <w:rPr>
                <w:rFonts w:ascii="Arial" w:eastAsia="Times New Roman" w:hAnsi="Arial" w:cs="Arial"/>
                <w:b/>
                <w:bCs/>
                <w:color w:val="000000"/>
              </w:rPr>
              <w:t>Test Organisms</w:t>
            </w:r>
          </w:p>
        </w:tc>
        <w:tc>
          <w:tcPr>
            <w:tcW w:w="823" w:type="pct"/>
            <w:noWrap/>
            <w:vAlign w:val="center"/>
          </w:tcPr>
          <w:p w14:paraId="6262DD26" w14:textId="2AACD8D7" w:rsidR="00AD29B7" w:rsidRPr="000D7BC8" w:rsidRDefault="00EF7F79" w:rsidP="000D7BC8">
            <w:pPr>
              <w:spacing w:after="0" w:line="480" w:lineRule="auto"/>
              <w:jc w:val="center"/>
              <w:rPr>
                <w:rFonts w:ascii="Arial" w:eastAsia="Times New Roman" w:hAnsi="Arial" w:cs="Arial"/>
                <w:b/>
                <w:bCs/>
                <w:color w:val="000000"/>
              </w:rPr>
            </w:pPr>
            <w:r w:rsidRPr="000D7BC8">
              <w:rPr>
                <w:rFonts w:ascii="Arial" w:eastAsia="Times New Roman" w:hAnsi="Arial" w:cs="Arial"/>
                <w:b/>
                <w:bCs/>
                <w:color w:val="000000"/>
              </w:rPr>
              <w:t>Broth</w:t>
            </w:r>
          </w:p>
        </w:tc>
        <w:tc>
          <w:tcPr>
            <w:tcW w:w="1098" w:type="pct"/>
          </w:tcPr>
          <w:p w14:paraId="05CAF1DF" w14:textId="77777777" w:rsidR="00AD29B7" w:rsidRPr="000D7BC8" w:rsidRDefault="00EF7F79" w:rsidP="000D7BC8">
            <w:pPr>
              <w:spacing w:after="0" w:line="480" w:lineRule="auto"/>
              <w:jc w:val="center"/>
              <w:rPr>
                <w:rFonts w:ascii="Arial" w:eastAsia="Times New Roman" w:hAnsi="Arial" w:cs="Arial"/>
                <w:b/>
                <w:bCs/>
                <w:color w:val="000000"/>
              </w:rPr>
            </w:pPr>
            <w:r w:rsidRPr="000D7BC8">
              <w:rPr>
                <w:rFonts w:ascii="Arial" w:eastAsia="Times New Roman" w:hAnsi="Arial" w:cs="Arial"/>
                <w:b/>
                <w:bCs/>
                <w:color w:val="000000"/>
              </w:rPr>
              <w:t>Mycelium</w:t>
            </w:r>
          </w:p>
        </w:tc>
        <w:tc>
          <w:tcPr>
            <w:tcW w:w="1162" w:type="pct"/>
          </w:tcPr>
          <w:p w14:paraId="55AD9D2D" w14:textId="77777777" w:rsidR="00AD29B7" w:rsidRPr="000D7BC8" w:rsidRDefault="00EF7F79" w:rsidP="000D7BC8">
            <w:pPr>
              <w:spacing w:after="0" w:line="480" w:lineRule="auto"/>
              <w:jc w:val="center"/>
              <w:rPr>
                <w:rFonts w:ascii="Arial" w:eastAsia="Times New Roman" w:hAnsi="Arial" w:cs="Arial"/>
                <w:b/>
                <w:bCs/>
                <w:color w:val="000000"/>
              </w:rPr>
            </w:pPr>
            <w:r w:rsidRPr="000D7BC8">
              <w:rPr>
                <w:rFonts w:ascii="Arial" w:eastAsia="Times New Roman" w:hAnsi="Arial" w:cs="Arial"/>
                <w:b/>
                <w:bCs/>
                <w:iCs/>
              </w:rPr>
              <w:t>Tetracycline</w:t>
            </w:r>
          </w:p>
        </w:tc>
      </w:tr>
      <w:tr w:rsidR="00AD29B7" w:rsidRPr="005F4649" w14:paraId="4938F6E0" w14:textId="77777777" w:rsidTr="000D7BC8">
        <w:trPr>
          <w:trHeight w:val="288"/>
          <w:jc w:val="center"/>
        </w:trPr>
        <w:tc>
          <w:tcPr>
            <w:tcW w:w="1917" w:type="pct"/>
            <w:noWrap/>
            <w:vAlign w:val="bottom"/>
          </w:tcPr>
          <w:p w14:paraId="6F8579E6" w14:textId="77777777" w:rsidR="00AD29B7" w:rsidRPr="000D7BC8" w:rsidRDefault="00EF7F79" w:rsidP="000D7BC8">
            <w:pPr>
              <w:spacing w:after="0" w:line="480" w:lineRule="auto"/>
              <w:jc w:val="both"/>
              <w:rPr>
                <w:rFonts w:ascii="Arial" w:eastAsia="Times New Roman" w:hAnsi="Arial" w:cs="Arial"/>
                <w:i/>
                <w:iCs/>
                <w:color w:val="000000"/>
              </w:rPr>
            </w:pPr>
            <w:r w:rsidRPr="000D7BC8">
              <w:rPr>
                <w:rFonts w:ascii="Arial" w:eastAsia="Times New Roman" w:hAnsi="Arial" w:cs="Arial"/>
                <w:i/>
                <w:iCs/>
                <w:color w:val="000000"/>
              </w:rPr>
              <w:t xml:space="preserve">Aeromonas </w:t>
            </w:r>
            <w:proofErr w:type="spellStart"/>
            <w:r w:rsidRPr="000D7BC8">
              <w:rPr>
                <w:rFonts w:ascii="Arial" w:eastAsia="Times New Roman" w:hAnsi="Arial" w:cs="Arial"/>
                <w:i/>
                <w:iCs/>
                <w:color w:val="000000"/>
              </w:rPr>
              <w:t>hydrophila</w:t>
            </w:r>
            <w:proofErr w:type="spellEnd"/>
          </w:p>
        </w:tc>
        <w:tc>
          <w:tcPr>
            <w:tcW w:w="823" w:type="pct"/>
            <w:noWrap/>
            <w:vAlign w:val="center"/>
          </w:tcPr>
          <w:p w14:paraId="6EA26650"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17±1</w:t>
            </w:r>
          </w:p>
        </w:tc>
        <w:tc>
          <w:tcPr>
            <w:tcW w:w="1098" w:type="pct"/>
            <w:vAlign w:val="center"/>
          </w:tcPr>
          <w:p w14:paraId="673BF6E2"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11.3±1.24</w:t>
            </w:r>
          </w:p>
        </w:tc>
        <w:tc>
          <w:tcPr>
            <w:tcW w:w="1162" w:type="pct"/>
            <w:vAlign w:val="center"/>
          </w:tcPr>
          <w:p w14:paraId="027B24A1"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12±0.81</w:t>
            </w:r>
          </w:p>
        </w:tc>
      </w:tr>
      <w:tr w:rsidR="00AD29B7" w:rsidRPr="005F4649" w14:paraId="0E4E090C" w14:textId="77777777" w:rsidTr="000D7BC8">
        <w:trPr>
          <w:trHeight w:val="288"/>
          <w:jc w:val="center"/>
        </w:trPr>
        <w:tc>
          <w:tcPr>
            <w:tcW w:w="1917" w:type="pct"/>
            <w:noWrap/>
            <w:vAlign w:val="bottom"/>
          </w:tcPr>
          <w:p w14:paraId="2963C6AC" w14:textId="77777777" w:rsidR="00AD29B7" w:rsidRPr="000D7BC8" w:rsidRDefault="00EF7F79" w:rsidP="000D7BC8">
            <w:pPr>
              <w:spacing w:after="0" w:line="480" w:lineRule="auto"/>
              <w:jc w:val="both"/>
              <w:rPr>
                <w:rFonts w:ascii="Arial" w:eastAsia="Times New Roman" w:hAnsi="Arial" w:cs="Arial"/>
                <w:i/>
                <w:iCs/>
                <w:color w:val="000000"/>
              </w:rPr>
            </w:pPr>
            <w:proofErr w:type="spellStart"/>
            <w:r w:rsidRPr="000D7BC8">
              <w:rPr>
                <w:rFonts w:ascii="Arial" w:eastAsia="Times New Roman" w:hAnsi="Arial" w:cs="Arial"/>
                <w:i/>
                <w:iCs/>
                <w:color w:val="000000"/>
              </w:rPr>
              <w:t>Edwardsiella</w:t>
            </w:r>
            <w:proofErr w:type="spellEnd"/>
            <w:r w:rsidRPr="000D7BC8">
              <w:rPr>
                <w:rFonts w:ascii="Arial" w:eastAsia="Times New Roman" w:hAnsi="Arial" w:cs="Arial"/>
                <w:i/>
                <w:iCs/>
                <w:color w:val="000000"/>
              </w:rPr>
              <w:t xml:space="preserve"> </w:t>
            </w:r>
            <w:proofErr w:type="spellStart"/>
            <w:r w:rsidRPr="000D7BC8">
              <w:rPr>
                <w:rFonts w:ascii="Arial" w:eastAsia="Times New Roman" w:hAnsi="Arial" w:cs="Arial"/>
                <w:i/>
                <w:iCs/>
                <w:color w:val="000000"/>
              </w:rPr>
              <w:t>trada</w:t>
            </w:r>
            <w:proofErr w:type="spellEnd"/>
          </w:p>
        </w:tc>
        <w:tc>
          <w:tcPr>
            <w:tcW w:w="823" w:type="pct"/>
            <w:noWrap/>
            <w:vAlign w:val="center"/>
          </w:tcPr>
          <w:p w14:paraId="73C9700D"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18±2.64</w:t>
            </w:r>
          </w:p>
        </w:tc>
        <w:tc>
          <w:tcPr>
            <w:tcW w:w="1098" w:type="pct"/>
            <w:vAlign w:val="center"/>
          </w:tcPr>
          <w:p w14:paraId="11DC8C13"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w:t>
            </w:r>
          </w:p>
        </w:tc>
        <w:tc>
          <w:tcPr>
            <w:tcW w:w="1162" w:type="pct"/>
            <w:vAlign w:val="center"/>
          </w:tcPr>
          <w:p w14:paraId="54F6775D"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8±0.47</w:t>
            </w:r>
          </w:p>
        </w:tc>
      </w:tr>
      <w:tr w:rsidR="00AD29B7" w:rsidRPr="005F4649" w14:paraId="5B4D289C" w14:textId="77777777" w:rsidTr="000D7BC8">
        <w:trPr>
          <w:trHeight w:val="288"/>
          <w:jc w:val="center"/>
        </w:trPr>
        <w:tc>
          <w:tcPr>
            <w:tcW w:w="1917" w:type="pct"/>
            <w:noWrap/>
            <w:vAlign w:val="bottom"/>
          </w:tcPr>
          <w:p w14:paraId="62BDD82A" w14:textId="77777777" w:rsidR="00AD29B7" w:rsidRPr="000D7BC8" w:rsidRDefault="00EF7F79" w:rsidP="000D7BC8">
            <w:pPr>
              <w:spacing w:after="0" w:line="480" w:lineRule="auto"/>
              <w:jc w:val="both"/>
              <w:rPr>
                <w:rFonts w:ascii="Arial" w:eastAsia="Times New Roman" w:hAnsi="Arial" w:cs="Arial"/>
                <w:i/>
                <w:iCs/>
                <w:color w:val="000000"/>
              </w:rPr>
            </w:pPr>
            <w:r w:rsidRPr="000D7BC8">
              <w:rPr>
                <w:rFonts w:ascii="Arial" w:eastAsia="Times New Roman" w:hAnsi="Arial" w:cs="Arial"/>
                <w:i/>
                <w:iCs/>
                <w:color w:val="000000"/>
              </w:rPr>
              <w:lastRenderedPageBreak/>
              <w:t xml:space="preserve">Vibrio </w:t>
            </w:r>
            <w:proofErr w:type="spellStart"/>
            <w:r w:rsidRPr="000D7BC8">
              <w:rPr>
                <w:rFonts w:ascii="Arial" w:eastAsia="Times New Roman" w:hAnsi="Arial" w:cs="Arial"/>
                <w:i/>
                <w:iCs/>
                <w:color w:val="000000"/>
              </w:rPr>
              <w:t>harveyi</w:t>
            </w:r>
            <w:proofErr w:type="spellEnd"/>
          </w:p>
        </w:tc>
        <w:tc>
          <w:tcPr>
            <w:tcW w:w="823" w:type="pct"/>
            <w:noWrap/>
            <w:vAlign w:val="center"/>
          </w:tcPr>
          <w:p w14:paraId="281AB60D"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15.6±1.52</w:t>
            </w:r>
          </w:p>
        </w:tc>
        <w:tc>
          <w:tcPr>
            <w:tcW w:w="1098" w:type="pct"/>
            <w:vAlign w:val="center"/>
          </w:tcPr>
          <w:p w14:paraId="23C6CEB1"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w:t>
            </w:r>
          </w:p>
        </w:tc>
        <w:tc>
          <w:tcPr>
            <w:tcW w:w="1162" w:type="pct"/>
            <w:vAlign w:val="center"/>
          </w:tcPr>
          <w:p w14:paraId="1CF41819"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9.5±1.24</w:t>
            </w:r>
          </w:p>
        </w:tc>
      </w:tr>
      <w:tr w:rsidR="00AD29B7" w:rsidRPr="005F4649" w14:paraId="70DC93D2" w14:textId="77777777" w:rsidTr="000D7BC8">
        <w:trPr>
          <w:trHeight w:val="288"/>
          <w:jc w:val="center"/>
        </w:trPr>
        <w:tc>
          <w:tcPr>
            <w:tcW w:w="1917" w:type="pct"/>
            <w:noWrap/>
            <w:vAlign w:val="bottom"/>
          </w:tcPr>
          <w:p w14:paraId="3A1BC4FC" w14:textId="77777777" w:rsidR="00AD29B7" w:rsidRPr="000D7BC8" w:rsidRDefault="00EF7F79" w:rsidP="000D7BC8">
            <w:pPr>
              <w:spacing w:after="0" w:line="480" w:lineRule="auto"/>
              <w:jc w:val="both"/>
              <w:rPr>
                <w:rFonts w:ascii="Arial" w:eastAsia="Times New Roman" w:hAnsi="Arial" w:cs="Arial"/>
                <w:i/>
                <w:iCs/>
                <w:color w:val="000000"/>
              </w:rPr>
            </w:pPr>
            <w:r w:rsidRPr="000D7BC8">
              <w:rPr>
                <w:rFonts w:ascii="Arial" w:eastAsia="Times New Roman" w:hAnsi="Arial" w:cs="Arial"/>
                <w:i/>
                <w:iCs/>
                <w:color w:val="000000"/>
              </w:rPr>
              <w:t>Vibrio vulnificus</w:t>
            </w:r>
          </w:p>
        </w:tc>
        <w:tc>
          <w:tcPr>
            <w:tcW w:w="823" w:type="pct"/>
            <w:noWrap/>
            <w:vAlign w:val="center"/>
          </w:tcPr>
          <w:p w14:paraId="5660C8FE"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15±1.73</w:t>
            </w:r>
          </w:p>
        </w:tc>
        <w:tc>
          <w:tcPr>
            <w:tcW w:w="1098" w:type="pct"/>
            <w:vAlign w:val="center"/>
          </w:tcPr>
          <w:p w14:paraId="5A0BA31F"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w:t>
            </w:r>
          </w:p>
        </w:tc>
        <w:tc>
          <w:tcPr>
            <w:tcW w:w="1162" w:type="pct"/>
            <w:vAlign w:val="center"/>
          </w:tcPr>
          <w:p w14:paraId="0B7DB6DB"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16±0.94</w:t>
            </w:r>
          </w:p>
        </w:tc>
      </w:tr>
    </w:tbl>
    <w:p w14:paraId="591FDC31" w14:textId="77777777" w:rsidR="00AD29B7" w:rsidRPr="000D7BC8" w:rsidRDefault="00AD29B7">
      <w:pPr>
        <w:jc w:val="both"/>
        <w:rPr>
          <w:rFonts w:ascii="Arial" w:hAnsi="Arial" w:cs="Arial"/>
          <w:b/>
          <w:bCs/>
          <w:sz w:val="6"/>
          <w:szCs w:val="6"/>
        </w:rPr>
      </w:pPr>
    </w:p>
    <w:p w14:paraId="7BB23439" w14:textId="4B52B9C6" w:rsidR="006E516D" w:rsidRPr="000D7BC8" w:rsidRDefault="006E516D" w:rsidP="00407AC6">
      <w:pPr>
        <w:jc w:val="center"/>
        <w:rPr>
          <w:rFonts w:ascii="Arial" w:hAnsi="Arial" w:cs="Arial"/>
          <w:b/>
          <w:bCs/>
          <w:sz w:val="18"/>
          <w:szCs w:val="18"/>
        </w:rPr>
      </w:pPr>
      <w:r w:rsidRPr="000D7BC8">
        <w:rPr>
          <w:rFonts w:ascii="Arial" w:hAnsi="Arial" w:cs="Arial"/>
          <w:b/>
          <w:bCs/>
          <w:noProof/>
          <w:sz w:val="18"/>
          <w:szCs w:val="18"/>
        </w:rPr>
        <w:drawing>
          <wp:inline distT="0" distB="0" distL="0" distR="0" wp14:anchorId="0C919A96" wp14:editId="426F851E">
            <wp:extent cx="3956685" cy="3816350"/>
            <wp:effectExtent l="0" t="0" r="5715" b="0"/>
            <wp:docPr id="987480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6685" cy="3816350"/>
                    </a:xfrm>
                    <a:prstGeom prst="rect">
                      <a:avLst/>
                    </a:prstGeom>
                    <a:noFill/>
                  </pic:spPr>
                </pic:pic>
              </a:graphicData>
            </a:graphic>
          </wp:inline>
        </w:drawing>
      </w:r>
    </w:p>
    <w:p w14:paraId="6AD177A9" w14:textId="4BC60CB6" w:rsidR="00AD29B7" w:rsidRPr="000D7BC8" w:rsidRDefault="004D0D1A" w:rsidP="0032553B">
      <w:pPr>
        <w:jc w:val="both"/>
        <w:rPr>
          <w:rFonts w:ascii="Arial" w:hAnsi="Arial" w:cs="Arial"/>
          <w:b/>
          <w:sz w:val="20"/>
          <w:szCs w:val="20"/>
        </w:rPr>
      </w:pPr>
      <w:r w:rsidRPr="000D7BC8">
        <w:rPr>
          <w:rFonts w:ascii="Arial" w:hAnsi="Arial" w:cs="Arial"/>
          <w:b/>
          <w:bCs/>
          <w:sz w:val="20"/>
          <w:szCs w:val="20"/>
        </w:rPr>
        <w:t xml:space="preserve">Fig. </w:t>
      </w:r>
      <w:r w:rsidR="00EF7F79" w:rsidRPr="000D7BC8">
        <w:rPr>
          <w:rFonts w:ascii="Arial" w:hAnsi="Arial" w:cs="Arial"/>
          <w:b/>
          <w:bCs/>
          <w:sz w:val="20"/>
          <w:szCs w:val="20"/>
        </w:rPr>
        <w:t>8:</w:t>
      </w:r>
      <w:r w:rsidR="00EF7F79" w:rsidRPr="000D7BC8">
        <w:rPr>
          <w:rFonts w:ascii="Arial" w:hAnsi="Arial" w:cs="Arial"/>
          <w:b/>
          <w:sz w:val="20"/>
          <w:szCs w:val="20"/>
        </w:rPr>
        <w:t xml:space="preserve"> </w:t>
      </w:r>
      <w:r w:rsidR="006E516D" w:rsidRPr="000D7BC8">
        <w:rPr>
          <w:rFonts w:ascii="Arial" w:hAnsi="Arial" w:cs="Arial"/>
          <w:b/>
          <w:sz w:val="20"/>
          <w:szCs w:val="28"/>
        </w:rPr>
        <w:t xml:space="preserve">Antimicrobial activity of test samples against selected </w:t>
      </w:r>
      <w:r w:rsidR="00EF7F79" w:rsidRPr="000D7BC8">
        <w:rPr>
          <w:rFonts w:ascii="Arial" w:hAnsi="Arial" w:cs="Arial"/>
          <w:b/>
          <w:sz w:val="20"/>
          <w:szCs w:val="20"/>
        </w:rPr>
        <w:t>fish pathogens</w:t>
      </w:r>
      <w:r w:rsidR="006E516D" w:rsidRPr="000D7BC8">
        <w:rPr>
          <w:rFonts w:ascii="Arial" w:hAnsi="Arial" w:cs="Arial"/>
          <w:b/>
          <w:sz w:val="20"/>
          <w:szCs w:val="20"/>
        </w:rPr>
        <w:t xml:space="preserve">. </w:t>
      </w:r>
      <w:r w:rsidR="006E516D" w:rsidRPr="000D7BC8">
        <w:rPr>
          <w:rFonts w:ascii="Arial" w:hAnsi="Arial" w:cs="Arial"/>
          <w:b/>
          <w:sz w:val="20"/>
          <w:szCs w:val="28"/>
        </w:rPr>
        <w:t xml:space="preserve">Zones of inhibition are shown for: </w:t>
      </w:r>
      <w:r w:rsidR="006E516D" w:rsidRPr="000D7BC8">
        <w:rPr>
          <w:rFonts w:ascii="Arial" w:hAnsi="Arial" w:cs="Arial"/>
          <w:b/>
          <w:bCs/>
          <w:sz w:val="20"/>
          <w:szCs w:val="28"/>
        </w:rPr>
        <w:t xml:space="preserve">A. </w:t>
      </w:r>
      <w:r w:rsidR="006E516D" w:rsidRPr="000D7BC8">
        <w:rPr>
          <w:rFonts w:ascii="Arial" w:hAnsi="Arial" w:cs="Arial"/>
          <w:b/>
          <w:bCs/>
          <w:i/>
          <w:iCs/>
          <w:sz w:val="20"/>
          <w:szCs w:val="28"/>
        </w:rPr>
        <w:t xml:space="preserve">Aeromonas </w:t>
      </w:r>
      <w:proofErr w:type="spellStart"/>
      <w:r w:rsidR="006E516D" w:rsidRPr="000D7BC8">
        <w:rPr>
          <w:rFonts w:ascii="Arial" w:hAnsi="Arial" w:cs="Arial"/>
          <w:b/>
          <w:bCs/>
          <w:i/>
          <w:iCs/>
          <w:sz w:val="20"/>
          <w:szCs w:val="28"/>
        </w:rPr>
        <w:t>hydrophila</w:t>
      </w:r>
      <w:proofErr w:type="spellEnd"/>
      <w:r w:rsidR="006E516D" w:rsidRPr="000D7BC8">
        <w:rPr>
          <w:rFonts w:ascii="Arial" w:hAnsi="Arial" w:cs="Arial"/>
          <w:b/>
          <w:bCs/>
          <w:sz w:val="20"/>
          <w:szCs w:val="28"/>
        </w:rPr>
        <w:t xml:space="preserve">, B. </w:t>
      </w:r>
      <w:proofErr w:type="spellStart"/>
      <w:r w:rsidR="006E516D" w:rsidRPr="000D7BC8">
        <w:rPr>
          <w:rFonts w:ascii="Arial" w:hAnsi="Arial" w:cs="Arial"/>
          <w:b/>
          <w:bCs/>
          <w:i/>
          <w:iCs/>
          <w:sz w:val="20"/>
          <w:szCs w:val="28"/>
        </w:rPr>
        <w:t>Edwardsiella</w:t>
      </w:r>
      <w:proofErr w:type="spellEnd"/>
      <w:r w:rsidR="006E516D" w:rsidRPr="000D7BC8">
        <w:rPr>
          <w:rFonts w:ascii="Arial" w:hAnsi="Arial" w:cs="Arial"/>
          <w:b/>
          <w:bCs/>
          <w:i/>
          <w:iCs/>
          <w:sz w:val="20"/>
          <w:szCs w:val="28"/>
        </w:rPr>
        <w:t xml:space="preserve"> </w:t>
      </w:r>
      <w:proofErr w:type="spellStart"/>
      <w:r w:rsidR="006E516D" w:rsidRPr="000D7BC8">
        <w:rPr>
          <w:rFonts w:ascii="Arial" w:hAnsi="Arial" w:cs="Arial"/>
          <w:b/>
          <w:bCs/>
          <w:i/>
          <w:iCs/>
          <w:sz w:val="20"/>
          <w:szCs w:val="28"/>
        </w:rPr>
        <w:t>ictaluri</w:t>
      </w:r>
      <w:proofErr w:type="spellEnd"/>
      <w:r w:rsidR="006E516D" w:rsidRPr="000D7BC8">
        <w:rPr>
          <w:rFonts w:ascii="Arial" w:hAnsi="Arial" w:cs="Arial"/>
          <w:b/>
          <w:bCs/>
          <w:sz w:val="20"/>
          <w:szCs w:val="28"/>
        </w:rPr>
        <w:t xml:space="preserve">, C. </w:t>
      </w:r>
      <w:r w:rsidR="006E516D" w:rsidRPr="000D7BC8">
        <w:rPr>
          <w:rFonts w:ascii="Arial" w:hAnsi="Arial" w:cs="Arial"/>
          <w:b/>
          <w:bCs/>
          <w:i/>
          <w:iCs/>
          <w:sz w:val="20"/>
          <w:szCs w:val="28"/>
        </w:rPr>
        <w:t xml:space="preserve">Vibrio </w:t>
      </w:r>
      <w:proofErr w:type="spellStart"/>
      <w:r w:rsidR="006E516D" w:rsidRPr="000D7BC8">
        <w:rPr>
          <w:rFonts w:ascii="Arial" w:hAnsi="Arial" w:cs="Arial"/>
          <w:b/>
          <w:bCs/>
          <w:i/>
          <w:iCs/>
          <w:sz w:val="20"/>
          <w:szCs w:val="28"/>
        </w:rPr>
        <w:t>harveyi</w:t>
      </w:r>
      <w:proofErr w:type="spellEnd"/>
      <w:r w:rsidR="006E516D" w:rsidRPr="000D7BC8">
        <w:rPr>
          <w:rFonts w:ascii="Arial" w:hAnsi="Arial" w:cs="Arial"/>
          <w:b/>
          <w:bCs/>
          <w:sz w:val="20"/>
          <w:szCs w:val="28"/>
        </w:rPr>
        <w:t xml:space="preserve">, D. </w:t>
      </w:r>
      <w:r w:rsidR="006E516D" w:rsidRPr="000D7BC8">
        <w:rPr>
          <w:rFonts w:ascii="Arial" w:hAnsi="Arial" w:cs="Arial"/>
          <w:b/>
          <w:bCs/>
          <w:i/>
          <w:iCs/>
          <w:sz w:val="20"/>
          <w:szCs w:val="28"/>
        </w:rPr>
        <w:t>Vibrio vulnificus</w:t>
      </w:r>
      <w:r w:rsidR="006E516D" w:rsidRPr="000D7BC8">
        <w:rPr>
          <w:rFonts w:ascii="Arial" w:hAnsi="Arial" w:cs="Arial"/>
          <w:b/>
          <w:bCs/>
          <w:sz w:val="20"/>
          <w:szCs w:val="28"/>
        </w:rPr>
        <w:t>.</w:t>
      </w:r>
    </w:p>
    <w:p w14:paraId="00E86C49" w14:textId="0288DBD4" w:rsidR="00AD29B7" w:rsidRPr="000D7BC8" w:rsidRDefault="001F1D88">
      <w:pPr>
        <w:tabs>
          <w:tab w:val="left" w:pos="720"/>
        </w:tabs>
        <w:spacing w:line="240" w:lineRule="auto"/>
        <w:jc w:val="both"/>
        <w:rPr>
          <w:rFonts w:ascii="Arial" w:hAnsi="Arial" w:cs="Arial"/>
          <w:b/>
        </w:rPr>
      </w:pPr>
      <w:r>
        <w:rPr>
          <w:rFonts w:ascii="Arial" w:hAnsi="Arial" w:cs="Arial"/>
          <w:b/>
        </w:rPr>
        <w:t xml:space="preserve">3.4 </w:t>
      </w:r>
      <w:r w:rsidR="00EF7F79" w:rsidRPr="000D7BC8">
        <w:rPr>
          <w:rFonts w:ascii="Arial" w:hAnsi="Arial" w:cs="Arial"/>
          <w:b/>
        </w:rPr>
        <w:t xml:space="preserve">Antioxidant activates </w:t>
      </w:r>
    </w:p>
    <w:p w14:paraId="6F8ED08F" w14:textId="42BA90A0" w:rsidR="00AD29B7" w:rsidRPr="000D7BC8" w:rsidRDefault="00EF7F79">
      <w:pPr>
        <w:tabs>
          <w:tab w:val="left" w:pos="720"/>
        </w:tabs>
        <w:spacing w:line="240" w:lineRule="auto"/>
        <w:jc w:val="both"/>
        <w:rPr>
          <w:rFonts w:ascii="Arial" w:hAnsi="Arial" w:cs="Arial"/>
          <w:bCs/>
        </w:rPr>
      </w:pPr>
      <w:r w:rsidRPr="000D7BC8">
        <w:rPr>
          <w:rFonts w:ascii="Arial" w:hAnsi="Arial" w:cs="Arial"/>
          <w:bCs/>
        </w:rPr>
        <w:tab/>
      </w:r>
      <w:r w:rsidRPr="000D7BC8">
        <w:rPr>
          <w:rFonts w:ascii="Arial" w:hAnsi="Arial" w:cs="Arial"/>
          <w:bCs/>
          <w:sz w:val="20"/>
          <w:szCs w:val="20"/>
        </w:rPr>
        <w:t xml:space="preserve">The ethyl acetate extract of </w:t>
      </w:r>
      <w:r w:rsidRPr="000D7BC8">
        <w:rPr>
          <w:rFonts w:ascii="Arial" w:hAnsi="Arial" w:cs="Arial"/>
          <w:bCs/>
          <w:i/>
          <w:iCs/>
          <w:sz w:val="20"/>
          <w:szCs w:val="20"/>
        </w:rPr>
        <w:t xml:space="preserve">Penicillium </w:t>
      </w:r>
      <w:proofErr w:type="spellStart"/>
      <w:r w:rsidRPr="000D7BC8">
        <w:rPr>
          <w:rFonts w:ascii="Arial" w:hAnsi="Arial" w:cs="Arial"/>
          <w:bCs/>
          <w:i/>
          <w:iCs/>
          <w:sz w:val="20"/>
          <w:szCs w:val="20"/>
        </w:rPr>
        <w:t>javanicum</w:t>
      </w:r>
      <w:proofErr w:type="spellEnd"/>
      <w:r w:rsidRPr="000D7BC8">
        <w:rPr>
          <w:rFonts w:ascii="Arial" w:hAnsi="Arial" w:cs="Arial"/>
          <w:bCs/>
          <w:sz w:val="20"/>
          <w:szCs w:val="20"/>
        </w:rPr>
        <w:t xml:space="preserve"> isolate UL1 (MN559951) exhibited the highest DPPH radical scavenging activity at 500 µg, with an inhibition of 64.12 ± 0.009%. At 100, 200, 300, and 400 µg, the inhibition values were 23.45 ± 0.032%, 31.53 ± 0.015%, 41.74 ± 0.008%, and 53.73 ± 0.015%, respectively (Table 3</w:t>
      </w:r>
      <w:r w:rsidR="004D0D1A" w:rsidRPr="000D7BC8">
        <w:rPr>
          <w:rFonts w:ascii="Arial" w:hAnsi="Arial" w:cs="Arial"/>
          <w:bCs/>
          <w:sz w:val="20"/>
          <w:szCs w:val="20"/>
        </w:rPr>
        <w:t>; Figure 9</w:t>
      </w:r>
      <w:r w:rsidRPr="000D7BC8">
        <w:rPr>
          <w:rFonts w:ascii="Arial" w:hAnsi="Arial" w:cs="Arial"/>
          <w:bCs/>
          <w:sz w:val="20"/>
          <w:szCs w:val="20"/>
        </w:rPr>
        <w:t>). Nitric oxide scavenging activity peaked at 500 µg (62.26 ± 0.011%) and was lowest at 100 µg (45.61 ± 0.015%). Activities at 200, 300, and 400 µg were 50.32 ± 0.015%, 55.68 ± 0.003%, and 59.78 ± 0.010%, respectively (Table 4</w:t>
      </w:r>
      <w:r w:rsidR="004D0D1A" w:rsidRPr="000D7BC8">
        <w:rPr>
          <w:rFonts w:ascii="Arial" w:hAnsi="Arial" w:cs="Arial"/>
          <w:bCs/>
          <w:sz w:val="20"/>
          <w:szCs w:val="20"/>
        </w:rPr>
        <w:t>; Figure 10</w:t>
      </w:r>
      <w:r w:rsidRPr="000D7BC8">
        <w:rPr>
          <w:rFonts w:ascii="Arial" w:hAnsi="Arial" w:cs="Arial"/>
          <w:bCs/>
          <w:sz w:val="20"/>
          <w:szCs w:val="20"/>
        </w:rPr>
        <w:t xml:space="preserve">). The ethyl acetate extract of </w:t>
      </w:r>
      <w:r w:rsidRPr="000D7BC8">
        <w:rPr>
          <w:rFonts w:ascii="Arial" w:hAnsi="Arial" w:cs="Arial"/>
          <w:bCs/>
          <w:i/>
          <w:iCs/>
          <w:sz w:val="20"/>
          <w:szCs w:val="20"/>
        </w:rPr>
        <w:t xml:space="preserve">Penicillium </w:t>
      </w:r>
      <w:proofErr w:type="spellStart"/>
      <w:r w:rsidRPr="000D7BC8">
        <w:rPr>
          <w:rFonts w:ascii="Arial" w:hAnsi="Arial" w:cs="Arial"/>
          <w:bCs/>
          <w:i/>
          <w:iCs/>
          <w:sz w:val="20"/>
          <w:szCs w:val="20"/>
        </w:rPr>
        <w:t>javanicum</w:t>
      </w:r>
      <w:proofErr w:type="spellEnd"/>
      <w:r w:rsidRPr="000D7BC8">
        <w:rPr>
          <w:rFonts w:ascii="Arial" w:hAnsi="Arial" w:cs="Arial"/>
          <w:bCs/>
          <w:sz w:val="20"/>
          <w:szCs w:val="20"/>
        </w:rPr>
        <w:t xml:space="preserve"> UL1 showed dose-dependent DPPH and nitric oxide (NO) radical scavenging, reaching 64.1% and 62.3% inhibition at 500µg, respectively. A similar concentration-dependent DPPH trend has been reported for </w:t>
      </w:r>
      <w:r w:rsidRPr="000D7BC8">
        <w:rPr>
          <w:rFonts w:ascii="Arial" w:hAnsi="Arial" w:cs="Arial"/>
          <w:bCs/>
          <w:i/>
          <w:iCs/>
          <w:sz w:val="20"/>
          <w:szCs w:val="20"/>
        </w:rPr>
        <w:t xml:space="preserve">P. </w:t>
      </w:r>
      <w:proofErr w:type="spellStart"/>
      <w:r w:rsidRPr="000D7BC8">
        <w:rPr>
          <w:rFonts w:ascii="Arial" w:hAnsi="Arial" w:cs="Arial"/>
          <w:bCs/>
          <w:i/>
          <w:iCs/>
          <w:sz w:val="20"/>
          <w:szCs w:val="20"/>
        </w:rPr>
        <w:t>javanicum</w:t>
      </w:r>
      <w:proofErr w:type="spellEnd"/>
      <w:r w:rsidRPr="000D7BC8">
        <w:rPr>
          <w:rFonts w:ascii="Arial" w:hAnsi="Arial" w:cs="Arial"/>
          <w:bCs/>
          <w:sz w:val="20"/>
          <w:szCs w:val="20"/>
        </w:rPr>
        <w:t xml:space="preserve"> ethyl acetate extracts, where scavenging increased with dose and approached ~70% at 300 µg/ml, supporting the present pattern and magnitude of activity (Begum </w:t>
      </w:r>
      <w:r w:rsidRPr="000D7BC8">
        <w:rPr>
          <w:rFonts w:ascii="Arial" w:hAnsi="Arial" w:cs="Arial"/>
          <w:bCs/>
          <w:i/>
          <w:iCs/>
          <w:sz w:val="20"/>
          <w:szCs w:val="20"/>
        </w:rPr>
        <w:t>et al</w:t>
      </w:r>
      <w:r w:rsidRPr="000D7BC8">
        <w:rPr>
          <w:rFonts w:ascii="Arial" w:hAnsi="Arial" w:cs="Arial"/>
          <w:bCs/>
          <w:sz w:val="20"/>
          <w:szCs w:val="20"/>
        </w:rPr>
        <w:t>.,2025). Comparable activity has been observed among marine endophytic fungi</w:t>
      </w:r>
      <w:r w:rsidR="0049347A" w:rsidRPr="000D7BC8">
        <w:rPr>
          <w:rFonts w:ascii="Arial" w:hAnsi="Arial" w:cs="Arial"/>
          <w:bCs/>
          <w:sz w:val="20"/>
          <w:szCs w:val="20"/>
        </w:rPr>
        <w:t xml:space="preserve"> </w:t>
      </w:r>
      <w:r w:rsidRPr="000D7BC8">
        <w:rPr>
          <w:rFonts w:ascii="Arial" w:hAnsi="Arial" w:cs="Arial"/>
          <w:bCs/>
          <w:sz w:val="20"/>
          <w:szCs w:val="20"/>
        </w:rPr>
        <w:t xml:space="preserve">including </w:t>
      </w:r>
      <w:r w:rsidRPr="000D7BC8">
        <w:rPr>
          <w:rFonts w:ascii="Arial" w:hAnsi="Arial" w:cs="Arial"/>
          <w:bCs/>
          <w:i/>
          <w:iCs/>
          <w:sz w:val="20"/>
          <w:szCs w:val="20"/>
        </w:rPr>
        <w:t>Penicillium</w:t>
      </w:r>
      <w:r w:rsidRPr="000D7BC8">
        <w:rPr>
          <w:rFonts w:ascii="Arial" w:hAnsi="Arial" w:cs="Arial"/>
          <w:bCs/>
          <w:sz w:val="20"/>
          <w:szCs w:val="20"/>
        </w:rPr>
        <w:t xml:space="preserve"> sp.-isolated from </w:t>
      </w:r>
      <w:r w:rsidRPr="000D7BC8">
        <w:rPr>
          <w:rFonts w:ascii="Arial" w:hAnsi="Arial" w:cs="Arial"/>
          <w:bCs/>
          <w:i/>
          <w:iCs/>
          <w:sz w:val="20"/>
          <w:szCs w:val="20"/>
        </w:rPr>
        <w:t>Ulva</w:t>
      </w:r>
      <w:r w:rsidRPr="000D7BC8">
        <w:rPr>
          <w:rFonts w:ascii="Arial" w:hAnsi="Arial" w:cs="Arial"/>
          <w:bCs/>
          <w:sz w:val="20"/>
          <w:szCs w:val="20"/>
        </w:rPr>
        <w:t xml:space="preserve"> spp. seaweeds. In a multi-isolate comparison, crude extracts of </w:t>
      </w:r>
      <w:r w:rsidRPr="000D7BC8">
        <w:rPr>
          <w:rFonts w:ascii="Arial" w:hAnsi="Arial" w:cs="Arial"/>
          <w:bCs/>
          <w:i/>
          <w:iCs/>
          <w:sz w:val="20"/>
          <w:szCs w:val="20"/>
        </w:rPr>
        <w:t>Ulva</w:t>
      </w:r>
      <w:r w:rsidRPr="000D7BC8">
        <w:rPr>
          <w:rFonts w:ascii="Arial" w:hAnsi="Arial" w:cs="Arial"/>
          <w:bCs/>
          <w:sz w:val="20"/>
          <w:szCs w:val="20"/>
        </w:rPr>
        <w:t xml:space="preserve">-derived endophytes displayed measurable DPPH scavenging indicating that endophyte extracts of </w:t>
      </w:r>
      <w:r w:rsidRPr="000D7BC8">
        <w:rPr>
          <w:rFonts w:ascii="Arial" w:hAnsi="Arial" w:cs="Arial"/>
          <w:bCs/>
          <w:i/>
          <w:iCs/>
          <w:sz w:val="20"/>
          <w:szCs w:val="20"/>
        </w:rPr>
        <w:t>Penicillium</w:t>
      </w:r>
      <w:r w:rsidRPr="000D7BC8">
        <w:rPr>
          <w:rFonts w:ascii="Arial" w:hAnsi="Arial" w:cs="Arial"/>
          <w:bCs/>
          <w:sz w:val="20"/>
          <w:szCs w:val="20"/>
        </w:rPr>
        <w:t xml:space="preserve"> sp. show meaningful antioxidant capacity consistent with our findings (Noor </w:t>
      </w:r>
      <w:r w:rsidRPr="000D7BC8">
        <w:rPr>
          <w:rFonts w:ascii="Arial" w:hAnsi="Arial" w:cs="Arial"/>
          <w:bCs/>
          <w:i/>
          <w:iCs/>
          <w:sz w:val="20"/>
          <w:szCs w:val="20"/>
        </w:rPr>
        <w:t>et al</w:t>
      </w:r>
      <w:r w:rsidRPr="000D7BC8">
        <w:rPr>
          <w:rFonts w:ascii="Arial" w:hAnsi="Arial" w:cs="Arial"/>
          <w:bCs/>
          <w:sz w:val="20"/>
          <w:szCs w:val="20"/>
        </w:rPr>
        <w:t xml:space="preserve">., 2024). </w:t>
      </w:r>
      <w:r w:rsidR="00A84915" w:rsidRPr="000D7BC8">
        <w:rPr>
          <w:rFonts w:ascii="Arial" w:hAnsi="Arial" w:cs="Arial"/>
          <w:bCs/>
          <w:sz w:val="20"/>
          <w:szCs w:val="20"/>
        </w:rPr>
        <w:t>Nitric oxide</w:t>
      </w:r>
      <w:r w:rsidRPr="000D7BC8">
        <w:rPr>
          <w:rFonts w:ascii="Arial" w:hAnsi="Arial" w:cs="Arial"/>
          <w:bCs/>
          <w:sz w:val="20"/>
          <w:szCs w:val="20"/>
        </w:rPr>
        <w:t xml:space="preserve"> scavenging profile (46–62% across 100–500µg) is also consistent with prior reports for </w:t>
      </w:r>
      <w:r w:rsidRPr="000D7BC8">
        <w:rPr>
          <w:rFonts w:ascii="Arial" w:hAnsi="Arial" w:cs="Arial"/>
          <w:bCs/>
          <w:i/>
          <w:iCs/>
          <w:sz w:val="20"/>
          <w:szCs w:val="20"/>
        </w:rPr>
        <w:t>Penicillium</w:t>
      </w:r>
      <w:r w:rsidRPr="000D7BC8">
        <w:rPr>
          <w:rFonts w:ascii="Arial" w:hAnsi="Arial" w:cs="Arial"/>
          <w:bCs/>
          <w:sz w:val="20"/>
          <w:szCs w:val="20"/>
        </w:rPr>
        <w:t xml:space="preserve"> sp. (Priyanka and Daljit, 2012).</w:t>
      </w:r>
      <w:r w:rsidR="00A84915" w:rsidRPr="000D7BC8">
        <w:rPr>
          <w:rFonts w:ascii="Arial" w:hAnsi="Arial" w:cs="Arial"/>
          <w:bCs/>
          <w:sz w:val="20"/>
          <w:szCs w:val="20"/>
        </w:rPr>
        <w:t xml:space="preserve"> </w:t>
      </w:r>
      <w:r w:rsidRPr="000D7BC8">
        <w:rPr>
          <w:rFonts w:ascii="Arial" w:hAnsi="Arial" w:cs="Arial"/>
          <w:bCs/>
          <w:sz w:val="20"/>
          <w:szCs w:val="20"/>
        </w:rPr>
        <w:t xml:space="preserve">In the present study, total antioxidant and total phenolic contents were </w:t>
      </w:r>
      <w:r w:rsidR="0049347A" w:rsidRPr="000D7BC8">
        <w:rPr>
          <w:rFonts w:ascii="Arial" w:hAnsi="Arial" w:cs="Arial"/>
          <w:bCs/>
          <w:sz w:val="20"/>
          <w:szCs w:val="20"/>
        </w:rPr>
        <w:t>recorded</w:t>
      </w:r>
      <w:r w:rsidRPr="000D7BC8">
        <w:rPr>
          <w:rFonts w:ascii="Arial" w:hAnsi="Arial" w:cs="Arial"/>
          <w:bCs/>
          <w:sz w:val="20"/>
          <w:szCs w:val="20"/>
        </w:rPr>
        <w:t xml:space="preserve"> as 55.38 ± 1.00 µg/mg, and 40.38 ± 2.00 µg/mg respectively. Total antioxidant indicates a </w:t>
      </w:r>
      <w:r w:rsidRPr="000D7BC8">
        <w:rPr>
          <w:rFonts w:ascii="Arial" w:hAnsi="Arial" w:cs="Arial"/>
          <w:bCs/>
          <w:sz w:val="20"/>
          <w:szCs w:val="20"/>
        </w:rPr>
        <w:lastRenderedPageBreak/>
        <w:t xml:space="preserve">moderate level of antioxidant potential suggests that </w:t>
      </w:r>
      <w:r w:rsidRPr="000D7BC8">
        <w:rPr>
          <w:rFonts w:ascii="Arial" w:hAnsi="Arial" w:cs="Arial"/>
          <w:bCs/>
          <w:i/>
          <w:iCs/>
          <w:sz w:val="20"/>
          <w:szCs w:val="20"/>
        </w:rPr>
        <w:t xml:space="preserve">P. </w:t>
      </w:r>
      <w:proofErr w:type="spellStart"/>
      <w:r w:rsidRPr="000D7BC8">
        <w:rPr>
          <w:rFonts w:ascii="Arial" w:hAnsi="Arial" w:cs="Arial"/>
          <w:bCs/>
          <w:i/>
          <w:iCs/>
          <w:sz w:val="20"/>
          <w:szCs w:val="20"/>
        </w:rPr>
        <w:t>javanicum</w:t>
      </w:r>
      <w:proofErr w:type="spellEnd"/>
      <w:r w:rsidRPr="000D7BC8">
        <w:rPr>
          <w:rFonts w:ascii="Arial" w:hAnsi="Arial" w:cs="Arial"/>
          <w:bCs/>
          <w:sz w:val="20"/>
          <w:szCs w:val="20"/>
        </w:rPr>
        <w:t xml:space="preserve"> UL1 possesses meaningful reducing capacity.</w:t>
      </w:r>
      <w:r w:rsidR="0049347A" w:rsidRPr="000D7BC8">
        <w:rPr>
          <w:rFonts w:ascii="Arial" w:hAnsi="Arial" w:cs="Arial"/>
          <w:bCs/>
          <w:sz w:val="20"/>
          <w:szCs w:val="20"/>
        </w:rPr>
        <w:t xml:space="preserve"> </w:t>
      </w:r>
      <w:r w:rsidRPr="000D7BC8">
        <w:rPr>
          <w:rFonts w:ascii="Arial" w:hAnsi="Arial" w:cs="Arial"/>
          <w:bCs/>
          <w:sz w:val="20"/>
          <w:szCs w:val="20"/>
        </w:rPr>
        <w:t>The relatively high phenolic content observed in the fungal extract may therefore contribute significantly to the antioxidant activity detected in this study.</w:t>
      </w:r>
      <w:r w:rsidRPr="000D7BC8">
        <w:rPr>
          <w:rFonts w:ascii="Arial" w:hAnsi="Arial" w:cs="Arial"/>
          <w:sz w:val="20"/>
          <w:szCs w:val="20"/>
        </w:rPr>
        <w:t xml:space="preserve"> </w:t>
      </w:r>
      <w:r w:rsidRPr="000D7BC8">
        <w:rPr>
          <w:rFonts w:ascii="Arial" w:hAnsi="Arial" w:cs="Arial"/>
          <w:bCs/>
          <w:i/>
          <w:iCs/>
          <w:sz w:val="20"/>
          <w:szCs w:val="20"/>
        </w:rPr>
        <w:t xml:space="preserve">Evernia </w:t>
      </w:r>
      <w:proofErr w:type="spellStart"/>
      <w:r w:rsidRPr="000D7BC8">
        <w:rPr>
          <w:rFonts w:ascii="Arial" w:hAnsi="Arial" w:cs="Arial"/>
          <w:bCs/>
          <w:i/>
          <w:iCs/>
          <w:sz w:val="20"/>
          <w:szCs w:val="20"/>
        </w:rPr>
        <w:t>prunastri</w:t>
      </w:r>
      <w:proofErr w:type="spellEnd"/>
      <w:r w:rsidRPr="000D7BC8">
        <w:rPr>
          <w:rFonts w:ascii="Arial" w:hAnsi="Arial" w:cs="Arial"/>
          <w:bCs/>
          <w:sz w:val="20"/>
          <w:szCs w:val="20"/>
        </w:rPr>
        <w:t xml:space="preserve"> hexane extract achieved high phenolic content (~73µgGAE/mg), and demonstrated strong antioxidant activity (Shcherbakova </w:t>
      </w:r>
      <w:r w:rsidRPr="000D7BC8">
        <w:rPr>
          <w:rFonts w:ascii="Arial" w:hAnsi="Arial" w:cs="Arial"/>
          <w:bCs/>
          <w:i/>
          <w:iCs/>
          <w:sz w:val="20"/>
          <w:szCs w:val="20"/>
        </w:rPr>
        <w:t>et al.,</w:t>
      </w:r>
      <w:r w:rsidRPr="000D7BC8">
        <w:rPr>
          <w:rFonts w:ascii="Arial" w:hAnsi="Arial" w:cs="Arial"/>
          <w:bCs/>
          <w:sz w:val="20"/>
          <w:szCs w:val="20"/>
        </w:rPr>
        <w:t xml:space="preserve"> 2021). </w:t>
      </w:r>
      <w:r w:rsidRPr="000D7BC8">
        <w:rPr>
          <w:rStyle w:val="CommentReference"/>
          <w:rFonts w:ascii="Arial" w:hAnsi="Arial" w:cs="Arial"/>
          <w:bCs/>
          <w:sz w:val="20"/>
          <w:szCs w:val="20"/>
        </w:rPr>
        <w:t xml:space="preserve"> According to Bajaj (1998), variations in antioxidant and phenolic contents can arise due to several factors, including plant species, extraction solvent, environmental conditions, and methodological differences.</w:t>
      </w:r>
    </w:p>
    <w:p w14:paraId="54E3E5F3" w14:textId="77777777" w:rsidR="00AD29B7" w:rsidRPr="000D7BC8" w:rsidRDefault="00AD29B7">
      <w:pPr>
        <w:rPr>
          <w:rFonts w:ascii="Arial" w:hAnsi="Arial" w:cs="Arial"/>
          <w:b/>
          <w:sz w:val="2"/>
          <w:szCs w:val="6"/>
        </w:rPr>
      </w:pPr>
    </w:p>
    <w:p w14:paraId="45F98527" w14:textId="77777777" w:rsidR="00AD29B7" w:rsidRPr="000D7BC8" w:rsidRDefault="00EF7F79">
      <w:pPr>
        <w:rPr>
          <w:rFonts w:ascii="Arial" w:hAnsi="Arial" w:cs="Arial"/>
          <w:b/>
          <w:sz w:val="20"/>
          <w:szCs w:val="28"/>
        </w:rPr>
      </w:pPr>
      <w:r w:rsidRPr="000D7BC8">
        <w:rPr>
          <w:rFonts w:ascii="Arial" w:hAnsi="Arial" w:cs="Arial"/>
          <w:b/>
          <w:sz w:val="20"/>
          <w:szCs w:val="28"/>
        </w:rPr>
        <w:t>Table 3:</w:t>
      </w:r>
      <w:r w:rsidRPr="000D7BC8">
        <w:rPr>
          <w:rFonts w:ascii="Arial" w:hAnsi="Arial" w:cs="Arial"/>
          <w:b/>
          <w:bCs/>
          <w:sz w:val="20"/>
          <w:szCs w:val="28"/>
        </w:rPr>
        <w:t xml:space="preserve"> DPPH activity of sample and positive control</w:t>
      </w:r>
      <w:r w:rsidRPr="000D7BC8">
        <w:rPr>
          <w:rFonts w:ascii="Arial" w:hAnsi="Arial" w:cs="Arial"/>
          <w:b/>
          <w:sz w:val="20"/>
          <w:szCs w:val="28"/>
        </w:rPr>
        <w:t xml:space="preserve"> </w:t>
      </w:r>
      <w:r w:rsidRPr="000D7BC8">
        <w:rPr>
          <w:rFonts w:ascii="Arial" w:hAnsi="Arial" w:cs="Arial"/>
          <w:b/>
          <w:bCs/>
          <w:sz w:val="20"/>
          <w:szCs w:val="28"/>
        </w:rPr>
        <w:t>(% of scavenging)</w:t>
      </w:r>
    </w:p>
    <w:tbl>
      <w:tblPr>
        <w:tblW w:w="0" w:type="auto"/>
        <w:jc w:val="center"/>
        <w:tblLook w:val="04A0" w:firstRow="1" w:lastRow="0" w:firstColumn="1" w:lastColumn="0" w:noHBand="0" w:noVBand="1"/>
      </w:tblPr>
      <w:tblGrid>
        <w:gridCol w:w="1696"/>
        <w:gridCol w:w="4112"/>
        <w:gridCol w:w="1980"/>
      </w:tblGrid>
      <w:tr w:rsidR="00AD29B7" w:rsidRPr="005F4649" w14:paraId="2C500728" w14:textId="77777777" w:rsidTr="000D7BC8">
        <w:trPr>
          <w:trHeight w:val="315"/>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1075F5E6" w14:textId="18CD54A9" w:rsidR="00AD29B7" w:rsidRPr="000D7BC8" w:rsidRDefault="00EF7F79" w:rsidP="000D7BC8">
            <w:pPr>
              <w:spacing w:after="0" w:line="480" w:lineRule="auto"/>
              <w:jc w:val="center"/>
              <w:rPr>
                <w:rFonts w:ascii="Arial" w:hAnsi="Arial" w:cs="Arial"/>
                <w:b/>
                <w:bCs/>
              </w:rPr>
            </w:pPr>
            <w:r w:rsidRPr="000D7BC8">
              <w:rPr>
                <w:rFonts w:ascii="Arial" w:hAnsi="Arial" w:cs="Arial"/>
                <w:b/>
                <w:bCs/>
              </w:rPr>
              <w:t xml:space="preserve">Conc. </w:t>
            </w:r>
            <w:bookmarkStart w:id="1" w:name="_Hlk207049364"/>
            <w:r w:rsidRPr="000D7BC8">
              <w:rPr>
                <w:rFonts w:ascii="Arial" w:hAnsi="Arial" w:cs="Arial"/>
                <w:b/>
                <w:bCs/>
              </w:rPr>
              <w:t>µg/ml</w:t>
            </w:r>
            <w:bookmarkEnd w:id="1"/>
          </w:p>
        </w:tc>
        <w:tc>
          <w:tcPr>
            <w:tcW w:w="4112" w:type="dxa"/>
            <w:tcBorders>
              <w:top w:val="single" w:sz="4" w:space="0" w:color="auto"/>
              <w:left w:val="single" w:sz="4" w:space="0" w:color="auto"/>
              <w:bottom w:val="single" w:sz="4" w:space="0" w:color="auto"/>
              <w:right w:val="single" w:sz="4" w:space="0" w:color="auto"/>
            </w:tcBorders>
            <w:noWrap/>
            <w:vAlign w:val="center"/>
          </w:tcPr>
          <w:p w14:paraId="18672C08" w14:textId="77777777" w:rsidR="00AD29B7" w:rsidRPr="000D7BC8" w:rsidRDefault="00EF7F79" w:rsidP="000D7BC8">
            <w:pPr>
              <w:spacing w:after="0" w:line="480" w:lineRule="auto"/>
              <w:jc w:val="center"/>
              <w:rPr>
                <w:rFonts w:ascii="Arial" w:eastAsia="Times New Roman" w:hAnsi="Arial" w:cs="Arial"/>
                <w:b/>
                <w:bCs/>
                <w:i/>
                <w:iCs/>
                <w:color w:val="000000"/>
              </w:rPr>
            </w:pPr>
            <w:r w:rsidRPr="000D7BC8">
              <w:rPr>
                <w:rFonts w:ascii="Arial" w:eastAsia="Times New Roman" w:hAnsi="Arial" w:cs="Arial"/>
                <w:b/>
                <w:bCs/>
                <w:i/>
                <w:iCs/>
                <w:color w:val="000000"/>
              </w:rPr>
              <w:t xml:space="preserve">Penicillium </w:t>
            </w:r>
            <w:proofErr w:type="spellStart"/>
            <w:r w:rsidRPr="000D7BC8">
              <w:rPr>
                <w:rFonts w:ascii="Arial" w:eastAsia="Times New Roman" w:hAnsi="Arial" w:cs="Arial"/>
                <w:b/>
                <w:bCs/>
                <w:i/>
                <w:iCs/>
                <w:color w:val="000000"/>
              </w:rPr>
              <w:t>javanicum</w:t>
            </w:r>
            <w:proofErr w:type="spellEnd"/>
            <w:r w:rsidRPr="000D7BC8">
              <w:rPr>
                <w:rFonts w:ascii="Arial" w:eastAsia="Times New Roman" w:hAnsi="Arial" w:cs="Arial"/>
                <w:b/>
                <w:bCs/>
                <w:i/>
                <w:iCs/>
                <w:color w:val="000000"/>
              </w:rPr>
              <w:t xml:space="preserve"> </w:t>
            </w:r>
            <w:r w:rsidRPr="000D7BC8">
              <w:rPr>
                <w:rFonts w:ascii="Arial" w:eastAsia="Times New Roman" w:hAnsi="Arial" w:cs="Arial"/>
                <w:b/>
                <w:bCs/>
                <w:color w:val="000000"/>
              </w:rPr>
              <w:t>isolate UL1</w:t>
            </w:r>
          </w:p>
        </w:tc>
        <w:tc>
          <w:tcPr>
            <w:tcW w:w="1980" w:type="dxa"/>
            <w:tcBorders>
              <w:top w:val="single" w:sz="4" w:space="0" w:color="auto"/>
              <w:left w:val="single" w:sz="4" w:space="0" w:color="auto"/>
              <w:bottom w:val="single" w:sz="4" w:space="0" w:color="auto"/>
              <w:right w:val="single" w:sz="4" w:space="0" w:color="auto"/>
            </w:tcBorders>
          </w:tcPr>
          <w:p w14:paraId="49110094" w14:textId="77777777" w:rsidR="00AD29B7" w:rsidRPr="000D7BC8" w:rsidRDefault="00EF7F79" w:rsidP="000D7BC8">
            <w:pPr>
              <w:spacing w:after="0" w:line="480" w:lineRule="auto"/>
              <w:jc w:val="center"/>
              <w:rPr>
                <w:rFonts w:ascii="Arial" w:eastAsia="Times New Roman" w:hAnsi="Arial" w:cs="Arial"/>
                <w:b/>
                <w:bCs/>
                <w:color w:val="000000"/>
              </w:rPr>
            </w:pPr>
            <w:r w:rsidRPr="000D7BC8">
              <w:rPr>
                <w:rFonts w:ascii="Arial" w:eastAsia="Times New Roman" w:hAnsi="Arial" w:cs="Arial"/>
                <w:b/>
                <w:bCs/>
                <w:color w:val="000000"/>
              </w:rPr>
              <w:t>Ascorbic acid</w:t>
            </w:r>
          </w:p>
        </w:tc>
      </w:tr>
      <w:tr w:rsidR="00AD29B7" w:rsidRPr="005F4649" w14:paraId="21D4D507" w14:textId="77777777" w:rsidTr="000D7BC8">
        <w:trPr>
          <w:trHeight w:val="300"/>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152F57C2" w14:textId="77777777" w:rsidR="00AD29B7" w:rsidRPr="000D7BC8" w:rsidRDefault="00EF7F79" w:rsidP="000D7BC8">
            <w:pPr>
              <w:spacing w:after="0" w:line="480" w:lineRule="auto"/>
              <w:jc w:val="center"/>
              <w:rPr>
                <w:rFonts w:ascii="Arial" w:eastAsia="Times New Roman" w:hAnsi="Arial" w:cs="Arial"/>
                <w:color w:val="000000"/>
              </w:rPr>
            </w:pPr>
            <w:bookmarkStart w:id="2" w:name="_Hlk163575428"/>
            <w:r w:rsidRPr="000D7BC8">
              <w:rPr>
                <w:rFonts w:ascii="Arial" w:eastAsia="Times New Roman" w:hAnsi="Arial" w:cs="Arial"/>
                <w:color w:val="000000"/>
              </w:rPr>
              <w:t>100</w:t>
            </w:r>
            <w:bookmarkEnd w:id="2"/>
          </w:p>
        </w:tc>
        <w:tc>
          <w:tcPr>
            <w:tcW w:w="4112" w:type="dxa"/>
            <w:tcBorders>
              <w:top w:val="single" w:sz="4" w:space="0" w:color="auto"/>
              <w:left w:val="single" w:sz="4" w:space="0" w:color="auto"/>
              <w:bottom w:val="single" w:sz="4" w:space="0" w:color="auto"/>
              <w:right w:val="single" w:sz="4" w:space="0" w:color="auto"/>
            </w:tcBorders>
            <w:noWrap/>
            <w:vAlign w:val="bottom"/>
          </w:tcPr>
          <w:p w14:paraId="5446793A"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23.45±0.032</w:t>
            </w:r>
          </w:p>
        </w:tc>
        <w:tc>
          <w:tcPr>
            <w:tcW w:w="1980" w:type="dxa"/>
            <w:tcBorders>
              <w:top w:val="single" w:sz="4" w:space="0" w:color="auto"/>
              <w:left w:val="single" w:sz="4" w:space="0" w:color="auto"/>
              <w:bottom w:val="single" w:sz="4" w:space="0" w:color="auto"/>
              <w:right w:val="single" w:sz="4" w:space="0" w:color="auto"/>
            </w:tcBorders>
            <w:vAlign w:val="center"/>
          </w:tcPr>
          <w:p w14:paraId="2EA5986A"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hAnsi="Arial" w:cs="Arial"/>
              </w:rPr>
              <w:t>80.12±0.008</w:t>
            </w:r>
          </w:p>
        </w:tc>
      </w:tr>
      <w:tr w:rsidR="00AD29B7" w:rsidRPr="005F4649" w14:paraId="2A82D1FD" w14:textId="77777777" w:rsidTr="000D7BC8">
        <w:trPr>
          <w:trHeight w:val="300"/>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7CFD420F"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200</w:t>
            </w:r>
          </w:p>
        </w:tc>
        <w:tc>
          <w:tcPr>
            <w:tcW w:w="4112" w:type="dxa"/>
            <w:tcBorders>
              <w:top w:val="single" w:sz="4" w:space="0" w:color="auto"/>
              <w:left w:val="single" w:sz="4" w:space="0" w:color="auto"/>
              <w:bottom w:val="single" w:sz="4" w:space="0" w:color="auto"/>
              <w:right w:val="single" w:sz="4" w:space="0" w:color="auto"/>
            </w:tcBorders>
            <w:noWrap/>
            <w:vAlign w:val="bottom"/>
          </w:tcPr>
          <w:p w14:paraId="1ADC3575"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31.53±0.015</w:t>
            </w:r>
          </w:p>
        </w:tc>
        <w:tc>
          <w:tcPr>
            <w:tcW w:w="1980" w:type="dxa"/>
            <w:tcBorders>
              <w:top w:val="single" w:sz="4" w:space="0" w:color="auto"/>
              <w:left w:val="single" w:sz="4" w:space="0" w:color="auto"/>
              <w:bottom w:val="single" w:sz="4" w:space="0" w:color="auto"/>
              <w:right w:val="single" w:sz="4" w:space="0" w:color="auto"/>
            </w:tcBorders>
            <w:vAlign w:val="center"/>
          </w:tcPr>
          <w:p w14:paraId="0CFB94A9"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hAnsi="Arial" w:cs="Arial"/>
              </w:rPr>
              <w:t>86.54±0.006</w:t>
            </w:r>
          </w:p>
        </w:tc>
      </w:tr>
      <w:tr w:rsidR="00AD29B7" w:rsidRPr="005F4649" w14:paraId="1DCB93D0" w14:textId="77777777" w:rsidTr="000D7BC8">
        <w:trPr>
          <w:trHeight w:val="300"/>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77BEB265"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300</w:t>
            </w:r>
          </w:p>
        </w:tc>
        <w:tc>
          <w:tcPr>
            <w:tcW w:w="4112" w:type="dxa"/>
            <w:tcBorders>
              <w:top w:val="single" w:sz="4" w:space="0" w:color="auto"/>
              <w:left w:val="single" w:sz="4" w:space="0" w:color="auto"/>
              <w:bottom w:val="single" w:sz="4" w:space="0" w:color="auto"/>
              <w:right w:val="single" w:sz="4" w:space="0" w:color="auto"/>
            </w:tcBorders>
            <w:noWrap/>
            <w:vAlign w:val="bottom"/>
          </w:tcPr>
          <w:p w14:paraId="69CEC493"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41.74±0.008</w:t>
            </w:r>
          </w:p>
        </w:tc>
        <w:tc>
          <w:tcPr>
            <w:tcW w:w="1980" w:type="dxa"/>
            <w:tcBorders>
              <w:top w:val="single" w:sz="4" w:space="0" w:color="auto"/>
              <w:left w:val="single" w:sz="4" w:space="0" w:color="auto"/>
              <w:bottom w:val="single" w:sz="4" w:space="0" w:color="auto"/>
              <w:right w:val="single" w:sz="4" w:space="0" w:color="auto"/>
            </w:tcBorders>
            <w:vAlign w:val="center"/>
          </w:tcPr>
          <w:p w14:paraId="3C582D38"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hAnsi="Arial" w:cs="Arial"/>
              </w:rPr>
              <w:t>90.12±0.008</w:t>
            </w:r>
          </w:p>
        </w:tc>
      </w:tr>
      <w:tr w:rsidR="00AD29B7" w:rsidRPr="005F4649" w14:paraId="1878C978" w14:textId="77777777" w:rsidTr="000D7BC8">
        <w:trPr>
          <w:trHeight w:val="300"/>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25F25D91"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400</w:t>
            </w:r>
          </w:p>
        </w:tc>
        <w:tc>
          <w:tcPr>
            <w:tcW w:w="4112" w:type="dxa"/>
            <w:tcBorders>
              <w:top w:val="single" w:sz="4" w:space="0" w:color="auto"/>
              <w:left w:val="single" w:sz="4" w:space="0" w:color="auto"/>
              <w:bottom w:val="single" w:sz="4" w:space="0" w:color="auto"/>
              <w:right w:val="single" w:sz="4" w:space="0" w:color="auto"/>
            </w:tcBorders>
            <w:noWrap/>
            <w:vAlign w:val="bottom"/>
          </w:tcPr>
          <w:p w14:paraId="5DFC56B2"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53.73±0.015</w:t>
            </w:r>
          </w:p>
        </w:tc>
        <w:tc>
          <w:tcPr>
            <w:tcW w:w="1980" w:type="dxa"/>
            <w:tcBorders>
              <w:top w:val="single" w:sz="4" w:space="0" w:color="auto"/>
              <w:left w:val="single" w:sz="4" w:space="0" w:color="auto"/>
              <w:bottom w:val="single" w:sz="4" w:space="0" w:color="auto"/>
              <w:right w:val="single" w:sz="4" w:space="0" w:color="auto"/>
            </w:tcBorders>
            <w:vAlign w:val="center"/>
          </w:tcPr>
          <w:p w14:paraId="3496CE65"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hAnsi="Arial" w:cs="Arial"/>
              </w:rPr>
              <w:t>97.1±0.004</w:t>
            </w:r>
          </w:p>
        </w:tc>
      </w:tr>
      <w:tr w:rsidR="00AD29B7" w:rsidRPr="005F4649" w14:paraId="6AA71C14" w14:textId="77777777" w:rsidTr="000D7BC8">
        <w:trPr>
          <w:trHeight w:val="311"/>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6CD5ACB9"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500</w:t>
            </w:r>
          </w:p>
        </w:tc>
        <w:tc>
          <w:tcPr>
            <w:tcW w:w="4112" w:type="dxa"/>
            <w:tcBorders>
              <w:top w:val="single" w:sz="4" w:space="0" w:color="auto"/>
              <w:left w:val="single" w:sz="4" w:space="0" w:color="auto"/>
              <w:bottom w:val="single" w:sz="4" w:space="0" w:color="auto"/>
              <w:right w:val="single" w:sz="4" w:space="0" w:color="auto"/>
            </w:tcBorders>
            <w:noWrap/>
            <w:vAlign w:val="bottom"/>
          </w:tcPr>
          <w:p w14:paraId="5C5034E2"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64.12±0.009</w:t>
            </w:r>
          </w:p>
        </w:tc>
        <w:tc>
          <w:tcPr>
            <w:tcW w:w="1980" w:type="dxa"/>
            <w:tcBorders>
              <w:top w:val="single" w:sz="4" w:space="0" w:color="auto"/>
              <w:left w:val="single" w:sz="4" w:space="0" w:color="auto"/>
              <w:bottom w:val="single" w:sz="4" w:space="0" w:color="auto"/>
              <w:right w:val="single" w:sz="4" w:space="0" w:color="auto"/>
            </w:tcBorders>
            <w:vAlign w:val="center"/>
          </w:tcPr>
          <w:p w14:paraId="0C09AFBA"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hAnsi="Arial" w:cs="Arial"/>
              </w:rPr>
              <w:t>96.85± 0.002</w:t>
            </w:r>
          </w:p>
        </w:tc>
      </w:tr>
    </w:tbl>
    <w:p w14:paraId="27ED1D3C" w14:textId="77777777" w:rsidR="00AD29B7" w:rsidRPr="000D7BC8" w:rsidRDefault="00AD29B7">
      <w:pPr>
        <w:rPr>
          <w:rFonts w:ascii="Arial" w:hAnsi="Arial" w:cs="Arial"/>
          <w:b/>
          <w:sz w:val="4"/>
          <w:szCs w:val="10"/>
        </w:rPr>
      </w:pPr>
    </w:p>
    <w:p w14:paraId="4E8744D6" w14:textId="77777777" w:rsidR="00AD29B7" w:rsidRPr="000D7BC8" w:rsidRDefault="00EF7F79">
      <w:pPr>
        <w:jc w:val="center"/>
        <w:rPr>
          <w:rFonts w:ascii="Arial" w:hAnsi="Arial" w:cs="Arial"/>
          <w:b/>
          <w:sz w:val="18"/>
        </w:rPr>
      </w:pPr>
      <w:r w:rsidRPr="000D7BC8">
        <w:rPr>
          <w:rFonts w:ascii="Arial" w:hAnsi="Arial" w:cs="Arial"/>
          <w:b/>
          <w:noProof/>
        </w:rPr>
        <w:drawing>
          <wp:inline distT="0" distB="0" distL="0" distR="0" wp14:anchorId="0511F711" wp14:editId="2BDFA1A6">
            <wp:extent cx="4762136" cy="2813050"/>
            <wp:effectExtent l="0" t="0" r="0" b="0"/>
            <wp:docPr id="42535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5596"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916435" cy="2904196"/>
                    </a:xfrm>
                    <a:prstGeom prst="rect">
                      <a:avLst/>
                    </a:prstGeom>
                    <a:noFill/>
                  </pic:spPr>
                </pic:pic>
              </a:graphicData>
            </a:graphic>
          </wp:inline>
        </w:drawing>
      </w:r>
    </w:p>
    <w:p w14:paraId="3668AEDE" w14:textId="07E26E66" w:rsidR="00AD29B7" w:rsidRPr="000D7BC8" w:rsidRDefault="00EF7F79">
      <w:pPr>
        <w:tabs>
          <w:tab w:val="left" w:pos="720"/>
          <w:tab w:val="left" w:pos="8010"/>
        </w:tabs>
        <w:spacing w:line="240" w:lineRule="auto"/>
        <w:jc w:val="both"/>
        <w:rPr>
          <w:rFonts w:ascii="Arial" w:hAnsi="Arial" w:cs="Arial"/>
          <w:b/>
          <w:bCs/>
          <w:sz w:val="20"/>
          <w:szCs w:val="28"/>
        </w:rPr>
      </w:pPr>
      <w:r w:rsidRPr="000D7BC8">
        <w:rPr>
          <w:rFonts w:ascii="Arial" w:hAnsi="Arial" w:cs="Arial"/>
          <w:b/>
          <w:bCs/>
          <w:sz w:val="20"/>
          <w:szCs w:val="28"/>
        </w:rPr>
        <w:t>Fig</w:t>
      </w:r>
      <w:r w:rsidR="004D0D1A" w:rsidRPr="000D7BC8">
        <w:rPr>
          <w:rFonts w:ascii="Arial" w:hAnsi="Arial" w:cs="Arial"/>
          <w:b/>
          <w:bCs/>
          <w:sz w:val="20"/>
          <w:szCs w:val="28"/>
        </w:rPr>
        <w:t xml:space="preserve">. </w:t>
      </w:r>
      <w:r w:rsidRPr="000D7BC8">
        <w:rPr>
          <w:rFonts w:ascii="Arial" w:hAnsi="Arial" w:cs="Arial"/>
          <w:b/>
          <w:bCs/>
          <w:sz w:val="20"/>
          <w:szCs w:val="28"/>
        </w:rPr>
        <w:t>9: Graphical representation of percentage scavenging activity of DPPH free radicals against varied concentrations of extract in comparison with ascorbic acid as a standard.</w:t>
      </w:r>
    </w:p>
    <w:p w14:paraId="69094E6B" w14:textId="77777777" w:rsidR="00AD29B7" w:rsidRPr="000D7BC8" w:rsidRDefault="00AD29B7">
      <w:pPr>
        <w:rPr>
          <w:rFonts w:ascii="Arial" w:hAnsi="Arial" w:cs="Arial"/>
          <w:b/>
          <w:sz w:val="18"/>
        </w:rPr>
      </w:pPr>
    </w:p>
    <w:p w14:paraId="3D3CD375" w14:textId="77777777" w:rsidR="00407AC6" w:rsidRDefault="00407AC6">
      <w:pPr>
        <w:rPr>
          <w:rFonts w:ascii="Arial" w:hAnsi="Arial" w:cs="Arial"/>
          <w:b/>
          <w:sz w:val="20"/>
          <w:szCs w:val="28"/>
        </w:rPr>
      </w:pPr>
    </w:p>
    <w:p w14:paraId="61EA7E9F" w14:textId="77777777" w:rsidR="00407AC6" w:rsidRDefault="00407AC6">
      <w:pPr>
        <w:rPr>
          <w:rFonts w:ascii="Arial" w:hAnsi="Arial" w:cs="Arial"/>
          <w:b/>
          <w:sz w:val="20"/>
          <w:szCs w:val="28"/>
        </w:rPr>
      </w:pPr>
    </w:p>
    <w:p w14:paraId="6D2A96E3" w14:textId="77777777" w:rsidR="00407AC6" w:rsidRDefault="00407AC6">
      <w:pPr>
        <w:rPr>
          <w:rFonts w:ascii="Arial" w:hAnsi="Arial" w:cs="Arial"/>
          <w:b/>
          <w:sz w:val="20"/>
          <w:szCs w:val="28"/>
        </w:rPr>
      </w:pPr>
    </w:p>
    <w:p w14:paraId="25123B8F" w14:textId="7C08802F" w:rsidR="00AD29B7" w:rsidRPr="000D7BC8" w:rsidRDefault="00EF7F79">
      <w:pPr>
        <w:rPr>
          <w:rFonts w:ascii="Arial" w:hAnsi="Arial" w:cs="Arial"/>
          <w:b/>
          <w:sz w:val="20"/>
          <w:szCs w:val="28"/>
        </w:rPr>
      </w:pPr>
      <w:r w:rsidRPr="000D7BC8">
        <w:rPr>
          <w:rFonts w:ascii="Arial" w:hAnsi="Arial" w:cs="Arial"/>
          <w:b/>
          <w:sz w:val="20"/>
          <w:szCs w:val="28"/>
        </w:rPr>
        <w:lastRenderedPageBreak/>
        <w:t xml:space="preserve">Table 4: Nitric oxide radical scavenging assay (NORSA) </w:t>
      </w:r>
      <w:r w:rsidRPr="000D7BC8">
        <w:rPr>
          <w:rFonts w:ascii="Arial" w:hAnsi="Arial" w:cs="Arial"/>
          <w:b/>
          <w:bCs/>
          <w:sz w:val="20"/>
          <w:szCs w:val="28"/>
        </w:rPr>
        <w:t>(% of scavenging)</w:t>
      </w:r>
      <w:r w:rsidRPr="000D7BC8">
        <w:rPr>
          <w:rFonts w:ascii="Arial" w:hAnsi="Arial" w:cs="Arial"/>
          <w:b/>
          <w:sz w:val="20"/>
          <w:szCs w:val="28"/>
        </w:rPr>
        <w:t xml:space="preserve"> </w:t>
      </w:r>
    </w:p>
    <w:tbl>
      <w:tblPr>
        <w:tblW w:w="0" w:type="auto"/>
        <w:jc w:val="center"/>
        <w:tblLook w:val="04A0" w:firstRow="1" w:lastRow="0" w:firstColumn="1" w:lastColumn="0" w:noHBand="0" w:noVBand="1"/>
      </w:tblPr>
      <w:tblGrid>
        <w:gridCol w:w="1696"/>
        <w:gridCol w:w="4300"/>
        <w:gridCol w:w="1804"/>
      </w:tblGrid>
      <w:tr w:rsidR="00AD29B7" w:rsidRPr="005F4649" w14:paraId="36A5CD4E" w14:textId="77777777" w:rsidTr="000D7BC8">
        <w:trPr>
          <w:trHeight w:val="315"/>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4783AAE0" w14:textId="77777777" w:rsidR="00AD29B7" w:rsidRPr="000D7BC8" w:rsidRDefault="00EF7F79" w:rsidP="000D7BC8">
            <w:pPr>
              <w:spacing w:after="0" w:line="480" w:lineRule="auto"/>
              <w:rPr>
                <w:rFonts w:ascii="Arial" w:hAnsi="Arial" w:cs="Arial"/>
                <w:b/>
              </w:rPr>
            </w:pPr>
            <w:r w:rsidRPr="000D7BC8">
              <w:rPr>
                <w:rFonts w:ascii="Arial" w:hAnsi="Arial" w:cs="Arial"/>
                <w:b/>
              </w:rPr>
              <w:t>Conc. µg/ml</w:t>
            </w:r>
          </w:p>
        </w:tc>
        <w:tc>
          <w:tcPr>
            <w:tcW w:w="4300" w:type="dxa"/>
            <w:tcBorders>
              <w:top w:val="single" w:sz="4" w:space="0" w:color="auto"/>
              <w:left w:val="single" w:sz="4" w:space="0" w:color="auto"/>
              <w:bottom w:val="single" w:sz="4" w:space="0" w:color="auto"/>
              <w:right w:val="single" w:sz="4" w:space="0" w:color="auto"/>
            </w:tcBorders>
            <w:noWrap/>
            <w:vAlign w:val="center"/>
          </w:tcPr>
          <w:p w14:paraId="213F299F" w14:textId="77777777" w:rsidR="00AD29B7" w:rsidRPr="000D7BC8" w:rsidRDefault="00EF7F79" w:rsidP="000D7BC8">
            <w:pPr>
              <w:spacing w:after="0" w:line="480" w:lineRule="auto"/>
              <w:rPr>
                <w:rFonts w:ascii="Arial" w:eastAsia="Times New Roman" w:hAnsi="Arial" w:cs="Arial"/>
                <w:b/>
                <w:bCs/>
                <w:i/>
                <w:iCs/>
                <w:color w:val="000000"/>
              </w:rPr>
            </w:pPr>
            <w:r w:rsidRPr="000D7BC8">
              <w:rPr>
                <w:rFonts w:ascii="Arial" w:hAnsi="Arial" w:cs="Arial"/>
                <w:b/>
                <w:bCs/>
                <w:i/>
              </w:rPr>
              <w:t xml:space="preserve">Penicillium </w:t>
            </w:r>
            <w:proofErr w:type="spellStart"/>
            <w:r w:rsidRPr="000D7BC8">
              <w:rPr>
                <w:rFonts w:ascii="Arial" w:hAnsi="Arial" w:cs="Arial"/>
                <w:b/>
                <w:bCs/>
                <w:i/>
              </w:rPr>
              <w:t>javanicum</w:t>
            </w:r>
            <w:proofErr w:type="spellEnd"/>
            <w:r w:rsidRPr="000D7BC8">
              <w:rPr>
                <w:rFonts w:ascii="Arial" w:hAnsi="Arial" w:cs="Arial"/>
                <w:b/>
                <w:bCs/>
                <w:i/>
              </w:rPr>
              <w:t xml:space="preserve"> </w:t>
            </w:r>
            <w:r w:rsidRPr="000D7BC8">
              <w:rPr>
                <w:rFonts w:ascii="Arial" w:hAnsi="Arial" w:cs="Arial"/>
                <w:b/>
                <w:bCs/>
              </w:rPr>
              <w:t>isolate</w:t>
            </w:r>
            <w:r w:rsidRPr="000D7BC8">
              <w:rPr>
                <w:rFonts w:ascii="Arial" w:hAnsi="Arial" w:cs="Arial"/>
                <w:b/>
                <w:bCs/>
                <w:i/>
              </w:rPr>
              <w:t xml:space="preserve"> </w:t>
            </w:r>
            <w:r w:rsidRPr="000D7BC8">
              <w:rPr>
                <w:rFonts w:ascii="Arial" w:hAnsi="Arial" w:cs="Arial"/>
                <w:b/>
                <w:bCs/>
              </w:rPr>
              <w:t>UL1</w:t>
            </w:r>
          </w:p>
        </w:tc>
        <w:tc>
          <w:tcPr>
            <w:tcW w:w="1804" w:type="dxa"/>
            <w:tcBorders>
              <w:top w:val="single" w:sz="4" w:space="0" w:color="auto"/>
              <w:left w:val="single" w:sz="4" w:space="0" w:color="auto"/>
              <w:bottom w:val="single" w:sz="4" w:space="0" w:color="auto"/>
              <w:right w:val="single" w:sz="4" w:space="0" w:color="auto"/>
            </w:tcBorders>
          </w:tcPr>
          <w:p w14:paraId="0F2C6EDD" w14:textId="77777777" w:rsidR="00AD29B7" w:rsidRPr="000D7BC8" w:rsidRDefault="00EF7F79" w:rsidP="000D7BC8">
            <w:pPr>
              <w:spacing w:after="0" w:line="480" w:lineRule="auto"/>
              <w:rPr>
                <w:rFonts w:ascii="Arial" w:eastAsia="Times New Roman" w:hAnsi="Arial" w:cs="Arial"/>
                <w:b/>
                <w:bCs/>
                <w:i/>
                <w:iCs/>
                <w:color w:val="000000"/>
              </w:rPr>
            </w:pPr>
            <w:r w:rsidRPr="000D7BC8">
              <w:rPr>
                <w:rFonts w:ascii="Arial" w:eastAsia="Times-Roman" w:hAnsi="Arial" w:cs="Arial"/>
                <w:b/>
              </w:rPr>
              <w:t>Ascorbic acid</w:t>
            </w:r>
            <w:r w:rsidRPr="000D7BC8">
              <w:rPr>
                <w:rFonts w:ascii="Arial" w:eastAsia="Times New Roman" w:hAnsi="Arial" w:cs="Arial"/>
                <w:b/>
                <w:bCs/>
                <w:i/>
                <w:iCs/>
                <w:color w:val="000000"/>
              </w:rPr>
              <w:t xml:space="preserve"> </w:t>
            </w:r>
          </w:p>
        </w:tc>
      </w:tr>
      <w:tr w:rsidR="00AD29B7" w:rsidRPr="005F4649" w14:paraId="7D6A1B33" w14:textId="77777777" w:rsidTr="000D7BC8">
        <w:trPr>
          <w:trHeight w:val="300"/>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11C20BF2" w14:textId="77777777" w:rsidR="00AD29B7" w:rsidRPr="000D7BC8" w:rsidRDefault="00EF7F79" w:rsidP="000D7BC8">
            <w:pPr>
              <w:spacing w:after="0" w:line="480" w:lineRule="auto"/>
              <w:rPr>
                <w:rFonts w:ascii="Arial" w:eastAsia="Times New Roman" w:hAnsi="Arial" w:cs="Arial"/>
                <w:color w:val="000000"/>
              </w:rPr>
            </w:pPr>
            <w:r w:rsidRPr="000D7BC8">
              <w:rPr>
                <w:rFonts w:ascii="Arial" w:eastAsia="Times New Roman" w:hAnsi="Arial" w:cs="Arial"/>
                <w:color w:val="000000"/>
              </w:rPr>
              <w:t>100</w:t>
            </w:r>
          </w:p>
        </w:tc>
        <w:tc>
          <w:tcPr>
            <w:tcW w:w="4300" w:type="dxa"/>
            <w:tcBorders>
              <w:top w:val="single" w:sz="4" w:space="0" w:color="auto"/>
              <w:left w:val="single" w:sz="4" w:space="0" w:color="auto"/>
              <w:bottom w:val="single" w:sz="4" w:space="0" w:color="auto"/>
              <w:right w:val="single" w:sz="4" w:space="0" w:color="auto"/>
            </w:tcBorders>
            <w:noWrap/>
            <w:vAlign w:val="bottom"/>
          </w:tcPr>
          <w:p w14:paraId="5C50F7E3" w14:textId="77777777" w:rsidR="00AD29B7" w:rsidRPr="000D7BC8" w:rsidRDefault="00EF7F79" w:rsidP="000D7BC8">
            <w:pPr>
              <w:spacing w:after="0" w:line="480" w:lineRule="auto"/>
              <w:rPr>
                <w:rFonts w:ascii="Arial" w:eastAsia="Times New Roman" w:hAnsi="Arial" w:cs="Arial"/>
                <w:color w:val="000000"/>
              </w:rPr>
            </w:pPr>
            <w:r w:rsidRPr="000D7BC8">
              <w:rPr>
                <w:rFonts w:ascii="Arial" w:eastAsia="Times New Roman" w:hAnsi="Arial" w:cs="Arial"/>
                <w:color w:val="000000"/>
              </w:rPr>
              <w:t>45.61±0.015</w:t>
            </w:r>
          </w:p>
        </w:tc>
        <w:tc>
          <w:tcPr>
            <w:tcW w:w="1804" w:type="dxa"/>
            <w:tcBorders>
              <w:top w:val="single" w:sz="4" w:space="0" w:color="auto"/>
              <w:left w:val="single" w:sz="4" w:space="0" w:color="auto"/>
              <w:bottom w:val="single" w:sz="4" w:space="0" w:color="auto"/>
              <w:right w:val="single" w:sz="4" w:space="0" w:color="auto"/>
            </w:tcBorders>
            <w:vAlign w:val="center"/>
          </w:tcPr>
          <w:p w14:paraId="2942A96A" w14:textId="77777777" w:rsidR="00AD29B7" w:rsidRPr="000D7BC8" w:rsidRDefault="00EF7F79" w:rsidP="000D7BC8">
            <w:pPr>
              <w:spacing w:after="0" w:line="480" w:lineRule="auto"/>
              <w:rPr>
                <w:rFonts w:ascii="Arial" w:eastAsia="Times New Roman" w:hAnsi="Arial" w:cs="Arial"/>
                <w:color w:val="000000"/>
              </w:rPr>
            </w:pPr>
            <w:r w:rsidRPr="000D7BC8">
              <w:rPr>
                <w:rFonts w:ascii="Arial" w:hAnsi="Arial" w:cs="Arial"/>
              </w:rPr>
              <w:t>68±0.008</w:t>
            </w:r>
          </w:p>
        </w:tc>
      </w:tr>
      <w:tr w:rsidR="00AD29B7" w:rsidRPr="005F4649" w14:paraId="477F5B40" w14:textId="77777777" w:rsidTr="000D7BC8">
        <w:trPr>
          <w:trHeight w:val="300"/>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6AA26F9B" w14:textId="77777777" w:rsidR="00AD29B7" w:rsidRPr="000D7BC8" w:rsidRDefault="00EF7F79" w:rsidP="000D7BC8">
            <w:pPr>
              <w:spacing w:after="0" w:line="480" w:lineRule="auto"/>
              <w:rPr>
                <w:rFonts w:ascii="Arial" w:eastAsia="Times New Roman" w:hAnsi="Arial" w:cs="Arial"/>
                <w:color w:val="000000"/>
              </w:rPr>
            </w:pPr>
            <w:r w:rsidRPr="000D7BC8">
              <w:rPr>
                <w:rFonts w:ascii="Arial" w:eastAsia="Times New Roman" w:hAnsi="Arial" w:cs="Arial"/>
                <w:color w:val="000000"/>
              </w:rPr>
              <w:t>200</w:t>
            </w:r>
          </w:p>
        </w:tc>
        <w:tc>
          <w:tcPr>
            <w:tcW w:w="4300" w:type="dxa"/>
            <w:tcBorders>
              <w:top w:val="single" w:sz="4" w:space="0" w:color="auto"/>
              <w:left w:val="single" w:sz="4" w:space="0" w:color="auto"/>
              <w:bottom w:val="single" w:sz="4" w:space="0" w:color="auto"/>
              <w:right w:val="single" w:sz="4" w:space="0" w:color="auto"/>
            </w:tcBorders>
            <w:noWrap/>
            <w:vAlign w:val="bottom"/>
          </w:tcPr>
          <w:p w14:paraId="74A085B7" w14:textId="77777777" w:rsidR="00AD29B7" w:rsidRPr="000D7BC8" w:rsidRDefault="00EF7F79" w:rsidP="000D7BC8">
            <w:pPr>
              <w:spacing w:after="0" w:line="480" w:lineRule="auto"/>
              <w:rPr>
                <w:rFonts w:ascii="Arial" w:eastAsia="Times New Roman" w:hAnsi="Arial" w:cs="Arial"/>
                <w:color w:val="000000"/>
              </w:rPr>
            </w:pPr>
            <w:r w:rsidRPr="000D7BC8">
              <w:rPr>
                <w:rFonts w:ascii="Arial" w:eastAsia="Times New Roman" w:hAnsi="Arial" w:cs="Arial"/>
                <w:color w:val="000000"/>
              </w:rPr>
              <w:t>50.32±0.015</w:t>
            </w:r>
          </w:p>
        </w:tc>
        <w:tc>
          <w:tcPr>
            <w:tcW w:w="1804" w:type="dxa"/>
            <w:tcBorders>
              <w:top w:val="single" w:sz="4" w:space="0" w:color="auto"/>
              <w:left w:val="single" w:sz="4" w:space="0" w:color="auto"/>
              <w:bottom w:val="single" w:sz="4" w:space="0" w:color="auto"/>
              <w:right w:val="single" w:sz="4" w:space="0" w:color="auto"/>
            </w:tcBorders>
            <w:vAlign w:val="center"/>
          </w:tcPr>
          <w:p w14:paraId="4D36B9B6" w14:textId="77777777" w:rsidR="00AD29B7" w:rsidRPr="000D7BC8" w:rsidRDefault="00EF7F79" w:rsidP="000D7BC8">
            <w:pPr>
              <w:spacing w:after="0" w:line="480" w:lineRule="auto"/>
              <w:rPr>
                <w:rFonts w:ascii="Arial" w:eastAsia="Times New Roman" w:hAnsi="Arial" w:cs="Arial"/>
                <w:color w:val="000000"/>
              </w:rPr>
            </w:pPr>
            <w:r w:rsidRPr="000D7BC8">
              <w:rPr>
                <w:rFonts w:ascii="Arial" w:hAnsi="Arial" w:cs="Arial"/>
              </w:rPr>
              <w:t>75±0.012</w:t>
            </w:r>
          </w:p>
        </w:tc>
      </w:tr>
      <w:tr w:rsidR="00AD29B7" w:rsidRPr="005F4649" w14:paraId="7860C895" w14:textId="77777777" w:rsidTr="000D7BC8">
        <w:trPr>
          <w:trHeight w:val="300"/>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7BDC81CF" w14:textId="77777777" w:rsidR="00AD29B7" w:rsidRPr="000D7BC8" w:rsidRDefault="00EF7F79" w:rsidP="000D7BC8">
            <w:pPr>
              <w:spacing w:after="0" w:line="480" w:lineRule="auto"/>
              <w:rPr>
                <w:rFonts w:ascii="Arial" w:eastAsia="Times New Roman" w:hAnsi="Arial" w:cs="Arial"/>
                <w:color w:val="000000"/>
              </w:rPr>
            </w:pPr>
            <w:r w:rsidRPr="000D7BC8">
              <w:rPr>
                <w:rFonts w:ascii="Arial" w:eastAsia="Times New Roman" w:hAnsi="Arial" w:cs="Arial"/>
                <w:color w:val="000000"/>
              </w:rPr>
              <w:t>300</w:t>
            </w:r>
          </w:p>
        </w:tc>
        <w:tc>
          <w:tcPr>
            <w:tcW w:w="4300" w:type="dxa"/>
            <w:tcBorders>
              <w:top w:val="single" w:sz="4" w:space="0" w:color="auto"/>
              <w:left w:val="single" w:sz="4" w:space="0" w:color="auto"/>
              <w:bottom w:val="single" w:sz="4" w:space="0" w:color="auto"/>
              <w:right w:val="single" w:sz="4" w:space="0" w:color="auto"/>
            </w:tcBorders>
            <w:noWrap/>
            <w:vAlign w:val="bottom"/>
          </w:tcPr>
          <w:p w14:paraId="556CE10D" w14:textId="77777777" w:rsidR="00AD29B7" w:rsidRPr="000D7BC8" w:rsidRDefault="00EF7F79" w:rsidP="000D7BC8">
            <w:pPr>
              <w:spacing w:after="0" w:line="480" w:lineRule="auto"/>
              <w:rPr>
                <w:rFonts w:ascii="Arial" w:eastAsia="Times New Roman" w:hAnsi="Arial" w:cs="Arial"/>
                <w:color w:val="000000"/>
              </w:rPr>
            </w:pPr>
            <w:r w:rsidRPr="000D7BC8">
              <w:rPr>
                <w:rFonts w:ascii="Arial" w:eastAsia="Times New Roman" w:hAnsi="Arial" w:cs="Arial"/>
                <w:color w:val="000000"/>
              </w:rPr>
              <w:t>55.68±0.003</w:t>
            </w:r>
          </w:p>
        </w:tc>
        <w:tc>
          <w:tcPr>
            <w:tcW w:w="1804" w:type="dxa"/>
            <w:tcBorders>
              <w:top w:val="single" w:sz="4" w:space="0" w:color="auto"/>
              <w:left w:val="single" w:sz="4" w:space="0" w:color="auto"/>
              <w:bottom w:val="single" w:sz="4" w:space="0" w:color="auto"/>
              <w:right w:val="single" w:sz="4" w:space="0" w:color="auto"/>
            </w:tcBorders>
            <w:vAlign w:val="center"/>
          </w:tcPr>
          <w:p w14:paraId="4D029D7E" w14:textId="77777777" w:rsidR="00AD29B7" w:rsidRPr="000D7BC8" w:rsidRDefault="00EF7F79" w:rsidP="000D7BC8">
            <w:pPr>
              <w:spacing w:after="0" w:line="480" w:lineRule="auto"/>
              <w:rPr>
                <w:rFonts w:ascii="Arial" w:eastAsia="Times New Roman" w:hAnsi="Arial" w:cs="Arial"/>
                <w:color w:val="000000"/>
              </w:rPr>
            </w:pPr>
            <w:r w:rsidRPr="000D7BC8">
              <w:rPr>
                <w:rFonts w:ascii="Arial" w:hAnsi="Arial" w:cs="Arial"/>
              </w:rPr>
              <w:t>76±0.014</w:t>
            </w:r>
          </w:p>
        </w:tc>
      </w:tr>
      <w:tr w:rsidR="00AD29B7" w:rsidRPr="005F4649" w14:paraId="3E22FE52" w14:textId="77777777" w:rsidTr="000D7BC8">
        <w:trPr>
          <w:trHeight w:val="300"/>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33FBE5DB" w14:textId="77777777" w:rsidR="00AD29B7" w:rsidRPr="000D7BC8" w:rsidRDefault="00EF7F79" w:rsidP="000D7BC8">
            <w:pPr>
              <w:spacing w:after="0" w:line="480" w:lineRule="auto"/>
              <w:rPr>
                <w:rFonts w:ascii="Arial" w:eastAsia="Times New Roman" w:hAnsi="Arial" w:cs="Arial"/>
                <w:color w:val="000000"/>
              </w:rPr>
            </w:pPr>
            <w:r w:rsidRPr="000D7BC8">
              <w:rPr>
                <w:rFonts w:ascii="Arial" w:eastAsia="Times New Roman" w:hAnsi="Arial" w:cs="Arial"/>
                <w:color w:val="000000"/>
              </w:rPr>
              <w:t>400</w:t>
            </w:r>
          </w:p>
        </w:tc>
        <w:tc>
          <w:tcPr>
            <w:tcW w:w="4300" w:type="dxa"/>
            <w:tcBorders>
              <w:top w:val="single" w:sz="4" w:space="0" w:color="auto"/>
              <w:left w:val="single" w:sz="4" w:space="0" w:color="auto"/>
              <w:bottom w:val="single" w:sz="4" w:space="0" w:color="auto"/>
              <w:right w:val="single" w:sz="4" w:space="0" w:color="auto"/>
            </w:tcBorders>
            <w:noWrap/>
            <w:vAlign w:val="bottom"/>
          </w:tcPr>
          <w:p w14:paraId="61ADC16C" w14:textId="77777777" w:rsidR="00AD29B7" w:rsidRPr="000D7BC8" w:rsidRDefault="00EF7F79" w:rsidP="000D7BC8">
            <w:pPr>
              <w:spacing w:after="0" w:line="480" w:lineRule="auto"/>
              <w:rPr>
                <w:rFonts w:ascii="Arial" w:eastAsia="Times New Roman" w:hAnsi="Arial" w:cs="Arial"/>
                <w:color w:val="000000"/>
              </w:rPr>
            </w:pPr>
            <w:r w:rsidRPr="000D7BC8">
              <w:rPr>
                <w:rFonts w:ascii="Arial" w:eastAsia="Times New Roman" w:hAnsi="Arial" w:cs="Arial"/>
                <w:color w:val="000000"/>
              </w:rPr>
              <w:t>59.78±0.010</w:t>
            </w:r>
          </w:p>
        </w:tc>
        <w:tc>
          <w:tcPr>
            <w:tcW w:w="1804" w:type="dxa"/>
            <w:tcBorders>
              <w:top w:val="single" w:sz="4" w:space="0" w:color="auto"/>
              <w:left w:val="single" w:sz="4" w:space="0" w:color="auto"/>
              <w:bottom w:val="single" w:sz="4" w:space="0" w:color="auto"/>
              <w:right w:val="single" w:sz="4" w:space="0" w:color="auto"/>
            </w:tcBorders>
            <w:vAlign w:val="center"/>
          </w:tcPr>
          <w:p w14:paraId="61E23548" w14:textId="77777777" w:rsidR="00AD29B7" w:rsidRPr="000D7BC8" w:rsidRDefault="00EF7F79" w:rsidP="000D7BC8">
            <w:pPr>
              <w:spacing w:after="0" w:line="480" w:lineRule="auto"/>
              <w:rPr>
                <w:rFonts w:ascii="Arial" w:eastAsia="Times New Roman" w:hAnsi="Arial" w:cs="Arial"/>
                <w:color w:val="000000"/>
              </w:rPr>
            </w:pPr>
            <w:r w:rsidRPr="000D7BC8">
              <w:rPr>
                <w:rFonts w:ascii="Arial" w:hAnsi="Arial" w:cs="Arial"/>
              </w:rPr>
              <w:t>85±0.008</w:t>
            </w:r>
          </w:p>
        </w:tc>
      </w:tr>
      <w:tr w:rsidR="00AD29B7" w:rsidRPr="005F4649" w14:paraId="2CB0369A" w14:textId="77777777" w:rsidTr="000D7BC8">
        <w:trPr>
          <w:trHeight w:val="300"/>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5F837098" w14:textId="77777777" w:rsidR="00AD29B7" w:rsidRPr="000D7BC8" w:rsidRDefault="00EF7F79" w:rsidP="000D7BC8">
            <w:pPr>
              <w:spacing w:after="0" w:line="480" w:lineRule="auto"/>
              <w:rPr>
                <w:rFonts w:ascii="Arial" w:eastAsia="Times New Roman" w:hAnsi="Arial" w:cs="Arial"/>
                <w:color w:val="000000"/>
              </w:rPr>
            </w:pPr>
            <w:r w:rsidRPr="000D7BC8">
              <w:rPr>
                <w:rFonts w:ascii="Arial" w:eastAsia="Times New Roman" w:hAnsi="Arial" w:cs="Arial"/>
                <w:color w:val="000000"/>
              </w:rPr>
              <w:t>500</w:t>
            </w:r>
          </w:p>
        </w:tc>
        <w:tc>
          <w:tcPr>
            <w:tcW w:w="4300" w:type="dxa"/>
            <w:tcBorders>
              <w:top w:val="single" w:sz="4" w:space="0" w:color="auto"/>
              <w:left w:val="single" w:sz="4" w:space="0" w:color="auto"/>
              <w:bottom w:val="single" w:sz="4" w:space="0" w:color="auto"/>
              <w:right w:val="single" w:sz="4" w:space="0" w:color="auto"/>
            </w:tcBorders>
            <w:noWrap/>
            <w:vAlign w:val="bottom"/>
          </w:tcPr>
          <w:p w14:paraId="50836B22" w14:textId="77777777" w:rsidR="00AD29B7" w:rsidRPr="000D7BC8" w:rsidRDefault="00EF7F79" w:rsidP="000D7BC8">
            <w:pPr>
              <w:spacing w:after="0" w:line="480" w:lineRule="auto"/>
              <w:rPr>
                <w:rFonts w:ascii="Arial" w:eastAsia="Times New Roman" w:hAnsi="Arial" w:cs="Arial"/>
                <w:color w:val="000000"/>
              </w:rPr>
            </w:pPr>
            <w:r w:rsidRPr="000D7BC8">
              <w:rPr>
                <w:rFonts w:ascii="Arial" w:eastAsia="Times New Roman" w:hAnsi="Arial" w:cs="Arial"/>
                <w:color w:val="000000"/>
              </w:rPr>
              <w:t>62.26±0.011</w:t>
            </w:r>
          </w:p>
        </w:tc>
        <w:tc>
          <w:tcPr>
            <w:tcW w:w="1804" w:type="dxa"/>
            <w:tcBorders>
              <w:top w:val="single" w:sz="4" w:space="0" w:color="auto"/>
              <w:left w:val="single" w:sz="4" w:space="0" w:color="auto"/>
              <w:bottom w:val="single" w:sz="4" w:space="0" w:color="auto"/>
              <w:right w:val="single" w:sz="4" w:space="0" w:color="auto"/>
            </w:tcBorders>
            <w:vAlign w:val="center"/>
          </w:tcPr>
          <w:p w14:paraId="5CB1D11D" w14:textId="77777777" w:rsidR="00AD29B7" w:rsidRPr="000D7BC8" w:rsidRDefault="00EF7F79" w:rsidP="000D7BC8">
            <w:pPr>
              <w:spacing w:after="0" w:line="480" w:lineRule="auto"/>
              <w:rPr>
                <w:rFonts w:ascii="Arial" w:eastAsia="Times New Roman" w:hAnsi="Arial" w:cs="Arial"/>
                <w:color w:val="000000"/>
              </w:rPr>
            </w:pPr>
            <w:r w:rsidRPr="000D7BC8">
              <w:rPr>
                <w:rFonts w:ascii="Arial" w:hAnsi="Arial" w:cs="Arial"/>
              </w:rPr>
              <w:t>90±0.012</w:t>
            </w:r>
          </w:p>
        </w:tc>
      </w:tr>
    </w:tbl>
    <w:p w14:paraId="7F2B8F74" w14:textId="77777777" w:rsidR="00AD29B7" w:rsidRPr="000D7BC8" w:rsidRDefault="00AD29B7">
      <w:pPr>
        <w:tabs>
          <w:tab w:val="left" w:pos="720"/>
        </w:tabs>
        <w:spacing w:line="240" w:lineRule="auto"/>
        <w:jc w:val="both"/>
        <w:rPr>
          <w:rFonts w:ascii="Arial" w:hAnsi="Arial" w:cs="Arial"/>
          <w:b/>
        </w:rPr>
      </w:pPr>
    </w:p>
    <w:p w14:paraId="452B495B" w14:textId="77777777" w:rsidR="00AD29B7" w:rsidRPr="000D7BC8" w:rsidRDefault="00EF7F79">
      <w:pPr>
        <w:tabs>
          <w:tab w:val="left" w:pos="720"/>
        </w:tabs>
        <w:spacing w:line="240" w:lineRule="auto"/>
        <w:jc w:val="center"/>
        <w:rPr>
          <w:rFonts w:ascii="Arial" w:hAnsi="Arial" w:cs="Arial"/>
          <w:b/>
        </w:rPr>
      </w:pPr>
      <w:r w:rsidRPr="000D7BC8">
        <w:rPr>
          <w:rFonts w:ascii="Arial" w:hAnsi="Arial" w:cs="Arial"/>
          <w:b/>
          <w:noProof/>
        </w:rPr>
        <w:drawing>
          <wp:inline distT="0" distB="0" distL="0" distR="0" wp14:anchorId="3C965249" wp14:editId="47B77EF9">
            <wp:extent cx="4885186" cy="2711450"/>
            <wp:effectExtent l="0" t="0" r="0" b="0"/>
            <wp:docPr id="1062509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09369"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09680" cy="2725045"/>
                    </a:xfrm>
                    <a:prstGeom prst="rect">
                      <a:avLst/>
                    </a:prstGeom>
                    <a:noFill/>
                  </pic:spPr>
                </pic:pic>
              </a:graphicData>
            </a:graphic>
          </wp:inline>
        </w:drawing>
      </w:r>
    </w:p>
    <w:p w14:paraId="28A9F769" w14:textId="14B1EF16" w:rsidR="00AD29B7" w:rsidRPr="000D7BC8" w:rsidRDefault="004D0D1A">
      <w:pPr>
        <w:tabs>
          <w:tab w:val="left" w:pos="720"/>
          <w:tab w:val="left" w:pos="8010"/>
        </w:tabs>
        <w:spacing w:line="240" w:lineRule="auto"/>
        <w:jc w:val="both"/>
        <w:rPr>
          <w:rFonts w:ascii="Arial" w:hAnsi="Arial" w:cs="Arial"/>
          <w:b/>
          <w:bCs/>
          <w:sz w:val="20"/>
          <w:szCs w:val="28"/>
        </w:rPr>
      </w:pPr>
      <w:r w:rsidRPr="000D7BC8">
        <w:rPr>
          <w:rFonts w:ascii="Arial" w:hAnsi="Arial" w:cs="Arial"/>
          <w:b/>
          <w:bCs/>
          <w:sz w:val="20"/>
          <w:szCs w:val="28"/>
        </w:rPr>
        <w:t xml:space="preserve">Fig. </w:t>
      </w:r>
      <w:r w:rsidR="00EF7F79" w:rsidRPr="000D7BC8">
        <w:rPr>
          <w:rFonts w:ascii="Arial" w:hAnsi="Arial" w:cs="Arial"/>
          <w:b/>
          <w:bCs/>
          <w:sz w:val="20"/>
          <w:szCs w:val="28"/>
        </w:rPr>
        <w:t xml:space="preserve">10: Graphical representation of percentage scavenging activity of </w:t>
      </w:r>
      <w:r w:rsidR="00EF7F79" w:rsidRPr="000D7BC8">
        <w:rPr>
          <w:rFonts w:ascii="Arial" w:hAnsi="Arial" w:cs="Arial"/>
          <w:b/>
          <w:sz w:val="20"/>
          <w:szCs w:val="28"/>
        </w:rPr>
        <w:t xml:space="preserve">Nitric oxide radical </w:t>
      </w:r>
      <w:r w:rsidR="00EF7F79" w:rsidRPr="000D7BC8">
        <w:rPr>
          <w:rFonts w:ascii="Arial" w:hAnsi="Arial" w:cs="Arial"/>
          <w:b/>
          <w:bCs/>
          <w:sz w:val="20"/>
          <w:szCs w:val="28"/>
        </w:rPr>
        <w:t>against varied concentrations of extract in comparison with ascorbic acid as a standard.</w:t>
      </w:r>
    </w:p>
    <w:p w14:paraId="1B853856" w14:textId="238A3306" w:rsidR="00AD29B7" w:rsidRPr="000D7BC8" w:rsidRDefault="001F1D88">
      <w:pPr>
        <w:tabs>
          <w:tab w:val="left" w:pos="720"/>
          <w:tab w:val="left" w:pos="8010"/>
        </w:tabs>
        <w:spacing w:line="240" w:lineRule="auto"/>
        <w:jc w:val="both"/>
        <w:rPr>
          <w:rFonts w:ascii="Arial" w:hAnsi="Arial" w:cs="Arial"/>
          <w:b/>
          <w:bCs/>
        </w:rPr>
      </w:pPr>
      <w:r>
        <w:rPr>
          <w:rFonts w:ascii="Arial" w:hAnsi="Arial" w:cs="Arial"/>
          <w:b/>
          <w:bCs/>
        </w:rPr>
        <w:t xml:space="preserve">4. </w:t>
      </w:r>
      <w:r w:rsidR="00EF7F79" w:rsidRPr="000D7BC8">
        <w:rPr>
          <w:rFonts w:ascii="Arial" w:hAnsi="Arial" w:cs="Arial"/>
          <w:b/>
          <w:bCs/>
        </w:rPr>
        <w:t>CONCLUSION</w:t>
      </w:r>
    </w:p>
    <w:p w14:paraId="60CEEFC4" w14:textId="77777777" w:rsidR="00AD29B7" w:rsidRDefault="00EF7F79">
      <w:pPr>
        <w:tabs>
          <w:tab w:val="left" w:pos="720"/>
          <w:tab w:val="left" w:pos="8010"/>
        </w:tabs>
        <w:spacing w:line="240" w:lineRule="auto"/>
        <w:jc w:val="both"/>
        <w:rPr>
          <w:rFonts w:ascii="Arial" w:hAnsi="Arial" w:cs="Arial"/>
          <w:bCs/>
          <w:sz w:val="20"/>
          <w:szCs w:val="20"/>
        </w:rPr>
      </w:pPr>
      <w:r w:rsidRPr="000D7BC8">
        <w:rPr>
          <w:rFonts w:ascii="Arial" w:eastAsia="MinionPro-Regular" w:hAnsi="Arial" w:cs="Arial"/>
        </w:rPr>
        <w:tab/>
      </w:r>
      <w:r w:rsidRPr="000D7BC8">
        <w:rPr>
          <w:rFonts w:ascii="Arial" w:eastAsia="MinionPro-Regular" w:hAnsi="Arial" w:cs="Arial"/>
          <w:sz w:val="20"/>
          <w:szCs w:val="20"/>
        </w:rPr>
        <w:t xml:space="preserve">In the present study, the endophytic fungus </w:t>
      </w:r>
      <w:r w:rsidRPr="000D7BC8">
        <w:rPr>
          <w:rFonts w:ascii="Arial" w:hAnsi="Arial" w:cs="Arial"/>
          <w:bCs/>
          <w:i/>
          <w:iCs/>
          <w:sz w:val="20"/>
          <w:szCs w:val="20"/>
        </w:rPr>
        <w:t xml:space="preserve">Penicillium </w:t>
      </w:r>
      <w:proofErr w:type="spellStart"/>
      <w:r w:rsidRPr="000D7BC8">
        <w:rPr>
          <w:rFonts w:ascii="Arial" w:hAnsi="Arial" w:cs="Arial"/>
          <w:bCs/>
          <w:i/>
          <w:iCs/>
          <w:sz w:val="20"/>
          <w:szCs w:val="20"/>
        </w:rPr>
        <w:t>javanicum</w:t>
      </w:r>
      <w:proofErr w:type="spellEnd"/>
      <w:r w:rsidRPr="000D7BC8">
        <w:rPr>
          <w:rFonts w:ascii="Arial" w:hAnsi="Arial" w:cs="Arial"/>
          <w:bCs/>
          <w:sz w:val="20"/>
          <w:szCs w:val="20"/>
        </w:rPr>
        <w:t xml:space="preserve"> isolate UL1 (MN559951) </w:t>
      </w:r>
      <w:r w:rsidRPr="000D7BC8">
        <w:rPr>
          <w:rFonts w:ascii="Arial" w:hAnsi="Arial" w:cs="Arial"/>
          <w:sz w:val="20"/>
          <w:szCs w:val="20"/>
        </w:rPr>
        <w:t>was successfully obtained from the green seaweed</w:t>
      </w:r>
      <w:r w:rsidRPr="000D7BC8">
        <w:rPr>
          <w:rFonts w:ascii="Arial" w:hAnsi="Arial" w:cs="Arial"/>
          <w:i/>
          <w:iCs/>
          <w:sz w:val="20"/>
          <w:szCs w:val="20"/>
        </w:rPr>
        <w:t xml:space="preserve"> Ulva </w:t>
      </w:r>
      <w:proofErr w:type="spellStart"/>
      <w:r w:rsidRPr="000D7BC8">
        <w:rPr>
          <w:rFonts w:ascii="Arial" w:hAnsi="Arial" w:cs="Arial"/>
          <w:i/>
          <w:iCs/>
          <w:sz w:val="20"/>
          <w:szCs w:val="20"/>
        </w:rPr>
        <w:t>lactuca</w:t>
      </w:r>
      <w:proofErr w:type="spellEnd"/>
      <w:r w:rsidRPr="000D7BC8">
        <w:rPr>
          <w:rFonts w:ascii="Arial" w:hAnsi="Arial" w:cs="Arial"/>
          <w:sz w:val="20"/>
          <w:szCs w:val="20"/>
        </w:rPr>
        <w:t xml:space="preserve">. The crude broth extracts demonstrated notable antimicrobial activity, effectively inhibiting both human and fish pathogens, whereas the mycelial extracts showed comparatively weaker effects. The broth extracts exhibited the substantial antioxidant property in scavenging the </w:t>
      </w:r>
      <w:r w:rsidRPr="000D7BC8">
        <w:rPr>
          <w:rFonts w:ascii="Arial" w:hAnsi="Arial" w:cs="Arial"/>
          <w:bCs/>
          <w:sz w:val="20"/>
          <w:szCs w:val="20"/>
        </w:rPr>
        <w:t>free radical</w:t>
      </w:r>
      <w:r w:rsidRPr="000D7BC8">
        <w:rPr>
          <w:rFonts w:ascii="Arial" w:hAnsi="Arial" w:cs="Arial"/>
          <w:sz w:val="20"/>
          <w:szCs w:val="20"/>
        </w:rPr>
        <w:t xml:space="preserve"> of DPPH </w:t>
      </w:r>
      <w:r w:rsidRPr="000D7BC8">
        <w:rPr>
          <w:rFonts w:ascii="Arial" w:hAnsi="Arial" w:cs="Arial"/>
          <w:bCs/>
          <w:sz w:val="20"/>
          <w:szCs w:val="20"/>
        </w:rPr>
        <w:t xml:space="preserve">Nitric oxide, and Phenolic content. The fungi relatively showed good antimicrobial and antioxidant activities when compared to other fungi </w:t>
      </w:r>
      <w:proofErr w:type="spellStart"/>
      <w:r w:rsidRPr="000D7BC8">
        <w:rPr>
          <w:rFonts w:ascii="Arial" w:hAnsi="Arial" w:cs="Arial"/>
          <w:bCs/>
          <w:sz w:val="20"/>
          <w:szCs w:val="20"/>
        </w:rPr>
        <w:t>i.e</w:t>
      </w:r>
      <w:proofErr w:type="spellEnd"/>
      <w:r w:rsidRPr="000D7BC8">
        <w:rPr>
          <w:rFonts w:ascii="Arial" w:hAnsi="Arial" w:cs="Arial"/>
          <w:bCs/>
          <w:sz w:val="20"/>
          <w:szCs w:val="20"/>
        </w:rPr>
        <w:t xml:space="preserve"> </w:t>
      </w:r>
      <w:proofErr w:type="spellStart"/>
      <w:r w:rsidRPr="000D7BC8">
        <w:rPr>
          <w:rFonts w:ascii="Arial" w:hAnsi="Arial" w:cs="Arial"/>
          <w:bCs/>
          <w:i/>
          <w:iCs/>
          <w:sz w:val="20"/>
          <w:szCs w:val="20"/>
        </w:rPr>
        <w:t>Talaromyces</w:t>
      </w:r>
      <w:proofErr w:type="spellEnd"/>
      <w:r w:rsidRPr="000D7BC8">
        <w:rPr>
          <w:rFonts w:ascii="Arial" w:hAnsi="Arial" w:cs="Arial"/>
          <w:bCs/>
          <w:sz w:val="20"/>
          <w:szCs w:val="20"/>
        </w:rPr>
        <w:t xml:space="preserve"> sp. Isolate UL2, </w:t>
      </w:r>
      <w:r w:rsidRPr="000D7BC8">
        <w:rPr>
          <w:rFonts w:ascii="Arial" w:hAnsi="Arial" w:cs="Arial"/>
          <w:bCs/>
          <w:i/>
          <w:iCs/>
          <w:sz w:val="20"/>
          <w:szCs w:val="20"/>
        </w:rPr>
        <w:t>Chaetomium</w:t>
      </w:r>
      <w:r w:rsidRPr="000D7BC8">
        <w:rPr>
          <w:rFonts w:ascii="Arial" w:hAnsi="Arial" w:cs="Arial"/>
          <w:bCs/>
          <w:sz w:val="20"/>
          <w:szCs w:val="20"/>
        </w:rPr>
        <w:t xml:space="preserve"> </w:t>
      </w:r>
      <w:proofErr w:type="spellStart"/>
      <w:r w:rsidRPr="000D7BC8">
        <w:rPr>
          <w:rFonts w:ascii="Arial" w:hAnsi="Arial" w:cs="Arial"/>
          <w:bCs/>
          <w:sz w:val="20"/>
          <w:szCs w:val="20"/>
        </w:rPr>
        <w:t>sp</w:t>
      </w:r>
      <w:proofErr w:type="spellEnd"/>
      <w:r w:rsidRPr="000D7BC8">
        <w:rPr>
          <w:rFonts w:ascii="Arial" w:hAnsi="Arial" w:cs="Arial"/>
          <w:bCs/>
          <w:sz w:val="20"/>
          <w:szCs w:val="20"/>
        </w:rPr>
        <w:t xml:space="preserve"> isolate UL37) of the present study. </w:t>
      </w:r>
    </w:p>
    <w:p w14:paraId="12DB0449" w14:textId="5FC93BEA" w:rsidR="00407AC6" w:rsidRDefault="00407AC6">
      <w:pPr>
        <w:tabs>
          <w:tab w:val="left" w:pos="720"/>
          <w:tab w:val="left" w:pos="8010"/>
        </w:tabs>
        <w:spacing w:line="240" w:lineRule="auto"/>
        <w:jc w:val="both"/>
        <w:rPr>
          <w:rFonts w:ascii="Arial" w:hAnsi="Arial" w:cs="Arial"/>
          <w:bCs/>
          <w:sz w:val="20"/>
          <w:szCs w:val="20"/>
        </w:rPr>
      </w:pPr>
      <w:r>
        <w:rPr>
          <w:rFonts w:ascii="Arial" w:hAnsi="Arial" w:cs="Arial"/>
          <w:bCs/>
          <w:sz w:val="20"/>
          <w:szCs w:val="20"/>
        </w:rPr>
        <w:tab/>
      </w:r>
      <w:r w:rsidR="00BD6FAB">
        <w:rPr>
          <w:rFonts w:ascii="Arial" w:hAnsi="Arial" w:cs="Arial"/>
          <w:bCs/>
          <w:sz w:val="20"/>
          <w:szCs w:val="20"/>
        </w:rPr>
        <w:t>Despite the promising antimicrobial and antioxidant activities observed i</w:t>
      </w:r>
      <w:r>
        <w:rPr>
          <w:rFonts w:ascii="Arial" w:hAnsi="Arial" w:cs="Arial"/>
          <w:bCs/>
          <w:sz w:val="20"/>
          <w:szCs w:val="20"/>
        </w:rPr>
        <w:t>n this study</w:t>
      </w:r>
      <w:r w:rsidR="00BD6FAB">
        <w:rPr>
          <w:rFonts w:ascii="Arial" w:hAnsi="Arial" w:cs="Arial"/>
          <w:bCs/>
          <w:sz w:val="20"/>
          <w:szCs w:val="20"/>
        </w:rPr>
        <w:t xml:space="preserve">, several </w:t>
      </w:r>
      <w:r w:rsidR="00DC7339">
        <w:rPr>
          <w:rFonts w:ascii="Arial" w:hAnsi="Arial" w:cs="Arial"/>
          <w:bCs/>
          <w:sz w:val="20"/>
          <w:szCs w:val="20"/>
        </w:rPr>
        <w:t>limitations</w:t>
      </w:r>
      <w:r w:rsidR="00BD6FAB">
        <w:rPr>
          <w:rFonts w:ascii="Arial" w:hAnsi="Arial" w:cs="Arial"/>
          <w:bCs/>
          <w:sz w:val="20"/>
          <w:szCs w:val="20"/>
        </w:rPr>
        <w:t xml:space="preserve"> should be acknowledged. Firstly, the study relied on </w:t>
      </w:r>
      <w:r>
        <w:rPr>
          <w:rFonts w:ascii="Arial" w:hAnsi="Arial" w:cs="Arial"/>
          <w:bCs/>
          <w:sz w:val="20"/>
          <w:szCs w:val="20"/>
        </w:rPr>
        <w:t>crude extracts</w:t>
      </w:r>
      <w:r w:rsidR="00BD6FAB">
        <w:rPr>
          <w:rFonts w:ascii="Arial" w:hAnsi="Arial" w:cs="Arial"/>
          <w:bCs/>
          <w:sz w:val="20"/>
          <w:szCs w:val="20"/>
        </w:rPr>
        <w:t xml:space="preserve"> (broth and mycelial)</w:t>
      </w:r>
      <w:r>
        <w:rPr>
          <w:rFonts w:ascii="Arial" w:hAnsi="Arial" w:cs="Arial"/>
          <w:bCs/>
          <w:sz w:val="20"/>
          <w:szCs w:val="20"/>
        </w:rPr>
        <w:t xml:space="preserve"> without fractionation or identification of the bioactive compound, </w:t>
      </w:r>
      <w:r w:rsidR="00084F4C">
        <w:rPr>
          <w:rFonts w:ascii="Arial" w:hAnsi="Arial" w:cs="Arial"/>
          <w:bCs/>
          <w:sz w:val="20"/>
          <w:szCs w:val="20"/>
        </w:rPr>
        <w:t>which</w:t>
      </w:r>
      <w:r>
        <w:rPr>
          <w:rFonts w:ascii="Arial" w:hAnsi="Arial" w:cs="Arial"/>
          <w:bCs/>
          <w:sz w:val="20"/>
          <w:szCs w:val="20"/>
        </w:rPr>
        <w:t xml:space="preserve"> limits the </w:t>
      </w:r>
      <w:r w:rsidR="00084F4C">
        <w:rPr>
          <w:rFonts w:ascii="Arial" w:hAnsi="Arial" w:cs="Arial"/>
          <w:bCs/>
          <w:sz w:val="20"/>
          <w:szCs w:val="20"/>
        </w:rPr>
        <w:t>understanding of mechanism</w:t>
      </w:r>
      <w:r>
        <w:rPr>
          <w:rFonts w:ascii="Arial" w:hAnsi="Arial" w:cs="Arial"/>
          <w:bCs/>
          <w:sz w:val="20"/>
          <w:szCs w:val="20"/>
        </w:rPr>
        <w:t xml:space="preserve"> and reproducibility.</w:t>
      </w:r>
      <w:r w:rsidR="004B421D">
        <w:rPr>
          <w:rFonts w:ascii="Arial" w:hAnsi="Arial" w:cs="Arial"/>
          <w:bCs/>
          <w:sz w:val="20"/>
          <w:szCs w:val="20"/>
        </w:rPr>
        <w:t xml:space="preserve"> Secondly, the assays employed in this study were limited to in vitro evaluations, and therefore practical efficiency under true aquaculture conditions are unverified.</w:t>
      </w:r>
      <w:r>
        <w:rPr>
          <w:rFonts w:ascii="Arial" w:hAnsi="Arial" w:cs="Arial"/>
          <w:bCs/>
          <w:sz w:val="20"/>
          <w:szCs w:val="20"/>
        </w:rPr>
        <w:t xml:space="preserve"> </w:t>
      </w:r>
      <w:r w:rsidR="004C008C">
        <w:rPr>
          <w:rFonts w:ascii="Arial" w:hAnsi="Arial" w:cs="Arial"/>
          <w:bCs/>
          <w:sz w:val="20"/>
          <w:szCs w:val="20"/>
        </w:rPr>
        <w:t xml:space="preserve">These limitations </w:t>
      </w:r>
      <w:proofErr w:type="gramStart"/>
      <w:r w:rsidR="004C008C">
        <w:rPr>
          <w:rFonts w:ascii="Arial" w:hAnsi="Arial" w:cs="Arial"/>
          <w:bCs/>
          <w:sz w:val="20"/>
          <w:szCs w:val="20"/>
        </w:rPr>
        <w:t>highlights</w:t>
      </w:r>
      <w:proofErr w:type="gramEnd"/>
      <w:r w:rsidR="004C008C">
        <w:rPr>
          <w:rFonts w:ascii="Arial" w:hAnsi="Arial" w:cs="Arial"/>
          <w:bCs/>
          <w:sz w:val="20"/>
          <w:szCs w:val="20"/>
        </w:rPr>
        <w:t xml:space="preserve"> </w:t>
      </w:r>
      <w:r w:rsidR="004C008C">
        <w:rPr>
          <w:rFonts w:ascii="Arial" w:hAnsi="Arial" w:cs="Arial"/>
          <w:bCs/>
          <w:sz w:val="20"/>
          <w:szCs w:val="20"/>
        </w:rPr>
        <w:lastRenderedPageBreak/>
        <w:t>the need for further chemical characterization, validation and optimization of the study before the application.</w:t>
      </w:r>
    </w:p>
    <w:p w14:paraId="14CB2CEA" w14:textId="54024873" w:rsidR="0084238E" w:rsidRDefault="0084238E" w:rsidP="0084238E">
      <w:pPr>
        <w:rPr>
          <w:b/>
        </w:rPr>
      </w:pPr>
      <w:r w:rsidRPr="00076743">
        <w:rPr>
          <w:b/>
        </w:rPr>
        <w:t>Artificial intelligence</w:t>
      </w:r>
    </w:p>
    <w:p w14:paraId="0E4B109B" w14:textId="77777777" w:rsidR="00F7427D" w:rsidRDefault="00F7427D">
      <w:pPr>
        <w:jc w:val="both"/>
        <w:rPr>
          <w:bCs/>
        </w:rPr>
      </w:pPr>
      <w:r w:rsidRPr="00F7427D">
        <w:rPr>
          <w:bCs/>
        </w:rPr>
        <w:t>Author(s) hereby declare that NO generative AI technologies such as Large Language Models (</w:t>
      </w:r>
      <w:proofErr w:type="spellStart"/>
      <w:r w:rsidRPr="00F7427D">
        <w:rPr>
          <w:bCs/>
        </w:rPr>
        <w:t>ChatGPT</w:t>
      </w:r>
      <w:proofErr w:type="spellEnd"/>
      <w:r w:rsidRPr="00F7427D">
        <w:rPr>
          <w:bCs/>
        </w:rPr>
        <w:t xml:space="preserve">, COPILOT, etc.) and text-to-image generators have been used during the writing or editing of this manuscript. </w:t>
      </w:r>
    </w:p>
    <w:p w14:paraId="59AD9DD0" w14:textId="43542638" w:rsidR="00AD29B7" w:rsidRPr="000D7BC8" w:rsidRDefault="00EF7F79">
      <w:pPr>
        <w:jc w:val="both"/>
        <w:rPr>
          <w:rFonts w:ascii="Arial" w:hAnsi="Arial" w:cs="Arial"/>
          <w:b/>
          <w:bCs/>
        </w:rPr>
      </w:pPr>
      <w:r w:rsidRPr="000D7BC8">
        <w:rPr>
          <w:rFonts w:ascii="Arial" w:hAnsi="Arial" w:cs="Arial"/>
          <w:b/>
          <w:bCs/>
        </w:rPr>
        <w:t>REFERENCES</w:t>
      </w:r>
    </w:p>
    <w:p w14:paraId="6CA3042E"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Ameena, F., </w:t>
      </w:r>
      <w:proofErr w:type="spellStart"/>
      <w:r w:rsidRPr="000D7BC8">
        <w:rPr>
          <w:rFonts w:ascii="Arial" w:hAnsi="Arial" w:cs="Arial"/>
          <w:sz w:val="20"/>
          <w:szCs w:val="20"/>
        </w:rPr>
        <w:t>AlNadharib</w:t>
      </w:r>
      <w:proofErr w:type="spellEnd"/>
      <w:r w:rsidRPr="000D7BC8">
        <w:rPr>
          <w:rFonts w:ascii="Arial" w:hAnsi="Arial" w:cs="Arial"/>
          <w:sz w:val="20"/>
          <w:szCs w:val="20"/>
        </w:rPr>
        <w:t>, S., &amp; Al-</w:t>
      </w:r>
      <w:proofErr w:type="spellStart"/>
      <w:r w:rsidRPr="000D7BC8">
        <w:rPr>
          <w:rFonts w:ascii="Arial" w:hAnsi="Arial" w:cs="Arial"/>
          <w:sz w:val="20"/>
          <w:szCs w:val="20"/>
        </w:rPr>
        <w:t>Homaidana</w:t>
      </w:r>
      <w:proofErr w:type="spellEnd"/>
      <w:r w:rsidRPr="000D7BC8">
        <w:rPr>
          <w:rFonts w:ascii="Arial" w:hAnsi="Arial" w:cs="Arial"/>
          <w:sz w:val="20"/>
          <w:szCs w:val="20"/>
        </w:rPr>
        <w:t xml:space="preserve">, A. A. (2020). Marine microorganisms as an untapped source of bioactive compounds. </w:t>
      </w:r>
      <w:r w:rsidRPr="000D7BC8">
        <w:rPr>
          <w:rFonts w:ascii="Arial" w:hAnsi="Arial" w:cs="Arial"/>
          <w:i/>
          <w:iCs/>
          <w:sz w:val="20"/>
          <w:szCs w:val="20"/>
        </w:rPr>
        <w:t>Saudi Journal of Biological Sciences, 28</w:t>
      </w:r>
      <w:r w:rsidRPr="000D7BC8">
        <w:rPr>
          <w:rFonts w:ascii="Arial" w:hAnsi="Arial" w:cs="Arial"/>
          <w:sz w:val="20"/>
          <w:szCs w:val="20"/>
        </w:rPr>
        <w:t>, 224–231.</w:t>
      </w:r>
    </w:p>
    <w:p w14:paraId="44E44A27"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Andrew, J. F., Katelyn, T. E., Joseph, S., Erica, F., John, A. J., &amp; Christopher, A. G. (2013). Macroalgal endophytes from the Atlantic Coast of Canada: A potential source of antibiotic natural products. </w:t>
      </w:r>
      <w:r w:rsidRPr="000D7BC8">
        <w:rPr>
          <w:rFonts w:ascii="Arial" w:hAnsi="Arial" w:cs="Arial"/>
          <w:i/>
          <w:iCs/>
          <w:sz w:val="20"/>
          <w:szCs w:val="20"/>
        </w:rPr>
        <w:t>Microorganisms, 1</w:t>
      </w:r>
      <w:r w:rsidRPr="000D7BC8">
        <w:rPr>
          <w:rFonts w:ascii="Arial" w:hAnsi="Arial" w:cs="Arial"/>
          <w:sz w:val="20"/>
          <w:szCs w:val="20"/>
        </w:rPr>
        <w:t>, 175–187.</w:t>
      </w:r>
    </w:p>
    <w:p w14:paraId="04FD9450" w14:textId="777071C0"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Arnold, A. E., Luis, C. M., Damond, K., Enith, I. R., Zuleyka, M., Nancy, R., &amp; Edward, A. H. (2007). Fungal endophytes limit pathogen damage in a tropical tree. </w:t>
      </w:r>
      <w:r w:rsidRPr="000D7BC8">
        <w:rPr>
          <w:rFonts w:ascii="Arial" w:hAnsi="Arial" w:cs="Arial"/>
          <w:i/>
          <w:iCs/>
          <w:sz w:val="20"/>
          <w:szCs w:val="20"/>
        </w:rPr>
        <w:t>Proceedings of the National Academy of Sciences, 100</w:t>
      </w:r>
      <w:r w:rsidRPr="000D7BC8">
        <w:rPr>
          <w:rFonts w:ascii="Arial" w:hAnsi="Arial" w:cs="Arial"/>
          <w:sz w:val="20"/>
          <w:szCs w:val="20"/>
        </w:rPr>
        <w:t>(26), 15649–15654. https://doi.org/10.1073/pnas.2533483100</w:t>
      </w:r>
    </w:p>
    <w:p w14:paraId="0F2F61E2"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Barnett, H. L., &amp; Hunter, B. B. (1971). </w:t>
      </w:r>
      <w:r w:rsidRPr="000D7BC8">
        <w:rPr>
          <w:rFonts w:ascii="Arial" w:hAnsi="Arial" w:cs="Arial"/>
          <w:i/>
          <w:iCs/>
          <w:sz w:val="20"/>
          <w:szCs w:val="20"/>
        </w:rPr>
        <w:t>Illustrated genera of fungi</w:t>
      </w:r>
      <w:r w:rsidRPr="000D7BC8">
        <w:rPr>
          <w:rFonts w:ascii="Arial" w:hAnsi="Arial" w:cs="Arial"/>
          <w:sz w:val="20"/>
          <w:szCs w:val="20"/>
        </w:rPr>
        <w:t xml:space="preserve"> (4th ed.). Burgess Publishing Company.</w:t>
      </w:r>
    </w:p>
    <w:p w14:paraId="27CAE402" w14:textId="5FFC91C1"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proofErr w:type="spellStart"/>
      <w:r w:rsidRPr="000D7BC8">
        <w:rPr>
          <w:rFonts w:ascii="Arial" w:hAnsi="Arial" w:cs="Arial"/>
          <w:sz w:val="20"/>
          <w:szCs w:val="20"/>
        </w:rPr>
        <w:t>Barzkar</w:t>
      </w:r>
      <w:proofErr w:type="spellEnd"/>
      <w:r w:rsidRPr="000D7BC8">
        <w:rPr>
          <w:rFonts w:ascii="Arial" w:hAnsi="Arial" w:cs="Arial"/>
          <w:sz w:val="20"/>
          <w:szCs w:val="20"/>
        </w:rPr>
        <w:t xml:space="preserve">, N., Sukhikh, S., &amp; Babich, O. (2024). Study of marine microorganism metabolites: New resources for bioactive natural products. </w:t>
      </w:r>
      <w:r w:rsidRPr="000D7BC8">
        <w:rPr>
          <w:rFonts w:ascii="Arial" w:hAnsi="Arial" w:cs="Arial"/>
          <w:i/>
          <w:iCs/>
          <w:sz w:val="20"/>
          <w:szCs w:val="20"/>
        </w:rPr>
        <w:t>Frontiers in Microbiology, 14</w:t>
      </w:r>
      <w:r w:rsidRPr="000D7BC8">
        <w:rPr>
          <w:rFonts w:ascii="Arial" w:hAnsi="Arial" w:cs="Arial"/>
          <w:sz w:val="20"/>
          <w:szCs w:val="20"/>
        </w:rPr>
        <w:t xml:space="preserve">, 1285902. https://doi.org/10.3389/fmicb.2023.1285902 </w:t>
      </w:r>
    </w:p>
    <w:p w14:paraId="2D99F074"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Bajaj, Y. P. S. (1998). Biotechnology for the improvement of medicinal plants. </w:t>
      </w:r>
      <w:r w:rsidRPr="000D7BC8">
        <w:rPr>
          <w:rFonts w:ascii="Arial" w:hAnsi="Arial" w:cs="Arial"/>
          <w:i/>
          <w:iCs/>
          <w:sz w:val="20"/>
          <w:szCs w:val="20"/>
        </w:rPr>
        <w:t xml:space="preserve">Acta </w:t>
      </w:r>
      <w:proofErr w:type="spellStart"/>
      <w:r w:rsidRPr="000D7BC8">
        <w:rPr>
          <w:rFonts w:ascii="Arial" w:hAnsi="Arial" w:cs="Arial"/>
          <w:i/>
          <w:iCs/>
          <w:sz w:val="20"/>
          <w:szCs w:val="20"/>
        </w:rPr>
        <w:t>Horticulturae</w:t>
      </w:r>
      <w:proofErr w:type="spellEnd"/>
      <w:r w:rsidRPr="000D7BC8">
        <w:rPr>
          <w:rFonts w:ascii="Arial" w:hAnsi="Arial" w:cs="Arial"/>
          <w:i/>
          <w:iCs/>
          <w:sz w:val="20"/>
          <w:szCs w:val="20"/>
        </w:rPr>
        <w:t>, 457</w:t>
      </w:r>
      <w:r w:rsidRPr="000D7BC8">
        <w:rPr>
          <w:rFonts w:ascii="Arial" w:hAnsi="Arial" w:cs="Arial"/>
          <w:sz w:val="20"/>
          <w:szCs w:val="20"/>
        </w:rPr>
        <w:t>, 37–46.</w:t>
      </w:r>
    </w:p>
    <w:p w14:paraId="05AA4FCF"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Begum, S. N., </w:t>
      </w:r>
      <w:proofErr w:type="spellStart"/>
      <w:r w:rsidRPr="000D7BC8">
        <w:rPr>
          <w:rFonts w:ascii="Arial" w:hAnsi="Arial" w:cs="Arial"/>
          <w:sz w:val="20"/>
          <w:szCs w:val="20"/>
        </w:rPr>
        <w:t>Sankareddy</w:t>
      </w:r>
      <w:proofErr w:type="spellEnd"/>
      <w:r w:rsidRPr="000D7BC8">
        <w:rPr>
          <w:rFonts w:ascii="Arial" w:hAnsi="Arial" w:cs="Arial"/>
          <w:sz w:val="20"/>
          <w:szCs w:val="20"/>
        </w:rPr>
        <w:t xml:space="preserve">, P. D., &amp; </w:t>
      </w:r>
      <w:proofErr w:type="spellStart"/>
      <w:r w:rsidRPr="000D7BC8">
        <w:rPr>
          <w:rFonts w:ascii="Arial" w:hAnsi="Arial" w:cs="Arial"/>
          <w:sz w:val="20"/>
          <w:szCs w:val="20"/>
        </w:rPr>
        <w:t>Syamprasad</w:t>
      </w:r>
      <w:proofErr w:type="spellEnd"/>
      <w:r w:rsidRPr="000D7BC8">
        <w:rPr>
          <w:rFonts w:ascii="Arial" w:hAnsi="Arial" w:cs="Arial"/>
          <w:sz w:val="20"/>
          <w:szCs w:val="20"/>
        </w:rPr>
        <w:t xml:space="preserve">, G. (2025). GCMS analysis of anti-diabetic and antioxidant metabolites from </w:t>
      </w:r>
      <w:r w:rsidRPr="000D7BC8">
        <w:rPr>
          <w:rFonts w:ascii="Arial" w:hAnsi="Arial" w:cs="Arial"/>
          <w:i/>
          <w:iCs/>
          <w:sz w:val="20"/>
          <w:szCs w:val="20"/>
        </w:rPr>
        <w:t xml:space="preserve">Penicillium </w:t>
      </w:r>
      <w:proofErr w:type="spellStart"/>
      <w:r w:rsidRPr="000D7BC8">
        <w:rPr>
          <w:rFonts w:ascii="Arial" w:hAnsi="Arial" w:cs="Arial"/>
          <w:i/>
          <w:iCs/>
          <w:sz w:val="20"/>
          <w:szCs w:val="20"/>
        </w:rPr>
        <w:t>javanicum</w:t>
      </w:r>
      <w:proofErr w:type="spellEnd"/>
      <w:r w:rsidRPr="000D7BC8">
        <w:rPr>
          <w:rFonts w:ascii="Arial" w:hAnsi="Arial" w:cs="Arial"/>
          <w:sz w:val="20"/>
          <w:szCs w:val="20"/>
        </w:rPr>
        <w:t xml:space="preserve"> NZ JNTU. </w:t>
      </w:r>
      <w:r w:rsidRPr="000D7BC8">
        <w:rPr>
          <w:rFonts w:ascii="Arial" w:hAnsi="Arial" w:cs="Arial"/>
          <w:i/>
          <w:iCs/>
          <w:sz w:val="20"/>
          <w:szCs w:val="20"/>
        </w:rPr>
        <w:t>Biosciences Biotechnology Research Asia, 22</w:t>
      </w:r>
      <w:r w:rsidRPr="000D7BC8">
        <w:rPr>
          <w:rFonts w:ascii="Arial" w:hAnsi="Arial" w:cs="Arial"/>
          <w:sz w:val="20"/>
          <w:szCs w:val="20"/>
        </w:rPr>
        <w:t>(2), 733–745.</w:t>
      </w:r>
    </w:p>
    <w:p w14:paraId="71C47E7B"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Brand-Williams, W., Cuvelier, M., &amp; Berset, C. (1995). Use of a free radical method to evaluate antioxidant activity. </w:t>
      </w:r>
      <w:proofErr w:type="spellStart"/>
      <w:r w:rsidRPr="000D7BC8">
        <w:rPr>
          <w:rFonts w:ascii="Arial" w:hAnsi="Arial" w:cs="Arial"/>
          <w:i/>
          <w:iCs/>
          <w:sz w:val="20"/>
          <w:szCs w:val="20"/>
        </w:rPr>
        <w:t>Lebenson</w:t>
      </w:r>
      <w:proofErr w:type="spellEnd"/>
      <w:r w:rsidRPr="000D7BC8">
        <w:rPr>
          <w:rFonts w:ascii="Arial" w:hAnsi="Arial" w:cs="Arial"/>
          <w:i/>
          <w:iCs/>
          <w:sz w:val="20"/>
          <w:szCs w:val="20"/>
        </w:rPr>
        <w:t xml:space="preserve"> </w:t>
      </w:r>
      <w:proofErr w:type="spellStart"/>
      <w:r w:rsidRPr="000D7BC8">
        <w:rPr>
          <w:rFonts w:ascii="Arial" w:hAnsi="Arial" w:cs="Arial"/>
          <w:i/>
          <w:iCs/>
          <w:sz w:val="20"/>
          <w:szCs w:val="20"/>
        </w:rPr>
        <w:t>Wiss</w:t>
      </w:r>
      <w:proofErr w:type="spellEnd"/>
      <w:r w:rsidRPr="000D7BC8">
        <w:rPr>
          <w:rFonts w:ascii="Arial" w:hAnsi="Arial" w:cs="Arial"/>
          <w:i/>
          <w:iCs/>
          <w:sz w:val="20"/>
          <w:szCs w:val="20"/>
        </w:rPr>
        <w:t xml:space="preserve"> Technol, 28</w:t>
      </w:r>
      <w:r w:rsidRPr="000D7BC8">
        <w:rPr>
          <w:rFonts w:ascii="Arial" w:hAnsi="Arial" w:cs="Arial"/>
          <w:sz w:val="20"/>
          <w:szCs w:val="20"/>
        </w:rPr>
        <w:t>, 25–30.</w:t>
      </w:r>
    </w:p>
    <w:p w14:paraId="1A351D10"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Brundrett, M. C. (2006). Understanding the roles of multifunctional mycorrhizal and endophytic fungi. In </w:t>
      </w:r>
      <w:r w:rsidRPr="000D7BC8">
        <w:rPr>
          <w:rFonts w:ascii="Arial" w:hAnsi="Arial" w:cs="Arial"/>
          <w:i/>
          <w:iCs/>
          <w:sz w:val="20"/>
          <w:szCs w:val="20"/>
        </w:rPr>
        <w:t>Microbial root endophytes</w:t>
      </w:r>
      <w:r w:rsidRPr="000D7BC8">
        <w:rPr>
          <w:rFonts w:ascii="Arial" w:hAnsi="Arial" w:cs="Arial"/>
          <w:sz w:val="20"/>
          <w:szCs w:val="20"/>
        </w:rPr>
        <w:t>. Springer-Verlag.</w:t>
      </w:r>
    </w:p>
    <w:p w14:paraId="02A8A357"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Clay, K., &amp; </w:t>
      </w:r>
      <w:proofErr w:type="spellStart"/>
      <w:r w:rsidRPr="000D7BC8">
        <w:rPr>
          <w:rFonts w:ascii="Arial" w:hAnsi="Arial" w:cs="Arial"/>
          <w:sz w:val="20"/>
          <w:szCs w:val="20"/>
        </w:rPr>
        <w:t>Schardl</w:t>
      </w:r>
      <w:proofErr w:type="spellEnd"/>
      <w:r w:rsidRPr="000D7BC8">
        <w:rPr>
          <w:rFonts w:ascii="Arial" w:hAnsi="Arial" w:cs="Arial"/>
          <w:sz w:val="20"/>
          <w:szCs w:val="20"/>
        </w:rPr>
        <w:t xml:space="preserve">, C. (2002). Evolutionary origins and ecological consequences of endophyte symbiosis with grasses. </w:t>
      </w:r>
      <w:r w:rsidRPr="000D7BC8">
        <w:rPr>
          <w:rFonts w:ascii="Arial" w:hAnsi="Arial" w:cs="Arial"/>
          <w:i/>
          <w:iCs/>
          <w:sz w:val="20"/>
          <w:szCs w:val="20"/>
        </w:rPr>
        <w:t>The American Naturalist, 160</w:t>
      </w:r>
      <w:r w:rsidRPr="000D7BC8">
        <w:rPr>
          <w:rFonts w:ascii="Arial" w:hAnsi="Arial" w:cs="Arial"/>
          <w:sz w:val="20"/>
          <w:szCs w:val="20"/>
        </w:rPr>
        <w:t>(4), 99–127.</w:t>
      </w:r>
    </w:p>
    <w:p w14:paraId="1A8F00BF"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proofErr w:type="spellStart"/>
      <w:r w:rsidRPr="000D7BC8">
        <w:rPr>
          <w:rFonts w:ascii="Arial" w:hAnsi="Arial" w:cs="Arial"/>
          <w:sz w:val="20"/>
          <w:szCs w:val="20"/>
        </w:rPr>
        <w:t>Danagoudar</w:t>
      </w:r>
      <w:proofErr w:type="spellEnd"/>
      <w:r w:rsidRPr="000D7BC8">
        <w:rPr>
          <w:rFonts w:ascii="Arial" w:hAnsi="Arial" w:cs="Arial"/>
          <w:sz w:val="20"/>
          <w:szCs w:val="20"/>
        </w:rPr>
        <w:t xml:space="preserve">, A., Joshi, C. G., </w:t>
      </w:r>
      <w:proofErr w:type="spellStart"/>
      <w:r w:rsidRPr="000D7BC8">
        <w:rPr>
          <w:rFonts w:ascii="Arial" w:hAnsi="Arial" w:cs="Arial"/>
          <w:sz w:val="20"/>
          <w:szCs w:val="20"/>
        </w:rPr>
        <w:t>Sunilkumar</w:t>
      </w:r>
      <w:proofErr w:type="spellEnd"/>
      <w:r w:rsidRPr="000D7BC8">
        <w:rPr>
          <w:rFonts w:ascii="Arial" w:hAnsi="Arial" w:cs="Arial"/>
          <w:sz w:val="20"/>
          <w:szCs w:val="20"/>
        </w:rPr>
        <w:t xml:space="preserve">, R., </w:t>
      </w:r>
      <w:proofErr w:type="spellStart"/>
      <w:r w:rsidRPr="000D7BC8">
        <w:rPr>
          <w:rFonts w:ascii="Arial" w:hAnsi="Arial" w:cs="Arial"/>
          <w:sz w:val="20"/>
          <w:szCs w:val="20"/>
        </w:rPr>
        <w:t>Poyya</w:t>
      </w:r>
      <w:proofErr w:type="spellEnd"/>
      <w:r w:rsidRPr="000D7BC8">
        <w:rPr>
          <w:rFonts w:ascii="Arial" w:hAnsi="Arial" w:cs="Arial"/>
          <w:sz w:val="20"/>
          <w:szCs w:val="20"/>
        </w:rPr>
        <w:t xml:space="preserve">, J., Nivya, T., </w:t>
      </w:r>
      <w:proofErr w:type="spellStart"/>
      <w:r w:rsidRPr="000D7BC8">
        <w:rPr>
          <w:rFonts w:ascii="Arial" w:hAnsi="Arial" w:cs="Arial"/>
          <w:sz w:val="20"/>
          <w:szCs w:val="20"/>
        </w:rPr>
        <w:t>Hulikere</w:t>
      </w:r>
      <w:proofErr w:type="spellEnd"/>
      <w:r w:rsidRPr="000D7BC8">
        <w:rPr>
          <w:rFonts w:ascii="Arial" w:hAnsi="Arial" w:cs="Arial"/>
          <w:sz w:val="20"/>
          <w:szCs w:val="20"/>
        </w:rPr>
        <w:t xml:space="preserve">, M. M., &amp; </w:t>
      </w:r>
      <w:proofErr w:type="spellStart"/>
      <w:r w:rsidRPr="000D7BC8">
        <w:rPr>
          <w:rFonts w:ascii="Arial" w:hAnsi="Arial" w:cs="Arial"/>
          <w:sz w:val="20"/>
          <w:szCs w:val="20"/>
        </w:rPr>
        <w:t>Appaiah</w:t>
      </w:r>
      <w:proofErr w:type="spellEnd"/>
      <w:r w:rsidRPr="000D7BC8">
        <w:rPr>
          <w:rFonts w:ascii="Arial" w:hAnsi="Arial" w:cs="Arial"/>
          <w:sz w:val="20"/>
          <w:szCs w:val="20"/>
        </w:rPr>
        <w:t xml:space="preserve">, K. A. (2017). Molecular profiling and antioxidant as well as antibacterial potential of polyphenol-producing endophytic fungus </w:t>
      </w:r>
      <w:r w:rsidRPr="000D7BC8">
        <w:rPr>
          <w:rFonts w:ascii="Arial" w:hAnsi="Arial" w:cs="Arial"/>
          <w:i/>
          <w:iCs/>
          <w:sz w:val="20"/>
          <w:szCs w:val="20"/>
        </w:rPr>
        <w:t xml:space="preserve">Aspergillus </w:t>
      </w:r>
      <w:proofErr w:type="spellStart"/>
      <w:r w:rsidRPr="000D7BC8">
        <w:rPr>
          <w:rFonts w:ascii="Arial" w:hAnsi="Arial" w:cs="Arial"/>
          <w:i/>
          <w:iCs/>
          <w:sz w:val="20"/>
          <w:szCs w:val="20"/>
        </w:rPr>
        <w:t>austroafricanus</w:t>
      </w:r>
      <w:proofErr w:type="spellEnd"/>
      <w:r w:rsidRPr="000D7BC8">
        <w:rPr>
          <w:rFonts w:ascii="Arial" w:hAnsi="Arial" w:cs="Arial"/>
          <w:sz w:val="20"/>
          <w:szCs w:val="20"/>
        </w:rPr>
        <w:t xml:space="preserve"> CGJ-B3. </w:t>
      </w:r>
      <w:r w:rsidRPr="000D7BC8">
        <w:rPr>
          <w:rFonts w:ascii="Arial" w:hAnsi="Arial" w:cs="Arial"/>
          <w:i/>
          <w:iCs/>
          <w:sz w:val="20"/>
          <w:szCs w:val="20"/>
        </w:rPr>
        <w:t>Mycology, 8</w:t>
      </w:r>
      <w:r w:rsidRPr="000D7BC8">
        <w:rPr>
          <w:rFonts w:ascii="Arial" w:hAnsi="Arial" w:cs="Arial"/>
          <w:sz w:val="20"/>
          <w:szCs w:val="20"/>
        </w:rPr>
        <w:t>(1), 28–38.</w:t>
      </w:r>
    </w:p>
    <w:p w14:paraId="7B1C6572"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Doaa, M. A. K., Soad, A. E., &amp; Magdi, A. E. (2020). Phytochemical screening and antioxidant potential of endophytic fungi isolated from </w:t>
      </w:r>
      <w:r w:rsidRPr="000D7BC8">
        <w:rPr>
          <w:rFonts w:ascii="Arial" w:hAnsi="Arial" w:cs="Arial"/>
          <w:i/>
          <w:iCs/>
          <w:sz w:val="20"/>
          <w:szCs w:val="20"/>
        </w:rPr>
        <w:t>Hibiscus sabdariffa</w:t>
      </w:r>
      <w:r w:rsidRPr="000D7BC8">
        <w:rPr>
          <w:rFonts w:ascii="Arial" w:hAnsi="Arial" w:cs="Arial"/>
          <w:sz w:val="20"/>
          <w:szCs w:val="20"/>
        </w:rPr>
        <w:t xml:space="preserve">. </w:t>
      </w:r>
      <w:r w:rsidRPr="000D7BC8">
        <w:rPr>
          <w:rFonts w:ascii="Arial" w:hAnsi="Arial" w:cs="Arial"/>
          <w:i/>
          <w:iCs/>
          <w:sz w:val="20"/>
          <w:szCs w:val="20"/>
        </w:rPr>
        <w:t>Applied Biotechnology Reports, 7</w:t>
      </w:r>
      <w:r w:rsidRPr="000D7BC8">
        <w:rPr>
          <w:rFonts w:ascii="Arial" w:hAnsi="Arial" w:cs="Arial"/>
          <w:sz w:val="20"/>
          <w:szCs w:val="20"/>
        </w:rPr>
        <w:t>(2), 116–124.</w:t>
      </w:r>
    </w:p>
    <w:p w14:paraId="0B6CB0E4"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Ellis, D., Davis, S., Alexiou, H., Handke, R., &amp; Bartley, R. (2007). </w:t>
      </w:r>
      <w:r w:rsidRPr="000D7BC8">
        <w:rPr>
          <w:rFonts w:ascii="Arial" w:hAnsi="Arial" w:cs="Arial"/>
          <w:i/>
          <w:iCs/>
          <w:sz w:val="20"/>
          <w:szCs w:val="20"/>
        </w:rPr>
        <w:t>Descriptions of medical fungi</w:t>
      </w:r>
      <w:r w:rsidRPr="000D7BC8">
        <w:rPr>
          <w:rFonts w:ascii="Arial" w:hAnsi="Arial" w:cs="Arial"/>
          <w:sz w:val="20"/>
          <w:szCs w:val="20"/>
        </w:rPr>
        <w:t xml:space="preserve"> (2nd ed.). </w:t>
      </w:r>
      <w:proofErr w:type="spellStart"/>
      <w:r w:rsidRPr="000D7BC8">
        <w:rPr>
          <w:rFonts w:ascii="Arial" w:hAnsi="Arial" w:cs="Arial"/>
          <w:sz w:val="20"/>
          <w:szCs w:val="20"/>
        </w:rPr>
        <w:t>Underdale</w:t>
      </w:r>
      <w:proofErr w:type="spellEnd"/>
      <w:r w:rsidRPr="000D7BC8">
        <w:rPr>
          <w:rFonts w:ascii="Arial" w:hAnsi="Arial" w:cs="Arial"/>
          <w:sz w:val="20"/>
          <w:szCs w:val="20"/>
        </w:rPr>
        <w:t>, South Australia.</w:t>
      </w:r>
    </w:p>
    <w:p w14:paraId="63CAD2A6"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lastRenderedPageBreak/>
        <w:t xml:space="preserve">Gamal-Eldeen, A. M., Abdel-Lateff, A., &amp; Okino, T. (2009). Modulation of carcinogen metabolizing enzymes by chromanone: A new chromone derivative from </w:t>
      </w:r>
      <w:proofErr w:type="spellStart"/>
      <w:r w:rsidRPr="000D7BC8">
        <w:rPr>
          <w:rFonts w:ascii="Arial" w:hAnsi="Arial" w:cs="Arial"/>
          <w:sz w:val="20"/>
          <w:szCs w:val="20"/>
        </w:rPr>
        <w:t>algicolous</w:t>
      </w:r>
      <w:proofErr w:type="spellEnd"/>
      <w:r w:rsidRPr="000D7BC8">
        <w:rPr>
          <w:rFonts w:ascii="Arial" w:hAnsi="Arial" w:cs="Arial"/>
          <w:sz w:val="20"/>
          <w:szCs w:val="20"/>
        </w:rPr>
        <w:t xml:space="preserve"> marine fungus </w:t>
      </w:r>
      <w:r w:rsidRPr="000D7BC8">
        <w:rPr>
          <w:rFonts w:ascii="Arial" w:hAnsi="Arial" w:cs="Arial"/>
          <w:i/>
          <w:iCs/>
          <w:sz w:val="20"/>
          <w:szCs w:val="20"/>
        </w:rPr>
        <w:t>Penicillium</w:t>
      </w:r>
      <w:r w:rsidRPr="000D7BC8">
        <w:rPr>
          <w:rFonts w:ascii="Arial" w:hAnsi="Arial" w:cs="Arial"/>
          <w:sz w:val="20"/>
          <w:szCs w:val="20"/>
        </w:rPr>
        <w:t xml:space="preserve"> sp. </w:t>
      </w:r>
      <w:r w:rsidRPr="000D7BC8">
        <w:rPr>
          <w:rFonts w:ascii="Arial" w:hAnsi="Arial" w:cs="Arial"/>
          <w:i/>
          <w:iCs/>
          <w:sz w:val="20"/>
          <w:szCs w:val="20"/>
        </w:rPr>
        <w:t>Environmental Toxicology and Pharmacology, 28</w:t>
      </w:r>
      <w:r w:rsidRPr="000D7BC8">
        <w:rPr>
          <w:rFonts w:ascii="Arial" w:hAnsi="Arial" w:cs="Arial"/>
          <w:sz w:val="20"/>
          <w:szCs w:val="20"/>
        </w:rPr>
        <w:t>, 317–322.</w:t>
      </w:r>
    </w:p>
    <w:p w14:paraId="77001081"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proofErr w:type="spellStart"/>
      <w:r w:rsidRPr="000D7BC8">
        <w:rPr>
          <w:rFonts w:ascii="Arial" w:hAnsi="Arial" w:cs="Arial"/>
          <w:sz w:val="20"/>
          <w:szCs w:val="20"/>
        </w:rPr>
        <w:t>Gazis</w:t>
      </w:r>
      <w:proofErr w:type="spellEnd"/>
      <w:r w:rsidRPr="000D7BC8">
        <w:rPr>
          <w:rFonts w:ascii="Arial" w:hAnsi="Arial" w:cs="Arial"/>
          <w:sz w:val="20"/>
          <w:szCs w:val="20"/>
        </w:rPr>
        <w:t xml:space="preserve">, R., &amp; Chaverri, P. (2015). Wild trees in the Amazon basin harbor a great diversity of beneficial endosymbiotic fungi: Is this evidence of protective mutualism? </w:t>
      </w:r>
      <w:r w:rsidRPr="000D7BC8">
        <w:rPr>
          <w:rFonts w:ascii="Arial" w:hAnsi="Arial" w:cs="Arial"/>
          <w:i/>
          <w:iCs/>
          <w:sz w:val="20"/>
          <w:szCs w:val="20"/>
        </w:rPr>
        <w:t>Fungal Ecology, 17</w:t>
      </w:r>
      <w:r w:rsidRPr="000D7BC8">
        <w:rPr>
          <w:rFonts w:ascii="Arial" w:hAnsi="Arial" w:cs="Arial"/>
          <w:sz w:val="20"/>
          <w:szCs w:val="20"/>
        </w:rPr>
        <w:t>, 18–29.</w:t>
      </w:r>
    </w:p>
    <w:p w14:paraId="58861BC6"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Gilman, J. C. (1998). </w:t>
      </w:r>
      <w:r w:rsidRPr="000D7BC8">
        <w:rPr>
          <w:rFonts w:ascii="Arial" w:hAnsi="Arial" w:cs="Arial"/>
          <w:i/>
          <w:iCs/>
          <w:sz w:val="20"/>
          <w:szCs w:val="20"/>
        </w:rPr>
        <w:t>A manual of soil fungi</w:t>
      </w:r>
      <w:r w:rsidRPr="000D7BC8">
        <w:rPr>
          <w:rFonts w:ascii="Arial" w:hAnsi="Arial" w:cs="Arial"/>
          <w:sz w:val="20"/>
          <w:szCs w:val="20"/>
        </w:rPr>
        <w:t>. Biotech Books.</w:t>
      </w:r>
    </w:p>
    <w:p w14:paraId="2BE45EF6"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Guo, L. D., Hyde, K. D., &amp; Liew, E. C. Y. (2000). Identification of endophytic fungi from </w:t>
      </w:r>
      <w:r w:rsidRPr="000D7BC8">
        <w:rPr>
          <w:rFonts w:ascii="Arial" w:hAnsi="Arial" w:cs="Arial"/>
          <w:i/>
          <w:iCs/>
          <w:sz w:val="20"/>
          <w:szCs w:val="20"/>
        </w:rPr>
        <w:t>Livistona chinensis</w:t>
      </w:r>
      <w:r w:rsidRPr="000D7BC8">
        <w:rPr>
          <w:rFonts w:ascii="Arial" w:hAnsi="Arial" w:cs="Arial"/>
          <w:sz w:val="20"/>
          <w:szCs w:val="20"/>
        </w:rPr>
        <w:t xml:space="preserve"> (Palmae) using morphological and molecular techniques. </w:t>
      </w:r>
      <w:r w:rsidRPr="000D7BC8">
        <w:rPr>
          <w:rFonts w:ascii="Arial" w:hAnsi="Arial" w:cs="Arial"/>
          <w:i/>
          <w:iCs/>
          <w:sz w:val="20"/>
          <w:szCs w:val="20"/>
        </w:rPr>
        <w:t>New Phytologist, 147</w:t>
      </w:r>
      <w:r w:rsidRPr="000D7BC8">
        <w:rPr>
          <w:rFonts w:ascii="Arial" w:hAnsi="Arial" w:cs="Arial"/>
          <w:sz w:val="20"/>
          <w:szCs w:val="20"/>
        </w:rPr>
        <w:t>, 617–630.</w:t>
      </w:r>
    </w:p>
    <w:p w14:paraId="731BC9A6"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Hyde, K. D., &amp; </w:t>
      </w:r>
      <w:proofErr w:type="spellStart"/>
      <w:r w:rsidRPr="000D7BC8">
        <w:rPr>
          <w:rFonts w:ascii="Arial" w:hAnsi="Arial" w:cs="Arial"/>
          <w:sz w:val="20"/>
          <w:szCs w:val="20"/>
        </w:rPr>
        <w:t>Soytong</w:t>
      </w:r>
      <w:proofErr w:type="spellEnd"/>
      <w:r w:rsidRPr="000D7BC8">
        <w:rPr>
          <w:rFonts w:ascii="Arial" w:hAnsi="Arial" w:cs="Arial"/>
          <w:sz w:val="20"/>
          <w:szCs w:val="20"/>
        </w:rPr>
        <w:t xml:space="preserve">, K. (2008). The fungal endophyte dilemma. </w:t>
      </w:r>
      <w:r w:rsidRPr="000D7BC8">
        <w:rPr>
          <w:rFonts w:ascii="Arial" w:hAnsi="Arial" w:cs="Arial"/>
          <w:i/>
          <w:iCs/>
          <w:sz w:val="20"/>
          <w:szCs w:val="20"/>
        </w:rPr>
        <w:t>Fungal Diversity, 33</w:t>
      </w:r>
      <w:r w:rsidRPr="000D7BC8">
        <w:rPr>
          <w:rFonts w:ascii="Arial" w:hAnsi="Arial" w:cs="Arial"/>
          <w:sz w:val="20"/>
          <w:szCs w:val="20"/>
        </w:rPr>
        <w:t>, 163–173.</w:t>
      </w:r>
    </w:p>
    <w:p w14:paraId="0C13CDAF"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Kamat, S., Sahana, K., Sarah, P., &amp; </w:t>
      </w:r>
      <w:proofErr w:type="spellStart"/>
      <w:r w:rsidRPr="000D7BC8">
        <w:rPr>
          <w:rFonts w:ascii="Arial" w:hAnsi="Arial" w:cs="Arial"/>
          <w:sz w:val="20"/>
          <w:szCs w:val="20"/>
        </w:rPr>
        <w:t>Madhuree</w:t>
      </w:r>
      <w:proofErr w:type="spellEnd"/>
      <w:r w:rsidRPr="000D7BC8">
        <w:rPr>
          <w:rFonts w:ascii="Arial" w:hAnsi="Arial" w:cs="Arial"/>
          <w:sz w:val="20"/>
          <w:szCs w:val="20"/>
        </w:rPr>
        <w:t xml:space="preserve">, K. (2023). Secondary metabolites from marine fungi: Current status and application. </w:t>
      </w:r>
      <w:r w:rsidRPr="000D7BC8">
        <w:rPr>
          <w:rFonts w:ascii="Arial" w:hAnsi="Arial" w:cs="Arial"/>
          <w:i/>
          <w:iCs/>
          <w:sz w:val="20"/>
          <w:szCs w:val="20"/>
        </w:rPr>
        <w:t>Microbial Biomolecules</w:t>
      </w:r>
      <w:r w:rsidRPr="000D7BC8">
        <w:rPr>
          <w:rFonts w:ascii="Arial" w:hAnsi="Arial" w:cs="Arial"/>
          <w:sz w:val="20"/>
          <w:szCs w:val="20"/>
        </w:rPr>
        <w:t>, 181–209.</w:t>
      </w:r>
    </w:p>
    <w:p w14:paraId="6EC66719"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Kanner, J., Frankel, E., Granit, R., German, B., &amp; Kinsella, J. E. (1994). Natural antioxidants in grapes and wines. </w:t>
      </w:r>
      <w:r w:rsidRPr="000D7BC8">
        <w:rPr>
          <w:rFonts w:ascii="Arial" w:hAnsi="Arial" w:cs="Arial"/>
          <w:i/>
          <w:iCs/>
          <w:sz w:val="20"/>
          <w:szCs w:val="20"/>
        </w:rPr>
        <w:t>Journal of Agricultural and Food Chemistry, 42</w:t>
      </w:r>
      <w:r w:rsidRPr="000D7BC8">
        <w:rPr>
          <w:rFonts w:ascii="Arial" w:hAnsi="Arial" w:cs="Arial"/>
          <w:sz w:val="20"/>
          <w:szCs w:val="20"/>
        </w:rPr>
        <w:t>, 64–69.</w:t>
      </w:r>
    </w:p>
    <w:p w14:paraId="4C6E1095"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Kjer, J., </w:t>
      </w:r>
      <w:proofErr w:type="spellStart"/>
      <w:r w:rsidRPr="000D7BC8">
        <w:rPr>
          <w:rFonts w:ascii="Arial" w:hAnsi="Arial" w:cs="Arial"/>
          <w:sz w:val="20"/>
          <w:szCs w:val="20"/>
        </w:rPr>
        <w:t>Debbab</w:t>
      </w:r>
      <w:proofErr w:type="spellEnd"/>
      <w:r w:rsidRPr="000D7BC8">
        <w:rPr>
          <w:rFonts w:ascii="Arial" w:hAnsi="Arial" w:cs="Arial"/>
          <w:sz w:val="20"/>
          <w:szCs w:val="20"/>
        </w:rPr>
        <w:t xml:space="preserve">, A., Aly, A., &amp; Proksch, P. (2010). Methods for isolation of marine-derived endophytic fungi and their bioactive secondary products. </w:t>
      </w:r>
      <w:r w:rsidRPr="000D7BC8">
        <w:rPr>
          <w:rFonts w:ascii="Arial" w:hAnsi="Arial" w:cs="Arial"/>
          <w:i/>
          <w:iCs/>
          <w:sz w:val="20"/>
          <w:szCs w:val="20"/>
        </w:rPr>
        <w:t>Nature Protocols, 5</w:t>
      </w:r>
      <w:r w:rsidRPr="000D7BC8">
        <w:rPr>
          <w:rFonts w:ascii="Arial" w:hAnsi="Arial" w:cs="Arial"/>
          <w:sz w:val="20"/>
          <w:szCs w:val="20"/>
        </w:rPr>
        <w:t>(3), 479–490.</w:t>
      </w:r>
    </w:p>
    <w:p w14:paraId="357F108D"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Krings, M., Taylor, T. N., Hass, H., </w:t>
      </w:r>
      <w:proofErr w:type="spellStart"/>
      <w:r w:rsidRPr="000D7BC8">
        <w:rPr>
          <w:rFonts w:ascii="Arial" w:hAnsi="Arial" w:cs="Arial"/>
          <w:sz w:val="20"/>
          <w:szCs w:val="20"/>
        </w:rPr>
        <w:t>Kerp</w:t>
      </w:r>
      <w:proofErr w:type="spellEnd"/>
      <w:r w:rsidRPr="000D7BC8">
        <w:rPr>
          <w:rFonts w:ascii="Arial" w:hAnsi="Arial" w:cs="Arial"/>
          <w:sz w:val="20"/>
          <w:szCs w:val="20"/>
        </w:rPr>
        <w:t xml:space="preserve">, H., &amp; Dotzler, N. (2007). Fungal endophytes in a 400-million-yr-old land plant: Infection pathways, spatial distribution, and host responses. </w:t>
      </w:r>
      <w:r w:rsidRPr="000D7BC8">
        <w:rPr>
          <w:rFonts w:ascii="Arial" w:hAnsi="Arial" w:cs="Arial"/>
          <w:i/>
          <w:iCs/>
          <w:sz w:val="20"/>
          <w:szCs w:val="20"/>
        </w:rPr>
        <w:t>New Phytologist, 174</w:t>
      </w:r>
      <w:r w:rsidRPr="000D7BC8">
        <w:rPr>
          <w:rFonts w:ascii="Arial" w:hAnsi="Arial" w:cs="Arial"/>
          <w:sz w:val="20"/>
          <w:szCs w:val="20"/>
        </w:rPr>
        <w:t>, 648–657.</w:t>
      </w:r>
    </w:p>
    <w:p w14:paraId="66AAC4B1"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proofErr w:type="spellStart"/>
      <w:r w:rsidRPr="000D7BC8">
        <w:rPr>
          <w:rFonts w:ascii="Arial" w:hAnsi="Arial" w:cs="Arial"/>
          <w:sz w:val="20"/>
          <w:szCs w:val="20"/>
        </w:rPr>
        <w:t>Lv</w:t>
      </w:r>
      <w:proofErr w:type="spellEnd"/>
      <w:r w:rsidRPr="000D7BC8">
        <w:rPr>
          <w:rFonts w:ascii="Arial" w:hAnsi="Arial" w:cs="Arial"/>
          <w:sz w:val="20"/>
          <w:szCs w:val="20"/>
        </w:rPr>
        <w:t xml:space="preserve">, F., &amp; Zeng, Y. (2024). Novel bioactive natural products from marine-derived </w:t>
      </w:r>
      <w:r w:rsidRPr="000D7BC8">
        <w:rPr>
          <w:rFonts w:ascii="Arial" w:hAnsi="Arial" w:cs="Arial"/>
          <w:i/>
          <w:iCs/>
          <w:sz w:val="20"/>
          <w:szCs w:val="20"/>
        </w:rPr>
        <w:t>Penicillium</w:t>
      </w:r>
      <w:r w:rsidRPr="000D7BC8">
        <w:rPr>
          <w:rFonts w:ascii="Arial" w:hAnsi="Arial" w:cs="Arial"/>
          <w:sz w:val="20"/>
          <w:szCs w:val="20"/>
        </w:rPr>
        <w:t xml:space="preserve"> fungi: A review (2021–2023). </w:t>
      </w:r>
      <w:r w:rsidRPr="000D7BC8">
        <w:rPr>
          <w:rFonts w:ascii="Arial" w:hAnsi="Arial" w:cs="Arial"/>
          <w:i/>
          <w:iCs/>
          <w:sz w:val="20"/>
          <w:szCs w:val="20"/>
        </w:rPr>
        <w:t>Marine Drugs, 22</w:t>
      </w:r>
      <w:r w:rsidRPr="000D7BC8">
        <w:rPr>
          <w:rFonts w:ascii="Arial" w:hAnsi="Arial" w:cs="Arial"/>
          <w:sz w:val="20"/>
          <w:szCs w:val="20"/>
        </w:rPr>
        <w:t xml:space="preserve">, 191. </w:t>
      </w:r>
      <w:hyperlink r:id="rId18" w:history="1">
        <w:r w:rsidRPr="000D7BC8">
          <w:rPr>
            <w:rStyle w:val="Hyperlink"/>
            <w:rFonts w:ascii="Arial" w:hAnsi="Arial" w:cs="Arial"/>
            <w:sz w:val="20"/>
            <w:szCs w:val="20"/>
          </w:rPr>
          <w:t>https://doi.org/10.3390/md22050191</w:t>
        </w:r>
      </w:hyperlink>
    </w:p>
    <w:p w14:paraId="4048A17A"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Malinowski, D. P., Alloush, G. A., &amp; Belesky, D. P. (2000). Leaf endophyte </w:t>
      </w:r>
      <w:proofErr w:type="spellStart"/>
      <w:r w:rsidRPr="000D7BC8">
        <w:rPr>
          <w:rFonts w:ascii="Arial" w:hAnsi="Arial" w:cs="Arial"/>
          <w:i/>
          <w:iCs/>
          <w:sz w:val="20"/>
          <w:szCs w:val="20"/>
        </w:rPr>
        <w:t>Neotyphodium</w:t>
      </w:r>
      <w:proofErr w:type="spellEnd"/>
      <w:r w:rsidRPr="000D7BC8">
        <w:rPr>
          <w:rFonts w:ascii="Arial" w:hAnsi="Arial" w:cs="Arial"/>
          <w:i/>
          <w:iCs/>
          <w:sz w:val="20"/>
          <w:szCs w:val="20"/>
        </w:rPr>
        <w:t xml:space="preserve"> </w:t>
      </w:r>
      <w:proofErr w:type="spellStart"/>
      <w:r w:rsidRPr="000D7BC8">
        <w:rPr>
          <w:rFonts w:ascii="Arial" w:hAnsi="Arial" w:cs="Arial"/>
          <w:i/>
          <w:iCs/>
          <w:sz w:val="20"/>
          <w:szCs w:val="20"/>
        </w:rPr>
        <w:t>coenophialum</w:t>
      </w:r>
      <w:proofErr w:type="spellEnd"/>
      <w:r w:rsidRPr="000D7BC8">
        <w:rPr>
          <w:rFonts w:ascii="Arial" w:hAnsi="Arial" w:cs="Arial"/>
          <w:sz w:val="20"/>
          <w:szCs w:val="20"/>
        </w:rPr>
        <w:t xml:space="preserve"> modifies mineral uptake in tall fescue. </w:t>
      </w:r>
      <w:r w:rsidRPr="000D7BC8">
        <w:rPr>
          <w:rFonts w:ascii="Arial" w:hAnsi="Arial" w:cs="Arial"/>
          <w:i/>
          <w:iCs/>
          <w:sz w:val="20"/>
          <w:szCs w:val="20"/>
        </w:rPr>
        <w:t>Plant and Soil, 227</w:t>
      </w:r>
      <w:r w:rsidRPr="000D7BC8">
        <w:rPr>
          <w:rFonts w:ascii="Arial" w:hAnsi="Arial" w:cs="Arial"/>
          <w:sz w:val="20"/>
          <w:szCs w:val="20"/>
        </w:rPr>
        <w:t>, 115–126.</w:t>
      </w:r>
    </w:p>
    <w:p w14:paraId="3D67A3BB"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Nagamani, A., Kunwar, I. K., &amp; </w:t>
      </w:r>
      <w:proofErr w:type="spellStart"/>
      <w:r w:rsidRPr="000D7BC8">
        <w:rPr>
          <w:rFonts w:ascii="Arial" w:hAnsi="Arial" w:cs="Arial"/>
          <w:sz w:val="20"/>
          <w:szCs w:val="20"/>
        </w:rPr>
        <w:t>Manoharachary</w:t>
      </w:r>
      <w:proofErr w:type="spellEnd"/>
      <w:r w:rsidRPr="000D7BC8">
        <w:rPr>
          <w:rFonts w:ascii="Arial" w:hAnsi="Arial" w:cs="Arial"/>
          <w:sz w:val="20"/>
          <w:szCs w:val="20"/>
        </w:rPr>
        <w:t xml:space="preserve">, C. (2006). </w:t>
      </w:r>
      <w:r w:rsidRPr="000D7BC8">
        <w:rPr>
          <w:rFonts w:ascii="Arial" w:hAnsi="Arial" w:cs="Arial"/>
          <w:i/>
          <w:iCs/>
          <w:sz w:val="20"/>
          <w:szCs w:val="20"/>
        </w:rPr>
        <w:t>Handbook of soil fungi</w:t>
      </w:r>
      <w:r w:rsidRPr="000D7BC8">
        <w:rPr>
          <w:rFonts w:ascii="Arial" w:hAnsi="Arial" w:cs="Arial"/>
          <w:sz w:val="20"/>
          <w:szCs w:val="20"/>
        </w:rPr>
        <w:t>. I K International Publishing House Pvt. Ltd.</w:t>
      </w:r>
    </w:p>
    <w:p w14:paraId="4C0111AD" w14:textId="2FC8CE62"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proofErr w:type="spellStart"/>
      <w:r w:rsidRPr="000D7BC8">
        <w:rPr>
          <w:rFonts w:ascii="Arial" w:hAnsi="Arial" w:cs="Arial"/>
          <w:sz w:val="20"/>
          <w:szCs w:val="20"/>
        </w:rPr>
        <w:t>Tangthirasunun</w:t>
      </w:r>
      <w:proofErr w:type="spellEnd"/>
      <w:r w:rsidRPr="000D7BC8">
        <w:rPr>
          <w:rFonts w:ascii="Arial" w:hAnsi="Arial" w:cs="Arial"/>
          <w:sz w:val="20"/>
          <w:szCs w:val="20"/>
        </w:rPr>
        <w:t xml:space="preserve">, N., Darbhe, J. B., &amp; </w:t>
      </w:r>
      <w:proofErr w:type="spellStart"/>
      <w:r w:rsidRPr="000D7BC8">
        <w:rPr>
          <w:rFonts w:ascii="Arial" w:hAnsi="Arial" w:cs="Arial"/>
          <w:sz w:val="20"/>
          <w:szCs w:val="20"/>
        </w:rPr>
        <w:t>Supattra</w:t>
      </w:r>
      <w:proofErr w:type="spellEnd"/>
      <w:r w:rsidRPr="000D7BC8">
        <w:rPr>
          <w:rFonts w:ascii="Arial" w:hAnsi="Arial" w:cs="Arial"/>
          <w:sz w:val="20"/>
          <w:szCs w:val="20"/>
        </w:rPr>
        <w:t xml:space="preserve">, P. (2024). Antibacterial and lignocellulose-degrading enzyme activities of coprophilous fungi obtained from cow dung in Thailand. </w:t>
      </w:r>
      <w:r w:rsidRPr="000D7BC8">
        <w:rPr>
          <w:rFonts w:ascii="Arial" w:hAnsi="Arial" w:cs="Arial"/>
          <w:i/>
          <w:iCs/>
          <w:sz w:val="20"/>
          <w:szCs w:val="20"/>
        </w:rPr>
        <w:t>Asian Journal of Agriculture and Biology, 4</w:t>
      </w:r>
      <w:r w:rsidRPr="000D7BC8">
        <w:rPr>
          <w:rFonts w:ascii="Arial" w:hAnsi="Arial" w:cs="Arial"/>
          <w:sz w:val="20"/>
          <w:szCs w:val="20"/>
        </w:rPr>
        <w:t xml:space="preserve">, 1–17. https://doi.org/10.35495/ajab.2023.323 </w:t>
      </w:r>
    </w:p>
    <w:p w14:paraId="60100465"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Noor, S., Begum, N., Satyajit, R. R., Mohammad, Z. U., Sohrab, M. H., &amp; Abdul, M. M. (2024). Bioactivity and chemical screening of endophytic fungi associated with the seaweed </w:t>
      </w:r>
      <w:r w:rsidRPr="000D7BC8">
        <w:rPr>
          <w:rFonts w:ascii="Arial" w:hAnsi="Arial" w:cs="Arial"/>
          <w:i/>
          <w:iCs/>
          <w:sz w:val="20"/>
          <w:szCs w:val="20"/>
        </w:rPr>
        <w:t>Ulva</w:t>
      </w:r>
      <w:r w:rsidRPr="000D7BC8">
        <w:rPr>
          <w:rFonts w:ascii="Arial" w:hAnsi="Arial" w:cs="Arial"/>
          <w:sz w:val="20"/>
          <w:szCs w:val="20"/>
        </w:rPr>
        <w:t xml:space="preserve"> sp. of the Bay of Bengal, Bangladesh. </w:t>
      </w:r>
      <w:r w:rsidRPr="000D7BC8">
        <w:rPr>
          <w:rFonts w:ascii="Arial" w:hAnsi="Arial" w:cs="Arial"/>
          <w:i/>
          <w:iCs/>
          <w:sz w:val="20"/>
          <w:szCs w:val="20"/>
        </w:rPr>
        <w:t>Botanica Marina, 67</w:t>
      </w:r>
      <w:r w:rsidRPr="000D7BC8">
        <w:rPr>
          <w:rFonts w:ascii="Arial" w:hAnsi="Arial" w:cs="Arial"/>
          <w:sz w:val="20"/>
          <w:szCs w:val="20"/>
        </w:rPr>
        <w:t>(2), 115–129.</w:t>
      </w:r>
    </w:p>
    <w:p w14:paraId="61857BC5"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Pitt, J. I. (1979). </w:t>
      </w:r>
      <w:r w:rsidRPr="000D7BC8">
        <w:rPr>
          <w:rFonts w:ascii="Arial" w:hAnsi="Arial" w:cs="Arial"/>
          <w:i/>
          <w:iCs/>
          <w:sz w:val="20"/>
          <w:szCs w:val="20"/>
        </w:rPr>
        <w:t xml:space="preserve">The genus Penicillium and its </w:t>
      </w:r>
      <w:proofErr w:type="spellStart"/>
      <w:r w:rsidRPr="000D7BC8">
        <w:rPr>
          <w:rFonts w:ascii="Arial" w:hAnsi="Arial" w:cs="Arial"/>
          <w:i/>
          <w:iCs/>
          <w:sz w:val="20"/>
          <w:szCs w:val="20"/>
        </w:rPr>
        <w:t>teleomorphic</w:t>
      </w:r>
      <w:proofErr w:type="spellEnd"/>
      <w:r w:rsidRPr="000D7BC8">
        <w:rPr>
          <w:rFonts w:ascii="Arial" w:hAnsi="Arial" w:cs="Arial"/>
          <w:i/>
          <w:iCs/>
          <w:sz w:val="20"/>
          <w:szCs w:val="20"/>
        </w:rPr>
        <w:t xml:space="preserve"> states </w:t>
      </w:r>
      <w:proofErr w:type="spellStart"/>
      <w:r w:rsidRPr="000D7BC8">
        <w:rPr>
          <w:rFonts w:ascii="Arial" w:hAnsi="Arial" w:cs="Arial"/>
          <w:i/>
          <w:iCs/>
          <w:sz w:val="20"/>
          <w:szCs w:val="20"/>
        </w:rPr>
        <w:t>Eupenicillium</w:t>
      </w:r>
      <w:proofErr w:type="spellEnd"/>
      <w:r w:rsidRPr="000D7BC8">
        <w:rPr>
          <w:rFonts w:ascii="Arial" w:hAnsi="Arial" w:cs="Arial"/>
          <w:i/>
          <w:iCs/>
          <w:sz w:val="20"/>
          <w:szCs w:val="20"/>
        </w:rPr>
        <w:t xml:space="preserve"> and </w:t>
      </w:r>
      <w:proofErr w:type="spellStart"/>
      <w:r w:rsidRPr="000D7BC8">
        <w:rPr>
          <w:rFonts w:ascii="Arial" w:hAnsi="Arial" w:cs="Arial"/>
          <w:i/>
          <w:iCs/>
          <w:sz w:val="20"/>
          <w:szCs w:val="20"/>
        </w:rPr>
        <w:t>Talaromyces</w:t>
      </w:r>
      <w:proofErr w:type="spellEnd"/>
      <w:r w:rsidRPr="000D7BC8">
        <w:rPr>
          <w:rFonts w:ascii="Arial" w:hAnsi="Arial" w:cs="Arial"/>
          <w:sz w:val="20"/>
          <w:szCs w:val="20"/>
        </w:rPr>
        <w:t>. Academic Press.</w:t>
      </w:r>
    </w:p>
    <w:p w14:paraId="58EA0FAE" w14:textId="45A2545A"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Priyanka, C., &amp; Daljit, S. A. (2012). Optimization of antioxidant potential of </w:t>
      </w:r>
      <w:r w:rsidRPr="000D7BC8">
        <w:rPr>
          <w:rFonts w:ascii="Arial" w:hAnsi="Arial" w:cs="Arial"/>
          <w:i/>
          <w:iCs/>
          <w:sz w:val="20"/>
          <w:szCs w:val="20"/>
        </w:rPr>
        <w:t xml:space="preserve">Penicillium </w:t>
      </w:r>
      <w:proofErr w:type="spellStart"/>
      <w:r w:rsidRPr="000D7BC8">
        <w:rPr>
          <w:rFonts w:ascii="Arial" w:hAnsi="Arial" w:cs="Arial"/>
          <w:i/>
          <w:iCs/>
          <w:sz w:val="20"/>
          <w:szCs w:val="20"/>
        </w:rPr>
        <w:t>granulatum</w:t>
      </w:r>
      <w:proofErr w:type="spellEnd"/>
      <w:r w:rsidRPr="000D7BC8">
        <w:rPr>
          <w:rFonts w:ascii="Arial" w:hAnsi="Arial" w:cs="Arial"/>
          <w:sz w:val="20"/>
          <w:szCs w:val="20"/>
        </w:rPr>
        <w:t xml:space="preserve"> </w:t>
      </w:r>
      <w:proofErr w:type="spellStart"/>
      <w:r w:rsidRPr="000D7BC8">
        <w:rPr>
          <w:rFonts w:ascii="Arial" w:hAnsi="Arial" w:cs="Arial"/>
          <w:sz w:val="20"/>
          <w:szCs w:val="20"/>
        </w:rPr>
        <w:t>Bainier</w:t>
      </w:r>
      <w:proofErr w:type="spellEnd"/>
      <w:r w:rsidRPr="000D7BC8">
        <w:rPr>
          <w:rFonts w:ascii="Arial" w:hAnsi="Arial" w:cs="Arial"/>
          <w:sz w:val="20"/>
          <w:szCs w:val="20"/>
        </w:rPr>
        <w:t xml:space="preserve"> by statistical approaches. </w:t>
      </w:r>
      <w:r w:rsidRPr="000D7BC8">
        <w:rPr>
          <w:rFonts w:ascii="Arial" w:hAnsi="Arial" w:cs="Arial"/>
          <w:i/>
          <w:iCs/>
          <w:sz w:val="20"/>
          <w:szCs w:val="20"/>
        </w:rPr>
        <w:t>ISRN Microbiology</w:t>
      </w:r>
      <w:r w:rsidRPr="000D7BC8">
        <w:rPr>
          <w:rFonts w:ascii="Arial" w:hAnsi="Arial" w:cs="Arial"/>
          <w:sz w:val="20"/>
          <w:szCs w:val="20"/>
        </w:rPr>
        <w:t xml:space="preserve">, 10. https://doi.org/10.5402/2012/452024 </w:t>
      </w:r>
    </w:p>
    <w:p w14:paraId="26685B42"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Qiu, M., Xie, R., Shi, Y., Zhang, H., &amp; Chen, H. (2010). Isolation and identification of two flavonoid-producing endophytic fungi from </w:t>
      </w:r>
      <w:r w:rsidRPr="000D7BC8">
        <w:rPr>
          <w:rFonts w:ascii="Arial" w:hAnsi="Arial" w:cs="Arial"/>
          <w:i/>
          <w:iCs/>
          <w:sz w:val="20"/>
          <w:szCs w:val="20"/>
        </w:rPr>
        <w:t>Ginkgo biloba</w:t>
      </w:r>
      <w:r w:rsidRPr="000D7BC8">
        <w:rPr>
          <w:rFonts w:ascii="Arial" w:hAnsi="Arial" w:cs="Arial"/>
          <w:sz w:val="20"/>
          <w:szCs w:val="20"/>
        </w:rPr>
        <w:t xml:space="preserve"> L. </w:t>
      </w:r>
      <w:r w:rsidRPr="000D7BC8">
        <w:rPr>
          <w:rFonts w:ascii="Arial" w:hAnsi="Arial" w:cs="Arial"/>
          <w:i/>
          <w:iCs/>
          <w:sz w:val="20"/>
          <w:szCs w:val="20"/>
        </w:rPr>
        <w:t>Annals of Microbiology, 60</w:t>
      </w:r>
      <w:r w:rsidRPr="000D7BC8">
        <w:rPr>
          <w:rFonts w:ascii="Arial" w:hAnsi="Arial" w:cs="Arial"/>
          <w:sz w:val="20"/>
          <w:szCs w:val="20"/>
        </w:rPr>
        <w:t>, 143–150.</w:t>
      </w:r>
    </w:p>
    <w:p w14:paraId="0C81ACAD"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Redman, R. S., Sheehan, K. B., Stout, R. G., Rodriguez, R. J., &amp; Henson, J. M. (2002). Thermotolerance generated by plant/fungal symbiosis. </w:t>
      </w:r>
      <w:r w:rsidRPr="000D7BC8">
        <w:rPr>
          <w:rFonts w:ascii="Arial" w:hAnsi="Arial" w:cs="Arial"/>
          <w:i/>
          <w:iCs/>
          <w:sz w:val="20"/>
          <w:szCs w:val="20"/>
        </w:rPr>
        <w:t>Science, 298</w:t>
      </w:r>
      <w:r w:rsidRPr="000D7BC8">
        <w:rPr>
          <w:rFonts w:ascii="Arial" w:hAnsi="Arial" w:cs="Arial"/>
          <w:sz w:val="20"/>
          <w:szCs w:val="20"/>
        </w:rPr>
        <w:t>(5598), 1581–1581.</w:t>
      </w:r>
    </w:p>
    <w:p w14:paraId="65CA1714"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lastRenderedPageBreak/>
        <w:t xml:space="preserve">Rodriguez, R. J., Redman, R. S., &amp; Henson, J. M. (2004). The role of fungal symbioses in the adaptation of plants to high stress environments. </w:t>
      </w:r>
      <w:r w:rsidRPr="000D7BC8">
        <w:rPr>
          <w:rFonts w:ascii="Arial" w:hAnsi="Arial" w:cs="Arial"/>
          <w:i/>
          <w:iCs/>
          <w:sz w:val="20"/>
          <w:szCs w:val="20"/>
        </w:rPr>
        <w:t>Mitigation and Adaptation Strategies for Global Change, 9</w:t>
      </w:r>
      <w:r w:rsidRPr="000D7BC8">
        <w:rPr>
          <w:rFonts w:ascii="Arial" w:hAnsi="Arial" w:cs="Arial"/>
          <w:sz w:val="20"/>
          <w:szCs w:val="20"/>
        </w:rPr>
        <w:t>, 261–272.</w:t>
      </w:r>
    </w:p>
    <w:p w14:paraId="14E436E1"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Samson, R. A., </w:t>
      </w:r>
      <w:proofErr w:type="spellStart"/>
      <w:r w:rsidRPr="000D7BC8">
        <w:rPr>
          <w:rFonts w:ascii="Arial" w:hAnsi="Arial" w:cs="Arial"/>
          <w:sz w:val="20"/>
          <w:szCs w:val="20"/>
        </w:rPr>
        <w:t>Houbraken</w:t>
      </w:r>
      <w:proofErr w:type="spellEnd"/>
      <w:r w:rsidRPr="000D7BC8">
        <w:rPr>
          <w:rFonts w:ascii="Arial" w:hAnsi="Arial" w:cs="Arial"/>
          <w:sz w:val="20"/>
          <w:szCs w:val="20"/>
        </w:rPr>
        <w:t xml:space="preserve">, J., &amp; Thrane, U. (2010). </w:t>
      </w:r>
      <w:r w:rsidRPr="000D7BC8">
        <w:rPr>
          <w:rFonts w:ascii="Arial" w:hAnsi="Arial" w:cs="Arial"/>
          <w:i/>
          <w:iCs/>
          <w:sz w:val="20"/>
          <w:szCs w:val="20"/>
        </w:rPr>
        <w:t>Food and indoor fungi</w:t>
      </w:r>
      <w:r w:rsidRPr="000D7BC8">
        <w:rPr>
          <w:rFonts w:ascii="Arial" w:hAnsi="Arial" w:cs="Arial"/>
          <w:sz w:val="20"/>
          <w:szCs w:val="20"/>
        </w:rPr>
        <w:t>. CBS Laboratory Manual Series 2. CBS-KNAW Fungal Biodiversity Centre.</w:t>
      </w:r>
    </w:p>
    <w:p w14:paraId="0C574E5E"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Schoch, C. L., Seifert, K. A., </w:t>
      </w:r>
      <w:proofErr w:type="spellStart"/>
      <w:r w:rsidRPr="000D7BC8">
        <w:rPr>
          <w:rFonts w:ascii="Arial" w:hAnsi="Arial" w:cs="Arial"/>
          <w:sz w:val="20"/>
          <w:szCs w:val="20"/>
        </w:rPr>
        <w:t>Huhndorf</w:t>
      </w:r>
      <w:proofErr w:type="spellEnd"/>
      <w:r w:rsidRPr="000D7BC8">
        <w:rPr>
          <w:rFonts w:ascii="Arial" w:hAnsi="Arial" w:cs="Arial"/>
          <w:sz w:val="20"/>
          <w:szCs w:val="20"/>
        </w:rPr>
        <w:t xml:space="preserve">, S., Robert, V., Spouge, J. L., Levesque, C. A., &amp; Chen, W. (2012). Nuclear ribosomal internal transcribed spacer (ITS) region as a universal DNA barcode marker for fungi. </w:t>
      </w:r>
      <w:r w:rsidRPr="000D7BC8">
        <w:rPr>
          <w:rFonts w:ascii="Arial" w:hAnsi="Arial" w:cs="Arial"/>
          <w:i/>
          <w:iCs/>
          <w:sz w:val="20"/>
          <w:szCs w:val="20"/>
        </w:rPr>
        <w:t>Proceedings of the National Academy of Sciences, 109</w:t>
      </w:r>
      <w:r w:rsidRPr="000D7BC8">
        <w:rPr>
          <w:rFonts w:ascii="Arial" w:hAnsi="Arial" w:cs="Arial"/>
          <w:sz w:val="20"/>
          <w:szCs w:val="20"/>
        </w:rPr>
        <w:t>(16), 6241–6246.</w:t>
      </w:r>
    </w:p>
    <w:p w14:paraId="0C662612"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Shcherbakova, A., </w:t>
      </w:r>
      <w:proofErr w:type="spellStart"/>
      <w:r w:rsidRPr="000D7BC8">
        <w:rPr>
          <w:rFonts w:ascii="Arial" w:hAnsi="Arial" w:cs="Arial"/>
          <w:sz w:val="20"/>
          <w:szCs w:val="20"/>
        </w:rPr>
        <w:t>Strömstedt</w:t>
      </w:r>
      <w:proofErr w:type="spellEnd"/>
      <w:r w:rsidRPr="000D7BC8">
        <w:rPr>
          <w:rFonts w:ascii="Arial" w:hAnsi="Arial" w:cs="Arial"/>
          <w:sz w:val="20"/>
          <w:szCs w:val="20"/>
        </w:rPr>
        <w:t xml:space="preserve">, A. A., Göransson, U., Gnezdilov, O., Turanov, A., Boldbaatar, D., </w:t>
      </w:r>
      <w:proofErr w:type="spellStart"/>
      <w:r w:rsidRPr="000D7BC8">
        <w:rPr>
          <w:rFonts w:ascii="Arial" w:hAnsi="Arial" w:cs="Arial"/>
          <w:sz w:val="20"/>
          <w:szCs w:val="20"/>
        </w:rPr>
        <w:t>Kochkin</w:t>
      </w:r>
      <w:proofErr w:type="spellEnd"/>
      <w:r w:rsidRPr="000D7BC8">
        <w:rPr>
          <w:rFonts w:ascii="Arial" w:hAnsi="Arial" w:cs="Arial"/>
          <w:sz w:val="20"/>
          <w:szCs w:val="20"/>
        </w:rPr>
        <w:t>, D., Ulrich</w:t>
      </w:r>
      <w:r w:rsidRPr="000D7BC8">
        <w:rPr>
          <w:rFonts w:ascii="Arial" w:hAnsi="Arial" w:cs="Arial"/>
          <w:sz w:val="20"/>
          <w:szCs w:val="20"/>
        </w:rPr>
        <w:noBreakHyphen/>
        <w:t xml:space="preserve">Merzenich, G., &amp; </w:t>
      </w:r>
      <w:proofErr w:type="spellStart"/>
      <w:r w:rsidRPr="000D7BC8">
        <w:rPr>
          <w:rFonts w:ascii="Arial" w:hAnsi="Arial" w:cs="Arial"/>
          <w:sz w:val="20"/>
          <w:szCs w:val="20"/>
        </w:rPr>
        <w:t>Koptina</w:t>
      </w:r>
      <w:proofErr w:type="spellEnd"/>
      <w:r w:rsidRPr="000D7BC8">
        <w:rPr>
          <w:rFonts w:ascii="Arial" w:hAnsi="Arial" w:cs="Arial"/>
          <w:sz w:val="20"/>
          <w:szCs w:val="20"/>
        </w:rPr>
        <w:t xml:space="preserve">, A. (2021). Antimicrobial and antioxidant activity of </w:t>
      </w:r>
      <w:r w:rsidRPr="000D7BC8">
        <w:rPr>
          <w:rFonts w:ascii="Arial" w:hAnsi="Arial" w:cs="Arial"/>
          <w:i/>
          <w:iCs/>
          <w:sz w:val="20"/>
          <w:szCs w:val="20"/>
        </w:rPr>
        <w:t xml:space="preserve">Evernia </w:t>
      </w:r>
      <w:proofErr w:type="spellStart"/>
      <w:r w:rsidRPr="000D7BC8">
        <w:rPr>
          <w:rFonts w:ascii="Arial" w:hAnsi="Arial" w:cs="Arial"/>
          <w:i/>
          <w:iCs/>
          <w:sz w:val="20"/>
          <w:szCs w:val="20"/>
        </w:rPr>
        <w:t>prunastri</w:t>
      </w:r>
      <w:proofErr w:type="spellEnd"/>
      <w:r w:rsidRPr="000D7BC8">
        <w:rPr>
          <w:rFonts w:ascii="Arial" w:hAnsi="Arial" w:cs="Arial"/>
          <w:sz w:val="20"/>
          <w:szCs w:val="20"/>
        </w:rPr>
        <w:t xml:space="preserve"> extracts and their isolates. </w:t>
      </w:r>
      <w:r w:rsidRPr="000D7BC8">
        <w:rPr>
          <w:rFonts w:ascii="Arial" w:hAnsi="Arial" w:cs="Arial"/>
          <w:i/>
          <w:iCs/>
          <w:sz w:val="20"/>
          <w:szCs w:val="20"/>
        </w:rPr>
        <w:t>World Journal of Microbiology and Biotechnology, 37</w:t>
      </w:r>
      <w:r w:rsidRPr="000D7BC8">
        <w:rPr>
          <w:rFonts w:ascii="Arial" w:hAnsi="Arial" w:cs="Arial"/>
          <w:sz w:val="20"/>
          <w:szCs w:val="20"/>
        </w:rPr>
        <w:t xml:space="preserve">, 129. </w:t>
      </w:r>
      <w:hyperlink r:id="rId19" w:history="1">
        <w:r w:rsidRPr="000D7BC8">
          <w:rPr>
            <w:rStyle w:val="Hyperlink"/>
            <w:rFonts w:ascii="Arial" w:hAnsi="Arial" w:cs="Arial"/>
            <w:sz w:val="20"/>
            <w:szCs w:val="20"/>
          </w:rPr>
          <w:t>https://doi.org/10.1007/s11274-021-03099-y</w:t>
        </w:r>
      </w:hyperlink>
    </w:p>
    <w:p w14:paraId="45CF43AD"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Suryanarayanan, T. S., Venkatachalam, A., Thirunavukkarasu, N., Ravishankar, J. P., Doble, M., &amp; Geetha, V. (2010). Internal </w:t>
      </w:r>
      <w:proofErr w:type="spellStart"/>
      <w:r w:rsidRPr="000D7BC8">
        <w:rPr>
          <w:rFonts w:ascii="Arial" w:hAnsi="Arial" w:cs="Arial"/>
          <w:sz w:val="20"/>
          <w:szCs w:val="20"/>
        </w:rPr>
        <w:t>mycobiota</w:t>
      </w:r>
      <w:proofErr w:type="spellEnd"/>
      <w:r w:rsidRPr="000D7BC8">
        <w:rPr>
          <w:rFonts w:ascii="Arial" w:hAnsi="Arial" w:cs="Arial"/>
          <w:sz w:val="20"/>
          <w:szCs w:val="20"/>
        </w:rPr>
        <w:t xml:space="preserve"> of marine macroalgae from the Tamil Nadu coast: Distribution, diversity and biotechnological potential. </w:t>
      </w:r>
      <w:r w:rsidRPr="000D7BC8">
        <w:rPr>
          <w:rFonts w:ascii="Arial" w:hAnsi="Arial" w:cs="Arial"/>
          <w:i/>
          <w:iCs/>
          <w:sz w:val="20"/>
          <w:szCs w:val="20"/>
        </w:rPr>
        <w:t>Botanica Marina, 53</w:t>
      </w:r>
      <w:r w:rsidRPr="000D7BC8">
        <w:rPr>
          <w:rFonts w:ascii="Arial" w:hAnsi="Arial" w:cs="Arial"/>
          <w:sz w:val="20"/>
          <w:szCs w:val="20"/>
        </w:rPr>
        <w:t>, 457–468.</w:t>
      </w:r>
    </w:p>
    <w:p w14:paraId="3B641419"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Taye, B., </w:t>
      </w:r>
      <w:proofErr w:type="spellStart"/>
      <w:r w:rsidRPr="000D7BC8">
        <w:rPr>
          <w:rFonts w:ascii="Arial" w:hAnsi="Arial" w:cs="Arial"/>
          <w:sz w:val="20"/>
          <w:szCs w:val="20"/>
        </w:rPr>
        <w:t>Giday</w:t>
      </w:r>
      <w:proofErr w:type="spellEnd"/>
      <w:r w:rsidRPr="000D7BC8">
        <w:rPr>
          <w:rFonts w:ascii="Arial" w:hAnsi="Arial" w:cs="Arial"/>
          <w:sz w:val="20"/>
          <w:szCs w:val="20"/>
        </w:rPr>
        <w:t xml:space="preserve">, G., Animus, A., &amp; Seid, J. (2011). Antibacterial activities of selected medicinal plants in traditional treatment of human wounds in Ethiopia. </w:t>
      </w:r>
      <w:r w:rsidRPr="000D7BC8">
        <w:rPr>
          <w:rFonts w:ascii="Arial" w:hAnsi="Arial" w:cs="Arial"/>
          <w:i/>
          <w:iCs/>
          <w:sz w:val="20"/>
          <w:szCs w:val="20"/>
        </w:rPr>
        <w:t>Asian Pacific Journal of Tropical Biomedicine, 2</w:t>
      </w:r>
      <w:r w:rsidRPr="000D7BC8">
        <w:rPr>
          <w:rFonts w:ascii="Arial" w:hAnsi="Arial" w:cs="Arial"/>
          <w:sz w:val="20"/>
          <w:szCs w:val="20"/>
        </w:rPr>
        <w:t>, 370–375.</w:t>
      </w:r>
    </w:p>
    <w:p w14:paraId="0963CB2B" w14:textId="7F8AD6DC"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Wang, B., Cai, J., Huang, L., Chen, Y., Wang, R., Luo, M., Yang, M., Zhang, M., Nasihat, Chen, G., Huang, G., &amp; Zheng, C. (2024). Significance of research on natural products from marine-derived </w:t>
      </w:r>
      <w:r w:rsidRPr="000D7BC8">
        <w:rPr>
          <w:rFonts w:ascii="Arial" w:hAnsi="Arial" w:cs="Arial"/>
          <w:i/>
          <w:iCs/>
          <w:sz w:val="20"/>
          <w:szCs w:val="20"/>
        </w:rPr>
        <w:t>Aspergillus</w:t>
      </w:r>
      <w:r w:rsidRPr="000D7BC8">
        <w:rPr>
          <w:rFonts w:ascii="Arial" w:hAnsi="Arial" w:cs="Arial"/>
          <w:sz w:val="20"/>
          <w:szCs w:val="20"/>
        </w:rPr>
        <w:t xml:space="preserve"> species as a source against pathogenic bacteria. </w:t>
      </w:r>
      <w:r w:rsidRPr="000D7BC8">
        <w:rPr>
          <w:rFonts w:ascii="Arial" w:hAnsi="Arial" w:cs="Arial"/>
          <w:i/>
          <w:iCs/>
          <w:sz w:val="20"/>
          <w:szCs w:val="20"/>
        </w:rPr>
        <w:t>Frontiers in Microbiology, 15</w:t>
      </w:r>
      <w:r w:rsidRPr="000D7BC8">
        <w:rPr>
          <w:rFonts w:ascii="Arial" w:hAnsi="Arial" w:cs="Arial"/>
          <w:sz w:val="20"/>
          <w:szCs w:val="20"/>
        </w:rPr>
        <w:t xml:space="preserve">, 1464135. https://doi.org/10.3389/fmicb.2024.1464135 </w:t>
      </w:r>
    </w:p>
    <w:p w14:paraId="5475DA0E"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Yadav, M., Yadav, A., &amp; Yadav, J. P. (2014). In vitro antioxidant activity and total phenolic content of endophytic fungi isolated from </w:t>
      </w:r>
      <w:r w:rsidRPr="000D7BC8">
        <w:rPr>
          <w:rFonts w:ascii="Arial" w:hAnsi="Arial" w:cs="Arial"/>
          <w:i/>
          <w:iCs/>
          <w:sz w:val="20"/>
          <w:szCs w:val="20"/>
        </w:rPr>
        <w:t>Eugenia jambolana</w:t>
      </w:r>
      <w:r w:rsidRPr="000D7BC8">
        <w:rPr>
          <w:rFonts w:ascii="Arial" w:hAnsi="Arial" w:cs="Arial"/>
          <w:sz w:val="20"/>
          <w:szCs w:val="20"/>
        </w:rPr>
        <w:t xml:space="preserve"> Lam. </w:t>
      </w:r>
      <w:r w:rsidRPr="000D7BC8">
        <w:rPr>
          <w:rFonts w:ascii="Arial" w:hAnsi="Arial" w:cs="Arial"/>
          <w:i/>
          <w:iCs/>
          <w:sz w:val="20"/>
          <w:szCs w:val="20"/>
        </w:rPr>
        <w:t>Asian Pacific Journal of Tropical Medicine, 7</w:t>
      </w:r>
      <w:r w:rsidRPr="000D7BC8">
        <w:rPr>
          <w:rFonts w:ascii="Arial" w:hAnsi="Arial" w:cs="Arial"/>
          <w:sz w:val="20"/>
          <w:szCs w:val="20"/>
        </w:rPr>
        <w:t>, 256–261.</w:t>
      </w:r>
    </w:p>
    <w:p w14:paraId="10544A9A" w14:textId="317510EA" w:rsidR="00AD29B7"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Zuccaro, A., Schoch, C. L., Spatafora, J. W., Kohlmeyer, J., Draeger, S., &amp; Mitchell, J. I. (2008). Detection and identification of fungi intimately associated with the brown seaweed </w:t>
      </w:r>
      <w:r w:rsidRPr="000D7BC8">
        <w:rPr>
          <w:rFonts w:ascii="Arial" w:hAnsi="Arial" w:cs="Arial"/>
          <w:i/>
          <w:iCs/>
          <w:sz w:val="20"/>
          <w:szCs w:val="20"/>
        </w:rPr>
        <w:t>Fucus serratus</w:t>
      </w:r>
      <w:r w:rsidRPr="000D7BC8">
        <w:rPr>
          <w:rFonts w:ascii="Arial" w:hAnsi="Arial" w:cs="Arial"/>
          <w:sz w:val="20"/>
          <w:szCs w:val="20"/>
        </w:rPr>
        <w:t xml:space="preserve">. </w:t>
      </w:r>
      <w:r w:rsidRPr="000D7BC8">
        <w:rPr>
          <w:rFonts w:ascii="Arial" w:hAnsi="Arial" w:cs="Arial"/>
          <w:i/>
          <w:iCs/>
          <w:sz w:val="20"/>
          <w:szCs w:val="20"/>
        </w:rPr>
        <w:t>Applied and Environmental Microbiology, 74</w:t>
      </w:r>
      <w:r w:rsidRPr="000D7BC8">
        <w:rPr>
          <w:rFonts w:ascii="Arial" w:hAnsi="Arial" w:cs="Arial"/>
          <w:sz w:val="20"/>
          <w:szCs w:val="20"/>
        </w:rPr>
        <w:t>(4), 931–941.</w:t>
      </w:r>
    </w:p>
    <w:sectPr w:rsidR="00AD29B7" w:rsidRPr="000D7BC8" w:rsidSect="00FF7ED2">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6A0DE" w14:textId="77777777" w:rsidR="004B3140" w:rsidRDefault="004B3140">
      <w:pPr>
        <w:spacing w:line="240" w:lineRule="auto"/>
      </w:pPr>
      <w:r>
        <w:separator/>
      </w:r>
    </w:p>
  </w:endnote>
  <w:endnote w:type="continuationSeparator" w:id="0">
    <w:p w14:paraId="4E6A82E0" w14:textId="77777777" w:rsidR="004B3140" w:rsidRDefault="004B31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Yu Gothic"/>
    <w:charset w:val="00"/>
    <w:family w:val="roman"/>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81"/>
    <w:family w:val="auto"/>
    <w:notTrueType/>
    <w:pitch w:val="default"/>
    <w:sig w:usb0="00000000" w:usb1="09060000" w:usb2="00000010"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C31A7" w14:textId="77777777" w:rsidR="00FF7ED2" w:rsidRDefault="00FF7E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F1FC8" w14:textId="77777777" w:rsidR="00457AF6" w:rsidRDefault="00457A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B127E" w14:textId="77777777" w:rsidR="00FF7ED2" w:rsidRDefault="00FF7E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788BA" w14:textId="77777777" w:rsidR="004B3140" w:rsidRDefault="004B3140">
      <w:pPr>
        <w:spacing w:after="0"/>
      </w:pPr>
      <w:r>
        <w:separator/>
      </w:r>
    </w:p>
  </w:footnote>
  <w:footnote w:type="continuationSeparator" w:id="0">
    <w:p w14:paraId="1BEC4FAD" w14:textId="77777777" w:rsidR="004B3140" w:rsidRDefault="004B314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46F57" w14:textId="5E48CB3A" w:rsidR="00FF7ED2" w:rsidRDefault="00572420">
    <w:pPr>
      <w:pStyle w:val="Header"/>
    </w:pPr>
    <w:r>
      <w:rPr>
        <w:noProof/>
      </w:rPr>
      <w:pict w14:anchorId="40B797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52979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F9FFC" w14:textId="1FF657CD" w:rsidR="00FF7ED2" w:rsidRDefault="00572420">
    <w:pPr>
      <w:pStyle w:val="Header"/>
    </w:pPr>
    <w:r>
      <w:rPr>
        <w:noProof/>
      </w:rPr>
      <w:pict w14:anchorId="4EC2BD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52979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FB801" w14:textId="43DB219C" w:rsidR="00FF7ED2" w:rsidRDefault="00572420">
    <w:pPr>
      <w:pStyle w:val="Header"/>
    </w:pPr>
    <w:r>
      <w:rPr>
        <w:noProof/>
      </w:rPr>
      <w:pict w14:anchorId="336EFC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52979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1D779C"/>
    <w:multiLevelType w:val="multilevel"/>
    <w:tmpl w:val="E464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4DEB"/>
    <w:rsid w:val="000016D2"/>
    <w:rsid w:val="00001852"/>
    <w:rsid w:val="0001641C"/>
    <w:rsid w:val="00017E0F"/>
    <w:rsid w:val="00026EF0"/>
    <w:rsid w:val="00031B48"/>
    <w:rsid w:val="00037125"/>
    <w:rsid w:val="00040549"/>
    <w:rsid w:val="00043893"/>
    <w:rsid w:val="0005191B"/>
    <w:rsid w:val="000731CF"/>
    <w:rsid w:val="00075590"/>
    <w:rsid w:val="00075EE5"/>
    <w:rsid w:val="00076743"/>
    <w:rsid w:val="000810A4"/>
    <w:rsid w:val="00084F4C"/>
    <w:rsid w:val="00085697"/>
    <w:rsid w:val="00086323"/>
    <w:rsid w:val="00097E71"/>
    <w:rsid w:val="000A6DFC"/>
    <w:rsid w:val="000C491A"/>
    <w:rsid w:val="000D1CB3"/>
    <w:rsid w:val="000D7BC8"/>
    <w:rsid w:val="000E079F"/>
    <w:rsid w:val="000E176C"/>
    <w:rsid w:val="000E29A3"/>
    <w:rsid w:val="000F15E3"/>
    <w:rsid w:val="001156C1"/>
    <w:rsid w:val="00116A29"/>
    <w:rsid w:val="00122480"/>
    <w:rsid w:val="00122704"/>
    <w:rsid w:val="00125B5E"/>
    <w:rsid w:val="00135544"/>
    <w:rsid w:val="001358C6"/>
    <w:rsid w:val="00136859"/>
    <w:rsid w:val="00141B09"/>
    <w:rsid w:val="00150568"/>
    <w:rsid w:val="0015060A"/>
    <w:rsid w:val="001566F9"/>
    <w:rsid w:val="00162E4D"/>
    <w:rsid w:val="00191777"/>
    <w:rsid w:val="001A6CAB"/>
    <w:rsid w:val="001B34C8"/>
    <w:rsid w:val="001B635B"/>
    <w:rsid w:val="001D531E"/>
    <w:rsid w:val="001F1D88"/>
    <w:rsid w:val="0020026E"/>
    <w:rsid w:val="0020521C"/>
    <w:rsid w:val="00224BA1"/>
    <w:rsid w:val="0024598F"/>
    <w:rsid w:val="00245ECB"/>
    <w:rsid w:val="00246D5A"/>
    <w:rsid w:val="0025769B"/>
    <w:rsid w:val="002719E8"/>
    <w:rsid w:val="00272A69"/>
    <w:rsid w:val="00277A6E"/>
    <w:rsid w:val="00286574"/>
    <w:rsid w:val="00290B4B"/>
    <w:rsid w:val="002B1C87"/>
    <w:rsid w:val="002B46BC"/>
    <w:rsid w:val="002B5770"/>
    <w:rsid w:val="002B61E0"/>
    <w:rsid w:val="002B62F3"/>
    <w:rsid w:val="002C0A64"/>
    <w:rsid w:val="002C1B7A"/>
    <w:rsid w:val="002E4AD2"/>
    <w:rsid w:val="002E6127"/>
    <w:rsid w:val="002E689D"/>
    <w:rsid w:val="002E7959"/>
    <w:rsid w:val="002F0B2F"/>
    <w:rsid w:val="002F6C00"/>
    <w:rsid w:val="0030033B"/>
    <w:rsid w:val="0031059D"/>
    <w:rsid w:val="00317ED4"/>
    <w:rsid w:val="0032553B"/>
    <w:rsid w:val="00325FB5"/>
    <w:rsid w:val="00330A08"/>
    <w:rsid w:val="003316F5"/>
    <w:rsid w:val="00345687"/>
    <w:rsid w:val="0035663B"/>
    <w:rsid w:val="00361E89"/>
    <w:rsid w:val="00365146"/>
    <w:rsid w:val="00371854"/>
    <w:rsid w:val="0037331C"/>
    <w:rsid w:val="00387C19"/>
    <w:rsid w:val="00392C07"/>
    <w:rsid w:val="003B0BB4"/>
    <w:rsid w:val="003C15B1"/>
    <w:rsid w:val="003E2A4F"/>
    <w:rsid w:val="003F39A0"/>
    <w:rsid w:val="004020CD"/>
    <w:rsid w:val="00407AC6"/>
    <w:rsid w:val="00414414"/>
    <w:rsid w:val="0041575C"/>
    <w:rsid w:val="004257A9"/>
    <w:rsid w:val="00457AF6"/>
    <w:rsid w:val="004601A8"/>
    <w:rsid w:val="004756E2"/>
    <w:rsid w:val="00484A50"/>
    <w:rsid w:val="0049347A"/>
    <w:rsid w:val="004935FB"/>
    <w:rsid w:val="00497F18"/>
    <w:rsid w:val="004A41B2"/>
    <w:rsid w:val="004A753B"/>
    <w:rsid w:val="004A7E95"/>
    <w:rsid w:val="004B3140"/>
    <w:rsid w:val="004B421D"/>
    <w:rsid w:val="004B524B"/>
    <w:rsid w:val="004C008C"/>
    <w:rsid w:val="004C41E7"/>
    <w:rsid w:val="004D0D1A"/>
    <w:rsid w:val="004D1735"/>
    <w:rsid w:val="004F0999"/>
    <w:rsid w:val="004F3097"/>
    <w:rsid w:val="004F3CFE"/>
    <w:rsid w:val="00506621"/>
    <w:rsid w:val="00534AFF"/>
    <w:rsid w:val="00540A95"/>
    <w:rsid w:val="00557A2C"/>
    <w:rsid w:val="00564704"/>
    <w:rsid w:val="005656B9"/>
    <w:rsid w:val="00572420"/>
    <w:rsid w:val="00576BBE"/>
    <w:rsid w:val="005806DB"/>
    <w:rsid w:val="00582CE0"/>
    <w:rsid w:val="005839F8"/>
    <w:rsid w:val="00584E61"/>
    <w:rsid w:val="00590BCA"/>
    <w:rsid w:val="005A3A68"/>
    <w:rsid w:val="005A4C62"/>
    <w:rsid w:val="005B7B54"/>
    <w:rsid w:val="005C3C51"/>
    <w:rsid w:val="005F4091"/>
    <w:rsid w:val="005F40CB"/>
    <w:rsid w:val="005F4649"/>
    <w:rsid w:val="00605A1F"/>
    <w:rsid w:val="00606D6A"/>
    <w:rsid w:val="00612403"/>
    <w:rsid w:val="00617AD7"/>
    <w:rsid w:val="00626D6C"/>
    <w:rsid w:val="00631E28"/>
    <w:rsid w:val="00637B62"/>
    <w:rsid w:val="006409C2"/>
    <w:rsid w:val="006422E0"/>
    <w:rsid w:val="0064670E"/>
    <w:rsid w:val="00655F73"/>
    <w:rsid w:val="00675431"/>
    <w:rsid w:val="00690F6E"/>
    <w:rsid w:val="006B7A1A"/>
    <w:rsid w:val="006C05BB"/>
    <w:rsid w:val="006D1997"/>
    <w:rsid w:val="006D5A16"/>
    <w:rsid w:val="006D7045"/>
    <w:rsid w:val="006E360C"/>
    <w:rsid w:val="006E516D"/>
    <w:rsid w:val="006F4D06"/>
    <w:rsid w:val="00701278"/>
    <w:rsid w:val="007154C1"/>
    <w:rsid w:val="00720DEC"/>
    <w:rsid w:val="00722B2E"/>
    <w:rsid w:val="0073163F"/>
    <w:rsid w:val="00733322"/>
    <w:rsid w:val="00733AD4"/>
    <w:rsid w:val="00740B48"/>
    <w:rsid w:val="00745428"/>
    <w:rsid w:val="007502DE"/>
    <w:rsid w:val="007532F6"/>
    <w:rsid w:val="00764099"/>
    <w:rsid w:val="007941C9"/>
    <w:rsid w:val="00796CC5"/>
    <w:rsid w:val="007A3143"/>
    <w:rsid w:val="007A4CD9"/>
    <w:rsid w:val="007B2DF3"/>
    <w:rsid w:val="007E4054"/>
    <w:rsid w:val="007E5489"/>
    <w:rsid w:val="007F2AA6"/>
    <w:rsid w:val="00833780"/>
    <w:rsid w:val="00841DEF"/>
    <w:rsid w:val="0084238E"/>
    <w:rsid w:val="008470A8"/>
    <w:rsid w:val="00861DF3"/>
    <w:rsid w:val="00872EE4"/>
    <w:rsid w:val="00872EFC"/>
    <w:rsid w:val="00892675"/>
    <w:rsid w:val="0089623A"/>
    <w:rsid w:val="0089780D"/>
    <w:rsid w:val="008B22D3"/>
    <w:rsid w:val="008B3541"/>
    <w:rsid w:val="008C0A01"/>
    <w:rsid w:val="008C19E2"/>
    <w:rsid w:val="008D3265"/>
    <w:rsid w:val="008D5557"/>
    <w:rsid w:val="008D590D"/>
    <w:rsid w:val="008E07D5"/>
    <w:rsid w:val="00925934"/>
    <w:rsid w:val="00940171"/>
    <w:rsid w:val="00973D25"/>
    <w:rsid w:val="0097473A"/>
    <w:rsid w:val="00977A27"/>
    <w:rsid w:val="009803E8"/>
    <w:rsid w:val="009A0AD2"/>
    <w:rsid w:val="009A5068"/>
    <w:rsid w:val="009C283E"/>
    <w:rsid w:val="009E1484"/>
    <w:rsid w:val="009E6F78"/>
    <w:rsid w:val="00A01921"/>
    <w:rsid w:val="00A0354F"/>
    <w:rsid w:val="00A31D5D"/>
    <w:rsid w:val="00A37359"/>
    <w:rsid w:val="00A41D56"/>
    <w:rsid w:val="00A47FBA"/>
    <w:rsid w:val="00A51B3E"/>
    <w:rsid w:val="00A67131"/>
    <w:rsid w:val="00A72A9C"/>
    <w:rsid w:val="00A72F9E"/>
    <w:rsid w:val="00A80118"/>
    <w:rsid w:val="00A84915"/>
    <w:rsid w:val="00A92925"/>
    <w:rsid w:val="00A92F75"/>
    <w:rsid w:val="00A958D9"/>
    <w:rsid w:val="00AB5E6F"/>
    <w:rsid w:val="00AB75B1"/>
    <w:rsid w:val="00AC76BE"/>
    <w:rsid w:val="00AC7B7D"/>
    <w:rsid w:val="00AD29B7"/>
    <w:rsid w:val="00AD5E13"/>
    <w:rsid w:val="00AD6DAE"/>
    <w:rsid w:val="00AD7780"/>
    <w:rsid w:val="00AE24B2"/>
    <w:rsid w:val="00AF4B6F"/>
    <w:rsid w:val="00AF7AB7"/>
    <w:rsid w:val="00B01730"/>
    <w:rsid w:val="00B13EAB"/>
    <w:rsid w:val="00B24F24"/>
    <w:rsid w:val="00B3255C"/>
    <w:rsid w:val="00B374AE"/>
    <w:rsid w:val="00B37DCD"/>
    <w:rsid w:val="00B4275F"/>
    <w:rsid w:val="00B74DEB"/>
    <w:rsid w:val="00B7719E"/>
    <w:rsid w:val="00BA0E92"/>
    <w:rsid w:val="00BB3A4B"/>
    <w:rsid w:val="00BD6FAB"/>
    <w:rsid w:val="00BF1576"/>
    <w:rsid w:val="00BF31CB"/>
    <w:rsid w:val="00BF62F5"/>
    <w:rsid w:val="00C03528"/>
    <w:rsid w:val="00C12CB5"/>
    <w:rsid w:val="00C15CEC"/>
    <w:rsid w:val="00C32FA5"/>
    <w:rsid w:val="00C339EE"/>
    <w:rsid w:val="00C352A4"/>
    <w:rsid w:val="00C526C0"/>
    <w:rsid w:val="00C52C90"/>
    <w:rsid w:val="00C54B65"/>
    <w:rsid w:val="00C55B08"/>
    <w:rsid w:val="00C64233"/>
    <w:rsid w:val="00C6505D"/>
    <w:rsid w:val="00C704C5"/>
    <w:rsid w:val="00C8460F"/>
    <w:rsid w:val="00C8596A"/>
    <w:rsid w:val="00C86EB3"/>
    <w:rsid w:val="00CA27CF"/>
    <w:rsid w:val="00CB65D0"/>
    <w:rsid w:val="00CC104D"/>
    <w:rsid w:val="00CD2C04"/>
    <w:rsid w:val="00CE113A"/>
    <w:rsid w:val="00D170E2"/>
    <w:rsid w:val="00D217B7"/>
    <w:rsid w:val="00D23EAA"/>
    <w:rsid w:val="00D32B1C"/>
    <w:rsid w:val="00D43D96"/>
    <w:rsid w:val="00D43E6F"/>
    <w:rsid w:val="00D4483E"/>
    <w:rsid w:val="00D45EB2"/>
    <w:rsid w:val="00D55638"/>
    <w:rsid w:val="00D57529"/>
    <w:rsid w:val="00D638DB"/>
    <w:rsid w:val="00D65901"/>
    <w:rsid w:val="00D759F0"/>
    <w:rsid w:val="00D85874"/>
    <w:rsid w:val="00D90ADC"/>
    <w:rsid w:val="00D951E2"/>
    <w:rsid w:val="00D97763"/>
    <w:rsid w:val="00DA6587"/>
    <w:rsid w:val="00DB6D74"/>
    <w:rsid w:val="00DC7339"/>
    <w:rsid w:val="00DD251D"/>
    <w:rsid w:val="00DE2C66"/>
    <w:rsid w:val="00DE4339"/>
    <w:rsid w:val="00E10951"/>
    <w:rsid w:val="00E242F3"/>
    <w:rsid w:val="00E327F6"/>
    <w:rsid w:val="00E401B3"/>
    <w:rsid w:val="00E43B6D"/>
    <w:rsid w:val="00E45ACA"/>
    <w:rsid w:val="00E50B70"/>
    <w:rsid w:val="00E66E9B"/>
    <w:rsid w:val="00E70A85"/>
    <w:rsid w:val="00E725CF"/>
    <w:rsid w:val="00E73679"/>
    <w:rsid w:val="00EA19E9"/>
    <w:rsid w:val="00EA2AA8"/>
    <w:rsid w:val="00EA59A1"/>
    <w:rsid w:val="00EC0510"/>
    <w:rsid w:val="00EC43C2"/>
    <w:rsid w:val="00EE4DDB"/>
    <w:rsid w:val="00EF6990"/>
    <w:rsid w:val="00EF7F79"/>
    <w:rsid w:val="00F06568"/>
    <w:rsid w:val="00F20303"/>
    <w:rsid w:val="00F304C1"/>
    <w:rsid w:val="00F32966"/>
    <w:rsid w:val="00F36201"/>
    <w:rsid w:val="00F4786D"/>
    <w:rsid w:val="00F679B6"/>
    <w:rsid w:val="00F7427D"/>
    <w:rsid w:val="00F92332"/>
    <w:rsid w:val="00F9372D"/>
    <w:rsid w:val="00FA454E"/>
    <w:rsid w:val="00FB7594"/>
    <w:rsid w:val="00FE1FF4"/>
    <w:rsid w:val="00FE784D"/>
    <w:rsid w:val="00FF7ED2"/>
    <w:rsid w:val="1FD31DC3"/>
    <w:rsid w:val="2635403B"/>
    <w:rsid w:val="3E265801"/>
    <w:rsid w:val="4E154828"/>
    <w:rsid w:val="5475359D"/>
    <w:rsid w:val="60353DFA"/>
    <w:rsid w:val="62B250FC"/>
    <w:rsid w:val="64C02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C4CF0F"/>
  <w15:docId w15:val="{2BCDD3D1-09B9-438B-B3E9-CC88E80A7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rPr>
      <w:rFonts w:ascii="Times New Roman" w:hAnsi="Times New Roman" w:cs="Times New Roman"/>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rPr>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EndNoteBibliography">
    <w:name w:val="EndNote Bibliography"/>
    <w:basedOn w:val="Normal"/>
    <w:link w:val="EndNoteBibliographyChar"/>
    <w:pPr>
      <w:spacing w:after="200" w:line="240" w:lineRule="auto"/>
      <w:jc w:val="both"/>
    </w:pPr>
    <w:rPr>
      <w:rFonts w:ascii="Calibri" w:eastAsiaTheme="minorEastAsia" w:hAnsi="Calibri" w:cs="Calibri"/>
      <w:kern w:val="0"/>
      <w:sz w:val="22"/>
      <w:szCs w:val="22"/>
      <w14:ligatures w14:val="none"/>
    </w:rPr>
  </w:style>
  <w:style w:type="character" w:customStyle="1" w:styleId="EndNoteBibliographyChar">
    <w:name w:val="EndNote Bibliography Char"/>
    <w:basedOn w:val="DefaultParagraphFont"/>
    <w:link w:val="EndNoteBibliography"/>
    <w:rPr>
      <w:rFonts w:ascii="Calibri" w:eastAsiaTheme="minorEastAsia" w:hAnsi="Calibri" w:cs="Calibri"/>
      <w:kern w:val="0"/>
      <w:sz w:val="22"/>
      <w:szCs w:val="22"/>
      <w14:ligatures w14:val="none"/>
    </w:rPr>
  </w:style>
  <w:style w:type="character" w:customStyle="1" w:styleId="ref-title">
    <w:name w:val="ref-title"/>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Revision1">
    <w:name w:val="Revision1"/>
    <w:hidden/>
    <w:uiPriority w:val="99"/>
    <w:semiHidden/>
    <w:rPr>
      <w:kern w:val="2"/>
      <w:sz w:val="24"/>
      <w:szCs w:val="24"/>
      <w14:ligatures w14:val="standardContextual"/>
    </w:rPr>
  </w:style>
  <w:style w:type="character" w:customStyle="1" w:styleId="CommentTextChar">
    <w:name w:val="Comment Text Char"/>
    <w:basedOn w:val="DefaultParagraphFont"/>
    <w:link w:val="CommentText"/>
    <w:uiPriority w:val="99"/>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unhideWhenUsed/>
    <w:rsid w:val="000016D2"/>
    <w:rPr>
      <w:kern w:val="2"/>
      <w:sz w:val="24"/>
      <w:szCs w:val="24"/>
      <w14:ligatures w14:val="standardContextual"/>
    </w:rPr>
  </w:style>
  <w:style w:type="paragraph" w:styleId="Header">
    <w:name w:val="header"/>
    <w:basedOn w:val="Normal"/>
    <w:link w:val="HeaderChar"/>
    <w:uiPriority w:val="99"/>
    <w:unhideWhenUsed/>
    <w:rsid w:val="00457A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AF6"/>
    <w:rPr>
      <w:kern w:val="2"/>
      <w:sz w:val="24"/>
      <w:szCs w:val="24"/>
      <w14:ligatures w14:val="standardContextual"/>
    </w:rPr>
  </w:style>
  <w:style w:type="paragraph" w:styleId="Footer">
    <w:name w:val="footer"/>
    <w:basedOn w:val="Normal"/>
    <w:link w:val="FooterChar"/>
    <w:uiPriority w:val="99"/>
    <w:unhideWhenUsed/>
    <w:rsid w:val="00457A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AF6"/>
    <w:rPr>
      <w:kern w:val="2"/>
      <w:sz w:val="24"/>
      <w:szCs w:val="24"/>
      <w14:ligatures w14:val="standardContextual"/>
    </w:rPr>
  </w:style>
  <w:style w:type="character" w:styleId="LineNumber">
    <w:name w:val="line number"/>
    <w:basedOn w:val="DefaultParagraphFont"/>
    <w:uiPriority w:val="99"/>
    <w:semiHidden/>
    <w:unhideWhenUsed/>
    <w:rsid w:val="004B524B"/>
  </w:style>
  <w:style w:type="character" w:styleId="UnresolvedMention">
    <w:name w:val="Unresolved Mention"/>
    <w:basedOn w:val="DefaultParagraphFont"/>
    <w:uiPriority w:val="99"/>
    <w:semiHidden/>
    <w:unhideWhenUsed/>
    <w:rsid w:val="0073163F"/>
    <w:rPr>
      <w:color w:val="605E5C"/>
      <w:shd w:val="clear" w:color="auto" w:fill="E1DFDD"/>
    </w:rPr>
  </w:style>
  <w:style w:type="paragraph" w:customStyle="1" w:styleId="Dheeru">
    <w:name w:val="Dheeru"/>
    <w:basedOn w:val="Normal"/>
    <w:link w:val="DheeruChar"/>
    <w:qFormat/>
    <w:rsid w:val="00E43B6D"/>
    <w:pPr>
      <w:spacing w:line="259" w:lineRule="auto"/>
    </w:pPr>
    <w:rPr>
      <w:rFonts w:ascii="Times New Roman" w:hAnsi="Times New Roman"/>
      <w:szCs w:val="22"/>
      <w:lang w:val="en-IN"/>
    </w:rPr>
  </w:style>
  <w:style w:type="character" w:customStyle="1" w:styleId="DheeruChar">
    <w:name w:val="Dheeru Char"/>
    <w:basedOn w:val="DefaultParagraphFont"/>
    <w:link w:val="Dheeru"/>
    <w:rsid w:val="00E43B6D"/>
    <w:rPr>
      <w:rFonts w:ascii="Times New Roman" w:hAnsi="Times New Roman"/>
      <w:kern w:val="2"/>
      <w:sz w:val="24"/>
      <w:szCs w:val="22"/>
      <w:lang w:val="en-IN"/>
      <w14:ligatures w14:val="standardContextual"/>
    </w:rPr>
  </w:style>
  <w:style w:type="paragraph" w:customStyle="1" w:styleId="ReferHead">
    <w:name w:val="Refer Head"/>
    <w:basedOn w:val="Normal"/>
    <w:rsid w:val="00E43B6D"/>
    <w:pPr>
      <w:keepNext/>
      <w:spacing w:after="240" w:line="240" w:lineRule="auto"/>
    </w:pPr>
    <w:rPr>
      <w:rFonts w:ascii="Helvetica" w:eastAsia="Times New Roman" w:hAnsi="Helvetica" w:cs="Times New Roman"/>
      <w:b/>
      <w:caps/>
      <w:kern w:val="0"/>
      <w:sz w:val="22"/>
      <w:szCs w:val="20"/>
    </w:rPr>
  </w:style>
  <w:style w:type="paragraph" w:styleId="BalloonText">
    <w:name w:val="Balloon Text"/>
    <w:basedOn w:val="Normal"/>
    <w:link w:val="BalloonTextChar"/>
    <w:uiPriority w:val="99"/>
    <w:semiHidden/>
    <w:unhideWhenUsed/>
    <w:rsid w:val="00FF7E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ED2"/>
    <w:rPr>
      <w:rFonts w:ascii="Segoe UI" w:hAnsi="Segoe UI" w:cs="Segoe UI"/>
      <w:kern w:val="2"/>
      <w:sz w:val="18"/>
      <w:szCs w:val="18"/>
      <w14:ligatures w14:val="standardContextual"/>
    </w:rPr>
  </w:style>
  <w:style w:type="character" w:styleId="Emphasis">
    <w:name w:val="Emphasis"/>
    <w:basedOn w:val="DefaultParagraphFont"/>
    <w:uiPriority w:val="20"/>
    <w:qFormat/>
    <w:rsid w:val="005724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506497">
      <w:bodyDiv w:val="1"/>
      <w:marLeft w:val="0"/>
      <w:marRight w:val="0"/>
      <w:marTop w:val="0"/>
      <w:marBottom w:val="0"/>
      <w:divBdr>
        <w:top w:val="none" w:sz="0" w:space="0" w:color="auto"/>
        <w:left w:val="none" w:sz="0" w:space="0" w:color="auto"/>
        <w:bottom w:val="none" w:sz="0" w:space="0" w:color="auto"/>
        <w:right w:val="none" w:sz="0" w:space="0" w:color="auto"/>
      </w:divBdr>
    </w:div>
    <w:div w:id="711854099">
      <w:bodyDiv w:val="1"/>
      <w:marLeft w:val="0"/>
      <w:marRight w:val="0"/>
      <w:marTop w:val="0"/>
      <w:marBottom w:val="0"/>
      <w:divBdr>
        <w:top w:val="none" w:sz="0" w:space="0" w:color="auto"/>
        <w:left w:val="none" w:sz="0" w:space="0" w:color="auto"/>
        <w:bottom w:val="none" w:sz="0" w:space="0" w:color="auto"/>
        <w:right w:val="none" w:sz="0" w:space="0" w:color="auto"/>
      </w:divBdr>
    </w:div>
    <w:div w:id="1013609207">
      <w:bodyDiv w:val="1"/>
      <w:marLeft w:val="0"/>
      <w:marRight w:val="0"/>
      <w:marTop w:val="0"/>
      <w:marBottom w:val="0"/>
      <w:divBdr>
        <w:top w:val="none" w:sz="0" w:space="0" w:color="auto"/>
        <w:left w:val="none" w:sz="0" w:space="0" w:color="auto"/>
        <w:bottom w:val="none" w:sz="0" w:space="0" w:color="auto"/>
        <w:right w:val="none" w:sz="0" w:space="0" w:color="auto"/>
      </w:divBdr>
    </w:div>
    <w:div w:id="1131291354">
      <w:bodyDiv w:val="1"/>
      <w:marLeft w:val="0"/>
      <w:marRight w:val="0"/>
      <w:marTop w:val="0"/>
      <w:marBottom w:val="0"/>
      <w:divBdr>
        <w:top w:val="none" w:sz="0" w:space="0" w:color="auto"/>
        <w:left w:val="none" w:sz="0" w:space="0" w:color="auto"/>
        <w:bottom w:val="none" w:sz="0" w:space="0" w:color="auto"/>
        <w:right w:val="none" w:sz="0" w:space="0" w:color="auto"/>
      </w:divBdr>
    </w:div>
    <w:div w:id="1268583407">
      <w:bodyDiv w:val="1"/>
      <w:marLeft w:val="0"/>
      <w:marRight w:val="0"/>
      <w:marTop w:val="0"/>
      <w:marBottom w:val="0"/>
      <w:divBdr>
        <w:top w:val="none" w:sz="0" w:space="0" w:color="auto"/>
        <w:left w:val="none" w:sz="0" w:space="0" w:color="auto"/>
        <w:bottom w:val="none" w:sz="0" w:space="0" w:color="auto"/>
        <w:right w:val="none" w:sz="0" w:space="0" w:color="auto"/>
      </w:divBdr>
      <w:divsChild>
        <w:div w:id="1073355349">
          <w:marLeft w:val="0"/>
          <w:marRight w:val="0"/>
          <w:marTop w:val="0"/>
          <w:marBottom w:val="0"/>
          <w:divBdr>
            <w:top w:val="none" w:sz="0" w:space="0" w:color="auto"/>
            <w:left w:val="none" w:sz="0" w:space="0" w:color="auto"/>
            <w:bottom w:val="none" w:sz="0" w:space="0" w:color="auto"/>
            <w:right w:val="none" w:sz="0" w:space="0" w:color="auto"/>
          </w:divBdr>
          <w:divsChild>
            <w:div w:id="686560629">
              <w:marLeft w:val="0"/>
              <w:marRight w:val="0"/>
              <w:marTop w:val="0"/>
              <w:marBottom w:val="0"/>
              <w:divBdr>
                <w:top w:val="none" w:sz="0" w:space="0" w:color="auto"/>
                <w:left w:val="none" w:sz="0" w:space="0" w:color="auto"/>
                <w:bottom w:val="none" w:sz="0" w:space="0" w:color="auto"/>
                <w:right w:val="none" w:sz="0" w:space="0" w:color="auto"/>
              </w:divBdr>
              <w:divsChild>
                <w:div w:id="1959529961">
                  <w:marLeft w:val="0"/>
                  <w:marRight w:val="0"/>
                  <w:marTop w:val="0"/>
                  <w:marBottom w:val="0"/>
                  <w:divBdr>
                    <w:top w:val="none" w:sz="0" w:space="0" w:color="auto"/>
                    <w:left w:val="none" w:sz="0" w:space="0" w:color="auto"/>
                    <w:bottom w:val="none" w:sz="0" w:space="0" w:color="auto"/>
                    <w:right w:val="none" w:sz="0" w:space="0" w:color="auto"/>
                  </w:divBdr>
                  <w:divsChild>
                    <w:div w:id="1987587278">
                      <w:marLeft w:val="0"/>
                      <w:marRight w:val="0"/>
                      <w:marTop w:val="0"/>
                      <w:marBottom w:val="0"/>
                      <w:divBdr>
                        <w:top w:val="none" w:sz="0" w:space="0" w:color="auto"/>
                        <w:left w:val="none" w:sz="0" w:space="0" w:color="auto"/>
                        <w:bottom w:val="none" w:sz="0" w:space="0" w:color="auto"/>
                        <w:right w:val="none" w:sz="0" w:space="0" w:color="auto"/>
                      </w:divBdr>
                      <w:divsChild>
                        <w:div w:id="971178084">
                          <w:marLeft w:val="0"/>
                          <w:marRight w:val="0"/>
                          <w:marTop w:val="0"/>
                          <w:marBottom w:val="0"/>
                          <w:divBdr>
                            <w:top w:val="none" w:sz="0" w:space="0" w:color="auto"/>
                            <w:left w:val="none" w:sz="0" w:space="0" w:color="auto"/>
                            <w:bottom w:val="none" w:sz="0" w:space="0" w:color="auto"/>
                            <w:right w:val="none" w:sz="0" w:space="0" w:color="auto"/>
                          </w:divBdr>
                          <w:divsChild>
                            <w:div w:id="1571386347">
                              <w:marLeft w:val="0"/>
                              <w:marRight w:val="0"/>
                              <w:marTop w:val="0"/>
                              <w:marBottom w:val="0"/>
                              <w:divBdr>
                                <w:top w:val="none" w:sz="0" w:space="0" w:color="auto"/>
                                <w:left w:val="none" w:sz="0" w:space="0" w:color="auto"/>
                                <w:bottom w:val="none" w:sz="0" w:space="0" w:color="auto"/>
                                <w:right w:val="none" w:sz="0" w:space="0" w:color="auto"/>
                              </w:divBdr>
                              <w:divsChild>
                                <w:div w:id="202034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639858">
      <w:bodyDiv w:val="1"/>
      <w:marLeft w:val="0"/>
      <w:marRight w:val="0"/>
      <w:marTop w:val="0"/>
      <w:marBottom w:val="0"/>
      <w:divBdr>
        <w:top w:val="none" w:sz="0" w:space="0" w:color="auto"/>
        <w:left w:val="none" w:sz="0" w:space="0" w:color="auto"/>
        <w:bottom w:val="none" w:sz="0" w:space="0" w:color="auto"/>
        <w:right w:val="none" w:sz="0" w:space="0" w:color="auto"/>
      </w:divBdr>
    </w:div>
    <w:div w:id="2009554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3390/md2205019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doi.org/10.1007/s11274-021-03099-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47CA8-C54A-47D8-99FB-4767484C8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2477</TotalTime>
  <Pages>16</Pages>
  <Words>5273</Words>
  <Characters>30062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Chinna Rajesh</dc:creator>
  <cp:keywords/>
  <dc:description/>
  <cp:lastModifiedBy>SDI PC New 16</cp:lastModifiedBy>
  <cp:revision>40</cp:revision>
  <cp:lastPrinted>2026-03-25T05:01:00Z</cp:lastPrinted>
  <dcterms:created xsi:type="dcterms:W3CDTF">2025-08-23T06:34:00Z</dcterms:created>
  <dcterms:modified xsi:type="dcterms:W3CDTF">2026-04-16T12:00:00Z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F5203840B0244DF0B7BE4C7E99FDA8E4_12</vt:lpwstr>
  </property>
</Properties>
</file>