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2247E" w14:textId="02EA256F" w:rsidR="008D72C8" w:rsidRPr="008D72C8" w:rsidRDefault="008D72C8" w:rsidP="008D72C8">
      <w:pPr>
        <w:spacing w:line="360" w:lineRule="auto"/>
        <w:jc w:val="center"/>
        <w:rPr>
          <w:rFonts w:asciiTheme="majorBidi" w:hAnsiTheme="majorBidi" w:cstheme="majorBidi"/>
          <w:b/>
          <w:bCs/>
          <w:i/>
          <w:iCs/>
          <w:sz w:val="24"/>
          <w:szCs w:val="24"/>
        </w:rPr>
      </w:pPr>
      <w:r w:rsidRPr="008D72C8">
        <w:rPr>
          <w:rFonts w:asciiTheme="majorBidi" w:hAnsiTheme="majorBidi" w:cstheme="majorBidi"/>
          <w:b/>
          <w:bCs/>
          <w:sz w:val="24"/>
          <w:szCs w:val="24"/>
        </w:rPr>
        <w:t xml:space="preserve">Evaluation of Lethal Dose, Minimum Inhibitory Concentration and Antibacterial Properties of Herbal Extracts Against </w:t>
      </w:r>
      <w:r w:rsidRPr="008D72C8">
        <w:rPr>
          <w:rFonts w:asciiTheme="majorBidi" w:hAnsiTheme="majorBidi" w:cstheme="majorBidi"/>
          <w:b/>
          <w:bCs/>
          <w:i/>
          <w:iCs/>
          <w:sz w:val="24"/>
          <w:szCs w:val="24"/>
        </w:rPr>
        <w:t xml:space="preserve">Aeromonas </w:t>
      </w:r>
      <w:proofErr w:type="spellStart"/>
      <w:r w:rsidRPr="008D72C8">
        <w:rPr>
          <w:rFonts w:asciiTheme="majorBidi" w:hAnsiTheme="majorBidi" w:cstheme="majorBidi"/>
          <w:b/>
          <w:bCs/>
          <w:i/>
          <w:iCs/>
          <w:sz w:val="24"/>
          <w:szCs w:val="24"/>
        </w:rPr>
        <w:t>hydrophila</w:t>
      </w:r>
      <w:proofErr w:type="spellEnd"/>
    </w:p>
    <w:p w14:paraId="76AB2E5F" w14:textId="691E990B" w:rsidR="00BD0172" w:rsidRDefault="00BD0172" w:rsidP="00BD0172">
      <w:pPr>
        <w:spacing w:line="360" w:lineRule="auto"/>
        <w:rPr>
          <w:rFonts w:asciiTheme="majorBidi" w:hAnsiTheme="majorBidi" w:cstheme="majorBidi"/>
          <w:b/>
          <w:bCs/>
          <w:sz w:val="24"/>
          <w:szCs w:val="24"/>
        </w:rPr>
      </w:pPr>
      <w:r w:rsidRPr="00BD0172">
        <w:rPr>
          <w:rFonts w:asciiTheme="majorBidi" w:hAnsiTheme="majorBidi" w:cstheme="majorBidi"/>
          <w:b/>
          <w:bCs/>
          <w:sz w:val="24"/>
          <w:szCs w:val="24"/>
        </w:rPr>
        <w:t>Abstract</w:t>
      </w:r>
    </w:p>
    <w:p w14:paraId="762B37AF" w14:textId="77777777" w:rsidR="00E71FE6" w:rsidRDefault="00CF5AC2" w:rsidP="00E71FE6">
      <w:pPr>
        <w:spacing w:line="360" w:lineRule="auto"/>
        <w:ind w:firstLine="720"/>
        <w:jc w:val="both"/>
        <w:rPr>
          <w:rFonts w:asciiTheme="majorBidi" w:hAnsiTheme="majorBidi" w:cstheme="majorBidi"/>
          <w:sz w:val="24"/>
          <w:szCs w:val="24"/>
        </w:rPr>
      </w:pPr>
      <w:r w:rsidRPr="00043AC7">
        <w:rPr>
          <w:rFonts w:asciiTheme="majorBidi" w:hAnsiTheme="majorBidi" w:cstheme="majorBidi"/>
          <w:i/>
          <w:iCs/>
          <w:sz w:val="24"/>
          <w:szCs w:val="24"/>
        </w:rPr>
        <w:t xml:space="preserve">Aeromonas </w:t>
      </w:r>
      <w:proofErr w:type="spellStart"/>
      <w:r w:rsidRPr="00043AC7">
        <w:rPr>
          <w:rFonts w:asciiTheme="majorBidi" w:hAnsiTheme="majorBidi" w:cstheme="majorBidi"/>
          <w:i/>
          <w:iCs/>
          <w:sz w:val="24"/>
          <w:szCs w:val="24"/>
        </w:rPr>
        <w:t>hydrophila</w:t>
      </w:r>
      <w:proofErr w:type="spellEnd"/>
      <w:r w:rsidRPr="00043AC7">
        <w:rPr>
          <w:rFonts w:asciiTheme="majorBidi" w:hAnsiTheme="majorBidi" w:cstheme="majorBidi"/>
          <w:sz w:val="24"/>
          <w:szCs w:val="24"/>
        </w:rPr>
        <w:t xml:space="preserve"> is a major bacterial pathogen that causes significant economic losses in freshwater aquaculture, highlighting the need for alternatives to conventional antibiotics.</w:t>
      </w:r>
      <w:r w:rsidR="00043AC7" w:rsidRPr="00043AC7">
        <w:rPr>
          <w:rFonts w:asciiTheme="majorBidi" w:hAnsiTheme="majorBidi" w:cstheme="majorBidi"/>
          <w:sz w:val="24"/>
          <w:szCs w:val="24"/>
        </w:rPr>
        <w:t xml:space="preserve"> </w:t>
      </w:r>
      <w:r w:rsidRPr="00043AC7">
        <w:rPr>
          <w:rFonts w:asciiTheme="majorBidi" w:hAnsiTheme="majorBidi" w:cstheme="majorBidi"/>
          <w:sz w:val="24"/>
          <w:szCs w:val="24"/>
        </w:rPr>
        <w:t>This study evaluated the antibacterial activity of neem (</w:t>
      </w:r>
      <w:proofErr w:type="spellStart"/>
      <w:r w:rsidRPr="00043AC7">
        <w:rPr>
          <w:rFonts w:asciiTheme="majorBidi" w:hAnsiTheme="majorBidi" w:cstheme="majorBidi"/>
          <w:i/>
          <w:iCs/>
          <w:sz w:val="24"/>
          <w:szCs w:val="24"/>
        </w:rPr>
        <w:t>Azadirachta</w:t>
      </w:r>
      <w:proofErr w:type="spellEnd"/>
      <w:r w:rsidRPr="00043AC7">
        <w:rPr>
          <w:rFonts w:asciiTheme="majorBidi" w:hAnsiTheme="majorBidi" w:cstheme="majorBidi"/>
          <w:i/>
          <w:iCs/>
          <w:sz w:val="24"/>
          <w:szCs w:val="24"/>
        </w:rPr>
        <w:t xml:space="preserve"> </w:t>
      </w:r>
      <w:proofErr w:type="spellStart"/>
      <w:r w:rsidRPr="00043AC7">
        <w:rPr>
          <w:rFonts w:asciiTheme="majorBidi" w:hAnsiTheme="majorBidi" w:cstheme="majorBidi"/>
          <w:i/>
          <w:iCs/>
          <w:sz w:val="24"/>
          <w:szCs w:val="24"/>
        </w:rPr>
        <w:t>indica</w:t>
      </w:r>
      <w:proofErr w:type="spellEnd"/>
      <w:r w:rsidRPr="00043AC7">
        <w:rPr>
          <w:rFonts w:asciiTheme="majorBidi" w:hAnsiTheme="majorBidi" w:cstheme="majorBidi"/>
          <w:sz w:val="24"/>
          <w:szCs w:val="24"/>
        </w:rPr>
        <w:t xml:space="preserve">), </w:t>
      </w:r>
      <w:proofErr w:type="spellStart"/>
      <w:r w:rsidRPr="00043AC7">
        <w:rPr>
          <w:rFonts w:asciiTheme="majorBidi" w:hAnsiTheme="majorBidi" w:cstheme="majorBidi"/>
          <w:sz w:val="24"/>
          <w:szCs w:val="24"/>
        </w:rPr>
        <w:t>tulsi</w:t>
      </w:r>
      <w:proofErr w:type="spellEnd"/>
      <w:r w:rsidRPr="00043AC7">
        <w:rPr>
          <w:rFonts w:asciiTheme="majorBidi" w:hAnsiTheme="majorBidi" w:cstheme="majorBidi"/>
          <w:sz w:val="24"/>
          <w:szCs w:val="24"/>
        </w:rPr>
        <w:t xml:space="preserve"> (</w:t>
      </w:r>
      <w:proofErr w:type="spellStart"/>
      <w:r w:rsidRPr="00043AC7">
        <w:rPr>
          <w:rFonts w:asciiTheme="majorBidi" w:hAnsiTheme="majorBidi" w:cstheme="majorBidi"/>
          <w:i/>
          <w:iCs/>
          <w:sz w:val="24"/>
          <w:szCs w:val="24"/>
        </w:rPr>
        <w:t>Ocimum</w:t>
      </w:r>
      <w:proofErr w:type="spellEnd"/>
      <w:r w:rsidRPr="00043AC7">
        <w:rPr>
          <w:rFonts w:asciiTheme="majorBidi" w:hAnsiTheme="majorBidi" w:cstheme="majorBidi"/>
          <w:i/>
          <w:iCs/>
          <w:sz w:val="24"/>
          <w:szCs w:val="24"/>
        </w:rPr>
        <w:t xml:space="preserve"> sanctum</w:t>
      </w:r>
      <w:r w:rsidRPr="00043AC7">
        <w:rPr>
          <w:rFonts w:asciiTheme="majorBidi" w:hAnsiTheme="majorBidi" w:cstheme="majorBidi"/>
          <w:sz w:val="24"/>
          <w:szCs w:val="24"/>
        </w:rPr>
        <w:t xml:space="preserve">), and their combined formulations against </w:t>
      </w:r>
      <w:r w:rsidRPr="00043AC7">
        <w:rPr>
          <w:rFonts w:asciiTheme="majorBidi" w:hAnsiTheme="majorBidi" w:cstheme="majorBidi"/>
          <w:i/>
          <w:iCs/>
          <w:sz w:val="24"/>
          <w:szCs w:val="24"/>
        </w:rPr>
        <w:t xml:space="preserve">A. </w:t>
      </w:r>
      <w:proofErr w:type="spellStart"/>
      <w:r w:rsidRPr="00043AC7">
        <w:rPr>
          <w:rFonts w:asciiTheme="majorBidi" w:hAnsiTheme="majorBidi" w:cstheme="majorBidi"/>
          <w:i/>
          <w:iCs/>
          <w:sz w:val="24"/>
          <w:szCs w:val="24"/>
        </w:rPr>
        <w:t>hydrophila</w:t>
      </w:r>
      <w:proofErr w:type="spellEnd"/>
      <w:r w:rsidRPr="00043AC7">
        <w:rPr>
          <w:rFonts w:asciiTheme="majorBidi" w:hAnsiTheme="majorBidi" w:cstheme="majorBidi"/>
          <w:sz w:val="24"/>
          <w:szCs w:val="24"/>
        </w:rPr>
        <w:t xml:space="preserve"> using agar well diffusion and resazurin-based broth microdilution assays with aqueous and ethanolic extracts, as well as an in vivo assessment of pathogen virulence in common carp (</w:t>
      </w:r>
      <w:r w:rsidRPr="00043AC7">
        <w:rPr>
          <w:rFonts w:asciiTheme="majorBidi" w:hAnsiTheme="majorBidi" w:cstheme="majorBidi"/>
          <w:i/>
          <w:iCs/>
          <w:sz w:val="24"/>
          <w:szCs w:val="24"/>
        </w:rPr>
        <w:t>Cyprinus carpio</w:t>
      </w:r>
      <w:r w:rsidRPr="00043AC7">
        <w:rPr>
          <w:rFonts w:asciiTheme="majorBidi" w:hAnsiTheme="majorBidi" w:cstheme="majorBidi"/>
          <w:sz w:val="24"/>
          <w:szCs w:val="24"/>
        </w:rPr>
        <w:t>).</w:t>
      </w:r>
      <w:r w:rsidR="00043AC7" w:rsidRPr="00043AC7">
        <w:rPr>
          <w:rFonts w:asciiTheme="majorBidi" w:hAnsiTheme="majorBidi" w:cstheme="majorBidi"/>
          <w:sz w:val="24"/>
          <w:szCs w:val="24"/>
        </w:rPr>
        <w:t xml:space="preserve"> All herbal preparations exhibited inhibitory activity, with the combined 5% neem + 5% </w:t>
      </w:r>
      <w:proofErr w:type="spellStart"/>
      <w:r w:rsidR="00043AC7" w:rsidRPr="00043AC7">
        <w:rPr>
          <w:rFonts w:asciiTheme="majorBidi" w:hAnsiTheme="majorBidi" w:cstheme="majorBidi"/>
          <w:sz w:val="24"/>
          <w:szCs w:val="24"/>
        </w:rPr>
        <w:t>tulsi</w:t>
      </w:r>
      <w:proofErr w:type="spellEnd"/>
      <w:r w:rsidR="00043AC7" w:rsidRPr="00043AC7">
        <w:rPr>
          <w:rFonts w:asciiTheme="majorBidi" w:hAnsiTheme="majorBidi" w:cstheme="majorBidi"/>
          <w:sz w:val="24"/>
          <w:szCs w:val="24"/>
        </w:rPr>
        <w:t xml:space="preserve"> aqueous extract producing the largest inhibition zone (14.3 ± 0.3 mm), while the corresponding ethanolic formulation showed significantly greater activity (20.6 ± 0.3 mm), although remaining less potent than oxytetracycline. Minimum inhibitory concentration analysis revealed substantially lower MIC values for ethanolic extracts (0.0391% for neem, 0.0195% for </w:t>
      </w:r>
      <w:proofErr w:type="spellStart"/>
      <w:r w:rsidR="00043AC7" w:rsidRPr="00043AC7">
        <w:rPr>
          <w:rFonts w:asciiTheme="majorBidi" w:hAnsiTheme="majorBidi" w:cstheme="majorBidi"/>
          <w:sz w:val="24"/>
          <w:szCs w:val="24"/>
        </w:rPr>
        <w:t>tulsi</w:t>
      </w:r>
      <w:proofErr w:type="spellEnd"/>
      <w:r w:rsidR="00043AC7" w:rsidRPr="00043AC7">
        <w:rPr>
          <w:rFonts w:asciiTheme="majorBidi" w:hAnsiTheme="majorBidi" w:cstheme="majorBidi"/>
          <w:sz w:val="24"/>
          <w:szCs w:val="24"/>
        </w:rPr>
        <w:t xml:space="preserve">, and 0.0391% for the combined formulation) compared with aqueous extracts (0.625% for individual herbs and 0.0391% for the aqueous combination), indicating enhanced efficacy of ethanol-extracted phytoconstituents and synergistic effects in combined treatments. Pathogenicity trials demonstrated a dose-dependent mortality response in common carp, with mortality reaching ~60% at 1.0 × 10⁸ </w:t>
      </w:r>
      <w:proofErr w:type="spellStart"/>
      <w:r w:rsidR="00043AC7" w:rsidRPr="00043AC7">
        <w:rPr>
          <w:rFonts w:asciiTheme="majorBidi" w:hAnsiTheme="majorBidi" w:cstheme="majorBidi"/>
          <w:sz w:val="24"/>
          <w:szCs w:val="24"/>
        </w:rPr>
        <w:t>cfu</w:t>
      </w:r>
      <w:proofErr w:type="spellEnd"/>
      <w:r w:rsidR="00043AC7" w:rsidRPr="00043AC7">
        <w:rPr>
          <w:rFonts w:asciiTheme="majorBidi" w:hAnsiTheme="majorBidi" w:cstheme="majorBidi"/>
          <w:sz w:val="24"/>
          <w:szCs w:val="24"/>
        </w:rPr>
        <w:t xml:space="preserve">/ml and declining sharply at lower doses. </w:t>
      </w:r>
      <w:r w:rsidRPr="00043AC7">
        <w:rPr>
          <w:rFonts w:asciiTheme="majorBidi" w:hAnsiTheme="majorBidi" w:cstheme="majorBidi"/>
          <w:sz w:val="24"/>
          <w:szCs w:val="24"/>
        </w:rPr>
        <w:t xml:space="preserve">The LD₅₀ was estimated to be between 1.0 × 10⁷ and 1.0 × 10⁸ </w:t>
      </w:r>
      <w:proofErr w:type="spellStart"/>
      <w:r w:rsidRPr="00043AC7">
        <w:rPr>
          <w:rFonts w:asciiTheme="majorBidi" w:hAnsiTheme="majorBidi" w:cstheme="majorBidi"/>
          <w:sz w:val="24"/>
          <w:szCs w:val="24"/>
        </w:rPr>
        <w:t>cfu</w:t>
      </w:r>
      <w:proofErr w:type="spellEnd"/>
      <w:r w:rsidRPr="00043AC7">
        <w:rPr>
          <w:rFonts w:asciiTheme="majorBidi" w:hAnsiTheme="majorBidi" w:cstheme="majorBidi"/>
          <w:sz w:val="24"/>
          <w:szCs w:val="24"/>
        </w:rPr>
        <w:t>/ml, confirming high pathogen virulence.</w:t>
      </w:r>
      <w:r w:rsidR="00043AC7" w:rsidRPr="00043AC7">
        <w:rPr>
          <w:rFonts w:asciiTheme="majorBidi" w:hAnsiTheme="majorBidi" w:cstheme="majorBidi"/>
          <w:sz w:val="24"/>
          <w:szCs w:val="24"/>
        </w:rPr>
        <w:t xml:space="preserve"> Overall, neem–</w:t>
      </w:r>
      <w:proofErr w:type="spellStart"/>
      <w:r w:rsidR="00043AC7" w:rsidRPr="00043AC7">
        <w:rPr>
          <w:rFonts w:asciiTheme="majorBidi" w:hAnsiTheme="majorBidi" w:cstheme="majorBidi"/>
          <w:sz w:val="24"/>
          <w:szCs w:val="24"/>
        </w:rPr>
        <w:t>tulsi</w:t>
      </w:r>
      <w:proofErr w:type="spellEnd"/>
      <w:r w:rsidR="00043AC7" w:rsidRPr="00043AC7">
        <w:rPr>
          <w:rFonts w:asciiTheme="majorBidi" w:hAnsiTheme="majorBidi" w:cstheme="majorBidi"/>
          <w:sz w:val="24"/>
          <w:szCs w:val="24"/>
        </w:rPr>
        <w:t xml:space="preserve"> formulations, particularly ethanolic extracts, show promise as </w:t>
      </w:r>
      <w:proofErr w:type="spellStart"/>
      <w:r w:rsidR="00043AC7" w:rsidRPr="00043AC7">
        <w:rPr>
          <w:rFonts w:asciiTheme="majorBidi" w:hAnsiTheme="majorBidi" w:cstheme="majorBidi"/>
          <w:sz w:val="24"/>
          <w:szCs w:val="24"/>
        </w:rPr>
        <w:t>phytotherapeutic</w:t>
      </w:r>
      <w:proofErr w:type="spellEnd"/>
      <w:r w:rsidR="00043AC7" w:rsidRPr="00043AC7">
        <w:rPr>
          <w:rFonts w:asciiTheme="majorBidi" w:hAnsiTheme="majorBidi" w:cstheme="majorBidi"/>
          <w:sz w:val="24"/>
          <w:szCs w:val="24"/>
        </w:rPr>
        <w:t xml:space="preserve"> agents for sustainable aquaculture disease management.</w:t>
      </w:r>
    </w:p>
    <w:p w14:paraId="4E9CF32C" w14:textId="66BCBFE9" w:rsidR="00E71FE6" w:rsidRPr="00E71FE6" w:rsidRDefault="00E71FE6" w:rsidP="00E71FE6">
      <w:pPr>
        <w:spacing w:line="360" w:lineRule="auto"/>
        <w:jc w:val="both"/>
        <w:rPr>
          <w:rFonts w:asciiTheme="majorBidi" w:hAnsiTheme="majorBidi" w:cstheme="majorBidi"/>
          <w:sz w:val="24"/>
          <w:szCs w:val="24"/>
        </w:rPr>
      </w:pPr>
      <w:proofErr w:type="gramStart"/>
      <w:r w:rsidRPr="00E71FE6">
        <w:rPr>
          <w:rFonts w:asciiTheme="majorBidi" w:hAnsiTheme="majorBidi" w:cstheme="majorBidi"/>
          <w:b/>
          <w:bCs/>
          <w:sz w:val="24"/>
          <w:szCs w:val="24"/>
        </w:rPr>
        <w:t>Keywords:-</w:t>
      </w:r>
      <w:proofErr w:type="gramEnd"/>
      <w:r w:rsidRPr="00E71FE6">
        <w:rPr>
          <w:rFonts w:asciiTheme="majorBidi" w:hAnsiTheme="majorBidi" w:cstheme="majorBidi"/>
          <w:b/>
          <w:bCs/>
          <w:sz w:val="24"/>
          <w:szCs w:val="24"/>
        </w:rPr>
        <w:t xml:space="preserve"> </w:t>
      </w:r>
      <w:r w:rsidRPr="00E71FE6">
        <w:rPr>
          <w:rFonts w:asciiTheme="majorBidi" w:hAnsiTheme="majorBidi" w:cstheme="majorBidi"/>
          <w:i/>
          <w:iCs/>
          <w:sz w:val="24"/>
          <w:szCs w:val="24"/>
        </w:rPr>
        <w:t xml:space="preserve">Aeromonas </w:t>
      </w:r>
      <w:proofErr w:type="spellStart"/>
      <w:r w:rsidRPr="00E71FE6">
        <w:rPr>
          <w:rFonts w:asciiTheme="majorBidi" w:hAnsiTheme="majorBidi" w:cstheme="majorBidi"/>
          <w:i/>
          <w:iCs/>
          <w:sz w:val="24"/>
          <w:szCs w:val="24"/>
        </w:rPr>
        <w:t>hydrophila</w:t>
      </w:r>
      <w:proofErr w:type="spellEnd"/>
      <w:r w:rsidRPr="00E71FE6">
        <w:rPr>
          <w:rFonts w:asciiTheme="majorBidi" w:hAnsiTheme="majorBidi" w:cstheme="majorBidi"/>
          <w:sz w:val="24"/>
          <w:szCs w:val="24"/>
        </w:rPr>
        <w:t xml:space="preserve"> Herbal extracts, Antibacterial activity, Sustainable aquaculture</w:t>
      </w:r>
      <w:r>
        <w:rPr>
          <w:rFonts w:asciiTheme="majorBidi" w:hAnsiTheme="majorBidi" w:cstheme="majorBidi"/>
          <w:sz w:val="24"/>
          <w:szCs w:val="24"/>
        </w:rPr>
        <w:t>.</w:t>
      </w:r>
    </w:p>
    <w:p w14:paraId="72B7DC12" w14:textId="72152559" w:rsidR="006C753A" w:rsidRPr="00237171" w:rsidRDefault="006C753A" w:rsidP="00237171">
      <w:pPr>
        <w:spacing w:line="360" w:lineRule="auto"/>
        <w:rPr>
          <w:rFonts w:asciiTheme="majorBidi" w:hAnsiTheme="majorBidi" w:cstheme="majorBidi"/>
          <w:b/>
          <w:bCs/>
          <w:sz w:val="24"/>
          <w:szCs w:val="24"/>
        </w:rPr>
      </w:pPr>
      <w:r w:rsidRPr="00237171">
        <w:rPr>
          <w:rFonts w:asciiTheme="majorBidi" w:hAnsiTheme="majorBidi" w:cstheme="majorBidi"/>
          <w:b/>
          <w:bCs/>
          <w:sz w:val="24"/>
          <w:szCs w:val="24"/>
        </w:rPr>
        <w:t>Introduction</w:t>
      </w:r>
    </w:p>
    <w:p w14:paraId="474A4E6D" w14:textId="0CEFFCA8" w:rsidR="00F74DD3" w:rsidRPr="00237171" w:rsidRDefault="00CF5AC2" w:rsidP="00237171">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The growing demand for sustainable aquaculture has intensified efforts to substitute synthetic antibiotics and chemical feed additives with safer and more environmentally sustainable alternatives. Medicinal plants have emerged as prominent candidates, with increasing evidence supporting their ability to promote fish growth, enhance immune function, and improve disease resistance, thereby reducing dependence on conventional antimicrobials.</w:t>
      </w:r>
    </w:p>
    <w:p w14:paraId="207DC073" w14:textId="724C9999" w:rsidR="00B20110" w:rsidRPr="00B20110" w:rsidRDefault="00CF5AC2" w:rsidP="00112E14">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Plant-derived therapeutics have been integral to human and veterinary health since ancient times, forming the foundation of traditional medicine and numerous modern pharmaceuticals used to treat infectious diseases in humans and livestock. Unlike synthetic pesticides and antibiotics, which are frequently associated with non-target effects, environmental persistence, residues, and the development of resistance, phytochemicals present environmentally sustainable alternatives for disease control. Over the past two decades, agricultural and botanical research has increasingly concentrated on plant-origin compounds with documented antibacterial and antifungal properties to address these limitations (</w:t>
      </w:r>
      <w:proofErr w:type="spellStart"/>
      <w:r>
        <w:rPr>
          <w:rFonts w:asciiTheme="majorBidi" w:hAnsiTheme="majorBidi" w:cstheme="majorBidi"/>
          <w:sz w:val="24"/>
          <w:szCs w:val="24"/>
        </w:rPr>
        <w:t>Egamberdieva</w:t>
      </w:r>
      <w:proofErr w:type="spellEnd"/>
      <w:r>
        <w:rPr>
          <w:rFonts w:asciiTheme="majorBidi" w:hAnsiTheme="majorBidi" w:cstheme="majorBidi"/>
          <w:sz w:val="24"/>
          <w:szCs w:val="24"/>
        </w:rPr>
        <w:t xml:space="preserve"> et al., 2017). Medicinal plants, utilized for centuries against bacterial infections, are rich in structurally diverse secondary metabolites—tannins, terpenoids, alkaloids, flavonoids, steroids, and phenolics—that demonstrate potent in vitro antibacterial activity (Chahal et al., 2016). Within aquaculture, these phytochemicals are gaining recognition as promising alternatives to conventional chemotherapeutics for enhancing fish health and immunity and supporting more sustainable disease management (Pandey et al., 2025). Concerns regarding antibiotic residues, side effects, and antimicrobial resistance have intensified the search for safe immunostimulatory agents, and multiple studies have identified plant extracts as effective fish immunostimulants (Elumalai et al., 2020). Several botanicals, including </w:t>
      </w:r>
      <w:r w:rsidRPr="003340AC">
        <w:rPr>
          <w:rFonts w:asciiTheme="majorBidi" w:hAnsiTheme="majorBidi" w:cstheme="majorBidi"/>
          <w:i/>
          <w:iCs/>
          <w:sz w:val="24"/>
          <w:szCs w:val="24"/>
        </w:rPr>
        <w:t>Allium sativum</w:t>
      </w:r>
      <w:r>
        <w:rPr>
          <w:rFonts w:asciiTheme="majorBidi" w:hAnsiTheme="majorBidi" w:cstheme="majorBidi"/>
          <w:sz w:val="24"/>
          <w:szCs w:val="24"/>
        </w:rPr>
        <w:t xml:space="preserve">, </w:t>
      </w:r>
      <w:r w:rsidRPr="003340AC">
        <w:rPr>
          <w:rFonts w:asciiTheme="majorBidi" w:hAnsiTheme="majorBidi" w:cstheme="majorBidi"/>
          <w:i/>
          <w:iCs/>
          <w:sz w:val="24"/>
          <w:szCs w:val="24"/>
        </w:rPr>
        <w:t>Curcuma longa</w:t>
      </w:r>
      <w:r>
        <w:rPr>
          <w:rFonts w:asciiTheme="majorBidi" w:hAnsiTheme="majorBidi" w:cstheme="majorBidi"/>
          <w:sz w:val="24"/>
          <w:szCs w:val="24"/>
        </w:rPr>
        <w:t xml:space="preserve">, </w:t>
      </w:r>
      <w:proofErr w:type="spellStart"/>
      <w:r w:rsidRPr="003340AC">
        <w:rPr>
          <w:rFonts w:asciiTheme="majorBidi" w:hAnsiTheme="majorBidi" w:cstheme="majorBidi"/>
          <w:i/>
          <w:iCs/>
          <w:sz w:val="24"/>
          <w:szCs w:val="24"/>
        </w:rPr>
        <w:t>Zingiber</w:t>
      </w:r>
      <w:proofErr w:type="spellEnd"/>
      <w:r w:rsidRPr="003340AC">
        <w:rPr>
          <w:rFonts w:asciiTheme="majorBidi" w:hAnsiTheme="majorBidi" w:cstheme="majorBidi"/>
          <w:i/>
          <w:iCs/>
          <w:sz w:val="24"/>
          <w:szCs w:val="24"/>
        </w:rPr>
        <w:t xml:space="preserve"> </w:t>
      </w:r>
      <w:proofErr w:type="spellStart"/>
      <w:r w:rsidRPr="003340AC">
        <w:rPr>
          <w:rFonts w:asciiTheme="majorBidi" w:hAnsiTheme="majorBidi" w:cstheme="majorBidi"/>
          <w:i/>
          <w:iCs/>
          <w:sz w:val="24"/>
          <w:szCs w:val="24"/>
        </w:rPr>
        <w:t>officinale</w:t>
      </w:r>
      <w:proofErr w:type="spellEnd"/>
      <w:r>
        <w:rPr>
          <w:rFonts w:asciiTheme="majorBidi" w:hAnsiTheme="majorBidi" w:cstheme="majorBidi"/>
          <w:sz w:val="24"/>
          <w:szCs w:val="24"/>
        </w:rPr>
        <w:t xml:space="preserve">, </w:t>
      </w:r>
      <w:proofErr w:type="spellStart"/>
      <w:r w:rsidRPr="003340AC">
        <w:rPr>
          <w:rFonts w:asciiTheme="majorBidi" w:hAnsiTheme="majorBidi" w:cstheme="majorBidi"/>
          <w:i/>
          <w:iCs/>
          <w:sz w:val="24"/>
          <w:szCs w:val="24"/>
        </w:rPr>
        <w:t>Azadirachta</w:t>
      </w:r>
      <w:proofErr w:type="spellEnd"/>
      <w:r w:rsidRPr="003340AC">
        <w:rPr>
          <w:rFonts w:asciiTheme="majorBidi" w:hAnsiTheme="majorBidi" w:cstheme="majorBidi"/>
          <w:i/>
          <w:iCs/>
          <w:sz w:val="24"/>
          <w:szCs w:val="24"/>
        </w:rPr>
        <w:t xml:space="preserve"> </w:t>
      </w:r>
      <w:proofErr w:type="spellStart"/>
      <w:r w:rsidRPr="003340AC">
        <w:rPr>
          <w:rFonts w:asciiTheme="majorBidi" w:hAnsiTheme="majorBidi" w:cstheme="majorBidi"/>
          <w:i/>
          <w:iCs/>
          <w:sz w:val="24"/>
          <w:szCs w:val="24"/>
        </w:rPr>
        <w:t>indica</w:t>
      </w:r>
      <w:proofErr w:type="spellEnd"/>
      <w:r>
        <w:rPr>
          <w:rFonts w:asciiTheme="majorBidi" w:hAnsiTheme="majorBidi" w:cstheme="majorBidi"/>
          <w:sz w:val="24"/>
          <w:szCs w:val="24"/>
        </w:rPr>
        <w:t xml:space="preserve">, </w:t>
      </w:r>
      <w:proofErr w:type="spellStart"/>
      <w:r w:rsidRPr="003340AC">
        <w:rPr>
          <w:rFonts w:asciiTheme="majorBidi" w:hAnsiTheme="majorBidi" w:cstheme="majorBidi"/>
          <w:i/>
          <w:iCs/>
          <w:sz w:val="24"/>
          <w:szCs w:val="24"/>
        </w:rPr>
        <w:t>Ocimum</w:t>
      </w:r>
      <w:proofErr w:type="spellEnd"/>
      <w:r w:rsidRPr="003340AC">
        <w:rPr>
          <w:rFonts w:asciiTheme="majorBidi" w:hAnsiTheme="majorBidi" w:cstheme="majorBidi"/>
          <w:i/>
          <w:iCs/>
          <w:sz w:val="24"/>
          <w:szCs w:val="24"/>
        </w:rPr>
        <w:t xml:space="preserve"> sanctum</w:t>
      </w:r>
      <w:r>
        <w:rPr>
          <w:rFonts w:asciiTheme="majorBidi" w:hAnsiTheme="majorBidi" w:cstheme="majorBidi"/>
          <w:sz w:val="24"/>
          <w:szCs w:val="24"/>
        </w:rPr>
        <w:t xml:space="preserve">, and </w:t>
      </w:r>
      <w:r w:rsidRPr="003340AC">
        <w:rPr>
          <w:rFonts w:asciiTheme="majorBidi" w:hAnsiTheme="majorBidi" w:cstheme="majorBidi"/>
          <w:i/>
          <w:iCs/>
          <w:sz w:val="24"/>
          <w:szCs w:val="24"/>
        </w:rPr>
        <w:t>Moringa oleifera</w:t>
      </w:r>
      <w:r>
        <w:rPr>
          <w:rFonts w:asciiTheme="majorBidi" w:hAnsiTheme="majorBidi" w:cstheme="majorBidi"/>
          <w:sz w:val="24"/>
          <w:szCs w:val="24"/>
        </w:rPr>
        <w:t>, have been shown to improve disease resistance, stimulate digestive enzyme activity, and enhance growth performance through improved nutrient utilization and feed conversion, while simultaneously exhibiting notable antibacterial activity against significant fish pathogens (Sumana et al., 2025).</w:t>
      </w:r>
    </w:p>
    <w:p w14:paraId="134CBAB8" w14:textId="1FE9F160" w:rsidR="00B20110" w:rsidRPr="00B20110" w:rsidRDefault="00E518BE" w:rsidP="00E518BE">
      <w:pPr>
        <w:spacing w:line="360" w:lineRule="auto"/>
        <w:ind w:firstLine="720"/>
        <w:jc w:val="both"/>
        <w:rPr>
          <w:rFonts w:asciiTheme="majorBidi" w:hAnsiTheme="majorBidi" w:cstheme="majorBidi"/>
          <w:sz w:val="24"/>
          <w:szCs w:val="24"/>
        </w:rPr>
      </w:pPr>
      <w:r w:rsidRPr="00E518BE">
        <w:rPr>
          <w:rFonts w:asciiTheme="majorBidi" w:hAnsiTheme="majorBidi" w:cstheme="majorBidi"/>
          <w:i/>
          <w:iCs/>
          <w:sz w:val="24"/>
          <w:szCs w:val="24"/>
        </w:rPr>
        <w:t xml:space="preserve">Aeromonas </w:t>
      </w:r>
      <w:proofErr w:type="spellStart"/>
      <w:r w:rsidRPr="00E518BE">
        <w:rPr>
          <w:rFonts w:asciiTheme="majorBidi" w:hAnsiTheme="majorBidi" w:cstheme="majorBidi"/>
          <w:i/>
          <w:iCs/>
          <w:sz w:val="24"/>
          <w:szCs w:val="24"/>
        </w:rPr>
        <w:t>hydrophila</w:t>
      </w:r>
      <w:proofErr w:type="spellEnd"/>
      <w:r w:rsidRPr="00E518BE">
        <w:rPr>
          <w:rFonts w:asciiTheme="majorBidi" w:hAnsiTheme="majorBidi" w:cstheme="majorBidi"/>
          <w:i/>
          <w:iCs/>
          <w:sz w:val="24"/>
          <w:szCs w:val="24"/>
        </w:rPr>
        <w:t xml:space="preserve"> </w:t>
      </w:r>
      <w:r w:rsidRPr="00E518BE">
        <w:rPr>
          <w:rFonts w:asciiTheme="majorBidi" w:hAnsiTheme="majorBidi" w:cstheme="majorBidi"/>
          <w:sz w:val="24"/>
          <w:szCs w:val="24"/>
        </w:rPr>
        <w:t xml:space="preserve">is a major bacterial pathogen responsible for significant economic losses in freshwater aquaculture, underscoring the urgent need for alternatives to conventional antibiotics. This gram-negative, facultative anaerobic opportunistic bacterium is widely distributed in freshwater environments and is a primary causative agent of motile Aeromonas </w:t>
      </w:r>
      <w:proofErr w:type="spellStart"/>
      <w:r w:rsidRPr="00E518BE">
        <w:rPr>
          <w:rFonts w:asciiTheme="majorBidi" w:hAnsiTheme="majorBidi" w:cstheme="majorBidi"/>
          <w:sz w:val="24"/>
          <w:szCs w:val="24"/>
        </w:rPr>
        <w:t>septicemia</w:t>
      </w:r>
      <w:proofErr w:type="spellEnd"/>
      <w:r w:rsidRPr="00E518BE">
        <w:rPr>
          <w:rFonts w:asciiTheme="majorBidi" w:hAnsiTheme="majorBidi" w:cstheme="majorBidi"/>
          <w:sz w:val="24"/>
          <w:szCs w:val="24"/>
        </w:rPr>
        <w:t xml:space="preserve">, </w:t>
      </w:r>
      <w:proofErr w:type="spellStart"/>
      <w:r w:rsidRPr="00E518BE">
        <w:rPr>
          <w:rFonts w:asciiTheme="majorBidi" w:hAnsiTheme="majorBidi" w:cstheme="majorBidi"/>
          <w:sz w:val="24"/>
          <w:szCs w:val="24"/>
        </w:rPr>
        <w:t>hemorrhagic</w:t>
      </w:r>
      <w:proofErr w:type="spellEnd"/>
      <w:r w:rsidRPr="00E518BE">
        <w:rPr>
          <w:rFonts w:asciiTheme="majorBidi" w:hAnsiTheme="majorBidi" w:cstheme="majorBidi"/>
          <w:sz w:val="24"/>
          <w:szCs w:val="24"/>
        </w:rPr>
        <w:t xml:space="preserve"> </w:t>
      </w:r>
      <w:proofErr w:type="spellStart"/>
      <w:r w:rsidRPr="00E518BE">
        <w:rPr>
          <w:rFonts w:asciiTheme="majorBidi" w:hAnsiTheme="majorBidi" w:cstheme="majorBidi"/>
          <w:sz w:val="24"/>
          <w:szCs w:val="24"/>
        </w:rPr>
        <w:t>septicemia</w:t>
      </w:r>
      <w:proofErr w:type="spellEnd"/>
      <w:r w:rsidRPr="00E518BE">
        <w:rPr>
          <w:rFonts w:asciiTheme="majorBidi" w:hAnsiTheme="majorBidi" w:cstheme="majorBidi"/>
          <w:sz w:val="24"/>
          <w:szCs w:val="24"/>
        </w:rPr>
        <w:t>, and ulcerative diseases in cultured fish.</w:t>
      </w:r>
      <w:r w:rsidR="00CF5AC2">
        <w:rPr>
          <w:rFonts w:asciiTheme="majorBidi" w:hAnsiTheme="majorBidi" w:cstheme="majorBidi"/>
          <w:sz w:val="24"/>
          <w:szCs w:val="24"/>
        </w:rPr>
        <w:t xml:space="preserve"> Infections caused by </w:t>
      </w:r>
      <w:r w:rsidR="00CF5AC2" w:rsidRPr="003340AC">
        <w:rPr>
          <w:rFonts w:asciiTheme="majorBidi" w:hAnsiTheme="majorBidi" w:cstheme="majorBidi"/>
          <w:i/>
          <w:iCs/>
          <w:sz w:val="24"/>
          <w:szCs w:val="24"/>
        </w:rPr>
        <w:t xml:space="preserve">A. </w:t>
      </w:r>
      <w:proofErr w:type="spellStart"/>
      <w:r w:rsidR="00CF5AC2" w:rsidRPr="003340AC">
        <w:rPr>
          <w:rFonts w:asciiTheme="majorBidi" w:hAnsiTheme="majorBidi" w:cstheme="majorBidi"/>
          <w:i/>
          <w:iCs/>
          <w:sz w:val="24"/>
          <w:szCs w:val="24"/>
        </w:rPr>
        <w:t>hydrophila</w:t>
      </w:r>
      <w:proofErr w:type="spellEnd"/>
      <w:r w:rsidR="00CF5AC2">
        <w:rPr>
          <w:rFonts w:asciiTheme="majorBidi" w:hAnsiTheme="majorBidi" w:cstheme="majorBidi"/>
          <w:sz w:val="24"/>
          <w:szCs w:val="24"/>
        </w:rPr>
        <w:t xml:space="preserve"> are facilitated by a range of virulence factors, including </w:t>
      </w:r>
      <w:proofErr w:type="spellStart"/>
      <w:r w:rsidR="00CF5AC2">
        <w:rPr>
          <w:rFonts w:asciiTheme="majorBidi" w:hAnsiTheme="majorBidi" w:cstheme="majorBidi"/>
          <w:sz w:val="24"/>
          <w:szCs w:val="24"/>
        </w:rPr>
        <w:t>hemolysins</w:t>
      </w:r>
      <w:proofErr w:type="spellEnd"/>
      <w:r w:rsidR="00CF5AC2">
        <w:rPr>
          <w:rFonts w:asciiTheme="majorBidi" w:hAnsiTheme="majorBidi" w:cstheme="majorBidi"/>
          <w:sz w:val="24"/>
          <w:szCs w:val="24"/>
        </w:rPr>
        <w:t xml:space="preserve">, proteases, lipases, and enterotoxins, which collectively result in severe tissue damage, systemic disease, and high mortality rates, thereby causing significant economic losses in the aquaculture industry (Baloch et al., 2021; Semwal et al., 2023; Mahmood et al., 2024; Shrivastava et al., 2025). These challenges underscore the urgent need for the </w:t>
      </w:r>
      <w:r w:rsidR="00CF5AC2">
        <w:rPr>
          <w:rFonts w:asciiTheme="majorBidi" w:hAnsiTheme="majorBidi" w:cstheme="majorBidi"/>
          <w:sz w:val="24"/>
          <w:szCs w:val="24"/>
        </w:rPr>
        <w:lastRenderedPageBreak/>
        <w:t>development of plant-based interventions that can offer both direct antimicrobial effects and host immunomodulation against Aeromonas infections.</w:t>
      </w:r>
    </w:p>
    <w:p w14:paraId="09016D2F" w14:textId="7EF4AC99" w:rsidR="00B20110" w:rsidRDefault="00197631" w:rsidP="00112E14">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Among the candidate species, </w:t>
      </w:r>
      <w:proofErr w:type="spellStart"/>
      <w:r w:rsidRPr="00512B0F">
        <w:rPr>
          <w:rFonts w:asciiTheme="majorBidi" w:hAnsiTheme="majorBidi" w:cstheme="majorBidi"/>
          <w:i/>
          <w:iCs/>
          <w:sz w:val="24"/>
          <w:szCs w:val="24"/>
        </w:rPr>
        <w:t>Azadirachta</w:t>
      </w:r>
      <w:proofErr w:type="spellEnd"/>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indica</w:t>
      </w:r>
      <w:proofErr w:type="spellEnd"/>
      <w:r>
        <w:rPr>
          <w:rFonts w:asciiTheme="majorBidi" w:hAnsiTheme="majorBidi" w:cstheme="majorBidi"/>
          <w:sz w:val="24"/>
          <w:szCs w:val="24"/>
        </w:rPr>
        <w:t xml:space="preserve"> (neem) has been utilized for over 2000 years in Indian traditional medicine and demonstrates a wide range of biological activities, including anti-inflammatory, antibacterial, antiviral, antioxidant, hepatoprotective, antimutagenic, and anticarcinogenic effects in its leaves, seeds, bark, roots, and other tissues (Madesh et al., 2024). Comprehensive pharmacological evaluations suggest that all parts of the neem tree contribute to resistance against bacterial, fungal, and viral agents while enhancing antioxidant capacity, thereby positioning </w:t>
      </w:r>
      <w:r w:rsidRPr="003340AC">
        <w:rPr>
          <w:rFonts w:asciiTheme="majorBidi" w:hAnsiTheme="majorBidi" w:cstheme="majorBidi"/>
          <w:i/>
          <w:iCs/>
          <w:sz w:val="24"/>
          <w:szCs w:val="24"/>
        </w:rPr>
        <w:t>A. indica</w:t>
      </w:r>
      <w:r>
        <w:rPr>
          <w:rFonts w:asciiTheme="majorBidi" w:hAnsiTheme="majorBidi" w:cstheme="majorBidi"/>
          <w:sz w:val="24"/>
          <w:szCs w:val="24"/>
        </w:rPr>
        <w:t xml:space="preserve"> as a promising </w:t>
      </w:r>
      <w:proofErr w:type="spellStart"/>
      <w:r>
        <w:rPr>
          <w:rFonts w:asciiTheme="majorBidi" w:hAnsiTheme="majorBidi" w:cstheme="majorBidi"/>
          <w:sz w:val="24"/>
          <w:szCs w:val="24"/>
        </w:rPr>
        <w:t>phytobiotic</w:t>
      </w:r>
      <w:proofErr w:type="spellEnd"/>
      <w:r>
        <w:rPr>
          <w:rFonts w:asciiTheme="majorBidi" w:hAnsiTheme="majorBidi" w:cstheme="majorBidi"/>
          <w:sz w:val="24"/>
          <w:szCs w:val="24"/>
        </w:rPr>
        <w:t xml:space="preserve"> candidate in fish health management (Raihan et al., 2021). Similarly, </w:t>
      </w:r>
      <w:proofErr w:type="spellStart"/>
      <w:r w:rsidRPr="003340AC">
        <w:rPr>
          <w:rFonts w:asciiTheme="majorBidi" w:hAnsiTheme="majorBidi" w:cstheme="majorBidi"/>
          <w:i/>
          <w:iCs/>
          <w:sz w:val="24"/>
          <w:szCs w:val="24"/>
        </w:rPr>
        <w:t>Ocimum</w:t>
      </w:r>
      <w:proofErr w:type="spellEnd"/>
      <w:r w:rsidRPr="003340AC">
        <w:rPr>
          <w:rFonts w:asciiTheme="majorBidi" w:hAnsiTheme="majorBidi" w:cstheme="majorBidi"/>
          <w:i/>
          <w:iCs/>
          <w:sz w:val="24"/>
          <w:szCs w:val="24"/>
        </w:rPr>
        <w:t xml:space="preserve"> sanctum</w:t>
      </w:r>
      <w:r>
        <w:rPr>
          <w:rFonts w:asciiTheme="majorBidi" w:hAnsiTheme="majorBidi" w:cstheme="majorBidi"/>
          <w:sz w:val="24"/>
          <w:szCs w:val="24"/>
        </w:rPr>
        <w:t xml:space="preserve">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“holy basil”), long esteemed in Asian medicinal systems as the “queen of plants” and “mother medicine of nature,” exhibits a broad pharmacological profile that includes anti-asthmatic, anti-inflammatory, </w:t>
      </w:r>
      <w:proofErr w:type="spellStart"/>
      <w:r>
        <w:rPr>
          <w:rFonts w:asciiTheme="majorBidi" w:hAnsiTheme="majorBidi" w:cstheme="majorBidi"/>
          <w:sz w:val="24"/>
          <w:szCs w:val="24"/>
        </w:rPr>
        <w:t>hypoglycemic</w:t>
      </w:r>
      <w:proofErr w:type="spellEnd"/>
      <w:r>
        <w:rPr>
          <w:rFonts w:asciiTheme="majorBidi" w:hAnsiTheme="majorBidi" w:cstheme="majorBidi"/>
          <w:sz w:val="24"/>
          <w:szCs w:val="24"/>
        </w:rPr>
        <w:t xml:space="preserve">, antipyretic, endocrine, antimicrobial, anti-stress, anti-tubercular, antioxidant, and immunomodulatory activities (Pushpam et al., 2017; </w:t>
      </w:r>
      <w:proofErr w:type="spellStart"/>
      <w:r>
        <w:rPr>
          <w:rFonts w:asciiTheme="majorBidi" w:hAnsiTheme="majorBidi" w:cstheme="majorBidi"/>
          <w:sz w:val="24"/>
          <w:szCs w:val="24"/>
        </w:rPr>
        <w:t>Jothie</w:t>
      </w:r>
      <w:proofErr w:type="spellEnd"/>
      <w:r>
        <w:rPr>
          <w:rFonts w:asciiTheme="majorBidi" w:hAnsiTheme="majorBidi" w:cstheme="majorBidi"/>
          <w:sz w:val="24"/>
          <w:szCs w:val="24"/>
        </w:rPr>
        <w:t xml:space="preserve"> Richard et al., 2016; Jayapal et al., 2021; Parveen et al., 2023). Collectively, this expanding body of evidence supports the strategic exploration of neem and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alongside other medicinal plants, as multifaceted </w:t>
      </w:r>
      <w:proofErr w:type="spellStart"/>
      <w:r>
        <w:rPr>
          <w:rFonts w:asciiTheme="majorBidi" w:hAnsiTheme="majorBidi" w:cstheme="majorBidi"/>
          <w:sz w:val="24"/>
          <w:szCs w:val="24"/>
        </w:rPr>
        <w:t>phytobiotic</w:t>
      </w:r>
      <w:proofErr w:type="spellEnd"/>
      <w:r>
        <w:rPr>
          <w:rFonts w:asciiTheme="majorBidi" w:hAnsiTheme="majorBidi" w:cstheme="majorBidi"/>
          <w:sz w:val="24"/>
          <w:szCs w:val="24"/>
        </w:rPr>
        <w:t xml:space="preserve"> agents capable of providing antimicrobial, immunostimulatory, and performance-enhancing benefits in aquaculture, particularly against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-associated diseases.</w:t>
      </w:r>
    </w:p>
    <w:p w14:paraId="2EC2DF5C" w14:textId="1B3AF295" w:rsidR="00BA1E1E" w:rsidRPr="00237171" w:rsidRDefault="00BA1E1E" w:rsidP="00BA1E1E">
      <w:pPr>
        <w:spacing w:line="360" w:lineRule="auto"/>
        <w:ind w:firstLine="720"/>
        <w:jc w:val="both"/>
        <w:rPr>
          <w:rFonts w:asciiTheme="majorBidi" w:hAnsiTheme="majorBidi" w:cstheme="majorBidi"/>
          <w:sz w:val="24"/>
          <w:szCs w:val="24"/>
        </w:rPr>
      </w:pPr>
      <w:r w:rsidRPr="00BA1E1E">
        <w:rPr>
          <w:rFonts w:asciiTheme="majorBidi" w:hAnsiTheme="majorBidi" w:cstheme="majorBidi"/>
          <w:sz w:val="24"/>
          <w:szCs w:val="24"/>
        </w:rPr>
        <w:t xml:space="preserve">The need for sustainable aquaculture has driven the search for safer alternatives to synthetic antibiotics. This study highlights plant-derived extracts, particularly </w:t>
      </w:r>
      <w:proofErr w:type="spellStart"/>
      <w:r w:rsidRPr="00BA1E1E">
        <w:rPr>
          <w:rFonts w:asciiTheme="majorBidi" w:hAnsiTheme="majorBidi" w:cstheme="majorBidi"/>
          <w:i/>
          <w:iCs/>
          <w:sz w:val="24"/>
          <w:szCs w:val="24"/>
        </w:rPr>
        <w:t>Ocimum</w:t>
      </w:r>
      <w:proofErr w:type="spellEnd"/>
      <w:r w:rsidRPr="00BA1E1E">
        <w:rPr>
          <w:rFonts w:asciiTheme="majorBidi" w:hAnsiTheme="majorBidi" w:cstheme="majorBidi"/>
          <w:i/>
          <w:iCs/>
          <w:sz w:val="24"/>
          <w:szCs w:val="24"/>
        </w:rPr>
        <w:t xml:space="preserve"> sanctum</w:t>
      </w:r>
      <w:r w:rsidRPr="00BA1E1E">
        <w:rPr>
          <w:rFonts w:asciiTheme="majorBidi" w:hAnsiTheme="majorBidi" w:cstheme="majorBidi"/>
          <w:sz w:val="24"/>
          <w:szCs w:val="24"/>
        </w:rPr>
        <w:t xml:space="preserve"> and </w:t>
      </w:r>
      <w:proofErr w:type="spellStart"/>
      <w:r w:rsidRPr="00BA1E1E">
        <w:rPr>
          <w:rFonts w:asciiTheme="majorBidi" w:hAnsiTheme="majorBidi" w:cstheme="majorBidi"/>
          <w:i/>
          <w:iCs/>
          <w:sz w:val="24"/>
          <w:szCs w:val="24"/>
        </w:rPr>
        <w:t>Azadirachta</w:t>
      </w:r>
      <w:proofErr w:type="spellEnd"/>
      <w:r w:rsidRPr="00BA1E1E">
        <w:rPr>
          <w:rFonts w:asciiTheme="majorBidi" w:hAnsiTheme="majorBidi" w:cstheme="majorBidi"/>
          <w:i/>
          <w:iCs/>
          <w:sz w:val="24"/>
          <w:szCs w:val="24"/>
        </w:rPr>
        <w:t xml:space="preserve"> </w:t>
      </w:r>
      <w:proofErr w:type="spellStart"/>
      <w:r w:rsidRPr="00BA1E1E">
        <w:rPr>
          <w:rFonts w:asciiTheme="majorBidi" w:hAnsiTheme="majorBidi" w:cstheme="majorBidi"/>
          <w:i/>
          <w:iCs/>
          <w:sz w:val="24"/>
          <w:szCs w:val="24"/>
        </w:rPr>
        <w:t>indica</w:t>
      </w:r>
      <w:proofErr w:type="spellEnd"/>
      <w:r w:rsidRPr="00BA1E1E">
        <w:rPr>
          <w:rFonts w:asciiTheme="majorBidi" w:hAnsiTheme="majorBidi" w:cstheme="majorBidi"/>
          <w:sz w:val="24"/>
          <w:szCs w:val="24"/>
        </w:rPr>
        <w:t xml:space="preserve">, as effective antimicrobial agents against </w:t>
      </w:r>
      <w:r w:rsidRPr="00BA1E1E">
        <w:rPr>
          <w:rFonts w:asciiTheme="majorBidi" w:hAnsiTheme="majorBidi" w:cstheme="majorBidi"/>
          <w:i/>
          <w:iCs/>
          <w:sz w:val="24"/>
          <w:szCs w:val="24"/>
        </w:rPr>
        <w:t xml:space="preserve">A. </w:t>
      </w:r>
      <w:proofErr w:type="spellStart"/>
      <w:r w:rsidRPr="00BA1E1E">
        <w:rPr>
          <w:rFonts w:asciiTheme="majorBidi" w:hAnsiTheme="majorBidi" w:cstheme="majorBidi"/>
          <w:i/>
          <w:iCs/>
          <w:sz w:val="24"/>
          <w:szCs w:val="24"/>
        </w:rPr>
        <w:t>hydrophila</w:t>
      </w:r>
      <w:proofErr w:type="spellEnd"/>
      <w:r w:rsidRPr="00BA1E1E">
        <w:rPr>
          <w:rFonts w:asciiTheme="majorBidi" w:hAnsiTheme="majorBidi" w:cstheme="majorBidi"/>
          <w:sz w:val="24"/>
          <w:szCs w:val="24"/>
        </w:rPr>
        <w:t>, showing strong activity and low MIC values. Medicinal plants can enhance fish growth, boost immunity, and reduce disease, thereby decreasing reliance on conventional antibiotics. This eco-friendly approach supports ecosystem health and helps address the growing problem of antibiotic resistance.</w:t>
      </w:r>
    </w:p>
    <w:p w14:paraId="28746DBA" w14:textId="322A961E" w:rsidR="00F65FA8" w:rsidRPr="00B20110" w:rsidRDefault="00197631" w:rsidP="00112E14">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In this study, we assessed the in vitro bactericidal efficacy of methanolic and aqueous leaf extracts of </w:t>
      </w:r>
      <w:r w:rsidRPr="00197631">
        <w:rPr>
          <w:rFonts w:asciiTheme="majorBidi" w:hAnsiTheme="majorBidi" w:cstheme="majorBidi"/>
          <w:i/>
          <w:iCs/>
          <w:sz w:val="24"/>
          <w:szCs w:val="24"/>
        </w:rPr>
        <w:t>A. indica</w:t>
      </w:r>
      <w:r>
        <w:rPr>
          <w:rFonts w:asciiTheme="majorBidi" w:hAnsiTheme="majorBidi" w:cstheme="majorBidi"/>
          <w:sz w:val="24"/>
          <w:szCs w:val="24"/>
        </w:rPr>
        <w:t xml:space="preserve"> and </w:t>
      </w:r>
      <w:r w:rsidRPr="00197631">
        <w:rPr>
          <w:rFonts w:asciiTheme="majorBidi" w:hAnsiTheme="majorBidi" w:cstheme="majorBidi"/>
          <w:i/>
          <w:iCs/>
          <w:sz w:val="24"/>
          <w:szCs w:val="24"/>
        </w:rPr>
        <w:t>O. sanctum</w:t>
      </w:r>
      <w:r>
        <w:rPr>
          <w:rFonts w:asciiTheme="majorBidi" w:hAnsiTheme="majorBidi" w:cstheme="majorBidi"/>
          <w:sz w:val="24"/>
          <w:szCs w:val="24"/>
        </w:rPr>
        <w:t xml:space="preserve">, and determined their minimum inhibitory concentrations against the fish bacterial pathogen </w:t>
      </w:r>
      <w:r w:rsidRPr="00197631">
        <w:rPr>
          <w:rFonts w:asciiTheme="majorBidi" w:hAnsiTheme="majorBidi" w:cstheme="majorBidi"/>
          <w:i/>
          <w:iCs/>
          <w:sz w:val="24"/>
          <w:szCs w:val="24"/>
        </w:rPr>
        <w:t xml:space="preserve">A. </w:t>
      </w:r>
      <w:proofErr w:type="spellStart"/>
      <w:r w:rsidRPr="00197631">
        <w:rPr>
          <w:rFonts w:asciiTheme="majorBidi" w:hAnsiTheme="majorBidi" w:cstheme="majorBidi"/>
          <w:i/>
          <w:iCs/>
          <w:sz w:val="24"/>
          <w:szCs w:val="24"/>
        </w:rPr>
        <w:t>hydrophila</w:t>
      </w:r>
      <w:proofErr w:type="spellEnd"/>
      <w:r>
        <w:rPr>
          <w:rFonts w:asciiTheme="majorBidi" w:hAnsiTheme="majorBidi" w:cstheme="majorBidi"/>
          <w:sz w:val="24"/>
          <w:szCs w:val="24"/>
        </w:rPr>
        <w:t>.</w:t>
      </w:r>
    </w:p>
    <w:p w14:paraId="19555725" w14:textId="77777777" w:rsidR="00F65FA8" w:rsidRPr="00237171" w:rsidRDefault="00F65FA8" w:rsidP="00237171">
      <w:pPr>
        <w:spacing w:line="360" w:lineRule="auto"/>
        <w:jc w:val="both"/>
        <w:rPr>
          <w:rFonts w:asciiTheme="majorBidi" w:hAnsiTheme="majorBidi" w:cstheme="majorBidi"/>
          <w:b/>
          <w:bCs/>
          <w:sz w:val="24"/>
          <w:szCs w:val="24"/>
        </w:rPr>
      </w:pPr>
      <w:r w:rsidRPr="00F65FA8">
        <w:rPr>
          <w:rFonts w:asciiTheme="majorBidi" w:hAnsiTheme="majorBidi" w:cstheme="majorBidi"/>
          <w:b/>
          <w:bCs/>
          <w:sz w:val="24"/>
          <w:szCs w:val="24"/>
        </w:rPr>
        <w:t>Materials and Methods</w:t>
      </w:r>
    </w:p>
    <w:p w14:paraId="137FF670" w14:textId="77777777" w:rsidR="00F65FA8" w:rsidRPr="00237171" w:rsidRDefault="00F65FA8" w:rsidP="00237171">
      <w:pPr>
        <w:spacing w:line="360" w:lineRule="auto"/>
        <w:rPr>
          <w:rFonts w:asciiTheme="majorBidi" w:hAnsiTheme="majorBidi" w:cstheme="majorBidi"/>
          <w:b/>
          <w:bCs/>
          <w:sz w:val="24"/>
          <w:szCs w:val="24"/>
        </w:rPr>
      </w:pPr>
      <w:r w:rsidRPr="00237171">
        <w:rPr>
          <w:rFonts w:asciiTheme="majorBidi" w:hAnsiTheme="majorBidi" w:cstheme="majorBidi"/>
          <w:b/>
          <w:bCs/>
          <w:sz w:val="24"/>
          <w:szCs w:val="24"/>
        </w:rPr>
        <w:t>Preparation Herbal Extracts</w:t>
      </w:r>
    </w:p>
    <w:p w14:paraId="2362FE7F" w14:textId="53193646" w:rsidR="00F65FA8" w:rsidRPr="00237171" w:rsidRDefault="00197631" w:rsidP="00112E14">
      <w:pPr>
        <w:spacing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Fresh leaves of </w:t>
      </w:r>
      <w:proofErr w:type="spellStart"/>
      <w:r w:rsidRPr="00512B0F">
        <w:rPr>
          <w:rFonts w:asciiTheme="majorBidi" w:hAnsiTheme="majorBidi" w:cstheme="majorBidi"/>
          <w:i/>
          <w:iCs/>
          <w:color w:val="000000" w:themeColor="text1"/>
          <w:sz w:val="24"/>
          <w:szCs w:val="24"/>
        </w:rPr>
        <w:t>Azadirachta</w:t>
      </w:r>
      <w:proofErr w:type="spellEnd"/>
      <w:r w:rsidRPr="00512B0F">
        <w:rPr>
          <w:rFonts w:asciiTheme="majorBidi" w:hAnsiTheme="majorBidi" w:cstheme="majorBidi"/>
          <w:i/>
          <w:iCs/>
          <w:color w:val="000000" w:themeColor="text1"/>
          <w:sz w:val="24"/>
          <w:szCs w:val="24"/>
        </w:rPr>
        <w:t xml:space="preserve"> </w:t>
      </w:r>
      <w:proofErr w:type="spellStart"/>
      <w:r w:rsidRPr="00512B0F">
        <w:rPr>
          <w:rFonts w:asciiTheme="majorBidi" w:hAnsiTheme="majorBidi" w:cstheme="majorBidi"/>
          <w:i/>
          <w:iCs/>
          <w:color w:val="000000" w:themeColor="text1"/>
          <w:sz w:val="24"/>
          <w:szCs w:val="24"/>
        </w:rPr>
        <w:t>indica</w:t>
      </w:r>
      <w:proofErr w:type="spellEnd"/>
      <w:r>
        <w:rPr>
          <w:rFonts w:asciiTheme="majorBidi" w:hAnsiTheme="majorBidi" w:cstheme="majorBidi"/>
          <w:color w:val="000000" w:themeColor="text1"/>
          <w:sz w:val="24"/>
          <w:szCs w:val="24"/>
        </w:rPr>
        <w:t xml:space="preserve"> (neem) and </w:t>
      </w:r>
      <w:proofErr w:type="spellStart"/>
      <w:r w:rsidRPr="00512B0F">
        <w:rPr>
          <w:rFonts w:asciiTheme="majorBidi" w:hAnsiTheme="majorBidi" w:cstheme="majorBidi"/>
          <w:i/>
          <w:iCs/>
          <w:color w:val="000000" w:themeColor="text1"/>
          <w:sz w:val="24"/>
          <w:szCs w:val="24"/>
        </w:rPr>
        <w:t>Ocimum</w:t>
      </w:r>
      <w:proofErr w:type="spellEnd"/>
      <w:r w:rsidRPr="00512B0F">
        <w:rPr>
          <w:rFonts w:asciiTheme="majorBidi" w:hAnsiTheme="majorBidi" w:cstheme="majorBidi"/>
          <w:i/>
          <w:iCs/>
          <w:color w:val="000000" w:themeColor="text1"/>
          <w:sz w:val="24"/>
          <w:szCs w:val="24"/>
        </w:rPr>
        <w:t xml:space="preserve"> sanctum</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were procured from mature plants maintained in the Medicinal, Aromatic, and Potential Crops Section (GPB) at CCSHAU, Hisar, India. The leaves underwent thorough rinsing with cold tap water, followed by surface disinfection using a 1 ppm potassium permanganate solution, and were subsequently dried in a hot-air oven at 60°C for 24 hours. The dried material was then ground into a fine powder using an electric mixer-grinder and stored in airtight containers until extraction. For the preparation of extracts, 5 g of neem leaf powder, 5 g of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leaf powder, and 5 g of a 1:1 (w/w) neem–</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leaf powder mixture were each combined with 100 ml of distilled water (for aqueous extracts) or 100 ml of ethanol (for ethanolic extracts). Extractions were conducted using a Soxhlet apparatus at 60°C for 5–6 hours, after which the solvent phases were filtered through Whatman filter paper to obtain clear crude extracts for subsequent bioassays.</w:t>
      </w:r>
    </w:p>
    <w:p w14:paraId="6DA74E23" w14:textId="60B6FB51" w:rsidR="00AC53D9" w:rsidRPr="00237171" w:rsidRDefault="005227E9" w:rsidP="00237171">
      <w:pPr>
        <w:spacing w:line="360" w:lineRule="auto"/>
        <w:jc w:val="both"/>
        <w:rPr>
          <w:rFonts w:asciiTheme="majorBidi" w:hAnsiTheme="majorBidi" w:cstheme="majorBidi"/>
          <w:b/>
          <w:bCs/>
          <w:color w:val="000000" w:themeColor="text1"/>
          <w:sz w:val="24"/>
          <w:szCs w:val="24"/>
        </w:rPr>
      </w:pPr>
      <w:r w:rsidRPr="00237171">
        <w:rPr>
          <w:rFonts w:asciiTheme="majorBidi" w:hAnsiTheme="majorBidi" w:cstheme="majorBidi"/>
          <w:b/>
          <w:bCs/>
          <w:color w:val="000000" w:themeColor="text1"/>
          <w:sz w:val="24"/>
          <w:szCs w:val="24"/>
        </w:rPr>
        <w:t>Bacterial Strain</w:t>
      </w:r>
    </w:p>
    <w:p w14:paraId="19DC9B5E" w14:textId="26DEAF74" w:rsidR="005A7963" w:rsidRDefault="00197631" w:rsidP="00112E14">
      <w:pPr>
        <w:spacing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 pure culture of </w:t>
      </w:r>
      <w:r w:rsidRPr="00197631">
        <w:rPr>
          <w:rFonts w:asciiTheme="majorBidi" w:hAnsiTheme="majorBidi" w:cstheme="majorBidi"/>
          <w:i/>
          <w:iCs/>
          <w:color w:val="000000" w:themeColor="text1"/>
          <w:sz w:val="24"/>
          <w:szCs w:val="24"/>
        </w:rPr>
        <w:t>Aeromonas</w:t>
      </w:r>
      <w:r>
        <w:rPr>
          <w:rFonts w:asciiTheme="majorBidi" w:hAnsiTheme="majorBidi" w:cstheme="majorBidi"/>
          <w:color w:val="000000" w:themeColor="text1"/>
          <w:sz w:val="24"/>
          <w:szCs w:val="24"/>
        </w:rPr>
        <w:t xml:space="preserve"> </w:t>
      </w:r>
      <w:proofErr w:type="spellStart"/>
      <w:r w:rsidRPr="00197631">
        <w:rPr>
          <w:rFonts w:asciiTheme="majorBidi" w:hAnsiTheme="majorBidi" w:cstheme="majorBidi"/>
          <w:i/>
          <w:iCs/>
          <w:color w:val="000000" w:themeColor="text1"/>
          <w:sz w:val="24"/>
          <w:szCs w:val="24"/>
        </w:rPr>
        <w:t>hydrophila</w:t>
      </w:r>
      <w:proofErr w:type="spellEnd"/>
      <w:r>
        <w:rPr>
          <w:rFonts w:asciiTheme="majorBidi" w:hAnsiTheme="majorBidi" w:cstheme="majorBidi"/>
          <w:color w:val="000000" w:themeColor="text1"/>
          <w:sz w:val="24"/>
          <w:szCs w:val="24"/>
        </w:rPr>
        <w:t xml:space="preserve"> (MTCC 1739) was procured from the Microbial Type Culture Collection and Gene Bank (MTCC) at the CSIR–Institute of Microbial Technology, Chandigarh, India. The isolate was inoculated into nutrient broth (</w:t>
      </w:r>
      <w:proofErr w:type="spellStart"/>
      <w:r>
        <w:rPr>
          <w:rFonts w:asciiTheme="majorBidi" w:hAnsiTheme="majorBidi" w:cstheme="majorBidi"/>
          <w:color w:val="000000" w:themeColor="text1"/>
          <w:sz w:val="24"/>
          <w:szCs w:val="24"/>
        </w:rPr>
        <w:t>HiMedia</w:t>
      </w:r>
      <w:proofErr w:type="spellEnd"/>
      <w:r>
        <w:rPr>
          <w:rFonts w:asciiTheme="majorBidi" w:hAnsiTheme="majorBidi" w:cstheme="majorBidi"/>
          <w:color w:val="000000" w:themeColor="text1"/>
          <w:sz w:val="24"/>
          <w:szCs w:val="24"/>
        </w:rPr>
        <w:t>, India) and incubated at a temperature range of 28–30°C for 24 hours under aerobic conditions. Post-incubation, the culture was subjected to centrifugation at 5,000 rpm for 5 minutes, and the resulting pellet was washed three times with phosphate-buffered saline (PBS; pH 7.4) to eliminate residual media. Subsequently, the bacterial suspension was adjusted spectrophotometrically to an optical density of 0.7 at 600 nm, which corresponds to approximately 4x10</w:t>
      </w:r>
      <w:r w:rsidRPr="00197631">
        <w:rPr>
          <w:rFonts w:asciiTheme="majorBidi" w:hAnsiTheme="majorBidi" w:cstheme="majorBidi"/>
          <w:color w:val="000000" w:themeColor="text1"/>
          <w:sz w:val="24"/>
          <w:szCs w:val="24"/>
          <w:vertAlign w:val="superscript"/>
        </w:rPr>
        <w:t>6</w:t>
      </w:r>
      <w:r>
        <w:rPr>
          <w:rFonts w:asciiTheme="majorBidi" w:hAnsiTheme="majorBidi" w:cstheme="majorBidi"/>
          <w:color w:val="000000" w:themeColor="text1"/>
          <w:sz w:val="24"/>
          <w:szCs w:val="24"/>
          <w:vertAlign w:val="superscript"/>
        </w:rPr>
        <w:t xml:space="preserve"> </w:t>
      </w:r>
      <w:r>
        <w:rPr>
          <w:rFonts w:asciiTheme="majorBidi" w:hAnsiTheme="majorBidi" w:cstheme="majorBidi"/>
          <w:color w:val="000000" w:themeColor="text1"/>
          <w:sz w:val="24"/>
          <w:szCs w:val="24"/>
        </w:rPr>
        <w:t>CFU/mL, as verified by serial dilution and viable plate count (Harikrishnan et al., 2010).</w:t>
      </w:r>
    </w:p>
    <w:p w14:paraId="1FC40167" w14:textId="7C2B0506" w:rsidR="00AD1DFD" w:rsidRDefault="00AD1DFD" w:rsidP="00237171">
      <w:pPr>
        <w:spacing w:line="360" w:lineRule="auto"/>
        <w:rPr>
          <w:rFonts w:asciiTheme="majorBidi" w:hAnsiTheme="majorBidi" w:cstheme="majorBidi"/>
          <w:b/>
          <w:bCs/>
          <w:color w:val="000000" w:themeColor="text1"/>
          <w:sz w:val="24"/>
          <w:szCs w:val="24"/>
        </w:rPr>
      </w:pPr>
      <w:r w:rsidRPr="00AD1DFD">
        <w:rPr>
          <w:rFonts w:asciiTheme="majorBidi" w:hAnsiTheme="majorBidi" w:cstheme="majorBidi"/>
          <w:b/>
          <w:bCs/>
          <w:color w:val="000000" w:themeColor="text1"/>
          <w:sz w:val="24"/>
          <w:szCs w:val="24"/>
        </w:rPr>
        <w:t>Lethal Dose</w:t>
      </w:r>
      <w:r>
        <w:rPr>
          <w:rFonts w:asciiTheme="majorBidi" w:hAnsiTheme="majorBidi" w:cstheme="majorBidi"/>
          <w:b/>
          <w:bCs/>
          <w:color w:val="000000" w:themeColor="text1"/>
          <w:sz w:val="24"/>
          <w:szCs w:val="24"/>
        </w:rPr>
        <w:t xml:space="preserve"> (LD</w:t>
      </w:r>
      <w:r w:rsidRPr="00F82825">
        <w:rPr>
          <w:rFonts w:asciiTheme="majorBidi" w:hAnsiTheme="majorBidi" w:cstheme="majorBidi"/>
          <w:b/>
          <w:bCs/>
          <w:color w:val="000000" w:themeColor="text1"/>
          <w:sz w:val="24"/>
          <w:szCs w:val="24"/>
          <w:vertAlign w:val="subscript"/>
        </w:rPr>
        <w:t>50</w:t>
      </w:r>
      <w:r>
        <w:rPr>
          <w:rFonts w:asciiTheme="majorBidi" w:hAnsiTheme="majorBidi" w:cstheme="majorBidi"/>
          <w:b/>
          <w:bCs/>
          <w:color w:val="000000" w:themeColor="text1"/>
          <w:sz w:val="24"/>
          <w:szCs w:val="24"/>
        </w:rPr>
        <w:t>)</w:t>
      </w:r>
      <w:r w:rsidRPr="00AD1DFD">
        <w:rPr>
          <w:rFonts w:asciiTheme="majorBidi" w:hAnsiTheme="majorBidi" w:cstheme="majorBidi"/>
          <w:b/>
          <w:bCs/>
          <w:color w:val="000000" w:themeColor="text1"/>
          <w:sz w:val="24"/>
          <w:szCs w:val="24"/>
        </w:rPr>
        <w:t xml:space="preserve"> Assessment of </w:t>
      </w:r>
      <w:r w:rsidRPr="00AD1DFD">
        <w:rPr>
          <w:rFonts w:asciiTheme="majorBidi" w:hAnsiTheme="majorBidi" w:cstheme="majorBidi"/>
          <w:b/>
          <w:bCs/>
          <w:i/>
          <w:iCs/>
          <w:color w:val="000000" w:themeColor="text1"/>
          <w:sz w:val="24"/>
          <w:szCs w:val="24"/>
        </w:rPr>
        <w:t xml:space="preserve">Aeromonas </w:t>
      </w:r>
      <w:proofErr w:type="spellStart"/>
      <w:r w:rsidRPr="00AD1DFD">
        <w:rPr>
          <w:rFonts w:asciiTheme="majorBidi" w:hAnsiTheme="majorBidi" w:cstheme="majorBidi"/>
          <w:b/>
          <w:bCs/>
          <w:i/>
          <w:iCs/>
          <w:color w:val="000000" w:themeColor="text1"/>
          <w:sz w:val="24"/>
          <w:szCs w:val="24"/>
        </w:rPr>
        <w:t>hydrophila</w:t>
      </w:r>
      <w:proofErr w:type="spellEnd"/>
      <w:r w:rsidRPr="00AD1DFD">
        <w:rPr>
          <w:rFonts w:asciiTheme="majorBidi" w:hAnsiTheme="majorBidi" w:cstheme="majorBidi"/>
          <w:b/>
          <w:bCs/>
          <w:color w:val="000000" w:themeColor="text1"/>
          <w:sz w:val="24"/>
          <w:szCs w:val="24"/>
        </w:rPr>
        <w:t xml:space="preserve"> in Common Carp</w:t>
      </w:r>
    </w:p>
    <w:p w14:paraId="0B4DC598" w14:textId="22BC1B38" w:rsidR="00F82825" w:rsidRDefault="00CF5AC2" w:rsidP="00F82825">
      <w:pPr>
        <w:spacing w:line="360" w:lineRule="auto"/>
        <w:jc w:val="both"/>
        <w:rPr>
          <w:rFonts w:asciiTheme="majorBidi" w:hAnsiTheme="majorBidi" w:cstheme="majorBidi"/>
          <w:color w:val="000000" w:themeColor="text1"/>
          <w:sz w:val="24"/>
          <w:szCs w:val="24"/>
        </w:rPr>
      </w:pPr>
      <w:r w:rsidRPr="00F82825">
        <w:rPr>
          <w:rFonts w:asciiTheme="majorBidi" w:hAnsiTheme="majorBidi" w:cstheme="majorBidi"/>
          <w:color w:val="000000" w:themeColor="text1"/>
          <w:sz w:val="24"/>
          <w:szCs w:val="24"/>
        </w:rPr>
        <w:t>Common carp (</w:t>
      </w:r>
      <w:r w:rsidRPr="00F82825">
        <w:rPr>
          <w:rFonts w:asciiTheme="majorBidi" w:hAnsiTheme="majorBidi" w:cstheme="majorBidi"/>
          <w:i/>
          <w:iCs/>
          <w:color w:val="000000" w:themeColor="text1"/>
          <w:sz w:val="24"/>
          <w:szCs w:val="24"/>
        </w:rPr>
        <w:t>Cyprinus carpio</w:t>
      </w:r>
      <w:r w:rsidRPr="00F82825">
        <w:rPr>
          <w:rFonts w:asciiTheme="majorBidi" w:hAnsiTheme="majorBidi" w:cstheme="majorBidi"/>
          <w:color w:val="000000" w:themeColor="text1"/>
          <w:sz w:val="24"/>
          <w:szCs w:val="24"/>
        </w:rPr>
        <w:t>) were randomly distributed into 12 aquariums (10 fish per aquarium) with three replicates per dose to determine the median lethal dose (LD</w:t>
      </w:r>
      <w:r w:rsidRPr="00F82825">
        <w:rPr>
          <w:rFonts w:asciiTheme="majorBidi" w:hAnsiTheme="majorBidi" w:cstheme="majorBidi"/>
          <w:color w:val="000000" w:themeColor="text1"/>
          <w:sz w:val="24"/>
          <w:szCs w:val="24"/>
          <w:vertAlign w:val="subscript"/>
        </w:rPr>
        <w:t>50</w:t>
      </w:r>
      <w:r w:rsidRPr="00F82825">
        <w:rPr>
          <w:rFonts w:asciiTheme="majorBidi" w:hAnsiTheme="majorBidi" w:cstheme="majorBidi"/>
          <w:color w:val="000000" w:themeColor="text1"/>
          <w:sz w:val="24"/>
          <w:szCs w:val="24"/>
        </w:rPr>
        <w:t>) of </w:t>
      </w:r>
      <w:r w:rsidRPr="00F82825">
        <w:rPr>
          <w:rFonts w:asciiTheme="majorBidi" w:hAnsiTheme="majorBidi" w:cstheme="majorBidi"/>
          <w:i/>
          <w:iCs/>
          <w:color w:val="000000" w:themeColor="text1"/>
          <w:sz w:val="24"/>
          <w:szCs w:val="24"/>
        </w:rPr>
        <w:t xml:space="preserve">Aeromonas </w:t>
      </w:r>
      <w:proofErr w:type="spellStart"/>
      <w:r w:rsidRPr="00F82825">
        <w:rPr>
          <w:rFonts w:asciiTheme="majorBidi" w:hAnsiTheme="majorBidi" w:cstheme="majorBidi"/>
          <w:i/>
          <w:iCs/>
          <w:color w:val="000000" w:themeColor="text1"/>
          <w:sz w:val="24"/>
          <w:szCs w:val="24"/>
        </w:rPr>
        <w:t>hydrophila</w:t>
      </w:r>
      <w:proofErr w:type="spellEnd"/>
      <w:r w:rsidRPr="00F82825">
        <w:rPr>
          <w:rFonts w:asciiTheme="majorBidi" w:hAnsiTheme="majorBidi" w:cstheme="majorBidi"/>
          <w:color w:val="000000" w:themeColor="text1"/>
          <w:sz w:val="24"/>
          <w:szCs w:val="24"/>
        </w:rPr>
        <w:t> for disease incidence.</w:t>
      </w:r>
      <w:r w:rsidR="00F82825" w:rsidRPr="00F82825">
        <w:rPr>
          <w:rFonts w:asciiTheme="majorBidi" w:hAnsiTheme="majorBidi" w:cstheme="majorBidi"/>
          <w:color w:val="000000" w:themeColor="text1"/>
          <w:sz w:val="24"/>
          <w:szCs w:val="24"/>
        </w:rPr>
        <w:t xml:space="preserve"> </w:t>
      </w:r>
      <w:r w:rsidRPr="00F82825">
        <w:rPr>
          <w:rFonts w:asciiTheme="majorBidi" w:hAnsiTheme="majorBidi" w:cstheme="majorBidi"/>
          <w:color w:val="000000" w:themeColor="text1"/>
          <w:sz w:val="24"/>
          <w:szCs w:val="24"/>
        </w:rPr>
        <w:t xml:space="preserve">Each group received intramuscular injections of 0.1–0.2 mL bacterial suspensions at concentrations of </w:t>
      </w:r>
      <w:r w:rsidRPr="007A0DB2">
        <w:rPr>
          <w:rFonts w:asciiTheme="majorBidi" w:hAnsiTheme="majorBidi" w:cstheme="majorBidi"/>
          <w:color w:val="000000" w:themeColor="text1"/>
        </w:rPr>
        <w:t>1×10</w:t>
      </w:r>
      <w:r w:rsidRPr="007A0DB2">
        <w:rPr>
          <w:rFonts w:asciiTheme="majorBidi" w:hAnsiTheme="majorBidi" w:cstheme="majorBidi"/>
          <w:color w:val="000000" w:themeColor="text1"/>
          <w:vertAlign w:val="superscript"/>
        </w:rPr>
        <w:t>5</w:t>
      </w:r>
      <w:r w:rsidRPr="007A0DB2">
        <w:rPr>
          <w:rFonts w:asciiTheme="majorBidi" w:hAnsiTheme="majorBidi" w:cstheme="majorBidi"/>
          <w:color w:val="000000" w:themeColor="text1"/>
        </w:rPr>
        <w:t xml:space="preserve"> </w:t>
      </w:r>
      <w:proofErr w:type="spellStart"/>
      <w:r w:rsidRPr="007A0DB2">
        <w:rPr>
          <w:rFonts w:asciiTheme="majorBidi" w:hAnsiTheme="majorBidi" w:cstheme="majorBidi"/>
          <w:color w:val="000000" w:themeColor="text1"/>
        </w:rPr>
        <w:t>cfu</w:t>
      </w:r>
      <w:proofErr w:type="spellEnd"/>
      <w:r w:rsidRPr="007A0DB2">
        <w:rPr>
          <w:rFonts w:asciiTheme="majorBidi" w:hAnsiTheme="majorBidi" w:cstheme="majorBidi"/>
          <w:color w:val="000000" w:themeColor="text1"/>
        </w:rPr>
        <w:t>/mL, 1×10</w:t>
      </w:r>
      <w:r w:rsidRPr="007A0DB2">
        <w:rPr>
          <w:rFonts w:asciiTheme="majorBidi" w:hAnsiTheme="majorBidi" w:cstheme="majorBidi"/>
          <w:color w:val="000000" w:themeColor="text1"/>
          <w:vertAlign w:val="superscript"/>
        </w:rPr>
        <w:t>6</w:t>
      </w:r>
      <w:r w:rsidRPr="007A0DB2">
        <w:rPr>
          <w:rFonts w:asciiTheme="majorBidi" w:hAnsiTheme="majorBidi" w:cstheme="majorBidi"/>
          <w:color w:val="000000" w:themeColor="text1"/>
        </w:rPr>
        <w:t xml:space="preserve"> </w:t>
      </w:r>
      <w:proofErr w:type="spellStart"/>
      <w:r w:rsidRPr="007A0DB2">
        <w:rPr>
          <w:rFonts w:asciiTheme="majorBidi" w:hAnsiTheme="majorBidi" w:cstheme="majorBidi"/>
          <w:color w:val="000000" w:themeColor="text1"/>
        </w:rPr>
        <w:t>cfu</w:t>
      </w:r>
      <w:proofErr w:type="spellEnd"/>
      <w:r w:rsidRPr="007A0DB2">
        <w:rPr>
          <w:rFonts w:asciiTheme="majorBidi" w:hAnsiTheme="majorBidi" w:cstheme="majorBidi"/>
          <w:color w:val="000000" w:themeColor="text1"/>
        </w:rPr>
        <w:t>/mL, 1×10</w:t>
      </w:r>
      <w:r w:rsidRPr="007A0DB2">
        <w:rPr>
          <w:rFonts w:asciiTheme="majorBidi" w:hAnsiTheme="majorBidi" w:cstheme="majorBidi"/>
          <w:color w:val="000000" w:themeColor="text1"/>
          <w:vertAlign w:val="superscript"/>
        </w:rPr>
        <w:t xml:space="preserve">7 </w:t>
      </w:r>
      <w:proofErr w:type="spellStart"/>
      <w:r w:rsidRPr="007A0DB2">
        <w:rPr>
          <w:rFonts w:asciiTheme="majorBidi" w:hAnsiTheme="majorBidi" w:cstheme="majorBidi"/>
          <w:color w:val="000000" w:themeColor="text1"/>
        </w:rPr>
        <w:t>cfu</w:t>
      </w:r>
      <w:proofErr w:type="spellEnd"/>
      <w:r w:rsidRPr="007A0DB2">
        <w:rPr>
          <w:rFonts w:asciiTheme="majorBidi" w:hAnsiTheme="majorBidi" w:cstheme="majorBidi"/>
          <w:color w:val="000000" w:themeColor="text1"/>
        </w:rPr>
        <w:t>/mL, and 1×10</w:t>
      </w:r>
      <w:r w:rsidRPr="007A0DB2">
        <w:rPr>
          <w:rFonts w:asciiTheme="majorBidi" w:hAnsiTheme="majorBidi" w:cstheme="majorBidi"/>
          <w:color w:val="000000" w:themeColor="text1"/>
          <w:vertAlign w:val="superscript"/>
        </w:rPr>
        <w:t>8</w:t>
      </w:r>
      <w:r w:rsidRPr="007A0DB2">
        <w:rPr>
          <w:rFonts w:asciiTheme="majorBidi" w:hAnsiTheme="majorBidi" w:cstheme="majorBidi"/>
          <w:color w:val="000000" w:themeColor="text1"/>
        </w:rPr>
        <w:t xml:space="preserve"> </w:t>
      </w:r>
      <w:proofErr w:type="spellStart"/>
      <w:r w:rsidRPr="007A0DB2">
        <w:rPr>
          <w:rFonts w:asciiTheme="majorBidi" w:hAnsiTheme="majorBidi" w:cstheme="majorBidi"/>
          <w:color w:val="000000" w:themeColor="text1"/>
        </w:rPr>
        <w:t>cfu</w:t>
      </w:r>
      <w:proofErr w:type="spellEnd"/>
      <w:r w:rsidRPr="007A0DB2">
        <w:rPr>
          <w:rFonts w:asciiTheme="majorBidi" w:hAnsiTheme="majorBidi" w:cstheme="majorBidi"/>
          <w:color w:val="000000" w:themeColor="text1"/>
        </w:rPr>
        <w:t>/</w:t>
      </w:r>
      <w:proofErr w:type="spellStart"/>
      <w:r w:rsidRPr="007A0DB2">
        <w:rPr>
          <w:rFonts w:asciiTheme="majorBidi" w:hAnsiTheme="majorBidi" w:cstheme="majorBidi"/>
          <w:color w:val="000000" w:themeColor="text1"/>
        </w:rPr>
        <w:t>mL</w:t>
      </w:r>
      <w:r w:rsidRPr="00F82825">
        <w:rPr>
          <w:rFonts w:asciiTheme="majorBidi" w:hAnsiTheme="majorBidi" w:cstheme="majorBidi"/>
          <w:color w:val="000000" w:themeColor="text1"/>
          <w:sz w:val="24"/>
          <w:szCs w:val="24"/>
        </w:rPr>
        <w:t>.</w:t>
      </w:r>
      <w:proofErr w:type="spellEnd"/>
      <w:r w:rsidR="00F82825">
        <w:rPr>
          <w:rFonts w:asciiTheme="majorBidi" w:hAnsiTheme="majorBidi" w:cstheme="majorBidi"/>
          <w:color w:val="000000" w:themeColor="text1"/>
          <w:sz w:val="24"/>
          <w:szCs w:val="24"/>
        </w:rPr>
        <w:t xml:space="preserve"> </w:t>
      </w:r>
      <w:r w:rsidRPr="00F82825">
        <w:rPr>
          <w:rFonts w:asciiTheme="majorBidi" w:hAnsiTheme="majorBidi" w:cstheme="majorBidi"/>
          <w:color w:val="000000" w:themeColor="text1"/>
          <w:sz w:val="24"/>
          <w:szCs w:val="24"/>
        </w:rPr>
        <w:t xml:space="preserve">Mortality was recorded daily for </w:t>
      </w:r>
      <w:r>
        <w:rPr>
          <w:rFonts w:asciiTheme="majorBidi" w:hAnsiTheme="majorBidi" w:cstheme="majorBidi"/>
          <w:color w:val="000000" w:themeColor="text1"/>
          <w:sz w:val="24"/>
          <w:szCs w:val="24"/>
        </w:rPr>
        <w:t>14</w:t>
      </w:r>
      <w:r w:rsidRPr="00F82825">
        <w:rPr>
          <w:rFonts w:asciiTheme="majorBidi" w:hAnsiTheme="majorBidi" w:cstheme="majorBidi"/>
          <w:color w:val="000000" w:themeColor="text1"/>
          <w:sz w:val="24"/>
          <w:szCs w:val="24"/>
        </w:rPr>
        <w:t xml:space="preserve"> days.</w:t>
      </w:r>
    </w:p>
    <w:p w14:paraId="7EA746D9" w14:textId="39F416ED" w:rsidR="00FC22A2" w:rsidRPr="00237171" w:rsidRDefault="005A7963" w:rsidP="00F82825">
      <w:pPr>
        <w:spacing w:line="360" w:lineRule="auto"/>
        <w:jc w:val="both"/>
        <w:rPr>
          <w:rFonts w:asciiTheme="majorBidi" w:hAnsiTheme="majorBidi" w:cstheme="majorBidi"/>
          <w:color w:val="000000" w:themeColor="text1"/>
          <w:sz w:val="24"/>
          <w:szCs w:val="24"/>
        </w:rPr>
      </w:pPr>
      <w:r w:rsidRPr="00237171">
        <w:rPr>
          <w:rFonts w:asciiTheme="majorBidi" w:hAnsiTheme="majorBidi" w:cstheme="majorBidi"/>
          <w:b/>
          <w:bCs/>
          <w:color w:val="000000" w:themeColor="text1"/>
          <w:sz w:val="24"/>
          <w:szCs w:val="24"/>
        </w:rPr>
        <w:t>In vitro Antibacterial Activity</w:t>
      </w:r>
    </w:p>
    <w:p w14:paraId="1B9EEB73" w14:textId="7F31DFA4" w:rsidR="00237171" w:rsidRDefault="00FC22A2" w:rsidP="00112E14">
      <w:pPr>
        <w:spacing w:line="360" w:lineRule="auto"/>
        <w:ind w:firstLine="720"/>
        <w:jc w:val="both"/>
        <w:rPr>
          <w:rFonts w:asciiTheme="majorBidi" w:hAnsiTheme="majorBidi" w:cstheme="majorBidi"/>
          <w:color w:val="000000" w:themeColor="text1"/>
          <w:sz w:val="24"/>
          <w:szCs w:val="24"/>
        </w:rPr>
      </w:pPr>
      <w:r w:rsidRPr="00237171">
        <w:rPr>
          <w:rFonts w:asciiTheme="majorBidi" w:hAnsiTheme="majorBidi" w:cstheme="majorBidi"/>
          <w:color w:val="000000" w:themeColor="text1"/>
          <w:sz w:val="24"/>
          <w:szCs w:val="24"/>
        </w:rPr>
        <w:t>Mueller–Hinton (MH) agar plates were used to assess the antibacterial activity of the plant extracts against </w:t>
      </w:r>
      <w:r w:rsidRPr="00237171">
        <w:rPr>
          <w:rFonts w:asciiTheme="majorBidi" w:hAnsiTheme="majorBidi" w:cstheme="majorBidi"/>
          <w:i/>
          <w:iCs/>
          <w:color w:val="000000" w:themeColor="text1"/>
          <w:sz w:val="24"/>
          <w:szCs w:val="24"/>
        </w:rPr>
        <w:t xml:space="preserve">A. </w:t>
      </w:r>
      <w:proofErr w:type="spellStart"/>
      <w:r w:rsidRPr="00237171">
        <w:rPr>
          <w:rFonts w:asciiTheme="majorBidi" w:hAnsiTheme="majorBidi" w:cstheme="majorBidi"/>
          <w:i/>
          <w:iCs/>
          <w:color w:val="000000" w:themeColor="text1"/>
          <w:sz w:val="24"/>
          <w:szCs w:val="24"/>
        </w:rPr>
        <w:t>hydrophila</w:t>
      </w:r>
      <w:proofErr w:type="spellEnd"/>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 xml:space="preserve">Briefly, 100 µL of the standardized bacterial suspension </w:t>
      </w:r>
      <w:r w:rsidR="00CF5AC2" w:rsidRPr="00237171">
        <w:rPr>
          <w:rFonts w:asciiTheme="majorBidi" w:hAnsiTheme="majorBidi" w:cstheme="majorBidi"/>
          <w:color w:val="000000" w:themeColor="text1"/>
          <w:sz w:val="24"/>
          <w:szCs w:val="24"/>
        </w:rPr>
        <w:lastRenderedPageBreak/>
        <w:t>was spread uniformly over the surface of each MH agar plate using a sterile spreader to obtain a confluent lawn.</w:t>
      </w:r>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Wells with diameters of 8 mm were aseptically punched into the agar using sterile micropipette tips, and 100 µL of each test solution (methanolic and aqueous extracts) was dispensed into the respective wells.</w:t>
      </w:r>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Oxytetracycline antibiotic discs served as positive controls, and appropriate solvent controls were included.</w:t>
      </w:r>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 xml:space="preserve">The plates were incubated at 35 ± 2°C for 24 h, and the diameter of the inhibition zones around each well or disc was measured in </w:t>
      </w:r>
      <w:proofErr w:type="spellStart"/>
      <w:r w:rsidR="00CF5AC2" w:rsidRPr="00237171">
        <w:rPr>
          <w:rFonts w:asciiTheme="majorBidi" w:hAnsiTheme="majorBidi" w:cstheme="majorBidi"/>
          <w:color w:val="000000" w:themeColor="text1"/>
          <w:sz w:val="24"/>
          <w:szCs w:val="24"/>
        </w:rPr>
        <w:t>millimeters</w:t>
      </w:r>
      <w:proofErr w:type="spellEnd"/>
      <w:r w:rsidR="00CF5AC2" w:rsidRPr="00237171">
        <w:rPr>
          <w:rFonts w:asciiTheme="majorBidi" w:hAnsiTheme="majorBidi" w:cstheme="majorBidi"/>
          <w:color w:val="000000" w:themeColor="text1"/>
          <w:sz w:val="24"/>
          <w:szCs w:val="24"/>
        </w:rPr>
        <w:t>.</w:t>
      </w:r>
      <w:r w:rsidRPr="00237171">
        <w:rPr>
          <w:rFonts w:asciiTheme="majorBidi" w:hAnsiTheme="majorBidi" w:cstheme="majorBidi"/>
          <w:color w:val="000000" w:themeColor="text1"/>
          <w:sz w:val="24"/>
          <w:szCs w:val="24"/>
        </w:rPr>
        <w:t xml:space="preserve"> </w:t>
      </w:r>
      <w:r w:rsidR="00CF5AC2" w:rsidRPr="00237171">
        <w:rPr>
          <w:rFonts w:asciiTheme="majorBidi" w:hAnsiTheme="majorBidi" w:cstheme="majorBidi"/>
          <w:color w:val="000000" w:themeColor="text1"/>
          <w:sz w:val="24"/>
          <w:szCs w:val="24"/>
        </w:rPr>
        <w:t>All treatments were tested in triplicate using independent plates.</w:t>
      </w:r>
    </w:p>
    <w:p w14:paraId="79FEB32A" w14:textId="77777777" w:rsidR="00237171" w:rsidRDefault="00D31D44" w:rsidP="00237171">
      <w:pPr>
        <w:spacing w:line="360" w:lineRule="auto"/>
        <w:rPr>
          <w:rFonts w:asciiTheme="majorBidi" w:hAnsiTheme="majorBidi" w:cstheme="majorBidi"/>
          <w:b/>
          <w:bCs/>
          <w:color w:val="000000" w:themeColor="text1"/>
          <w:sz w:val="24"/>
          <w:szCs w:val="24"/>
        </w:rPr>
      </w:pPr>
      <w:r w:rsidRPr="00237171">
        <w:rPr>
          <w:rFonts w:asciiTheme="majorBidi" w:hAnsiTheme="majorBidi" w:cstheme="majorBidi"/>
          <w:b/>
          <w:bCs/>
          <w:color w:val="000000" w:themeColor="text1"/>
          <w:sz w:val="24"/>
          <w:szCs w:val="24"/>
        </w:rPr>
        <w:t>Minimum Inhibitory Concentrations</w:t>
      </w:r>
    </w:p>
    <w:p w14:paraId="792DEAC5" w14:textId="6934B153" w:rsidR="005227E9" w:rsidRPr="003340AC" w:rsidRDefault="00CF5AC2" w:rsidP="00680DF4">
      <w:pPr>
        <w:spacing w:line="360" w:lineRule="auto"/>
        <w:ind w:firstLine="720"/>
        <w:jc w:val="both"/>
        <w:rPr>
          <w:rFonts w:asciiTheme="majorBidi" w:hAnsiTheme="majorBidi" w:cstheme="majorBidi"/>
          <w:color w:val="000000" w:themeColor="text1"/>
          <w:sz w:val="24"/>
          <w:szCs w:val="24"/>
        </w:rPr>
      </w:pPr>
      <w:r w:rsidRPr="00D17FBB">
        <w:rPr>
          <w:rFonts w:asciiTheme="majorBidi" w:hAnsiTheme="majorBidi" w:cstheme="majorBidi"/>
          <w:color w:val="000000" w:themeColor="text1"/>
          <w:sz w:val="24"/>
          <w:szCs w:val="24"/>
        </w:rPr>
        <w:t xml:space="preserve">The minimum inhibitory concentrations (MICs) of 5% </w:t>
      </w:r>
      <w:proofErr w:type="spellStart"/>
      <w:r w:rsidRPr="00D17FBB">
        <w:rPr>
          <w:rFonts w:asciiTheme="majorBidi" w:hAnsiTheme="majorBidi" w:cstheme="majorBidi"/>
          <w:i/>
          <w:iCs/>
          <w:color w:val="000000" w:themeColor="text1"/>
          <w:sz w:val="24"/>
          <w:szCs w:val="24"/>
        </w:rPr>
        <w:t>Azadirachta</w:t>
      </w:r>
      <w:proofErr w:type="spellEnd"/>
      <w:r w:rsidRPr="00D17FBB">
        <w:rPr>
          <w:rFonts w:asciiTheme="majorBidi" w:hAnsiTheme="majorBidi" w:cstheme="majorBidi"/>
          <w:i/>
          <w:iCs/>
          <w:color w:val="000000" w:themeColor="text1"/>
          <w:sz w:val="24"/>
          <w:szCs w:val="24"/>
        </w:rPr>
        <w:t xml:space="preserve"> </w:t>
      </w:r>
      <w:proofErr w:type="spellStart"/>
      <w:r w:rsidRPr="00D17FBB">
        <w:rPr>
          <w:rFonts w:asciiTheme="majorBidi" w:hAnsiTheme="majorBidi" w:cstheme="majorBidi"/>
          <w:i/>
          <w:iCs/>
          <w:color w:val="000000" w:themeColor="text1"/>
          <w:sz w:val="24"/>
          <w:szCs w:val="24"/>
        </w:rPr>
        <w:t>indica</w:t>
      </w:r>
      <w:proofErr w:type="spellEnd"/>
      <w:r w:rsidRPr="00D17FBB">
        <w:rPr>
          <w:rFonts w:asciiTheme="majorBidi" w:hAnsiTheme="majorBidi" w:cstheme="majorBidi"/>
          <w:color w:val="000000" w:themeColor="text1"/>
          <w:sz w:val="24"/>
          <w:szCs w:val="24"/>
        </w:rPr>
        <w:t xml:space="preserve"> (neem), 5% </w:t>
      </w:r>
      <w:proofErr w:type="spellStart"/>
      <w:r w:rsidRPr="00D17FBB">
        <w:rPr>
          <w:rFonts w:asciiTheme="majorBidi" w:hAnsiTheme="majorBidi" w:cstheme="majorBidi"/>
          <w:i/>
          <w:iCs/>
          <w:color w:val="000000" w:themeColor="text1"/>
          <w:sz w:val="24"/>
          <w:szCs w:val="24"/>
        </w:rPr>
        <w:t>Ocimum</w:t>
      </w:r>
      <w:proofErr w:type="spellEnd"/>
      <w:r w:rsidRPr="00D17FBB">
        <w:rPr>
          <w:rFonts w:asciiTheme="majorBidi" w:hAnsiTheme="majorBidi" w:cstheme="majorBidi"/>
          <w:i/>
          <w:iCs/>
          <w:color w:val="000000" w:themeColor="text1"/>
          <w:sz w:val="24"/>
          <w:szCs w:val="24"/>
        </w:rPr>
        <w:t xml:space="preserve"> sanctum</w:t>
      </w:r>
      <w:r w:rsidRPr="00D17FBB">
        <w:rPr>
          <w:rFonts w:asciiTheme="majorBidi" w:hAnsiTheme="majorBidi" w:cstheme="majorBidi"/>
          <w:color w:val="000000" w:themeColor="text1"/>
          <w:sz w:val="24"/>
          <w:szCs w:val="24"/>
        </w:rPr>
        <w:t xml:space="preserve"> (</w:t>
      </w:r>
      <w:proofErr w:type="spellStart"/>
      <w:r w:rsidRPr="00D17FBB">
        <w:rPr>
          <w:rFonts w:asciiTheme="majorBidi" w:hAnsiTheme="majorBidi" w:cstheme="majorBidi"/>
          <w:color w:val="000000" w:themeColor="text1"/>
          <w:sz w:val="24"/>
          <w:szCs w:val="24"/>
        </w:rPr>
        <w:t>tulsi</w:t>
      </w:r>
      <w:proofErr w:type="spellEnd"/>
      <w:r w:rsidRPr="00D17FBB">
        <w:rPr>
          <w:rFonts w:asciiTheme="majorBidi" w:hAnsiTheme="majorBidi" w:cstheme="majorBidi"/>
          <w:color w:val="000000" w:themeColor="text1"/>
          <w:sz w:val="24"/>
          <w:szCs w:val="24"/>
        </w:rPr>
        <w:t>), and 5% combined neem–</w:t>
      </w:r>
      <w:proofErr w:type="spellStart"/>
      <w:r w:rsidRPr="00D17FBB">
        <w:rPr>
          <w:rFonts w:asciiTheme="majorBidi" w:hAnsiTheme="majorBidi" w:cstheme="majorBidi"/>
          <w:color w:val="000000" w:themeColor="text1"/>
          <w:sz w:val="24"/>
          <w:szCs w:val="24"/>
        </w:rPr>
        <w:t>tulsi</w:t>
      </w:r>
      <w:proofErr w:type="spellEnd"/>
      <w:r w:rsidRPr="00D17FBB">
        <w:rPr>
          <w:rFonts w:asciiTheme="majorBidi" w:hAnsiTheme="majorBidi" w:cstheme="majorBidi"/>
          <w:color w:val="000000" w:themeColor="text1"/>
          <w:sz w:val="24"/>
          <w:szCs w:val="24"/>
        </w:rPr>
        <w:t xml:space="preserve"> leaf extracts (aqueous and ethanolic) against </w:t>
      </w:r>
      <w:r w:rsidRPr="00D17FBB">
        <w:rPr>
          <w:rFonts w:asciiTheme="majorBidi" w:hAnsiTheme="majorBidi" w:cstheme="majorBidi"/>
          <w:i/>
          <w:iCs/>
          <w:color w:val="000000" w:themeColor="text1"/>
          <w:sz w:val="24"/>
          <w:szCs w:val="24"/>
        </w:rPr>
        <w:t xml:space="preserve">Aeromonas </w:t>
      </w:r>
      <w:proofErr w:type="spellStart"/>
      <w:r w:rsidRPr="00D17FBB">
        <w:rPr>
          <w:rFonts w:asciiTheme="majorBidi" w:hAnsiTheme="majorBidi" w:cstheme="majorBidi"/>
          <w:i/>
          <w:iCs/>
          <w:color w:val="000000" w:themeColor="text1"/>
          <w:sz w:val="24"/>
          <w:szCs w:val="24"/>
        </w:rPr>
        <w:t>hydrophila</w:t>
      </w:r>
      <w:proofErr w:type="spellEnd"/>
      <w:r w:rsidRPr="00D17FBB">
        <w:rPr>
          <w:rFonts w:asciiTheme="majorBidi" w:hAnsiTheme="majorBidi" w:cstheme="majorBidi"/>
          <w:color w:val="000000" w:themeColor="text1"/>
          <w:sz w:val="24"/>
          <w:szCs w:val="24"/>
        </w:rPr>
        <w:t xml:space="preserve"> were determined using a 96‑well broth microdilution assay</w:t>
      </w:r>
      <w:r>
        <w:rPr>
          <w:rFonts w:asciiTheme="majorBidi" w:hAnsiTheme="majorBidi" w:cstheme="majorBidi"/>
          <w:color w:val="000000" w:themeColor="text1"/>
          <w:sz w:val="24"/>
          <w:szCs w:val="24"/>
        </w:rPr>
        <w:t xml:space="preserve">, as described by </w:t>
      </w:r>
      <w:r w:rsidRPr="007341A2">
        <w:rPr>
          <w:rFonts w:asciiTheme="majorBidi" w:hAnsiTheme="majorBidi" w:cstheme="majorBidi"/>
          <w:sz w:val="24"/>
          <w:szCs w:val="24"/>
        </w:rPr>
        <w:t xml:space="preserve">Sarker </w:t>
      </w:r>
      <w:r>
        <w:rPr>
          <w:rFonts w:asciiTheme="majorBidi" w:hAnsiTheme="majorBidi" w:cstheme="majorBidi"/>
          <w:sz w:val="24"/>
          <w:szCs w:val="24"/>
        </w:rPr>
        <w:t>et al. (2007)</w:t>
      </w:r>
      <w:r w:rsidRPr="00D17FBB">
        <w:rPr>
          <w:rFonts w:asciiTheme="majorBidi" w:hAnsiTheme="majorBidi" w:cstheme="majorBidi"/>
          <w:color w:val="000000" w:themeColor="text1"/>
          <w:sz w:val="24"/>
          <w:szCs w:val="24"/>
        </w:rPr>
        <w:t>.</w:t>
      </w:r>
      <w:r w:rsidR="00D17FBB" w:rsidRPr="00D17FBB">
        <w:rPr>
          <w:rFonts w:asciiTheme="majorBidi" w:hAnsiTheme="majorBidi" w:cstheme="majorBidi"/>
          <w:color w:val="000000" w:themeColor="text1"/>
          <w:sz w:val="24"/>
          <w:szCs w:val="24"/>
        </w:rPr>
        <w:t xml:space="preserve"> Crude extracts were prepared at 5% (w/v) and subjected to two‑fold serial dilution in sterile cation‑adjusted Mueller–Hinton broth across the microplate to generate a concentration series suitable for MIC determination, while additional wells containing broth only served as sterility controls. Each well was inoculated with a standardized </w:t>
      </w:r>
      <w:r w:rsidR="00D17FBB" w:rsidRPr="00D17FBB">
        <w:rPr>
          <w:rFonts w:asciiTheme="majorBidi" w:hAnsiTheme="majorBidi" w:cstheme="majorBidi"/>
          <w:i/>
          <w:iCs/>
          <w:color w:val="000000" w:themeColor="text1"/>
          <w:sz w:val="24"/>
          <w:szCs w:val="24"/>
        </w:rPr>
        <w:t xml:space="preserve">A. </w:t>
      </w:r>
      <w:proofErr w:type="spellStart"/>
      <w:r w:rsidR="00D17FBB" w:rsidRPr="00D17FBB">
        <w:rPr>
          <w:rFonts w:asciiTheme="majorBidi" w:hAnsiTheme="majorBidi" w:cstheme="majorBidi"/>
          <w:i/>
          <w:iCs/>
          <w:color w:val="000000" w:themeColor="text1"/>
          <w:sz w:val="24"/>
          <w:szCs w:val="24"/>
        </w:rPr>
        <w:t>hydrophila</w:t>
      </w:r>
      <w:proofErr w:type="spellEnd"/>
      <w:r w:rsidR="00D17FBB" w:rsidRPr="00D17FBB">
        <w:rPr>
          <w:rFonts w:asciiTheme="majorBidi" w:hAnsiTheme="majorBidi" w:cstheme="majorBidi"/>
          <w:color w:val="000000" w:themeColor="text1"/>
          <w:sz w:val="24"/>
          <w:szCs w:val="24"/>
        </w:rPr>
        <w:t xml:space="preserve"> suspension and incubated at 35 ± 2 °C for 24 h. </w:t>
      </w:r>
      <w:r w:rsidRPr="00D17FBB">
        <w:rPr>
          <w:rFonts w:asciiTheme="majorBidi" w:hAnsiTheme="majorBidi" w:cstheme="majorBidi"/>
          <w:color w:val="000000" w:themeColor="text1"/>
          <w:sz w:val="24"/>
          <w:szCs w:val="24"/>
        </w:rPr>
        <w:t xml:space="preserve">To verify viability and increase the sensitivity of detection, resazurin dye was then added to each well and plates were incubated for a further 1–2 h; wells that showed no </w:t>
      </w:r>
      <w:proofErr w:type="spellStart"/>
      <w:r w:rsidRPr="00D17FBB">
        <w:rPr>
          <w:rFonts w:asciiTheme="majorBidi" w:hAnsiTheme="majorBidi" w:cstheme="majorBidi"/>
          <w:color w:val="000000" w:themeColor="text1"/>
          <w:sz w:val="24"/>
          <w:szCs w:val="24"/>
        </w:rPr>
        <w:t>color</w:t>
      </w:r>
      <w:proofErr w:type="spellEnd"/>
      <w:r w:rsidRPr="00D17FBB">
        <w:rPr>
          <w:rFonts w:asciiTheme="majorBidi" w:hAnsiTheme="majorBidi" w:cstheme="majorBidi"/>
          <w:color w:val="000000" w:themeColor="text1"/>
          <w:sz w:val="24"/>
          <w:szCs w:val="24"/>
        </w:rPr>
        <w:t xml:space="preserve"> change were considered growth‑inhibited, whereas wells that developed </w:t>
      </w:r>
      <w:proofErr w:type="spellStart"/>
      <w:r w:rsidRPr="00D17FBB">
        <w:rPr>
          <w:rFonts w:asciiTheme="majorBidi" w:hAnsiTheme="majorBidi" w:cstheme="majorBidi"/>
          <w:color w:val="000000" w:themeColor="text1"/>
          <w:sz w:val="24"/>
          <w:szCs w:val="24"/>
        </w:rPr>
        <w:t>color</w:t>
      </w:r>
      <w:proofErr w:type="spellEnd"/>
      <w:r w:rsidRPr="00D17FBB">
        <w:rPr>
          <w:rFonts w:asciiTheme="majorBidi" w:hAnsiTheme="majorBidi" w:cstheme="majorBidi"/>
          <w:color w:val="000000" w:themeColor="text1"/>
          <w:sz w:val="24"/>
          <w:szCs w:val="24"/>
        </w:rPr>
        <w:t xml:space="preserve"> were interpreted as containing metabolically active, surviving bacteria.</w:t>
      </w:r>
      <w:r w:rsidR="005227E9" w:rsidRPr="00237171">
        <w:rPr>
          <w:rFonts w:asciiTheme="majorBidi" w:hAnsiTheme="majorBidi" w:cstheme="majorBidi"/>
          <w:color w:val="000000" w:themeColor="text1"/>
          <w:sz w:val="24"/>
          <w:szCs w:val="24"/>
        </w:rPr>
        <w:br/>
      </w:r>
      <w:r w:rsidR="003316AB" w:rsidRPr="003316AB">
        <w:rPr>
          <w:rFonts w:asciiTheme="majorBidi" w:hAnsiTheme="majorBidi" w:cstheme="majorBidi"/>
          <w:b/>
          <w:bCs/>
          <w:color w:val="000000" w:themeColor="text1"/>
          <w:sz w:val="24"/>
          <w:szCs w:val="24"/>
        </w:rPr>
        <w:t>Results</w:t>
      </w:r>
    </w:p>
    <w:p w14:paraId="1BBD06D8" w14:textId="0BCC764F" w:rsidR="00991AA2" w:rsidRDefault="00CF60F2" w:rsidP="00CF60F2">
      <w:pPr>
        <w:spacing w:line="360" w:lineRule="auto"/>
        <w:jc w:val="center"/>
        <w:rPr>
          <w:rFonts w:asciiTheme="majorBidi" w:hAnsiTheme="majorBidi" w:cstheme="majorBidi"/>
          <w:color w:val="000000" w:themeColor="text1"/>
          <w:sz w:val="24"/>
          <w:szCs w:val="24"/>
        </w:rPr>
      </w:pPr>
      <w:r>
        <w:rPr>
          <w:noProof/>
        </w:rPr>
        <w:drawing>
          <wp:inline distT="0" distB="0" distL="0" distR="0" wp14:anchorId="0701DB86" wp14:editId="6D48D1AD">
            <wp:extent cx="4152900" cy="2597150"/>
            <wp:effectExtent l="0" t="0" r="0" b="12700"/>
            <wp:docPr id="492878071" name="Chart 1">
              <a:extLst xmlns:a="http://schemas.openxmlformats.org/drawingml/2006/main">
                <a:ext uri="{FF2B5EF4-FFF2-40B4-BE49-F238E27FC236}">
                  <a16:creationId xmlns:a16="http://schemas.microsoft.com/office/drawing/2014/main" id="{6A328A6E-AA7B-05B5-BC02-B91378676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EA0586" w14:textId="5C9594E7" w:rsidR="00CF60F2" w:rsidRDefault="00CF60F2" w:rsidP="00CF60F2">
      <w:pPr>
        <w:spacing w:line="360" w:lineRule="auto"/>
        <w:jc w:val="center"/>
        <w:rPr>
          <w:rFonts w:asciiTheme="majorBidi" w:hAnsiTheme="majorBidi" w:cstheme="majorBidi"/>
          <w:b/>
          <w:bCs/>
          <w:color w:val="000000" w:themeColor="text1"/>
          <w:sz w:val="24"/>
          <w:szCs w:val="24"/>
        </w:rPr>
      </w:pPr>
      <w:r w:rsidRPr="00CF60F2">
        <w:rPr>
          <w:rFonts w:asciiTheme="majorBidi" w:hAnsiTheme="majorBidi" w:cstheme="majorBidi"/>
          <w:b/>
          <w:bCs/>
          <w:color w:val="000000" w:themeColor="text1"/>
          <w:sz w:val="24"/>
          <w:szCs w:val="24"/>
        </w:rPr>
        <w:t>Fig.1 Lethal Dose (LD</w:t>
      </w:r>
      <w:r w:rsidRPr="00CF60F2">
        <w:rPr>
          <w:rFonts w:asciiTheme="majorBidi" w:hAnsiTheme="majorBidi" w:cstheme="majorBidi"/>
          <w:b/>
          <w:bCs/>
          <w:color w:val="000000" w:themeColor="text1"/>
          <w:sz w:val="24"/>
          <w:szCs w:val="24"/>
          <w:vertAlign w:val="subscript"/>
        </w:rPr>
        <w:t>50</w:t>
      </w:r>
      <w:r w:rsidRPr="00CF60F2">
        <w:rPr>
          <w:rFonts w:asciiTheme="majorBidi" w:hAnsiTheme="majorBidi" w:cstheme="majorBidi"/>
          <w:b/>
          <w:bCs/>
          <w:color w:val="000000" w:themeColor="text1"/>
          <w:sz w:val="24"/>
          <w:szCs w:val="24"/>
        </w:rPr>
        <w:t xml:space="preserve">) Assessment of </w:t>
      </w:r>
      <w:r w:rsidRPr="00CF60F2">
        <w:rPr>
          <w:rFonts w:asciiTheme="majorBidi" w:hAnsiTheme="majorBidi" w:cstheme="majorBidi"/>
          <w:b/>
          <w:bCs/>
          <w:i/>
          <w:iCs/>
          <w:color w:val="000000" w:themeColor="text1"/>
          <w:sz w:val="24"/>
          <w:szCs w:val="24"/>
        </w:rPr>
        <w:t xml:space="preserve">Aeromonas </w:t>
      </w:r>
      <w:proofErr w:type="spellStart"/>
      <w:r w:rsidRPr="00CF60F2">
        <w:rPr>
          <w:rFonts w:asciiTheme="majorBidi" w:hAnsiTheme="majorBidi" w:cstheme="majorBidi"/>
          <w:b/>
          <w:bCs/>
          <w:i/>
          <w:iCs/>
          <w:color w:val="000000" w:themeColor="text1"/>
          <w:sz w:val="24"/>
          <w:szCs w:val="24"/>
        </w:rPr>
        <w:t>hydrophila</w:t>
      </w:r>
      <w:proofErr w:type="spellEnd"/>
      <w:r w:rsidRPr="00CF60F2">
        <w:rPr>
          <w:rFonts w:asciiTheme="majorBidi" w:hAnsiTheme="majorBidi" w:cstheme="majorBidi"/>
          <w:b/>
          <w:bCs/>
          <w:color w:val="000000" w:themeColor="text1"/>
          <w:sz w:val="24"/>
          <w:szCs w:val="24"/>
        </w:rPr>
        <w:t xml:space="preserve"> in Common Carp</w:t>
      </w:r>
    </w:p>
    <w:p w14:paraId="1B7E67AD" w14:textId="09E7AA70" w:rsidR="00F82825" w:rsidRPr="00112E14" w:rsidRDefault="00CF5AC2" w:rsidP="00BE26D7">
      <w:pPr>
        <w:spacing w:line="360" w:lineRule="auto"/>
        <w:jc w:val="both"/>
        <w:rPr>
          <w:rFonts w:asciiTheme="majorBidi" w:hAnsiTheme="majorBidi" w:cstheme="majorBidi"/>
          <w:color w:val="000000" w:themeColor="text1"/>
          <w:sz w:val="24"/>
          <w:szCs w:val="24"/>
        </w:rPr>
      </w:pPr>
      <w:r w:rsidRPr="00BE26D7">
        <w:rPr>
          <w:rFonts w:asciiTheme="majorBidi" w:hAnsiTheme="majorBidi" w:cstheme="majorBidi"/>
          <w:color w:val="000000" w:themeColor="text1"/>
          <w:sz w:val="24"/>
          <w:szCs w:val="24"/>
        </w:rPr>
        <w:lastRenderedPageBreak/>
        <w:t xml:space="preserve">The lethal dose (LD50) assessment of </w:t>
      </w:r>
      <w:r w:rsidRPr="00BE26D7">
        <w:rPr>
          <w:rFonts w:asciiTheme="majorBidi" w:hAnsiTheme="majorBidi" w:cstheme="majorBidi"/>
          <w:i/>
          <w:iCs/>
          <w:color w:val="000000" w:themeColor="text1"/>
          <w:sz w:val="24"/>
          <w:szCs w:val="24"/>
        </w:rPr>
        <w:t xml:space="preserve">Aeromonas </w:t>
      </w:r>
      <w:proofErr w:type="spellStart"/>
      <w:r w:rsidRPr="00BE26D7">
        <w:rPr>
          <w:rFonts w:asciiTheme="majorBidi" w:hAnsiTheme="majorBidi" w:cstheme="majorBidi"/>
          <w:i/>
          <w:iCs/>
          <w:color w:val="000000" w:themeColor="text1"/>
          <w:sz w:val="24"/>
          <w:szCs w:val="24"/>
        </w:rPr>
        <w:t>hydrophila</w:t>
      </w:r>
      <w:proofErr w:type="spellEnd"/>
      <w:r w:rsidRPr="00BE26D7">
        <w:rPr>
          <w:rFonts w:asciiTheme="majorBidi" w:hAnsiTheme="majorBidi" w:cstheme="majorBidi"/>
          <w:color w:val="000000" w:themeColor="text1"/>
          <w:sz w:val="24"/>
          <w:szCs w:val="24"/>
        </w:rPr>
        <w:t xml:space="preserve"> in common carp demonstrated a clear dose-dependent increase in mortality (Figure </w:t>
      </w:r>
      <w:r w:rsidR="00316F1D">
        <w:rPr>
          <w:rFonts w:asciiTheme="majorBidi" w:hAnsiTheme="majorBidi" w:cstheme="majorBidi"/>
          <w:color w:val="000000" w:themeColor="text1"/>
          <w:sz w:val="24"/>
          <w:szCs w:val="24"/>
        </w:rPr>
        <w:t>1</w:t>
      </w:r>
      <w:r w:rsidRPr="00BE26D7">
        <w:rPr>
          <w:rFonts w:asciiTheme="majorBidi" w:hAnsiTheme="majorBidi" w:cstheme="majorBidi"/>
          <w:color w:val="000000" w:themeColor="text1"/>
          <w:sz w:val="24"/>
          <w:szCs w:val="24"/>
        </w:rPr>
        <w:t>).</w:t>
      </w:r>
      <w:r w:rsidR="00BE26D7" w:rsidRPr="00BE26D7">
        <w:rPr>
          <w:rFonts w:asciiTheme="majorBidi" w:hAnsiTheme="majorBidi" w:cstheme="majorBidi"/>
          <w:color w:val="000000" w:themeColor="text1"/>
          <w:sz w:val="24"/>
          <w:szCs w:val="24"/>
        </w:rPr>
        <w:t xml:space="preserve"> </w:t>
      </w:r>
      <w:r w:rsidRPr="00BE26D7">
        <w:rPr>
          <w:rFonts w:asciiTheme="majorBidi" w:hAnsiTheme="majorBidi" w:cstheme="majorBidi"/>
          <w:color w:val="000000" w:themeColor="text1"/>
          <w:sz w:val="24"/>
          <w:szCs w:val="24"/>
        </w:rPr>
        <w:t>At the highest bacterial concentration of 1.0 × 10</w:t>
      </w:r>
      <w:r w:rsidRPr="00CF5AC2">
        <w:rPr>
          <w:rFonts w:asciiTheme="majorBidi" w:hAnsiTheme="majorBidi" w:cstheme="majorBidi"/>
          <w:color w:val="000000" w:themeColor="text1"/>
          <w:sz w:val="24"/>
          <w:szCs w:val="24"/>
          <w:vertAlign w:val="superscript"/>
        </w:rPr>
        <w:t>8</w:t>
      </w:r>
      <w:r w:rsidRPr="00BE26D7">
        <w:rPr>
          <w:rFonts w:asciiTheme="majorBidi" w:hAnsiTheme="majorBidi" w:cstheme="majorBidi"/>
          <w:color w:val="000000" w:themeColor="text1"/>
          <w:sz w:val="24"/>
          <w:szCs w:val="24"/>
        </w:rPr>
        <w:t xml:space="preserve"> </w:t>
      </w:r>
      <w:proofErr w:type="spellStart"/>
      <w:r w:rsidRPr="00BE26D7">
        <w:rPr>
          <w:rFonts w:asciiTheme="majorBidi" w:hAnsiTheme="majorBidi" w:cstheme="majorBidi"/>
          <w:color w:val="000000" w:themeColor="text1"/>
          <w:sz w:val="24"/>
          <w:szCs w:val="24"/>
        </w:rPr>
        <w:t>cfu</w:t>
      </w:r>
      <w:proofErr w:type="spellEnd"/>
      <w:r w:rsidRPr="00BE26D7">
        <w:rPr>
          <w:rFonts w:asciiTheme="majorBidi" w:hAnsiTheme="majorBidi" w:cstheme="majorBidi"/>
          <w:color w:val="000000" w:themeColor="text1"/>
          <w:sz w:val="24"/>
          <w:szCs w:val="24"/>
        </w:rPr>
        <w:t>/ml, mortality reached approximately 60%, indicating severe pathogenicity at elevated exposure levels.</w:t>
      </w:r>
      <w:r w:rsidR="00BE26D7" w:rsidRPr="00BE26D7">
        <w:rPr>
          <w:rFonts w:asciiTheme="majorBidi" w:hAnsiTheme="majorBidi" w:cstheme="majorBidi"/>
          <w:color w:val="000000" w:themeColor="text1"/>
          <w:sz w:val="24"/>
          <w:szCs w:val="24"/>
        </w:rPr>
        <w:t xml:space="preserve"> </w:t>
      </w:r>
      <w:r w:rsidRPr="00BE26D7">
        <w:rPr>
          <w:rFonts w:asciiTheme="majorBidi" w:hAnsiTheme="majorBidi" w:cstheme="majorBidi"/>
          <w:color w:val="000000" w:themeColor="text1"/>
          <w:sz w:val="24"/>
          <w:szCs w:val="24"/>
        </w:rPr>
        <w:t xml:space="preserve">A reduction in bacterial concentration to 1.0 × 10⁷ </w:t>
      </w:r>
      <w:proofErr w:type="spellStart"/>
      <w:r w:rsidRPr="00BE26D7">
        <w:rPr>
          <w:rFonts w:asciiTheme="majorBidi" w:hAnsiTheme="majorBidi" w:cstheme="majorBidi"/>
          <w:color w:val="000000" w:themeColor="text1"/>
          <w:sz w:val="24"/>
          <w:szCs w:val="24"/>
        </w:rPr>
        <w:t>cfu</w:t>
      </w:r>
      <w:proofErr w:type="spellEnd"/>
      <w:r w:rsidRPr="00BE26D7">
        <w:rPr>
          <w:rFonts w:asciiTheme="majorBidi" w:hAnsiTheme="majorBidi" w:cstheme="majorBidi"/>
          <w:color w:val="000000" w:themeColor="text1"/>
          <w:sz w:val="24"/>
          <w:szCs w:val="24"/>
        </w:rPr>
        <w:t>/ml resulted in a marked decrease in mortality to approximately 30%.</w:t>
      </w:r>
      <w:r w:rsidR="00BE26D7" w:rsidRPr="00BE26D7">
        <w:rPr>
          <w:rFonts w:asciiTheme="majorBidi" w:hAnsiTheme="majorBidi" w:cstheme="majorBidi"/>
          <w:color w:val="000000" w:themeColor="text1"/>
          <w:sz w:val="24"/>
          <w:szCs w:val="24"/>
        </w:rPr>
        <w:t xml:space="preserve"> Further dilution to 1.0 × 10⁶ </w:t>
      </w:r>
      <w:proofErr w:type="spellStart"/>
      <w:r w:rsidR="00BE26D7" w:rsidRPr="00BE26D7">
        <w:rPr>
          <w:rFonts w:asciiTheme="majorBidi" w:hAnsiTheme="majorBidi" w:cstheme="majorBidi"/>
          <w:color w:val="000000" w:themeColor="text1"/>
          <w:sz w:val="24"/>
          <w:szCs w:val="24"/>
        </w:rPr>
        <w:t>cfu</w:t>
      </w:r>
      <w:proofErr w:type="spellEnd"/>
      <w:r w:rsidR="00BE26D7" w:rsidRPr="00BE26D7">
        <w:rPr>
          <w:rFonts w:asciiTheme="majorBidi" w:hAnsiTheme="majorBidi" w:cstheme="majorBidi"/>
          <w:color w:val="000000" w:themeColor="text1"/>
          <w:sz w:val="24"/>
          <w:szCs w:val="24"/>
        </w:rPr>
        <w:t xml:space="preserve">/ml caused only 10% mortality, while no mortality was observed at the lowest tested concentration of 1.0 × 10⁵ </w:t>
      </w:r>
      <w:proofErr w:type="spellStart"/>
      <w:r w:rsidR="00BE26D7" w:rsidRPr="00BE26D7">
        <w:rPr>
          <w:rFonts w:asciiTheme="majorBidi" w:hAnsiTheme="majorBidi" w:cstheme="majorBidi"/>
          <w:color w:val="000000" w:themeColor="text1"/>
          <w:sz w:val="24"/>
          <w:szCs w:val="24"/>
        </w:rPr>
        <w:t>cfu</w:t>
      </w:r>
      <w:proofErr w:type="spellEnd"/>
      <w:r w:rsidR="00BE26D7" w:rsidRPr="00BE26D7">
        <w:rPr>
          <w:rFonts w:asciiTheme="majorBidi" w:hAnsiTheme="majorBidi" w:cstheme="majorBidi"/>
          <w:color w:val="000000" w:themeColor="text1"/>
          <w:sz w:val="24"/>
          <w:szCs w:val="24"/>
        </w:rPr>
        <w:t xml:space="preserve">/ml. These findings indicate a strong inverse relationship between bacterial concentration and survival of common carp, with the LD₅₀ estimated to fall between 1.0 × 10⁷ and 1.0 × 10⁸ </w:t>
      </w:r>
      <w:proofErr w:type="spellStart"/>
      <w:r w:rsidR="00BE26D7" w:rsidRPr="00BE26D7">
        <w:rPr>
          <w:rFonts w:asciiTheme="majorBidi" w:hAnsiTheme="majorBidi" w:cstheme="majorBidi"/>
          <w:color w:val="000000" w:themeColor="text1"/>
          <w:sz w:val="24"/>
          <w:szCs w:val="24"/>
        </w:rPr>
        <w:t>cfu</w:t>
      </w:r>
      <w:proofErr w:type="spellEnd"/>
      <w:r w:rsidR="00BE26D7" w:rsidRPr="00BE26D7">
        <w:rPr>
          <w:rFonts w:asciiTheme="majorBidi" w:hAnsiTheme="majorBidi" w:cstheme="majorBidi"/>
          <w:color w:val="000000" w:themeColor="text1"/>
          <w:sz w:val="24"/>
          <w:szCs w:val="24"/>
        </w:rPr>
        <w:t>/ml.</w:t>
      </w:r>
    </w:p>
    <w:p w14:paraId="46C5A08A" w14:textId="1E7CE901" w:rsidR="001806A1" w:rsidRPr="001806A1" w:rsidRDefault="001806A1" w:rsidP="001806A1">
      <w:pPr>
        <w:spacing w:line="360" w:lineRule="auto"/>
        <w:jc w:val="both"/>
        <w:rPr>
          <w:rFonts w:asciiTheme="majorBidi" w:hAnsiTheme="majorBidi" w:cstheme="majorBidi"/>
          <w:b/>
          <w:bCs/>
          <w:color w:val="000000" w:themeColor="text1"/>
        </w:rPr>
      </w:pPr>
      <w:r w:rsidRPr="007A0DB2">
        <w:rPr>
          <w:rFonts w:asciiTheme="majorBidi" w:hAnsiTheme="majorBidi" w:cstheme="majorBidi"/>
          <w:b/>
          <w:bCs/>
          <w:color w:val="000000" w:themeColor="text1"/>
        </w:rPr>
        <w:t xml:space="preserve">Table </w:t>
      </w:r>
      <w:r>
        <w:rPr>
          <w:rFonts w:asciiTheme="majorBidi" w:hAnsiTheme="majorBidi" w:cstheme="majorBidi"/>
          <w:b/>
          <w:bCs/>
          <w:color w:val="000000" w:themeColor="text1"/>
        </w:rPr>
        <w:t>1</w:t>
      </w:r>
      <w:r w:rsidRPr="007A0DB2">
        <w:rPr>
          <w:rFonts w:asciiTheme="majorBidi" w:hAnsiTheme="majorBidi" w:cstheme="majorBidi"/>
          <w:b/>
          <w:bCs/>
          <w:color w:val="000000" w:themeColor="text1"/>
        </w:rPr>
        <w:t xml:space="preserve">. Zones inhibition of different plant extracts against </w:t>
      </w:r>
      <w:r w:rsidRPr="007A0DB2">
        <w:rPr>
          <w:rFonts w:asciiTheme="majorBidi" w:hAnsiTheme="majorBidi" w:cstheme="majorBidi"/>
          <w:b/>
          <w:bCs/>
          <w:i/>
          <w:iCs/>
          <w:color w:val="000000" w:themeColor="text1"/>
        </w:rPr>
        <w:t xml:space="preserve">Aeromonas </w:t>
      </w:r>
      <w:proofErr w:type="spellStart"/>
      <w:r w:rsidRPr="007A0DB2">
        <w:rPr>
          <w:rFonts w:asciiTheme="majorBidi" w:hAnsiTheme="majorBidi" w:cstheme="majorBidi"/>
          <w:b/>
          <w:bCs/>
          <w:i/>
          <w:iCs/>
          <w:color w:val="000000" w:themeColor="text1"/>
        </w:rPr>
        <w:t>hydrophila</w:t>
      </w:r>
      <w:proofErr w:type="spellEnd"/>
    </w:p>
    <w:tbl>
      <w:tblPr>
        <w:tblStyle w:val="TableGrid"/>
        <w:tblW w:w="0" w:type="auto"/>
        <w:tblLook w:val="04A0" w:firstRow="1" w:lastRow="0" w:firstColumn="1" w:lastColumn="0" w:noHBand="0" w:noVBand="1"/>
      </w:tblPr>
      <w:tblGrid>
        <w:gridCol w:w="895"/>
        <w:gridCol w:w="4042"/>
        <w:gridCol w:w="2015"/>
        <w:gridCol w:w="2064"/>
      </w:tblGrid>
      <w:tr w:rsidR="00832892" w14:paraId="20E8A666" w14:textId="77777777" w:rsidTr="00832892">
        <w:tc>
          <w:tcPr>
            <w:tcW w:w="895" w:type="dxa"/>
            <w:vMerge w:val="restart"/>
          </w:tcPr>
          <w:p w14:paraId="76057288" w14:textId="06FC4191" w:rsidR="00832892" w:rsidRDefault="00832892" w:rsidP="00832892">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S.N.</w:t>
            </w:r>
          </w:p>
        </w:tc>
        <w:tc>
          <w:tcPr>
            <w:tcW w:w="4042" w:type="dxa"/>
            <w:vMerge w:val="restart"/>
          </w:tcPr>
          <w:p w14:paraId="78240D24" w14:textId="055F5F72" w:rsidR="00832892" w:rsidRPr="007A0DB2" w:rsidRDefault="00832892" w:rsidP="00832892">
            <w:pPr>
              <w:spacing w:line="360" w:lineRule="auto"/>
              <w:jc w:val="center"/>
              <w:rPr>
                <w:rFonts w:asciiTheme="majorBidi" w:hAnsiTheme="majorBidi" w:cstheme="majorBidi"/>
                <w:b/>
                <w:bCs/>
                <w:color w:val="000000" w:themeColor="text1"/>
              </w:rPr>
            </w:pPr>
            <w:r>
              <w:rPr>
                <w:rFonts w:asciiTheme="majorBidi" w:hAnsiTheme="majorBidi" w:cstheme="majorBidi"/>
                <w:b/>
                <w:bCs/>
                <w:color w:val="000000" w:themeColor="text1"/>
                <w:sz w:val="24"/>
                <w:szCs w:val="24"/>
              </w:rPr>
              <w:t>Extract</w:t>
            </w:r>
          </w:p>
        </w:tc>
        <w:tc>
          <w:tcPr>
            <w:tcW w:w="4079" w:type="dxa"/>
            <w:gridSpan w:val="2"/>
          </w:tcPr>
          <w:p w14:paraId="27DE9436" w14:textId="5BB63535" w:rsidR="00832892" w:rsidRDefault="00832892" w:rsidP="00832892">
            <w:pPr>
              <w:spacing w:line="360" w:lineRule="auto"/>
              <w:jc w:val="center"/>
              <w:rPr>
                <w:rFonts w:asciiTheme="majorBidi" w:hAnsiTheme="majorBidi" w:cstheme="majorBidi"/>
                <w:b/>
                <w:bCs/>
                <w:color w:val="000000" w:themeColor="text1"/>
                <w:sz w:val="24"/>
                <w:szCs w:val="24"/>
              </w:rPr>
            </w:pPr>
            <w:r w:rsidRPr="007A0DB2">
              <w:rPr>
                <w:rFonts w:asciiTheme="majorBidi" w:hAnsiTheme="majorBidi" w:cstheme="majorBidi"/>
                <w:b/>
                <w:bCs/>
                <w:color w:val="000000" w:themeColor="text1"/>
              </w:rPr>
              <w:t>Antimicrobial inhibition zones</w:t>
            </w:r>
            <w:r>
              <w:rPr>
                <w:rFonts w:asciiTheme="majorBidi" w:hAnsiTheme="majorBidi" w:cstheme="majorBidi"/>
                <w:b/>
                <w:bCs/>
                <w:color w:val="000000" w:themeColor="text1"/>
              </w:rPr>
              <w:t xml:space="preserve"> (mm)</w:t>
            </w:r>
          </w:p>
        </w:tc>
      </w:tr>
      <w:tr w:rsidR="00832892" w14:paraId="4C296D0C" w14:textId="77777777" w:rsidTr="00832892">
        <w:tc>
          <w:tcPr>
            <w:tcW w:w="895" w:type="dxa"/>
            <w:vMerge/>
          </w:tcPr>
          <w:p w14:paraId="1844552C" w14:textId="60B12EC4" w:rsidR="00832892" w:rsidRDefault="00832892" w:rsidP="00832892">
            <w:pPr>
              <w:spacing w:line="360" w:lineRule="auto"/>
              <w:jc w:val="center"/>
              <w:rPr>
                <w:rFonts w:asciiTheme="majorBidi" w:hAnsiTheme="majorBidi" w:cstheme="majorBidi"/>
                <w:b/>
                <w:bCs/>
                <w:color w:val="000000" w:themeColor="text1"/>
                <w:sz w:val="24"/>
                <w:szCs w:val="24"/>
              </w:rPr>
            </w:pPr>
          </w:p>
        </w:tc>
        <w:tc>
          <w:tcPr>
            <w:tcW w:w="4042" w:type="dxa"/>
            <w:vMerge/>
          </w:tcPr>
          <w:p w14:paraId="4CD18E30" w14:textId="77777777" w:rsidR="00832892" w:rsidRDefault="00832892" w:rsidP="00832892">
            <w:pPr>
              <w:spacing w:line="360" w:lineRule="auto"/>
              <w:jc w:val="center"/>
              <w:rPr>
                <w:rFonts w:asciiTheme="majorBidi" w:hAnsiTheme="majorBidi" w:cstheme="majorBidi"/>
                <w:b/>
                <w:bCs/>
                <w:color w:val="000000" w:themeColor="text1"/>
                <w:sz w:val="24"/>
                <w:szCs w:val="24"/>
              </w:rPr>
            </w:pPr>
          </w:p>
        </w:tc>
        <w:tc>
          <w:tcPr>
            <w:tcW w:w="2015" w:type="dxa"/>
          </w:tcPr>
          <w:p w14:paraId="108442B8" w14:textId="1A190495" w:rsidR="00832892" w:rsidRDefault="00832892" w:rsidP="00832892">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w:t>
            </w:r>
            <w:r w:rsidRPr="00832892">
              <w:rPr>
                <w:rFonts w:asciiTheme="majorBidi" w:hAnsiTheme="majorBidi" w:cstheme="majorBidi"/>
                <w:b/>
                <w:bCs/>
                <w:color w:val="000000" w:themeColor="text1"/>
                <w:sz w:val="24"/>
                <w:szCs w:val="24"/>
              </w:rPr>
              <w:t>queous</w:t>
            </w:r>
            <w:r>
              <w:rPr>
                <w:rFonts w:asciiTheme="majorBidi" w:hAnsiTheme="majorBidi" w:cstheme="majorBidi"/>
                <w:b/>
                <w:bCs/>
                <w:color w:val="000000" w:themeColor="text1"/>
                <w:sz w:val="24"/>
                <w:szCs w:val="24"/>
              </w:rPr>
              <w:t xml:space="preserve"> extract</w:t>
            </w:r>
          </w:p>
        </w:tc>
        <w:tc>
          <w:tcPr>
            <w:tcW w:w="2064" w:type="dxa"/>
          </w:tcPr>
          <w:p w14:paraId="3D003621" w14:textId="318DB59F" w:rsidR="00832892" w:rsidRDefault="00832892" w:rsidP="00D17FBB">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E</w:t>
            </w:r>
            <w:r w:rsidRPr="00832892">
              <w:rPr>
                <w:rFonts w:asciiTheme="majorBidi" w:hAnsiTheme="majorBidi" w:cstheme="majorBidi"/>
                <w:b/>
                <w:bCs/>
                <w:color w:val="000000" w:themeColor="text1"/>
                <w:sz w:val="24"/>
                <w:szCs w:val="24"/>
              </w:rPr>
              <w:t xml:space="preserve">thanolic </w:t>
            </w:r>
            <w:r>
              <w:rPr>
                <w:rFonts w:asciiTheme="majorBidi" w:hAnsiTheme="majorBidi" w:cstheme="majorBidi"/>
                <w:b/>
                <w:bCs/>
                <w:color w:val="000000" w:themeColor="text1"/>
                <w:sz w:val="24"/>
                <w:szCs w:val="24"/>
              </w:rPr>
              <w:t>extract</w:t>
            </w:r>
          </w:p>
        </w:tc>
      </w:tr>
      <w:tr w:rsidR="00335E8E" w14:paraId="193C2DA5" w14:textId="77777777" w:rsidTr="00E03975">
        <w:tc>
          <w:tcPr>
            <w:tcW w:w="895" w:type="dxa"/>
          </w:tcPr>
          <w:p w14:paraId="6C495620" w14:textId="4BFA1190" w:rsidR="00335E8E" w:rsidRPr="00832892" w:rsidRDefault="00335E8E" w:rsidP="00335E8E">
            <w:pPr>
              <w:spacing w:line="360" w:lineRule="auto"/>
              <w:jc w:val="center"/>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1.</w:t>
            </w:r>
          </w:p>
        </w:tc>
        <w:tc>
          <w:tcPr>
            <w:tcW w:w="4042" w:type="dxa"/>
          </w:tcPr>
          <w:p w14:paraId="626B9D75" w14:textId="796A931A" w:rsidR="00335E8E" w:rsidRPr="00832892" w:rsidRDefault="00335E8E" w:rsidP="00A12EE2">
            <w:pPr>
              <w:spacing w:line="360" w:lineRule="auto"/>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 xml:space="preserve">5% </w:t>
            </w:r>
            <w:r w:rsidRPr="00832892">
              <w:rPr>
                <w:rFonts w:asciiTheme="majorBidi" w:hAnsiTheme="majorBidi" w:cstheme="majorBidi"/>
                <w:color w:val="000000" w:themeColor="text1"/>
              </w:rPr>
              <w:t>Neem extract</w:t>
            </w:r>
          </w:p>
        </w:tc>
        <w:tc>
          <w:tcPr>
            <w:tcW w:w="2015" w:type="dxa"/>
            <w:vAlign w:val="center"/>
          </w:tcPr>
          <w:p w14:paraId="5479F1A0" w14:textId="70794BBC" w:rsidR="00335E8E" w:rsidRDefault="00335E8E" w:rsidP="00A12EE2">
            <w:pPr>
              <w:spacing w:line="360" w:lineRule="auto"/>
              <w:jc w:val="center"/>
              <w:rPr>
                <w:rFonts w:asciiTheme="majorBidi" w:hAnsiTheme="majorBidi" w:cstheme="majorBidi"/>
                <w:b/>
                <w:bCs/>
                <w:color w:val="000000" w:themeColor="text1"/>
                <w:sz w:val="24"/>
                <w:szCs w:val="24"/>
              </w:rPr>
            </w:pPr>
            <w:r w:rsidRPr="00335E8E">
              <w:rPr>
                <w:rFonts w:asciiTheme="majorBidi" w:hAnsiTheme="majorBidi" w:cstheme="majorBidi"/>
                <w:sz w:val="24"/>
                <w:szCs w:val="24"/>
              </w:rPr>
              <w:t>12.3</w:t>
            </w:r>
            <w:r>
              <w:rPr>
                <w:rFonts w:asciiTheme="majorBidi" w:hAnsiTheme="majorBidi" w:cstheme="majorBidi"/>
                <w:sz w:val="24"/>
                <w:szCs w:val="24"/>
              </w:rPr>
              <w:t>± 0.3</w:t>
            </w:r>
          </w:p>
        </w:tc>
        <w:tc>
          <w:tcPr>
            <w:tcW w:w="2064" w:type="dxa"/>
            <w:vAlign w:val="center"/>
          </w:tcPr>
          <w:p w14:paraId="65376575" w14:textId="3F78FC88" w:rsidR="00335E8E" w:rsidRPr="00685D06" w:rsidRDefault="00335E8E" w:rsidP="00A12EE2">
            <w:pPr>
              <w:spacing w:line="360" w:lineRule="auto"/>
              <w:jc w:val="center"/>
              <w:rPr>
                <w:rFonts w:asciiTheme="majorBidi" w:hAnsiTheme="majorBidi" w:cstheme="majorBidi"/>
                <w:b/>
                <w:bCs/>
                <w:color w:val="000000" w:themeColor="text1"/>
                <w:sz w:val="24"/>
                <w:szCs w:val="24"/>
              </w:rPr>
            </w:pPr>
            <w:r w:rsidRPr="00685D06">
              <w:rPr>
                <w:rFonts w:asciiTheme="majorBidi" w:hAnsiTheme="majorBidi" w:cstheme="majorBidi"/>
                <w:sz w:val="24"/>
                <w:szCs w:val="24"/>
              </w:rPr>
              <w:t>17.6</w:t>
            </w:r>
            <w:r>
              <w:rPr>
                <w:rFonts w:asciiTheme="majorBidi" w:hAnsiTheme="majorBidi" w:cstheme="majorBidi"/>
                <w:sz w:val="24"/>
                <w:szCs w:val="24"/>
              </w:rPr>
              <w:t xml:space="preserve">± </w:t>
            </w:r>
            <w:r w:rsidRPr="00685D06">
              <w:rPr>
                <w:rFonts w:asciiTheme="majorBidi" w:hAnsiTheme="majorBidi" w:cstheme="majorBidi"/>
                <w:sz w:val="24"/>
                <w:szCs w:val="24"/>
              </w:rPr>
              <w:t>0.3</w:t>
            </w:r>
          </w:p>
        </w:tc>
      </w:tr>
      <w:tr w:rsidR="00335E8E" w14:paraId="53AFCC0F" w14:textId="77777777" w:rsidTr="00E03975">
        <w:tc>
          <w:tcPr>
            <w:tcW w:w="895" w:type="dxa"/>
          </w:tcPr>
          <w:p w14:paraId="34AFDB40" w14:textId="05CD4FDD" w:rsidR="00335E8E" w:rsidRPr="00832892" w:rsidRDefault="00335E8E" w:rsidP="00335E8E">
            <w:pPr>
              <w:spacing w:line="360" w:lineRule="auto"/>
              <w:jc w:val="center"/>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2.</w:t>
            </w:r>
          </w:p>
        </w:tc>
        <w:tc>
          <w:tcPr>
            <w:tcW w:w="4042" w:type="dxa"/>
          </w:tcPr>
          <w:p w14:paraId="54C638C0" w14:textId="089A54D2" w:rsidR="00335E8E" w:rsidRPr="00832892" w:rsidRDefault="00335E8E" w:rsidP="00A12EE2">
            <w:pPr>
              <w:spacing w:line="360" w:lineRule="auto"/>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 xml:space="preserve">5% </w:t>
            </w:r>
            <w:r w:rsidRPr="00832892">
              <w:rPr>
                <w:rFonts w:asciiTheme="majorBidi" w:hAnsiTheme="majorBidi" w:cstheme="majorBidi"/>
                <w:color w:val="000000" w:themeColor="text1"/>
              </w:rPr>
              <w:t>Tulsi extract</w:t>
            </w:r>
          </w:p>
        </w:tc>
        <w:tc>
          <w:tcPr>
            <w:tcW w:w="2015" w:type="dxa"/>
            <w:vAlign w:val="center"/>
          </w:tcPr>
          <w:p w14:paraId="597AE497" w14:textId="785B553E" w:rsidR="00335E8E" w:rsidRDefault="00335E8E" w:rsidP="00A12EE2">
            <w:pPr>
              <w:spacing w:line="360" w:lineRule="auto"/>
              <w:jc w:val="center"/>
              <w:rPr>
                <w:rFonts w:asciiTheme="majorBidi" w:hAnsiTheme="majorBidi" w:cstheme="majorBidi"/>
                <w:b/>
                <w:bCs/>
                <w:color w:val="000000" w:themeColor="text1"/>
                <w:sz w:val="24"/>
                <w:szCs w:val="24"/>
              </w:rPr>
            </w:pPr>
            <w:r w:rsidRPr="00335E8E">
              <w:rPr>
                <w:rFonts w:asciiTheme="majorBidi" w:hAnsiTheme="majorBidi" w:cstheme="majorBidi"/>
                <w:sz w:val="24"/>
                <w:szCs w:val="24"/>
              </w:rPr>
              <w:t>10.3</w:t>
            </w:r>
            <w:r>
              <w:rPr>
                <w:rFonts w:asciiTheme="majorBidi" w:hAnsiTheme="majorBidi" w:cstheme="majorBidi"/>
                <w:sz w:val="24"/>
                <w:szCs w:val="24"/>
              </w:rPr>
              <w:t>± 0.</w:t>
            </w:r>
            <w:r w:rsidRPr="00335E8E">
              <w:rPr>
                <w:rFonts w:asciiTheme="majorBidi" w:hAnsiTheme="majorBidi" w:cstheme="majorBidi"/>
                <w:sz w:val="24"/>
                <w:szCs w:val="24"/>
              </w:rPr>
              <w:t>3</w:t>
            </w:r>
          </w:p>
        </w:tc>
        <w:tc>
          <w:tcPr>
            <w:tcW w:w="2064" w:type="dxa"/>
            <w:vAlign w:val="center"/>
          </w:tcPr>
          <w:p w14:paraId="5AA0537D" w14:textId="1F7CBFE8" w:rsidR="00335E8E" w:rsidRDefault="00335E8E" w:rsidP="00A12EE2">
            <w:pPr>
              <w:spacing w:line="360" w:lineRule="auto"/>
              <w:jc w:val="center"/>
              <w:rPr>
                <w:rFonts w:asciiTheme="majorBidi" w:hAnsiTheme="majorBidi" w:cstheme="majorBidi"/>
                <w:b/>
                <w:bCs/>
                <w:color w:val="000000" w:themeColor="text1"/>
                <w:sz w:val="24"/>
                <w:szCs w:val="24"/>
              </w:rPr>
            </w:pPr>
            <w:r w:rsidRPr="00685D06">
              <w:rPr>
                <w:rFonts w:asciiTheme="majorBidi" w:hAnsiTheme="majorBidi" w:cstheme="majorBidi"/>
                <w:sz w:val="24"/>
                <w:szCs w:val="24"/>
              </w:rPr>
              <w:t>12</w:t>
            </w:r>
            <w:r>
              <w:rPr>
                <w:rFonts w:asciiTheme="majorBidi" w:hAnsiTheme="majorBidi" w:cstheme="majorBidi"/>
                <w:sz w:val="24"/>
                <w:szCs w:val="24"/>
              </w:rPr>
              <w:t xml:space="preserve">.0± </w:t>
            </w:r>
            <w:r w:rsidRPr="00685D06">
              <w:rPr>
                <w:rFonts w:asciiTheme="majorBidi" w:hAnsiTheme="majorBidi" w:cstheme="majorBidi"/>
                <w:sz w:val="24"/>
                <w:szCs w:val="24"/>
              </w:rPr>
              <w:t>0.5</w:t>
            </w:r>
          </w:p>
        </w:tc>
      </w:tr>
      <w:tr w:rsidR="00335E8E" w14:paraId="305DE56F" w14:textId="77777777" w:rsidTr="00E03975">
        <w:tc>
          <w:tcPr>
            <w:tcW w:w="895" w:type="dxa"/>
          </w:tcPr>
          <w:p w14:paraId="461C41CE" w14:textId="5AFBF745" w:rsidR="00335E8E" w:rsidRPr="00832892" w:rsidRDefault="00335E8E" w:rsidP="00335E8E">
            <w:pPr>
              <w:spacing w:line="360" w:lineRule="auto"/>
              <w:jc w:val="center"/>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3.</w:t>
            </w:r>
          </w:p>
        </w:tc>
        <w:tc>
          <w:tcPr>
            <w:tcW w:w="4042" w:type="dxa"/>
          </w:tcPr>
          <w:p w14:paraId="585730B0" w14:textId="23B49FE2" w:rsidR="00335E8E" w:rsidRPr="00832892" w:rsidRDefault="00335E8E" w:rsidP="00A12EE2">
            <w:pPr>
              <w:spacing w:line="360" w:lineRule="auto"/>
              <w:rPr>
                <w:rFonts w:asciiTheme="majorBidi" w:hAnsiTheme="majorBidi" w:cstheme="majorBidi"/>
                <w:color w:val="000000" w:themeColor="text1"/>
                <w:sz w:val="24"/>
                <w:szCs w:val="24"/>
              </w:rPr>
            </w:pPr>
            <w:r w:rsidRPr="00832892">
              <w:rPr>
                <w:rFonts w:asciiTheme="majorBidi" w:hAnsiTheme="majorBidi" w:cstheme="majorBidi"/>
                <w:color w:val="000000" w:themeColor="text1"/>
                <w:sz w:val="24"/>
                <w:szCs w:val="24"/>
              </w:rPr>
              <w:t xml:space="preserve">5% </w:t>
            </w:r>
            <w:r w:rsidRPr="00832892">
              <w:rPr>
                <w:rFonts w:asciiTheme="majorBidi" w:hAnsiTheme="majorBidi" w:cstheme="majorBidi"/>
                <w:color w:val="000000" w:themeColor="text1"/>
              </w:rPr>
              <w:t>Neem+ Tulsi extract</w:t>
            </w:r>
          </w:p>
        </w:tc>
        <w:tc>
          <w:tcPr>
            <w:tcW w:w="2015" w:type="dxa"/>
            <w:vAlign w:val="center"/>
          </w:tcPr>
          <w:p w14:paraId="45156183" w14:textId="62E225BB" w:rsidR="00335E8E" w:rsidRDefault="00335E8E" w:rsidP="00A12EE2">
            <w:pPr>
              <w:spacing w:line="360" w:lineRule="auto"/>
              <w:jc w:val="center"/>
              <w:rPr>
                <w:rFonts w:asciiTheme="majorBidi" w:hAnsiTheme="majorBidi" w:cstheme="majorBidi"/>
                <w:b/>
                <w:bCs/>
                <w:color w:val="000000" w:themeColor="text1"/>
                <w:sz w:val="24"/>
                <w:szCs w:val="24"/>
              </w:rPr>
            </w:pPr>
            <w:r w:rsidRPr="00335E8E">
              <w:rPr>
                <w:rFonts w:asciiTheme="majorBidi" w:hAnsiTheme="majorBidi" w:cstheme="majorBidi"/>
                <w:sz w:val="24"/>
                <w:szCs w:val="24"/>
              </w:rPr>
              <w:t>14.3</w:t>
            </w:r>
            <w:r>
              <w:rPr>
                <w:rFonts w:asciiTheme="majorBidi" w:hAnsiTheme="majorBidi" w:cstheme="majorBidi"/>
                <w:sz w:val="24"/>
                <w:szCs w:val="24"/>
              </w:rPr>
              <w:t>± 0.</w:t>
            </w:r>
            <w:r w:rsidRPr="00335E8E">
              <w:rPr>
                <w:rFonts w:asciiTheme="majorBidi" w:hAnsiTheme="majorBidi" w:cstheme="majorBidi"/>
                <w:sz w:val="24"/>
                <w:szCs w:val="24"/>
              </w:rPr>
              <w:t>3</w:t>
            </w:r>
          </w:p>
        </w:tc>
        <w:tc>
          <w:tcPr>
            <w:tcW w:w="2064" w:type="dxa"/>
            <w:vAlign w:val="center"/>
          </w:tcPr>
          <w:p w14:paraId="604ACB16" w14:textId="2588E18D" w:rsidR="00335E8E" w:rsidRDefault="00335E8E" w:rsidP="00A12EE2">
            <w:pPr>
              <w:spacing w:line="360" w:lineRule="auto"/>
              <w:jc w:val="center"/>
              <w:rPr>
                <w:rFonts w:asciiTheme="majorBidi" w:hAnsiTheme="majorBidi" w:cstheme="majorBidi"/>
                <w:b/>
                <w:bCs/>
                <w:color w:val="000000" w:themeColor="text1"/>
                <w:sz w:val="24"/>
                <w:szCs w:val="24"/>
              </w:rPr>
            </w:pPr>
            <w:r w:rsidRPr="00685D06">
              <w:rPr>
                <w:rFonts w:asciiTheme="majorBidi" w:hAnsiTheme="majorBidi" w:cstheme="majorBidi"/>
                <w:sz w:val="24"/>
                <w:szCs w:val="24"/>
              </w:rPr>
              <w:t>2</w:t>
            </w:r>
            <w:r w:rsidR="00A12EE2">
              <w:rPr>
                <w:rFonts w:asciiTheme="majorBidi" w:hAnsiTheme="majorBidi" w:cstheme="majorBidi"/>
                <w:sz w:val="24"/>
                <w:szCs w:val="24"/>
              </w:rPr>
              <w:t>0</w:t>
            </w:r>
            <w:r w:rsidRPr="00685D06">
              <w:rPr>
                <w:rFonts w:asciiTheme="majorBidi" w:hAnsiTheme="majorBidi" w:cstheme="majorBidi"/>
                <w:sz w:val="24"/>
                <w:szCs w:val="24"/>
              </w:rPr>
              <w:t>.6</w:t>
            </w:r>
            <w:r>
              <w:rPr>
                <w:rFonts w:asciiTheme="majorBidi" w:hAnsiTheme="majorBidi" w:cstheme="majorBidi"/>
                <w:sz w:val="24"/>
                <w:szCs w:val="24"/>
              </w:rPr>
              <w:t xml:space="preserve">± </w:t>
            </w:r>
            <w:r w:rsidRPr="00685D06">
              <w:rPr>
                <w:rFonts w:asciiTheme="majorBidi" w:hAnsiTheme="majorBidi" w:cstheme="majorBidi"/>
                <w:sz w:val="24"/>
                <w:szCs w:val="24"/>
              </w:rPr>
              <w:t>0.3</w:t>
            </w:r>
          </w:p>
        </w:tc>
      </w:tr>
      <w:tr w:rsidR="00335E8E" w14:paraId="24622ECA" w14:textId="77777777" w:rsidTr="00E03975">
        <w:tc>
          <w:tcPr>
            <w:tcW w:w="895" w:type="dxa"/>
          </w:tcPr>
          <w:p w14:paraId="35C80399" w14:textId="3D0CF869" w:rsidR="00335E8E" w:rsidRPr="00832892" w:rsidRDefault="00335E8E" w:rsidP="00335E8E">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w:t>
            </w:r>
          </w:p>
        </w:tc>
        <w:tc>
          <w:tcPr>
            <w:tcW w:w="4042" w:type="dxa"/>
          </w:tcPr>
          <w:p w14:paraId="553ECADD" w14:textId="39D2EF7B" w:rsidR="00335E8E" w:rsidRPr="00832892" w:rsidRDefault="00335E8E" w:rsidP="00A12EE2">
            <w:pPr>
              <w:spacing w:line="360" w:lineRule="auto"/>
              <w:rPr>
                <w:rFonts w:asciiTheme="majorBidi" w:hAnsiTheme="majorBidi" w:cstheme="majorBidi"/>
                <w:color w:val="000000" w:themeColor="text1"/>
                <w:sz w:val="24"/>
                <w:szCs w:val="24"/>
              </w:rPr>
            </w:pPr>
            <w:r w:rsidRPr="00685D06">
              <w:rPr>
                <w:rFonts w:asciiTheme="majorBidi" w:hAnsiTheme="majorBidi" w:cstheme="majorBidi"/>
                <w:color w:val="000000" w:themeColor="text1"/>
                <w:sz w:val="24"/>
                <w:szCs w:val="24"/>
              </w:rPr>
              <w:t>Oxytetracycline</w:t>
            </w:r>
          </w:p>
        </w:tc>
        <w:tc>
          <w:tcPr>
            <w:tcW w:w="2015" w:type="dxa"/>
            <w:vAlign w:val="center"/>
          </w:tcPr>
          <w:p w14:paraId="64F968A9" w14:textId="18CE5AAA" w:rsidR="00335E8E" w:rsidRDefault="00335E8E" w:rsidP="00A12EE2">
            <w:pPr>
              <w:spacing w:line="360" w:lineRule="auto"/>
              <w:jc w:val="center"/>
              <w:rPr>
                <w:rFonts w:asciiTheme="majorBidi" w:hAnsiTheme="majorBidi" w:cstheme="majorBidi"/>
                <w:b/>
                <w:bCs/>
                <w:color w:val="000000" w:themeColor="text1"/>
                <w:sz w:val="24"/>
                <w:szCs w:val="24"/>
              </w:rPr>
            </w:pPr>
            <w:r w:rsidRPr="00335E8E">
              <w:rPr>
                <w:rFonts w:asciiTheme="majorBidi" w:hAnsiTheme="majorBidi" w:cstheme="majorBidi"/>
                <w:sz w:val="24"/>
                <w:szCs w:val="24"/>
              </w:rPr>
              <w:t>25.3</w:t>
            </w:r>
            <w:r>
              <w:rPr>
                <w:rFonts w:asciiTheme="majorBidi" w:hAnsiTheme="majorBidi" w:cstheme="majorBidi"/>
                <w:sz w:val="24"/>
                <w:szCs w:val="24"/>
              </w:rPr>
              <w:t>± 0.</w:t>
            </w:r>
            <w:r w:rsidRPr="00335E8E">
              <w:rPr>
                <w:rFonts w:asciiTheme="majorBidi" w:hAnsiTheme="majorBidi" w:cstheme="majorBidi"/>
                <w:sz w:val="24"/>
                <w:szCs w:val="24"/>
              </w:rPr>
              <w:t>3</w:t>
            </w:r>
          </w:p>
        </w:tc>
        <w:tc>
          <w:tcPr>
            <w:tcW w:w="2064" w:type="dxa"/>
            <w:vAlign w:val="center"/>
          </w:tcPr>
          <w:p w14:paraId="4F30F635" w14:textId="7029BFEB" w:rsidR="00335E8E" w:rsidRDefault="00335E8E" w:rsidP="00A12EE2">
            <w:pPr>
              <w:spacing w:line="360" w:lineRule="auto"/>
              <w:jc w:val="center"/>
              <w:rPr>
                <w:rFonts w:asciiTheme="majorBidi" w:hAnsiTheme="majorBidi" w:cstheme="majorBidi"/>
                <w:b/>
                <w:bCs/>
                <w:color w:val="000000" w:themeColor="text1"/>
                <w:sz w:val="24"/>
                <w:szCs w:val="24"/>
              </w:rPr>
            </w:pPr>
            <w:r w:rsidRPr="00685D06">
              <w:rPr>
                <w:rFonts w:asciiTheme="majorBidi" w:hAnsiTheme="majorBidi" w:cstheme="majorBidi"/>
                <w:sz w:val="24"/>
                <w:szCs w:val="24"/>
              </w:rPr>
              <w:t>26.</w:t>
            </w:r>
            <w:r>
              <w:rPr>
                <w:rFonts w:asciiTheme="majorBidi" w:hAnsiTheme="majorBidi" w:cstheme="majorBidi"/>
                <w:sz w:val="24"/>
                <w:szCs w:val="24"/>
              </w:rPr>
              <w:t>0± 0.5</w:t>
            </w:r>
          </w:p>
        </w:tc>
      </w:tr>
    </w:tbl>
    <w:p w14:paraId="3ABB11A7" w14:textId="77777777" w:rsidR="00832892" w:rsidRDefault="00832892" w:rsidP="00D17FBB">
      <w:pPr>
        <w:spacing w:line="360" w:lineRule="auto"/>
        <w:jc w:val="both"/>
        <w:rPr>
          <w:rFonts w:asciiTheme="majorBidi" w:hAnsiTheme="majorBidi" w:cstheme="majorBidi"/>
          <w:b/>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806A1" w14:paraId="535DD3FB" w14:textId="77777777" w:rsidTr="007F4BAE">
        <w:tc>
          <w:tcPr>
            <w:tcW w:w="4508" w:type="dxa"/>
          </w:tcPr>
          <w:p w14:paraId="46BAA3E1" w14:textId="30C199F8" w:rsidR="001806A1" w:rsidRDefault="001806A1" w:rsidP="001806A1">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noProof/>
                <w:color w:val="000000" w:themeColor="text1"/>
                <w:sz w:val="24"/>
                <w:szCs w:val="24"/>
              </w:rPr>
              <w:drawing>
                <wp:inline distT="0" distB="0" distL="0" distR="0" wp14:anchorId="0E3C99AF" wp14:editId="13EC7D61">
                  <wp:extent cx="2457450" cy="2457450"/>
                  <wp:effectExtent l="0" t="0" r="0" b="0"/>
                  <wp:docPr id="153528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81078" name="Picture 1535281078"/>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6647" t="16254" r="9373" b="20564"/>
                          <a:stretch>
                            <a:fillRect/>
                          </a:stretch>
                        </pic:blipFill>
                        <pic:spPr bwMode="auto">
                          <a:xfrm>
                            <a:off x="0" y="0"/>
                            <a:ext cx="2457450" cy="2457450"/>
                          </a:xfrm>
                          <a:prstGeom prst="ellipse">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12DC150" w14:textId="6D1E557F" w:rsidR="001806A1" w:rsidRDefault="001806A1" w:rsidP="001806A1">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noProof/>
                <w:color w:val="000000" w:themeColor="text1"/>
                <w:sz w:val="24"/>
                <w:szCs w:val="24"/>
              </w:rPr>
              <w:drawing>
                <wp:inline distT="0" distB="0" distL="0" distR="0" wp14:anchorId="3FC2D2F0" wp14:editId="6BAAD64F">
                  <wp:extent cx="2438216" cy="2444373"/>
                  <wp:effectExtent l="0" t="3175" r="0" b="0"/>
                  <wp:docPr id="759286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86827" name="Picture 759286827"/>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3843" t="6789" r="23477" b="9690"/>
                          <a:stretch>
                            <a:fillRect/>
                          </a:stretch>
                        </pic:blipFill>
                        <pic:spPr bwMode="auto">
                          <a:xfrm rot="16200000">
                            <a:off x="0" y="0"/>
                            <a:ext cx="2464530" cy="2470753"/>
                          </a:xfrm>
                          <a:prstGeom prst="ellipse">
                            <a:avLst/>
                          </a:prstGeom>
                          <a:ln>
                            <a:noFill/>
                          </a:ln>
                          <a:extLst>
                            <a:ext uri="{53640926-AAD7-44D8-BBD7-CCE9431645EC}">
                              <a14:shadowObscured xmlns:a14="http://schemas.microsoft.com/office/drawing/2010/main"/>
                            </a:ext>
                          </a:extLst>
                        </pic:spPr>
                      </pic:pic>
                    </a:graphicData>
                  </a:graphic>
                </wp:inline>
              </w:drawing>
            </w:r>
          </w:p>
        </w:tc>
      </w:tr>
      <w:tr w:rsidR="001806A1" w14:paraId="3DAECCF2" w14:textId="77777777" w:rsidTr="007F4BAE">
        <w:tc>
          <w:tcPr>
            <w:tcW w:w="4508" w:type="dxa"/>
          </w:tcPr>
          <w:p w14:paraId="519A2DAF" w14:textId="51C81B37" w:rsidR="001806A1" w:rsidRDefault="007F4BAE" w:rsidP="004B565A">
            <w:pPr>
              <w:spacing w:line="360" w:lineRule="auto"/>
              <w:jc w:val="center"/>
              <w:rPr>
                <w:rFonts w:asciiTheme="majorBidi" w:hAnsiTheme="majorBidi" w:cstheme="majorBidi"/>
                <w:b/>
                <w:bCs/>
                <w:color w:val="000000" w:themeColor="text1"/>
                <w:sz w:val="24"/>
                <w:szCs w:val="24"/>
              </w:rPr>
            </w:pPr>
            <w:r w:rsidRPr="007F4BAE">
              <w:rPr>
                <w:rFonts w:asciiTheme="majorBidi" w:hAnsiTheme="majorBidi" w:cstheme="majorBidi"/>
                <w:b/>
                <w:bCs/>
                <w:color w:val="000000" w:themeColor="text1"/>
                <w:sz w:val="24"/>
                <w:szCs w:val="24"/>
              </w:rPr>
              <w:t>Fig.</w:t>
            </w:r>
            <w:r w:rsidR="00BE26D7">
              <w:rPr>
                <w:rFonts w:asciiTheme="majorBidi" w:hAnsiTheme="majorBidi" w:cstheme="majorBidi"/>
                <w:b/>
                <w:bCs/>
                <w:color w:val="000000" w:themeColor="text1"/>
                <w:sz w:val="24"/>
                <w:szCs w:val="24"/>
              </w:rPr>
              <w:t>2</w:t>
            </w:r>
            <w:r w:rsidRPr="007F4BAE">
              <w:rPr>
                <w:rFonts w:asciiTheme="majorBidi" w:hAnsiTheme="majorBidi" w:cstheme="majorBidi"/>
                <w:b/>
                <w:bCs/>
                <w:color w:val="000000" w:themeColor="text1"/>
                <w:sz w:val="24"/>
                <w:szCs w:val="24"/>
              </w:rPr>
              <w:t xml:space="preserve">. </w:t>
            </w:r>
            <w:r w:rsidR="00CF5AC2" w:rsidRPr="007F4BAE">
              <w:rPr>
                <w:rFonts w:asciiTheme="majorBidi" w:hAnsiTheme="majorBidi" w:cstheme="majorBidi"/>
                <w:color w:val="000000" w:themeColor="text1"/>
                <w:sz w:val="24"/>
                <w:szCs w:val="24"/>
              </w:rPr>
              <w:t xml:space="preserve">Zones of inhibition produced by aqueous herbal extracts against </w:t>
            </w:r>
            <w:r w:rsidR="00CF5AC2" w:rsidRPr="007F4BAE">
              <w:rPr>
                <w:rFonts w:asciiTheme="majorBidi" w:hAnsiTheme="majorBidi" w:cstheme="majorBidi"/>
                <w:i/>
                <w:iCs/>
                <w:color w:val="000000" w:themeColor="text1"/>
                <w:sz w:val="24"/>
                <w:szCs w:val="24"/>
              </w:rPr>
              <w:t xml:space="preserve">Aeromonas </w:t>
            </w:r>
            <w:proofErr w:type="spellStart"/>
            <w:r w:rsidR="00CF5AC2" w:rsidRPr="007F4BAE">
              <w:rPr>
                <w:rFonts w:asciiTheme="majorBidi" w:hAnsiTheme="majorBidi" w:cstheme="majorBidi"/>
                <w:i/>
                <w:iCs/>
                <w:color w:val="000000" w:themeColor="text1"/>
                <w:sz w:val="24"/>
                <w:szCs w:val="24"/>
              </w:rPr>
              <w:t>hydrophila</w:t>
            </w:r>
            <w:proofErr w:type="spellEnd"/>
            <w:r w:rsidR="00CF5AC2" w:rsidRPr="007F4BAE">
              <w:rPr>
                <w:rFonts w:asciiTheme="majorBidi" w:hAnsiTheme="majorBidi" w:cstheme="majorBidi"/>
                <w:i/>
                <w:iCs/>
                <w:color w:val="000000" w:themeColor="text1"/>
                <w:sz w:val="24"/>
                <w:szCs w:val="24"/>
              </w:rPr>
              <w:t>.</w:t>
            </w:r>
          </w:p>
        </w:tc>
        <w:tc>
          <w:tcPr>
            <w:tcW w:w="4508" w:type="dxa"/>
          </w:tcPr>
          <w:p w14:paraId="22D76E4A" w14:textId="1A6A9FE5" w:rsidR="001806A1" w:rsidRDefault="007F4BAE" w:rsidP="004B565A">
            <w:pPr>
              <w:spacing w:line="360" w:lineRule="auto"/>
              <w:jc w:val="center"/>
              <w:rPr>
                <w:rFonts w:asciiTheme="majorBidi" w:hAnsiTheme="majorBidi" w:cstheme="majorBidi"/>
                <w:b/>
                <w:bCs/>
                <w:color w:val="000000" w:themeColor="text1"/>
                <w:sz w:val="24"/>
                <w:szCs w:val="24"/>
              </w:rPr>
            </w:pPr>
            <w:r w:rsidRPr="007F4BAE">
              <w:rPr>
                <w:rFonts w:asciiTheme="majorBidi" w:hAnsiTheme="majorBidi" w:cstheme="majorBidi"/>
                <w:b/>
                <w:bCs/>
                <w:color w:val="000000" w:themeColor="text1"/>
                <w:sz w:val="24"/>
                <w:szCs w:val="24"/>
              </w:rPr>
              <w:t>Fig.</w:t>
            </w:r>
            <w:r w:rsidR="00BE26D7">
              <w:rPr>
                <w:rFonts w:asciiTheme="majorBidi" w:hAnsiTheme="majorBidi" w:cstheme="majorBidi"/>
                <w:b/>
                <w:bCs/>
                <w:color w:val="000000" w:themeColor="text1"/>
                <w:sz w:val="24"/>
                <w:szCs w:val="24"/>
              </w:rPr>
              <w:t>3</w:t>
            </w:r>
            <w:r w:rsidRPr="007F4BAE">
              <w:rPr>
                <w:rFonts w:asciiTheme="majorBidi" w:hAnsiTheme="majorBidi" w:cstheme="majorBidi"/>
                <w:b/>
                <w:bCs/>
                <w:color w:val="000000" w:themeColor="text1"/>
                <w:sz w:val="24"/>
                <w:szCs w:val="24"/>
              </w:rPr>
              <w:t xml:space="preserve">. </w:t>
            </w:r>
            <w:r w:rsidR="00CF5AC2" w:rsidRPr="007F4BAE">
              <w:rPr>
                <w:rFonts w:asciiTheme="majorBidi" w:hAnsiTheme="majorBidi" w:cstheme="majorBidi"/>
                <w:color w:val="000000" w:themeColor="text1"/>
                <w:sz w:val="24"/>
                <w:szCs w:val="24"/>
              </w:rPr>
              <w:t xml:space="preserve">Zones of inhibition produced by </w:t>
            </w:r>
            <w:r w:rsidR="00CF5AC2">
              <w:rPr>
                <w:rFonts w:asciiTheme="majorBidi" w:hAnsiTheme="majorBidi" w:cstheme="majorBidi"/>
                <w:color w:val="000000" w:themeColor="text1"/>
                <w:sz w:val="24"/>
                <w:szCs w:val="24"/>
              </w:rPr>
              <w:t>e</w:t>
            </w:r>
            <w:r w:rsidR="00CF5AC2" w:rsidRPr="007F4BAE">
              <w:rPr>
                <w:rFonts w:asciiTheme="majorBidi" w:hAnsiTheme="majorBidi" w:cstheme="majorBidi"/>
                <w:color w:val="000000" w:themeColor="text1"/>
                <w:sz w:val="24"/>
                <w:szCs w:val="24"/>
              </w:rPr>
              <w:t xml:space="preserve">thanolic herbal extracts against </w:t>
            </w:r>
            <w:r w:rsidR="00CF5AC2" w:rsidRPr="007F4BAE">
              <w:rPr>
                <w:rFonts w:asciiTheme="majorBidi" w:hAnsiTheme="majorBidi" w:cstheme="majorBidi"/>
                <w:i/>
                <w:iCs/>
                <w:color w:val="000000" w:themeColor="text1"/>
                <w:sz w:val="24"/>
                <w:szCs w:val="24"/>
              </w:rPr>
              <w:t xml:space="preserve">Aeromonas </w:t>
            </w:r>
            <w:proofErr w:type="spellStart"/>
            <w:r w:rsidR="00CF5AC2" w:rsidRPr="007F4BAE">
              <w:rPr>
                <w:rFonts w:asciiTheme="majorBidi" w:hAnsiTheme="majorBidi" w:cstheme="majorBidi"/>
                <w:i/>
                <w:iCs/>
                <w:color w:val="000000" w:themeColor="text1"/>
                <w:sz w:val="24"/>
                <w:szCs w:val="24"/>
              </w:rPr>
              <w:t>hydrophila</w:t>
            </w:r>
            <w:proofErr w:type="spellEnd"/>
            <w:r w:rsidR="00CF5AC2" w:rsidRPr="007F4BAE">
              <w:rPr>
                <w:rFonts w:asciiTheme="majorBidi" w:hAnsiTheme="majorBidi" w:cstheme="majorBidi"/>
                <w:i/>
                <w:iCs/>
                <w:color w:val="000000" w:themeColor="text1"/>
                <w:sz w:val="24"/>
                <w:szCs w:val="24"/>
              </w:rPr>
              <w:t>.</w:t>
            </w:r>
          </w:p>
        </w:tc>
      </w:tr>
    </w:tbl>
    <w:p w14:paraId="6A132577" w14:textId="77777777" w:rsidR="00BE26D7" w:rsidRDefault="003316AB" w:rsidP="00BE26D7">
      <w:pPr>
        <w:spacing w:line="360" w:lineRule="auto"/>
        <w:jc w:val="both"/>
        <w:rPr>
          <w:rFonts w:asciiTheme="majorBidi" w:hAnsiTheme="majorBidi" w:cstheme="majorBidi"/>
          <w:noProof/>
          <w:color w:val="000000" w:themeColor="text1"/>
          <w:sz w:val="24"/>
          <w:szCs w:val="24"/>
        </w:rPr>
      </w:pPr>
      <w:r>
        <w:rPr>
          <w:rFonts w:asciiTheme="majorBidi" w:hAnsiTheme="majorBidi" w:cstheme="majorBidi"/>
          <w:noProof/>
          <w:color w:val="000000" w:themeColor="text1"/>
          <w:sz w:val="24"/>
          <w:szCs w:val="24"/>
        </w:rPr>
        <w:t xml:space="preserve">            </w:t>
      </w:r>
    </w:p>
    <w:p w14:paraId="15D79107" w14:textId="6859C206" w:rsidR="007F4BAE" w:rsidRDefault="00197631" w:rsidP="00BE26D7">
      <w:pPr>
        <w:spacing w:line="360" w:lineRule="auto"/>
        <w:ind w:firstLine="720"/>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lastRenderedPageBreak/>
        <w:t xml:space="preserve">The agar well diffusion assay demonstrated that both ethanolic and aqueous preparations of neem,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and their combination produced clear zones of inhibition against Aeromonas </w:t>
      </w:r>
      <w:proofErr w:type="spellStart"/>
      <w:r>
        <w:rPr>
          <w:rFonts w:asciiTheme="majorBidi" w:hAnsiTheme="majorBidi" w:cstheme="majorBidi"/>
          <w:color w:val="000000" w:themeColor="text1"/>
          <w:sz w:val="24"/>
          <w:szCs w:val="24"/>
        </w:rPr>
        <w:t>hydrophila</w:t>
      </w:r>
      <w:proofErr w:type="spellEnd"/>
      <w:r>
        <w:rPr>
          <w:rFonts w:asciiTheme="majorBidi" w:hAnsiTheme="majorBidi" w:cstheme="majorBidi"/>
          <w:color w:val="000000" w:themeColor="text1"/>
          <w:sz w:val="24"/>
          <w:szCs w:val="24"/>
        </w:rPr>
        <w:t xml:space="preserve">, confirming the pathogen's susceptibility to these botanical extracts. Among the aqueous extracts (Fig.2), the combined 5% neem + 5%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formulation generated the largest mean inhibition zone (14.3 ± 0.3 mm), followed by 5% neem (12.3 ± 0.3 mm) and 5%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(10.3 ± 0.3 mm), suggesting a modest synergistic or additive interaction between the two plants, although all were substantially less active than the positive control oxytetracycline (25.3 ± 0.3 mm). Larger zones were observed for the ethanolic extracts (Fig.3), with the 5% neem + 5%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ethanol preparation (20.6 ± 0.3 mm) outperforming the single-plant ethanolic extracts of neem (17.6 ± 0.3 mm) and </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(12.0 ± 0.5 mm), yet still not matching the inhibition produced by oxytetracycline (26.0 ± 0.5 mm), consistent with the recognized ability of ethanol to solubilize a broader spectrum of antimicrobial phytochemicals than water. Overall, these diffusion data highlight the superior antibacterial efficacy of ethanolic over aqueous herbal preparations and the consistently enhanced activity of the neem–</w:t>
      </w:r>
      <w:proofErr w:type="spellStart"/>
      <w:r>
        <w:rPr>
          <w:rFonts w:asciiTheme="majorBidi" w:hAnsiTheme="majorBidi" w:cstheme="majorBidi"/>
          <w:color w:val="000000" w:themeColor="text1"/>
          <w:sz w:val="24"/>
          <w:szCs w:val="24"/>
        </w:rPr>
        <w:t>tulsi</w:t>
      </w:r>
      <w:proofErr w:type="spellEnd"/>
      <w:r>
        <w:rPr>
          <w:rFonts w:asciiTheme="majorBidi" w:hAnsiTheme="majorBidi" w:cstheme="majorBidi"/>
          <w:color w:val="000000" w:themeColor="text1"/>
          <w:sz w:val="24"/>
          <w:szCs w:val="24"/>
        </w:rPr>
        <w:t xml:space="preserve"> combination relative to individual plant extracts, while situating their performance below that of the conventional antibiotic control.</w:t>
      </w:r>
    </w:p>
    <w:p w14:paraId="4581DDBB" w14:textId="7EDA52CA" w:rsidR="00583420" w:rsidRPr="0038632B" w:rsidRDefault="0038632B" w:rsidP="007341A2">
      <w:pPr>
        <w:spacing w:line="360" w:lineRule="auto"/>
        <w:jc w:val="both"/>
        <w:rPr>
          <w:rFonts w:asciiTheme="majorBidi" w:hAnsiTheme="majorBidi" w:cstheme="majorBidi"/>
          <w:b/>
          <w:bCs/>
          <w:sz w:val="24"/>
          <w:szCs w:val="24"/>
        </w:rPr>
      </w:pPr>
      <w:r w:rsidRPr="0038632B">
        <w:rPr>
          <w:rFonts w:asciiTheme="majorBidi" w:hAnsiTheme="majorBidi" w:cstheme="majorBidi"/>
          <w:b/>
          <w:bCs/>
          <w:sz w:val="24"/>
          <w:szCs w:val="24"/>
        </w:rPr>
        <w:t>Minimum Inhibitory Concentration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8632B" w14:paraId="187AA414" w14:textId="77777777" w:rsidTr="00AD17B9">
        <w:trPr>
          <w:jc w:val="center"/>
        </w:trPr>
        <w:tc>
          <w:tcPr>
            <w:tcW w:w="9016" w:type="dxa"/>
          </w:tcPr>
          <w:p w14:paraId="28BA91DD" w14:textId="77777777" w:rsidR="0038632B" w:rsidRDefault="0038632B" w:rsidP="00AD17B9">
            <w:pPr>
              <w:spacing w:line="360" w:lineRule="auto"/>
              <w:jc w:val="center"/>
              <w:rPr>
                <w:rFonts w:asciiTheme="majorBidi" w:hAnsiTheme="majorBidi" w:cstheme="majorBidi"/>
                <w:sz w:val="24"/>
                <w:szCs w:val="24"/>
              </w:rPr>
            </w:pPr>
            <w:r>
              <w:rPr>
                <w:noProof/>
              </w:rPr>
              <w:drawing>
                <wp:inline distT="0" distB="0" distL="0" distR="0" wp14:anchorId="4A19242F" wp14:editId="418DEC40">
                  <wp:extent cx="4413885" cy="2825750"/>
                  <wp:effectExtent l="0" t="0" r="5715" b="0"/>
                  <wp:docPr id="1817274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4997" name="Picture 6"/>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 b="4301"/>
                          <a:stretch>
                            <a:fillRect/>
                          </a:stretch>
                        </pic:blipFill>
                        <pic:spPr bwMode="auto">
                          <a:xfrm>
                            <a:off x="0" y="0"/>
                            <a:ext cx="4413885" cy="2825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632B" w14:paraId="650F0887" w14:textId="77777777" w:rsidTr="00AD17B9">
        <w:trPr>
          <w:jc w:val="center"/>
        </w:trPr>
        <w:tc>
          <w:tcPr>
            <w:tcW w:w="9016" w:type="dxa"/>
          </w:tcPr>
          <w:p w14:paraId="33F5501C" w14:textId="493C5DA3" w:rsidR="0038632B" w:rsidRPr="004B565A" w:rsidRDefault="00CF5AC2" w:rsidP="00AD17B9">
            <w:pPr>
              <w:spacing w:line="360" w:lineRule="auto"/>
              <w:jc w:val="center"/>
              <w:rPr>
                <w:rFonts w:asciiTheme="majorBidi" w:hAnsiTheme="majorBidi" w:cstheme="majorBidi"/>
                <w:color w:val="000000" w:themeColor="text1"/>
                <w:sz w:val="24"/>
                <w:szCs w:val="24"/>
              </w:rPr>
            </w:pPr>
            <w:r w:rsidRPr="00570977">
              <w:rPr>
                <w:rFonts w:asciiTheme="majorBidi" w:hAnsiTheme="majorBidi" w:cstheme="majorBidi"/>
                <w:b/>
                <w:bCs/>
                <w:color w:val="000000" w:themeColor="text1"/>
                <w:sz w:val="24"/>
                <w:szCs w:val="24"/>
              </w:rPr>
              <w:t xml:space="preserve">Fig. </w:t>
            </w:r>
            <w:r>
              <w:rPr>
                <w:rFonts w:asciiTheme="majorBidi" w:hAnsiTheme="majorBidi" w:cstheme="majorBidi"/>
                <w:b/>
                <w:bCs/>
                <w:color w:val="000000" w:themeColor="text1"/>
                <w:sz w:val="24"/>
                <w:szCs w:val="24"/>
              </w:rPr>
              <w:t>4</w:t>
            </w:r>
            <w:r w:rsidRPr="00570977">
              <w:rPr>
                <w:rFonts w:asciiTheme="majorBidi" w:hAnsiTheme="majorBidi" w:cstheme="majorBidi"/>
                <w:color w:val="000000" w:themeColor="text1"/>
                <w:sz w:val="24"/>
                <w:szCs w:val="24"/>
              </w:rPr>
              <w:t xml:space="preserve"> Minimum inhibitory concentrations of ethanolic herbal extracts against </w:t>
            </w:r>
            <w:r w:rsidRPr="00570977">
              <w:rPr>
                <w:rFonts w:asciiTheme="majorBidi" w:hAnsiTheme="majorBidi" w:cstheme="majorBidi"/>
                <w:i/>
                <w:iCs/>
                <w:color w:val="000000" w:themeColor="text1"/>
                <w:sz w:val="24"/>
                <w:szCs w:val="24"/>
              </w:rPr>
              <w:t xml:space="preserve">Aeromonas </w:t>
            </w:r>
            <w:proofErr w:type="spellStart"/>
            <w:r w:rsidRPr="00570977">
              <w:rPr>
                <w:rFonts w:asciiTheme="majorBidi" w:hAnsiTheme="majorBidi" w:cstheme="majorBidi"/>
                <w:i/>
                <w:iCs/>
                <w:color w:val="000000" w:themeColor="text1"/>
                <w:sz w:val="24"/>
                <w:szCs w:val="24"/>
              </w:rPr>
              <w:t>hydrophila</w:t>
            </w:r>
            <w:proofErr w:type="spellEnd"/>
            <w:r w:rsidRPr="00570977">
              <w:rPr>
                <w:rFonts w:asciiTheme="majorBidi" w:hAnsiTheme="majorBidi" w:cstheme="majorBidi"/>
                <w:color w:val="000000" w:themeColor="text1"/>
                <w:sz w:val="24"/>
                <w:szCs w:val="24"/>
              </w:rPr>
              <w:t xml:space="preserve"> determined by a 96-well microdilution assay.</w:t>
            </w:r>
          </w:p>
        </w:tc>
      </w:tr>
      <w:tr w:rsidR="0038632B" w14:paraId="4C1936A8" w14:textId="77777777" w:rsidTr="00AD17B9">
        <w:trPr>
          <w:jc w:val="center"/>
        </w:trPr>
        <w:tc>
          <w:tcPr>
            <w:tcW w:w="9016" w:type="dxa"/>
          </w:tcPr>
          <w:p w14:paraId="0CC71264" w14:textId="77777777" w:rsidR="0038632B" w:rsidRDefault="0038632B" w:rsidP="00AD17B9">
            <w:pPr>
              <w:spacing w:line="360" w:lineRule="auto"/>
              <w:jc w:val="center"/>
              <w:rPr>
                <w:rFonts w:asciiTheme="majorBidi" w:hAnsiTheme="majorBidi" w:cstheme="majorBidi"/>
                <w:sz w:val="24"/>
                <w:szCs w:val="24"/>
              </w:rPr>
            </w:pPr>
            <w:r>
              <w:rPr>
                <w:noProof/>
              </w:rPr>
              <w:lastRenderedPageBreak/>
              <w:drawing>
                <wp:inline distT="0" distB="0" distL="0" distR="0" wp14:anchorId="7CAD3088" wp14:editId="1B2BD715">
                  <wp:extent cx="4526280" cy="2825496"/>
                  <wp:effectExtent l="0" t="0" r="7620" b="0"/>
                  <wp:docPr id="31182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26280" cy="2825496"/>
                          </a:xfrm>
                          <a:prstGeom prst="rect">
                            <a:avLst/>
                          </a:prstGeom>
                          <a:noFill/>
                          <a:ln>
                            <a:noFill/>
                          </a:ln>
                        </pic:spPr>
                      </pic:pic>
                    </a:graphicData>
                  </a:graphic>
                </wp:inline>
              </w:drawing>
            </w:r>
          </w:p>
        </w:tc>
      </w:tr>
      <w:tr w:rsidR="0038632B" w14:paraId="4474A635" w14:textId="77777777" w:rsidTr="00AD17B9">
        <w:trPr>
          <w:jc w:val="center"/>
        </w:trPr>
        <w:tc>
          <w:tcPr>
            <w:tcW w:w="9016" w:type="dxa"/>
          </w:tcPr>
          <w:p w14:paraId="7E52AAF0" w14:textId="0386263F" w:rsidR="0038632B" w:rsidRPr="004B565A" w:rsidRDefault="00CF5AC2" w:rsidP="00AD17B9">
            <w:pPr>
              <w:spacing w:line="360" w:lineRule="auto"/>
              <w:jc w:val="center"/>
              <w:rPr>
                <w:rFonts w:asciiTheme="majorBidi" w:hAnsiTheme="majorBidi" w:cstheme="majorBidi"/>
                <w:color w:val="000000" w:themeColor="text1"/>
                <w:sz w:val="24"/>
                <w:szCs w:val="24"/>
              </w:rPr>
            </w:pPr>
            <w:r w:rsidRPr="00570977">
              <w:rPr>
                <w:rFonts w:asciiTheme="majorBidi" w:hAnsiTheme="majorBidi" w:cstheme="majorBidi"/>
                <w:b/>
                <w:bCs/>
                <w:color w:val="000000" w:themeColor="text1"/>
                <w:sz w:val="24"/>
                <w:szCs w:val="24"/>
              </w:rPr>
              <w:t xml:space="preserve">Fig. </w:t>
            </w:r>
            <w:r>
              <w:rPr>
                <w:rFonts w:asciiTheme="majorBidi" w:hAnsiTheme="majorBidi" w:cstheme="majorBidi"/>
                <w:b/>
                <w:bCs/>
                <w:color w:val="000000" w:themeColor="text1"/>
                <w:sz w:val="24"/>
                <w:szCs w:val="24"/>
              </w:rPr>
              <w:t>5</w:t>
            </w:r>
            <w:r w:rsidRPr="00570977">
              <w:rPr>
                <w:rFonts w:asciiTheme="majorBidi" w:hAnsiTheme="majorBidi" w:cstheme="majorBidi"/>
                <w:color w:val="000000" w:themeColor="text1"/>
                <w:sz w:val="24"/>
                <w:szCs w:val="24"/>
              </w:rPr>
              <w:t xml:space="preserve"> Minimum inhibitory concentrations of </w:t>
            </w:r>
            <w:r w:rsidRPr="00FD08E6">
              <w:rPr>
                <w:rFonts w:asciiTheme="majorBidi" w:hAnsiTheme="majorBidi" w:cstheme="majorBidi"/>
                <w:color w:val="000000" w:themeColor="text1"/>
                <w:sz w:val="24"/>
                <w:szCs w:val="24"/>
              </w:rPr>
              <w:t>aqueous</w:t>
            </w:r>
            <w:r w:rsidRPr="00570977">
              <w:rPr>
                <w:rFonts w:asciiTheme="majorBidi" w:hAnsiTheme="majorBidi" w:cstheme="majorBidi"/>
                <w:color w:val="000000" w:themeColor="text1"/>
                <w:sz w:val="24"/>
                <w:szCs w:val="24"/>
              </w:rPr>
              <w:t xml:space="preserve"> herbal extracts against </w:t>
            </w:r>
            <w:r w:rsidRPr="00570977">
              <w:rPr>
                <w:rFonts w:asciiTheme="majorBidi" w:hAnsiTheme="majorBidi" w:cstheme="majorBidi"/>
                <w:i/>
                <w:iCs/>
                <w:color w:val="000000" w:themeColor="text1"/>
                <w:sz w:val="24"/>
                <w:szCs w:val="24"/>
              </w:rPr>
              <w:t xml:space="preserve">Aeromonas </w:t>
            </w:r>
            <w:proofErr w:type="spellStart"/>
            <w:r w:rsidRPr="00570977">
              <w:rPr>
                <w:rFonts w:asciiTheme="majorBidi" w:hAnsiTheme="majorBidi" w:cstheme="majorBidi"/>
                <w:i/>
                <w:iCs/>
                <w:color w:val="000000" w:themeColor="text1"/>
                <w:sz w:val="24"/>
                <w:szCs w:val="24"/>
              </w:rPr>
              <w:t>hydrophila</w:t>
            </w:r>
            <w:proofErr w:type="spellEnd"/>
            <w:r w:rsidRPr="00570977">
              <w:rPr>
                <w:rFonts w:asciiTheme="majorBidi" w:hAnsiTheme="majorBidi" w:cstheme="majorBidi"/>
                <w:color w:val="000000" w:themeColor="text1"/>
                <w:sz w:val="24"/>
                <w:szCs w:val="24"/>
              </w:rPr>
              <w:t xml:space="preserve"> determined by a 96-well microdilution assay.</w:t>
            </w:r>
          </w:p>
        </w:tc>
      </w:tr>
    </w:tbl>
    <w:p w14:paraId="66747E60" w14:textId="77777777" w:rsidR="0038632B" w:rsidRDefault="0038632B" w:rsidP="0038632B">
      <w:pPr>
        <w:spacing w:line="360" w:lineRule="auto"/>
        <w:ind w:firstLine="720"/>
        <w:jc w:val="both"/>
        <w:rPr>
          <w:rFonts w:asciiTheme="majorBidi" w:hAnsiTheme="majorBidi" w:cstheme="majorBidi"/>
          <w:sz w:val="24"/>
          <w:szCs w:val="24"/>
        </w:rPr>
      </w:pPr>
    </w:p>
    <w:p w14:paraId="57E98584" w14:textId="385820CA" w:rsidR="00C8205A" w:rsidRPr="004B565A" w:rsidRDefault="00197631" w:rsidP="0038632B">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Visual inspection of the resazurin-based broth microdilution plates revealed a distinct </w:t>
      </w:r>
      <w:proofErr w:type="spellStart"/>
      <w:r>
        <w:rPr>
          <w:rFonts w:asciiTheme="majorBidi" w:hAnsiTheme="majorBidi" w:cstheme="majorBidi"/>
          <w:sz w:val="24"/>
          <w:szCs w:val="24"/>
        </w:rPr>
        <w:t>color</w:t>
      </w:r>
      <w:proofErr w:type="spellEnd"/>
      <w:r>
        <w:rPr>
          <w:rFonts w:asciiTheme="majorBidi" w:hAnsiTheme="majorBidi" w:cstheme="majorBidi"/>
          <w:sz w:val="24"/>
          <w:szCs w:val="24"/>
        </w:rPr>
        <w:t xml:space="preserve"> change from purple (indicating no growth) to pink (indicating bacterial growth), facilitating precise MIC determination for both ethanolic and aqueous herbal extracts against </w:t>
      </w:r>
      <w:r w:rsidRPr="00512B0F">
        <w:rPr>
          <w:rFonts w:asciiTheme="majorBidi" w:hAnsiTheme="majorBidi" w:cstheme="majorBidi"/>
          <w:i/>
          <w:iCs/>
          <w:sz w:val="24"/>
          <w:szCs w:val="24"/>
        </w:rPr>
        <w:t>A</w:t>
      </w:r>
      <w:r w:rsidR="00512B0F" w:rsidRPr="00512B0F">
        <w:rPr>
          <w:rFonts w:asciiTheme="majorBidi" w:hAnsiTheme="majorBidi" w:cstheme="majorBidi"/>
          <w:i/>
          <w:iCs/>
          <w:sz w:val="24"/>
          <w:szCs w:val="24"/>
        </w:rPr>
        <w:t>.</w:t>
      </w:r>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In the ethanolic series, exceptionally low MICs were recorded, with 5% neem, 5%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and a combined 5% neem +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extracts inhibiting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at concentrations of 0.0391%, 0.0195%, and 0.0391%, respectively (wells 8–9), demonstrating the high antibacterial potency of the ethanol-extracted phytoconstituents. Conversely, the aqueous preparations showed higher MICs: both 5% neem and 5%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leaf extracts inhibited visible growth only up to 0.625%, whereas the aqueous 5% neem + 5%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combination achieved a lower MIC of 0.0391%, indicating a synergistic interaction even in water-based extracts. Overall, the significantly lower MIC range for the ethanolic formulations (0.0195–0.0391%) compared to most aqueous counterparts (0.0391–0.625%) highlights the superior antibacterial efficacy of ethanol-derived neem and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xml:space="preserve"> extracts against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while also emphasizing the enhanced activity of the combined preparations in both solvent systems.</w:t>
      </w:r>
    </w:p>
    <w:p w14:paraId="5F745682" w14:textId="0B47C5AE" w:rsidR="004B565A" w:rsidRPr="00D056FF" w:rsidRDefault="00112E14" w:rsidP="00237171">
      <w:pPr>
        <w:spacing w:line="360" w:lineRule="auto"/>
        <w:jc w:val="both"/>
        <w:rPr>
          <w:rFonts w:asciiTheme="majorBidi" w:hAnsiTheme="majorBidi" w:cstheme="majorBidi"/>
          <w:b/>
          <w:bCs/>
          <w:sz w:val="24"/>
          <w:szCs w:val="24"/>
        </w:rPr>
      </w:pPr>
      <w:r w:rsidRPr="00D056FF">
        <w:rPr>
          <w:rFonts w:asciiTheme="majorBidi" w:hAnsiTheme="majorBidi" w:cstheme="majorBidi"/>
          <w:b/>
          <w:bCs/>
          <w:sz w:val="24"/>
          <w:szCs w:val="24"/>
        </w:rPr>
        <w:t>Discussion</w:t>
      </w:r>
    </w:p>
    <w:p w14:paraId="0EBA1684" w14:textId="4E84AADB" w:rsidR="0025455A" w:rsidRPr="0025455A" w:rsidRDefault="00197631" w:rsidP="0025455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present findings substantiate the increasing body of evidence suggesting that plant-derived extracts serve as a viable alternative or complement to conventional antibiotics for managing </w:t>
      </w:r>
      <w:r w:rsidRPr="00512B0F">
        <w:rPr>
          <w:rFonts w:asciiTheme="majorBidi" w:hAnsiTheme="majorBidi" w:cstheme="majorBidi"/>
          <w:i/>
          <w:iCs/>
          <w:sz w:val="24"/>
          <w:szCs w:val="24"/>
        </w:rPr>
        <w:t>A</w:t>
      </w:r>
      <w:r w:rsidR="00512B0F" w:rsidRPr="00512B0F">
        <w:rPr>
          <w:rFonts w:asciiTheme="majorBidi" w:hAnsiTheme="majorBidi" w:cstheme="majorBidi"/>
          <w:i/>
          <w:iCs/>
          <w:sz w:val="24"/>
          <w:szCs w:val="24"/>
        </w:rPr>
        <w:t>.</w:t>
      </w:r>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in aquaculture systems. In this study, ethanolic extracts of </w:t>
      </w:r>
      <w:proofErr w:type="spellStart"/>
      <w:r w:rsidRPr="00512B0F">
        <w:rPr>
          <w:rFonts w:asciiTheme="majorBidi" w:hAnsiTheme="majorBidi" w:cstheme="majorBidi"/>
          <w:i/>
          <w:iCs/>
          <w:sz w:val="24"/>
          <w:szCs w:val="24"/>
        </w:rPr>
        <w:t>Ocimum</w:t>
      </w:r>
      <w:proofErr w:type="spellEnd"/>
      <w:r w:rsidRPr="00512B0F">
        <w:rPr>
          <w:rFonts w:asciiTheme="majorBidi" w:hAnsiTheme="majorBidi" w:cstheme="majorBidi"/>
          <w:i/>
          <w:iCs/>
          <w:sz w:val="24"/>
          <w:szCs w:val="24"/>
        </w:rPr>
        <w:t xml:space="preserve"> sanctum</w:t>
      </w:r>
      <w:r>
        <w:rPr>
          <w:rFonts w:asciiTheme="majorBidi" w:hAnsiTheme="majorBidi" w:cstheme="majorBidi"/>
          <w:sz w:val="24"/>
          <w:szCs w:val="24"/>
        </w:rPr>
        <w:t xml:space="preserve">, </w:t>
      </w:r>
      <w:proofErr w:type="spellStart"/>
      <w:r w:rsidRPr="00512B0F">
        <w:rPr>
          <w:rFonts w:asciiTheme="majorBidi" w:hAnsiTheme="majorBidi" w:cstheme="majorBidi"/>
          <w:i/>
          <w:iCs/>
          <w:sz w:val="24"/>
          <w:szCs w:val="24"/>
        </w:rPr>
        <w:lastRenderedPageBreak/>
        <w:t>Azadirachta</w:t>
      </w:r>
      <w:proofErr w:type="spellEnd"/>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indica</w:t>
      </w:r>
      <w:proofErr w:type="spellEnd"/>
      <w:r>
        <w:rPr>
          <w:rFonts w:asciiTheme="majorBidi" w:hAnsiTheme="majorBidi" w:cstheme="majorBidi"/>
          <w:sz w:val="24"/>
          <w:szCs w:val="24"/>
        </w:rPr>
        <w:t xml:space="preserve">, and their combination exhibited distinct inhibition zones and low minimum inhibitory concentration (MIC) values against the gram-negative pathogen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corroborating the widely reported superior antimicrobial efficacy of ethanolic over aqueous herbal preparations. These results are consistent with the work of Harikrishnan and Balasundaram (2005), who demonstrated the effective inhibition of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by aqueous and ethanolic decoctions of </w:t>
      </w:r>
      <w:r w:rsidRPr="00512B0F">
        <w:rPr>
          <w:rFonts w:asciiTheme="majorBidi" w:hAnsiTheme="majorBidi" w:cstheme="majorBidi"/>
          <w:i/>
          <w:iCs/>
          <w:sz w:val="24"/>
          <w:szCs w:val="24"/>
        </w:rPr>
        <w:t>Curcuma longa</w:t>
      </w:r>
      <w:r>
        <w:rPr>
          <w:rFonts w:asciiTheme="majorBidi" w:hAnsiTheme="majorBidi" w:cstheme="majorBidi"/>
          <w:sz w:val="24"/>
          <w:szCs w:val="24"/>
        </w:rPr>
        <w:t xml:space="preserve">, </w:t>
      </w:r>
      <w:r w:rsidRPr="00512B0F">
        <w:rPr>
          <w:rFonts w:asciiTheme="majorBidi" w:hAnsiTheme="majorBidi" w:cstheme="majorBidi"/>
          <w:i/>
          <w:iCs/>
          <w:sz w:val="24"/>
          <w:szCs w:val="24"/>
        </w:rPr>
        <w:t>O. sanctum</w:t>
      </w:r>
      <w:r>
        <w:rPr>
          <w:rFonts w:asciiTheme="majorBidi" w:hAnsiTheme="majorBidi" w:cstheme="majorBidi"/>
          <w:sz w:val="24"/>
          <w:szCs w:val="24"/>
        </w:rPr>
        <w:t xml:space="preserve">, and </w:t>
      </w:r>
      <w:r w:rsidRPr="00512B0F">
        <w:rPr>
          <w:rFonts w:asciiTheme="majorBidi" w:hAnsiTheme="majorBidi" w:cstheme="majorBidi"/>
          <w:i/>
          <w:iCs/>
          <w:sz w:val="24"/>
          <w:szCs w:val="24"/>
        </w:rPr>
        <w:t>A. indica</w:t>
      </w:r>
      <w:r>
        <w:rPr>
          <w:rFonts w:asciiTheme="majorBidi" w:hAnsiTheme="majorBidi" w:cstheme="majorBidi"/>
          <w:sz w:val="24"/>
          <w:szCs w:val="24"/>
        </w:rPr>
        <w:t xml:space="preserve">, with neem and tri-herbal (1:1:1) formulations showing particularly strong activity. Subsequent studies have further documented the broad-spectrum antibacterial potential of organic solvent neem extracts against a range of fish and non-fish pathogens, including </w:t>
      </w:r>
      <w:r w:rsidRPr="00512B0F">
        <w:rPr>
          <w:rFonts w:asciiTheme="majorBidi" w:hAnsiTheme="majorBidi" w:cstheme="majorBidi"/>
          <w:i/>
          <w:iCs/>
          <w:sz w:val="24"/>
          <w:szCs w:val="24"/>
        </w:rPr>
        <w:t>Bacillus subtilis</w:t>
      </w:r>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Streptococcus </w:t>
      </w:r>
      <w:proofErr w:type="spellStart"/>
      <w:r w:rsidRPr="00512B0F">
        <w:rPr>
          <w:rFonts w:asciiTheme="majorBidi" w:hAnsiTheme="majorBidi" w:cstheme="majorBidi"/>
          <w:i/>
          <w:iCs/>
          <w:sz w:val="24"/>
          <w:szCs w:val="24"/>
        </w:rPr>
        <w:t>iniae</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Pseudomonas aeruginosa</w:t>
      </w:r>
      <w:r>
        <w:rPr>
          <w:rFonts w:asciiTheme="majorBidi" w:hAnsiTheme="majorBidi" w:cstheme="majorBidi"/>
          <w:sz w:val="24"/>
          <w:szCs w:val="24"/>
        </w:rPr>
        <w:t xml:space="preserve">, </w:t>
      </w:r>
      <w:r w:rsidRPr="00512B0F">
        <w:rPr>
          <w:rFonts w:asciiTheme="majorBidi" w:hAnsiTheme="majorBidi" w:cstheme="majorBidi"/>
          <w:i/>
          <w:iCs/>
          <w:sz w:val="24"/>
          <w:szCs w:val="24"/>
        </w:rPr>
        <w:t>Escherichia coli</w:t>
      </w:r>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P. </w:t>
      </w:r>
      <w:proofErr w:type="spellStart"/>
      <w:r w:rsidRPr="00512B0F">
        <w:rPr>
          <w:rFonts w:asciiTheme="majorBidi" w:hAnsiTheme="majorBidi" w:cstheme="majorBidi"/>
          <w:i/>
          <w:iCs/>
          <w:sz w:val="24"/>
          <w:szCs w:val="24"/>
        </w:rPr>
        <w:t>stutzeri</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Aeromonas </w:t>
      </w:r>
      <w:proofErr w:type="spellStart"/>
      <w:r w:rsidRPr="00512B0F">
        <w:rPr>
          <w:rFonts w:asciiTheme="majorBidi" w:hAnsiTheme="majorBidi" w:cstheme="majorBidi"/>
          <w:i/>
          <w:iCs/>
          <w:sz w:val="24"/>
          <w:szCs w:val="24"/>
        </w:rPr>
        <w:t>junii</w:t>
      </w:r>
      <w:proofErr w:type="spellEnd"/>
      <w:r>
        <w:rPr>
          <w:rFonts w:asciiTheme="majorBidi" w:hAnsiTheme="majorBidi" w:cstheme="majorBidi"/>
          <w:sz w:val="24"/>
          <w:szCs w:val="24"/>
        </w:rPr>
        <w:t xml:space="preserve">, and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veronii</w:t>
      </w:r>
      <w:proofErr w:type="spellEnd"/>
      <w:r>
        <w:rPr>
          <w:rFonts w:asciiTheme="majorBidi" w:hAnsiTheme="majorBidi" w:cstheme="majorBidi"/>
          <w:sz w:val="24"/>
          <w:szCs w:val="24"/>
        </w:rPr>
        <w:t xml:space="preserve"> (El Mahmood et al., 2010; </w:t>
      </w:r>
      <w:proofErr w:type="spellStart"/>
      <w:r>
        <w:rPr>
          <w:rFonts w:asciiTheme="majorBidi" w:hAnsiTheme="majorBidi" w:cstheme="majorBidi"/>
          <w:sz w:val="24"/>
          <w:szCs w:val="24"/>
        </w:rPr>
        <w:t>Abalaka</w:t>
      </w:r>
      <w:proofErr w:type="spellEnd"/>
      <w:r>
        <w:rPr>
          <w:rFonts w:asciiTheme="majorBidi" w:hAnsiTheme="majorBidi" w:cstheme="majorBidi"/>
          <w:sz w:val="24"/>
          <w:szCs w:val="24"/>
        </w:rPr>
        <w:t xml:space="preserve"> et al., 2012; Kavitha et al., 2017). Additional support is provided by </w:t>
      </w:r>
      <w:proofErr w:type="spellStart"/>
      <w:r>
        <w:rPr>
          <w:rFonts w:asciiTheme="majorBidi" w:hAnsiTheme="majorBidi" w:cstheme="majorBidi"/>
          <w:sz w:val="24"/>
          <w:szCs w:val="24"/>
        </w:rPr>
        <w:t>Wattanuruk</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Detraksa</w:t>
      </w:r>
      <w:proofErr w:type="spellEnd"/>
      <w:r>
        <w:rPr>
          <w:rFonts w:asciiTheme="majorBidi" w:hAnsiTheme="majorBidi" w:cstheme="majorBidi"/>
          <w:sz w:val="24"/>
          <w:szCs w:val="24"/>
        </w:rPr>
        <w:t xml:space="preserve"> (2023), who reported the inhibitory effects of crude ethanolic herbal extracts against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Streptococcus agalactiae</w:t>
      </w:r>
      <w:r>
        <w:rPr>
          <w:rFonts w:asciiTheme="majorBidi" w:hAnsiTheme="majorBidi" w:cstheme="majorBidi"/>
          <w:sz w:val="24"/>
          <w:szCs w:val="24"/>
        </w:rPr>
        <w:t xml:space="preserve">, and </w:t>
      </w:r>
      <w:proofErr w:type="spellStart"/>
      <w:r w:rsidRPr="00512B0F">
        <w:rPr>
          <w:rFonts w:asciiTheme="majorBidi" w:hAnsiTheme="majorBidi" w:cstheme="majorBidi"/>
          <w:i/>
          <w:iCs/>
          <w:sz w:val="24"/>
          <w:szCs w:val="24"/>
        </w:rPr>
        <w:t>Edwardsiella</w:t>
      </w:r>
      <w:proofErr w:type="spellEnd"/>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ictaluri</w:t>
      </w:r>
      <w:proofErr w:type="spellEnd"/>
      <w:r>
        <w:rPr>
          <w:rFonts w:asciiTheme="majorBidi" w:hAnsiTheme="majorBidi" w:cstheme="majorBidi"/>
          <w:sz w:val="24"/>
          <w:szCs w:val="24"/>
        </w:rPr>
        <w:t xml:space="preserve">, as well as by Olusola et al. (2017), who demonstrated MIC-defined antibacterial activity of neem leaf and turmeric rhizome extracts against fish pathogenic bacteria. Similar broad-spectrum efficacy has also been reported for commercial ethanolic extracts of multiple medicinal plants against key aquaculture pathogens, such as </w:t>
      </w:r>
      <w:proofErr w:type="spellStart"/>
      <w:r w:rsidRPr="00512B0F">
        <w:rPr>
          <w:rFonts w:asciiTheme="majorBidi" w:hAnsiTheme="majorBidi" w:cstheme="majorBidi"/>
          <w:i/>
          <w:iCs/>
          <w:sz w:val="24"/>
          <w:szCs w:val="24"/>
        </w:rPr>
        <w:t>Listonella</w:t>
      </w:r>
      <w:proofErr w:type="spellEnd"/>
      <w:r w:rsidRPr="00512B0F">
        <w:rPr>
          <w:rFonts w:asciiTheme="majorBidi" w:hAnsiTheme="majorBidi" w:cstheme="majorBidi"/>
          <w:i/>
          <w:iCs/>
          <w:sz w:val="24"/>
          <w:szCs w:val="24"/>
        </w:rPr>
        <w:t xml:space="preserve"> </w:t>
      </w:r>
      <w:proofErr w:type="spellStart"/>
      <w:r w:rsidRPr="00512B0F">
        <w:rPr>
          <w:rFonts w:asciiTheme="majorBidi" w:hAnsiTheme="majorBidi" w:cstheme="majorBidi"/>
          <w:i/>
          <w:iCs/>
          <w:sz w:val="24"/>
          <w:szCs w:val="24"/>
        </w:rPr>
        <w:t>anguillarum</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Yersinia </w:t>
      </w:r>
      <w:proofErr w:type="spellStart"/>
      <w:r w:rsidRPr="00512B0F">
        <w:rPr>
          <w:rFonts w:asciiTheme="majorBidi" w:hAnsiTheme="majorBidi" w:cstheme="majorBidi"/>
          <w:i/>
          <w:iCs/>
          <w:sz w:val="24"/>
          <w:szCs w:val="24"/>
        </w:rPr>
        <w:t>ruckeri</w:t>
      </w:r>
      <w:proofErr w:type="spellEnd"/>
      <w:r>
        <w:rPr>
          <w:rFonts w:asciiTheme="majorBidi" w:hAnsiTheme="majorBidi" w:cstheme="majorBidi"/>
          <w:sz w:val="24"/>
          <w:szCs w:val="24"/>
        </w:rPr>
        <w:t xml:space="preserve">, </w:t>
      </w:r>
      <w:r w:rsidRPr="00512B0F">
        <w:rPr>
          <w:rFonts w:asciiTheme="majorBidi" w:hAnsiTheme="majorBidi" w:cstheme="majorBidi"/>
          <w:i/>
          <w:iCs/>
          <w:sz w:val="24"/>
          <w:szCs w:val="24"/>
        </w:rPr>
        <w:t xml:space="preserve">Photobacterium </w:t>
      </w:r>
      <w:proofErr w:type="spellStart"/>
      <w:r w:rsidRPr="00512B0F">
        <w:rPr>
          <w:rFonts w:asciiTheme="majorBidi" w:hAnsiTheme="majorBidi" w:cstheme="majorBidi"/>
          <w:i/>
          <w:iCs/>
          <w:sz w:val="24"/>
          <w:szCs w:val="24"/>
        </w:rPr>
        <w:t>damselae</w:t>
      </w:r>
      <w:proofErr w:type="spellEnd"/>
      <w:r>
        <w:rPr>
          <w:rFonts w:asciiTheme="majorBidi" w:hAnsiTheme="majorBidi" w:cstheme="majorBidi"/>
          <w:sz w:val="24"/>
          <w:szCs w:val="24"/>
        </w:rPr>
        <w:t xml:space="preserve"> subsp. piscicida, and </w:t>
      </w:r>
      <w:r w:rsidRPr="00512B0F">
        <w:rPr>
          <w:rFonts w:asciiTheme="majorBidi" w:hAnsiTheme="majorBidi" w:cstheme="majorBidi"/>
          <w:i/>
          <w:iCs/>
          <w:sz w:val="24"/>
          <w:szCs w:val="24"/>
        </w:rPr>
        <w:t xml:space="preserve">Lactococcus </w:t>
      </w:r>
      <w:proofErr w:type="spellStart"/>
      <w:r w:rsidRPr="00512B0F">
        <w:rPr>
          <w:rFonts w:asciiTheme="majorBidi" w:hAnsiTheme="majorBidi" w:cstheme="majorBidi"/>
          <w:i/>
          <w:iCs/>
          <w:sz w:val="24"/>
          <w:szCs w:val="24"/>
        </w:rPr>
        <w:t>garvieae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Bulfon</w:t>
      </w:r>
      <w:proofErr w:type="spellEnd"/>
      <w:r>
        <w:rPr>
          <w:rFonts w:asciiTheme="majorBidi" w:hAnsiTheme="majorBidi" w:cstheme="majorBidi"/>
          <w:sz w:val="24"/>
          <w:szCs w:val="24"/>
        </w:rPr>
        <w:t xml:space="preserve"> et al., 2014). Concurrently, the present pathogenicity assessment confirmed the high virulence of </w:t>
      </w:r>
      <w:r w:rsidRPr="00512B0F">
        <w:rPr>
          <w:rFonts w:asciiTheme="majorBidi" w:hAnsiTheme="majorBidi" w:cstheme="majorBidi"/>
          <w:i/>
          <w:iCs/>
          <w:sz w:val="24"/>
          <w:szCs w:val="24"/>
        </w:rPr>
        <w:t xml:space="preserve">A. </w:t>
      </w:r>
      <w:proofErr w:type="spellStart"/>
      <w:r w:rsidRPr="00512B0F">
        <w:rPr>
          <w:rFonts w:asciiTheme="majorBidi" w:hAnsiTheme="majorBidi" w:cstheme="majorBidi"/>
          <w:i/>
          <w:iCs/>
          <w:sz w:val="24"/>
          <w:szCs w:val="24"/>
        </w:rPr>
        <w:t>hydrophila</w:t>
      </w:r>
      <w:proofErr w:type="spellEnd"/>
      <w:r>
        <w:rPr>
          <w:rFonts w:asciiTheme="majorBidi" w:hAnsiTheme="majorBidi" w:cstheme="majorBidi"/>
          <w:sz w:val="24"/>
          <w:szCs w:val="24"/>
        </w:rPr>
        <w:t xml:space="preserve"> in common carp, with the LD50 estimated to fall between 1.0 × 10⁷ and 1.0 × 10⁸ </w:t>
      </w:r>
      <w:proofErr w:type="spellStart"/>
      <w:r>
        <w:rPr>
          <w:rFonts w:asciiTheme="majorBidi" w:hAnsiTheme="majorBidi" w:cstheme="majorBidi"/>
          <w:sz w:val="24"/>
          <w:szCs w:val="24"/>
        </w:rPr>
        <w:t>cfu</w:t>
      </w:r>
      <w:proofErr w:type="spellEnd"/>
      <w:r>
        <w:rPr>
          <w:rFonts w:asciiTheme="majorBidi" w:hAnsiTheme="majorBidi" w:cstheme="majorBidi"/>
          <w:sz w:val="24"/>
          <w:szCs w:val="24"/>
        </w:rPr>
        <w:t>/mL, a range consistent with previously reported LD50-96h values of 4.1 × 10⁸ CFU/mL (</w:t>
      </w:r>
      <w:proofErr w:type="spellStart"/>
      <w:r>
        <w:rPr>
          <w:rFonts w:asciiTheme="majorBidi" w:hAnsiTheme="majorBidi" w:cstheme="majorBidi"/>
          <w:sz w:val="24"/>
          <w:szCs w:val="24"/>
        </w:rPr>
        <w:t>Samayanpaulraj</w:t>
      </w:r>
      <w:proofErr w:type="spellEnd"/>
      <w:r>
        <w:rPr>
          <w:rFonts w:asciiTheme="majorBidi" w:hAnsiTheme="majorBidi" w:cstheme="majorBidi"/>
          <w:sz w:val="24"/>
          <w:szCs w:val="24"/>
        </w:rPr>
        <w:t xml:space="preserve"> et al., 2019) and 0.3 × 10⁸ CFU/mL (</w:t>
      </w:r>
      <w:proofErr w:type="spellStart"/>
      <w:r>
        <w:rPr>
          <w:rFonts w:asciiTheme="majorBidi" w:hAnsiTheme="majorBidi" w:cstheme="majorBidi"/>
          <w:sz w:val="24"/>
          <w:szCs w:val="24"/>
        </w:rPr>
        <w:t>Alsaphar</w:t>
      </w:r>
      <w:proofErr w:type="spellEnd"/>
      <w:r>
        <w:rPr>
          <w:rFonts w:asciiTheme="majorBidi" w:hAnsiTheme="majorBidi" w:cstheme="majorBidi"/>
          <w:sz w:val="24"/>
          <w:szCs w:val="24"/>
        </w:rPr>
        <w:t xml:space="preserve">, 2012). Minor inter-study variations in LD₅₀ are likely attributable to differences in bacterial strain virulence, host size and susceptibility, exposure routes, and environmental conditions. Collectively, these convergent data underscore the substantial antimicrobial potential of ethanol-extracted phytochemicals from neem, </w:t>
      </w:r>
      <w:proofErr w:type="spellStart"/>
      <w:r>
        <w:rPr>
          <w:rFonts w:asciiTheme="majorBidi" w:hAnsiTheme="majorBidi" w:cstheme="majorBidi"/>
          <w:sz w:val="24"/>
          <w:szCs w:val="24"/>
        </w:rPr>
        <w:t>tulsi</w:t>
      </w:r>
      <w:proofErr w:type="spellEnd"/>
      <w:r>
        <w:rPr>
          <w:rFonts w:asciiTheme="majorBidi" w:hAnsiTheme="majorBidi" w:cstheme="majorBidi"/>
          <w:sz w:val="24"/>
          <w:szCs w:val="24"/>
        </w:rPr>
        <w:t>, and other medicinal plants and support the strategic integration of standardized herbal formulations as antibiotic-sparing tools within sustainable aquaculture health management frameworks.</w:t>
      </w:r>
    </w:p>
    <w:p w14:paraId="53874A7D" w14:textId="2CE30633" w:rsidR="00055FB8" w:rsidRDefault="00055FB8" w:rsidP="0057046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Conclusion</w:t>
      </w:r>
    </w:p>
    <w:p w14:paraId="4FC345C2" w14:textId="232739FC" w:rsidR="00055FB8" w:rsidRDefault="00055FB8" w:rsidP="00055FB8">
      <w:pPr>
        <w:spacing w:line="360" w:lineRule="auto"/>
        <w:jc w:val="both"/>
        <w:rPr>
          <w:rFonts w:asciiTheme="majorBidi" w:hAnsiTheme="majorBidi" w:cstheme="majorBidi"/>
          <w:sz w:val="24"/>
          <w:szCs w:val="24"/>
        </w:rPr>
      </w:pPr>
      <w:r w:rsidRPr="00055FB8">
        <w:rPr>
          <w:rFonts w:asciiTheme="majorBidi" w:hAnsiTheme="majorBidi" w:cstheme="majorBidi"/>
          <w:sz w:val="24"/>
          <w:szCs w:val="24"/>
        </w:rPr>
        <w:t>The study indicates that </w:t>
      </w:r>
      <w:proofErr w:type="spellStart"/>
      <w:r w:rsidRPr="00055FB8">
        <w:rPr>
          <w:rFonts w:asciiTheme="majorBidi" w:hAnsiTheme="majorBidi" w:cstheme="majorBidi"/>
          <w:i/>
          <w:iCs/>
          <w:sz w:val="24"/>
          <w:szCs w:val="24"/>
        </w:rPr>
        <w:t>Ocimum</w:t>
      </w:r>
      <w:proofErr w:type="spellEnd"/>
      <w:r w:rsidRPr="00055FB8">
        <w:rPr>
          <w:rFonts w:asciiTheme="majorBidi" w:hAnsiTheme="majorBidi" w:cstheme="majorBidi"/>
          <w:i/>
          <w:iCs/>
          <w:sz w:val="24"/>
          <w:szCs w:val="24"/>
        </w:rPr>
        <w:t xml:space="preserve"> sanctum</w:t>
      </w:r>
      <w:r w:rsidRPr="00055FB8">
        <w:rPr>
          <w:rFonts w:asciiTheme="majorBidi" w:hAnsiTheme="majorBidi" w:cstheme="majorBidi"/>
          <w:sz w:val="24"/>
          <w:szCs w:val="24"/>
        </w:rPr>
        <w:t> and </w:t>
      </w:r>
      <w:proofErr w:type="spellStart"/>
      <w:r w:rsidRPr="00055FB8">
        <w:rPr>
          <w:rFonts w:asciiTheme="majorBidi" w:hAnsiTheme="majorBidi" w:cstheme="majorBidi"/>
          <w:i/>
          <w:iCs/>
          <w:sz w:val="24"/>
          <w:szCs w:val="24"/>
        </w:rPr>
        <w:t>Azadirachta</w:t>
      </w:r>
      <w:proofErr w:type="spellEnd"/>
      <w:r w:rsidRPr="00055FB8">
        <w:rPr>
          <w:rFonts w:asciiTheme="majorBidi" w:hAnsiTheme="majorBidi" w:cstheme="majorBidi"/>
          <w:i/>
          <w:iCs/>
          <w:sz w:val="24"/>
          <w:szCs w:val="24"/>
        </w:rPr>
        <w:t xml:space="preserve"> </w:t>
      </w:r>
      <w:proofErr w:type="spellStart"/>
      <w:r w:rsidRPr="00055FB8">
        <w:rPr>
          <w:rFonts w:asciiTheme="majorBidi" w:hAnsiTheme="majorBidi" w:cstheme="majorBidi"/>
          <w:i/>
          <w:iCs/>
          <w:sz w:val="24"/>
          <w:szCs w:val="24"/>
        </w:rPr>
        <w:t>indica</w:t>
      </w:r>
      <w:proofErr w:type="spellEnd"/>
      <w:r w:rsidRPr="00055FB8">
        <w:rPr>
          <w:rFonts w:asciiTheme="majorBidi" w:hAnsiTheme="majorBidi" w:cstheme="majorBidi"/>
          <w:sz w:val="24"/>
          <w:szCs w:val="24"/>
        </w:rPr>
        <w:t xml:space="preserve"> are promising sources of natural antimicrobial compounds for controlling fish diseases in aquaculture, with the combined ethanolic extract of both herbs showing the strongest antibacterial activity and lowest MIC values among the tested formulations. </w:t>
      </w:r>
      <w:r w:rsidR="00CF5AC2" w:rsidRPr="00055FB8">
        <w:rPr>
          <w:rFonts w:asciiTheme="majorBidi" w:hAnsiTheme="majorBidi" w:cstheme="majorBidi"/>
          <w:sz w:val="24"/>
          <w:szCs w:val="24"/>
        </w:rPr>
        <w:t xml:space="preserve">These results support the potential use of </w:t>
      </w:r>
      <w:r w:rsidR="00CF5AC2" w:rsidRPr="00055FB8">
        <w:rPr>
          <w:rFonts w:asciiTheme="majorBidi" w:hAnsiTheme="majorBidi" w:cstheme="majorBidi"/>
          <w:sz w:val="24"/>
          <w:szCs w:val="24"/>
        </w:rPr>
        <w:lastRenderedPageBreak/>
        <w:t>standardized neem–</w:t>
      </w:r>
      <w:proofErr w:type="spellStart"/>
      <w:r w:rsidR="00CF5AC2" w:rsidRPr="00055FB8">
        <w:rPr>
          <w:rFonts w:asciiTheme="majorBidi" w:hAnsiTheme="majorBidi" w:cstheme="majorBidi"/>
          <w:sz w:val="24"/>
          <w:szCs w:val="24"/>
        </w:rPr>
        <w:t>tulsi</w:t>
      </w:r>
      <w:proofErr w:type="spellEnd"/>
      <w:r w:rsidR="00CF5AC2" w:rsidRPr="00055FB8">
        <w:rPr>
          <w:rFonts w:asciiTheme="majorBidi" w:hAnsiTheme="majorBidi" w:cstheme="majorBidi"/>
          <w:sz w:val="24"/>
          <w:szCs w:val="24"/>
        </w:rPr>
        <w:t xml:space="preserve"> </w:t>
      </w:r>
      <w:proofErr w:type="spellStart"/>
      <w:r w:rsidR="00CF5AC2" w:rsidRPr="00055FB8">
        <w:rPr>
          <w:rFonts w:asciiTheme="majorBidi" w:hAnsiTheme="majorBidi" w:cstheme="majorBidi"/>
          <w:sz w:val="24"/>
          <w:szCs w:val="24"/>
        </w:rPr>
        <w:t>phytopreparations</w:t>
      </w:r>
      <w:proofErr w:type="spellEnd"/>
      <w:r w:rsidR="00CF5AC2" w:rsidRPr="00055FB8">
        <w:rPr>
          <w:rFonts w:asciiTheme="majorBidi" w:hAnsiTheme="majorBidi" w:cstheme="majorBidi"/>
          <w:sz w:val="24"/>
          <w:szCs w:val="24"/>
        </w:rPr>
        <w:t xml:space="preserve"> as antibiotics-sparing</w:t>
      </w:r>
      <w:r w:rsidR="00CF5AC2" w:rsidRPr="00055FB8">
        <w:rPr>
          <w:rFonts w:asciiTheme="majorBidi" w:hAnsiTheme="majorBidi" w:cstheme="majorBidi"/>
          <w:sz w:val="24"/>
          <w:szCs w:val="24"/>
        </w:rPr>
        <w:noBreakHyphen/>
        <w:t xml:space="preserve"> interventions and underscore the need for further in vivo experiments to evaluate the efficacy, safety, and metabolite effects of these extracts against a broader range of fish</w:t>
      </w:r>
      <w:r w:rsidR="00CF5AC2" w:rsidRPr="00055FB8">
        <w:rPr>
          <w:rFonts w:asciiTheme="majorBidi" w:hAnsiTheme="majorBidi" w:cstheme="majorBidi"/>
          <w:sz w:val="24"/>
          <w:szCs w:val="24"/>
        </w:rPr>
        <w:noBreakHyphen/>
        <w:t>pathogenic bacteria in relevant fish models.</w:t>
      </w:r>
    </w:p>
    <w:p w14:paraId="53539B92" w14:textId="77777777" w:rsidR="00F16E32" w:rsidRPr="00FB1384" w:rsidRDefault="00F16E32" w:rsidP="00FB1384">
      <w:pPr>
        <w:spacing w:line="360" w:lineRule="auto"/>
        <w:jc w:val="both"/>
        <w:rPr>
          <w:rFonts w:ascii="Times New Roman" w:hAnsi="Times New Roman" w:cs="Times New Roman"/>
          <w:b/>
          <w:sz w:val="24"/>
          <w:szCs w:val="24"/>
        </w:rPr>
      </w:pPr>
      <w:r w:rsidRPr="00FB1384">
        <w:rPr>
          <w:rFonts w:ascii="Times New Roman" w:hAnsi="Times New Roman" w:cs="Times New Roman"/>
          <w:b/>
          <w:sz w:val="24"/>
          <w:szCs w:val="24"/>
        </w:rPr>
        <w:t>Disclaimer (Artificial intelligence)</w:t>
      </w:r>
    </w:p>
    <w:p w14:paraId="49840D79" w14:textId="5549B2D6" w:rsidR="00F16E32" w:rsidRPr="00FB1384" w:rsidRDefault="00F16E32" w:rsidP="00FB1384">
      <w:pPr>
        <w:spacing w:line="360" w:lineRule="auto"/>
        <w:jc w:val="both"/>
        <w:rPr>
          <w:rFonts w:ascii="Times New Roman" w:hAnsi="Times New Roman" w:cs="Times New Roman"/>
          <w:sz w:val="24"/>
          <w:szCs w:val="24"/>
        </w:rPr>
      </w:pPr>
      <w:r w:rsidRPr="00FB1384">
        <w:rPr>
          <w:rFonts w:ascii="Times New Roman" w:hAnsi="Times New Roman" w:cs="Times New Roman"/>
          <w:sz w:val="24"/>
          <w:szCs w:val="24"/>
        </w:rPr>
        <w:t xml:space="preserve">Author(s) hereby </w:t>
      </w:r>
      <w:r w:rsidR="00FB1384" w:rsidRPr="00FB1384">
        <w:rPr>
          <w:rFonts w:ascii="Times New Roman" w:hAnsi="Times New Roman" w:cs="Times New Roman"/>
          <w:sz w:val="24"/>
          <w:szCs w:val="24"/>
        </w:rPr>
        <w:t>declares</w:t>
      </w:r>
      <w:r w:rsidRPr="00FB1384">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3FB473FD" w14:textId="32DFECAC" w:rsidR="00E17447" w:rsidRPr="00E17447" w:rsidRDefault="00E17447" w:rsidP="00570461">
      <w:pPr>
        <w:spacing w:line="360" w:lineRule="auto"/>
        <w:jc w:val="both"/>
        <w:rPr>
          <w:rFonts w:asciiTheme="majorBidi" w:hAnsiTheme="majorBidi" w:cstheme="majorBidi"/>
          <w:b/>
          <w:bCs/>
          <w:sz w:val="24"/>
          <w:szCs w:val="24"/>
        </w:rPr>
      </w:pPr>
      <w:proofErr w:type="spellStart"/>
      <w:r w:rsidRPr="00E17447">
        <w:rPr>
          <w:rFonts w:asciiTheme="majorBidi" w:hAnsiTheme="majorBidi" w:cstheme="majorBidi"/>
          <w:b/>
          <w:bCs/>
          <w:sz w:val="24"/>
          <w:szCs w:val="24"/>
        </w:rPr>
        <w:t>Referances</w:t>
      </w:r>
      <w:proofErr w:type="spellEnd"/>
    </w:p>
    <w:p w14:paraId="1B47614D" w14:textId="77777777" w:rsidR="00C2069C" w:rsidRDefault="00C2069C" w:rsidP="00C82123">
      <w:pPr>
        <w:pStyle w:val="ListParagraph"/>
        <w:numPr>
          <w:ilvl w:val="0"/>
          <w:numId w:val="5"/>
        </w:numPr>
        <w:spacing w:after="200" w:line="360" w:lineRule="auto"/>
        <w:jc w:val="both"/>
        <w:rPr>
          <w:rFonts w:asciiTheme="majorBidi" w:hAnsiTheme="majorBidi" w:cstheme="majorBidi"/>
          <w:sz w:val="24"/>
          <w:szCs w:val="24"/>
        </w:rPr>
      </w:pPr>
      <w:r w:rsidRPr="00C82123">
        <w:rPr>
          <w:rFonts w:asciiTheme="majorBidi" w:hAnsiTheme="majorBidi" w:cstheme="majorBidi"/>
          <w:sz w:val="24"/>
          <w:szCs w:val="24"/>
          <w:lang w:val="nl-NL"/>
        </w:rPr>
        <w:t xml:space="preserve">Abalaka, M., Oyewole, O. A., &amp; Kolawole, A. R. (2012). </w:t>
      </w:r>
      <w:r w:rsidRPr="00C82123">
        <w:rPr>
          <w:rFonts w:asciiTheme="majorBidi" w:hAnsiTheme="majorBidi" w:cstheme="majorBidi"/>
          <w:sz w:val="24"/>
          <w:szCs w:val="24"/>
        </w:rPr>
        <w:t xml:space="preserve">Antibacterial activities of </w:t>
      </w:r>
      <w:proofErr w:type="spellStart"/>
      <w:r w:rsidRPr="00C82123">
        <w:rPr>
          <w:rFonts w:asciiTheme="majorBidi" w:hAnsiTheme="majorBidi" w:cstheme="majorBidi"/>
          <w:i/>
          <w:iCs/>
          <w:sz w:val="24"/>
          <w:szCs w:val="24"/>
        </w:rPr>
        <w:t>Azadirachta</w:t>
      </w:r>
      <w:proofErr w:type="spellEnd"/>
      <w:r w:rsidRPr="00C82123">
        <w:rPr>
          <w:rFonts w:asciiTheme="majorBidi" w:hAnsiTheme="majorBidi" w:cstheme="majorBidi"/>
          <w:i/>
          <w:iCs/>
          <w:sz w:val="24"/>
          <w:szCs w:val="24"/>
        </w:rPr>
        <w:t xml:space="preserve"> </w:t>
      </w:r>
      <w:proofErr w:type="spellStart"/>
      <w:r w:rsidRPr="00C82123">
        <w:rPr>
          <w:rFonts w:asciiTheme="majorBidi" w:hAnsiTheme="majorBidi" w:cstheme="majorBidi"/>
          <w:i/>
          <w:iCs/>
          <w:sz w:val="24"/>
          <w:szCs w:val="24"/>
        </w:rPr>
        <w:t>indica</w:t>
      </w:r>
      <w:proofErr w:type="spellEnd"/>
      <w:r w:rsidRPr="00C82123">
        <w:rPr>
          <w:rFonts w:asciiTheme="majorBidi" w:hAnsiTheme="majorBidi" w:cstheme="majorBidi"/>
          <w:sz w:val="24"/>
          <w:szCs w:val="24"/>
        </w:rPr>
        <w:t xml:space="preserve"> against some bacterial pathogens. </w:t>
      </w:r>
      <w:r w:rsidRPr="00C82123">
        <w:rPr>
          <w:rFonts w:asciiTheme="majorBidi" w:hAnsiTheme="majorBidi" w:cstheme="majorBidi"/>
          <w:i/>
          <w:iCs/>
          <w:sz w:val="24"/>
          <w:szCs w:val="24"/>
        </w:rPr>
        <w:t>Advances in life Sciences</w:t>
      </w:r>
      <w:r w:rsidRPr="00C82123">
        <w:rPr>
          <w:rFonts w:asciiTheme="majorBidi" w:hAnsiTheme="majorBidi" w:cstheme="majorBidi"/>
          <w:sz w:val="24"/>
          <w:szCs w:val="24"/>
        </w:rPr>
        <w:t>, </w:t>
      </w:r>
      <w:r w:rsidRPr="00C82123">
        <w:rPr>
          <w:rFonts w:asciiTheme="majorBidi" w:hAnsiTheme="majorBidi" w:cstheme="majorBidi"/>
          <w:i/>
          <w:iCs/>
          <w:sz w:val="24"/>
          <w:szCs w:val="24"/>
        </w:rPr>
        <w:t>2</w:t>
      </w:r>
      <w:r w:rsidRPr="00C82123">
        <w:rPr>
          <w:rFonts w:asciiTheme="majorBidi" w:hAnsiTheme="majorBidi" w:cstheme="majorBidi"/>
          <w:sz w:val="24"/>
          <w:szCs w:val="24"/>
        </w:rPr>
        <w:t>(2), 5-8.</w:t>
      </w:r>
    </w:p>
    <w:p w14:paraId="1C6C75A8" w14:textId="047D4082" w:rsidR="00C2069C" w:rsidRDefault="00C2069C" w:rsidP="0025455A">
      <w:pPr>
        <w:pStyle w:val="ListParagraph"/>
        <w:numPr>
          <w:ilvl w:val="0"/>
          <w:numId w:val="5"/>
        </w:numPr>
        <w:spacing w:after="200" w:line="360" w:lineRule="auto"/>
        <w:jc w:val="both"/>
        <w:rPr>
          <w:rFonts w:asciiTheme="majorBidi" w:hAnsiTheme="majorBidi" w:cstheme="majorBidi"/>
          <w:sz w:val="24"/>
          <w:szCs w:val="24"/>
        </w:rPr>
      </w:pPr>
      <w:proofErr w:type="spellStart"/>
      <w:r w:rsidRPr="0025455A">
        <w:rPr>
          <w:rFonts w:asciiTheme="majorBidi" w:hAnsiTheme="majorBidi" w:cstheme="majorBidi"/>
          <w:sz w:val="24"/>
          <w:szCs w:val="24"/>
        </w:rPr>
        <w:t>Alsaphar</w:t>
      </w:r>
      <w:proofErr w:type="spellEnd"/>
      <w:r w:rsidRPr="0025455A">
        <w:rPr>
          <w:rFonts w:asciiTheme="majorBidi" w:hAnsiTheme="majorBidi" w:cstheme="majorBidi"/>
          <w:sz w:val="24"/>
          <w:szCs w:val="24"/>
        </w:rPr>
        <w:t xml:space="preserve">, S. A. (2012). </w:t>
      </w:r>
      <w:r w:rsidR="00CF5AC2" w:rsidRPr="0025455A">
        <w:rPr>
          <w:rFonts w:asciiTheme="majorBidi" w:hAnsiTheme="majorBidi" w:cstheme="majorBidi"/>
          <w:sz w:val="24"/>
          <w:szCs w:val="24"/>
        </w:rPr>
        <w:t xml:space="preserve">Detection and study of the experimental infection of </w:t>
      </w:r>
      <w:r w:rsidR="00CF5AC2" w:rsidRPr="0025455A">
        <w:rPr>
          <w:rFonts w:asciiTheme="majorBidi" w:hAnsiTheme="majorBidi" w:cstheme="majorBidi"/>
          <w:i/>
          <w:iCs/>
          <w:sz w:val="24"/>
          <w:szCs w:val="24"/>
        </w:rPr>
        <w:t xml:space="preserve">Aeromonas </w:t>
      </w:r>
      <w:r w:rsidR="00CF5AC2" w:rsidRPr="0025455A">
        <w:rPr>
          <w:rFonts w:asciiTheme="majorBidi" w:hAnsiTheme="majorBidi" w:cstheme="majorBidi"/>
          <w:sz w:val="24"/>
          <w:szCs w:val="24"/>
        </w:rPr>
        <w:t>strain in the common carp (</w:t>
      </w:r>
      <w:r w:rsidR="00CF5AC2" w:rsidRPr="0025455A">
        <w:rPr>
          <w:rFonts w:asciiTheme="majorBidi" w:hAnsiTheme="majorBidi" w:cstheme="majorBidi"/>
          <w:i/>
          <w:iCs/>
          <w:sz w:val="24"/>
          <w:szCs w:val="24"/>
        </w:rPr>
        <w:t>Cyprinus carpio</w:t>
      </w:r>
      <w:r w:rsidR="00CF5AC2" w:rsidRPr="0025455A">
        <w:rPr>
          <w:rFonts w:asciiTheme="majorBidi" w:hAnsiTheme="majorBidi" w:cstheme="majorBidi"/>
          <w:sz w:val="24"/>
          <w:szCs w:val="24"/>
        </w:rPr>
        <w:t xml:space="preserve"> L.). </w:t>
      </w:r>
      <w:proofErr w:type="spellStart"/>
      <w:r w:rsidR="00CF5AC2" w:rsidRPr="0025455A">
        <w:rPr>
          <w:rFonts w:asciiTheme="majorBidi" w:hAnsiTheme="majorBidi" w:cstheme="majorBidi"/>
          <w:sz w:val="24"/>
          <w:szCs w:val="24"/>
        </w:rPr>
        <w:t>Sundus</w:t>
      </w:r>
      <w:proofErr w:type="spellEnd"/>
      <w:r w:rsidR="00CF5AC2" w:rsidRPr="0025455A">
        <w:rPr>
          <w:rFonts w:asciiTheme="majorBidi" w:hAnsiTheme="majorBidi" w:cstheme="majorBidi"/>
          <w:sz w:val="24"/>
          <w:szCs w:val="24"/>
        </w:rPr>
        <w:t xml:space="preserve"> AA </w:t>
      </w:r>
      <w:proofErr w:type="spellStart"/>
      <w:r w:rsidR="00CF5AC2" w:rsidRPr="0025455A">
        <w:rPr>
          <w:rFonts w:asciiTheme="majorBidi" w:hAnsiTheme="majorBidi" w:cstheme="majorBidi"/>
          <w:sz w:val="24"/>
          <w:szCs w:val="24"/>
        </w:rPr>
        <w:t>Alsaphar</w:t>
      </w:r>
      <w:proofErr w:type="spellEnd"/>
      <w:r w:rsidR="00CF5AC2" w:rsidRPr="0025455A">
        <w:rPr>
          <w:rFonts w:asciiTheme="majorBidi" w:hAnsiTheme="majorBidi" w:cstheme="majorBidi"/>
          <w:sz w:val="24"/>
          <w:szCs w:val="24"/>
        </w:rPr>
        <w:t xml:space="preserve"> and Jamal KH Al-Faragi.</w:t>
      </w:r>
      <w:r w:rsidRPr="0025455A">
        <w:rPr>
          <w:rFonts w:asciiTheme="majorBidi" w:hAnsiTheme="majorBidi" w:cstheme="majorBidi"/>
          <w:sz w:val="24"/>
          <w:szCs w:val="24"/>
        </w:rPr>
        <w:t> </w:t>
      </w:r>
      <w:r w:rsidRPr="0025455A">
        <w:rPr>
          <w:rFonts w:asciiTheme="majorBidi" w:hAnsiTheme="majorBidi" w:cstheme="majorBidi"/>
          <w:i/>
          <w:iCs/>
          <w:sz w:val="24"/>
          <w:szCs w:val="24"/>
        </w:rPr>
        <w:t>The Iraqi Journal of Veterinary Medicine</w:t>
      </w:r>
      <w:r w:rsidRPr="0025455A">
        <w:rPr>
          <w:rFonts w:asciiTheme="majorBidi" w:hAnsiTheme="majorBidi" w:cstheme="majorBidi"/>
          <w:sz w:val="24"/>
          <w:szCs w:val="24"/>
        </w:rPr>
        <w:t>, </w:t>
      </w:r>
      <w:r w:rsidRPr="0025455A">
        <w:rPr>
          <w:rFonts w:asciiTheme="majorBidi" w:hAnsiTheme="majorBidi" w:cstheme="majorBidi"/>
          <w:i/>
          <w:iCs/>
          <w:sz w:val="24"/>
          <w:szCs w:val="24"/>
        </w:rPr>
        <w:t>36</w:t>
      </w:r>
      <w:r w:rsidRPr="0025455A">
        <w:rPr>
          <w:rFonts w:asciiTheme="majorBidi" w:hAnsiTheme="majorBidi" w:cstheme="majorBidi"/>
          <w:sz w:val="24"/>
          <w:szCs w:val="24"/>
        </w:rPr>
        <w:t>(2), 222-230.</w:t>
      </w:r>
    </w:p>
    <w:p w14:paraId="07EA67BB" w14:textId="024FA754" w:rsidR="00C2069C" w:rsidRPr="00BD0172" w:rsidRDefault="00CF5AC2" w:rsidP="00BD0172">
      <w:pPr>
        <w:pStyle w:val="ListParagraph"/>
        <w:numPr>
          <w:ilvl w:val="0"/>
          <w:numId w:val="5"/>
        </w:numPr>
        <w:spacing w:after="200" w:line="360" w:lineRule="auto"/>
        <w:jc w:val="both"/>
        <w:rPr>
          <w:rFonts w:asciiTheme="majorBidi" w:hAnsiTheme="majorBidi" w:cstheme="majorBidi"/>
          <w:sz w:val="24"/>
          <w:szCs w:val="24"/>
        </w:rPr>
      </w:pPr>
      <w:bookmarkStart w:id="0" w:name="_Hlk216039990"/>
      <w:r w:rsidRPr="00BD0172">
        <w:rPr>
          <w:rFonts w:asciiTheme="majorBidi" w:hAnsiTheme="majorBidi" w:cstheme="majorBidi"/>
          <w:sz w:val="24"/>
          <w:szCs w:val="24"/>
        </w:rPr>
        <w:t>Baloch</w:t>
      </w:r>
      <w:bookmarkEnd w:id="0"/>
      <w:r w:rsidRPr="00BD0172">
        <w:rPr>
          <w:rFonts w:asciiTheme="majorBidi" w:hAnsiTheme="majorBidi" w:cstheme="majorBidi"/>
          <w:sz w:val="24"/>
          <w:szCs w:val="24"/>
        </w:rPr>
        <w:t xml:space="preserve">, A. A., Abdelsalam, E. E., </w:t>
      </w:r>
      <w:proofErr w:type="spellStart"/>
      <w:r w:rsidRPr="00BD0172">
        <w:rPr>
          <w:rFonts w:asciiTheme="majorBidi" w:hAnsiTheme="majorBidi" w:cstheme="majorBidi"/>
          <w:sz w:val="24"/>
          <w:szCs w:val="24"/>
        </w:rPr>
        <w:t>Piačková</w:t>
      </w:r>
      <w:proofErr w:type="spellEnd"/>
      <w:r w:rsidRPr="00BD0172">
        <w:rPr>
          <w:rFonts w:asciiTheme="majorBidi" w:hAnsiTheme="majorBidi" w:cstheme="majorBidi"/>
          <w:sz w:val="24"/>
          <w:szCs w:val="24"/>
        </w:rPr>
        <w:t>, V.</w:t>
      </w:r>
      <w:r w:rsidR="00C2069C" w:rsidRPr="00BD0172">
        <w:rPr>
          <w:rFonts w:asciiTheme="majorBidi" w:hAnsiTheme="majorBidi" w:cstheme="majorBidi"/>
          <w:sz w:val="24"/>
          <w:szCs w:val="24"/>
        </w:rPr>
        <w:t xml:space="preserve"> (2021). Cytokines studied in carp (</w:t>
      </w:r>
      <w:r w:rsidR="00C2069C" w:rsidRPr="00BD0172">
        <w:rPr>
          <w:rFonts w:asciiTheme="majorBidi" w:hAnsiTheme="majorBidi" w:cstheme="majorBidi"/>
          <w:i/>
          <w:iCs/>
          <w:sz w:val="24"/>
          <w:szCs w:val="24"/>
        </w:rPr>
        <w:t>Cyprinus carpio</w:t>
      </w:r>
      <w:r w:rsidR="00C2069C" w:rsidRPr="00BD0172">
        <w:rPr>
          <w:rFonts w:asciiTheme="majorBidi" w:hAnsiTheme="majorBidi" w:cstheme="majorBidi"/>
          <w:sz w:val="24"/>
          <w:szCs w:val="24"/>
        </w:rPr>
        <w:t xml:space="preserve"> L.) in response to important diseases. </w:t>
      </w:r>
      <w:r w:rsidR="00C2069C" w:rsidRPr="00BD0172">
        <w:rPr>
          <w:rFonts w:asciiTheme="majorBidi" w:hAnsiTheme="majorBidi" w:cstheme="majorBidi"/>
          <w:i/>
          <w:iCs/>
          <w:sz w:val="24"/>
          <w:szCs w:val="24"/>
        </w:rPr>
        <w:t>Fishes</w:t>
      </w:r>
      <w:r w:rsidR="00C2069C" w:rsidRPr="00BD0172">
        <w:rPr>
          <w:rFonts w:asciiTheme="majorBidi" w:hAnsiTheme="majorBidi" w:cstheme="majorBidi"/>
          <w:sz w:val="24"/>
          <w:szCs w:val="24"/>
        </w:rPr>
        <w:t>, </w:t>
      </w:r>
      <w:r w:rsidR="00C2069C" w:rsidRPr="00BD0172">
        <w:rPr>
          <w:rFonts w:asciiTheme="majorBidi" w:hAnsiTheme="majorBidi" w:cstheme="majorBidi"/>
          <w:i/>
          <w:iCs/>
          <w:sz w:val="24"/>
          <w:szCs w:val="24"/>
        </w:rPr>
        <w:t>7</w:t>
      </w:r>
      <w:r w:rsidR="00C2069C" w:rsidRPr="00BD0172">
        <w:rPr>
          <w:rFonts w:asciiTheme="majorBidi" w:hAnsiTheme="majorBidi" w:cstheme="majorBidi"/>
          <w:sz w:val="24"/>
          <w:szCs w:val="24"/>
        </w:rPr>
        <w:t>(1), 3.</w:t>
      </w:r>
    </w:p>
    <w:p w14:paraId="469A1F2A" w14:textId="77777777" w:rsidR="00C2069C" w:rsidRDefault="00C2069C" w:rsidP="002524A3">
      <w:pPr>
        <w:pStyle w:val="ListParagraph"/>
        <w:numPr>
          <w:ilvl w:val="0"/>
          <w:numId w:val="5"/>
        </w:numPr>
        <w:spacing w:after="200" w:line="360" w:lineRule="auto"/>
        <w:jc w:val="both"/>
        <w:rPr>
          <w:rFonts w:asciiTheme="majorBidi" w:hAnsiTheme="majorBidi" w:cstheme="majorBidi"/>
          <w:sz w:val="24"/>
          <w:szCs w:val="24"/>
        </w:rPr>
      </w:pPr>
      <w:proofErr w:type="spellStart"/>
      <w:r w:rsidRPr="002524A3">
        <w:rPr>
          <w:rFonts w:asciiTheme="majorBidi" w:hAnsiTheme="majorBidi" w:cstheme="majorBidi"/>
          <w:sz w:val="24"/>
          <w:szCs w:val="24"/>
        </w:rPr>
        <w:t>Bulfon</w:t>
      </w:r>
      <w:proofErr w:type="spellEnd"/>
      <w:r w:rsidRPr="002524A3">
        <w:rPr>
          <w:rFonts w:asciiTheme="majorBidi" w:hAnsiTheme="majorBidi" w:cstheme="majorBidi"/>
          <w:sz w:val="24"/>
          <w:szCs w:val="24"/>
        </w:rPr>
        <w:t>, C., Volpatti, D., &amp; Galeotti, M. (2014). In vitro antibacterial activity of plant ethanolic extracts against fish pathogens. </w:t>
      </w:r>
      <w:r w:rsidRPr="002524A3">
        <w:rPr>
          <w:rFonts w:asciiTheme="majorBidi" w:hAnsiTheme="majorBidi" w:cstheme="majorBidi"/>
          <w:i/>
          <w:iCs/>
          <w:sz w:val="24"/>
          <w:szCs w:val="24"/>
        </w:rPr>
        <w:t>Journal of the world aquaculture society</w:t>
      </w:r>
      <w:r w:rsidRPr="002524A3">
        <w:rPr>
          <w:rFonts w:asciiTheme="majorBidi" w:hAnsiTheme="majorBidi" w:cstheme="majorBidi"/>
          <w:sz w:val="24"/>
          <w:szCs w:val="24"/>
        </w:rPr>
        <w:t>, </w:t>
      </w:r>
      <w:r w:rsidRPr="002524A3">
        <w:rPr>
          <w:rFonts w:asciiTheme="majorBidi" w:hAnsiTheme="majorBidi" w:cstheme="majorBidi"/>
          <w:i/>
          <w:iCs/>
          <w:sz w:val="24"/>
          <w:szCs w:val="24"/>
        </w:rPr>
        <w:t>45</w:t>
      </w:r>
      <w:r w:rsidRPr="002524A3">
        <w:rPr>
          <w:rFonts w:asciiTheme="majorBidi" w:hAnsiTheme="majorBidi" w:cstheme="majorBidi"/>
          <w:sz w:val="24"/>
          <w:szCs w:val="24"/>
        </w:rPr>
        <w:t>(5), 545-557.</w:t>
      </w:r>
    </w:p>
    <w:p w14:paraId="21AA6ADF"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 xml:space="preserve">Chahal, K. K., Monika, M., </w:t>
      </w:r>
      <w:proofErr w:type="spellStart"/>
      <w:r w:rsidRPr="00BD0172">
        <w:rPr>
          <w:rFonts w:asciiTheme="majorBidi" w:hAnsiTheme="majorBidi" w:cstheme="majorBidi"/>
          <w:sz w:val="24"/>
          <w:szCs w:val="24"/>
        </w:rPr>
        <w:t>Dalvir</w:t>
      </w:r>
      <w:proofErr w:type="spellEnd"/>
      <w:r w:rsidRPr="00BD0172">
        <w:rPr>
          <w:rFonts w:asciiTheme="majorBidi" w:hAnsiTheme="majorBidi" w:cstheme="majorBidi"/>
          <w:sz w:val="24"/>
          <w:szCs w:val="24"/>
        </w:rPr>
        <w:t xml:space="preserve"> </w:t>
      </w:r>
      <w:proofErr w:type="spellStart"/>
      <w:r w:rsidRPr="00BD0172">
        <w:rPr>
          <w:rFonts w:asciiTheme="majorBidi" w:hAnsiTheme="majorBidi" w:cstheme="majorBidi"/>
          <w:sz w:val="24"/>
          <w:szCs w:val="24"/>
        </w:rPr>
        <w:t>Kataria</w:t>
      </w:r>
      <w:proofErr w:type="spellEnd"/>
      <w:r w:rsidRPr="00BD0172">
        <w:rPr>
          <w:rFonts w:asciiTheme="majorBidi" w:hAnsiTheme="majorBidi" w:cstheme="majorBidi"/>
          <w:sz w:val="24"/>
          <w:szCs w:val="24"/>
        </w:rPr>
        <w:t>, D. K., &amp; Ravinder Singh, R. S. (2016). Antifungal potential of dill seed essential oil and its constituents.</w:t>
      </w:r>
    </w:p>
    <w:p w14:paraId="21D2B3F9"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proofErr w:type="spellStart"/>
      <w:r w:rsidRPr="00BD0172">
        <w:rPr>
          <w:rFonts w:asciiTheme="majorBidi" w:hAnsiTheme="majorBidi" w:cstheme="majorBidi"/>
          <w:sz w:val="24"/>
          <w:szCs w:val="24"/>
        </w:rPr>
        <w:t>Egamberdieva</w:t>
      </w:r>
      <w:proofErr w:type="spellEnd"/>
      <w:r w:rsidRPr="00BD0172">
        <w:rPr>
          <w:rFonts w:asciiTheme="majorBidi" w:hAnsiTheme="majorBidi" w:cstheme="majorBidi"/>
          <w:sz w:val="24"/>
          <w:szCs w:val="24"/>
        </w:rPr>
        <w:t>, D., Wirth, S., Behrendt, U., Ahmad, P., &amp; Berg, G. (2017). Antimicrobial activity of medicinal plants correlates with the proportion of antagonistic endophytes. </w:t>
      </w:r>
      <w:r w:rsidRPr="00BD0172">
        <w:rPr>
          <w:rFonts w:asciiTheme="majorBidi" w:hAnsiTheme="majorBidi" w:cstheme="majorBidi"/>
          <w:i/>
          <w:iCs/>
          <w:sz w:val="24"/>
          <w:szCs w:val="24"/>
        </w:rPr>
        <w:t>Frontiers in microbiology</w:t>
      </w:r>
      <w:r w:rsidRPr="00BD0172">
        <w:rPr>
          <w:rFonts w:asciiTheme="majorBidi" w:hAnsiTheme="majorBidi" w:cstheme="majorBidi"/>
          <w:sz w:val="24"/>
          <w:szCs w:val="24"/>
        </w:rPr>
        <w:t>, </w:t>
      </w:r>
      <w:r w:rsidRPr="00BD0172">
        <w:rPr>
          <w:rFonts w:asciiTheme="majorBidi" w:hAnsiTheme="majorBidi" w:cstheme="majorBidi"/>
          <w:i/>
          <w:iCs/>
          <w:sz w:val="24"/>
          <w:szCs w:val="24"/>
        </w:rPr>
        <w:t>8</w:t>
      </w:r>
      <w:r w:rsidRPr="00BD0172">
        <w:rPr>
          <w:rFonts w:asciiTheme="majorBidi" w:hAnsiTheme="majorBidi" w:cstheme="majorBidi"/>
          <w:sz w:val="24"/>
          <w:szCs w:val="24"/>
        </w:rPr>
        <w:t>, 199.</w:t>
      </w:r>
    </w:p>
    <w:p w14:paraId="2B4F0B75" w14:textId="77777777" w:rsidR="00C2069C" w:rsidRDefault="00C2069C" w:rsidP="00C82123">
      <w:pPr>
        <w:pStyle w:val="ListParagraph"/>
        <w:numPr>
          <w:ilvl w:val="0"/>
          <w:numId w:val="5"/>
        </w:numPr>
        <w:spacing w:after="200" w:line="360" w:lineRule="auto"/>
        <w:jc w:val="both"/>
        <w:rPr>
          <w:rFonts w:asciiTheme="majorBidi" w:hAnsiTheme="majorBidi" w:cstheme="majorBidi"/>
          <w:sz w:val="24"/>
          <w:szCs w:val="24"/>
        </w:rPr>
      </w:pPr>
      <w:r w:rsidRPr="00C82123">
        <w:rPr>
          <w:rFonts w:asciiTheme="majorBidi" w:hAnsiTheme="majorBidi" w:cstheme="majorBidi"/>
          <w:sz w:val="24"/>
          <w:szCs w:val="24"/>
        </w:rPr>
        <w:t xml:space="preserve">El-Mahmood, A. M., Ogbonna, O. B., &amp; Raji, M. (2010). The antibacterial activity of </w:t>
      </w:r>
      <w:proofErr w:type="spellStart"/>
      <w:r w:rsidRPr="00C82123">
        <w:rPr>
          <w:rFonts w:asciiTheme="majorBidi" w:hAnsiTheme="majorBidi" w:cstheme="majorBidi"/>
          <w:i/>
          <w:iCs/>
          <w:sz w:val="24"/>
          <w:szCs w:val="24"/>
        </w:rPr>
        <w:t>Azadarichta</w:t>
      </w:r>
      <w:proofErr w:type="spellEnd"/>
      <w:r w:rsidRPr="00C82123">
        <w:rPr>
          <w:rFonts w:asciiTheme="majorBidi" w:hAnsiTheme="majorBidi" w:cstheme="majorBidi"/>
          <w:i/>
          <w:iCs/>
          <w:sz w:val="24"/>
          <w:szCs w:val="24"/>
        </w:rPr>
        <w:t xml:space="preserve"> </w:t>
      </w:r>
      <w:proofErr w:type="spellStart"/>
      <w:r w:rsidRPr="00C82123">
        <w:rPr>
          <w:rFonts w:asciiTheme="majorBidi" w:hAnsiTheme="majorBidi" w:cstheme="majorBidi"/>
          <w:i/>
          <w:iCs/>
          <w:sz w:val="24"/>
          <w:szCs w:val="24"/>
        </w:rPr>
        <w:t>indica</w:t>
      </w:r>
      <w:proofErr w:type="spellEnd"/>
      <w:r w:rsidRPr="00C82123">
        <w:rPr>
          <w:rFonts w:asciiTheme="majorBidi" w:hAnsiTheme="majorBidi" w:cstheme="majorBidi"/>
          <w:sz w:val="24"/>
          <w:szCs w:val="24"/>
        </w:rPr>
        <w:t xml:space="preserve"> (neem) seeds extracts against bacterial pathogens associated with eye and ear infections. </w:t>
      </w:r>
      <w:r w:rsidRPr="00C82123">
        <w:rPr>
          <w:rFonts w:asciiTheme="majorBidi" w:hAnsiTheme="majorBidi" w:cstheme="majorBidi"/>
          <w:i/>
          <w:iCs/>
          <w:sz w:val="24"/>
          <w:szCs w:val="24"/>
        </w:rPr>
        <w:t>J. Med. Plants Res</w:t>
      </w:r>
      <w:r w:rsidRPr="00C82123">
        <w:rPr>
          <w:rFonts w:asciiTheme="majorBidi" w:hAnsiTheme="majorBidi" w:cstheme="majorBidi"/>
          <w:sz w:val="24"/>
          <w:szCs w:val="24"/>
        </w:rPr>
        <w:t>, </w:t>
      </w:r>
      <w:r w:rsidRPr="00C82123">
        <w:rPr>
          <w:rFonts w:asciiTheme="majorBidi" w:hAnsiTheme="majorBidi" w:cstheme="majorBidi"/>
          <w:i/>
          <w:iCs/>
          <w:sz w:val="24"/>
          <w:szCs w:val="24"/>
        </w:rPr>
        <w:t>4</w:t>
      </w:r>
      <w:r w:rsidRPr="00C82123">
        <w:rPr>
          <w:rFonts w:asciiTheme="majorBidi" w:hAnsiTheme="majorBidi" w:cstheme="majorBidi"/>
          <w:sz w:val="24"/>
          <w:szCs w:val="24"/>
        </w:rPr>
        <w:t>(14), 1414-1421.</w:t>
      </w:r>
    </w:p>
    <w:p w14:paraId="12776398"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Elumalai, P., Kurian, A., Lakshmi, S., Faggio, C., Esteban, M. A., &amp; Ringø, E. (2020). Herbal immunomodulators in aquaculture. </w:t>
      </w:r>
      <w:r w:rsidRPr="00BD0172">
        <w:rPr>
          <w:rFonts w:asciiTheme="majorBidi" w:hAnsiTheme="majorBidi" w:cstheme="majorBidi"/>
          <w:i/>
          <w:iCs/>
          <w:sz w:val="24"/>
          <w:szCs w:val="24"/>
        </w:rPr>
        <w:t>Reviews in Fisheries Science &amp; Aquaculture</w:t>
      </w:r>
      <w:r w:rsidRPr="00BD0172">
        <w:rPr>
          <w:rFonts w:asciiTheme="majorBidi" w:hAnsiTheme="majorBidi" w:cstheme="majorBidi"/>
          <w:sz w:val="24"/>
          <w:szCs w:val="24"/>
        </w:rPr>
        <w:t>, </w:t>
      </w:r>
      <w:r w:rsidRPr="00BD0172">
        <w:rPr>
          <w:rFonts w:asciiTheme="majorBidi" w:hAnsiTheme="majorBidi" w:cstheme="majorBidi"/>
          <w:i/>
          <w:iCs/>
          <w:sz w:val="24"/>
          <w:szCs w:val="24"/>
        </w:rPr>
        <w:t>29</w:t>
      </w:r>
      <w:r w:rsidRPr="00BD0172">
        <w:rPr>
          <w:rFonts w:asciiTheme="majorBidi" w:hAnsiTheme="majorBidi" w:cstheme="majorBidi"/>
          <w:sz w:val="24"/>
          <w:szCs w:val="24"/>
        </w:rPr>
        <w:t>(1), 33-57.</w:t>
      </w:r>
    </w:p>
    <w:p w14:paraId="09347AC4" w14:textId="77777777" w:rsidR="00C2069C" w:rsidRDefault="00C2069C" w:rsidP="00C82123">
      <w:pPr>
        <w:pStyle w:val="ListParagraph"/>
        <w:numPr>
          <w:ilvl w:val="0"/>
          <w:numId w:val="5"/>
        </w:numPr>
        <w:spacing w:after="200" w:line="360" w:lineRule="auto"/>
        <w:jc w:val="both"/>
        <w:rPr>
          <w:rFonts w:asciiTheme="majorBidi" w:hAnsiTheme="majorBidi" w:cstheme="majorBidi"/>
          <w:sz w:val="24"/>
          <w:szCs w:val="24"/>
        </w:rPr>
      </w:pPr>
      <w:r w:rsidRPr="00C82123">
        <w:rPr>
          <w:rFonts w:asciiTheme="majorBidi" w:hAnsiTheme="majorBidi" w:cstheme="majorBidi"/>
          <w:sz w:val="24"/>
          <w:szCs w:val="24"/>
        </w:rPr>
        <w:lastRenderedPageBreak/>
        <w:t xml:space="preserve">Harikrishnan, R., &amp; Balasundaram, C. (2005). Antimicrobial activity of medicinal herbs in vitro against fish pathogen, </w:t>
      </w:r>
      <w:r w:rsidRPr="00C82123">
        <w:rPr>
          <w:rFonts w:asciiTheme="majorBidi" w:hAnsiTheme="majorBidi" w:cstheme="majorBidi"/>
          <w:i/>
          <w:iCs/>
          <w:sz w:val="24"/>
          <w:szCs w:val="24"/>
        </w:rPr>
        <w:t xml:space="preserve">Aeromonas </w:t>
      </w:r>
      <w:proofErr w:type="spellStart"/>
      <w:r w:rsidRPr="00C82123">
        <w:rPr>
          <w:rFonts w:asciiTheme="majorBidi" w:hAnsiTheme="majorBidi" w:cstheme="majorBidi"/>
          <w:i/>
          <w:iCs/>
          <w:sz w:val="24"/>
          <w:szCs w:val="24"/>
        </w:rPr>
        <w:t>hydrophila</w:t>
      </w:r>
      <w:proofErr w:type="spellEnd"/>
      <w:r w:rsidRPr="00C82123">
        <w:rPr>
          <w:rFonts w:asciiTheme="majorBidi" w:hAnsiTheme="majorBidi" w:cstheme="majorBidi"/>
          <w:sz w:val="24"/>
          <w:szCs w:val="24"/>
        </w:rPr>
        <w:t>. </w:t>
      </w:r>
      <w:r w:rsidRPr="00C82123">
        <w:rPr>
          <w:rFonts w:asciiTheme="majorBidi" w:hAnsiTheme="majorBidi" w:cstheme="majorBidi"/>
          <w:i/>
          <w:iCs/>
          <w:sz w:val="24"/>
          <w:szCs w:val="24"/>
        </w:rPr>
        <w:t>Fish Pathology</w:t>
      </w:r>
      <w:r w:rsidRPr="00C82123">
        <w:rPr>
          <w:rFonts w:asciiTheme="majorBidi" w:hAnsiTheme="majorBidi" w:cstheme="majorBidi"/>
          <w:sz w:val="24"/>
          <w:szCs w:val="24"/>
        </w:rPr>
        <w:t>, </w:t>
      </w:r>
      <w:r w:rsidRPr="00C82123">
        <w:rPr>
          <w:rFonts w:asciiTheme="majorBidi" w:hAnsiTheme="majorBidi" w:cstheme="majorBidi"/>
          <w:i/>
          <w:iCs/>
          <w:sz w:val="24"/>
          <w:szCs w:val="24"/>
        </w:rPr>
        <w:t>40</w:t>
      </w:r>
      <w:r w:rsidRPr="00C82123">
        <w:rPr>
          <w:rFonts w:asciiTheme="majorBidi" w:hAnsiTheme="majorBidi" w:cstheme="majorBidi"/>
          <w:sz w:val="24"/>
          <w:szCs w:val="24"/>
        </w:rPr>
        <w:t>(4), 187-189.</w:t>
      </w:r>
    </w:p>
    <w:p w14:paraId="3D565BB0" w14:textId="529B7E1B"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 xml:space="preserve">Jayapal, V., Raj, C. V., Muthaiah, M., Chadha, V. K., </w:t>
      </w:r>
      <w:proofErr w:type="spellStart"/>
      <w:r w:rsidRPr="00BD0172">
        <w:rPr>
          <w:rFonts w:asciiTheme="majorBidi" w:hAnsiTheme="majorBidi" w:cstheme="majorBidi"/>
          <w:sz w:val="24"/>
          <w:szCs w:val="24"/>
        </w:rPr>
        <w:t>Brammacharry</w:t>
      </w:r>
      <w:proofErr w:type="spellEnd"/>
      <w:r w:rsidRPr="00BD0172">
        <w:rPr>
          <w:rFonts w:asciiTheme="majorBidi" w:hAnsiTheme="majorBidi" w:cstheme="majorBidi"/>
          <w:sz w:val="24"/>
          <w:szCs w:val="24"/>
        </w:rPr>
        <w:t xml:space="preserve">, U., Selvaraj, S., &amp; </w:t>
      </w:r>
      <w:proofErr w:type="spellStart"/>
      <w:r w:rsidRPr="00BD0172">
        <w:rPr>
          <w:rFonts w:asciiTheme="majorBidi" w:hAnsiTheme="majorBidi" w:cstheme="majorBidi"/>
          <w:sz w:val="24"/>
          <w:szCs w:val="24"/>
        </w:rPr>
        <w:t>Easow</w:t>
      </w:r>
      <w:proofErr w:type="spellEnd"/>
      <w:r w:rsidRPr="00BD0172">
        <w:rPr>
          <w:rFonts w:asciiTheme="majorBidi" w:hAnsiTheme="majorBidi" w:cstheme="majorBidi"/>
          <w:sz w:val="24"/>
          <w:szCs w:val="24"/>
        </w:rPr>
        <w:t>, J. M. (2021). In-vitro anti-</w:t>
      </w:r>
      <w:r w:rsidRPr="00E17447">
        <w:rPr>
          <w:rFonts w:asciiTheme="majorBidi" w:hAnsiTheme="majorBidi" w:cstheme="majorBidi"/>
          <w:i/>
          <w:iCs/>
          <w:sz w:val="24"/>
          <w:szCs w:val="24"/>
        </w:rPr>
        <w:t>Mycobacterium tuberculosis</w:t>
      </w:r>
      <w:r w:rsidRPr="00BD0172">
        <w:rPr>
          <w:rFonts w:asciiTheme="majorBidi" w:hAnsiTheme="majorBidi" w:cstheme="majorBidi"/>
          <w:sz w:val="24"/>
          <w:szCs w:val="24"/>
        </w:rPr>
        <w:t xml:space="preserve"> effect of essential oil of </w:t>
      </w:r>
      <w:r w:rsidRPr="00E17447">
        <w:rPr>
          <w:rFonts w:asciiTheme="majorBidi" w:hAnsiTheme="majorBidi" w:cstheme="majorBidi"/>
          <w:i/>
          <w:iCs/>
          <w:sz w:val="24"/>
          <w:szCs w:val="24"/>
        </w:rPr>
        <w:t>Ocimum sanctum</w:t>
      </w:r>
      <w:r w:rsidRPr="00BD0172">
        <w:rPr>
          <w:rFonts w:asciiTheme="majorBidi" w:hAnsiTheme="majorBidi" w:cstheme="majorBidi"/>
          <w:sz w:val="24"/>
          <w:szCs w:val="24"/>
        </w:rPr>
        <w:t xml:space="preserve"> L.</w:t>
      </w:r>
      <w:r w:rsidR="00512B0F">
        <w:rPr>
          <w:rFonts w:asciiTheme="majorBidi" w:hAnsiTheme="majorBidi" w:cstheme="majorBidi"/>
          <w:sz w:val="24"/>
          <w:szCs w:val="24"/>
        </w:rPr>
        <w:t xml:space="preserve"> </w:t>
      </w:r>
      <w:r w:rsidRPr="00BD0172">
        <w:rPr>
          <w:rFonts w:asciiTheme="majorBidi" w:hAnsiTheme="majorBidi" w:cstheme="majorBidi"/>
          <w:sz w:val="24"/>
          <w:szCs w:val="24"/>
        </w:rPr>
        <w:t>(Tulsi/Basil) leaves. </w:t>
      </w:r>
      <w:r w:rsidRPr="00BD0172">
        <w:rPr>
          <w:rFonts w:asciiTheme="majorBidi" w:hAnsiTheme="majorBidi" w:cstheme="majorBidi"/>
          <w:i/>
          <w:iCs/>
          <w:sz w:val="24"/>
          <w:szCs w:val="24"/>
        </w:rPr>
        <w:t>Indian Journal of Tuberculosis</w:t>
      </w:r>
      <w:r w:rsidRPr="00BD0172">
        <w:rPr>
          <w:rFonts w:asciiTheme="majorBidi" w:hAnsiTheme="majorBidi" w:cstheme="majorBidi"/>
          <w:sz w:val="24"/>
          <w:szCs w:val="24"/>
        </w:rPr>
        <w:t>, </w:t>
      </w:r>
      <w:r w:rsidRPr="00BD0172">
        <w:rPr>
          <w:rFonts w:asciiTheme="majorBidi" w:hAnsiTheme="majorBidi" w:cstheme="majorBidi"/>
          <w:i/>
          <w:iCs/>
          <w:sz w:val="24"/>
          <w:szCs w:val="24"/>
        </w:rPr>
        <w:t>68</w:t>
      </w:r>
      <w:r w:rsidRPr="00BD0172">
        <w:rPr>
          <w:rFonts w:asciiTheme="majorBidi" w:hAnsiTheme="majorBidi" w:cstheme="majorBidi"/>
          <w:sz w:val="24"/>
          <w:szCs w:val="24"/>
        </w:rPr>
        <w:t>(4), 470-473.</w:t>
      </w:r>
    </w:p>
    <w:p w14:paraId="35084867"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proofErr w:type="spellStart"/>
      <w:r w:rsidRPr="00BD0172">
        <w:rPr>
          <w:rFonts w:asciiTheme="majorBidi" w:hAnsiTheme="majorBidi" w:cstheme="majorBidi"/>
          <w:sz w:val="24"/>
          <w:szCs w:val="24"/>
        </w:rPr>
        <w:t>Jothie</w:t>
      </w:r>
      <w:proofErr w:type="spellEnd"/>
      <w:r w:rsidRPr="00BD0172">
        <w:rPr>
          <w:rFonts w:asciiTheme="majorBidi" w:hAnsiTheme="majorBidi" w:cstheme="majorBidi"/>
          <w:sz w:val="24"/>
          <w:szCs w:val="24"/>
        </w:rPr>
        <w:t xml:space="preserve"> Richard, E., </w:t>
      </w:r>
      <w:proofErr w:type="spellStart"/>
      <w:r w:rsidRPr="00BD0172">
        <w:rPr>
          <w:rFonts w:asciiTheme="majorBidi" w:hAnsiTheme="majorBidi" w:cstheme="majorBidi"/>
          <w:sz w:val="24"/>
          <w:szCs w:val="24"/>
        </w:rPr>
        <w:t>Illuri</w:t>
      </w:r>
      <w:proofErr w:type="spellEnd"/>
      <w:r w:rsidRPr="00BD0172">
        <w:rPr>
          <w:rFonts w:asciiTheme="majorBidi" w:hAnsiTheme="majorBidi" w:cstheme="majorBidi"/>
          <w:sz w:val="24"/>
          <w:szCs w:val="24"/>
        </w:rPr>
        <w:t xml:space="preserve">, R., </w:t>
      </w:r>
      <w:proofErr w:type="spellStart"/>
      <w:r w:rsidRPr="00BD0172">
        <w:rPr>
          <w:rFonts w:asciiTheme="majorBidi" w:hAnsiTheme="majorBidi" w:cstheme="majorBidi"/>
          <w:sz w:val="24"/>
          <w:szCs w:val="24"/>
        </w:rPr>
        <w:t>Bethapudi</w:t>
      </w:r>
      <w:proofErr w:type="spellEnd"/>
      <w:r w:rsidRPr="00BD0172">
        <w:rPr>
          <w:rFonts w:asciiTheme="majorBidi" w:hAnsiTheme="majorBidi" w:cstheme="majorBidi"/>
          <w:sz w:val="24"/>
          <w:szCs w:val="24"/>
        </w:rPr>
        <w:t xml:space="preserve">, B., Anandhakumar, S., Bhaskar, A., </w:t>
      </w:r>
      <w:proofErr w:type="spellStart"/>
      <w:r w:rsidRPr="00BD0172">
        <w:rPr>
          <w:rFonts w:asciiTheme="majorBidi" w:hAnsiTheme="majorBidi" w:cstheme="majorBidi"/>
          <w:sz w:val="24"/>
          <w:szCs w:val="24"/>
        </w:rPr>
        <w:t>Chinampudur</w:t>
      </w:r>
      <w:proofErr w:type="spellEnd"/>
      <w:r w:rsidRPr="00BD0172">
        <w:rPr>
          <w:rFonts w:asciiTheme="majorBidi" w:hAnsiTheme="majorBidi" w:cstheme="majorBidi"/>
          <w:sz w:val="24"/>
          <w:szCs w:val="24"/>
        </w:rPr>
        <w:t xml:space="preserve"> </w:t>
      </w:r>
      <w:proofErr w:type="spellStart"/>
      <w:r w:rsidRPr="00BD0172">
        <w:rPr>
          <w:rFonts w:asciiTheme="majorBidi" w:hAnsiTheme="majorBidi" w:cstheme="majorBidi"/>
          <w:sz w:val="24"/>
          <w:szCs w:val="24"/>
        </w:rPr>
        <w:t>Velusami</w:t>
      </w:r>
      <w:proofErr w:type="spellEnd"/>
      <w:r w:rsidRPr="00BD0172">
        <w:rPr>
          <w:rFonts w:asciiTheme="majorBidi" w:hAnsiTheme="majorBidi" w:cstheme="majorBidi"/>
          <w:sz w:val="24"/>
          <w:szCs w:val="24"/>
        </w:rPr>
        <w:t xml:space="preserve">, C., ... &amp; Agarwal, A. (2016). Anti‐stress Activity of </w:t>
      </w:r>
      <w:r w:rsidRPr="00E17447">
        <w:rPr>
          <w:rFonts w:asciiTheme="majorBidi" w:hAnsiTheme="majorBidi" w:cstheme="majorBidi"/>
          <w:i/>
          <w:iCs/>
          <w:sz w:val="24"/>
          <w:szCs w:val="24"/>
        </w:rPr>
        <w:t>Ocimum sanctum</w:t>
      </w:r>
      <w:r w:rsidRPr="00BD0172">
        <w:rPr>
          <w:rFonts w:asciiTheme="majorBidi" w:hAnsiTheme="majorBidi" w:cstheme="majorBidi"/>
          <w:sz w:val="24"/>
          <w:szCs w:val="24"/>
        </w:rPr>
        <w:t>: Possible Effects on Hypothalamic–Pituitary–Adrenal Axis. </w:t>
      </w:r>
      <w:r w:rsidRPr="00BD0172">
        <w:rPr>
          <w:rFonts w:asciiTheme="majorBidi" w:hAnsiTheme="majorBidi" w:cstheme="majorBidi"/>
          <w:i/>
          <w:iCs/>
          <w:sz w:val="24"/>
          <w:szCs w:val="24"/>
        </w:rPr>
        <w:t>Phytotherapy Research</w:t>
      </w:r>
      <w:r w:rsidRPr="00BD0172">
        <w:rPr>
          <w:rFonts w:asciiTheme="majorBidi" w:hAnsiTheme="majorBidi" w:cstheme="majorBidi"/>
          <w:sz w:val="24"/>
          <w:szCs w:val="24"/>
        </w:rPr>
        <w:t>, </w:t>
      </w:r>
      <w:r w:rsidRPr="00BD0172">
        <w:rPr>
          <w:rFonts w:asciiTheme="majorBidi" w:hAnsiTheme="majorBidi" w:cstheme="majorBidi"/>
          <w:i/>
          <w:iCs/>
          <w:sz w:val="24"/>
          <w:szCs w:val="24"/>
        </w:rPr>
        <w:t>30</w:t>
      </w:r>
      <w:r w:rsidRPr="00BD0172">
        <w:rPr>
          <w:rFonts w:asciiTheme="majorBidi" w:hAnsiTheme="majorBidi" w:cstheme="majorBidi"/>
          <w:sz w:val="24"/>
          <w:szCs w:val="24"/>
        </w:rPr>
        <w:t>(5), 805-814.</w:t>
      </w:r>
    </w:p>
    <w:p w14:paraId="19CE6C9D" w14:textId="77777777" w:rsidR="00C2069C" w:rsidRDefault="00C2069C" w:rsidP="00D056FF">
      <w:pPr>
        <w:pStyle w:val="ListParagraph"/>
        <w:numPr>
          <w:ilvl w:val="0"/>
          <w:numId w:val="5"/>
        </w:numPr>
        <w:spacing w:after="200" w:line="360" w:lineRule="auto"/>
        <w:jc w:val="both"/>
        <w:rPr>
          <w:rFonts w:asciiTheme="majorBidi" w:hAnsiTheme="majorBidi" w:cstheme="majorBidi"/>
          <w:sz w:val="24"/>
          <w:szCs w:val="24"/>
        </w:rPr>
      </w:pPr>
      <w:r w:rsidRPr="00D056FF">
        <w:rPr>
          <w:rFonts w:asciiTheme="majorBidi" w:hAnsiTheme="majorBidi" w:cstheme="majorBidi"/>
          <w:sz w:val="24"/>
          <w:szCs w:val="24"/>
        </w:rPr>
        <w:t xml:space="preserve">Kavitha, M., Raja, M., Kamaraj, C., Karthik, R. R., Balasubramaniam, V., Balasubramani, G., &amp; Perumal, P. (2017). In vitro antimicrobial activity of </w:t>
      </w:r>
      <w:proofErr w:type="spellStart"/>
      <w:r w:rsidRPr="00D056FF">
        <w:rPr>
          <w:rFonts w:asciiTheme="majorBidi" w:hAnsiTheme="majorBidi" w:cstheme="majorBidi"/>
          <w:i/>
          <w:iCs/>
          <w:sz w:val="24"/>
          <w:szCs w:val="24"/>
        </w:rPr>
        <w:t>Azadirachta</w:t>
      </w:r>
      <w:proofErr w:type="spellEnd"/>
      <w:r w:rsidRPr="00D056FF">
        <w:rPr>
          <w:rFonts w:asciiTheme="majorBidi" w:hAnsiTheme="majorBidi" w:cstheme="majorBidi"/>
          <w:i/>
          <w:iCs/>
          <w:sz w:val="24"/>
          <w:szCs w:val="24"/>
        </w:rPr>
        <w:t xml:space="preserve"> </w:t>
      </w:r>
      <w:proofErr w:type="spellStart"/>
      <w:r w:rsidRPr="00D056FF">
        <w:rPr>
          <w:rFonts w:asciiTheme="majorBidi" w:hAnsiTheme="majorBidi" w:cstheme="majorBidi"/>
          <w:i/>
          <w:iCs/>
          <w:sz w:val="24"/>
          <w:szCs w:val="24"/>
        </w:rPr>
        <w:t>indica</w:t>
      </w:r>
      <w:proofErr w:type="spellEnd"/>
      <w:r w:rsidRPr="00D056FF">
        <w:rPr>
          <w:rFonts w:asciiTheme="majorBidi" w:hAnsiTheme="majorBidi" w:cstheme="majorBidi"/>
          <w:sz w:val="24"/>
          <w:szCs w:val="24"/>
        </w:rPr>
        <w:t xml:space="preserve"> (leaves) against fish pathogenic bacteria isolated from naturally infected </w:t>
      </w:r>
      <w:proofErr w:type="spellStart"/>
      <w:r w:rsidRPr="00D056FF">
        <w:rPr>
          <w:rFonts w:asciiTheme="majorBidi" w:hAnsiTheme="majorBidi" w:cstheme="majorBidi"/>
          <w:i/>
          <w:iCs/>
          <w:sz w:val="24"/>
          <w:szCs w:val="24"/>
        </w:rPr>
        <w:t>Dawkinsia</w:t>
      </w:r>
      <w:proofErr w:type="spellEnd"/>
      <w:r w:rsidRPr="00D056FF">
        <w:rPr>
          <w:rFonts w:asciiTheme="majorBidi" w:hAnsiTheme="majorBidi" w:cstheme="majorBidi"/>
          <w:i/>
          <w:iCs/>
          <w:sz w:val="24"/>
          <w:szCs w:val="24"/>
        </w:rPr>
        <w:t xml:space="preserve"> </w:t>
      </w:r>
      <w:proofErr w:type="spellStart"/>
      <w:r w:rsidRPr="00D056FF">
        <w:rPr>
          <w:rFonts w:asciiTheme="majorBidi" w:hAnsiTheme="majorBidi" w:cstheme="majorBidi"/>
          <w:i/>
          <w:iCs/>
          <w:sz w:val="24"/>
          <w:szCs w:val="24"/>
        </w:rPr>
        <w:t>filamentosa</w:t>
      </w:r>
      <w:proofErr w:type="spellEnd"/>
      <w:r w:rsidRPr="00D056FF">
        <w:rPr>
          <w:rFonts w:asciiTheme="majorBidi" w:hAnsiTheme="majorBidi" w:cstheme="majorBidi"/>
          <w:sz w:val="24"/>
          <w:szCs w:val="24"/>
        </w:rPr>
        <w:t xml:space="preserve"> (Blackspot barb). </w:t>
      </w:r>
      <w:r w:rsidRPr="00D056FF">
        <w:rPr>
          <w:rFonts w:asciiTheme="majorBidi" w:hAnsiTheme="majorBidi" w:cstheme="majorBidi"/>
          <w:i/>
          <w:iCs/>
          <w:sz w:val="24"/>
          <w:szCs w:val="24"/>
        </w:rPr>
        <w:t xml:space="preserve">Med </w:t>
      </w:r>
      <w:proofErr w:type="spellStart"/>
      <w:r w:rsidRPr="00D056FF">
        <w:rPr>
          <w:rFonts w:asciiTheme="majorBidi" w:hAnsiTheme="majorBidi" w:cstheme="majorBidi"/>
          <w:i/>
          <w:iCs/>
          <w:sz w:val="24"/>
          <w:szCs w:val="24"/>
        </w:rPr>
        <w:t>Aromat</w:t>
      </w:r>
      <w:proofErr w:type="spellEnd"/>
      <w:r w:rsidRPr="00D056FF">
        <w:rPr>
          <w:rFonts w:asciiTheme="majorBidi" w:hAnsiTheme="majorBidi" w:cstheme="majorBidi"/>
          <w:i/>
          <w:iCs/>
          <w:sz w:val="24"/>
          <w:szCs w:val="24"/>
        </w:rPr>
        <w:t xml:space="preserve"> Plants (Los </w:t>
      </w:r>
      <w:proofErr w:type="spellStart"/>
      <w:r w:rsidRPr="00D056FF">
        <w:rPr>
          <w:rFonts w:asciiTheme="majorBidi" w:hAnsiTheme="majorBidi" w:cstheme="majorBidi"/>
          <w:i/>
          <w:iCs/>
          <w:sz w:val="24"/>
          <w:szCs w:val="24"/>
        </w:rPr>
        <w:t>Angels</w:t>
      </w:r>
      <w:proofErr w:type="spellEnd"/>
      <w:r w:rsidRPr="00D056FF">
        <w:rPr>
          <w:rFonts w:asciiTheme="majorBidi" w:hAnsiTheme="majorBidi" w:cstheme="majorBidi"/>
          <w:i/>
          <w:iCs/>
          <w:sz w:val="24"/>
          <w:szCs w:val="24"/>
        </w:rPr>
        <w:t>)</w:t>
      </w:r>
      <w:r w:rsidRPr="00D056FF">
        <w:rPr>
          <w:rFonts w:asciiTheme="majorBidi" w:hAnsiTheme="majorBidi" w:cstheme="majorBidi"/>
          <w:sz w:val="24"/>
          <w:szCs w:val="24"/>
        </w:rPr>
        <w:t>, </w:t>
      </w:r>
      <w:r w:rsidRPr="00D056FF">
        <w:rPr>
          <w:rFonts w:asciiTheme="majorBidi" w:hAnsiTheme="majorBidi" w:cstheme="majorBidi"/>
          <w:i/>
          <w:iCs/>
          <w:sz w:val="24"/>
          <w:szCs w:val="24"/>
        </w:rPr>
        <w:t>6</w:t>
      </w:r>
      <w:r w:rsidRPr="00D056FF">
        <w:rPr>
          <w:rFonts w:asciiTheme="majorBidi" w:hAnsiTheme="majorBidi" w:cstheme="majorBidi"/>
          <w:sz w:val="24"/>
          <w:szCs w:val="24"/>
        </w:rPr>
        <w:t>(294), 2167-0412.</w:t>
      </w:r>
    </w:p>
    <w:p w14:paraId="1F298AAB"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Madesh, S., Sudhakaran, G., Sreekutty, A. R., Kesavan, D., Almutairi, B. O., Arokiyaraj, S., ... &amp; Arockiaraj, J. (2024). Exploring neem aqueous extracts as an eco-friendly strategy to enhance shrimp health and combat EHP in aquaculture. </w:t>
      </w:r>
      <w:r w:rsidRPr="00BD0172">
        <w:rPr>
          <w:rFonts w:asciiTheme="majorBidi" w:hAnsiTheme="majorBidi" w:cstheme="majorBidi"/>
          <w:i/>
          <w:iCs/>
          <w:sz w:val="24"/>
          <w:szCs w:val="24"/>
        </w:rPr>
        <w:t>Aquaculture International</w:t>
      </w:r>
      <w:r w:rsidRPr="00BD0172">
        <w:rPr>
          <w:rFonts w:asciiTheme="majorBidi" w:hAnsiTheme="majorBidi" w:cstheme="majorBidi"/>
          <w:sz w:val="24"/>
          <w:szCs w:val="24"/>
        </w:rPr>
        <w:t>, </w:t>
      </w:r>
      <w:r w:rsidRPr="00BD0172">
        <w:rPr>
          <w:rFonts w:asciiTheme="majorBidi" w:hAnsiTheme="majorBidi" w:cstheme="majorBidi"/>
          <w:i/>
          <w:iCs/>
          <w:sz w:val="24"/>
          <w:szCs w:val="24"/>
        </w:rPr>
        <w:t>32</w:t>
      </w:r>
      <w:r w:rsidRPr="00BD0172">
        <w:rPr>
          <w:rFonts w:asciiTheme="majorBidi" w:hAnsiTheme="majorBidi" w:cstheme="majorBidi"/>
          <w:sz w:val="24"/>
          <w:szCs w:val="24"/>
        </w:rPr>
        <w:t>(3), 3357-3377.</w:t>
      </w:r>
    </w:p>
    <w:p w14:paraId="17B98E7A" w14:textId="77777777" w:rsidR="00C2069C" w:rsidRPr="00BD0172" w:rsidRDefault="00C2069C" w:rsidP="00BD0172">
      <w:pPr>
        <w:pStyle w:val="ListParagraph"/>
        <w:numPr>
          <w:ilvl w:val="0"/>
          <w:numId w:val="5"/>
        </w:numPr>
        <w:spacing w:after="200" w:line="360" w:lineRule="auto"/>
        <w:jc w:val="both"/>
        <w:rPr>
          <w:rFonts w:asciiTheme="majorBidi" w:hAnsiTheme="majorBidi" w:cstheme="majorBidi"/>
          <w:sz w:val="24"/>
          <w:szCs w:val="24"/>
        </w:rPr>
      </w:pPr>
      <w:r w:rsidRPr="00BD0172">
        <w:rPr>
          <w:rFonts w:asciiTheme="majorBidi" w:hAnsiTheme="majorBidi" w:cstheme="majorBidi"/>
          <w:sz w:val="24"/>
          <w:szCs w:val="24"/>
        </w:rPr>
        <w:t>Mahmood, S., Rasool, F., Hafeez-</w:t>
      </w:r>
      <w:proofErr w:type="spellStart"/>
      <w:r w:rsidRPr="00BD0172">
        <w:rPr>
          <w:rFonts w:asciiTheme="majorBidi" w:hAnsiTheme="majorBidi" w:cstheme="majorBidi"/>
          <w:sz w:val="24"/>
          <w:szCs w:val="24"/>
        </w:rPr>
        <w:t>ur</w:t>
      </w:r>
      <w:proofErr w:type="spellEnd"/>
      <w:r w:rsidRPr="00BD0172">
        <w:rPr>
          <w:rFonts w:asciiTheme="majorBidi" w:hAnsiTheme="majorBidi" w:cstheme="majorBidi"/>
          <w:sz w:val="24"/>
          <w:szCs w:val="24"/>
        </w:rPr>
        <w:t xml:space="preserve">-Rehman, M., &amp; Anjum, K. M. (2024). Molecular characterization of </w:t>
      </w:r>
      <w:r w:rsidRPr="00BD0172">
        <w:rPr>
          <w:rFonts w:asciiTheme="majorBidi" w:hAnsiTheme="majorBidi" w:cstheme="majorBidi"/>
          <w:i/>
          <w:iCs/>
          <w:sz w:val="24"/>
          <w:szCs w:val="24"/>
        </w:rPr>
        <w:t xml:space="preserve">Aeromonas </w:t>
      </w:r>
      <w:proofErr w:type="spellStart"/>
      <w:r w:rsidRPr="00BD0172">
        <w:rPr>
          <w:rFonts w:asciiTheme="majorBidi" w:hAnsiTheme="majorBidi" w:cstheme="majorBidi"/>
          <w:i/>
          <w:iCs/>
          <w:sz w:val="24"/>
          <w:szCs w:val="24"/>
        </w:rPr>
        <w:t>hydrophila</w:t>
      </w:r>
      <w:proofErr w:type="spellEnd"/>
      <w:r w:rsidRPr="00BD0172">
        <w:rPr>
          <w:rFonts w:asciiTheme="majorBidi" w:hAnsiTheme="majorBidi" w:cstheme="majorBidi"/>
          <w:sz w:val="24"/>
          <w:szCs w:val="24"/>
        </w:rPr>
        <w:t xml:space="preserve"> detected in </w:t>
      </w:r>
      <w:proofErr w:type="spellStart"/>
      <w:r w:rsidRPr="00BD0172">
        <w:rPr>
          <w:rFonts w:asciiTheme="majorBidi" w:hAnsiTheme="majorBidi" w:cstheme="majorBidi"/>
          <w:i/>
          <w:iCs/>
          <w:sz w:val="24"/>
          <w:szCs w:val="24"/>
        </w:rPr>
        <w:t>Channa</w:t>
      </w:r>
      <w:proofErr w:type="spellEnd"/>
      <w:r w:rsidRPr="00BD0172">
        <w:rPr>
          <w:rFonts w:asciiTheme="majorBidi" w:hAnsiTheme="majorBidi" w:cstheme="majorBidi"/>
          <w:i/>
          <w:iCs/>
          <w:sz w:val="24"/>
          <w:szCs w:val="24"/>
        </w:rPr>
        <w:t xml:space="preserve"> </w:t>
      </w:r>
      <w:proofErr w:type="spellStart"/>
      <w:r w:rsidRPr="00BD0172">
        <w:rPr>
          <w:rFonts w:asciiTheme="majorBidi" w:hAnsiTheme="majorBidi" w:cstheme="majorBidi"/>
          <w:i/>
          <w:iCs/>
          <w:sz w:val="24"/>
          <w:szCs w:val="24"/>
        </w:rPr>
        <w:t>marulius</w:t>
      </w:r>
      <w:proofErr w:type="spellEnd"/>
      <w:r w:rsidRPr="00BD0172">
        <w:rPr>
          <w:rFonts w:asciiTheme="majorBidi" w:hAnsiTheme="majorBidi" w:cstheme="majorBidi"/>
          <w:sz w:val="24"/>
          <w:szCs w:val="24"/>
        </w:rPr>
        <w:t xml:space="preserve"> and </w:t>
      </w:r>
      <w:proofErr w:type="spellStart"/>
      <w:r w:rsidRPr="00BD0172">
        <w:rPr>
          <w:rFonts w:asciiTheme="majorBidi" w:hAnsiTheme="majorBidi" w:cstheme="majorBidi"/>
          <w:i/>
          <w:iCs/>
          <w:sz w:val="24"/>
          <w:szCs w:val="24"/>
        </w:rPr>
        <w:t>Sperata</w:t>
      </w:r>
      <w:proofErr w:type="spellEnd"/>
      <w:r w:rsidRPr="00BD0172">
        <w:rPr>
          <w:rFonts w:asciiTheme="majorBidi" w:hAnsiTheme="majorBidi" w:cstheme="majorBidi"/>
          <w:i/>
          <w:iCs/>
          <w:sz w:val="24"/>
          <w:szCs w:val="24"/>
        </w:rPr>
        <w:t xml:space="preserve"> </w:t>
      </w:r>
      <w:proofErr w:type="spellStart"/>
      <w:r w:rsidRPr="00BD0172">
        <w:rPr>
          <w:rFonts w:asciiTheme="majorBidi" w:hAnsiTheme="majorBidi" w:cstheme="majorBidi"/>
          <w:i/>
          <w:iCs/>
          <w:sz w:val="24"/>
          <w:szCs w:val="24"/>
        </w:rPr>
        <w:t>sarwari</w:t>
      </w:r>
      <w:proofErr w:type="spellEnd"/>
      <w:r w:rsidRPr="00BD0172">
        <w:rPr>
          <w:rFonts w:asciiTheme="majorBidi" w:hAnsiTheme="majorBidi" w:cstheme="majorBidi"/>
          <w:sz w:val="24"/>
          <w:szCs w:val="24"/>
        </w:rPr>
        <w:t xml:space="preserve"> sampled from rivers of Punjab in Pakistan. </w:t>
      </w:r>
      <w:proofErr w:type="spellStart"/>
      <w:r w:rsidRPr="00BD0172">
        <w:rPr>
          <w:rFonts w:asciiTheme="majorBidi" w:hAnsiTheme="majorBidi" w:cstheme="majorBidi"/>
          <w:i/>
          <w:iCs/>
          <w:sz w:val="24"/>
          <w:szCs w:val="24"/>
        </w:rPr>
        <w:t>Plos</w:t>
      </w:r>
      <w:proofErr w:type="spellEnd"/>
      <w:r w:rsidRPr="00BD0172">
        <w:rPr>
          <w:rFonts w:asciiTheme="majorBidi" w:hAnsiTheme="majorBidi" w:cstheme="majorBidi"/>
          <w:i/>
          <w:iCs/>
          <w:sz w:val="24"/>
          <w:szCs w:val="24"/>
        </w:rPr>
        <w:t xml:space="preserve"> one</w:t>
      </w:r>
      <w:r w:rsidRPr="00BD0172">
        <w:rPr>
          <w:rFonts w:asciiTheme="majorBidi" w:hAnsiTheme="majorBidi" w:cstheme="majorBidi"/>
          <w:sz w:val="24"/>
          <w:szCs w:val="24"/>
        </w:rPr>
        <w:t>, </w:t>
      </w:r>
      <w:r w:rsidRPr="00BD0172">
        <w:rPr>
          <w:rFonts w:asciiTheme="majorBidi" w:hAnsiTheme="majorBidi" w:cstheme="majorBidi"/>
          <w:i/>
          <w:iCs/>
          <w:sz w:val="24"/>
          <w:szCs w:val="24"/>
        </w:rPr>
        <w:t>19</w:t>
      </w:r>
      <w:r w:rsidRPr="00BD0172">
        <w:rPr>
          <w:rFonts w:asciiTheme="majorBidi" w:hAnsiTheme="majorBidi" w:cstheme="majorBidi"/>
          <w:sz w:val="24"/>
          <w:szCs w:val="24"/>
        </w:rPr>
        <w:t>(3), e0297979.</w:t>
      </w:r>
    </w:p>
    <w:p w14:paraId="449B9551" w14:textId="77777777" w:rsidR="00C2069C" w:rsidRDefault="00C2069C" w:rsidP="003E2BE7">
      <w:pPr>
        <w:pStyle w:val="ListParagraph"/>
        <w:numPr>
          <w:ilvl w:val="0"/>
          <w:numId w:val="5"/>
        </w:numPr>
        <w:spacing w:after="200" w:line="360" w:lineRule="auto"/>
        <w:jc w:val="both"/>
        <w:rPr>
          <w:rFonts w:asciiTheme="majorBidi" w:hAnsiTheme="majorBidi" w:cstheme="majorBidi"/>
          <w:sz w:val="24"/>
          <w:szCs w:val="24"/>
        </w:rPr>
      </w:pPr>
      <w:r w:rsidRPr="003E2BE7">
        <w:rPr>
          <w:rFonts w:asciiTheme="majorBidi" w:hAnsiTheme="majorBidi" w:cstheme="majorBidi"/>
          <w:sz w:val="24"/>
          <w:szCs w:val="24"/>
        </w:rPr>
        <w:t xml:space="preserve">Olusola, S. E., </w:t>
      </w:r>
      <w:proofErr w:type="spellStart"/>
      <w:r w:rsidRPr="003E2BE7">
        <w:rPr>
          <w:rFonts w:asciiTheme="majorBidi" w:hAnsiTheme="majorBidi" w:cstheme="majorBidi"/>
          <w:sz w:val="24"/>
          <w:szCs w:val="24"/>
        </w:rPr>
        <w:t>Fakoya</w:t>
      </w:r>
      <w:proofErr w:type="spellEnd"/>
      <w:r w:rsidRPr="003E2BE7">
        <w:rPr>
          <w:rFonts w:asciiTheme="majorBidi" w:hAnsiTheme="majorBidi" w:cstheme="majorBidi"/>
          <w:sz w:val="24"/>
          <w:szCs w:val="24"/>
        </w:rPr>
        <w:t xml:space="preserve">, S., &amp; </w:t>
      </w:r>
      <w:proofErr w:type="spellStart"/>
      <w:r w:rsidRPr="003E2BE7">
        <w:rPr>
          <w:rFonts w:asciiTheme="majorBidi" w:hAnsiTheme="majorBidi" w:cstheme="majorBidi"/>
          <w:sz w:val="24"/>
          <w:szCs w:val="24"/>
        </w:rPr>
        <w:t>Omage</w:t>
      </w:r>
      <w:proofErr w:type="spellEnd"/>
      <w:r w:rsidRPr="003E2BE7">
        <w:rPr>
          <w:rFonts w:asciiTheme="majorBidi" w:hAnsiTheme="majorBidi" w:cstheme="majorBidi"/>
          <w:sz w:val="24"/>
          <w:szCs w:val="24"/>
        </w:rPr>
        <w:t>, I. B. (2017). Antimicrobial activity of leaf extracts of Neem (</w:t>
      </w:r>
      <w:proofErr w:type="spellStart"/>
      <w:r w:rsidRPr="003E2BE7">
        <w:rPr>
          <w:rFonts w:asciiTheme="majorBidi" w:hAnsiTheme="majorBidi" w:cstheme="majorBidi"/>
          <w:i/>
          <w:iCs/>
          <w:sz w:val="24"/>
          <w:szCs w:val="24"/>
        </w:rPr>
        <w:t>Azadrichta</w:t>
      </w:r>
      <w:proofErr w:type="spellEnd"/>
      <w:r w:rsidRPr="003E2BE7">
        <w:rPr>
          <w:rFonts w:asciiTheme="majorBidi" w:hAnsiTheme="majorBidi" w:cstheme="majorBidi"/>
          <w:i/>
          <w:iCs/>
          <w:sz w:val="24"/>
          <w:szCs w:val="24"/>
        </w:rPr>
        <w:t xml:space="preserve"> </w:t>
      </w:r>
      <w:proofErr w:type="spellStart"/>
      <w:r w:rsidRPr="003E2BE7">
        <w:rPr>
          <w:rFonts w:asciiTheme="majorBidi" w:hAnsiTheme="majorBidi" w:cstheme="majorBidi"/>
          <w:i/>
          <w:iCs/>
          <w:sz w:val="24"/>
          <w:szCs w:val="24"/>
        </w:rPr>
        <w:t>indica</w:t>
      </w:r>
      <w:proofErr w:type="spellEnd"/>
      <w:r w:rsidRPr="003E2BE7">
        <w:rPr>
          <w:rFonts w:asciiTheme="majorBidi" w:hAnsiTheme="majorBidi" w:cstheme="majorBidi"/>
          <w:sz w:val="24"/>
          <w:szCs w:val="24"/>
        </w:rPr>
        <w:t xml:space="preserve">) and </w:t>
      </w:r>
      <w:proofErr w:type="spellStart"/>
      <w:r w:rsidRPr="003E2BE7">
        <w:rPr>
          <w:rFonts w:asciiTheme="majorBidi" w:hAnsiTheme="majorBidi" w:cstheme="majorBidi"/>
          <w:sz w:val="24"/>
          <w:szCs w:val="24"/>
        </w:rPr>
        <w:t>Tumeric</w:t>
      </w:r>
      <w:proofErr w:type="spellEnd"/>
      <w:r w:rsidRPr="003E2BE7">
        <w:rPr>
          <w:rFonts w:asciiTheme="majorBidi" w:hAnsiTheme="majorBidi" w:cstheme="majorBidi"/>
          <w:sz w:val="24"/>
          <w:szCs w:val="24"/>
        </w:rPr>
        <w:t xml:space="preserve"> (</w:t>
      </w:r>
      <w:r w:rsidRPr="003E2BE7">
        <w:rPr>
          <w:rFonts w:asciiTheme="majorBidi" w:hAnsiTheme="majorBidi" w:cstheme="majorBidi"/>
          <w:i/>
          <w:iCs/>
          <w:sz w:val="24"/>
          <w:szCs w:val="24"/>
        </w:rPr>
        <w:t>Curcuma longa</w:t>
      </w:r>
      <w:r w:rsidRPr="003E2BE7">
        <w:rPr>
          <w:rFonts w:asciiTheme="majorBidi" w:hAnsiTheme="majorBidi" w:cstheme="majorBidi"/>
          <w:sz w:val="24"/>
          <w:szCs w:val="24"/>
        </w:rPr>
        <w:t xml:space="preserve">) rhizome against some pathogens isolated from </w:t>
      </w:r>
      <w:proofErr w:type="spellStart"/>
      <w:r w:rsidRPr="003E2BE7">
        <w:rPr>
          <w:rFonts w:asciiTheme="majorBidi" w:hAnsiTheme="majorBidi" w:cstheme="majorBidi"/>
          <w:i/>
          <w:iCs/>
          <w:sz w:val="24"/>
          <w:szCs w:val="24"/>
        </w:rPr>
        <w:t>Clarias</w:t>
      </w:r>
      <w:proofErr w:type="spellEnd"/>
      <w:r w:rsidRPr="003E2BE7">
        <w:rPr>
          <w:rFonts w:asciiTheme="majorBidi" w:hAnsiTheme="majorBidi" w:cstheme="majorBidi"/>
          <w:i/>
          <w:iCs/>
          <w:sz w:val="24"/>
          <w:szCs w:val="24"/>
        </w:rPr>
        <w:t xml:space="preserve"> </w:t>
      </w:r>
      <w:proofErr w:type="spellStart"/>
      <w:r w:rsidRPr="003E2BE7">
        <w:rPr>
          <w:rFonts w:asciiTheme="majorBidi" w:hAnsiTheme="majorBidi" w:cstheme="majorBidi"/>
          <w:i/>
          <w:iCs/>
          <w:sz w:val="24"/>
          <w:szCs w:val="24"/>
        </w:rPr>
        <w:t>gariepinus</w:t>
      </w:r>
      <w:proofErr w:type="spellEnd"/>
      <w:r w:rsidRPr="003E2BE7">
        <w:rPr>
          <w:rFonts w:asciiTheme="majorBidi" w:hAnsiTheme="majorBidi" w:cstheme="majorBidi"/>
          <w:sz w:val="24"/>
          <w:szCs w:val="24"/>
        </w:rPr>
        <w:t>. </w:t>
      </w:r>
      <w:r w:rsidRPr="003E2BE7">
        <w:rPr>
          <w:rFonts w:asciiTheme="majorBidi" w:hAnsiTheme="majorBidi" w:cstheme="majorBidi"/>
          <w:i/>
          <w:iCs/>
          <w:sz w:val="24"/>
          <w:szCs w:val="24"/>
        </w:rPr>
        <w:t>Journal of Advanced Microbiology</w:t>
      </w:r>
      <w:r w:rsidRPr="003E2BE7">
        <w:rPr>
          <w:rFonts w:asciiTheme="majorBidi" w:hAnsiTheme="majorBidi" w:cstheme="majorBidi"/>
          <w:sz w:val="24"/>
          <w:szCs w:val="24"/>
        </w:rPr>
        <w:t>, </w:t>
      </w:r>
      <w:r w:rsidRPr="003E2BE7">
        <w:rPr>
          <w:rFonts w:asciiTheme="majorBidi" w:hAnsiTheme="majorBidi" w:cstheme="majorBidi"/>
          <w:i/>
          <w:iCs/>
          <w:sz w:val="24"/>
          <w:szCs w:val="24"/>
        </w:rPr>
        <w:t>3</w:t>
      </w:r>
      <w:r w:rsidRPr="003E2BE7">
        <w:rPr>
          <w:rFonts w:asciiTheme="majorBidi" w:hAnsiTheme="majorBidi" w:cstheme="majorBidi"/>
          <w:sz w:val="24"/>
          <w:szCs w:val="24"/>
        </w:rPr>
        <w:t>(5-6), 238-245.</w:t>
      </w:r>
    </w:p>
    <w:p w14:paraId="1FBC2AB5"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Pandey, S., Singh, G., Verma, S., Dahiya, T., Singh, A., Shahi, S., &amp; Tiwari, P. K. (2025). Phytotherapy as a natural alternative to antibiotics in aquaculture. </w:t>
      </w:r>
      <w:r w:rsidRPr="00BD0172">
        <w:rPr>
          <w:rFonts w:asciiTheme="majorBidi" w:hAnsiTheme="majorBidi" w:cstheme="majorBidi"/>
          <w:i/>
          <w:iCs/>
          <w:sz w:val="24"/>
          <w:szCs w:val="24"/>
        </w:rPr>
        <w:t>Indian J Anim Health</w:t>
      </w:r>
      <w:r w:rsidRPr="00BD0172">
        <w:rPr>
          <w:rFonts w:asciiTheme="majorBidi" w:hAnsiTheme="majorBidi" w:cstheme="majorBidi"/>
          <w:sz w:val="24"/>
          <w:szCs w:val="24"/>
        </w:rPr>
        <w:t>, </w:t>
      </w:r>
      <w:r w:rsidRPr="00BD0172">
        <w:rPr>
          <w:rFonts w:asciiTheme="majorBidi" w:hAnsiTheme="majorBidi" w:cstheme="majorBidi"/>
          <w:i/>
          <w:iCs/>
          <w:sz w:val="24"/>
          <w:szCs w:val="24"/>
        </w:rPr>
        <w:t>64</w:t>
      </w:r>
      <w:r w:rsidRPr="00BD0172">
        <w:rPr>
          <w:rFonts w:asciiTheme="majorBidi" w:hAnsiTheme="majorBidi" w:cstheme="majorBidi"/>
          <w:sz w:val="24"/>
          <w:szCs w:val="24"/>
        </w:rPr>
        <w:t>(1), 55-65.</w:t>
      </w:r>
    </w:p>
    <w:p w14:paraId="10BF12E9"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Parveen, A., Perveen, S., Ahmad, M., Naz, F., &amp; Riaz, M. (2023). Essentials of medicinal and aromatic crops.</w:t>
      </w:r>
    </w:p>
    <w:p w14:paraId="0D452E1E"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 xml:space="preserve">Pushpam, M., Durairajan, P., Arumugam, P., &amp; Patric Joshua, P. (2017). Comparison of antipyretic effectiveness between standard drugs with different doses of </w:t>
      </w:r>
      <w:r w:rsidRPr="00E17447">
        <w:rPr>
          <w:rFonts w:asciiTheme="majorBidi" w:hAnsiTheme="majorBidi" w:cstheme="majorBidi"/>
          <w:i/>
          <w:iCs/>
          <w:sz w:val="24"/>
          <w:szCs w:val="24"/>
        </w:rPr>
        <w:t>Ocimum sanctum</w:t>
      </w:r>
      <w:r w:rsidRPr="00BD0172">
        <w:rPr>
          <w:rFonts w:asciiTheme="majorBidi" w:hAnsiTheme="majorBidi" w:cstheme="majorBidi"/>
          <w:sz w:val="24"/>
          <w:szCs w:val="24"/>
        </w:rPr>
        <w:t xml:space="preserve"> Linn (</w:t>
      </w:r>
      <w:proofErr w:type="spellStart"/>
      <w:r w:rsidRPr="00BD0172">
        <w:rPr>
          <w:rFonts w:asciiTheme="majorBidi" w:hAnsiTheme="majorBidi" w:cstheme="majorBidi"/>
          <w:sz w:val="24"/>
          <w:szCs w:val="24"/>
        </w:rPr>
        <w:t>tulsi</w:t>
      </w:r>
      <w:proofErr w:type="spellEnd"/>
      <w:r w:rsidRPr="00BD0172">
        <w:rPr>
          <w:rFonts w:asciiTheme="majorBidi" w:hAnsiTheme="majorBidi" w:cstheme="majorBidi"/>
          <w:sz w:val="24"/>
          <w:szCs w:val="24"/>
        </w:rPr>
        <w:t>). </w:t>
      </w:r>
      <w:r w:rsidRPr="00BD0172">
        <w:rPr>
          <w:rFonts w:asciiTheme="majorBidi" w:hAnsiTheme="majorBidi" w:cstheme="majorBidi"/>
          <w:i/>
          <w:iCs/>
          <w:sz w:val="24"/>
          <w:szCs w:val="24"/>
        </w:rPr>
        <w:t>World Journal of Pharmaceutical Sciences</w:t>
      </w:r>
      <w:r w:rsidRPr="00BD0172">
        <w:rPr>
          <w:rFonts w:asciiTheme="majorBidi" w:hAnsiTheme="majorBidi" w:cstheme="majorBidi"/>
          <w:sz w:val="24"/>
          <w:szCs w:val="24"/>
        </w:rPr>
        <w:t>, 162-167.</w:t>
      </w:r>
    </w:p>
    <w:p w14:paraId="3206F497" w14:textId="77777777" w:rsidR="00C2069C" w:rsidRDefault="00C2069C" w:rsidP="00BD0172">
      <w:pPr>
        <w:pStyle w:val="ListParagraph"/>
        <w:numPr>
          <w:ilvl w:val="0"/>
          <w:numId w:val="5"/>
        </w:numPr>
        <w:spacing w:after="200" w:line="360" w:lineRule="auto"/>
        <w:jc w:val="both"/>
        <w:rPr>
          <w:rFonts w:asciiTheme="majorBidi" w:hAnsiTheme="majorBidi" w:cstheme="majorBidi"/>
          <w:sz w:val="24"/>
          <w:szCs w:val="24"/>
        </w:rPr>
      </w:pPr>
      <w:r w:rsidRPr="00BD0172">
        <w:rPr>
          <w:rFonts w:asciiTheme="majorBidi" w:hAnsiTheme="majorBidi" w:cstheme="majorBidi"/>
          <w:sz w:val="24"/>
          <w:szCs w:val="24"/>
        </w:rPr>
        <w:lastRenderedPageBreak/>
        <w:t xml:space="preserve">Raihan, T., Azad, A. K., Ahmed, J., </w:t>
      </w:r>
      <w:proofErr w:type="spellStart"/>
      <w:r w:rsidRPr="00BD0172">
        <w:rPr>
          <w:rFonts w:asciiTheme="majorBidi" w:hAnsiTheme="majorBidi" w:cstheme="majorBidi"/>
          <w:sz w:val="24"/>
          <w:szCs w:val="24"/>
        </w:rPr>
        <w:t>Shepon</w:t>
      </w:r>
      <w:proofErr w:type="spellEnd"/>
      <w:r w:rsidRPr="00BD0172">
        <w:rPr>
          <w:rFonts w:asciiTheme="majorBidi" w:hAnsiTheme="majorBidi" w:cstheme="majorBidi"/>
          <w:sz w:val="24"/>
          <w:szCs w:val="24"/>
        </w:rPr>
        <w:t xml:space="preserve">, M. R., Dey, P., Chowdhury, N., ... &amp; Suhani, S. (2021). Extracellular metabolites of endophytic fungi from </w:t>
      </w:r>
      <w:proofErr w:type="spellStart"/>
      <w:r w:rsidRPr="00BD0172">
        <w:rPr>
          <w:rFonts w:asciiTheme="majorBidi" w:hAnsiTheme="majorBidi" w:cstheme="majorBidi"/>
          <w:i/>
          <w:iCs/>
          <w:sz w:val="24"/>
          <w:szCs w:val="24"/>
        </w:rPr>
        <w:t>Azadirachta</w:t>
      </w:r>
      <w:proofErr w:type="spellEnd"/>
      <w:r w:rsidRPr="00BD0172">
        <w:rPr>
          <w:rFonts w:asciiTheme="majorBidi" w:hAnsiTheme="majorBidi" w:cstheme="majorBidi"/>
          <w:i/>
          <w:iCs/>
          <w:sz w:val="24"/>
          <w:szCs w:val="24"/>
        </w:rPr>
        <w:t xml:space="preserve"> </w:t>
      </w:r>
      <w:proofErr w:type="spellStart"/>
      <w:r w:rsidRPr="00BD0172">
        <w:rPr>
          <w:rFonts w:asciiTheme="majorBidi" w:hAnsiTheme="majorBidi" w:cstheme="majorBidi"/>
          <w:i/>
          <w:iCs/>
          <w:sz w:val="24"/>
          <w:szCs w:val="24"/>
        </w:rPr>
        <w:t>indica</w:t>
      </w:r>
      <w:proofErr w:type="spellEnd"/>
      <w:r w:rsidRPr="00BD0172">
        <w:rPr>
          <w:rFonts w:asciiTheme="majorBidi" w:hAnsiTheme="majorBidi" w:cstheme="majorBidi"/>
          <w:sz w:val="24"/>
          <w:szCs w:val="24"/>
        </w:rPr>
        <w:t xml:space="preserve"> inhibit multidrug-resistant bacteria and phytopathogens. </w:t>
      </w:r>
      <w:r w:rsidRPr="00BD0172">
        <w:rPr>
          <w:rFonts w:asciiTheme="majorBidi" w:hAnsiTheme="majorBidi" w:cstheme="majorBidi"/>
          <w:i/>
          <w:iCs/>
          <w:sz w:val="24"/>
          <w:szCs w:val="24"/>
        </w:rPr>
        <w:t>Future Microbiology</w:t>
      </w:r>
      <w:r w:rsidRPr="00BD0172">
        <w:rPr>
          <w:rFonts w:asciiTheme="majorBidi" w:hAnsiTheme="majorBidi" w:cstheme="majorBidi"/>
          <w:sz w:val="24"/>
          <w:szCs w:val="24"/>
        </w:rPr>
        <w:t>, </w:t>
      </w:r>
      <w:r w:rsidRPr="00BD0172">
        <w:rPr>
          <w:rFonts w:asciiTheme="majorBidi" w:hAnsiTheme="majorBidi" w:cstheme="majorBidi"/>
          <w:i/>
          <w:iCs/>
          <w:sz w:val="24"/>
          <w:szCs w:val="24"/>
        </w:rPr>
        <w:t>16</w:t>
      </w:r>
      <w:r w:rsidRPr="00BD0172">
        <w:rPr>
          <w:rFonts w:asciiTheme="majorBidi" w:hAnsiTheme="majorBidi" w:cstheme="majorBidi"/>
          <w:sz w:val="24"/>
          <w:szCs w:val="24"/>
        </w:rPr>
        <w:t>(8), 557-576.</w:t>
      </w:r>
    </w:p>
    <w:p w14:paraId="4FE20777" w14:textId="77777777" w:rsidR="00C2069C" w:rsidRDefault="00C2069C" w:rsidP="00BE26D7">
      <w:pPr>
        <w:pStyle w:val="ListParagraph"/>
        <w:numPr>
          <w:ilvl w:val="0"/>
          <w:numId w:val="5"/>
        </w:numPr>
        <w:spacing w:after="200" w:line="360" w:lineRule="auto"/>
        <w:jc w:val="both"/>
        <w:rPr>
          <w:rFonts w:asciiTheme="majorBidi" w:hAnsiTheme="majorBidi" w:cstheme="majorBidi"/>
          <w:sz w:val="24"/>
          <w:szCs w:val="24"/>
        </w:rPr>
      </w:pPr>
      <w:proofErr w:type="spellStart"/>
      <w:r w:rsidRPr="00BE26D7">
        <w:rPr>
          <w:rFonts w:asciiTheme="majorBidi" w:hAnsiTheme="majorBidi" w:cstheme="majorBidi"/>
          <w:sz w:val="24"/>
          <w:szCs w:val="24"/>
        </w:rPr>
        <w:t>Samayanpaulraj</w:t>
      </w:r>
      <w:proofErr w:type="spellEnd"/>
      <w:r w:rsidRPr="00BE26D7">
        <w:rPr>
          <w:rFonts w:asciiTheme="majorBidi" w:hAnsiTheme="majorBidi" w:cstheme="majorBidi"/>
          <w:sz w:val="24"/>
          <w:szCs w:val="24"/>
        </w:rPr>
        <w:t xml:space="preserve">, V., Velu, V., &amp; </w:t>
      </w:r>
      <w:proofErr w:type="spellStart"/>
      <w:r w:rsidRPr="00BE26D7">
        <w:rPr>
          <w:rFonts w:asciiTheme="majorBidi" w:hAnsiTheme="majorBidi" w:cstheme="majorBidi"/>
          <w:sz w:val="24"/>
          <w:szCs w:val="24"/>
        </w:rPr>
        <w:t>Uthandakalaipandiyan</w:t>
      </w:r>
      <w:proofErr w:type="spellEnd"/>
      <w:r w:rsidRPr="00BE26D7">
        <w:rPr>
          <w:rFonts w:asciiTheme="majorBidi" w:hAnsiTheme="majorBidi" w:cstheme="majorBidi"/>
          <w:sz w:val="24"/>
          <w:szCs w:val="24"/>
        </w:rPr>
        <w:t xml:space="preserve">, R. (2019). Determination of lethal dose of </w:t>
      </w:r>
      <w:r w:rsidRPr="00BE26D7">
        <w:rPr>
          <w:rFonts w:asciiTheme="majorBidi" w:hAnsiTheme="majorBidi" w:cstheme="majorBidi"/>
          <w:i/>
          <w:iCs/>
          <w:sz w:val="24"/>
          <w:szCs w:val="24"/>
        </w:rPr>
        <w:t xml:space="preserve">Aeromonas </w:t>
      </w:r>
      <w:proofErr w:type="spellStart"/>
      <w:r w:rsidRPr="00BE26D7">
        <w:rPr>
          <w:rFonts w:asciiTheme="majorBidi" w:hAnsiTheme="majorBidi" w:cstheme="majorBidi"/>
          <w:i/>
          <w:iCs/>
          <w:sz w:val="24"/>
          <w:szCs w:val="24"/>
        </w:rPr>
        <w:t>hydrophila</w:t>
      </w:r>
      <w:proofErr w:type="spellEnd"/>
      <w:r w:rsidRPr="00BE26D7">
        <w:rPr>
          <w:rFonts w:asciiTheme="majorBidi" w:hAnsiTheme="majorBidi" w:cstheme="majorBidi"/>
          <w:sz w:val="24"/>
          <w:szCs w:val="24"/>
        </w:rPr>
        <w:t xml:space="preserve"> Ah17 strain in snake head fish </w:t>
      </w:r>
      <w:r w:rsidRPr="00BE26D7">
        <w:rPr>
          <w:rFonts w:asciiTheme="majorBidi" w:hAnsiTheme="majorBidi" w:cstheme="majorBidi"/>
          <w:i/>
          <w:iCs/>
          <w:sz w:val="24"/>
          <w:szCs w:val="24"/>
        </w:rPr>
        <w:t>Channa striata</w:t>
      </w:r>
      <w:r w:rsidRPr="00BE26D7">
        <w:rPr>
          <w:rFonts w:asciiTheme="majorBidi" w:hAnsiTheme="majorBidi" w:cstheme="majorBidi"/>
          <w:sz w:val="24"/>
          <w:szCs w:val="24"/>
        </w:rPr>
        <w:t>. </w:t>
      </w:r>
      <w:r w:rsidRPr="00BE26D7">
        <w:rPr>
          <w:rFonts w:asciiTheme="majorBidi" w:hAnsiTheme="majorBidi" w:cstheme="majorBidi"/>
          <w:i/>
          <w:iCs/>
          <w:sz w:val="24"/>
          <w:szCs w:val="24"/>
        </w:rPr>
        <w:t>Microbial pathogenesis</w:t>
      </w:r>
      <w:r w:rsidRPr="00BE26D7">
        <w:rPr>
          <w:rFonts w:asciiTheme="majorBidi" w:hAnsiTheme="majorBidi" w:cstheme="majorBidi"/>
          <w:sz w:val="24"/>
          <w:szCs w:val="24"/>
        </w:rPr>
        <w:t>, </w:t>
      </w:r>
      <w:r w:rsidRPr="00BE26D7">
        <w:rPr>
          <w:rFonts w:asciiTheme="majorBidi" w:hAnsiTheme="majorBidi" w:cstheme="majorBidi"/>
          <w:i/>
          <w:iCs/>
          <w:sz w:val="24"/>
          <w:szCs w:val="24"/>
        </w:rPr>
        <w:t>127</w:t>
      </w:r>
      <w:r w:rsidRPr="00BE26D7">
        <w:rPr>
          <w:rFonts w:asciiTheme="majorBidi" w:hAnsiTheme="majorBidi" w:cstheme="majorBidi"/>
          <w:sz w:val="24"/>
          <w:szCs w:val="24"/>
        </w:rPr>
        <w:t>, 7-11.</w:t>
      </w:r>
    </w:p>
    <w:p w14:paraId="2D454C6E" w14:textId="77777777" w:rsidR="00C2069C" w:rsidRPr="00BD0172" w:rsidRDefault="00C2069C" w:rsidP="007341A2">
      <w:pPr>
        <w:pStyle w:val="ListParagraph"/>
        <w:numPr>
          <w:ilvl w:val="0"/>
          <w:numId w:val="5"/>
        </w:numPr>
        <w:spacing w:after="200" w:line="360" w:lineRule="auto"/>
        <w:jc w:val="both"/>
        <w:rPr>
          <w:rFonts w:asciiTheme="majorBidi" w:hAnsiTheme="majorBidi" w:cstheme="majorBidi"/>
          <w:sz w:val="24"/>
          <w:szCs w:val="24"/>
        </w:rPr>
      </w:pPr>
      <w:r w:rsidRPr="007341A2">
        <w:rPr>
          <w:rFonts w:asciiTheme="majorBidi" w:hAnsiTheme="majorBidi" w:cstheme="majorBidi"/>
          <w:sz w:val="24"/>
          <w:szCs w:val="24"/>
          <w:lang w:val="nl-NL"/>
        </w:rPr>
        <w:t xml:space="preserve">Sarker, S. D., Nahar, L., &amp; Kumarasamy, Y. (2007). </w:t>
      </w:r>
      <w:proofErr w:type="spellStart"/>
      <w:r w:rsidRPr="007341A2">
        <w:rPr>
          <w:rFonts w:asciiTheme="majorBidi" w:hAnsiTheme="majorBidi" w:cstheme="majorBidi"/>
          <w:sz w:val="24"/>
          <w:szCs w:val="24"/>
        </w:rPr>
        <w:t>Microtitre</w:t>
      </w:r>
      <w:proofErr w:type="spellEnd"/>
      <w:r w:rsidRPr="007341A2">
        <w:rPr>
          <w:rFonts w:asciiTheme="majorBidi" w:hAnsiTheme="majorBidi" w:cstheme="majorBidi"/>
          <w:sz w:val="24"/>
          <w:szCs w:val="24"/>
        </w:rPr>
        <w:t xml:space="preserve"> plate-based antibacterial assay incorporating resazurin as an indicator of cell growth, and its application in the in vitro antibacterial screening of phytochemicals. </w:t>
      </w:r>
      <w:r w:rsidRPr="007341A2">
        <w:rPr>
          <w:rFonts w:asciiTheme="majorBidi" w:hAnsiTheme="majorBidi" w:cstheme="majorBidi"/>
          <w:i/>
          <w:iCs/>
          <w:sz w:val="24"/>
          <w:szCs w:val="24"/>
        </w:rPr>
        <w:t>Methods</w:t>
      </w:r>
      <w:r w:rsidRPr="007341A2">
        <w:rPr>
          <w:rFonts w:asciiTheme="majorBidi" w:hAnsiTheme="majorBidi" w:cstheme="majorBidi"/>
          <w:sz w:val="24"/>
          <w:szCs w:val="24"/>
        </w:rPr>
        <w:t>, </w:t>
      </w:r>
      <w:r w:rsidRPr="007341A2">
        <w:rPr>
          <w:rFonts w:asciiTheme="majorBidi" w:hAnsiTheme="majorBidi" w:cstheme="majorBidi"/>
          <w:i/>
          <w:iCs/>
          <w:sz w:val="24"/>
          <w:szCs w:val="24"/>
        </w:rPr>
        <w:t>42</w:t>
      </w:r>
      <w:r w:rsidRPr="007341A2">
        <w:rPr>
          <w:rFonts w:asciiTheme="majorBidi" w:hAnsiTheme="majorBidi" w:cstheme="majorBidi"/>
          <w:sz w:val="24"/>
          <w:szCs w:val="24"/>
        </w:rPr>
        <w:t>(4), 321-324.</w:t>
      </w:r>
    </w:p>
    <w:p w14:paraId="5691D686" w14:textId="77777777" w:rsidR="00C2069C" w:rsidRPr="00BD0172" w:rsidRDefault="00C2069C" w:rsidP="00BD0172">
      <w:pPr>
        <w:pStyle w:val="ListParagraph"/>
        <w:numPr>
          <w:ilvl w:val="0"/>
          <w:numId w:val="5"/>
        </w:numPr>
        <w:spacing w:after="200" w:line="360" w:lineRule="auto"/>
        <w:jc w:val="both"/>
        <w:rPr>
          <w:rFonts w:asciiTheme="majorBidi" w:hAnsiTheme="majorBidi" w:cstheme="majorBidi"/>
          <w:sz w:val="24"/>
          <w:szCs w:val="24"/>
        </w:rPr>
      </w:pPr>
      <w:r w:rsidRPr="006812B6">
        <w:rPr>
          <w:rFonts w:asciiTheme="majorBidi" w:hAnsiTheme="majorBidi" w:cstheme="majorBidi"/>
          <w:sz w:val="24"/>
          <w:szCs w:val="24"/>
          <w:lang w:val="nl-NL"/>
        </w:rPr>
        <w:t xml:space="preserve">Shrivastava, Y., Nayak, S. K., &amp; Mogalekar, H. S. (2025). </w:t>
      </w:r>
      <w:r w:rsidRPr="00BD0172">
        <w:rPr>
          <w:rFonts w:asciiTheme="majorBidi" w:hAnsiTheme="majorBidi" w:cstheme="majorBidi"/>
          <w:sz w:val="24"/>
          <w:szCs w:val="24"/>
        </w:rPr>
        <w:t>Aquatic Animal Health Management. In </w:t>
      </w:r>
      <w:r w:rsidRPr="00BD0172">
        <w:rPr>
          <w:rFonts w:asciiTheme="majorBidi" w:hAnsiTheme="majorBidi" w:cstheme="majorBidi"/>
          <w:i/>
          <w:iCs/>
          <w:sz w:val="24"/>
          <w:szCs w:val="24"/>
        </w:rPr>
        <w:t>Management of Fish Diseases</w:t>
      </w:r>
      <w:r w:rsidRPr="00BD0172">
        <w:rPr>
          <w:rFonts w:asciiTheme="majorBidi" w:hAnsiTheme="majorBidi" w:cstheme="majorBidi"/>
          <w:sz w:val="24"/>
          <w:szCs w:val="24"/>
        </w:rPr>
        <w:t xml:space="preserve"> (pp. 189-211). Singapore: Springer Nature Singapore. </w:t>
      </w:r>
    </w:p>
    <w:p w14:paraId="33DFC638" w14:textId="77777777" w:rsidR="00C2069C" w:rsidRPr="00BD0172" w:rsidRDefault="00C2069C" w:rsidP="00BD0172">
      <w:pPr>
        <w:pStyle w:val="ListParagraph"/>
        <w:numPr>
          <w:ilvl w:val="0"/>
          <w:numId w:val="5"/>
        </w:numPr>
        <w:spacing w:line="360" w:lineRule="auto"/>
        <w:jc w:val="both"/>
        <w:rPr>
          <w:rFonts w:asciiTheme="majorBidi" w:hAnsiTheme="majorBidi" w:cstheme="majorBidi"/>
          <w:sz w:val="24"/>
          <w:szCs w:val="24"/>
        </w:rPr>
      </w:pPr>
      <w:r w:rsidRPr="00BD0172">
        <w:rPr>
          <w:rFonts w:asciiTheme="majorBidi" w:hAnsiTheme="majorBidi" w:cstheme="majorBidi"/>
          <w:sz w:val="24"/>
          <w:szCs w:val="24"/>
        </w:rPr>
        <w:t>Sumana, S. L., Xue, T., Hu, H., Abdullateef, M. M., Shui, Y., Ayana, G. U., ... &amp; Xiaojun, J. (2025). Medicinal Plants as Ecological Solutions for Fish Growth and Immunostimulatory Effects in Aquaculture. </w:t>
      </w:r>
      <w:r w:rsidRPr="00BD0172">
        <w:rPr>
          <w:rFonts w:asciiTheme="majorBidi" w:hAnsiTheme="majorBidi" w:cstheme="majorBidi"/>
          <w:i/>
          <w:iCs/>
          <w:sz w:val="24"/>
          <w:szCs w:val="24"/>
        </w:rPr>
        <w:t>Aquaculture Research</w:t>
      </w:r>
      <w:r w:rsidRPr="00BD0172">
        <w:rPr>
          <w:rFonts w:asciiTheme="majorBidi" w:hAnsiTheme="majorBidi" w:cstheme="majorBidi"/>
          <w:sz w:val="24"/>
          <w:szCs w:val="24"/>
        </w:rPr>
        <w:t>, </w:t>
      </w:r>
      <w:r w:rsidRPr="00BD0172">
        <w:rPr>
          <w:rFonts w:asciiTheme="majorBidi" w:hAnsiTheme="majorBidi" w:cstheme="majorBidi"/>
          <w:i/>
          <w:iCs/>
          <w:sz w:val="24"/>
          <w:szCs w:val="24"/>
        </w:rPr>
        <w:t>2025</w:t>
      </w:r>
      <w:r w:rsidRPr="00BD0172">
        <w:rPr>
          <w:rFonts w:asciiTheme="majorBidi" w:hAnsiTheme="majorBidi" w:cstheme="majorBidi"/>
          <w:sz w:val="24"/>
          <w:szCs w:val="24"/>
        </w:rPr>
        <w:t>(1), 9778623.</w:t>
      </w:r>
    </w:p>
    <w:p w14:paraId="2AC42FA2" w14:textId="77777777" w:rsidR="00C2069C" w:rsidRDefault="00C2069C" w:rsidP="003E2BE7">
      <w:pPr>
        <w:pStyle w:val="ListParagraph"/>
        <w:numPr>
          <w:ilvl w:val="0"/>
          <w:numId w:val="5"/>
        </w:numPr>
        <w:spacing w:after="200" w:line="360" w:lineRule="auto"/>
        <w:jc w:val="both"/>
        <w:rPr>
          <w:rFonts w:asciiTheme="majorBidi" w:hAnsiTheme="majorBidi" w:cstheme="majorBidi"/>
          <w:sz w:val="24"/>
          <w:szCs w:val="24"/>
        </w:rPr>
      </w:pPr>
      <w:proofErr w:type="spellStart"/>
      <w:r w:rsidRPr="003E2BE7">
        <w:rPr>
          <w:rFonts w:asciiTheme="majorBidi" w:hAnsiTheme="majorBidi" w:cstheme="majorBidi"/>
          <w:sz w:val="24"/>
          <w:szCs w:val="24"/>
        </w:rPr>
        <w:t>Wattanuruk</w:t>
      </w:r>
      <w:proofErr w:type="spellEnd"/>
      <w:r w:rsidRPr="003E2BE7">
        <w:rPr>
          <w:rFonts w:asciiTheme="majorBidi" w:hAnsiTheme="majorBidi" w:cstheme="majorBidi"/>
          <w:sz w:val="24"/>
          <w:szCs w:val="24"/>
        </w:rPr>
        <w:t xml:space="preserve">, D., &amp; </w:t>
      </w:r>
      <w:proofErr w:type="spellStart"/>
      <w:r w:rsidRPr="003E2BE7">
        <w:rPr>
          <w:rFonts w:asciiTheme="majorBidi" w:hAnsiTheme="majorBidi" w:cstheme="majorBidi"/>
          <w:sz w:val="24"/>
          <w:szCs w:val="24"/>
        </w:rPr>
        <w:t>Detraksa</w:t>
      </w:r>
      <w:proofErr w:type="spellEnd"/>
      <w:r w:rsidRPr="003E2BE7">
        <w:rPr>
          <w:rFonts w:asciiTheme="majorBidi" w:hAnsiTheme="majorBidi" w:cstheme="majorBidi"/>
          <w:sz w:val="24"/>
          <w:szCs w:val="24"/>
        </w:rPr>
        <w:t>, J. (2023). Effect of herbal plant extracts on inhibition of pathogenic bacteria in Nile tilapia (</w:t>
      </w:r>
      <w:r w:rsidRPr="003E2BE7">
        <w:rPr>
          <w:rFonts w:asciiTheme="majorBidi" w:hAnsiTheme="majorBidi" w:cstheme="majorBidi"/>
          <w:i/>
          <w:iCs/>
          <w:sz w:val="24"/>
          <w:szCs w:val="24"/>
        </w:rPr>
        <w:t>Orechromis niloticus</w:t>
      </w:r>
      <w:r w:rsidRPr="003E2BE7">
        <w:rPr>
          <w:rFonts w:asciiTheme="majorBidi" w:hAnsiTheme="majorBidi" w:cstheme="majorBidi"/>
          <w:sz w:val="24"/>
          <w:szCs w:val="24"/>
        </w:rPr>
        <w:t>). </w:t>
      </w:r>
      <w:r w:rsidRPr="003E2BE7">
        <w:rPr>
          <w:rFonts w:asciiTheme="majorBidi" w:hAnsiTheme="majorBidi" w:cstheme="majorBidi"/>
          <w:i/>
          <w:iCs/>
          <w:sz w:val="24"/>
          <w:szCs w:val="24"/>
        </w:rPr>
        <w:t>Journal of Food Health and Bioenvironmental Science</w:t>
      </w:r>
      <w:r w:rsidRPr="003E2BE7">
        <w:rPr>
          <w:rFonts w:asciiTheme="majorBidi" w:hAnsiTheme="majorBidi" w:cstheme="majorBidi"/>
          <w:sz w:val="24"/>
          <w:szCs w:val="24"/>
        </w:rPr>
        <w:t>, </w:t>
      </w:r>
      <w:r w:rsidRPr="003E2BE7">
        <w:rPr>
          <w:rFonts w:asciiTheme="majorBidi" w:hAnsiTheme="majorBidi" w:cstheme="majorBidi"/>
          <w:i/>
          <w:iCs/>
          <w:sz w:val="24"/>
          <w:szCs w:val="24"/>
        </w:rPr>
        <w:t>16</w:t>
      </w:r>
      <w:r w:rsidRPr="003E2BE7">
        <w:rPr>
          <w:rFonts w:asciiTheme="majorBidi" w:hAnsiTheme="majorBidi" w:cstheme="majorBidi"/>
          <w:sz w:val="24"/>
          <w:szCs w:val="24"/>
        </w:rPr>
        <w:t>(1), 46-53.</w:t>
      </w:r>
    </w:p>
    <w:p w14:paraId="0D08E22A" w14:textId="77777777" w:rsidR="00416724" w:rsidRPr="00237171" w:rsidRDefault="00416724" w:rsidP="00237171">
      <w:pPr>
        <w:spacing w:after="200" w:line="360" w:lineRule="auto"/>
        <w:jc w:val="both"/>
        <w:rPr>
          <w:rFonts w:asciiTheme="majorBidi" w:hAnsiTheme="majorBidi" w:cstheme="majorBidi"/>
          <w:sz w:val="24"/>
          <w:szCs w:val="24"/>
        </w:rPr>
      </w:pPr>
    </w:p>
    <w:p w14:paraId="44D15973" w14:textId="77777777" w:rsidR="009F5238" w:rsidRPr="00237171" w:rsidRDefault="009F5238" w:rsidP="00237171">
      <w:pPr>
        <w:spacing w:after="200" w:line="360" w:lineRule="auto"/>
        <w:jc w:val="both"/>
        <w:rPr>
          <w:rFonts w:asciiTheme="majorBidi" w:hAnsiTheme="majorBidi" w:cstheme="majorBidi"/>
          <w:sz w:val="24"/>
          <w:szCs w:val="24"/>
        </w:rPr>
      </w:pPr>
    </w:p>
    <w:p w14:paraId="1D5F4193" w14:textId="77777777" w:rsidR="009F5238" w:rsidRPr="00237171" w:rsidRDefault="009F5238" w:rsidP="00237171">
      <w:pPr>
        <w:spacing w:after="200" w:line="360" w:lineRule="auto"/>
        <w:jc w:val="both"/>
        <w:rPr>
          <w:rFonts w:asciiTheme="majorBidi" w:hAnsiTheme="majorBidi" w:cstheme="majorBidi"/>
          <w:sz w:val="24"/>
          <w:szCs w:val="24"/>
        </w:rPr>
      </w:pPr>
    </w:p>
    <w:p w14:paraId="59720D88" w14:textId="77777777" w:rsidR="009F5238" w:rsidRPr="00237171" w:rsidRDefault="009F5238" w:rsidP="00237171">
      <w:pPr>
        <w:spacing w:after="200" w:line="360" w:lineRule="auto"/>
        <w:jc w:val="both"/>
        <w:rPr>
          <w:rFonts w:asciiTheme="majorBidi" w:hAnsiTheme="majorBidi" w:cstheme="majorBidi"/>
          <w:sz w:val="24"/>
          <w:szCs w:val="24"/>
        </w:rPr>
      </w:pPr>
    </w:p>
    <w:p w14:paraId="548F49CA" w14:textId="77777777" w:rsidR="009F5238" w:rsidRPr="00237171" w:rsidRDefault="009F5238" w:rsidP="00237171">
      <w:pPr>
        <w:spacing w:line="360" w:lineRule="auto"/>
        <w:jc w:val="both"/>
        <w:rPr>
          <w:rFonts w:asciiTheme="majorBidi" w:hAnsiTheme="majorBidi" w:cstheme="majorBidi"/>
          <w:sz w:val="24"/>
          <w:szCs w:val="24"/>
        </w:rPr>
      </w:pPr>
      <w:bookmarkStart w:id="1" w:name="_GoBack"/>
      <w:bookmarkEnd w:id="1"/>
    </w:p>
    <w:sectPr w:rsidR="009F5238" w:rsidRPr="0023717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151A0" w14:textId="77777777" w:rsidR="005D7902" w:rsidRDefault="005D7902" w:rsidP="00326768">
      <w:pPr>
        <w:spacing w:after="0" w:line="240" w:lineRule="auto"/>
      </w:pPr>
      <w:r>
        <w:separator/>
      </w:r>
    </w:p>
  </w:endnote>
  <w:endnote w:type="continuationSeparator" w:id="0">
    <w:p w14:paraId="1C663AF4" w14:textId="77777777" w:rsidR="005D7902" w:rsidRDefault="005D7902" w:rsidP="00326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25D8C" w14:textId="77777777" w:rsidR="00326768" w:rsidRDefault="00326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8FD6B" w14:textId="77777777" w:rsidR="00326768" w:rsidRDefault="003267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0E40" w14:textId="77777777" w:rsidR="00326768" w:rsidRDefault="00326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1C835" w14:textId="77777777" w:rsidR="005D7902" w:rsidRDefault="005D7902" w:rsidP="00326768">
      <w:pPr>
        <w:spacing w:after="0" w:line="240" w:lineRule="auto"/>
      </w:pPr>
      <w:r>
        <w:separator/>
      </w:r>
    </w:p>
  </w:footnote>
  <w:footnote w:type="continuationSeparator" w:id="0">
    <w:p w14:paraId="585774A4" w14:textId="77777777" w:rsidR="005D7902" w:rsidRDefault="005D7902" w:rsidP="00326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75E6B" w14:textId="2DA97B91" w:rsidR="00326768" w:rsidRDefault="005D7902">
    <w:pPr>
      <w:pStyle w:val="Header"/>
    </w:pPr>
    <w:r>
      <w:rPr>
        <w:noProof/>
      </w:rPr>
      <w:pict w14:anchorId="5DE177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0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5F076" w14:textId="1822FD14" w:rsidR="00326768" w:rsidRDefault="005D7902">
    <w:pPr>
      <w:pStyle w:val="Header"/>
    </w:pPr>
    <w:r>
      <w:rPr>
        <w:noProof/>
      </w:rPr>
      <w:pict w14:anchorId="44EEC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0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8D47" w14:textId="0A2DF12D" w:rsidR="00326768" w:rsidRDefault="005D7902">
    <w:pPr>
      <w:pStyle w:val="Header"/>
    </w:pPr>
    <w:r>
      <w:rPr>
        <w:noProof/>
      </w:rPr>
      <w:pict w14:anchorId="75319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200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8590B"/>
    <w:multiLevelType w:val="multilevel"/>
    <w:tmpl w:val="74F6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103CFF"/>
    <w:multiLevelType w:val="hybridMultilevel"/>
    <w:tmpl w:val="6924DFD8"/>
    <w:lvl w:ilvl="0" w:tplc="5D46CBF0">
      <w:start w:val="1"/>
      <w:numFmt w:val="decimal"/>
      <w:lvlText w:val="%1."/>
      <w:lvlJc w:val="left"/>
      <w:pPr>
        <w:ind w:left="790" w:hanging="43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9C571B6"/>
    <w:multiLevelType w:val="multilevel"/>
    <w:tmpl w:val="6276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FF55A88"/>
    <w:multiLevelType w:val="hybridMultilevel"/>
    <w:tmpl w:val="00F620C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2597E0D"/>
    <w:multiLevelType w:val="hybridMultilevel"/>
    <w:tmpl w:val="1A50B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53"/>
    <w:rsid w:val="00043AC7"/>
    <w:rsid w:val="00055FB8"/>
    <w:rsid w:val="000930DF"/>
    <w:rsid w:val="000C7833"/>
    <w:rsid w:val="0010447F"/>
    <w:rsid w:val="00112E14"/>
    <w:rsid w:val="0011711C"/>
    <w:rsid w:val="00135387"/>
    <w:rsid w:val="0016728B"/>
    <w:rsid w:val="001806A1"/>
    <w:rsid w:val="00197631"/>
    <w:rsid w:val="001B58E3"/>
    <w:rsid w:val="00237171"/>
    <w:rsid w:val="002407CE"/>
    <w:rsid w:val="002524A3"/>
    <w:rsid w:val="0025455A"/>
    <w:rsid w:val="002852A4"/>
    <w:rsid w:val="002D337D"/>
    <w:rsid w:val="00316F1D"/>
    <w:rsid w:val="00326768"/>
    <w:rsid w:val="003316AB"/>
    <w:rsid w:val="003340AC"/>
    <w:rsid w:val="00335E8E"/>
    <w:rsid w:val="0038632B"/>
    <w:rsid w:val="003E2BE7"/>
    <w:rsid w:val="00400EE3"/>
    <w:rsid w:val="00416724"/>
    <w:rsid w:val="00424DAF"/>
    <w:rsid w:val="0044582D"/>
    <w:rsid w:val="004B4232"/>
    <w:rsid w:val="004B565A"/>
    <w:rsid w:val="00512B0F"/>
    <w:rsid w:val="00520362"/>
    <w:rsid w:val="005227E9"/>
    <w:rsid w:val="00570461"/>
    <w:rsid w:val="00570977"/>
    <w:rsid w:val="00583420"/>
    <w:rsid w:val="005A7963"/>
    <w:rsid w:val="005C6B17"/>
    <w:rsid w:val="005D5DE9"/>
    <w:rsid w:val="005D7902"/>
    <w:rsid w:val="00680DF4"/>
    <w:rsid w:val="00680E52"/>
    <w:rsid w:val="006812B6"/>
    <w:rsid w:val="00685D06"/>
    <w:rsid w:val="006A00DD"/>
    <w:rsid w:val="006A6D53"/>
    <w:rsid w:val="006C753A"/>
    <w:rsid w:val="0071530E"/>
    <w:rsid w:val="007341A2"/>
    <w:rsid w:val="007479CE"/>
    <w:rsid w:val="0079500F"/>
    <w:rsid w:val="007F4BAE"/>
    <w:rsid w:val="00815A07"/>
    <w:rsid w:val="00832892"/>
    <w:rsid w:val="008423A2"/>
    <w:rsid w:val="0086473E"/>
    <w:rsid w:val="00892C6D"/>
    <w:rsid w:val="008A3892"/>
    <w:rsid w:val="008D72C8"/>
    <w:rsid w:val="009634C5"/>
    <w:rsid w:val="00991AA2"/>
    <w:rsid w:val="009F3768"/>
    <w:rsid w:val="009F5238"/>
    <w:rsid w:val="00A12EE2"/>
    <w:rsid w:val="00A26FA6"/>
    <w:rsid w:val="00A444C1"/>
    <w:rsid w:val="00AC53D9"/>
    <w:rsid w:val="00AD1DFD"/>
    <w:rsid w:val="00B20110"/>
    <w:rsid w:val="00BA1E1E"/>
    <w:rsid w:val="00BD0172"/>
    <w:rsid w:val="00BE26D7"/>
    <w:rsid w:val="00C2069C"/>
    <w:rsid w:val="00C50DBC"/>
    <w:rsid w:val="00C61FCA"/>
    <w:rsid w:val="00C8205A"/>
    <w:rsid w:val="00C82123"/>
    <w:rsid w:val="00CE1D97"/>
    <w:rsid w:val="00CF5AC2"/>
    <w:rsid w:val="00CF60F2"/>
    <w:rsid w:val="00D056FF"/>
    <w:rsid w:val="00D10E7E"/>
    <w:rsid w:val="00D17FBB"/>
    <w:rsid w:val="00D31D44"/>
    <w:rsid w:val="00D72D2B"/>
    <w:rsid w:val="00D75385"/>
    <w:rsid w:val="00E035CD"/>
    <w:rsid w:val="00E17447"/>
    <w:rsid w:val="00E518BE"/>
    <w:rsid w:val="00E71FE6"/>
    <w:rsid w:val="00E81BAC"/>
    <w:rsid w:val="00E92C2F"/>
    <w:rsid w:val="00F16E32"/>
    <w:rsid w:val="00F252AF"/>
    <w:rsid w:val="00F42387"/>
    <w:rsid w:val="00F42414"/>
    <w:rsid w:val="00F55681"/>
    <w:rsid w:val="00F65FA8"/>
    <w:rsid w:val="00F74DD3"/>
    <w:rsid w:val="00F75B2E"/>
    <w:rsid w:val="00F82825"/>
    <w:rsid w:val="00F90E40"/>
    <w:rsid w:val="00FA2AB1"/>
    <w:rsid w:val="00FB1384"/>
    <w:rsid w:val="00FC22A2"/>
    <w:rsid w:val="00FD08E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CC36DD"/>
  <w15:chartTrackingRefBased/>
  <w15:docId w15:val="{1966E9AE-8213-43E6-B922-407B8945E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6D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A6D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6D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6D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6D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6D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6D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6D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6D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D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A6D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6D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6D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6D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6D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6D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6D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6D53"/>
    <w:rPr>
      <w:rFonts w:eastAsiaTheme="majorEastAsia" w:cstheme="majorBidi"/>
      <w:color w:val="272727" w:themeColor="text1" w:themeTint="D8"/>
    </w:rPr>
  </w:style>
  <w:style w:type="paragraph" w:styleId="Title">
    <w:name w:val="Title"/>
    <w:basedOn w:val="Normal"/>
    <w:next w:val="Normal"/>
    <w:link w:val="TitleChar"/>
    <w:uiPriority w:val="10"/>
    <w:qFormat/>
    <w:rsid w:val="006A6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6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6D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6D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6D53"/>
    <w:pPr>
      <w:spacing w:before="160"/>
      <w:jc w:val="center"/>
    </w:pPr>
    <w:rPr>
      <w:i/>
      <w:iCs/>
      <w:color w:val="404040" w:themeColor="text1" w:themeTint="BF"/>
    </w:rPr>
  </w:style>
  <w:style w:type="character" w:customStyle="1" w:styleId="QuoteChar">
    <w:name w:val="Quote Char"/>
    <w:basedOn w:val="DefaultParagraphFont"/>
    <w:link w:val="Quote"/>
    <w:uiPriority w:val="29"/>
    <w:rsid w:val="006A6D53"/>
    <w:rPr>
      <w:i/>
      <w:iCs/>
      <w:color w:val="404040" w:themeColor="text1" w:themeTint="BF"/>
    </w:rPr>
  </w:style>
  <w:style w:type="paragraph" w:styleId="ListParagraph">
    <w:name w:val="List Paragraph"/>
    <w:basedOn w:val="Normal"/>
    <w:uiPriority w:val="1"/>
    <w:qFormat/>
    <w:rsid w:val="006A6D53"/>
    <w:pPr>
      <w:ind w:left="720"/>
      <w:contextualSpacing/>
    </w:pPr>
  </w:style>
  <w:style w:type="character" w:styleId="IntenseEmphasis">
    <w:name w:val="Intense Emphasis"/>
    <w:basedOn w:val="DefaultParagraphFont"/>
    <w:uiPriority w:val="21"/>
    <w:qFormat/>
    <w:rsid w:val="006A6D53"/>
    <w:rPr>
      <w:i/>
      <w:iCs/>
      <w:color w:val="2F5496" w:themeColor="accent1" w:themeShade="BF"/>
    </w:rPr>
  </w:style>
  <w:style w:type="paragraph" w:styleId="IntenseQuote">
    <w:name w:val="Intense Quote"/>
    <w:basedOn w:val="Normal"/>
    <w:next w:val="Normal"/>
    <w:link w:val="IntenseQuoteChar"/>
    <w:uiPriority w:val="30"/>
    <w:qFormat/>
    <w:rsid w:val="006A6D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6D53"/>
    <w:rPr>
      <w:i/>
      <w:iCs/>
      <w:color w:val="2F5496" w:themeColor="accent1" w:themeShade="BF"/>
    </w:rPr>
  </w:style>
  <w:style w:type="character" w:styleId="IntenseReference">
    <w:name w:val="Intense Reference"/>
    <w:basedOn w:val="DefaultParagraphFont"/>
    <w:uiPriority w:val="32"/>
    <w:qFormat/>
    <w:rsid w:val="006A6D53"/>
    <w:rPr>
      <w:b/>
      <w:bCs/>
      <w:smallCaps/>
      <w:color w:val="2F5496" w:themeColor="accent1" w:themeShade="BF"/>
      <w:spacing w:val="5"/>
    </w:rPr>
  </w:style>
  <w:style w:type="table" w:styleId="TableGrid">
    <w:name w:val="Table Grid"/>
    <w:basedOn w:val="TableNormal"/>
    <w:uiPriority w:val="39"/>
    <w:rsid w:val="0083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5D06"/>
    <w:rPr>
      <w:color w:val="666666"/>
    </w:rPr>
  </w:style>
  <w:style w:type="character" w:styleId="Hyperlink">
    <w:name w:val="Hyperlink"/>
    <w:basedOn w:val="DefaultParagraphFont"/>
    <w:uiPriority w:val="99"/>
    <w:unhideWhenUsed/>
    <w:rsid w:val="00BD0172"/>
    <w:rPr>
      <w:color w:val="0563C1" w:themeColor="hyperlink"/>
      <w:u w:val="single"/>
    </w:rPr>
  </w:style>
  <w:style w:type="character" w:styleId="UnresolvedMention">
    <w:name w:val="Unresolved Mention"/>
    <w:basedOn w:val="DefaultParagraphFont"/>
    <w:uiPriority w:val="99"/>
    <w:semiHidden/>
    <w:unhideWhenUsed/>
    <w:rsid w:val="00BD0172"/>
    <w:rPr>
      <w:color w:val="605E5C"/>
      <w:shd w:val="clear" w:color="auto" w:fill="E1DFDD"/>
    </w:rPr>
  </w:style>
  <w:style w:type="character" w:styleId="CommentReference">
    <w:name w:val="annotation reference"/>
    <w:basedOn w:val="DefaultParagraphFont"/>
    <w:uiPriority w:val="99"/>
    <w:semiHidden/>
    <w:unhideWhenUsed/>
    <w:rsid w:val="00CF5AC2"/>
    <w:rPr>
      <w:sz w:val="16"/>
      <w:szCs w:val="16"/>
    </w:rPr>
  </w:style>
  <w:style w:type="paragraph" w:styleId="CommentText">
    <w:name w:val="annotation text"/>
    <w:basedOn w:val="Normal"/>
    <w:link w:val="CommentTextChar"/>
    <w:uiPriority w:val="99"/>
    <w:unhideWhenUsed/>
    <w:rsid w:val="00CF5AC2"/>
    <w:pPr>
      <w:spacing w:line="240" w:lineRule="auto"/>
    </w:pPr>
    <w:rPr>
      <w:sz w:val="20"/>
      <w:szCs w:val="20"/>
    </w:rPr>
  </w:style>
  <w:style w:type="character" w:customStyle="1" w:styleId="CommentTextChar">
    <w:name w:val="Comment Text Char"/>
    <w:basedOn w:val="DefaultParagraphFont"/>
    <w:link w:val="CommentText"/>
    <w:uiPriority w:val="99"/>
    <w:rsid w:val="00CF5AC2"/>
    <w:rPr>
      <w:sz w:val="20"/>
      <w:szCs w:val="20"/>
    </w:rPr>
  </w:style>
  <w:style w:type="paragraph" w:styleId="CommentSubject">
    <w:name w:val="annotation subject"/>
    <w:basedOn w:val="CommentText"/>
    <w:next w:val="CommentText"/>
    <w:link w:val="CommentSubjectChar"/>
    <w:uiPriority w:val="99"/>
    <w:semiHidden/>
    <w:unhideWhenUsed/>
    <w:rsid w:val="00CF5AC2"/>
    <w:rPr>
      <w:b/>
      <w:bCs/>
    </w:rPr>
  </w:style>
  <w:style w:type="character" w:customStyle="1" w:styleId="CommentSubjectChar">
    <w:name w:val="Comment Subject Char"/>
    <w:basedOn w:val="CommentTextChar"/>
    <w:link w:val="CommentSubject"/>
    <w:uiPriority w:val="99"/>
    <w:semiHidden/>
    <w:rsid w:val="00CF5AC2"/>
    <w:rPr>
      <w:b/>
      <w:bCs/>
      <w:sz w:val="20"/>
      <w:szCs w:val="20"/>
    </w:rPr>
  </w:style>
  <w:style w:type="paragraph" w:styleId="Header">
    <w:name w:val="header"/>
    <w:basedOn w:val="Normal"/>
    <w:link w:val="HeaderChar"/>
    <w:uiPriority w:val="99"/>
    <w:unhideWhenUsed/>
    <w:rsid w:val="00326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768"/>
  </w:style>
  <w:style w:type="paragraph" w:styleId="Footer">
    <w:name w:val="footer"/>
    <w:basedOn w:val="Normal"/>
    <w:link w:val="FooterChar"/>
    <w:uiPriority w:val="99"/>
    <w:unhideWhenUsed/>
    <w:rsid w:val="00326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OneDrive\Desktop\temporarySkanitExport%20Dec%20Wed%2024%202025%2016-27-19-630559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Sheet1!$B$1</c:f>
              <c:strCache>
                <c:ptCount val="1"/>
                <c:pt idx="0">
                  <c:v>Mortality %</c:v>
                </c:pt>
              </c:strCache>
            </c:strRef>
          </c:tx>
          <c:spPr>
            <a:ln w="22225" cap="rnd" cmpd="sng" algn="ctr">
              <a:solidFill>
                <a:schemeClr val="dk1">
                  <a:tint val="88500"/>
                </a:schemeClr>
              </a:solidFill>
              <a:round/>
            </a:ln>
            <a:effectLst/>
          </c:spPr>
          <c:marker>
            <c:symbol val="none"/>
          </c:marker>
          <c:cat>
            <c:strRef>
              <c:f>Sheet1!$C$11:$C$14</c:f>
              <c:strCache>
                <c:ptCount val="4"/>
                <c:pt idx="0">
                  <c:v>1.0 × 10⁸</c:v>
                </c:pt>
                <c:pt idx="1">
                  <c:v>1.0 × 10⁷</c:v>
                </c:pt>
                <c:pt idx="2">
                  <c:v>1.0 × 10⁶</c:v>
                </c:pt>
                <c:pt idx="3">
                  <c:v>1.0 × 10⁵</c:v>
                </c:pt>
              </c:strCache>
            </c:strRef>
          </c:cat>
          <c:val>
            <c:numRef>
              <c:f>Sheet1!$B$2:$B$5</c:f>
              <c:numCache>
                <c:formatCode>0%</c:formatCode>
                <c:ptCount val="4"/>
                <c:pt idx="0">
                  <c:v>0.6</c:v>
                </c:pt>
                <c:pt idx="1">
                  <c:v>0.3</c:v>
                </c:pt>
                <c:pt idx="2">
                  <c:v>0.1</c:v>
                </c:pt>
                <c:pt idx="3">
                  <c:v>0</c:v>
                </c:pt>
              </c:numCache>
            </c:numRef>
          </c:val>
          <c:smooth val="0"/>
          <c:extLst>
            <c:ext xmlns:c16="http://schemas.microsoft.com/office/drawing/2014/chart" uri="{C3380CC4-5D6E-409C-BE32-E72D297353CC}">
              <c16:uniqueId val="{00000000-E97A-41B5-AB83-30887409BAE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5219328"/>
        <c:axId val="115217408"/>
      </c:lineChart>
      <c:catAx>
        <c:axId val="115219328"/>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 Bacterial Concentration (cfu/ml)</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US"/>
                  <a:t> </a:t>
                </a:r>
                <a:endParaRPr lang="en-IN"/>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217408"/>
        <c:crosses val="autoZero"/>
        <c:auto val="1"/>
        <c:lblAlgn val="ctr"/>
        <c:lblOffset val="100"/>
        <c:noMultiLvlLbl val="0"/>
      </c:catAx>
      <c:valAx>
        <c:axId val="1152174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900" b="1" i="0" u="none" strike="noStrike" cap="none" baseline="0">
                    <a:effectLst/>
                  </a:rPr>
                  <a:t>Mortality</a:t>
                </a:r>
                <a:r>
                  <a:rPr lang="en-US" sz="900" b="1" i="0" u="none" strike="noStrike" cap="all" baseline="0">
                    <a:effectLst/>
                  </a:rPr>
                  <a:t> % </a:t>
                </a:r>
                <a:endParaRPr lang="en-IN"/>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21932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b="1" i="0" baseline="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A5E4F4-64C2-4EC9-852F-F053833E04F2}">
  <we:reference id="f5112914-51aa-49ee-8046-d9cf4a21d5a3" version="2.141.0.0" store="\\DESKTOP-JFLM44F\PaperPalAddin" storeType="Filesystem"/>
  <we:alternateReferences/>
  <we:properties>
    <we:property name="paperpal-document-id" value="&quot;a783257d-9b58-4567-8cdb-6ff794e5a16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86D00-CD59-4B5D-A130-0B9C76326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12</Pages>
  <Words>3773</Words>
  <Characters>21512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SHIVAM PANDEY</dc:creator>
  <cp:keywords/>
  <dc:description/>
  <cp:lastModifiedBy>Editor-1183</cp:lastModifiedBy>
  <cp:revision>42</cp:revision>
  <dcterms:created xsi:type="dcterms:W3CDTF">2025-12-29T17:03:00Z</dcterms:created>
  <dcterms:modified xsi:type="dcterms:W3CDTF">2026-04-15T10:15:00Z</dcterms:modified>
</cp:coreProperties>
</file>