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F15A38" w14:textId="398A0359" w:rsidR="000E6FA0" w:rsidRPr="000E6FA0" w:rsidRDefault="000E6FA0" w:rsidP="000E6FA0">
      <w:pPr>
        <w:spacing w:line="240" w:lineRule="auto"/>
        <w:jc w:val="right"/>
        <w:rPr>
          <w:rFonts w:ascii="Times New Roman" w:hAnsi="Times New Roman" w:cs="Times New Roman"/>
          <w:b/>
          <w:i/>
          <w:iCs/>
          <w:color w:val="0D0D0D" w:themeColor="text1" w:themeTint="F2"/>
          <w:sz w:val="32"/>
          <w:szCs w:val="32"/>
          <w:highlight w:val="yellow"/>
          <w:u w:val="single"/>
        </w:rPr>
      </w:pPr>
      <w:r w:rsidRPr="000E6FA0">
        <w:rPr>
          <w:rFonts w:ascii="Times New Roman" w:hAnsi="Times New Roman" w:cs="Times New Roman"/>
          <w:b/>
          <w:i/>
          <w:iCs/>
          <w:color w:val="0D0D0D" w:themeColor="text1" w:themeTint="F2"/>
          <w:sz w:val="32"/>
          <w:szCs w:val="32"/>
          <w:highlight w:val="yellow"/>
          <w:u w:val="single"/>
        </w:rPr>
        <w:t>Review Article</w:t>
      </w:r>
    </w:p>
    <w:p w14:paraId="221EE0D3" w14:textId="77777777" w:rsidR="000E6FA0" w:rsidRPr="000E6FA0" w:rsidRDefault="000E6FA0" w:rsidP="000E6FA0">
      <w:pPr>
        <w:tabs>
          <w:tab w:val="left" w:pos="1615"/>
          <w:tab w:val="center" w:pos="4680"/>
        </w:tabs>
        <w:spacing w:line="240" w:lineRule="auto"/>
        <w:jc w:val="right"/>
        <w:rPr>
          <w:rFonts w:ascii="Times New Roman" w:hAnsi="Times New Roman" w:cs="Times New Roman"/>
          <w:b/>
          <w:color w:val="0D0D0D" w:themeColor="text1" w:themeTint="F2"/>
          <w:sz w:val="32"/>
          <w:szCs w:val="32"/>
          <w:highlight w:val="yellow"/>
        </w:rPr>
      </w:pPr>
      <w:r w:rsidRPr="000E6FA0">
        <w:rPr>
          <w:rFonts w:ascii="Times New Roman" w:hAnsi="Times New Roman" w:cs="Times New Roman"/>
          <w:b/>
          <w:color w:val="0D0D0D" w:themeColor="text1" w:themeTint="F2"/>
          <w:sz w:val="32"/>
          <w:szCs w:val="32"/>
          <w:highlight w:val="yellow"/>
        </w:rPr>
        <w:t>Smart Fertilizers for Sustainable Agriculture: A Review</w:t>
      </w:r>
    </w:p>
    <w:p w14:paraId="208E869A" w14:textId="77777777" w:rsidR="00076D98" w:rsidRDefault="00076D98">
      <w:pPr>
        <w:spacing w:after="0" w:line="240" w:lineRule="auto"/>
        <w:jc w:val="center"/>
        <w:rPr>
          <w:rFonts w:ascii="Times New Roman" w:eastAsia="Times New Roman" w:hAnsi="Times New Roman" w:cs="Times New Roman"/>
          <w:b/>
          <w:bCs/>
          <w:color w:val="0D0D0D"/>
          <w:sz w:val="24"/>
          <w:szCs w:val="24"/>
        </w:rPr>
      </w:pPr>
      <w:bookmarkStart w:id="0" w:name="_GoBack"/>
      <w:bookmarkEnd w:id="0"/>
    </w:p>
    <w:p w14:paraId="7D28D9B0" w14:textId="77777777" w:rsidR="00076D98" w:rsidRPr="00F44DF0" w:rsidRDefault="00030B54" w:rsidP="00F44DF0">
      <w:pPr>
        <w:spacing w:after="0" w:line="240" w:lineRule="auto"/>
        <w:jc w:val="center"/>
        <w:rPr>
          <w:rFonts w:ascii="Times New Roman" w:eastAsia="Times New Roman" w:hAnsi="Times New Roman" w:cs="Times New Roman"/>
          <w:b/>
          <w:bCs/>
          <w:color w:val="0D0D0D"/>
          <w:sz w:val="20"/>
          <w:szCs w:val="20"/>
        </w:rPr>
      </w:pPr>
      <w:r w:rsidRPr="00F44DF0">
        <w:rPr>
          <w:rFonts w:ascii="Times New Roman" w:eastAsia="Times New Roman" w:hAnsi="Times New Roman" w:cs="Times New Roman"/>
          <w:b/>
          <w:bCs/>
          <w:color w:val="0D0D0D"/>
          <w:sz w:val="20"/>
          <w:szCs w:val="20"/>
        </w:rPr>
        <w:t>Abstract</w:t>
      </w:r>
    </w:p>
    <w:p w14:paraId="61863328" w14:textId="43C87D51" w:rsidR="00F2450A" w:rsidRPr="00F2450A" w:rsidRDefault="00F2450A" w:rsidP="00F2450A">
      <w:pPr>
        <w:pStyle w:val="isselectedend"/>
        <w:jc w:val="both"/>
        <w:rPr>
          <w:sz w:val="20"/>
          <w:szCs w:val="20"/>
        </w:rPr>
      </w:pPr>
      <w:r w:rsidRPr="00F2450A">
        <w:rPr>
          <w:sz w:val="20"/>
          <w:szCs w:val="20"/>
        </w:rPr>
        <w:t xml:space="preserve">Agricultural systems currently occupy nearly 40–50% of the Earth’s terrestrial surface and are central to global food security, yet they face increasing pressure due to rapid population growth and environmental degradation. </w:t>
      </w:r>
      <w:r w:rsidRPr="00F2450A">
        <w:rPr>
          <w:sz w:val="20"/>
          <w:szCs w:val="20"/>
          <w:highlight w:val="yellow"/>
        </w:rPr>
        <w:t xml:space="preserve">However, increasing population pressure and the need for higher food production have intensified the demand for efficient nutrient management strategies. Conventional fertilizers, although widely used, suffer from low nutrient use efficiency </w:t>
      </w:r>
      <w:r w:rsidRPr="00F2450A">
        <w:rPr>
          <w:sz w:val="20"/>
          <w:szCs w:val="20"/>
        </w:rPr>
        <w:t xml:space="preserve">due to substantial losses through leaching, volatilization, runoff, and fixation, leading to environmental degradation and economic inefficiencies. These losses contribute to groundwater contamination, eutrophication, greenhouse gas emissions, and deterioration of soil health. In response to these challenges, smart fertilizers have emerged as an innovative approach to enhance nutrient use efficiency and promote sustainable agriculture. </w:t>
      </w:r>
      <w:r w:rsidRPr="00F2450A">
        <w:rPr>
          <w:sz w:val="20"/>
          <w:szCs w:val="20"/>
          <w:highlight w:val="yellow"/>
        </w:rPr>
        <w:t xml:space="preserve">These include </w:t>
      </w:r>
      <w:proofErr w:type="spellStart"/>
      <w:r w:rsidRPr="00F2450A">
        <w:rPr>
          <w:sz w:val="20"/>
          <w:szCs w:val="20"/>
          <w:highlight w:val="yellow"/>
        </w:rPr>
        <w:t>nano</w:t>
      </w:r>
      <w:proofErr w:type="spellEnd"/>
      <w:r w:rsidRPr="00F2450A">
        <w:rPr>
          <w:sz w:val="20"/>
          <w:szCs w:val="20"/>
          <w:highlight w:val="yellow"/>
        </w:rPr>
        <w:t xml:space="preserve"> fertilizers and slow or controlled release fertilizers, which are designed to synchronize nutrient availability with plant demand. Nano fertilizers, owing to their small particle size, high surface area, and enhanced reactivity, facilitate </w:t>
      </w:r>
      <w:r w:rsidRPr="00F2450A">
        <w:rPr>
          <w:sz w:val="20"/>
          <w:szCs w:val="20"/>
        </w:rPr>
        <w:t xml:space="preserve">improved nutrient absorption and targeted delivery while minimizing environmental losses. Similarly, slow and controlled release fertilizers regulate nutrient release through coating materials and matrix systems, ensuring a steady nutrient supply over time and reducing the frequency of fertilizer application. The adoption of these advanced fertilizer technologies offers multiple agronomic, environmental, and economic benefits, including improved crop productivity, reduced nutrient losses, enhanced soil fertility, and lower environmental risks. </w:t>
      </w:r>
      <w:r w:rsidRPr="00F2450A">
        <w:rPr>
          <w:sz w:val="20"/>
          <w:szCs w:val="20"/>
          <w:highlight w:val="yellow"/>
        </w:rPr>
        <w:t xml:space="preserve">Furthermore, they play a crucial role in achieving sustainable intensification of agriculture by optimizing resource use and minimizing ecological footprints. Overall, smart fertilizers represent a promising solution for addressing the limitations </w:t>
      </w:r>
      <w:r w:rsidRPr="00F2450A">
        <w:rPr>
          <w:sz w:val="20"/>
          <w:szCs w:val="20"/>
        </w:rPr>
        <w:t>of conventional fertilization practices and advancing sustainable agricultural systems. Continued research and technological development are essential to improve their efficiency, scalability, and field-level applicability under diverse agro-ecological conditions.</w:t>
      </w:r>
    </w:p>
    <w:p w14:paraId="6FC14867" w14:textId="12A3A735" w:rsidR="00F2450A" w:rsidRPr="00F2450A" w:rsidRDefault="00F2450A" w:rsidP="00F2450A">
      <w:pPr>
        <w:pStyle w:val="NoSpacing"/>
        <w:jc w:val="both"/>
        <w:rPr>
          <w:rFonts w:ascii="Times New Roman" w:hAnsi="Times New Roman" w:cs="Times New Roman"/>
          <w:i/>
          <w:iCs/>
          <w:sz w:val="20"/>
          <w:szCs w:val="20"/>
          <w:highlight w:val="yellow"/>
        </w:rPr>
      </w:pPr>
      <w:r w:rsidRPr="00F2450A">
        <w:rPr>
          <w:rStyle w:val="Strong"/>
          <w:rFonts w:ascii="Times New Roman" w:hAnsi="Times New Roman" w:cs="Times New Roman"/>
          <w:i/>
          <w:iCs/>
          <w:sz w:val="20"/>
          <w:szCs w:val="20"/>
          <w:highlight w:val="yellow"/>
        </w:rPr>
        <w:t>Keywords:</w:t>
      </w:r>
      <w:r w:rsidRPr="00F2450A">
        <w:rPr>
          <w:rFonts w:ascii="Times New Roman" w:hAnsi="Times New Roman" w:cs="Times New Roman"/>
          <w:i/>
          <w:iCs/>
          <w:sz w:val="20"/>
          <w:szCs w:val="20"/>
          <w:highlight w:val="yellow"/>
        </w:rPr>
        <w:t xml:space="preserve"> Agriculture, Controlled release fertilizers, Nano fertilizers, Nutrient use efficiency, Sustainable agriculture</w:t>
      </w:r>
    </w:p>
    <w:p w14:paraId="2B525653" w14:textId="77777777" w:rsidR="00F2450A" w:rsidRPr="00F2450A" w:rsidRDefault="00F2450A" w:rsidP="00F2450A">
      <w:pPr>
        <w:pStyle w:val="NoSpacing"/>
        <w:jc w:val="both"/>
        <w:rPr>
          <w:rFonts w:ascii="Times New Roman" w:hAnsi="Times New Roman" w:cs="Times New Roman"/>
          <w:i/>
          <w:iCs/>
          <w:sz w:val="20"/>
          <w:szCs w:val="20"/>
        </w:rPr>
      </w:pPr>
    </w:p>
    <w:p w14:paraId="27F830BA" w14:textId="0BE06691" w:rsidR="00076D98" w:rsidRPr="002E597A" w:rsidRDefault="00030B54" w:rsidP="002E597A">
      <w:pPr>
        <w:spacing w:line="240" w:lineRule="auto"/>
        <w:jc w:val="both"/>
        <w:rPr>
          <w:rFonts w:ascii="Times New Roman" w:eastAsia="Times New Roman" w:hAnsi="Times New Roman" w:cs="Times New Roman"/>
          <w:b/>
          <w:bCs/>
          <w:color w:val="0D0D0D"/>
          <w:sz w:val="20"/>
          <w:szCs w:val="20"/>
        </w:rPr>
      </w:pPr>
      <w:r w:rsidRPr="002E597A">
        <w:rPr>
          <w:rFonts w:ascii="Times New Roman" w:eastAsia="Times New Roman" w:hAnsi="Times New Roman" w:cs="Times New Roman"/>
          <w:b/>
          <w:bCs/>
          <w:color w:val="0D0D0D"/>
          <w:sz w:val="20"/>
          <w:szCs w:val="20"/>
        </w:rPr>
        <w:t>1. Introduction</w:t>
      </w:r>
    </w:p>
    <w:p w14:paraId="3C5C1525" w14:textId="77777777" w:rsidR="00F2450A" w:rsidRPr="002E597A" w:rsidRDefault="00F2450A" w:rsidP="002E597A">
      <w:pPr>
        <w:pStyle w:val="isselectedend"/>
        <w:jc w:val="both"/>
        <w:rPr>
          <w:sz w:val="20"/>
          <w:szCs w:val="20"/>
        </w:rPr>
      </w:pPr>
      <w:r w:rsidRPr="002E597A">
        <w:rPr>
          <w:sz w:val="20"/>
          <w:szCs w:val="20"/>
        </w:rPr>
        <w:t xml:space="preserve">The global population is projected to increase steadily, reaching approximately 9.5 billion by the year 2050, which will significantly intensify the demand for food, feed, and </w:t>
      </w:r>
      <w:proofErr w:type="spellStart"/>
      <w:r w:rsidRPr="002E597A">
        <w:rPr>
          <w:sz w:val="20"/>
          <w:szCs w:val="20"/>
        </w:rPr>
        <w:t>fiber</w:t>
      </w:r>
      <w:proofErr w:type="spellEnd"/>
      <w:r w:rsidRPr="002E597A">
        <w:rPr>
          <w:sz w:val="20"/>
          <w:szCs w:val="20"/>
        </w:rPr>
        <w:t xml:space="preserve"> production (Azeem et al., 2014). This rapid population growth, coupled with changing dietary preferences and urbanization, has placed unprecedented pressure on agricultural systems to enhance productivity. It is estimated that global food production must increase by nearly 70% to meet future demand, as projected by the Food and Agriculture Organization (FAO) (Dos Santos et al., 2015). However, achieving this target using conventional agricultural practices remains a major challenge due to declining resource use efficiency and increasing environmental concerns.</w:t>
      </w:r>
    </w:p>
    <w:p w14:paraId="33A3F353" w14:textId="77777777" w:rsidR="00F2450A" w:rsidRPr="002E597A" w:rsidRDefault="00F2450A" w:rsidP="002E597A">
      <w:pPr>
        <w:pStyle w:val="isselectedend"/>
        <w:jc w:val="both"/>
        <w:rPr>
          <w:sz w:val="20"/>
          <w:szCs w:val="20"/>
        </w:rPr>
      </w:pPr>
      <w:r w:rsidRPr="002E597A">
        <w:rPr>
          <w:sz w:val="20"/>
          <w:szCs w:val="20"/>
        </w:rPr>
        <w:t xml:space="preserve">One of the critical limitations of modern agriculture is the inefficient utilization of applied fertilizers. A substantial proportion of essential nutrients is lost from the soil-plant system through various physical, chemical, and biological processes. Nitrogen, for instance, experiences losses ranging from 40–70% due to ammonia volatilization, mineralization, emission of nitrogen oxides, leaching, denitrification, and soil erosion. Similarly, phosphorus losses can reach 80–90% due to fixation processes involving iron and </w:t>
      </w:r>
      <w:proofErr w:type="spellStart"/>
      <w:r w:rsidRPr="002E597A">
        <w:rPr>
          <w:sz w:val="20"/>
          <w:szCs w:val="20"/>
        </w:rPr>
        <w:t>aluminum</w:t>
      </w:r>
      <w:proofErr w:type="spellEnd"/>
      <w:r w:rsidRPr="002E597A">
        <w:rPr>
          <w:sz w:val="20"/>
          <w:szCs w:val="20"/>
        </w:rPr>
        <w:t xml:space="preserve"> oxides as well as surface runoff, while potassium losses through leaching and runoff are estimated to be between 50–70% (</w:t>
      </w:r>
      <w:proofErr w:type="spellStart"/>
      <w:r w:rsidRPr="002E597A">
        <w:rPr>
          <w:sz w:val="20"/>
          <w:szCs w:val="20"/>
        </w:rPr>
        <w:t>Rop</w:t>
      </w:r>
      <w:proofErr w:type="spellEnd"/>
      <w:r w:rsidRPr="002E597A">
        <w:rPr>
          <w:sz w:val="20"/>
          <w:szCs w:val="20"/>
        </w:rPr>
        <w:t xml:space="preserve"> et al., 2018). These significant nutrient losses not only reduce fertilizer use efficiency but also lead to considerable economic losses for farmers.</w:t>
      </w:r>
    </w:p>
    <w:p w14:paraId="33BA8A8C" w14:textId="77777777" w:rsidR="00F2450A" w:rsidRPr="002E597A" w:rsidRDefault="00F2450A" w:rsidP="002E597A">
      <w:pPr>
        <w:pStyle w:val="isselectedend"/>
        <w:jc w:val="both"/>
        <w:rPr>
          <w:sz w:val="20"/>
          <w:szCs w:val="20"/>
        </w:rPr>
      </w:pPr>
      <w:r w:rsidRPr="002E597A">
        <w:rPr>
          <w:sz w:val="20"/>
          <w:szCs w:val="20"/>
        </w:rPr>
        <w:t xml:space="preserve">Beyond economic implications, inefficient fertilizer use has serious environmental consequences. Nitrate leaching from nitrogen fertilizers contaminates groundwater resources, posing risks to human health by degrading drinking water quality. Additionally, nitrogen volatilization contributes to atmospheric pollution through the release of harmful gases, which can lead to respiratory problems and broader ecological impacts. Excessive phosphorus accumulation in aquatic ecosystems accelerates eutrophication, resulting in algal blooms, oxygen depletion, foul </w:t>
      </w:r>
      <w:proofErr w:type="spellStart"/>
      <w:r w:rsidRPr="002E597A">
        <w:rPr>
          <w:sz w:val="20"/>
          <w:szCs w:val="20"/>
        </w:rPr>
        <w:t>odors</w:t>
      </w:r>
      <w:proofErr w:type="spellEnd"/>
      <w:r w:rsidRPr="002E597A">
        <w:rPr>
          <w:sz w:val="20"/>
          <w:szCs w:val="20"/>
        </w:rPr>
        <w:t>, and fish mortality. Furthermore, prolonged and excessive fertilizer application can degrade soil health through acidification, accumulation of heavy metals, and persistence of organic pollutants (Khan et al., 2017).</w:t>
      </w:r>
    </w:p>
    <w:p w14:paraId="1661FD12" w14:textId="67B29EB2" w:rsidR="00F2450A" w:rsidRPr="002E597A" w:rsidRDefault="00F2450A" w:rsidP="002E597A">
      <w:pPr>
        <w:pStyle w:val="NormalWeb"/>
        <w:jc w:val="both"/>
        <w:rPr>
          <w:sz w:val="20"/>
          <w:szCs w:val="20"/>
        </w:rPr>
      </w:pPr>
      <w:r w:rsidRPr="002E597A">
        <w:rPr>
          <w:sz w:val="20"/>
          <w:szCs w:val="20"/>
        </w:rPr>
        <w:lastRenderedPageBreak/>
        <w:t>In response to these challenges, there is a growing emphasis on the development of advanced nutrient management strategies. Among these, smart fertilizers have emerged as a promising innovation designed to enhance nutrient use efficiency by synchronizing nutrient release with plant demand. These fertilizers aim to minimize nutrient losses, improve crop productivity, and reduce environmental impacts, thereby contributing to sustainable agricultural intensification.</w:t>
      </w:r>
    </w:p>
    <w:p w14:paraId="6A37BC12" w14:textId="77777777" w:rsidR="002E597A" w:rsidRPr="002E597A" w:rsidRDefault="002E597A" w:rsidP="002E597A">
      <w:pPr>
        <w:pStyle w:val="isselectedend"/>
        <w:jc w:val="both"/>
        <w:rPr>
          <w:sz w:val="20"/>
          <w:szCs w:val="20"/>
        </w:rPr>
      </w:pPr>
      <w:r w:rsidRPr="002E597A">
        <w:rPr>
          <w:rStyle w:val="Strong"/>
          <w:sz w:val="20"/>
          <w:szCs w:val="20"/>
        </w:rPr>
        <w:t>2. Smart Fertilizers</w:t>
      </w:r>
    </w:p>
    <w:p w14:paraId="7736DCCC" w14:textId="77777777" w:rsidR="002E597A" w:rsidRPr="002E597A" w:rsidRDefault="002E597A" w:rsidP="002E597A">
      <w:pPr>
        <w:pStyle w:val="isselectedend"/>
        <w:jc w:val="both"/>
        <w:rPr>
          <w:sz w:val="20"/>
          <w:szCs w:val="20"/>
        </w:rPr>
      </w:pPr>
      <w:r w:rsidRPr="002E597A">
        <w:rPr>
          <w:rStyle w:val="Strong"/>
          <w:sz w:val="20"/>
          <w:szCs w:val="20"/>
        </w:rPr>
        <w:t>2.1 Nano fertilizers</w:t>
      </w:r>
    </w:p>
    <w:p w14:paraId="0EC16B49" w14:textId="77777777" w:rsidR="002E597A" w:rsidRPr="002E597A" w:rsidRDefault="002E597A" w:rsidP="002E597A">
      <w:pPr>
        <w:pStyle w:val="isselectedend"/>
        <w:jc w:val="both"/>
        <w:rPr>
          <w:sz w:val="20"/>
          <w:szCs w:val="20"/>
        </w:rPr>
      </w:pPr>
      <w:r w:rsidRPr="002E597A">
        <w:rPr>
          <w:sz w:val="20"/>
          <w:szCs w:val="20"/>
        </w:rPr>
        <w:t>Nano fertilizers represent an advanced class of smart fertilizers engineered to enhance nutrient delivery efficiency through nanotechnology-based formulations. These fertilizers are developed either by modifying conventional fertilizers, incorporating bulk fertilizer materials into nanoscale carriers, or synthesizing nanoparticles capable of delivering nutrients in a controlled manner. Such formulations enable regulated and targeted nutrient release, thereby improving soil fertility, crop productivity, and overall agricultural output quality (Zulfiqar et al., 2019).</w:t>
      </w:r>
    </w:p>
    <w:p w14:paraId="2D3D75A9" w14:textId="77777777" w:rsidR="002E597A" w:rsidRPr="002E597A" w:rsidRDefault="002E597A" w:rsidP="002E597A">
      <w:pPr>
        <w:pStyle w:val="isselectedend"/>
        <w:jc w:val="both"/>
        <w:rPr>
          <w:sz w:val="20"/>
          <w:szCs w:val="20"/>
        </w:rPr>
      </w:pPr>
      <w:r w:rsidRPr="002E597A">
        <w:rPr>
          <w:sz w:val="20"/>
          <w:szCs w:val="20"/>
        </w:rPr>
        <w:t xml:space="preserve">The defining characteristic of </w:t>
      </w:r>
      <w:proofErr w:type="spellStart"/>
      <w:r w:rsidRPr="002E597A">
        <w:rPr>
          <w:sz w:val="20"/>
          <w:szCs w:val="20"/>
        </w:rPr>
        <w:t>nano</w:t>
      </w:r>
      <w:proofErr w:type="spellEnd"/>
      <w:r w:rsidRPr="002E597A">
        <w:rPr>
          <w:sz w:val="20"/>
          <w:szCs w:val="20"/>
        </w:rPr>
        <w:t xml:space="preserve"> fertilizers lies in their nanoscale size, which significantly enhances their surface area-to-volume ratio and reactivity. This facilitates improved interaction with plant systems and allows nutrients to be released in a controlled and synchronized manner with crop demand. As a result, </w:t>
      </w:r>
      <w:proofErr w:type="spellStart"/>
      <w:r w:rsidRPr="002E597A">
        <w:rPr>
          <w:sz w:val="20"/>
          <w:szCs w:val="20"/>
        </w:rPr>
        <w:t>nano</w:t>
      </w:r>
      <w:proofErr w:type="spellEnd"/>
      <w:r w:rsidRPr="002E597A">
        <w:rPr>
          <w:sz w:val="20"/>
          <w:szCs w:val="20"/>
        </w:rPr>
        <w:t xml:space="preserve"> fertilizers contribute to enhanced nutrient use efficiency by reducing nutrient losses through leaching, volatilization, and fixation processes, while simultaneously minimizing environmental risks (</w:t>
      </w:r>
      <w:proofErr w:type="spellStart"/>
      <w:r w:rsidRPr="002E597A">
        <w:rPr>
          <w:sz w:val="20"/>
          <w:szCs w:val="20"/>
        </w:rPr>
        <w:t>Linquist</w:t>
      </w:r>
      <w:proofErr w:type="spellEnd"/>
      <w:r w:rsidRPr="002E597A">
        <w:rPr>
          <w:sz w:val="20"/>
          <w:szCs w:val="20"/>
        </w:rPr>
        <w:t xml:space="preserve"> et al., 2013). Furthermore, their increased solubility and reactivity improve nutrient bioavailability, thereby promoting efficient uptake and utilization by plants (Solanki et al., 2015).</w:t>
      </w:r>
    </w:p>
    <w:p w14:paraId="29D79955" w14:textId="77777777" w:rsidR="002E597A" w:rsidRPr="002E597A" w:rsidRDefault="002E597A" w:rsidP="002E597A">
      <w:pPr>
        <w:pStyle w:val="isselectedend"/>
        <w:jc w:val="both"/>
        <w:rPr>
          <w:sz w:val="20"/>
          <w:szCs w:val="20"/>
        </w:rPr>
      </w:pPr>
      <w:r w:rsidRPr="002E597A">
        <w:rPr>
          <w:rStyle w:val="Strong"/>
          <w:sz w:val="20"/>
          <w:szCs w:val="20"/>
        </w:rPr>
        <w:t xml:space="preserve">Mode of action and chemistry of </w:t>
      </w:r>
      <w:proofErr w:type="spellStart"/>
      <w:r w:rsidRPr="002E597A">
        <w:rPr>
          <w:rStyle w:val="Strong"/>
          <w:sz w:val="20"/>
          <w:szCs w:val="20"/>
        </w:rPr>
        <w:t>nano</w:t>
      </w:r>
      <w:proofErr w:type="spellEnd"/>
      <w:r w:rsidRPr="002E597A">
        <w:rPr>
          <w:rStyle w:val="Strong"/>
          <w:sz w:val="20"/>
          <w:szCs w:val="20"/>
        </w:rPr>
        <w:t xml:space="preserve"> fertilizers</w:t>
      </w:r>
    </w:p>
    <w:p w14:paraId="4F22098D" w14:textId="77777777" w:rsidR="002E597A" w:rsidRPr="002E597A" w:rsidRDefault="002E597A" w:rsidP="002E597A">
      <w:pPr>
        <w:pStyle w:val="isselectedend"/>
        <w:jc w:val="both"/>
        <w:rPr>
          <w:sz w:val="20"/>
          <w:szCs w:val="20"/>
        </w:rPr>
      </w:pPr>
      <w:r w:rsidRPr="002E597A">
        <w:rPr>
          <w:sz w:val="20"/>
          <w:szCs w:val="20"/>
        </w:rPr>
        <w:t>The excessive application of conventional mineral fertilizers has been widely associated with soil degradation and groundwater contamination due to nutrient leaching and gaseous emissions, which ultimately threaten agricultural sustainability (</w:t>
      </w:r>
      <w:proofErr w:type="spellStart"/>
      <w:r w:rsidRPr="002E597A">
        <w:rPr>
          <w:sz w:val="20"/>
          <w:szCs w:val="20"/>
        </w:rPr>
        <w:t>Chandini</w:t>
      </w:r>
      <w:proofErr w:type="spellEnd"/>
      <w:r w:rsidRPr="002E597A">
        <w:rPr>
          <w:sz w:val="20"/>
          <w:szCs w:val="20"/>
        </w:rPr>
        <w:t xml:space="preserve"> et al., 2019). In contrast, </w:t>
      </w:r>
      <w:proofErr w:type="spellStart"/>
      <w:r w:rsidRPr="002E597A">
        <w:rPr>
          <w:sz w:val="20"/>
          <w:szCs w:val="20"/>
        </w:rPr>
        <w:t>nano</w:t>
      </w:r>
      <w:proofErr w:type="spellEnd"/>
      <w:r w:rsidRPr="002E597A">
        <w:rPr>
          <w:sz w:val="20"/>
          <w:szCs w:val="20"/>
        </w:rPr>
        <w:t xml:space="preserve"> fertilizers offer an environmentally sustainable alternative by improving nutrient delivery efficiency while reducing pollution and enhancing soil microbial activity (Ahmed et al., 2012).</w:t>
      </w:r>
    </w:p>
    <w:p w14:paraId="67D53E7C" w14:textId="77777777" w:rsidR="002E597A" w:rsidRPr="002E597A" w:rsidRDefault="002E597A" w:rsidP="002E597A">
      <w:pPr>
        <w:pStyle w:val="isselectedend"/>
        <w:jc w:val="both"/>
        <w:rPr>
          <w:sz w:val="20"/>
          <w:szCs w:val="20"/>
        </w:rPr>
      </w:pPr>
      <w:r w:rsidRPr="002E597A">
        <w:rPr>
          <w:sz w:val="20"/>
          <w:szCs w:val="20"/>
        </w:rPr>
        <w:t xml:space="preserve">Nanotechnology provides a versatile platform for improving fertilizer performance by enabling site-specific nutrient delivery, reducing toxicity, and enhancing nutrient use efficiency. Nano fertilizers function through mechanisms such as controlled nutrient release, targeted delivery, and increased interaction with plant surfaces. These properties are attributed to their high solubility, mobility, and surface reactivity, which collectively contribute to improved agronomic performance (Baruah and Dutta, 2009; Cui et al., 2010; </w:t>
      </w:r>
      <w:proofErr w:type="spellStart"/>
      <w:r w:rsidRPr="002E597A">
        <w:rPr>
          <w:sz w:val="20"/>
          <w:szCs w:val="20"/>
        </w:rPr>
        <w:t>Sasson</w:t>
      </w:r>
      <w:proofErr w:type="spellEnd"/>
      <w:r w:rsidRPr="002E597A">
        <w:rPr>
          <w:sz w:val="20"/>
          <w:szCs w:val="20"/>
        </w:rPr>
        <w:t xml:space="preserve"> et al., 2007).</w:t>
      </w:r>
    </w:p>
    <w:p w14:paraId="7ACB1A32" w14:textId="19D3172F" w:rsidR="002E597A" w:rsidRPr="002E597A" w:rsidRDefault="002E597A" w:rsidP="002E597A">
      <w:pPr>
        <w:pStyle w:val="isselectedend"/>
        <w:jc w:val="both"/>
        <w:rPr>
          <w:sz w:val="20"/>
          <w:szCs w:val="20"/>
        </w:rPr>
      </w:pPr>
      <w:r w:rsidRPr="002E597A">
        <w:rPr>
          <w:sz w:val="20"/>
          <w:szCs w:val="20"/>
        </w:rPr>
        <w:t xml:space="preserve">At the physiological level, </w:t>
      </w:r>
      <w:proofErr w:type="spellStart"/>
      <w:r w:rsidRPr="002E597A">
        <w:rPr>
          <w:sz w:val="20"/>
          <w:szCs w:val="20"/>
        </w:rPr>
        <w:t>nano</w:t>
      </w:r>
      <w:proofErr w:type="spellEnd"/>
      <w:r w:rsidRPr="002E597A">
        <w:rPr>
          <w:sz w:val="20"/>
          <w:szCs w:val="20"/>
        </w:rPr>
        <w:t xml:space="preserve"> fertilizers interact with plant systems through multiple pathways. Their small size allows them to penetrate plant tissues efficiently, either through root uptake or foliar absorption. Additionally, their physicochemical properties facilitate adsorption onto plant surfaces and subsequent transport within plant systems, ensuring effective nutrient utilization. Eco-friendly </w:t>
      </w:r>
      <w:proofErr w:type="spellStart"/>
      <w:r w:rsidRPr="002E597A">
        <w:rPr>
          <w:sz w:val="20"/>
          <w:szCs w:val="20"/>
        </w:rPr>
        <w:t>nano</w:t>
      </w:r>
      <w:proofErr w:type="spellEnd"/>
      <w:r w:rsidRPr="002E597A">
        <w:rPr>
          <w:sz w:val="20"/>
          <w:szCs w:val="20"/>
        </w:rPr>
        <w:t xml:space="preserve"> fertilizers serve as a sustainable alternative to conventional mineral fertilizers by enhancing soil fertility, improving crop yield, reducing environmental pollution, and stimulating microbial activity, as illustrated in </w:t>
      </w:r>
      <w:r w:rsidRPr="002E597A">
        <w:rPr>
          <w:rStyle w:val="Strong"/>
          <w:sz w:val="20"/>
          <w:szCs w:val="20"/>
        </w:rPr>
        <w:t>Fig. 1</w:t>
      </w:r>
      <w:r w:rsidRPr="002E597A">
        <w:rPr>
          <w:sz w:val="20"/>
          <w:szCs w:val="20"/>
        </w:rPr>
        <w:t xml:space="preserve"> (Ahmed et al., 2012).</w:t>
      </w:r>
    </w:p>
    <w:p w14:paraId="0C7A7800" w14:textId="77777777" w:rsidR="002E597A" w:rsidRPr="00F44DF0" w:rsidRDefault="002E597A" w:rsidP="002E597A">
      <w:pPr>
        <w:spacing w:line="240" w:lineRule="auto"/>
        <w:jc w:val="center"/>
        <w:rPr>
          <w:rFonts w:ascii="Times New Roman" w:eastAsia="Times New Roman" w:hAnsi="Times New Roman" w:cs="Times New Roman"/>
          <w:sz w:val="20"/>
          <w:szCs w:val="20"/>
        </w:rPr>
      </w:pPr>
      <w:r w:rsidRPr="00F44DF0">
        <w:rPr>
          <w:noProof/>
          <w:sz w:val="20"/>
          <w:szCs w:val="20"/>
          <w:lang w:val="en-IN" w:eastAsia="en-IN" w:bidi="hi-IN"/>
        </w:rPr>
        <w:lastRenderedPageBreak/>
        <w:drawing>
          <wp:inline distT="0" distB="0" distL="0" distR="0" wp14:anchorId="0F64C0A0" wp14:editId="273E7A1E">
            <wp:extent cx="4640580" cy="2495550"/>
            <wp:effectExtent l="19050" t="19050" r="26670" b="190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4640580" cy="2495550"/>
                    </a:xfrm>
                    <a:prstGeom prst="rect">
                      <a:avLst/>
                    </a:prstGeom>
                    <a:ln w="3175">
                      <a:solidFill>
                        <a:schemeClr val="tx1"/>
                      </a:solidFill>
                    </a:ln>
                  </pic:spPr>
                </pic:pic>
              </a:graphicData>
            </a:graphic>
          </wp:inline>
        </w:drawing>
      </w:r>
    </w:p>
    <w:p w14:paraId="515A470E" w14:textId="77777777" w:rsidR="002E597A" w:rsidRPr="00F44DF0" w:rsidRDefault="002E597A" w:rsidP="002E597A">
      <w:pPr>
        <w:spacing w:before="166"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w:t>
      </w:r>
      <w:r w:rsidRPr="00F44DF0">
        <w:rPr>
          <w:rFonts w:ascii="Times New Roman" w:eastAsia="Times New Roman" w:hAnsi="Times New Roman" w:cs="Times New Roman"/>
          <w:sz w:val="20"/>
          <w:szCs w:val="20"/>
        </w:rPr>
        <w:t xml:space="preserve"> 1. Mechanism of action of Nano fertilizers.</w:t>
      </w:r>
    </w:p>
    <w:p w14:paraId="5CB8F9BB" w14:textId="77777777" w:rsidR="002E597A" w:rsidRPr="002E597A" w:rsidRDefault="002E597A" w:rsidP="002E597A">
      <w:pPr>
        <w:pStyle w:val="isselectedend"/>
        <w:jc w:val="both"/>
        <w:rPr>
          <w:sz w:val="20"/>
          <w:szCs w:val="20"/>
        </w:rPr>
      </w:pPr>
      <w:r w:rsidRPr="002E597A">
        <w:rPr>
          <w:rStyle w:val="Strong"/>
          <w:sz w:val="20"/>
          <w:szCs w:val="20"/>
        </w:rPr>
        <w:t xml:space="preserve">Maximization of </w:t>
      </w:r>
      <w:proofErr w:type="spellStart"/>
      <w:r w:rsidRPr="002E597A">
        <w:rPr>
          <w:rStyle w:val="Strong"/>
          <w:sz w:val="20"/>
          <w:szCs w:val="20"/>
        </w:rPr>
        <w:t>nano</w:t>
      </w:r>
      <w:proofErr w:type="spellEnd"/>
      <w:r w:rsidRPr="002E597A">
        <w:rPr>
          <w:rStyle w:val="Strong"/>
          <w:sz w:val="20"/>
          <w:szCs w:val="20"/>
        </w:rPr>
        <w:t xml:space="preserve"> fertilizer efficiency</w:t>
      </w:r>
    </w:p>
    <w:p w14:paraId="3F5167A8" w14:textId="77777777" w:rsidR="002E597A" w:rsidRPr="002E597A" w:rsidRDefault="002E597A" w:rsidP="002E597A">
      <w:pPr>
        <w:pStyle w:val="isselectedend"/>
        <w:jc w:val="both"/>
        <w:rPr>
          <w:sz w:val="20"/>
          <w:szCs w:val="20"/>
        </w:rPr>
      </w:pPr>
      <w:r w:rsidRPr="002E597A">
        <w:rPr>
          <w:sz w:val="20"/>
          <w:szCs w:val="20"/>
        </w:rPr>
        <w:t>The efficiency of conventional fertilizers remains relatively low, with nutrient use efficiencies estimated at 20–50% for nitrogen, 10–25% for phosphorus, and 30–40% for potassium, indicating significant scope for improvement in fertilizer management strategies (</w:t>
      </w:r>
      <w:proofErr w:type="spellStart"/>
      <w:r w:rsidRPr="002E597A">
        <w:rPr>
          <w:sz w:val="20"/>
          <w:szCs w:val="20"/>
        </w:rPr>
        <w:t>Tarafdar</w:t>
      </w:r>
      <w:proofErr w:type="spellEnd"/>
      <w:r w:rsidRPr="002E597A">
        <w:rPr>
          <w:sz w:val="20"/>
          <w:szCs w:val="20"/>
        </w:rPr>
        <w:t xml:space="preserve"> et al., 2013). Nano fertilizers address these inefficiencies by enhancing nutrient accessibility and uptake through improved physicochemical interactions with soil and plant systems. Their application has been shown to increase nutrient absorption efficiency and improve the effectiveness of applied fertilizers (</w:t>
      </w:r>
      <w:proofErr w:type="spellStart"/>
      <w:r w:rsidRPr="002E597A">
        <w:rPr>
          <w:sz w:val="20"/>
          <w:szCs w:val="20"/>
        </w:rPr>
        <w:t>Liscano</w:t>
      </w:r>
      <w:proofErr w:type="spellEnd"/>
      <w:r w:rsidRPr="002E597A">
        <w:rPr>
          <w:sz w:val="20"/>
          <w:szCs w:val="20"/>
        </w:rPr>
        <w:t xml:space="preserve"> et al., 2000).</w:t>
      </w:r>
    </w:p>
    <w:p w14:paraId="31026103" w14:textId="77777777" w:rsidR="002E597A" w:rsidRPr="002E597A" w:rsidRDefault="002E597A" w:rsidP="002E597A">
      <w:pPr>
        <w:pStyle w:val="isselectedend"/>
        <w:jc w:val="both"/>
        <w:rPr>
          <w:sz w:val="20"/>
          <w:szCs w:val="20"/>
        </w:rPr>
      </w:pPr>
      <w:r w:rsidRPr="002E597A">
        <w:rPr>
          <w:sz w:val="20"/>
          <w:szCs w:val="20"/>
        </w:rPr>
        <w:t xml:space="preserve">The enhanced efficiency of </w:t>
      </w:r>
      <w:proofErr w:type="spellStart"/>
      <w:r w:rsidRPr="002E597A">
        <w:rPr>
          <w:sz w:val="20"/>
          <w:szCs w:val="20"/>
        </w:rPr>
        <w:t>nano</w:t>
      </w:r>
      <w:proofErr w:type="spellEnd"/>
      <w:r w:rsidRPr="002E597A">
        <w:rPr>
          <w:sz w:val="20"/>
          <w:szCs w:val="20"/>
        </w:rPr>
        <w:t xml:space="preserve"> fertilizers can be attributed to several key mechanisms (Navarro et al., 2008):</w:t>
      </w:r>
    </w:p>
    <w:p w14:paraId="435086C8" w14:textId="77777777" w:rsidR="002E597A" w:rsidRPr="002E597A" w:rsidRDefault="002E597A" w:rsidP="002E597A">
      <w:pPr>
        <w:pStyle w:val="isselectedend"/>
        <w:jc w:val="both"/>
        <w:rPr>
          <w:sz w:val="20"/>
          <w:szCs w:val="20"/>
        </w:rPr>
      </w:pPr>
      <w:proofErr w:type="spellStart"/>
      <w:r w:rsidRPr="002E597A">
        <w:rPr>
          <w:sz w:val="20"/>
          <w:szCs w:val="20"/>
        </w:rPr>
        <w:t>i</w:t>
      </w:r>
      <w:proofErr w:type="spellEnd"/>
      <w:r w:rsidRPr="002E597A">
        <w:rPr>
          <w:sz w:val="20"/>
          <w:szCs w:val="20"/>
        </w:rPr>
        <w:t xml:space="preserve">. </w:t>
      </w:r>
      <w:r w:rsidRPr="002E597A">
        <w:rPr>
          <w:rStyle w:val="Strong"/>
          <w:sz w:val="20"/>
          <w:szCs w:val="20"/>
        </w:rPr>
        <w:t>Increased reactivity:</w:t>
      </w:r>
      <w:r w:rsidRPr="002E597A">
        <w:rPr>
          <w:sz w:val="20"/>
          <w:szCs w:val="20"/>
        </w:rPr>
        <w:t xml:space="preserve"> Due to their reduced particle size and higher surface area, </w:t>
      </w:r>
      <w:proofErr w:type="spellStart"/>
      <w:r w:rsidRPr="002E597A">
        <w:rPr>
          <w:sz w:val="20"/>
          <w:szCs w:val="20"/>
        </w:rPr>
        <w:t>nano</w:t>
      </w:r>
      <w:proofErr w:type="spellEnd"/>
      <w:r w:rsidRPr="002E597A">
        <w:rPr>
          <w:sz w:val="20"/>
          <w:szCs w:val="20"/>
        </w:rPr>
        <w:t xml:space="preserve"> materials exhibit greater reactivity compared to conventional fertilizers, resulting in more efficient nutrient interactions within the soil–plant system.</w:t>
      </w:r>
    </w:p>
    <w:p w14:paraId="034F8692" w14:textId="77777777" w:rsidR="002E597A" w:rsidRPr="002E597A" w:rsidRDefault="002E597A" w:rsidP="002E597A">
      <w:pPr>
        <w:pStyle w:val="isselectedend"/>
        <w:jc w:val="both"/>
        <w:rPr>
          <w:sz w:val="20"/>
          <w:szCs w:val="20"/>
        </w:rPr>
      </w:pPr>
      <w:r w:rsidRPr="002E597A">
        <w:rPr>
          <w:sz w:val="20"/>
          <w:szCs w:val="20"/>
        </w:rPr>
        <w:t xml:space="preserve">ii. </w:t>
      </w:r>
      <w:r w:rsidRPr="002E597A">
        <w:rPr>
          <w:rStyle w:val="Strong"/>
          <w:sz w:val="20"/>
          <w:szCs w:val="20"/>
        </w:rPr>
        <w:t>Improved nutrient penetration and uptake:</w:t>
      </w:r>
      <w:r w:rsidRPr="002E597A">
        <w:rPr>
          <w:sz w:val="20"/>
          <w:szCs w:val="20"/>
        </w:rPr>
        <w:t xml:space="preserve"> The nanoscale dimensions of these fertilizers enhance their ability to penetrate plant tissues. Increased surface area and particle density improve contact with plant roots and leaves, facilitating nutrient absorption (Lin and Xing, 2007). The entry of nanoparticles into plant cells is influenced by cell wall pore size, typically ranging between 5–20 nm, which allows smaller nanoparticles to pass through more efficiently (Fleischer et al., 1999). Additionally, nanoparticles can traverse cell walls and reach cell membranes due to their small size and aggregation properties (Moore, 2006).</w:t>
      </w:r>
    </w:p>
    <w:p w14:paraId="1CEA2F56" w14:textId="77777777" w:rsidR="002E597A" w:rsidRPr="002E597A" w:rsidRDefault="002E597A" w:rsidP="002E597A">
      <w:pPr>
        <w:pStyle w:val="isselectedend"/>
        <w:jc w:val="both"/>
        <w:rPr>
          <w:sz w:val="20"/>
          <w:szCs w:val="20"/>
        </w:rPr>
      </w:pPr>
      <w:r w:rsidRPr="002E597A">
        <w:rPr>
          <w:sz w:val="20"/>
          <w:szCs w:val="20"/>
        </w:rPr>
        <w:t xml:space="preserve">iii. </w:t>
      </w:r>
      <w:r w:rsidRPr="002E597A">
        <w:rPr>
          <w:rStyle w:val="Strong"/>
          <w:sz w:val="20"/>
          <w:szCs w:val="20"/>
        </w:rPr>
        <w:t>Enhanced cellular uptake mechanisms:</w:t>
      </w:r>
      <w:r w:rsidRPr="002E597A">
        <w:rPr>
          <w:sz w:val="20"/>
          <w:szCs w:val="20"/>
        </w:rPr>
        <w:t xml:space="preserve"> Nano fertilizers can induce structural and functional modifications in plant cell walls, including enlargement of pore size and formation of new transport pathways, thereby improving nutrient uptake efficiency (Juárez-Maldonado et al., 2019). Furthermore, nanoparticle uptake may occur through multiple biological processes such as carrier protein-mediated transport, aquaporin channels, endocytosis, and ion channels, enabling efficient internalization and translocation within plant systems (Nair et al., 2010).</w:t>
      </w:r>
    </w:p>
    <w:p w14:paraId="5F26B4BC" w14:textId="77777777" w:rsidR="002E597A" w:rsidRPr="002E597A" w:rsidRDefault="002E597A" w:rsidP="002E597A">
      <w:pPr>
        <w:pStyle w:val="NormalWeb"/>
        <w:jc w:val="both"/>
        <w:rPr>
          <w:sz w:val="20"/>
          <w:szCs w:val="20"/>
        </w:rPr>
      </w:pPr>
      <w:r w:rsidRPr="002E597A">
        <w:rPr>
          <w:sz w:val="20"/>
          <w:szCs w:val="20"/>
        </w:rPr>
        <w:t xml:space="preserve">Overall, </w:t>
      </w:r>
      <w:proofErr w:type="spellStart"/>
      <w:r w:rsidRPr="002E597A">
        <w:rPr>
          <w:sz w:val="20"/>
          <w:szCs w:val="20"/>
        </w:rPr>
        <w:t>nano</w:t>
      </w:r>
      <w:proofErr w:type="spellEnd"/>
      <w:r w:rsidRPr="002E597A">
        <w:rPr>
          <w:sz w:val="20"/>
          <w:szCs w:val="20"/>
        </w:rPr>
        <w:t xml:space="preserve"> fertilizers represent a transformative approach in nutrient management by integrating nanotechnology with agricultural practices. Their ability to enhance nutrient use efficiency, reduce environmental losses, and improve crop performance positions them as a key component of sustainable agricultural systems.</w:t>
      </w:r>
    </w:p>
    <w:p w14:paraId="6FDB0DFC" w14:textId="77777777" w:rsidR="002E597A" w:rsidRPr="002E597A" w:rsidRDefault="002E597A" w:rsidP="002E597A">
      <w:pPr>
        <w:pStyle w:val="NormalWeb"/>
        <w:jc w:val="both"/>
        <w:rPr>
          <w:sz w:val="20"/>
          <w:szCs w:val="20"/>
        </w:rPr>
      </w:pPr>
      <w:r w:rsidRPr="002E597A">
        <w:rPr>
          <w:rStyle w:val="Strong"/>
          <w:sz w:val="20"/>
          <w:szCs w:val="20"/>
        </w:rPr>
        <w:t>Control of Nutrient Release</w:t>
      </w:r>
    </w:p>
    <w:p w14:paraId="41B476E8" w14:textId="77777777" w:rsidR="002E597A" w:rsidRPr="002E597A" w:rsidRDefault="002E597A" w:rsidP="002E597A">
      <w:pPr>
        <w:pStyle w:val="NormalWeb"/>
        <w:jc w:val="both"/>
        <w:rPr>
          <w:sz w:val="20"/>
          <w:szCs w:val="20"/>
        </w:rPr>
      </w:pPr>
      <w:r w:rsidRPr="002E597A">
        <w:rPr>
          <w:sz w:val="20"/>
          <w:szCs w:val="20"/>
        </w:rPr>
        <w:lastRenderedPageBreak/>
        <w:t>The efficiency of conventional fertilizers is inherently limited, as only a fraction of the applied nutrients is effectively utilized by crops, while the remaining portion is lost through various pathways such as volatilization, runoff, leaching, hydrolysis, and microbial degradation in the soil (</w:t>
      </w:r>
      <w:proofErr w:type="spellStart"/>
      <w:r w:rsidRPr="002E597A">
        <w:rPr>
          <w:sz w:val="20"/>
          <w:szCs w:val="20"/>
        </w:rPr>
        <w:t>Preetha</w:t>
      </w:r>
      <w:proofErr w:type="spellEnd"/>
      <w:r w:rsidRPr="002E597A">
        <w:rPr>
          <w:sz w:val="20"/>
          <w:szCs w:val="20"/>
        </w:rPr>
        <w:t xml:space="preserve"> and Balakrishnan, 2017). Quantitatively, nutrient losses are substantial, with approximately 40–70% of nitrogen, 80–90% of phosphorus, and 50–90% of potassium fertilizers failing to reach the target plant system (</w:t>
      </w:r>
      <w:proofErr w:type="spellStart"/>
      <w:r w:rsidRPr="002E597A">
        <w:rPr>
          <w:sz w:val="20"/>
          <w:szCs w:val="20"/>
        </w:rPr>
        <w:t>Saigusa</w:t>
      </w:r>
      <w:proofErr w:type="spellEnd"/>
      <w:r w:rsidRPr="002E597A">
        <w:rPr>
          <w:sz w:val="20"/>
          <w:szCs w:val="20"/>
        </w:rPr>
        <w:t xml:space="preserve"> and </w:t>
      </w:r>
      <w:proofErr w:type="spellStart"/>
      <w:r w:rsidRPr="002E597A">
        <w:rPr>
          <w:sz w:val="20"/>
          <w:szCs w:val="20"/>
        </w:rPr>
        <w:t>Ombódi</w:t>
      </w:r>
      <w:proofErr w:type="spellEnd"/>
      <w:r w:rsidRPr="002E597A">
        <w:rPr>
          <w:sz w:val="20"/>
          <w:szCs w:val="20"/>
        </w:rPr>
        <w:t>, 2000). This inefficiency often compels farmers to apply higher doses of fertilizers to compensate for losses, which in turn disrupts nutrient balance, increases production costs, and exacerbates environmental pollution.</w:t>
      </w:r>
    </w:p>
    <w:p w14:paraId="43426D96" w14:textId="77777777" w:rsidR="002E597A" w:rsidRPr="002E597A" w:rsidRDefault="002E597A" w:rsidP="002E597A">
      <w:pPr>
        <w:pStyle w:val="NormalWeb"/>
        <w:jc w:val="both"/>
        <w:rPr>
          <w:sz w:val="20"/>
          <w:szCs w:val="20"/>
        </w:rPr>
      </w:pPr>
      <w:r w:rsidRPr="002E597A">
        <w:rPr>
          <w:sz w:val="20"/>
          <w:szCs w:val="20"/>
        </w:rPr>
        <w:t xml:space="preserve">Nano fertilizers have emerged as an effective strategy to overcome these limitations by enabling controlled and sustained nutrient release. Slowly released </w:t>
      </w:r>
      <w:proofErr w:type="spellStart"/>
      <w:r w:rsidRPr="002E597A">
        <w:rPr>
          <w:sz w:val="20"/>
          <w:szCs w:val="20"/>
        </w:rPr>
        <w:t>nano</w:t>
      </w:r>
      <w:proofErr w:type="spellEnd"/>
      <w:r w:rsidRPr="002E597A">
        <w:rPr>
          <w:sz w:val="20"/>
          <w:szCs w:val="20"/>
        </w:rPr>
        <w:t xml:space="preserve"> fertilizers are designed to provide a regulated supply of nutrients over the crop growth period, thereby improving synchronization between nutrient availability and plant demand. This controlled release mechanism enhances nutrient uptake efficiency and minimizes losses, allowing plants to utilize a greater proportion of applied nutrients (</w:t>
      </w:r>
      <w:proofErr w:type="spellStart"/>
      <w:r w:rsidRPr="002E597A">
        <w:rPr>
          <w:sz w:val="20"/>
          <w:szCs w:val="20"/>
        </w:rPr>
        <w:t>Huiyuan</w:t>
      </w:r>
      <w:proofErr w:type="spellEnd"/>
      <w:r w:rsidRPr="002E597A">
        <w:rPr>
          <w:sz w:val="20"/>
          <w:szCs w:val="20"/>
        </w:rPr>
        <w:t xml:space="preserve"> et al., 2018).</w:t>
      </w:r>
    </w:p>
    <w:p w14:paraId="6672DC05" w14:textId="77777777" w:rsidR="002E597A" w:rsidRPr="002E597A" w:rsidRDefault="002E597A" w:rsidP="002E597A">
      <w:pPr>
        <w:pStyle w:val="NormalWeb"/>
        <w:jc w:val="both"/>
        <w:rPr>
          <w:sz w:val="20"/>
          <w:szCs w:val="20"/>
        </w:rPr>
      </w:pPr>
      <w:r w:rsidRPr="002E597A">
        <w:rPr>
          <w:sz w:val="20"/>
          <w:szCs w:val="20"/>
        </w:rPr>
        <w:t xml:space="preserve">At the physicochemical level, </w:t>
      </w:r>
      <w:proofErr w:type="spellStart"/>
      <w:r w:rsidRPr="002E597A">
        <w:rPr>
          <w:sz w:val="20"/>
          <w:szCs w:val="20"/>
        </w:rPr>
        <w:t>nano</w:t>
      </w:r>
      <w:proofErr w:type="spellEnd"/>
      <w:r w:rsidRPr="002E597A">
        <w:rPr>
          <w:sz w:val="20"/>
          <w:szCs w:val="20"/>
        </w:rPr>
        <w:t xml:space="preserve"> fertilizers exhibit strong binding affinity between nutrients and nanomaterial carriers due to their high surface energy and surface tension. When fertilizers are coated or encapsulated within nanomaterials, the release of nutrients is significantly regulated, preventing rapid dissolution and loss. Such coatings improve fertilizer efficiency by controlling the rate of nutrient discharge into the soil system (Brady and Weil, 1999).</w:t>
      </w:r>
    </w:p>
    <w:p w14:paraId="5F6FA56C" w14:textId="77777777" w:rsidR="002E597A" w:rsidRPr="002E597A" w:rsidRDefault="002E597A" w:rsidP="002E597A">
      <w:pPr>
        <w:pStyle w:val="NormalWeb"/>
        <w:jc w:val="both"/>
        <w:rPr>
          <w:sz w:val="20"/>
          <w:szCs w:val="20"/>
        </w:rPr>
      </w:pPr>
      <w:r w:rsidRPr="002E597A">
        <w:rPr>
          <w:sz w:val="20"/>
          <w:szCs w:val="20"/>
        </w:rPr>
        <w:t xml:space="preserve">Nitrogen fertilizers, despite being essential for crop growth, are highly soluble and prone to rapid losses, leading to environmental and agronomic challenges. Advances in nanotechnology have enabled the development of controlled-release nitrogen formulations, such as </w:t>
      </w:r>
      <w:proofErr w:type="spellStart"/>
      <w:r w:rsidRPr="002E597A">
        <w:rPr>
          <w:sz w:val="20"/>
          <w:szCs w:val="20"/>
        </w:rPr>
        <w:t>nanoporous</w:t>
      </w:r>
      <w:proofErr w:type="spellEnd"/>
      <w:r w:rsidRPr="002E597A">
        <w:rPr>
          <w:sz w:val="20"/>
          <w:szCs w:val="20"/>
        </w:rPr>
        <w:t xml:space="preserve"> zeolite-based systems, which significantly enhance nitrogen uptake efficiency (</w:t>
      </w:r>
      <w:proofErr w:type="spellStart"/>
      <w:r w:rsidRPr="002E597A">
        <w:rPr>
          <w:sz w:val="20"/>
          <w:szCs w:val="20"/>
        </w:rPr>
        <w:t>Leggo</w:t>
      </w:r>
      <w:proofErr w:type="spellEnd"/>
      <w:r w:rsidRPr="002E597A">
        <w:rPr>
          <w:sz w:val="20"/>
          <w:szCs w:val="20"/>
        </w:rPr>
        <w:t>, 2000). Similarly, urea-modified hydroxyapatite nanoparticles have demonstrated prolonged nitrogen release patterns, extending nutrient availability up to 60 days compared to approximately 30 days in conventional fertilizers (</w:t>
      </w:r>
      <w:proofErr w:type="spellStart"/>
      <w:r w:rsidRPr="002E597A">
        <w:rPr>
          <w:sz w:val="20"/>
          <w:szCs w:val="20"/>
        </w:rPr>
        <w:t>Kottegoda</w:t>
      </w:r>
      <w:proofErr w:type="spellEnd"/>
      <w:r w:rsidRPr="002E597A">
        <w:rPr>
          <w:sz w:val="20"/>
          <w:szCs w:val="20"/>
        </w:rPr>
        <w:t xml:space="preserve"> et al., 2011).</w:t>
      </w:r>
    </w:p>
    <w:p w14:paraId="592A18DE" w14:textId="77777777" w:rsidR="002E597A" w:rsidRPr="002E597A" w:rsidRDefault="002E597A" w:rsidP="002E597A">
      <w:pPr>
        <w:pStyle w:val="NormalWeb"/>
        <w:jc w:val="both"/>
        <w:rPr>
          <w:sz w:val="20"/>
          <w:szCs w:val="20"/>
        </w:rPr>
      </w:pPr>
      <w:r w:rsidRPr="002E597A">
        <w:rPr>
          <w:sz w:val="20"/>
          <w:szCs w:val="20"/>
        </w:rPr>
        <w:t xml:space="preserve">In controlled-release </w:t>
      </w:r>
      <w:proofErr w:type="spellStart"/>
      <w:r w:rsidRPr="002E597A">
        <w:rPr>
          <w:sz w:val="20"/>
          <w:szCs w:val="20"/>
        </w:rPr>
        <w:t>nano</w:t>
      </w:r>
      <w:proofErr w:type="spellEnd"/>
      <w:r w:rsidRPr="002E597A">
        <w:rPr>
          <w:sz w:val="20"/>
          <w:szCs w:val="20"/>
        </w:rPr>
        <w:t xml:space="preserve"> fertilizer systems, soluble nutrients are encapsulated within nanomaterials, protecting them from premature exposure to environmental factors. Nutrient release primarily occurs through diffusion mechanisms, ensuring gradual and sustained availability in the soil (</w:t>
      </w:r>
      <w:proofErr w:type="spellStart"/>
      <w:r w:rsidRPr="002E597A">
        <w:rPr>
          <w:sz w:val="20"/>
          <w:szCs w:val="20"/>
        </w:rPr>
        <w:t>Huiyuan</w:t>
      </w:r>
      <w:proofErr w:type="spellEnd"/>
      <w:r w:rsidRPr="002E597A">
        <w:rPr>
          <w:sz w:val="20"/>
          <w:szCs w:val="20"/>
        </w:rPr>
        <w:t xml:space="preserve"> et al., 2018). Studies have also shown that </w:t>
      </w:r>
      <w:proofErr w:type="spellStart"/>
      <w:r w:rsidRPr="002E597A">
        <w:rPr>
          <w:sz w:val="20"/>
          <w:szCs w:val="20"/>
        </w:rPr>
        <w:t>nano</w:t>
      </w:r>
      <w:proofErr w:type="spellEnd"/>
      <w:r w:rsidRPr="002E597A">
        <w:rPr>
          <w:sz w:val="20"/>
          <w:szCs w:val="20"/>
        </w:rPr>
        <w:t xml:space="preserve"> fertilizers can delay nitrogen release by up to 50 days compared to conventional mineral fertilizers, further enhancing nutrient retention and utilization (Subramanian and </w:t>
      </w:r>
      <w:proofErr w:type="spellStart"/>
      <w:r w:rsidRPr="002E597A">
        <w:rPr>
          <w:sz w:val="20"/>
          <w:szCs w:val="20"/>
        </w:rPr>
        <w:t>Rahale</w:t>
      </w:r>
      <w:proofErr w:type="spellEnd"/>
      <w:r w:rsidRPr="002E597A">
        <w:rPr>
          <w:sz w:val="20"/>
          <w:szCs w:val="20"/>
        </w:rPr>
        <w:t xml:space="preserve">, 2009). Additionally, </w:t>
      </w:r>
      <w:proofErr w:type="spellStart"/>
      <w:r w:rsidRPr="002E597A">
        <w:rPr>
          <w:sz w:val="20"/>
          <w:szCs w:val="20"/>
        </w:rPr>
        <w:t>nano</w:t>
      </w:r>
      <w:proofErr w:type="spellEnd"/>
      <w:r w:rsidRPr="002E597A">
        <w:rPr>
          <w:sz w:val="20"/>
          <w:szCs w:val="20"/>
        </w:rPr>
        <w:t>-membrane coatings are increasingly employed to regulate nutrient diffusion rates, thereby improving fertilizer performance (</w:t>
      </w:r>
      <w:proofErr w:type="spellStart"/>
      <w:r w:rsidRPr="002E597A">
        <w:rPr>
          <w:sz w:val="20"/>
          <w:szCs w:val="20"/>
        </w:rPr>
        <w:t>Tarafdar</w:t>
      </w:r>
      <w:proofErr w:type="spellEnd"/>
      <w:r w:rsidRPr="002E597A">
        <w:rPr>
          <w:sz w:val="20"/>
          <w:szCs w:val="20"/>
        </w:rPr>
        <w:t xml:space="preserve"> et al., 2012). Nanocomposite fertilizers containing essential macronutrients such as nitrogen, phosphorus, and potassium are particularly effective in improving nutrient uptake and overall crop productivity.</w:t>
      </w:r>
    </w:p>
    <w:p w14:paraId="3F08E76C" w14:textId="77777777" w:rsidR="002E597A" w:rsidRPr="002E597A" w:rsidRDefault="002E597A" w:rsidP="002E597A">
      <w:pPr>
        <w:pStyle w:val="NormalWeb"/>
        <w:jc w:val="both"/>
        <w:rPr>
          <w:sz w:val="20"/>
          <w:szCs w:val="20"/>
        </w:rPr>
      </w:pPr>
      <w:r w:rsidRPr="002E597A">
        <w:rPr>
          <w:sz w:val="20"/>
          <w:szCs w:val="20"/>
        </w:rPr>
        <w:t xml:space="preserve">The excessive and indiscriminate use of fertilizers and pesticides has led to severe ecological imbalances, including nutrient accumulation, disruption of soil microbial communities, increased pest resistance, and degradation of natural ecosystems (Tilman et al., 2002). In contrast, </w:t>
      </w:r>
      <w:proofErr w:type="spellStart"/>
      <w:r w:rsidRPr="002E597A">
        <w:rPr>
          <w:sz w:val="20"/>
          <w:szCs w:val="20"/>
        </w:rPr>
        <w:t>nano</w:t>
      </w:r>
      <w:proofErr w:type="spellEnd"/>
      <w:r w:rsidRPr="002E597A">
        <w:rPr>
          <w:sz w:val="20"/>
          <w:szCs w:val="20"/>
        </w:rPr>
        <w:t xml:space="preserve"> fertilizers reduce nutrient losses and minimize dependency on conventional fertilizers, thereby mitigating soil and environmental contamination. Encapsulated </w:t>
      </w:r>
      <w:proofErr w:type="spellStart"/>
      <w:r w:rsidRPr="002E597A">
        <w:rPr>
          <w:sz w:val="20"/>
          <w:szCs w:val="20"/>
        </w:rPr>
        <w:t>nano</w:t>
      </w:r>
      <w:proofErr w:type="spellEnd"/>
      <w:r w:rsidRPr="002E597A">
        <w:rPr>
          <w:sz w:val="20"/>
          <w:szCs w:val="20"/>
        </w:rPr>
        <w:t xml:space="preserve"> fertilizers, including </w:t>
      </w:r>
      <w:proofErr w:type="spellStart"/>
      <w:r w:rsidRPr="002E597A">
        <w:rPr>
          <w:sz w:val="20"/>
          <w:szCs w:val="20"/>
        </w:rPr>
        <w:t>nano</w:t>
      </w:r>
      <w:proofErr w:type="spellEnd"/>
      <w:r w:rsidRPr="002E597A">
        <w:rPr>
          <w:sz w:val="20"/>
          <w:szCs w:val="20"/>
        </w:rPr>
        <w:t xml:space="preserve">-clays and zeolite-based systems, enhance nutrient use efficiency while promoting soil health and reducing </w:t>
      </w:r>
      <w:proofErr w:type="spellStart"/>
      <w:r w:rsidRPr="002E597A">
        <w:rPr>
          <w:sz w:val="20"/>
          <w:szCs w:val="20"/>
        </w:rPr>
        <w:t>agro</w:t>
      </w:r>
      <w:proofErr w:type="spellEnd"/>
      <w:r w:rsidRPr="002E597A">
        <w:rPr>
          <w:sz w:val="20"/>
          <w:szCs w:val="20"/>
        </w:rPr>
        <w:t>-ecological degradation (</w:t>
      </w:r>
      <w:proofErr w:type="spellStart"/>
      <w:r w:rsidRPr="002E597A">
        <w:rPr>
          <w:sz w:val="20"/>
          <w:szCs w:val="20"/>
        </w:rPr>
        <w:t>Manjunatha</w:t>
      </w:r>
      <w:proofErr w:type="spellEnd"/>
      <w:r w:rsidRPr="002E597A">
        <w:rPr>
          <w:sz w:val="20"/>
          <w:szCs w:val="20"/>
        </w:rPr>
        <w:t xml:space="preserve"> et al., 2016).</w:t>
      </w:r>
    </w:p>
    <w:p w14:paraId="53A2EDDA" w14:textId="77777777" w:rsidR="002E597A" w:rsidRPr="002E597A" w:rsidRDefault="002E597A" w:rsidP="002E597A">
      <w:pPr>
        <w:pStyle w:val="NormalWeb"/>
        <w:jc w:val="both"/>
        <w:rPr>
          <w:sz w:val="20"/>
          <w:szCs w:val="20"/>
        </w:rPr>
      </w:pPr>
      <w:r w:rsidRPr="002E597A">
        <w:rPr>
          <w:rStyle w:val="Strong"/>
          <w:sz w:val="20"/>
          <w:szCs w:val="20"/>
        </w:rPr>
        <w:t>High mineral solubility and dispersion in soil</w:t>
      </w:r>
    </w:p>
    <w:p w14:paraId="2C8BB94F" w14:textId="77777777" w:rsidR="002E597A" w:rsidRPr="002E597A" w:rsidRDefault="002E597A" w:rsidP="002E597A">
      <w:pPr>
        <w:pStyle w:val="NormalWeb"/>
        <w:jc w:val="both"/>
        <w:rPr>
          <w:sz w:val="20"/>
          <w:szCs w:val="20"/>
        </w:rPr>
      </w:pPr>
      <w:r w:rsidRPr="002E597A">
        <w:rPr>
          <w:sz w:val="20"/>
          <w:szCs w:val="20"/>
        </w:rPr>
        <w:t xml:space="preserve">An important advantage of </w:t>
      </w:r>
      <w:proofErr w:type="spellStart"/>
      <w:r w:rsidRPr="002E597A">
        <w:rPr>
          <w:sz w:val="20"/>
          <w:szCs w:val="20"/>
        </w:rPr>
        <w:t>nano</w:t>
      </w:r>
      <w:proofErr w:type="spellEnd"/>
      <w:r w:rsidRPr="002E597A">
        <w:rPr>
          <w:sz w:val="20"/>
          <w:szCs w:val="20"/>
        </w:rPr>
        <w:t xml:space="preserve"> fertilizers is their ability to improve the solubility and dispersion of mineral nutrients in soil systems. Nano-sized micronutrients enhance the dissolution of otherwise insoluble nutrient forms, thereby reducing nutrient fixation and improving bioavailability. This increased availability facilitates greater nutrient uptake efficiency by plants (Guru et al., 2015). For instance, </w:t>
      </w:r>
      <w:proofErr w:type="spellStart"/>
      <w:r w:rsidRPr="002E597A">
        <w:rPr>
          <w:sz w:val="20"/>
          <w:szCs w:val="20"/>
        </w:rPr>
        <w:t>nano</w:t>
      </w:r>
      <w:proofErr w:type="spellEnd"/>
      <w:r w:rsidRPr="002E597A">
        <w:rPr>
          <w:sz w:val="20"/>
          <w:szCs w:val="20"/>
        </w:rPr>
        <w:t xml:space="preserve">-sized rock phosphate improves phosphorus availability by minimizing its fixation with iron, </w:t>
      </w:r>
      <w:proofErr w:type="spellStart"/>
      <w:r w:rsidRPr="002E597A">
        <w:rPr>
          <w:sz w:val="20"/>
          <w:szCs w:val="20"/>
        </w:rPr>
        <w:t>aluminum</w:t>
      </w:r>
      <w:proofErr w:type="spellEnd"/>
      <w:r w:rsidRPr="002E597A">
        <w:rPr>
          <w:sz w:val="20"/>
          <w:szCs w:val="20"/>
        </w:rPr>
        <w:t>, and calcium compounds in the soil. Similarly, zinc oxide nanoparticles exhibit higher dissolution rates compared to their bulk counterparts, making them more effective as micronutrient fertilizers.</w:t>
      </w:r>
    </w:p>
    <w:p w14:paraId="0750E1DF" w14:textId="77777777" w:rsidR="002E597A" w:rsidRPr="002E597A" w:rsidRDefault="002E597A" w:rsidP="002E597A">
      <w:pPr>
        <w:pStyle w:val="NormalWeb"/>
        <w:jc w:val="both"/>
        <w:rPr>
          <w:sz w:val="20"/>
          <w:szCs w:val="20"/>
        </w:rPr>
      </w:pPr>
      <w:r w:rsidRPr="002E597A">
        <w:rPr>
          <w:sz w:val="20"/>
          <w:szCs w:val="20"/>
        </w:rPr>
        <w:lastRenderedPageBreak/>
        <w:t xml:space="preserve">Overall, </w:t>
      </w:r>
      <w:proofErr w:type="spellStart"/>
      <w:r w:rsidRPr="002E597A">
        <w:rPr>
          <w:sz w:val="20"/>
          <w:szCs w:val="20"/>
        </w:rPr>
        <w:t>nano</w:t>
      </w:r>
      <w:proofErr w:type="spellEnd"/>
      <w:r w:rsidRPr="002E597A">
        <w:rPr>
          <w:sz w:val="20"/>
          <w:szCs w:val="20"/>
        </w:rPr>
        <w:t>-enabled controlled release systems provide a significant advancement in nutrient management by enhancing nutrient retention, improving synchronization with crop demand, and reducing environmental losses, thereby contributing to sustainable agricultural production systems.</w:t>
      </w:r>
    </w:p>
    <w:p w14:paraId="2F52589D" w14:textId="77777777" w:rsidR="002E597A" w:rsidRPr="002E597A" w:rsidRDefault="002E597A" w:rsidP="002E597A">
      <w:pPr>
        <w:spacing w:before="100" w:beforeAutospacing="1" w:after="100" w:afterAutospacing="1" w:line="240" w:lineRule="auto"/>
        <w:jc w:val="both"/>
        <w:rPr>
          <w:rFonts w:ascii="Times New Roman" w:eastAsia="Times New Roman" w:hAnsi="Times New Roman" w:cs="Times New Roman"/>
          <w:sz w:val="20"/>
          <w:szCs w:val="20"/>
          <w:lang w:val="en-IN" w:eastAsia="en-IN" w:bidi="hi-IN"/>
        </w:rPr>
      </w:pPr>
      <w:r w:rsidRPr="002E597A">
        <w:rPr>
          <w:rFonts w:ascii="Times New Roman" w:eastAsia="Times New Roman" w:hAnsi="Times New Roman" w:cs="Times New Roman"/>
          <w:b/>
          <w:bCs/>
          <w:sz w:val="20"/>
          <w:szCs w:val="20"/>
          <w:lang w:val="en-IN" w:eastAsia="en-IN" w:bidi="hi-IN"/>
        </w:rPr>
        <w:t>2.2 Slow Release and Controlled Release Fertilizers</w:t>
      </w:r>
    </w:p>
    <w:p w14:paraId="051E4698" w14:textId="77777777" w:rsidR="002E597A" w:rsidRPr="002E597A" w:rsidRDefault="002E597A" w:rsidP="002E597A">
      <w:pPr>
        <w:spacing w:before="100" w:beforeAutospacing="1" w:after="100" w:afterAutospacing="1" w:line="240" w:lineRule="auto"/>
        <w:jc w:val="both"/>
        <w:rPr>
          <w:rFonts w:ascii="Times New Roman" w:eastAsia="Times New Roman" w:hAnsi="Times New Roman" w:cs="Times New Roman"/>
          <w:sz w:val="20"/>
          <w:szCs w:val="20"/>
          <w:lang w:val="en-IN" w:eastAsia="en-IN" w:bidi="hi-IN"/>
        </w:rPr>
      </w:pPr>
      <w:r w:rsidRPr="002E597A">
        <w:rPr>
          <w:rFonts w:ascii="Times New Roman" w:eastAsia="Times New Roman" w:hAnsi="Times New Roman" w:cs="Times New Roman"/>
          <w:sz w:val="20"/>
          <w:szCs w:val="20"/>
          <w:lang w:val="en-IN" w:eastAsia="en-IN" w:bidi="hi-IN"/>
        </w:rPr>
        <w:t>Slow release fertilizers (SRFs) and controlled release fertilizers (CRFs) are advanced nutrient delivery systems developed to improve nutrient use efficiency by regulating the rate, timing, and availability of nutrients to plants. Slow release fertilizers are characterized by their ability to release nutrients gradually through chemical or biological processes, whereas controlled release fertilizers are specifically engineered to deliver nutrients at a predetermined and consistent rate under defined environmental conditions. This distinction is primarily based on the mechanism governing nutrient release, with SRFs relying on natural decomposition processes and CRFs utilizing physical or chemical barriers for regulated release (Azeem et al., 2014).</w:t>
      </w:r>
    </w:p>
    <w:p w14:paraId="7586FA99" w14:textId="77777777" w:rsidR="002E597A" w:rsidRPr="002E597A" w:rsidRDefault="002E597A" w:rsidP="002E597A">
      <w:pPr>
        <w:spacing w:before="100" w:beforeAutospacing="1" w:after="100" w:afterAutospacing="1" w:line="240" w:lineRule="auto"/>
        <w:jc w:val="both"/>
        <w:rPr>
          <w:rFonts w:ascii="Times New Roman" w:eastAsia="Times New Roman" w:hAnsi="Times New Roman" w:cs="Times New Roman"/>
          <w:sz w:val="20"/>
          <w:szCs w:val="20"/>
          <w:lang w:val="en-IN" w:eastAsia="en-IN" w:bidi="hi-IN"/>
        </w:rPr>
      </w:pPr>
      <w:r w:rsidRPr="002E597A">
        <w:rPr>
          <w:rFonts w:ascii="Times New Roman" w:eastAsia="Times New Roman" w:hAnsi="Times New Roman" w:cs="Times New Roman"/>
          <w:sz w:val="20"/>
          <w:szCs w:val="20"/>
          <w:lang w:val="en-IN" w:eastAsia="en-IN" w:bidi="hi-IN"/>
        </w:rPr>
        <w:t>The adoption of these fertilizers has gained importance due to their ability to minimize nutrient losses, enhance synchronization between nutrient availability and plant demand, and reduce environmental pollution associated with conventional fertilizers.</w:t>
      </w:r>
    </w:p>
    <w:p w14:paraId="5648C76D" w14:textId="77777777" w:rsidR="002E597A" w:rsidRPr="002E597A" w:rsidRDefault="002E597A" w:rsidP="002E597A">
      <w:pPr>
        <w:spacing w:before="100" w:beforeAutospacing="1" w:after="100" w:afterAutospacing="1" w:line="240" w:lineRule="auto"/>
        <w:jc w:val="both"/>
        <w:rPr>
          <w:rFonts w:ascii="Times New Roman" w:eastAsia="Times New Roman" w:hAnsi="Times New Roman" w:cs="Times New Roman"/>
          <w:sz w:val="20"/>
          <w:szCs w:val="20"/>
          <w:lang w:val="en-IN" w:eastAsia="en-IN" w:bidi="hi-IN"/>
        </w:rPr>
      </w:pPr>
      <w:r w:rsidRPr="002E597A">
        <w:rPr>
          <w:rFonts w:ascii="Times New Roman" w:eastAsia="Times New Roman" w:hAnsi="Times New Roman" w:cs="Times New Roman"/>
          <w:b/>
          <w:bCs/>
          <w:sz w:val="20"/>
          <w:szCs w:val="20"/>
          <w:lang w:val="en-IN" w:eastAsia="en-IN" w:bidi="hi-IN"/>
        </w:rPr>
        <w:t>Classification of slow and controlled release fertilizers</w:t>
      </w:r>
    </w:p>
    <w:p w14:paraId="41178693" w14:textId="77777777" w:rsidR="002E597A" w:rsidRPr="002E597A" w:rsidRDefault="002E597A" w:rsidP="002E597A">
      <w:pPr>
        <w:spacing w:before="100" w:beforeAutospacing="1" w:after="100" w:afterAutospacing="1" w:line="240" w:lineRule="auto"/>
        <w:jc w:val="both"/>
        <w:rPr>
          <w:rFonts w:ascii="Times New Roman" w:eastAsia="Times New Roman" w:hAnsi="Times New Roman" w:cs="Times New Roman"/>
          <w:sz w:val="20"/>
          <w:szCs w:val="20"/>
          <w:lang w:val="en-IN" w:eastAsia="en-IN" w:bidi="hi-IN"/>
        </w:rPr>
      </w:pPr>
      <w:r w:rsidRPr="002E597A">
        <w:rPr>
          <w:rFonts w:ascii="Times New Roman" w:eastAsia="Times New Roman" w:hAnsi="Times New Roman" w:cs="Times New Roman"/>
          <w:sz w:val="20"/>
          <w:szCs w:val="20"/>
          <w:lang w:val="en-IN" w:eastAsia="en-IN" w:bidi="hi-IN"/>
        </w:rPr>
        <w:t>Slow and controlled release fertilizers can be broadly classified into three major categories based on their composition and release mechanisms (</w:t>
      </w:r>
      <w:proofErr w:type="spellStart"/>
      <w:r w:rsidRPr="002E597A">
        <w:rPr>
          <w:rFonts w:ascii="Times New Roman" w:eastAsia="Times New Roman" w:hAnsi="Times New Roman" w:cs="Times New Roman"/>
          <w:sz w:val="20"/>
          <w:szCs w:val="20"/>
          <w:lang w:val="en-IN" w:eastAsia="en-IN" w:bidi="hi-IN"/>
        </w:rPr>
        <w:t>Xie</w:t>
      </w:r>
      <w:proofErr w:type="spellEnd"/>
      <w:r w:rsidRPr="002E597A">
        <w:rPr>
          <w:rFonts w:ascii="Times New Roman" w:eastAsia="Times New Roman" w:hAnsi="Times New Roman" w:cs="Times New Roman"/>
          <w:sz w:val="20"/>
          <w:szCs w:val="20"/>
          <w:lang w:val="en-IN" w:eastAsia="en-IN" w:bidi="hi-IN"/>
        </w:rPr>
        <w:t xml:space="preserve"> et al., 2012; Azeem et al., 2014):</w:t>
      </w:r>
    </w:p>
    <w:p w14:paraId="3E929769" w14:textId="72F0D91A" w:rsidR="002E597A" w:rsidRPr="002E597A" w:rsidRDefault="002E597A" w:rsidP="002E597A">
      <w:pPr>
        <w:spacing w:before="100" w:beforeAutospacing="1" w:after="100" w:afterAutospacing="1" w:line="240" w:lineRule="auto"/>
        <w:jc w:val="both"/>
        <w:rPr>
          <w:rFonts w:ascii="Times New Roman" w:eastAsia="Times New Roman" w:hAnsi="Times New Roman" w:cs="Times New Roman"/>
          <w:sz w:val="20"/>
          <w:szCs w:val="20"/>
          <w:lang w:val="en-IN" w:eastAsia="en-IN" w:bidi="hi-IN"/>
        </w:rPr>
      </w:pPr>
      <w:proofErr w:type="spellStart"/>
      <w:r w:rsidRPr="002E597A">
        <w:rPr>
          <w:rFonts w:ascii="Times New Roman" w:eastAsia="Times New Roman" w:hAnsi="Times New Roman" w:cs="Times New Roman"/>
          <w:sz w:val="20"/>
          <w:szCs w:val="20"/>
          <w:lang w:val="en-IN" w:eastAsia="en-IN" w:bidi="hi-IN"/>
        </w:rPr>
        <w:t>i</w:t>
      </w:r>
      <w:proofErr w:type="spellEnd"/>
      <w:r w:rsidRPr="002E597A">
        <w:rPr>
          <w:rFonts w:ascii="Times New Roman" w:eastAsia="Times New Roman" w:hAnsi="Times New Roman" w:cs="Times New Roman"/>
          <w:sz w:val="20"/>
          <w:szCs w:val="20"/>
          <w:lang w:val="en-IN" w:eastAsia="en-IN" w:bidi="hi-IN"/>
        </w:rPr>
        <w:t xml:space="preserve">. </w:t>
      </w:r>
      <w:r w:rsidRPr="002E597A">
        <w:rPr>
          <w:rFonts w:ascii="Times New Roman" w:eastAsia="Times New Roman" w:hAnsi="Times New Roman" w:cs="Times New Roman"/>
          <w:b/>
          <w:bCs/>
          <w:sz w:val="20"/>
          <w:szCs w:val="20"/>
          <w:lang w:val="en-IN" w:eastAsia="en-IN" w:bidi="hi-IN"/>
        </w:rPr>
        <w:t>Organic substances:</w:t>
      </w:r>
      <w:r w:rsidR="006C7602">
        <w:rPr>
          <w:rFonts w:ascii="Times New Roman" w:eastAsia="Times New Roman" w:hAnsi="Times New Roman" w:cs="Times New Roman"/>
          <w:sz w:val="20"/>
          <w:szCs w:val="20"/>
          <w:lang w:val="en-IN" w:eastAsia="en-IN" w:bidi="hi-IN"/>
        </w:rPr>
        <w:t xml:space="preserve"> </w:t>
      </w:r>
      <w:r w:rsidRPr="002E597A">
        <w:rPr>
          <w:rFonts w:ascii="Times New Roman" w:eastAsia="Times New Roman" w:hAnsi="Times New Roman" w:cs="Times New Roman"/>
          <w:sz w:val="20"/>
          <w:szCs w:val="20"/>
          <w:lang w:val="en-IN" w:eastAsia="en-IN" w:bidi="hi-IN"/>
        </w:rPr>
        <w:t>This category includes low-solubility, naturally derived organic nitrogen compounds that release nutrients through microbial decomposition. These can be further divided into chemically synthesized compounds such as urea acetaldehyde, cyclo-</w:t>
      </w:r>
      <w:proofErr w:type="spellStart"/>
      <w:r w:rsidRPr="002E597A">
        <w:rPr>
          <w:rFonts w:ascii="Times New Roman" w:eastAsia="Times New Roman" w:hAnsi="Times New Roman" w:cs="Times New Roman"/>
          <w:sz w:val="20"/>
          <w:szCs w:val="20"/>
          <w:lang w:val="en-IN" w:eastAsia="en-IN" w:bidi="hi-IN"/>
        </w:rPr>
        <w:t>diurea</w:t>
      </w:r>
      <w:proofErr w:type="spellEnd"/>
      <w:r w:rsidRPr="002E597A">
        <w:rPr>
          <w:rFonts w:ascii="Times New Roman" w:eastAsia="Times New Roman" w:hAnsi="Times New Roman" w:cs="Times New Roman"/>
          <w:sz w:val="20"/>
          <w:szCs w:val="20"/>
          <w:lang w:val="en-IN" w:eastAsia="en-IN" w:bidi="hi-IN"/>
        </w:rPr>
        <w:t xml:space="preserve">, and </w:t>
      </w:r>
      <w:proofErr w:type="spellStart"/>
      <w:r w:rsidRPr="002E597A">
        <w:rPr>
          <w:rFonts w:ascii="Times New Roman" w:eastAsia="Times New Roman" w:hAnsi="Times New Roman" w:cs="Times New Roman"/>
          <w:sz w:val="20"/>
          <w:szCs w:val="20"/>
          <w:lang w:val="en-IN" w:eastAsia="en-IN" w:bidi="hi-IN"/>
        </w:rPr>
        <w:t>isobutylidene</w:t>
      </w:r>
      <w:proofErr w:type="spellEnd"/>
      <w:r w:rsidRPr="002E597A">
        <w:rPr>
          <w:rFonts w:ascii="Times New Roman" w:eastAsia="Times New Roman" w:hAnsi="Times New Roman" w:cs="Times New Roman"/>
          <w:sz w:val="20"/>
          <w:szCs w:val="20"/>
          <w:lang w:val="en-IN" w:eastAsia="en-IN" w:bidi="hi-IN"/>
        </w:rPr>
        <w:t xml:space="preserve"> </w:t>
      </w:r>
      <w:proofErr w:type="spellStart"/>
      <w:r w:rsidRPr="002E597A">
        <w:rPr>
          <w:rFonts w:ascii="Times New Roman" w:eastAsia="Times New Roman" w:hAnsi="Times New Roman" w:cs="Times New Roman"/>
          <w:sz w:val="20"/>
          <w:szCs w:val="20"/>
          <w:lang w:val="en-IN" w:eastAsia="en-IN" w:bidi="hi-IN"/>
        </w:rPr>
        <w:t>diurea</w:t>
      </w:r>
      <w:proofErr w:type="spellEnd"/>
      <w:r w:rsidRPr="002E597A">
        <w:rPr>
          <w:rFonts w:ascii="Times New Roman" w:eastAsia="Times New Roman" w:hAnsi="Times New Roman" w:cs="Times New Roman"/>
          <w:sz w:val="20"/>
          <w:szCs w:val="20"/>
          <w:lang w:val="en-IN" w:eastAsia="en-IN" w:bidi="hi-IN"/>
        </w:rPr>
        <w:t xml:space="preserve"> (IBDU), and biologically decomposable materials such as urea-formaldehyde (UF) and </w:t>
      </w:r>
      <w:proofErr w:type="spellStart"/>
      <w:r w:rsidRPr="002E597A">
        <w:rPr>
          <w:rFonts w:ascii="Times New Roman" w:eastAsia="Times New Roman" w:hAnsi="Times New Roman" w:cs="Times New Roman"/>
          <w:sz w:val="20"/>
          <w:szCs w:val="20"/>
          <w:lang w:val="en-IN" w:eastAsia="en-IN" w:bidi="hi-IN"/>
        </w:rPr>
        <w:t>crotonylidene</w:t>
      </w:r>
      <w:proofErr w:type="spellEnd"/>
      <w:r w:rsidRPr="002E597A">
        <w:rPr>
          <w:rFonts w:ascii="Times New Roman" w:eastAsia="Times New Roman" w:hAnsi="Times New Roman" w:cs="Times New Roman"/>
          <w:sz w:val="20"/>
          <w:szCs w:val="20"/>
          <w:lang w:val="en-IN" w:eastAsia="en-IN" w:bidi="hi-IN"/>
        </w:rPr>
        <w:t xml:space="preserve"> </w:t>
      </w:r>
      <w:proofErr w:type="spellStart"/>
      <w:r w:rsidRPr="002E597A">
        <w:rPr>
          <w:rFonts w:ascii="Times New Roman" w:eastAsia="Times New Roman" w:hAnsi="Times New Roman" w:cs="Times New Roman"/>
          <w:sz w:val="20"/>
          <w:szCs w:val="20"/>
          <w:lang w:val="en-IN" w:eastAsia="en-IN" w:bidi="hi-IN"/>
        </w:rPr>
        <w:t>diurea</w:t>
      </w:r>
      <w:proofErr w:type="spellEnd"/>
      <w:r w:rsidRPr="002E597A">
        <w:rPr>
          <w:rFonts w:ascii="Times New Roman" w:eastAsia="Times New Roman" w:hAnsi="Times New Roman" w:cs="Times New Roman"/>
          <w:sz w:val="20"/>
          <w:szCs w:val="20"/>
          <w:lang w:val="en-IN" w:eastAsia="en-IN" w:bidi="hi-IN"/>
        </w:rPr>
        <w:t xml:space="preserve"> (CDU). Organic amendments such as manure, compost, crop residues, slurry, sewage sludge, and organic-mineral fertilizers (e.g., horn meal, bone meal, leather meal, and rapeseed meal) also fall under this category, contributing to sustained nutrient release and improved soil health.</w:t>
      </w:r>
    </w:p>
    <w:p w14:paraId="18C7611A" w14:textId="332C564A" w:rsidR="002E597A" w:rsidRPr="002E597A" w:rsidRDefault="002E597A" w:rsidP="002E597A">
      <w:pPr>
        <w:spacing w:before="100" w:beforeAutospacing="1" w:after="100" w:afterAutospacing="1" w:line="240" w:lineRule="auto"/>
        <w:jc w:val="both"/>
        <w:rPr>
          <w:rFonts w:ascii="Times New Roman" w:eastAsia="Times New Roman" w:hAnsi="Times New Roman" w:cs="Times New Roman"/>
          <w:sz w:val="20"/>
          <w:szCs w:val="20"/>
          <w:lang w:val="en-IN" w:eastAsia="en-IN" w:bidi="hi-IN"/>
        </w:rPr>
      </w:pPr>
      <w:r w:rsidRPr="002E597A">
        <w:rPr>
          <w:rFonts w:ascii="Times New Roman" w:eastAsia="Times New Roman" w:hAnsi="Times New Roman" w:cs="Times New Roman"/>
          <w:sz w:val="20"/>
          <w:szCs w:val="20"/>
          <w:lang w:val="en-IN" w:eastAsia="en-IN" w:bidi="hi-IN"/>
        </w:rPr>
        <w:t xml:space="preserve">ii. </w:t>
      </w:r>
      <w:r w:rsidRPr="002E597A">
        <w:rPr>
          <w:rFonts w:ascii="Times New Roman" w:eastAsia="Times New Roman" w:hAnsi="Times New Roman" w:cs="Times New Roman"/>
          <w:b/>
          <w:bCs/>
          <w:sz w:val="20"/>
          <w:szCs w:val="20"/>
          <w:lang w:val="en-IN" w:eastAsia="en-IN" w:bidi="hi-IN"/>
        </w:rPr>
        <w:t>Inorganic compounds with low solubility:</w:t>
      </w:r>
      <w:r w:rsidR="006C7602">
        <w:rPr>
          <w:rFonts w:ascii="Times New Roman" w:eastAsia="Times New Roman" w:hAnsi="Times New Roman" w:cs="Times New Roman"/>
          <w:sz w:val="20"/>
          <w:szCs w:val="20"/>
          <w:lang w:val="en-IN" w:eastAsia="en-IN" w:bidi="hi-IN"/>
        </w:rPr>
        <w:t xml:space="preserve"> </w:t>
      </w:r>
      <w:r w:rsidRPr="002E597A">
        <w:rPr>
          <w:rFonts w:ascii="Times New Roman" w:eastAsia="Times New Roman" w:hAnsi="Times New Roman" w:cs="Times New Roman"/>
          <w:sz w:val="20"/>
          <w:szCs w:val="20"/>
          <w:lang w:val="en-IN" w:eastAsia="en-IN" w:bidi="hi-IN"/>
        </w:rPr>
        <w:t xml:space="preserve">These fertilizers include compounds such as metal ammonium phosphates (e.g., </w:t>
      </w:r>
      <w:proofErr w:type="spellStart"/>
      <w:r w:rsidRPr="002E597A">
        <w:rPr>
          <w:rFonts w:ascii="Times New Roman" w:eastAsia="Times New Roman" w:hAnsi="Times New Roman" w:cs="Times New Roman"/>
          <w:sz w:val="20"/>
          <w:szCs w:val="20"/>
          <w:lang w:val="en-IN" w:eastAsia="en-IN" w:bidi="hi-IN"/>
        </w:rPr>
        <w:t>MgNH₄PO</w:t>
      </w:r>
      <w:proofErr w:type="spellEnd"/>
      <w:r w:rsidRPr="002E597A">
        <w:rPr>
          <w:rFonts w:ascii="Times New Roman" w:eastAsia="Times New Roman" w:hAnsi="Times New Roman" w:cs="Times New Roman"/>
          <w:sz w:val="20"/>
          <w:szCs w:val="20"/>
          <w:lang w:val="en-IN" w:eastAsia="en-IN" w:bidi="hi-IN"/>
        </w:rPr>
        <w:t>₄) and partially acidulated phosphate rocks (PAPR), which exhibit reduced solubility and release nutrients slowly into the soil solution. Their limited solubility minimizes nutrient fixation and leaching losses, thereby improving nutrient retention in the soil.</w:t>
      </w:r>
    </w:p>
    <w:p w14:paraId="33E4E0A3" w14:textId="331ACC53" w:rsidR="002E597A" w:rsidRPr="006A7730" w:rsidRDefault="002E597A" w:rsidP="002E597A">
      <w:pPr>
        <w:spacing w:before="100" w:beforeAutospacing="1" w:after="100" w:afterAutospacing="1" w:line="240" w:lineRule="auto"/>
        <w:jc w:val="both"/>
        <w:rPr>
          <w:rFonts w:ascii="Times New Roman" w:eastAsia="Times New Roman" w:hAnsi="Times New Roman" w:cs="Times New Roman"/>
          <w:sz w:val="18"/>
          <w:szCs w:val="18"/>
          <w:lang w:val="en-IN" w:eastAsia="en-IN" w:bidi="hi-IN"/>
        </w:rPr>
      </w:pPr>
      <w:r w:rsidRPr="002E597A">
        <w:rPr>
          <w:rFonts w:ascii="Times New Roman" w:eastAsia="Times New Roman" w:hAnsi="Times New Roman" w:cs="Times New Roman"/>
          <w:sz w:val="20"/>
          <w:szCs w:val="20"/>
          <w:lang w:val="en-IN" w:eastAsia="en-IN" w:bidi="hi-IN"/>
        </w:rPr>
        <w:t xml:space="preserve">iii. </w:t>
      </w:r>
      <w:r w:rsidRPr="002E597A">
        <w:rPr>
          <w:rFonts w:ascii="Times New Roman" w:eastAsia="Times New Roman" w:hAnsi="Times New Roman" w:cs="Times New Roman"/>
          <w:b/>
          <w:bCs/>
          <w:sz w:val="20"/>
          <w:szCs w:val="20"/>
          <w:lang w:val="en-IN" w:eastAsia="en-IN" w:bidi="hi-IN"/>
        </w:rPr>
        <w:t>Water-soluble fertilizers with physical barriers:</w:t>
      </w:r>
      <w:r w:rsidR="006C7602">
        <w:rPr>
          <w:rFonts w:ascii="Times New Roman" w:eastAsia="Times New Roman" w:hAnsi="Times New Roman" w:cs="Times New Roman"/>
          <w:sz w:val="20"/>
          <w:szCs w:val="20"/>
          <w:lang w:val="en-IN" w:eastAsia="en-IN" w:bidi="hi-IN"/>
        </w:rPr>
        <w:t xml:space="preserve"> </w:t>
      </w:r>
      <w:r w:rsidRPr="002E597A">
        <w:rPr>
          <w:rFonts w:ascii="Times New Roman" w:eastAsia="Times New Roman" w:hAnsi="Times New Roman" w:cs="Times New Roman"/>
          <w:sz w:val="20"/>
          <w:szCs w:val="20"/>
          <w:lang w:val="en-IN" w:eastAsia="en-IN" w:bidi="hi-IN"/>
        </w:rPr>
        <w:t>This category represents the most advanced form of controlled release fertilizers, where soluble nutrients are encapsulated within coatings or matrices that regulate nutrient diffusion. These barriers may include sulphur coatings, polymer coatings (resin-based or thermoplastic), or combinations of both. Matrix-based systems may also utilize hydrophobic materials such as polyolefins and rubber, as well as gel-forming polymers (hydrogels), to control nutrient dissolution and release rates. Such systems ensure a sustained and predictable nutrient supply aligned with crop requirements.</w:t>
      </w:r>
      <w:r w:rsidR="006A7730" w:rsidRPr="006A7730">
        <w:t xml:space="preserve"> </w:t>
      </w:r>
      <w:r w:rsidR="006A7730" w:rsidRPr="006A7730">
        <w:rPr>
          <w:rFonts w:ascii="Times New Roman" w:hAnsi="Times New Roman" w:cs="Times New Roman"/>
          <w:sz w:val="20"/>
          <w:szCs w:val="20"/>
          <w:highlight w:val="yellow"/>
        </w:rPr>
        <w:t xml:space="preserve">The different categories of slow and controlled release fertilizers, along with their mechanisms, materials, and functional advantages, are presented in </w:t>
      </w:r>
      <w:r w:rsidR="006A7730" w:rsidRPr="006A7730">
        <w:rPr>
          <w:rStyle w:val="Strong"/>
          <w:rFonts w:ascii="Times New Roman" w:hAnsi="Times New Roman" w:cs="Times New Roman"/>
          <w:sz w:val="20"/>
          <w:szCs w:val="20"/>
          <w:highlight w:val="yellow"/>
        </w:rPr>
        <w:t>Table 1</w:t>
      </w:r>
      <w:r w:rsidR="006A7730" w:rsidRPr="006A7730">
        <w:rPr>
          <w:rFonts w:ascii="Times New Roman" w:hAnsi="Times New Roman" w:cs="Times New Roman"/>
          <w:sz w:val="20"/>
          <w:szCs w:val="20"/>
          <w:highlight w:val="yellow"/>
        </w:rPr>
        <w:t>.</w:t>
      </w:r>
    </w:p>
    <w:p w14:paraId="68B325B1" w14:textId="62118BA9" w:rsidR="006A7730" w:rsidRPr="006A7730" w:rsidRDefault="006A7730" w:rsidP="006A7730">
      <w:pPr>
        <w:spacing w:before="100" w:beforeAutospacing="1" w:after="100" w:afterAutospacing="1" w:line="240" w:lineRule="auto"/>
        <w:jc w:val="center"/>
        <w:rPr>
          <w:rFonts w:ascii="Times New Roman" w:eastAsia="Times New Roman" w:hAnsi="Times New Roman" w:cs="Times New Roman"/>
          <w:b/>
          <w:bCs/>
          <w:sz w:val="20"/>
          <w:szCs w:val="20"/>
          <w:lang w:val="en-IN" w:eastAsia="en-IN" w:bidi="hi-IN"/>
        </w:rPr>
      </w:pPr>
      <w:r w:rsidRPr="006A7730">
        <w:rPr>
          <w:rFonts w:ascii="Times New Roman" w:eastAsia="Times New Roman" w:hAnsi="Times New Roman" w:cs="Times New Roman"/>
          <w:b/>
          <w:bCs/>
          <w:sz w:val="20"/>
          <w:szCs w:val="20"/>
          <w:highlight w:val="yellow"/>
          <w:lang w:val="en-IN" w:eastAsia="en-IN" w:bidi="hi-IN"/>
        </w:rPr>
        <w:t>Table 1. Mechanisms, materials, and functional advantages of slow and controlled release fertilizers</w:t>
      </w:r>
    </w:p>
    <w:tbl>
      <w:tblPr>
        <w:tblStyle w:val="TableGrid"/>
        <w:tblW w:w="0" w:type="auto"/>
        <w:tblLook w:val="04A0" w:firstRow="1" w:lastRow="0" w:firstColumn="1" w:lastColumn="0" w:noHBand="0" w:noVBand="1"/>
      </w:tblPr>
      <w:tblGrid>
        <w:gridCol w:w="1585"/>
        <w:gridCol w:w="1550"/>
        <w:gridCol w:w="1697"/>
        <w:gridCol w:w="1671"/>
        <w:gridCol w:w="1476"/>
        <w:gridCol w:w="1371"/>
      </w:tblGrid>
      <w:tr w:rsidR="009F1693" w:rsidRPr="006A7730" w14:paraId="0A6DE5D0" w14:textId="77777777" w:rsidTr="006A7730">
        <w:tc>
          <w:tcPr>
            <w:tcW w:w="0" w:type="auto"/>
            <w:hideMark/>
          </w:tcPr>
          <w:p w14:paraId="77FC4288" w14:textId="77777777" w:rsidR="006A7730" w:rsidRPr="006A7730" w:rsidRDefault="006A7730" w:rsidP="009D274C">
            <w:pPr>
              <w:jc w:val="center"/>
              <w:rPr>
                <w:rFonts w:ascii="Times New Roman" w:eastAsia="Times New Roman" w:hAnsi="Times New Roman" w:cs="Times New Roman"/>
                <w:b/>
                <w:bCs/>
                <w:sz w:val="20"/>
                <w:szCs w:val="20"/>
                <w:highlight w:val="yellow"/>
                <w:lang w:val="en-IN" w:eastAsia="en-IN" w:bidi="hi-IN"/>
              </w:rPr>
            </w:pPr>
            <w:r w:rsidRPr="006A7730">
              <w:rPr>
                <w:rFonts w:ascii="Times New Roman" w:eastAsia="Times New Roman" w:hAnsi="Times New Roman" w:cs="Times New Roman"/>
                <w:b/>
                <w:bCs/>
                <w:sz w:val="20"/>
                <w:szCs w:val="20"/>
                <w:highlight w:val="yellow"/>
                <w:lang w:val="en-IN" w:eastAsia="en-IN" w:bidi="hi-IN"/>
              </w:rPr>
              <w:t>Category</w:t>
            </w:r>
          </w:p>
        </w:tc>
        <w:tc>
          <w:tcPr>
            <w:tcW w:w="0" w:type="auto"/>
            <w:hideMark/>
          </w:tcPr>
          <w:p w14:paraId="23916068" w14:textId="77777777" w:rsidR="006A7730" w:rsidRPr="006A7730" w:rsidRDefault="006A7730" w:rsidP="009D274C">
            <w:pPr>
              <w:jc w:val="center"/>
              <w:rPr>
                <w:rFonts w:ascii="Times New Roman" w:eastAsia="Times New Roman" w:hAnsi="Times New Roman" w:cs="Times New Roman"/>
                <w:b/>
                <w:bCs/>
                <w:sz w:val="20"/>
                <w:szCs w:val="20"/>
                <w:highlight w:val="yellow"/>
                <w:lang w:val="en-IN" w:eastAsia="en-IN" w:bidi="hi-IN"/>
              </w:rPr>
            </w:pPr>
            <w:r w:rsidRPr="006A7730">
              <w:rPr>
                <w:rFonts w:ascii="Times New Roman" w:eastAsia="Times New Roman" w:hAnsi="Times New Roman" w:cs="Times New Roman"/>
                <w:b/>
                <w:bCs/>
                <w:sz w:val="20"/>
                <w:szCs w:val="20"/>
                <w:highlight w:val="yellow"/>
                <w:lang w:val="en-IN" w:eastAsia="en-IN" w:bidi="hi-IN"/>
              </w:rPr>
              <w:t>Fertilizer Type</w:t>
            </w:r>
          </w:p>
        </w:tc>
        <w:tc>
          <w:tcPr>
            <w:tcW w:w="0" w:type="auto"/>
            <w:hideMark/>
          </w:tcPr>
          <w:p w14:paraId="1B2C3925" w14:textId="77777777" w:rsidR="006A7730" w:rsidRPr="006A7730" w:rsidRDefault="006A7730" w:rsidP="009D274C">
            <w:pPr>
              <w:jc w:val="center"/>
              <w:rPr>
                <w:rFonts w:ascii="Times New Roman" w:eastAsia="Times New Roman" w:hAnsi="Times New Roman" w:cs="Times New Roman"/>
                <w:b/>
                <w:bCs/>
                <w:sz w:val="20"/>
                <w:szCs w:val="20"/>
                <w:highlight w:val="yellow"/>
                <w:lang w:val="en-IN" w:eastAsia="en-IN" w:bidi="hi-IN"/>
              </w:rPr>
            </w:pPr>
            <w:r w:rsidRPr="006A7730">
              <w:rPr>
                <w:rFonts w:ascii="Times New Roman" w:eastAsia="Times New Roman" w:hAnsi="Times New Roman" w:cs="Times New Roman"/>
                <w:b/>
                <w:bCs/>
                <w:sz w:val="20"/>
                <w:szCs w:val="20"/>
                <w:highlight w:val="yellow"/>
                <w:lang w:val="en-IN" w:eastAsia="en-IN" w:bidi="hi-IN"/>
              </w:rPr>
              <w:t>Key Materials / Technology</w:t>
            </w:r>
          </w:p>
        </w:tc>
        <w:tc>
          <w:tcPr>
            <w:tcW w:w="0" w:type="auto"/>
            <w:hideMark/>
          </w:tcPr>
          <w:p w14:paraId="0A98FF3C" w14:textId="77777777" w:rsidR="006A7730" w:rsidRPr="006A7730" w:rsidRDefault="006A7730" w:rsidP="009D274C">
            <w:pPr>
              <w:jc w:val="center"/>
              <w:rPr>
                <w:rFonts w:ascii="Times New Roman" w:eastAsia="Times New Roman" w:hAnsi="Times New Roman" w:cs="Times New Roman"/>
                <w:b/>
                <w:bCs/>
                <w:sz w:val="20"/>
                <w:szCs w:val="20"/>
                <w:highlight w:val="yellow"/>
                <w:lang w:val="en-IN" w:eastAsia="en-IN" w:bidi="hi-IN"/>
              </w:rPr>
            </w:pPr>
            <w:r w:rsidRPr="006A7730">
              <w:rPr>
                <w:rFonts w:ascii="Times New Roman" w:eastAsia="Times New Roman" w:hAnsi="Times New Roman" w:cs="Times New Roman"/>
                <w:b/>
                <w:bCs/>
                <w:sz w:val="20"/>
                <w:szCs w:val="20"/>
                <w:highlight w:val="yellow"/>
                <w:lang w:val="en-IN" w:eastAsia="en-IN" w:bidi="hi-IN"/>
              </w:rPr>
              <w:t>Mechanism of Nutrient Release</w:t>
            </w:r>
          </w:p>
        </w:tc>
        <w:tc>
          <w:tcPr>
            <w:tcW w:w="0" w:type="auto"/>
            <w:hideMark/>
          </w:tcPr>
          <w:p w14:paraId="2A845C84" w14:textId="77777777" w:rsidR="006A7730" w:rsidRPr="006A7730" w:rsidRDefault="006A7730" w:rsidP="009D274C">
            <w:pPr>
              <w:jc w:val="center"/>
              <w:rPr>
                <w:rFonts w:ascii="Times New Roman" w:eastAsia="Times New Roman" w:hAnsi="Times New Roman" w:cs="Times New Roman"/>
                <w:b/>
                <w:bCs/>
                <w:sz w:val="20"/>
                <w:szCs w:val="20"/>
                <w:highlight w:val="yellow"/>
                <w:lang w:val="en-IN" w:eastAsia="en-IN" w:bidi="hi-IN"/>
              </w:rPr>
            </w:pPr>
            <w:r w:rsidRPr="006A7730">
              <w:rPr>
                <w:rFonts w:ascii="Times New Roman" w:eastAsia="Times New Roman" w:hAnsi="Times New Roman" w:cs="Times New Roman"/>
                <w:b/>
                <w:bCs/>
                <w:sz w:val="20"/>
                <w:szCs w:val="20"/>
                <w:highlight w:val="yellow"/>
                <w:lang w:val="en-IN" w:eastAsia="en-IN" w:bidi="hi-IN"/>
              </w:rPr>
              <w:t>Functional Advantage</w:t>
            </w:r>
          </w:p>
        </w:tc>
        <w:tc>
          <w:tcPr>
            <w:tcW w:w="0" w:type="auto"/>
            <w:hideMark/>
          </w:tcPr>
          <w:p w14:paraId="32DE04E0" w14:textId="6C4A4E69" w:rsidR="006A7730" w:rsidRPr="006A7730" w:rsidRDefault="009F1693" w:rsidP="009D274C">
            <w:pPr>
              <w:jc w:val="center"/>
              <w:rPr>
                <w:rFonts w:ascii="Times New Roman" w:eastAsia="Times New Roman" w:hAnsi="Times New Roman" w:cs="Times New Roman"/>
                <w:b/>
                <w:bCs/>
                <w:sz w:val="20"/>
                <w:szCs w:val="20"/>
                <w:highlight w:val="yellow"/>
                <w:lang w:val="en-IN" w:eastAsia="en-IN" w:bidi="hi-IN"/>
              </w:rPr>
            </w:pPr>
            <w:r>
              <w:rPr>
                <w:rFonts w:ascii="Times New Roman" w:eastAsia="Times New Roman" w:hAnsi="Times New Roman" w:cs="Times New Roman"/>
                <w:b/>
                <w:bCs/>
                <w:sz w:val="20"/>
                <w:szCs w:val="20"/>
                <w:highlight w:val="yellow"/>
                <w:lang w:val="en-IN" w:eastAsia="en-IN" w:bidi="hi-IN"/>
              </w:rPr>
              <w:t>References</w:t>
            </w:r>
          </w:p>
        </w:tc>
      </w:tr>
      <w:tr w:rsidR="009F1693" w:rsidRPr="006A7730" w14:paraId="54B8E726" w14:textId="77777777" w:rsidTr="006A7730">
        <w:tc>
          <w:tcPr>
            <w:tcW w:w="0" w:type="auto"/>
            <w:hideMark/>
          </w:tcPr>
          <w:p w14:paraId="35160746" w14:textId="77777777" w:rsidR="006A7730" w:rsidRPr="006A7730" w:rsidRDefault="006A7730" w:rsidP="009D274C">
            <w:pPr>
              <w:rPr>
                <w:rFonts w:ascii="Times New Roman" w:eastAsia="Times New Roman" w:hAnsi="Times New Roman" w:cs="Times New Roman"/>
                <w:sz w:val="20"/>
                <w:szCs w:val="20"/>
                <w:highlight w:val="yellow"/>
                <w:lang w:val="en-IN" w:eastAsia="en-IN" w:bidi="hi-IN"/>
              </w:rPr>
            </w:pPr>
            <w:r w:rsidRPr="006A7730">
              <w:rPr>
                <w:rFonts w:ascii="Times New Roman" w:eastAsia="Times New Roman" w:hAnsi="Times New Roman" w:cs="Times New Roman"/>
                <w:sz w:val="20"/>
                <w:szCs w:val="20"/>
                <w:highlight w:val="yellow"/>
                <w:lang w:val="en-IN" w:eastAsia="en-IN" w:bidi="hi-IN"/>
              </w:rPr>
              <w:t>Organic-based SRFs</w:t>
            </w:r>
          </w:p>
        </w:tc>
        <w:tc>
          <w:tcPr>
            <w:tcW w:w="0" w:type="auto"/>
            <w:hideMark/>
          </w:tcPr>
          <w:p w14:paraId="2921D070" w14:textId="77777777" w:rsidR="006A7730" w:rsidRPr="006A7730" w:rsidRDefault="006A7730" w:rsidP="009D274C">
            <w:pPr>
              <w:rPr>
                <w:rFonts w:ascii="Times New Roman" w:eastAsia="Times New Roman" w:hAnsi="Times New Roman" w:cs="Times New Roman"/>
                <w:sz w:val="20"/>
                <w:szCs w:val="20"/>
                <w:highlight w:val="yellow"/>
                <w:lang w:val="en-IN" w:eastAsia="en-IN" w:bidi="hi-IN"/>
              </w:rPr>
            </w:pPr>
            <w:r w:rsidRPr="006A7730">
              <w:rPr>
                <w:rFonts w:ascii="Times New Roman" w:eastAsia="Times New Roman" w:hAnsi="Times New Roman" w:cs="Times New Roman"/>
                <w:sz w:val="20"/>
                <w:szCs w:val="20"/>
                <w:highlight w:val="yellow"/>
                <w:lang w:val="en-IN" w:eastAsia="en-IN" w:bidi="hi-IN"/>
              </w:rPr>
              <w:t>Urea-formaldehyde, IBDU, CDU</w:t>
            </w:r>
          </w:p>
        </w:tc>
        <w:tc>
          <w:tcPr>
            <w:tcW w:w="0" w:type="auto"/>
            <w:hideMark/>
          </w:tcPr>
          <w:p w14:paraId="11462185" w14:textId="77777777" w:rsidR="006A7730" w:rsidRPr="006A7730" w:rsidRDefault="006A7730" w:rsidP="009D274C">
            <w:pPr>
              <w:rPr>
                <w:rFonts w:ascii="Times New Roman" w:eastAsia="Times New Roman" w:hAnsi="Times New Roman" w:cs="Times New Roman"/>
                <w:sz w:val="20"/>
                <w:szCs w:val="20"/>
                <w:highlight w:val="yellow"/>
                <w:lang w:val="en-IN" w:eastAsia="en-IN" w:bidi="hi-IN"/>
              </w:rPr>
            </w:pPr>
            <w:r w:rsidRPr="006A7730">
              <w:rPr>
                <w:rFonts w:ascii="Times New Roman" w:eastAsia="Times New Roman" w:hAnsi="Times New Roman" w:cs="Times New Roman"/>
                <w:sz w:val="20"/>
                <w:szCs w:val="20"/>
                <w:highlight w:val="yellow"/>
                <w:lang w:val="en-IN" w:eastAsia="en-IN" w:bidi="hi-IN"/>
              </w:rPr>
              <w:t>Organic N compounds, condensation products</w:t>
            </w:r>
          </w:p>
        </w:tc>
        <w:tc>
          <w:tcPr>
            <w:tcW w:w="0" w:type="auto"/>
            <w:hideMark/>
          </w:tcPr>
          <w:p w14:paraId="4A80B412" w14:textId="77777777" w:rsidR="006A7730" w:rsidRPr="006A7730" w:rsidRDefault="006A7730" w:rsidP="009D274C">
            <w:pPr>
              <w:rPr>
                <w:rFonts w:ascii="Times New Roman" w:eastAsia="Times New Roman" w:hAnsi="Times New Roman" w:cs="Times New Roman"/>
                <w:sz w:val="20"/>
                <w:szCs w:val="20"/>
                <w:highlight w:val="yellow"/>
                <w:lang w:val="en-IN" w:eastAsia="en-IN" w:bidi="hi-IN"/>
              </w:rPr>
            </w:pPr>
            <w:r w:rsidRPr="006A7730">
              <w:rPr>
                <w:rFonts w:ascii="Times New Roman" w:eastAsia="Times New Roman" w:hAnsi="Times New Roman" w:cs="Times New Roman"/>
                <w:sz w:val="20"/>
                <w:szCs w:val="20"/>
                <w:highlight w:val="yellow"/>
                <w:lang w:val="en-IN" w:eastAsia="en-IN" w:bidi="hi-IN"/>
              </w:rPr>
              <w:t>Microbial decomposition and chemical breakdown</w:t>
            </w:r>
          </w:p>
        </w:tc>
        <w:tc>
          <w:tcPr>
            <w:tcW w:w="0" w:type="auto"/>
            <w:hideMark/>
          </w:tcPr>
          <w:p w14:paraId="4688FEB0" w14:textId="77777777" w:rsidR="006A7730" w:rsidRPr="006A7730" w:rsidRDefault="006A7730" w:rsidP="009D274C">
            <w:pPr>
              <w:rPr>
                <w:rFonts w:ascii="Times New Roman" w:eastAsia="Times New Roman" w:hAnsi="Times New Roman" w:cs="Times New Roman"/>
                <w:sz w:val="20"/>
                <w:szCs w:val="20"/>
                <w:highlight w:val="yellow"/>
                <w:lang w:val="en-IN" w:eastAsia="en-IN" w:bidi="hi-IN"/>
              </w:rPr>
            </w:pPr>
            <w:r w:rsidRPr="006A7730">
              <w:rPr>
                <w:rFonts w:ascii="Times New Roman" w:eastAsia="Times New Roman" w:hAnsi="Times New Roman" w:cs="Times New Roman"/>
                <w:sz w:val="20"/>
                <w:szCs w:val="20"/>
                <w:highlight w:val="yellow"/>
                <w:lang w:val="en-IN" w:eastAsia="en-IN" w:bidi="hi-IN"/>
              </w:rPr>
              <w:t>Gradual nutrient availability, improved soil health</w:t>
            </w:r>
          </w:p>
        </w:tc>
        <w:tc>
          <w:tcPr>
            <w:tcW w:w="0" w:type="auto"/>
            <w:hideMark/>
          </w:tcPr>
          <w:p w14:paraId="109F9236" w14:textId="77777777" w:rsidR="006A7730" w:rsidRPr="006A7730" w:rsidRDefault="006A7730" w:rsidP="009D274C">
            <w:pPr>
              <w:rPr>
                <w:rFonts w:ascii="Times New Roman" w:eastAsia="Times New Roman" w:hAnsi="Times New Roman" w:cs="Times New Roman"/>
                <w:sz w:val="20"/>
                <w:szCs w:val="20"/>
                <w:highlight w:val="yellow"/>
                <w:lang w:val="en-IN" w:eastAsia="en-IN" w:bidi="hi-IN"/>
              </w:rPr>
            </w:pPr>
            <w:r w:rsidRPr="006A7730">
              <w:rPr>
                <w:rFonts w:ascii="Times New Roman" w:eastAsia="Times New Roman" w:hAnsi="Times New Roman" w:cs="Times New Roman"/>
                <w:sz w:val="20"/>
                <w:szCs w:val="20"/>
                <w:highlight w:val="yellow"/>
                <w:lang w:val="en-IN" w:eastAsia="en-IN" w:bidi="hi-IN"/>
              </w:rPr>
              <w:t xml:space="preserve">(Azeem et al., 2014; </w:t>
            </w:r>
            <w:proofErr w:type="spellStart"/>
            <w:r w:rsidRPr="006A7730">
              <w:rPr>
                <w:rFonts w:ascii="Times New Roman" w:eastAsia="Times New Roman" w:hAnsi="Times New Roman" w:cs="Times New Roman"/>
                <w:sz w:val="20"/>
                <w:szCs w:val="20"/>
                <w:highlight w:val="yellow"/>
                <w:lang w:val="en-IN" w:eastAsia="en-IN" w:bidi="hi-IN"/>
              </w:rPr>
              <w:t>Xie</w:t>
            </w:r>
            <w:proofErr w:type="spellEnd"/>
            <w:r w:rsidRPr="006A7730">
              <w:rPr>
                <w:rFonts w:ascii="Times New Roman" w:eastAsia="Times New Roman" w:hAnsi="Times New Roman" w:cs="Times New Roman"/>
                <w:sz w:val="20"/>
                <w:szCs w:val="20"/>
                <w:highlight w:val="yellow"/>
                <w:lang w:val="en-IN" w:eastAsia="en-IN" w:bidi="hi-IN"/>
              </w:rPr>
              <w:t xml:space="preserve"> et al., 2012)</w:t>
            </w:r>
          </w:p>
        </w:tc>
      </w:tr>
      <w:tr w:rsidR="009F1693" w:rsidRPr="006A7730" w14:paraId="649DDAD7" w14:textId="77777777" w:rsidTr="006A7730">
        <w:tc>
          <w:tcPr>
            <w:tcW w:w="0" w:type="auto"/>
            <w:hideMark/>
          </w:tcPr>
          <w:p w14:paraId="54888C39" w14:textId="77777777" w:rsidR="006A7730" w:rsidRPr="006A7730" w:rsidRDefault="006A7730" w:rsidP="009D274C">
            <w:pPr>
              <w:rPr>
                <w:rFonts w:ascii="Times New Roman" w:eastAsia="Times New Roman" w:hAnsi="Times New Roman" w:cs="Times New Roman"/>
                <w:sz w:val="20"/>
                <w:szCs w:val="20"/>
                <w:highlight w:val="yellow"/>
                <w:lang w:val="en-IN" w:eastAsia="en-IN" w:bidi="hi-IN"/>
              </w:rPr>
            </w:pPr>
            <w:r w:rsidRPr="006A7730">
              <w:rPr>
                <w:rFonts w:ascii="Times New Roman" w:eastAsia="Times New Roman" w:hAnsi="Times New Roman" w:cs="Times New Roman"/>
                <w:sz w:val="20"/>
                <w:szCs w:val="20"/>
                <w:highlight w:val="yellow"/>
                <w:lang w:val="en-IN" w:eastAsia="en-IN" w:bidi="hi-IN"/>
              </w:rPr>
              <w:lastRenderedPageBreak/>
              <w:t>Inorganic low-solubility SRFs</w:t>
            </w:r>
          </w:p>
        </w:tc>
        <w:tc>
          <w:tcPr>
            <w:tcW w:w="0" w:type="auto"/>
            <w:hideMark/>
          </w:tcPr>
          <w:p w14:paraId="1578445F" w14:textId="77777777" w:rsidR="006A7730" w:rsidRPr="006A7730" w:rsidRDefault="006A7730" w:rsidP="009D274C">
            <w:pPr>
              <w:rPr>
                <w:rFonts w:ascii="Times New Roman" w:eastAsia="Times New Roman" w:hAnsi="Times New Roman" w:cs="Times New Roman"/>
                <w:sz w:val="20"/>
                <w:szCs w:val="20"/>
                <w:highlight w:val="yellow"/>
                <w:lang w:val="en-IN" w:eastAsia="en-IN" w:bidi="hi-IN"/>
              </w:rPr>
            </w:pPr>
            <w:r w:rsidRPr="006A7730">
              <w:rPr>
                <w:rFonts w:ascii="Times New Roman" w:eastAsia="Times New Roman" w:hAnsi="Times New Roman" w:cs="Times New Roman"/>
                <w:sz w:val="20"/>
                <w:szCs w:val="20"/>
                <w:highlight w:val="yellow"/>
                <w:lang w:val="en-IN" w:eastAsia="en-IN" w:bidi="hi-IN"/>
              </w:rPr>
              <w:t>Metal ammonium phosphates, PAPR</w:t>
            </w:r>
          </w:p>
        </w:tc>
        <w:tc>
          <w:tcPr>
            <w:tcW w:w="0" w:type="auto"/>
            <w:hideMark/>
          </w:tcPr>
          <w:p w14:paraId="41E3A5F0" w14:textId="77777777" w:rsidR="006A7730" w:rsidRPr="006A7730" w:rsidRDefault="006A7730" w:rsidP="009D274C">
            <w:pPr>
              <w:rPr>
                <w:rFonts w:ascii="Times New Roman" w:eastAsia="Times New Roman" w:hAnsi="Times New Roman" w:cs="Times New Roman"/>
                <w:sz w:val="20"/>
                <w:szCs w:val="20"/>
                <w:highlight w:val="yellow"/>
                <w:lang w:val="en-IN" w:eastAsia="en-IN" w:bidi="hi-IN"/>
              </w:rPr>
            </w:pPr>
            <w:r w:rsidRPr="006A7730">
              <w:rPr>
                <w:rFonts w:ascii="Times New Roman" w:eastAsia="Times New Roman" w:hAnsi="Times New Roman" w:cs="Times New Roman"/>
                <w:sz w:val="20"/>
                <w:szCs w:val="20"/>
                <w:highlight w:val="yellow"/>
                <w:lang w:val="en-IN" w:eastAsia="en-IN" w:bidi="hi-IN"/>
              </w:rPr>
              <w:t>Low-solubility mineral compounds</w:t>
            </w:r>
          </w:p>
        </w:tc>
        <w:tc>
          <w:tcPr>
            <w:tcW w:w="0" w:type="auto"/>
            <w:hideMark/>
          </w:tcPr>
          <w:p w14:paraId="5561AF38" w14:textId="77777777" w:rsidR="006A7730" w:rsidRPr="006A7730" w:rsidRDefault="006A7730" w:rsidP="009D274C">
            <w:pPr>
              <w:rPr>
                <w:rFonts w:ascii="Times New Roman" w:eastAsia="Times New Roman" w:hAnsi="Times New Roman" w:cs="Times New Roman"/>
                <w:sz w:val="20"/>
                <w:szCs w:val="20"/>
                <w:highlight w:val="yellow"/>
                <w:lang w:val="en-IN" w:eastAsia="en-IN" w:bidi="hi-IN"/>
              </w:rPr>
            </w:pPr>
            <w:r w:rsidRPr="006A7730">
              <w:rPr>
                <w:rFonts w:ascii="Times New Roman" w:eastAsia="Times New Roman" w:hAnsi="Times New Roman" w:cs="Times New Roman"/>
                <w:sz w:val="20"/>
                <w:szCs w:val="20"/>
                <w:highlight w:val="yellow"/>
                <w:lang w:val="en-IN" w:eastAsia="en-IN" w:bidi="hi-IN"/>
              </w:rPr>
              <w:t>Slow dissolution in soil solution</w:t>
            </w:r>
          </w:p>
        </w:tc>
        <w:tc>
          <w:tcPr>
            <w:tcW w:w="0" w:type="auto"/>
            <w:hideMark/>
          </w:tcPr>
          <w:p w14:paraId="1F8BD8AE" w14:textId="77777777" w:rsidR="006A7730" w:rsidRPr="006A7730" w:rsidRDefault="006A7730" w:rsidP="009D274C">
            <w:pPr>
              <w:rPr>
                <w:rFonts w:ascii="Times New Roman" w:eastAsia="Times New Roman" w:hAnsi="Times New Roman" w:cs="Times New Roman"/>
                <w:sz w:val="20"/>
                <w:szCs w:val="20"/>
                <w:highlight w:val="yellow"/>
                <w:lang w:val="en-IN" w:eastAsia="en-IN" w:bidi="hi-IN"/>
              </w:rPr>
            </w:pPr>
            <w:r w:rsidRPr="006A7730">
              <w:rPr>
                <w:rFonts w:ascii="Times New Roman" w:eastAsia="Times New Roman" w:hAnsi="Times New Roman" w:cs="Times New Roman"/>
                <w:sz w:val="20"/>
                <w:szCs w:val="20"/>
                <w:highlight w:val="yellow"/>
                <w:lang w:val="en-IN" w:eastAsia="en-IN" w:bidi="hi-IN"/>
              </w:rPr>
              <w:t>Reduced nutrient fixation and leaching</w:t>
            </w:r>
          </w:p>
        </w:tc>
        <w:tc>
          <w:tcPr>
            <w:tcW w:w="0" w:type="auto"/>
            <w:hideMark/>
          </w:tcPr>
          <w:p w14:paraId="53043CD0" w14:textId="77777777" w:rsidR="006A7730" w:rsidRPr="006A7730" w:rsidRDefault="006A7730" w:rsidP="009D274C">
            <w:pPr>
              <w:rPr>
                <w:rFonts w:ascii="Times New Roman" w:eastAsia="Times New Roman" w:hAnsi="Times New Roman" w:cs="Times New Roman"/>
                <w:sz w:val="20"/>
                <w:szCs w:val="20"/>
                <w:highlight w:val="yellow"/>
                <w:lang w:val="en-IN" w:eastAsia="en-IN" w:bidi="hi-IN"/>
              </w:rPr>
            </w:pPr>
            <w:r w:rsidRPr="006A7730">
              <w:rPr>
                <w:rFonts w:ascii="Times New Roman" w:eastAsia="Times New Roman" w:hAnsi="Times New Roman" w:cs="Times New Roman"/>
                <w:sz w:val="20"/>
                <w:szCs w:val="20"/>
                <w:highlight w:val="yellow"/>
                <w:lang w:val="en-IN" w:eastAsia="en-IN" w:bidi="hi-IN"/>
              </w:rPr>
              <w:t>(</w:t>
            </w:r>
            <w:proofErr w:type="spellStart"/>
            <w:r w:rsidRPr="006A7730">
              <w:rPr>
                <w:rFonts w:ascii="Times New Roman" w:eastAsia="Times New Roman" w:hAnsi="Times New Roman" w:cs="Times New Roman"/>
                <w:sz w:val="20"/>
                <w:szCs w:val="20"/>
                <w:highlight w:val="yellow"/>
                <w:lang w:val="en-IN" w:eastAsia="en-IN" w:bidi="hi-IN"/>
              </w:rPr>
              <w:t>Xie</w:t>
            </w:r>
            <w:proofErr w:type="spellEnd"/>
            <w:r w:rsidRPr="006A7730">
              <w:rPr>
                <w:rFonts w:ascii="Times New Roman" w:eastAsia="Times New Roman" w:hAnsi="Times New Roman" w:cs="Times New Roman"/>
                <w:sz w:val="20"/>
                <w:szCs w:val="20"/>
                <w:highlight w:val="yellow"/>
                <w:lang w:val="en-IN" w:eastAsia="en-IN" w:bidi="hi-IN"/>
              </w:rPr>
              <w:t xml:space="preserve"> et al., 2012)</w:t>
            </w:r>
          </w:p>
        </w:tc>
      </w:tr>
      <w:tr w:rsidR="009F1693" w:rsidRPr="006A7730" w14:paraId="72B8402A" w14:textId="77777777" w:rsidTr="006A7730">
        <w:tc>
          <w:tcPr>
            <w:tcW w:w="0" w:type="auto"/>
            <w:hideMark/>
          </w:tcPr>
          <w:p w14:paraId="16E15DCC" w14:textId="77777777" w:rsidR="006A7730" w:rsidRPr="006A7730" w:rsidRDefault="006A7730" w:rsidP="009D274C">
            <w:pPr>
              <w:rPr>
                <w:rFonts w:ascii="Times New Roman" w:eastAsia="Times New Roman" w:hAnsi="Times New Roman" w:cs="Times New Roman"/>
                <w:sz w:val="20"/>
                <w:szCs w:val="20"/>
                <w:highlight w:val="yellow"/>
                <w:lang w:val="en-IN" w:eastAsia="en-IN" w:bidi="hi-IN"/>
              </w:rPr>
            </w:pPr>
            <w:r w:rsidRPr="006A7730">
              <w:rPr>
                <w:rFonts w:ascii="Times New Roman" w:eastAsia="Times New Roman" w:hAnsi="Times New Roman" w:cs="Times New Roman"/>
                <w:sz w:val="20"/>
                <w:szCs w:val="20"/>
                <w:highlight w:val="yellow"/>
                <w:lang w:val="en-IN" w:eastAsia="en-IN" w:bidi="hi-IN"/>
              </w:rPr>
              <w:t>Polymer-coated CRFs</w:t>
            </w:r>
          </w:p>
        </w:tc>
        <w:tc>
          <w:tcPr>
            <w:tcW w:w="0" w:type="auto"/>
            <w:hideMark/>
          </w:tcPr>
          <w:p w14:paraId="5ED81FF8" w14:textId="77777777" w:rsidR="006A7730" w:rsidRPr="006A7730" w:rsidRDefault="006A7730" w:rsidP="009D274C">
            <w:pPr>
              <w:rPr>
                <w:rFonts w:ascii="Times New Roman" w:eastAsia="Times New Roman" w:hAnsi="Times New Roman" w:cs="Times New Roman"/>
                <w:sz w:val="20"/>
                <w:szCs w:val="20"/>
                <w:highlight w:val="yellow"/>
                <w:lang w:val="en-IN" w:eastAsia="en-IN" w:bidi="hi-IN"/>
              </w:rPr>
            </w:pPr>
            <w:r w:rsidRPr="006A7730">
              <w:rPr>
                <w:rFonts w:ascii="Times New Roman" w:eastAsia="Times New Roman" w:hAnsi="Times New Roman" w:cs="Times New Roman"/>
                <w:sz w:val="20"/>
                <w:szCs w:val="20"/>
                <w:highlight w:val="yellow"/>
                <w:lang w:val="en-IN" w:eastAsia="en-IN" w:bidi="hi-IN"/>
              </w:rPr>
              <w:t>Polymer-coated urea/NPK</w:t>
            </w:r>
          </w:p>
        </w:tc>
        <w:tc>
          <w:tcPr>
            <w:tcW w:w="0" w:type="auto"/>
            <w:hideMark/>
          </w:tcPr>
          <w:p w14:paraId="244F442A" w14:textId="77777777" w:rsidR="006A7730" w:rsidRPr="006A7730" w:rsidRDefault="006A7730" w:rsidP="009D274C">
            <w:pPr>
              <w:rPr>
                <w:rFonts w:ascii="Times New Roman" w:eastAsia="Times New Roman" w:hAnsi="Times New Roman" w:cs="Times New Roman"/>
                <w:sz w:val="20"/>
                <w:szCs w:val="20"/>
                <w:highlight w:val="yellow"/>
                <w:lang w:val="en-IN" w:eastAsia="en-IN" w:bidi="hi-IN"/>
              </w:rPr>
            </w:pPr>
            <w:r w:rsidRPr="006A7730">
              <w:rPr>
                <w:rFonts w:ascii="Times New Roman" w:eastAsia="Times New Roman" w:hAnsi="Times New Roman" w:cs="Times New Roman"/>
                <w:sz w:val="20"/>
                <w:szCs w:val="20"/>
                <w:highlight w:val="yellow"/>
                <w:lang w:val="en-IN" w:eastAsia="en-IN" w:bidi="hi-IN"/>
              </w:rPr>
              <w:t>Resin, thermoplastic polymers, polyolefins</w:t>
            </w:r>
          </w:p>
        </w:tc>
        <w:tc>
          <w:tcPr>
            <w:tcW w:w="0" w:type="auto"/>
            <w:hideMark/>
          </w:tcPr>
          <w:p w14:paraId="0FF6B549" w14:textId="77777777" w:rsidR="006A7730" w:rsidRPr="006A7730" w:rsidRDefault="006A7730" w:rsidP="009D274C">
            <w:pPr>
              <w:rPr>
                <w:rFonts w:ascii="Times New Roman" w:eastAsia="Times New Roman" w:hAnsi="Times New Roman" w:cs="Times New Roman"/>
                <w:sz w:val="20"/>
                <w:szCs w:val="20"/>
                <w:highlight w:val="yellow"/>
                <w:lang w:val="en-IN" w:eastAsia="en-IN" w:bidi="hi-IN"/>
              </w:rPr>
            </w:pPr>
            <w:r w:rsidRPr="006A7730">
              <w:rPr>
                <w:rFonts w:ascii="Times New Roman" w:eastAsia="Times New Roman" w:hAnsi="Times New Roman" w:cs="Times New Roman"/>
                <w:sz w:val="20"/>
                <w:szCs w:val="20"/>
                <w:highlight w:val="yellow"/>
                <w:lang w:val="en-IN" w:eastAsia="en-IN" w:bidi="hi-IN"/>
              </w:rPr>
              <w:t>Diffusion through semi-permeable membrane</w:t>
            </w:r>
          </w:p>
        </w:tc>
        <w:tc>
          <w:tcPr>
            <w:tcW w:w="0" w:type="auto"/>
            <w:hideMark/>
          </w:tcPr>
          <w:p w14:paraId="06956393" w14:textId="77777777" w:rsidR="006A7730" w:rsidRPr="006A7730" w:rsidRDefault="006A7730" w:rsidP="009D274C">
            <w:pPr>
              <w:rPr>
                <w:rFonts w:ascii="Times New Roman" w:eastAsia="Times New Roman" w:hAnsi="Times New Roman" w:cs="Times New Roman"/>
                <w:sz w:val="20"/>
                <w:szCs w:val="20"/>
                <w:highlight w:val="yellow"/>
                <w:lang w:val="en-IN" w:eastAsia="en-IN" w:bidi="hi-IN"/>
              </w:rPr>
            </w:pPr>
            <w:r w:rsidRPr="006A7730">
              <w:rPr>
                <w:rFonts w:ascii="Times New Roman" w:eastAsia="Times New Roman" w:hAnsi="Times New Roman" w:cs="Times New Roman"/>
                <w:sz w:val="20"/>
                <w:szCs w:val="20"/>
                <w:highlight w:val="yellow"/>
                <w:lang w:val="en-IN" w:eastAsia="en-IN" w:bidi="hi-IN"/>
              </w:rPr>
              <w:t>Controlled and predictable nutrient release</w:t>
            </w:r>
          </w:p>
        </w:tc>
        <w:tc>
          <w:tcPr>
            <w:tcW w:w="0" w:type="auto"/>
            <w:hideMark/>
          </w:tcPr>
          <w:p w14:paraId="2C19BEC4" w14:textId="77777777" w:rsidR="006A7730" w:rsidRPr="006A7730" w:rsidRDefault="006A7730" w:rsidP="009D274C">
            <w:pPr>
              <w:rPr>
                <w:rFonts w:ascii="Times New Roman" w:eastAsia="Times New Roman" w:hAnsi="Times New Roman" w:cs="Times New Roman"/>
                <w:sz w:val="20"/>
                <w:szCs w:val="20"/>
                <w:highlight w:val="yellow"/>
                <w:lang w:val="en-IN" w:eastAsia="en-IN" w:bidi="hi-IN"/>
              </w:rPr>
            </w:pPr>
            <w:r w:rsidRPr="006A7730">
              <w:rPr>
                <w:rFonts w:ascii="Times New Roman" w:eastAsia="Times New Roman" w:hAnsi="Times New Roman" w:cs="Times New Roman"/>
                <w:sz w:val="20"/>
                <w:szCs w:val="20"/>
                <w:highlight w:val="yellow"/>
                <w:lang w:val="en-IN" w:eastAsia="en-IN" w:bidi="hi-IN"/>
              </w:rPr>
              <w:t xml:space="preserve">(Azeem et al., 2014; </w:t>
            </w:r>
            <w:proofErr w:type="spellStart"/>
            <w:r w:rsidRPr="006A7730">
              <w:rPr>
                <w:rFonts w:ascii="Times New Roman" w:eastAsia="Times New Roman" w:hAnsi="Times New Roman" w:cs="Times New Roman"/>
                <w:sz w:val="20"/>
                <w:szCs w:val="20"/>
                <w:highlight w:val="yellow"/>
                <w:lang w:val="en-IN" w:eastAsia="en-IN" w:bidi="hi-IN"/>
              </w:rPr>
              <w:t>Remya</w:t>
            </w:r>
            <w:proofErr w:type="spellEnd"/>
            <w:r w:rsidRPr="006A7730">
              <w:rPr>
                <w:rFonts w:ascii="Times New Roman" w:eastAsia="Times New Roman" w:hAnsi="Times New Roman" w:cs="Times New Roman"/>
                <w:sz w:val="20"/>
                <w:szCs w:val="20"/>
                <w:highlight w:val="yellow"/>
                <w:lang w:val="en-IN" w:eastAsia="en-IN" w:bidi="hi-IN"/>
              </w:rPr>
              <w:t xml:space="preserve"> et al., 2021)</w:t>
            </w:r>
          </w:p>
        </w:tc>
      </w:tr>
      <w:tr w:rsidR="009F1693" w:rsidRPr="006A7730" w14:paraId="15532310" w14:textId="77777777" w:rsidTr="006A7730">
        <w:tc>
          <w:tcPr>
            <w:tcW w:w="0" w:type="auto"/>
            <w:hideMark/>
          </w:tcPr>
          <w:p w14:paraId="218278BB" w14:textId="77777777" w:rsidR="006A7730" w:rsidRPr="006A7730" w:rsidRDefault="006A7730" w:rsidP="009D274C">
            <w:pPr>
              <w:rPr>
                <w:rFonts w:ascii="Times New Roman" w:eastAsia="Times New Roman" w:hAnsi="Times New Roman" w:cs="Times New Roman"/>
                <w:sz w:val="20"/>
                <w:szCs w:val="20"/>
                <w:highlight w:val="yellow"/>
                <w:lang w:val="en-IN" w:eastAsia="en-IN" w:bidi="hi-IN"/>
              </w:rPr>
            </w:pPr>
            <w:proofErr w:type="spellStart"/>
            <w:r w:rsidRPr="006A7730">
              <w:rPr>
                <w:rFonts w:ascii="Times New Roman" w:eastAsia="Times New Roman" w:hAnsi="Times New Roman" w:cs="Times New Roman"/>
                <w:sz w:val="20"/>
                <w:szCs w:val="20"/>
                <w:highlight w:val="yellow"/>
                <w:lang w:val="en-IN" w:eastAsia="en-IN" w:bidi="hi-IN"/>
              </w:rPr>
              <w:t>Sulfur</w:t>
            </w:r>
            <w:proofErr w:type="spellEnd"/>
            <w:r w:rsidRPr="006A7730">
              <w:rPr>
                <w:rFonts w:ascii="Times New Roman" w:eastAsia="Times New Roman" w:hAnsi="Times New Roman" w:cs="Times New Roman"/>
                <w:sz w:val="20"/>
                <w:szCs w:val="20"/>
                <w:highlight w:val="yellow"/>
                <w:lang w:val="en-IN" w:eastAsia="en-IN" w:bidi="hi-IN"/>
              </w:rPr>
              <w:t>-coated fertilizers</w:t>
            </w:r>
          </w:p>
        </w:tc>
        <w:tc>
          <w:tcPr>
            <w:tcW w:w="0" w:type="auto"/>
            <w:hideMark/>
          </w:tcPr>
          <w:p w14:paraId="255E5FF3" w14:textId="77777777" w:rsidR="006A7730" w:rsidRPr="006A7730" w:rsidRDefault="006A7730" w:rsidP="009D274C">
            <w:pPr>
              <w:rPr>
                <w:rFonts w:ascii="Times New Roman" w:eastAsia="Times New Roman" w:hAnsi="Times New Roman" w:cs="Times New Roman"/>
                <w:sz w:val="20"/>
                <w:szCs w:val="20"/>
                <w:highlight w:val="yellow"/>
                <w:lang w:val="en-IN" w:eastAsia="en-IN" w:bidi="hi-IN"/>
              </w:rPr>
            </w:pPr>
            <w:proofErr w:type="spellStart"/>
            <w:r w:rsidRPr="006A7730">
              <w:rPr>
                <w:rFonts w:ascii="Times New Roman" w:eastAsia="Times New Roman" w:hAnsi="Times New Roman" w:cs="Times New Roman"/>
                <w:sz w:val="20"/>
                <w:szCs w:val="20"/>
                <w:highlight w:val="yellow"/>
                <w:lang w:val="en-IN" w:eastAsia="en-IN" w:bidi="hi-IN"/>
              </w:rPr>
              <w:t>Sulfur</w:t>
            </w:r>
            <w:proofErr w:type="spellEnd"/>
            <w:r w:rsidRPr="006A7730">
              <w:rPr>
                <w:rFonts w:ascii="Times New Roman" w:eastAsia="Times New Roman" w:hAnsi="Times New Roman" w:cs="Times New Roman"/>
                <w:sz w:val="20"/>
                <w:szCs w:val="20"/>
                <w:highlight w:val="yellow"/>
                <w:lang w:val="en-IN" w:eastAsia="en-IN" w:bidi="hi-IN"/>
              </w:rPr>
              <w:t>-coated urea (SCU)</w:t>
            </w:r>
          </w:p>
        </w:tc>
        <w:tc>
          <w:tcPr>
            <w:tcW w:w="0" w:type="auto"/>
            <w:hideMark/>
          </w:tcPr>
          <w:p w14:paraId="3093A1BA" w14:textId="77777777" w:rsidR="006A7730" w:rsidRPr="006A7730" w:rsidRDefault="006A7730" w:rsidP="009D274C">
            <w:pPr>
              <w:rPr>
                <w:rFonts w:ascii="Times New Roman" w:eastAsia="Times New Roman" w:hAnsi="Times New Roman" w:cs="Times New Roman"/>
                <w:sz w:val="20"/>
                <w:szCs w:val="20"/>
                <w:highlight w:val="yellow"/>
                <w:lang w:val="en-IN" w:eastAsia="en-IN" w:bidi="hi-IN"/>
              </w:rPr>
            </w:pPr>
            <w:proofErr w:type="spellStart"/>
            <w:r w:rsidRPr="006A7730">
              <w:rPr>
                <w:rFonts w:ascii="Times New Roman" w:eastAsia="Times New Roman" w:hAnsi="Times New Roman" w:cs="Times New Roman"/>
                <w:sz w:val="20"/>
                <w:szCs w:val="20"/>
                <w:highlight w:val="yellow"/>
                <w:lang w:val="en-IN" w:eastAsia="en-IN" w:bidi="hi-IN"/>
              </w:rPr>
              <w:t>Sulfur</w:t>
            </w:r>
            <w:proofErr w:type="spellEnd"/>
            <w:r w:rsidRPr="006A7730">
              <w:rPr>
                <w:rFonts w:ascii="Times New Roman" w:eastAsia="Times New Roman" w:hAnsi="Times New Roman" w:cs="Times New Roman"/>
                <w:sz w:val="20"/>
                <w:szCs w:val="20"/>
                <w:highlight w:val="yellow"/>
                <w:lang w:val="en-IN" w:eastAsia="en-IN" w:bidi="hi-IN"/>
              </w:rPr>
              <w:t xml:space="preserve"> + wax coatings</w:t>
            </w:r>
          </w:p>
        </w:tc>
        <w:tc>
          <w:tcPr>
            <w:tcW w:w="0" w:type="auto"/>
            <w:hideMark/>
          </w:tcPr>
          <w:p w14:paraId="2AB03C1B" w14:textId="77777777" w:rsidR="006A7730" w:rsidRPr="006A7730" w:rsidRDefault="006A7730" w:rsidP="009D274C">
            <w:pPr>
              <w:rPr>
                <w:rFonts w:ascii="Times New Roman" w:eastAsia="Times New Roman" w:hAnsi="Times New Roman" w:cs="Times New Roman"/>
                <w:sz w:val="20"/>
                <w:szCs w:val="20"/>
                <w:highlight w:val="yellow"/>
                <w:lang w:val="en-IN" w:eastAsia="en-IN" w:bidi="hi-IN"/>
              </w:rPr>
            </w:pPr>
            <w:r w:rsidRPr="006A7730">
              <w:rPr>
                <w:rFonts w:ascii="Times New Roman" w:eastAsia="Times New Roman" w:hAnsi="Times New Roman" w:cs="Times New Roman"/>
                <w:sz w:val="20"/>
                <w:szCs w:val="20"/>
                <w:highlight w:val="yellow"/>
                <w:lang w:val="en-IN" w:eastAsia="en-IN" w:bidi="hi-IN"/>
              </w:rPr>
              <w:t>Physical barrier degradation and diffusion</w:t>
            </w:r>
          </w:p>
        </w:tc>
        <w:tc>
          <w:tcPr>
            <w:tcW w:w="0" w:type="auto"/>
            <w:hideMark/>
          </w:tcPr>
          <w:p w14:paraId="45FEA1FD" w14:textId="77777777" w:rsidR="006A7730" w:rsidRPr="006A7730" w:rsidRDefault="006A7730" w:rsidP="009D274C">
            <w:pPr>
              <w:rPr>
                <w:rFonts w:ascii="Times New Roman" w:eastAsia="Times New Roman" w:hAnsi="Times New Roman" w:cs="Times New Roman"/>
                <w:sz w:val="20"/>
                <w:szCs w:val="20"/>
                <w:highlight w:val="yellow"/>
                <w:lang w:val="en-IN" w:eastAsia="en-IN" w:bidi="hi-IN"/>
              </w:rPr>
            </w:pPr>
            <w:r w:rsidRPr="006A7730">
              <w:rPr>
                <w:rFonts w:ascii="Times New Roman" w:eastAsia="Times New Roman" w:hAnsi="Times New Roman" w:cs="Times New Roman"/>
                <w:sz w:val="20"/>
                <w:szCs w:val="20"/>
                <w:highlight w:val="yellow"/>
                <w:lang w:val="en-IN" w:eastAsia="en-IN" w:bidi="hi-IN"/>
              </w:rPr>
              <w:t>Cost-effective controlled release</w:t>
            </w:r>
          </w:p>
        </w:tc>
        <w:tc>
          <w:tcPr>
            <w:tcW w:w="0" w:type="auto"/>
            <w:hideMark/>
          </w:tcPr>
          <w:p w14:paraId="54993A01" w14:textId="77777777" w:rsidR="006A7730" w:rsidRPr="006A7730" w:rsidRDefault="006A7730" w:rsidP="009D274C">
            <w:pPr>
              <w:rPr>
                <w:rFonts w:ascii="Times New Roman" w:eastAsia="Times New Roman" w:hAnsi="Times New Roman" w:cs="Times New Roman"/>
                <w:sz w:val="20"/>
                <w:szCs w:val="20"/>
                <w:highlight w:val="yellow"/>
                <w:lang w:val="en-IN" w:eastAsia="en-IN" w:bidi="hi-IN"/>
              </w:rPr>
            </w:pPr>
            <w:r w:rsidRPr="006A7730">
              <w:rPr>
                <w:rFonts w:ascii="Times New Roman" w:eastAsia="Times New Roman" w:hAnsi="Times New Roman" w:cs="Times New Roman"/>
                <w:sz w:val="20"/>
                <w:szCs w:val="20"/>
                <w:highlight w:val="yellow"/>
                <w:lang w:val="en-IN" w:eastAsia="en-IN" w:bidi="hi-IN"/>
              </w:rPr>
              <w:t>(Azeem et al., 2014)</w:t>
            </w:r>
          </w:p>
        </w:tc>
      </w:tr>
      <w:tr w:rsidR="009F1693" w:rsidRPr="006A7730" w14:paraId="14B86D77" w14:textId="77777777" w:rsidTr="006A7730">
        <w:tc>
          <w:tcPr>
            <w:tcW w:w="0" w:type="auto"/>
            <w:hideMark/>
          </w:tcPr>
          <w:p w14:paraId="3174E977" w14:textId="77777777" w:rsidR="006A7730" w:rsidRPr="006A7730" w:rsidRDefault="006A7730" w:rsidP="009D274C">
            <w:pPr>
              <w:rPr>
                <w:rFonts w:ascii="Times New Roman" w:eastAsia="Times New Roman" w:hAnsi="Times New Roman" w:cs="Times New Roman"/>
                <w:sz w:val="20"/>
                <w:szCs w:val="20"/>
                <w:highlight w:val="yellow"/>
                <w:lang w:val="en-IN" w:eastAsia="en-IN" w:bidi="hi-IN"/>
              </w:rPr>
            </w:pPr>
            <w:r w:rsidRPr="006A7730">
              <w:rPr>
                <w:rFonts w:ascii="Times New Roman" w:eastAsia="Times New Roman" w:hAnsi="Times New Roman" w:cs="Times New Roman"/>
                <w:sz w:val="20"/>
                <w:szCs w:val="20"/>
                <w:highlight w:val="yellow"/>
                <w:lang w:val="en-IN" w:eastAsia="en-IN" w:bidi="hi-IN"/>
              </w:rPr>
              <w:t>Nanocomposite fertilizers</w:t>
            </w:r>
          </w:p>
        </w:tc>
        <w:tc>
          <w:tcPr>
            <w:tcW w:w="0" w:type="auto"/>
            <w:hideMark/>
          </w:tcPr>
          <w:p w14:paraId="6D2D4D19" w14:textId="77777777" w:rsidR="006A7730" w:rsidRPr="006A7730" w:rsidRDefault="006A7730" w:rsidP="009D274C">
            <w:pPr>
              <w:rPr>
                <w:rFonts w:ascii="Times New Roman" w:eastAsia="Times New Roman" w:hAnsi="Times New Roman" w:cs="Times New Roman"/>
                <w:sz w:val="20"/>
                <w:szCs w:val="20"/>
                <w:highlight w:val="yellow"/>
                <w:lang w:val="en-IN" w:eastAsia="en-IN" w:bidi="hi-IN"/>
              </w:rPr>
            </w:pPr>
            <w:r w:rsidRPr="006A7730">
              <w:rPr>
                <w:rFonts w:ascii="Times New Roman" w:eastAsia="Times New Roman" w:hAnsi="Times New Roman" w:cs="Times New Roman"/>
                <w:sz w:val="20"/>
                <w:szCs w:val="20"/>
                <w:highlight w:val="yellow"/>
                <w:lang w:val="en-IN" w:eastAsia="en-IN" w:bidi="hi-IN"/>
              </w:rPr>
              <w:t>Nano-encapsulated NPK</w:t>
            </w:r>
          </w:p>
        </w:tc>
        <w:tc>
          <w:tcPr>
            <w:tcW w:w="0" w:type="auto"/>
            <w:hideMark/>
          </w:tcPr>
          <w:p w14:paraId="7DF3B43C" w14:textId="77777777" w:rsidR="006A7730" w:rsidRPr="006A7730" w:rsidRDefault="006A7730" w:rsidP="009D274C">
            <w:pPr>
              <w:rPr>
                <w:rFonts w:ascii="Times New Roman" w:eastAsia="Times New Roman" w:hAnsi="Times New Roman" w:cs="Times New Roman"/>
                <w:sz w:val="20"/>
                <w:szCs w:val="20"/>
                <w:highlight w:val="yellow"/>
                <w:lang w:val="en-IN" w:eastAsia="en-IN" w:bidi="hi-IN"/>
              </w:rPr>
            </w:pPr>
            <w:r w:rsidRPr="006A7730">
              <w:rPr>
                <w:rFonts w:ascii="Times New Roman" w:eastAsia="Times New Roman" w:hAnsi="Times New Roman" w:cs="Times New Roman"/>
                <w:sz w:val="20"/>
                <w:szCs w:val="20"/>
                <w:highlight w:val="yellow"/>
                <w:lang w:val="en-IN" w:eastAsia="en-IN" w:bidi="hi-IN"/>
              </w:rPr>
              <w:t xml:space="preserve">Nanomaterials, hydrogels, </w:t>
            </w:r>
            <w:proofErr w:type="spellStart"/>
            <w:r w:rsidRPr="006A7730">
              <w:rPr>
                <w:rFonts w:ascii="Times New Roman" w:eastAsia="Times New Roman" w:hAnsi="Times New Roman" w:cs="Times New Roman"/>
                <w:sz w:val="20"/>
                <w:szCs w:val="20"/>
                <w:highlight w:val="yellow"/>
                <w:lang w:val="en-IN" w:eastAsia="en-IN" w:bidi="hi-IN"/>
              </w:rPr>
              <w:t>nano</w:t>
            </w:r>
            <w:proofErr w:type="spellEnd"/>
            <w:r w:rsidRPr="006A7730">
              <w:rPr>
                <w:rFonts w:ascii="Times New Roman" w:eastAsia="Times New Roman" w:hAnsi="Times New Roman" w:cs="Times New Roman"/>
                <w:sz w:val="20"/>
                <w:szCs w:val="20"/>
                <w:highlight w:val="yellow"/>
                <w:lang w:val="en-IN" w:eastAsia="en-IN" w:bidi="hi-IN"/>
              </w:rPr>
              <w:t>-clays</w:t>
            </w:r>
          </w:p>
        </w:tc>
        <w:tc>
          <w:tcPr>
            <w:tcW w:w="0" w:type="auto"/>
            <w:hideMark/>
          </w:tcPr>
          <w:p w14:paraId="09566141" w14:textId="77777777" w:rsidR="006A7730" w:rsidRPr="006A7730" w:rsidRDefault="006A7730" w:rsidP="009D274C">
            <w:pPr>
              <w:rPr>
                <w:rFonts w:ascii="Times New Roman" w:eastAsia="Times New Roman" w:hAnsi="Times New Roman" w:cs="Times New Roman"/>
                <w:sz w:val="20"/>
                <w:szCs w:val="20"/>
                <w:highlight w:val="yellow"/>
                <w:lang w:val="en-IN" w:eastAsia="en-IN" w:bidi="hi-IN"/>
              </w:rPr>
            </w:pPr>
            <w:r w:rsidRPr="006A7730">
              <w:rPr>
                <w:rFonts w:ascii="Times New Roman" w:eastAsia="Times New Roman" w:hAnsi="Times New Roman" w:cs="Times New Roman"/>
                <w:sz w:val="20"/>
                <w:szCs w:val="20"/>
                <w:highlight w:val="yellow"/>
                <w:lang w:val="en-IN" w:eastAsia="en-IN" w:bidi="hi-IN"/>
              </w:rPr>
              <w:t xml:space="preserve">Diffusion and </w:t>
            </w:r>
            <w:proofErr w:type="spellStart"/>
            <w:r w:rsidRPr="006A7730">
              <w:rPr>
                <w:rFonts w:ascii="Times New Roman" w:eastAsia="Times New Roman" w:hAnsi="Times New Roman" w:cs="Times New Roman"/>
                <w:sz w:val="20"/>
                <w:szCs w:val="20"/>
                <w:highlight w:val="yellow"/>
                <w:lang w:val="en-IN" w:eastAsia="en-IN" w:bidi="hi-IN"/>
              </w:rPr>
              <w:t>nano</w:t>
            </w:r>
            <w:proofErr w:type="spellEnd"/>
            <w:r w:rsidRPr="006A7730">
              <w:rPr>
                <w:rFonts w:ascii="Times New Roman" w:eastAsia="Times New Roman" w:hAnsi="Times New Roman" w:cs="Times New Roman"/>
                <w:sz w:val="20"/>
                <w:szCs w:val="20"/>
                <w:highlight w:val="yellow"/>
                <w:lang w:val="en-IN" w:eastAsia="en-IN" w:bidi="hi-IN"/>
              </w:rPr>
              <w:t>-mediated controlled release</w:t>
            </w:r>
          </w:p>
        </w:tc>
        <w:tc>
          <w:tcPr>
            <w:tcW w:w="0" w:type="auto"/>
            <w:hideMark/>
          </w:tcPr>
          <w:p w14:paraId="51DDAD0A" w14:textId="77777777" w:rsidR="006A7730" w:rsidRPr="006A7730" w:rsidRDefault="006A7730" w:rsidP="009D274C">
            <w:pPr>
              <w:rPr>
                <w:rFonts w:ascii="Times New Roman" w:eastAsia="Times New Roman" w:hAnsi="Times New Roman" w:cs="Times New Roman"/>
                <w:sz w:val="20"/>
                <w:szCs w:val="20"/>
                <w:highlight w:val="yellow"/>
                <w:lang w:val="en-IN" w:eastAsia="en-IN" w:bidi="hi-IN"/>
              </w:rPr>
            </w:pPr>
            <w:r w:rsidRPr="006A7730">
              <w:rPr>
                <w:rFonts w:ascii="Times New Roman" w:eastAsia="Times New Roman" w:hAnsi="Times New Roman" w:cs="Times New Roman"/>
                <w:sz w:val="20"/>
                <w:szCs w:val="20"/>
                <w:highlight w:val="yellow"/>
                <w:lang w:val="en-IN" w:eastAsia="en-IN" w:bidi="hi-IN"/>
              </w:rPr>
              <w:t>Enhanced nutrient use efficiency and reduced losses</w:t>
            </w:r>
          </w:p>
        </w:tc>
        <w:tc>
          <w:tcPr>
            <w:tcW w:w="0" w:type="auto"/>
            <w:hideMark/>
          </w:tcPr>
          <w:p w14:paraId="40443BD7" w14:textId="77777777" w:rsidR="006A7730" w:rsidRPr="006A7730" w:rsidRDefault="006A7730" w:rsidP="009D274C">
            <w:pPr>
              <w:rPr>
                <w:rFonts w:ascii="Times New Roman" w:eastAsia="Times New Roman" w:hAnsi="Times New Roman" w:cs="Times New Roman"/>
                <w:sz w:val="20"/>
                <w:szCs w:val="20"/>
                <w:highlight w:val="yellow"/>
                <w:lang w:val="en-IN" w:eastAsia="en-IN" w:bidi="hi-IN"/>
              </w:rPr>
            </w:pPr>
            <w:r w:rsidRPr="006A7730">
              <w:rPr>
                <w:rFonts w:ascii="Times New Roman" w:eastAsia="Times New Roman" w:hAnsi="Times New Roman" w:cs="Times New Roman"/>
                <w:sz w:val="20"/>
                <w:szCs w:val="20"/>
                <w:highlight w:val="yellow"/>
                <w:lang w:val="en-IN" w:eastAsia="en-IN" w:bidi="hi-IN"/>
              </w:rPr>
              <w:t>(</w:t>
            </w:r>
            <w:proofErr w:type="spellStart"/>
            <w:r w:rsidRPr="006A7730">
              <w:rPr>
                <w:rFonts w:ascii="Times New Roman" w:eastAsia="Times New Roman" w:hAnsi="Times New Roman" w:cs="Times New Roman"/>
                <w:sz w:val="20"/>
                <w:szCs w:val="20"/>
                <w:highlight w:val="yellow"/>
                <w:lang w:val="en-IN" w:eastAsia="en-IN" w:bidi="hi-IN"/>
              </w:rPr>
              <w:t>Huiyuan</w:t>
            </w:r>
            <w:proofErr w:type="spellEnd"/>
            <w:r w:rsidRPr="006A7730">
              <w:rPr>
                <w:rFonts w:ascii="Times New Roman" w:eastAsia="Times New Roman" w:hAnsi="Times New Roman" w:cs="Times New Roman"/>
                <w:sz w:val="20"/>
                <w:szCs w:val="20"/>
                <w:highlight w:val="yellow"/>
                <w:lang w:val="en-IN" w:eastAsia="en-IN" w:bidi="hi-IN"/>
              </w:rPr>
              <w:t xml:space="preserve"> et al., 2018)</w:t>
            </w:r>
          </w:p>
        </w:tc>
      </w:tr>
      <w:tr w:rsidR="009F1693" w:rsidRPr="006A7730" w14:paraId="7075FD7F" w14:textId="77777777" w:rsidTr="006A7730">
        <w:tc>
          <w:tcPr>
            <w:tcW w:w="0" w:type="auto"/>
            <w:hideMark/>
          </w:tcPr>
          <w:p w14:paraId="024C3737" w14:textId="77777777" w:rsidR="006A7730" w:rsidRPr="006A7730" w:rsidRDefault="006A7730" w:rsidP="009D274C">
            <w:pPr>
              <w:rPr>
                <w:rFonts w:ascii="Times New Roman" w:eastAsia="Times New Roman" w:hAnsi="Times New Roman" w:cs="Times New Roman"/>
                <w:sz w:val="20"/>
                <w:szCs w:val="20"/>
                <w:highlight w:val="yellow"/>
                <w:lang w:val="en-IN" w:eastAsia="en-IN" w:bidi="hi-IN"/>
              </w:rPr>
            </w:pPr>
            <w:r w:rsidRPr="006A7730">
              <w:rPr>
                <w:rFonts w:ascii="Times New Roman" w:eastAsia="Times New Roman" w:hAnsi="Times New Roman" w:cs="Times New Roman"/>
                <w:sz w:val="20"/>
                <w:szCs w:val="20"/>
                <w:highlight w:val="yellow"/>
                <w:lang w:val="en-IN" w:eastAsia="en-IN" w:bidi="hi-IN"/>
              </w:rPr>
              <w:t>Hydrogel-based systems</w:t>
            </w:r>
          </w:p>
        </w:tc>
        <w:tc>
          <w:tcPr>
            <w:tcW w:w="0" w:type="auto"/>
            <w:hideMark/>
          </w:tcPr>
          <w:p w14:paraId="40EEE94F" w14:textId="77777777" w:rsidR="006A7730" w:rsidRPr="006A7730" w:rsidRDefault="006A7730" w:rsidP="009D274C">
            <w:pPr>
              <w:rPr>
                <w:rFonts w:ascii="Times New Roman" w:eastAsia="Times New Roman" w:hAnsi="Times New Roman" w:cs="Times New Roman"/>
                <w:sz w:val="20"/>
                <w:szCs w:val="20"/>
                <w:highlight w:val="yellow"/>
                <w:lang w:val="en-IN" w:eastAsia="en-IN" w:bidi="hi-IN"/>
              </w:rPr>
            </w:pPr>
            <w:r w:rsidRPr="006A7730">
              <w:rPr>
                <w:rFonts w:ascii="Times New Roman" w:eastAsia="Times New Roman" w:hAnsi="Times New Roman" w:cs="Times New Roman"/>
                <w:sz w:val="20"/>
                <w:szCs w:val="20"/>
                <w:highlight w:val="yellow"/>
                <w:lang w:val="en-IN" w:eastAsia="en-IN" w:bidi="hi-IN"/>
              </w:rPr>
              <w:t>Matrix-based fertilizers</w:t>
            </w:r>
          </w:p>
        </w:tc>
        <w:tc>
          <w:tcPr>
            <w:tcW w:w="0" w:type="auto"/>
            <w:hideMark/>
          </w:tcPr>
          <w:p w14:paraId="28795B9D" w14:textId="77777777" w:rsidR="006A7730" w:rsidRPr="006A7730" w:rsidRDefault="006A7730" w:rsidP="009D274C">
            <w:pPr>
              <w:rPr>
                <w:rFonts w:ascii="Times New Roman" w:eastAsia="Times New Roman" w:hAnsi="Times New Roman" w:cs="Times New Roman"/>
                <w:sz w:val="20"/>
                <w:szCs w:val="20"/>
                <w:highlight w:val="yellow"/>
                <w:lang w:val="en-IN" w:eastAsia="en-IN" w:bidi="hi-IN"/>
              </w:rPr>
            </w:pPr>
            <w:r w:rsidRPr="006A7730">
              <w:rPr>
                <w:rFonts w:ascii="Times New Roman" w:eastAsia="Times New Roman" w:hAnsi="Times New Roman" w:cs="Times New Roman"/>
                <w:sz w:val="20"/>
                <w:szCs w:val="20"/>
                <w:highlight w:val="yellow"/>
                <w:lang w:val="en-IN" w:eastAsia="en-IN" w:bidi="hi-IN"/>
              </w:rPr>
              <w:t>Superabsorbent polymers, hydrogels</w:t>
            </w:r>
          </w:p>
        </w:tc>
        <w:tc>
          <w:tcPr>
            <w:tcW w:w="0" w:type="auto"/>
            <w:hideMark/>
          </w:tcPr>
          <w:p w14:paraId="52BC4D55" w14:textId="77777777" w:rsidR="006A7730" w:rsidRPr="006A7730" w:rsidRDefault="006A7730" w:rsidP="009D274C">
            <w:pPr>
              <w:rPr>
                <w:rFonts w:ascii="Times New Roman" w:eastAsia="Times New Roman" w:hAnsi="Times New Roman" w:cs="Times New Roman"/>
                <w:sz w:val="20"/>
                <w:szCs w:val="20"/>
                <w:highlight w:val="yellow"/>
                <w:lang w:val="en-IN" w:eastAsia="en-IN" w:bidi="hi-IN"/>
              </w:rPr>
            </w:pPr>
            <w:r w:rsidRPr="006A7730">
              <w:rPr>
                <w:rFonts w:ascii="Times New Roman" w:eastAsia="Times New Roman" w:hAnsi="Times New Roman" w:cs="Times New Roman"/>
                <w:sz w:val="20"/>
                <w:szCs w:val="20"/>
                <w:highlight w:val="yellow"/>
                <w:lang w:val="en-IN" w:eastAsia="en-IN" w:bidi="hi-IN"/>
              </w:rPr>
              <w:t>Swelling-controlled diffusion</w:t>
            </w:r>
          </w:p>
        </w:tc>
        <w:tc>
          <w:tcPr>
            <w:tcW w:w="0" w:type="auto"/>
            <w:hideMark/>
          </w:tcPr>
          <w:p w14:paraId="1CEF91AB" w14:textId="77777777" w:rsidR="006A7730" w:rsidRPr="006A7730" w:rsidRDefault="006A7730" w:rsidP="009D274C">
            <w:pPr>
              <w:rPr>
                <w:rFonts w:ascii="Times New Roman" w:eastAsia="Times New Roman" w:hAnsi="Times New Roman" w:cs="Times New Roman"/>
                <w:sz w:val="20"/>
                <w:szCs w:val="20"/>
                <w:highlight w:val="yellow"/>
                <w:lang w:val="en-IN" w:eastAsia="en-IN" w:bidi="hi-IN"/>
              </w:rPr>
            </w:pPr>
            <w:r w:rsidRPr="006A7730">
              <w:rPr>
                <w:rFonts w:ascii="Times New Roman" w:eastAsia="Times New Roman" w:hAnsi="Times New Roman" w:cs="Times New Roman"/>
                <w:sz w:val="20"/>
                <w:szCs w:val="20"/>
                <w:highlight w:val="yellow"/>
                <w:lang w:val="en-IN" w:eastAsia="en-IN" w:bidi="hi-IN"/>
              </w:rPr>
              <w:t>Moisture retention and sustained nutrient supply</w:t>
            </w:r>
          </w:p>
        </w:tc>
        <w:tc>
          <w:tcPr>
            <w:tcW w:w="0" w:type="auto"/>
            <w:hideMark/>
          </w:tcPr>
          <w:p w14:paraId="2DB41428" w14:textId="77777777" w:rsidR="006A7730" w:rsidRPr="006A7730" w:rsidRDefault="006A7730" w:rsidP="009D274C">
            <w:pPr>
              <w:rPr>
                <w:rFonts w:ascii="Times New Roman" w:eastAsia="Times New Roman" w:hAnsi="Times New Roman" w:cs="Times New Roman"/>
                <w:sz w:val="20"/>
                <w:szCs w:val="20"/>
                <w:lang w:val="en-IN" w:eastAsia="en-IN" w:bidi="hi-IN"/>
              </w:rPr>
            </w:pPr>
            <w:r w:rsidRPr="006A7730">
              <w:rPr>
                <w:rFonts w:ascii="Times New Roman" w:eastAsia="Times New Roman" w:hAnsi="Times New Roman" w:cs="Times New Roman"/>
                <w:sz w:val="20"/>
                <w:szCs w:val="20"/>
                <w:highlight w:val="yellow"/>
                <w:lang w:val="en-IN" w:eastAsia="en-IN" w:bidi="hi-IN"/>
              </w:rPr>
              <w:t>(</w:t>
            </w:r>
            <w:proofErr w:type="spellStart"/>
            <w:r w:rsidRPr="006A7730">
              <w:rPr>
                <w:rFonts w:ascii="Times New Roman" w:eastAsia="Times New Roman" w:hAnsi="Times New Roman" w:cs="Times New Roman"/>
                <w:sz w:val="20"/>
                <w:szCs w:val="20"/>
                <w:highlight w:val="yellow"/>
                <w:lang w:val="en-IN" w:eastAsia="en-IN" w:bidi="hi-IN"/>
              </w:rPr>
              <w:t>Xie</w:t>
            </w:r>
            <w:proofErr w:type="spellEnd"/>
            <w:r w:rsidRPr="006A7730">
              <w:rPr>
                <w:rFonts w:ascii="Times New Roman" w:eastAsia="Times New Roman" w:hAnsi="Times New Roman" w:cs="Times New Roman"/>
                <w:sz w:val="20"/>
                <w:szCs w:val="20"/>
                <w:highlight w:val="yellow"/>
                <w:lang w:val="en-IN" w:eastAsia="en-IN" w:bidi="hi-IN"/>
              </w:rPr>
              <w:t xml:space="preserve"> et al., 2012)</w:t>
            </w:r>
          </w:p>
        </w:tc>
      </w:tr>
    </w:tbl>
    <w:p w14:paraId="56D8E589" w14:textId="77777777" w:rsidR="002E597A" w:rsidRPr="002E597A" w:rsidRDefault="002E597A" w:rsidP="002E597A">
      <w:pPr>
        <w:spacing w:before="100" w:beforeAutospacing="1" w:after="100" w:afterAutospacing="1" w:line="240" w:lineRule="auto"/>
        <w:jc w:val="both"/>
        <w:rPr>
          <w:rFonts w:ascii="Times New Roman" w:eastAsia="Times New Roman" w:hAnsi="Times New Roman" w:cs="Times New Roman"/>
          <w:sz w:val="20"/>
          <w:szCs w:val="20"/>
          <w:lang w:val="en-IN" w:eastAsia="en-IN" w:bidi="hi-IN"/>
        </w:rPr>
      </w:pPr>
      <w:r w:rsidRPr="002E597A">
        <w:rPr>
          <w:rFonts w:ascii="Times New Roman" w:eastAsia="Times New Roman" w:hAnsi="Times New Roman" w:cs="Times New Roman"/>
          <w:b/>
          <w:bCs/>
          <w:sz w:val="20"/>
          <w:szCs w:val="20"/>
          <w:lang w:val="en-IN" w:eastAsia="en-IN" w:bidi="hi-IN"/>
        </w:rPr>
        <w:t xml:space="preserve">3. History and </w:t>
      </w:r>
      <w:proofErr w:type="spellStart"/>
      <w:r w:rsidRPr="002E597A">
        <w:rPr>
          <w:rFonts w:ascii="Times New Roman" w:eastAsia="Times New Roman" w:hAnsi="Times New Roman" w:cs="Times New Roman"/>
          <w:b/>
          <w:bCs/>
          <w:sz w:val="20"/>
          <w:szCs w:val="20"/>
          <w:lang w:val="en-IN" w:eastAsia="en-IN" w:bidi="hi-IN"/>
        </w:rPr>
        <w:t>Scientometric</w:t>
      </w:r>
      <w:proofErr w:type="spellEnd"/>
      <w:r w:rsidRPr="002E597A">
        <w:rPr>
          <w:rFonts w:ascii="Times New Roman" w:eastAsia="Times New Roman" w:hAnsi="Times New Roman" w:cs="Times New Roman"/>
          <w:b/>
          <w:bCs/>
          <w:sz w:val="20"/>
          <w:szCs w:val="20"/>
          <w:lang w:val="en-IN" w:eastAsia="en-IN" w:bidi="hi-IN"/>
        </w:rPr>
        <w:t xml:space="preserve"> Investigation of Slow and Controlled Release Fertilizers</w:t>
      </w:r>
    </w:p>
    <w:p w14:paraId="59EA9634" w14:textId="77777777" w:rsidR="002E597A" w:rsidRPr="002E597A" w:rsidRDefault="002E597A" w:rsidP="002E597A">
      <w:pPr>
        <w:spacing w:before="100" w:beforeAutospacing="1" w:after="100" w:afterAutospacing="1" w:line="240" w:lineRule="auto"/>
        <w:jc w:val="both"/>
        <w:rPr>
          <w:rFonts w:ascii="Times New Roman" w:eastAsia="Times New Roman" w:hAnsi="Times New Roman" w:cs="Times New Roman"/>
          <w:sz w:val="20"/>
          <w:szCs w:val="20"/>
          <w:lang w:val="en-IN" w:eastAsia="en-IN" w:bidi="hi-IN"/>
        </w:rPr>
      </w:pPr>
      <w:r w:rsidRPr="002E597A">
        <w:rPr>
          <w:rFonts w:ascii="Times New Roman" w:eastAsia="Times New Roman" w:hAnsi="Times New Roman" w:cs="Times New Roman"/>
          <w:sz w:val="20"/>
          <w:szCs w:val="20"/>
          <w:lang w:val="en-IN" w:eastAsia="en-IN" w:bidi="hi-IN"/>
        </w:rPr>
        <w:t xml:space="preserve">The concept of slow release fertilizers dates back to the early 20th century; however, systematic scientific understanding and technological development began in the 1960s with the work of </w:t>
      </w:r>
      <w:proofErr w:type="spellStart"/>
      <w:r w:rsidRPr="002E597A">
        <w:rPr>
          <w:rFonts w:ascii="Times New Roman" w:eastAsia="Times New Roman" w:hAnsi="Times New Roman" w:cs="Times New Roman"/>
          <w:sz w:val="20"/>
          <w:szCs w:val="20"/>
          <w:lang w:val="en-IN" w:eastAsia="en-IN" w:bidi="hi-IN"/>
        </w:rPr>
        <w:t>Oertli</w:t>
      </w:r>
      <w:proofErr w:type="spellEnd"/>
      <w:r w:rsidRPr="002E597A">
        <w:rPr>
          <w:rFonts w:ascii="Times New Roman" w:eastAsia="Times New Roman" w:hAnsi="Times New Roman" w:cs="Times New Roman"/>
          <w:sz w:val="20"/>
          <w:szCs w:val="20"/>
          <w:lang w:val="en-IN" w:eastAsia="en-IN" w:bidi="hi-IN"/>
        </w:rPr>
        <w:t xml:space="preserve"> and Lunt, who elucidated the principles governing controlled nutrient release through encapsulation technologies (</w:t>
      </w:r>
      <w:proofErr w:type="spellStart"/>
      <w:r w:rsidRPr="002E597A">
        <w:rPr>
          <w:rFonts w:ascii="Times New Roman" w:eastAsia="Times New Roman" w:hAnsi="Times New Roman" w:cs="Times New Roman"/>
          <w:sz w:val="20"/>
          <w:szCs w:val="20"/>
          <w:lang w:val="en-IN" w:eastAsia="en-IN" w:bidi="hi-IN"/>
        </w:rPr>
        <w:t>Oertli</w:t>
      </w:r>
      <w:proofErr w:type="spellEnd"/>
      <w:r w:rsidRPr="002E597A">
        <w:rPr>
          <w:rFonts w:ascii="Times New Roman" w:eastAsia="Times New Roman" w:hAnsi="Times New Roman" w:cs="Times New Roman"/>
          <w:sz w:val="20"/>
          <w:szCs w:val="20"/>
          <w:lang w:val="en-IN" w:eastAsia="en-IN" w:bidi="hi-IN"/>
        </w:rPr>
        <w:t xml:space="preserve"> and Lunt, 1962; </w:t>
      </w:r>
      <w:proofErr w:type="spellStart"/>
      <w:r w:rsidRPr="002E597A">
        <w:rPr>
          <w:rFonts w:ascii="Times New Roman" w:eastAsia="Times New Roman" w:hAnsi="Times New Roman" w:cs="Times New Roman"/>
          <w:sz w:val="20"/>
          <w:szCs w:val="20"/>
          <w:lang w:val="en-IN" w:eastAsia="en-IN" w:bidi="hi-IN"/>
        </w:rPr>
        <w:t>O’skarsson</w:t>
      </w:r>
      <w:proofErr w:type="spellEnd"/>
      <w:r w:rsidRPr="002E597A">
        <w:rPr>
          <w:rFonts w:ascii="Times New Roman" w:eastAsia="Times New Roman" w:hAnsi="Times New Roman" w:cs="Times New Roman"/>
          <w:sz w:val="20"/>
          <w:szCs w:val="20"/>
          <w:lang w:val="en-IN" w:eastAsia="en-IN" w:bidi="hi-IN"/>
        </w:rPr>
        <w:t xml:space="preserve"> et al., 2006).</w:t>
      </w:r>
    </w:p>
    <w:p w14:paraId="17913624" w14:textId="77777777" w:rsidR="002E597A" w:rsidRPr="002E597A" w:rsidRDefault="002E597A" w:rsidP="002E597A">
      <w:pPr>
        <w:spacing w:before="100" w:beforeAutospacing="1" w:after="100" w:afterAutospacing="1" w:line="240" w:lineRule="auto"/>
        <w:jc w:val="both"/>
        <w:rPr>
          <w:rFonts w:ascii="Times New Roman" w:eastAsia="Times New Roman" w:hAnsi="Times New Roman" w:cs="Times New Roman"/>
          <w:sz w:val="20"/>
          <w:szCs w:val="20"/>
          <w:lang w:val="en-IN" w:eastAsia="en-IN" w:bidi="hi-IN"/>
        </w:rPr>
      </w:pPr>
      <w:r w:rsidRPr="002E597A">
        <w:rPr>
          <w:rFonts w:ascii="Times New Roman" w:eastAsia="Times New Roman" w:hAnsi="Times New Roman" w:cs="Times New Roman"/>
          <w:sz w:val="20"/>
          <w:szCs w:val="20"/>
          <w:lang w:val="en-IN" w:eastAsia="en-IN" w:bidi="hi-IN"/>
        </w:rPr>
        <w:t xml:space="preserve">The first commercial slow release fertilizer was introduced in the United States in 1955 and was based on urea-formaldehyde (UF) condensation products. Subsequent advancements in the 1960s led to the development of polymer-enhanced formulations such as urea-formaldehyde polymers (URP), which improved nutrient release characteristics. </w:t>
      </w:r>
      <w:proofErr w:type="spellStart"/>
      <w:r w:rsidRPr="002E597A">
        <w:rPr>
          <w:rFonts w:ascii="Times New Roman" w:eastAsia="Times New Roman" w:hAnsi="Times New Roman" w:cs="Times New Roman"/>
          <w:sz w:val="20"/>
          <w:szCs w:val="20"/>
          <w:lang w:val="en-IN" w:eastAsia="en-IN" w:bidi="hi-IN"/>
        </w:rPr>
        <w:t>Sulfur</w:t>
      </w:r>
      <w:proofErr w:type="spellEnd"/>
      <w:r w:rsidRPr="002E597A">
        <w:rPr>
          <w:rFonts w:ascii="Times New Roman" w:eastAsia="Times New Roman" w:hAnsi="Times New Roman" w:cs="Times New Roman"/>
          <w:sz w:val="20"/>
          <w:szCs w:val="20"/>
          <w:lang w:val="en-IN" w:eastAsia="en-IN" w:bidi="hi-IN"/>
        </w:rPr>
        <w:t xml:space="preserve">-coated urea (SCU), developed during the same period, became one of the earliest widely used coated fertilizers. However, limitations in its performance led to the development of polymer-coated </w:t>
      </w:r>
      <w:proofErr w:type="spellStart"/>
      <w:r w:rsidRPr="002E597A">
        <w:rPr>
          <w:rFonts w:ascii="Times New Roman" w:eastAsia="Times New Roman" w:hAnsi="Times New Roman" w:cs="Times New Roman"/>
          <w:sz w:val="20"/>
          <w:szCs w:val="20"/>
          <w:lang w:val="en-IN" w:eastAsia="en-IN" w:bidi="hi-IN"/>
        </w:rPr>
        <w:t>sulfur</w:t>
      </w:r>
      <w:proofErr w:type="spellEnd"/>
      <w:r w:rsidRPr="002E597A">
        <w:rPr>
          <w:rFonts w:ascii="Times New Roman" w:eastAsia="Times New Roman" w:hAnsi="Times New Roman" w:cs="Times New Roman"/>
          <w:sz w:val="20"/>
          <w:szCs w:val="20"/>
          <w:lang w:val="en-IN" w:eastAsia="en-IN" w:bidi="hi-IN"/>
        </w:rPr>
        <w:t>-coated urea (PSCU) in 1969, which offered improved nutrient release control.</w:t>
      </w:r>
    </w:p>
    <w:p w14:paraId="38D6B01C" w14:textId="77777777" w:rsidR="002E597A" w:rsidRPr="002E597A" w:rsidRDefault="002E597A" w:rsidP="002E597A">
      <w:pPr>
        <w:spacing w:before="100" w:beforeAutospacing="1" w:after="100" w:afterAutospacing="1" w:line="240" w:lineRule="auto"/>
        <w:jc w:val="both"/>
        <w:rPr>
          <w:rFonts w:ascii="Times New Roman" w:eastAsia="Times New Roman" w:hAnsi="Times New Roman" w:cs="Times New Roman"/>
          <w:sz w:val="20"/>
          <w:szCs w:val="20"/>
          <w:lang w:val="en-IN" w:eastAsia="en-IN" w:bidi="hi-IN"/>
        </w:rPr>
      </w:pPr>
      <w:r w:rsidRPr="002E597A">
        <w:rPr>
          <w:rFonts w:ascii="Times New Roman" w:eastAsia="Times New Roman" w:hAnsi="Times New Roman" w:cs="Times New Roman"/>
          <w:sz w:val="20"/>
          <w:szCs w:val="20"/>
          <w:lang w:val="en-IN" w:eastAsia="en-IN" w:bidi="hi-IN"/>
        </w:rPr>
        <w:t>Further innovations included the commercialization of polymer-coated NPK fertilizers under the trade name “</w:t>
      </w:r>
      <w:proofErr w:type="spellStart"/>
      <w:r w:rsidRPr="002E597A">
        <w:rPr>
          <w:rFonts w:ascii="Times New Roman" w:eastAsia="Times New Roman" w:hAnsi="Times New Roman" w:cs="Times New Roman"/>
          <w:sz w:val="20"/>
          <w:szCs w:val="20"/>
          <w:lang w:val="en-IN" w:eastAsia="en-IN" w:bidi="hi-IN"/>
        </w:rPr>
        <w:t>Osmocote</w:t>
      </w:r>
      <w:proofErr w:type="spellEnd"/>
      <w:r w:rsidRPr="002E597A">
        <w:rPr>
          <w:rFonts w:ascii="Times New Roman" w:eastAsia="Times New Roman" w:hAnsi="Times New Roman" w:cs="Times New Roman"/>
          <w:sz w:val="20"/>
          <w:szCs w:val="20"/>
          <w:lang w:val="en-IN" w:eastAsia="en-IN" w:bidi="hi-IN"/>
        </w:rPr>
        <w:t xml:space="preserve">” in California in 1967, followed by </w:t>
      </w:r>
      <w:proofErr w:type="spellStart"/>
      <w:r w:rsidRPr="002E597A">
        <w:rPr>
          <w:rFonts w:ascii="Times New Roman" w:eastAsia="Times New Roman" w:hAnsi="Times New Roman" w:cs="Times New Roman"/>
          <w:sz w:val="20"/>
          <w:szCs w:val="20"/>
          <w:lang w:val="en-IN" w:eastAsia="en-IN" w:bidi="hi-IN"/>
        </w:rPr>
        <w:t>sulfur</w:t>
      </w:r>
      <w:proofErr w:type="spellEnd"/>
      <w:r w:rsidRPr="002E597A">
        <w:rPr>
          <w:rFonts w:ascii="Times New Roman" w:eastAsia="Times New Roman" w:hAnsi="Times New Roman" w:cs="Times New Roman"/>
          <w:sz w:val="20"/>
          <w:szCs w:val="20"/>
          <w:lang w:val="en-IN" w:eastAsia="en-IN" w:bidi="hi-IN"/>
        </w:rPr>
        <w:t>-coated NPK fertilizers in Japan in 1975. A major breakthrough occurred in 1976 with the development of “</w:t>
      </w:r>
      <w:proofErr w:type="spellStart"/>
      <w:r w:rsidRPr="002E597A">
        <w:rPr>
          <w:rFonts w:ascii="Times New Roman" w:eastAsia="Times New Roman" w:hAnsi="Times New Roman" w:cs="Times New Roman"/>
          <w:sz w:val="20"/>
          <w:szCs w:val="20"/>
          <w:lang w:val="en-IN" w:eastAsia="en-IN" w:bidi="hi-IN"/>
        </w:rPr>
        <w:t>Nutricote</w:t>
      </w:r>
      <w:proofErr w:type="spellEnd"/>
      <w:r w:rsidRPr="002E597A">
        <w:rPr>
          <w:rFonts w:ascii="Times New Roman" w:eastAsia="Times New Roman" w:hAnsi="Times New Roman" w:cs="Times New Roman"/>
          <w:sz w:val="20"/>
          <w:szCs w:val="20"/>
          <w:lang w:val="en-IN" w:eastAsia="en-IN" w:bidi="hi-IN"/>
        </w:rPr>
        <w:t xml:space="preserve">” by the </w:t>
      </w:r>
      <w:proofErr w:type="spellStart"/>
      <w:r w:rsidRPr="002E597A">
        <w:rPr>
          <w:rFonts w:ascii="Times New Roman" w:eastAsia="Times New Roman" w:hAnsi="Times New Roman" w:cs="Times New Roman"/>
          <w:sz w:val="20"/>
          <w:szCs w:val="20"/>
          <w:lang w:val="en-IN" w:eastAsia="en-IN" w:bidi="hi-IN"/>
        </w:rPr>
        <w:t>Chisso</w:t>
      </w:r>
      <w:proofErr w:type="spellEnd"/>
      <w:r w:rsidRPr="002E597A">
        <w:rPr>
          <w:rFonts w:ascii="Times New Roman" w:eastAsia="Times New Roman" w:hAnsi="Times New Roman" w:cs="Times New Roman"/>
          <w:sz w:val="20"/>
          <w:szCs w:val="20"/>
          <w:lang w:val="en-IN" w:eastAsia="en-IN" w:bidi="hi-IN"/>
        </w:rPr>
        <w:t>-Asahi Fertilizer Company, which utilized polyolefin-coated NPK granules to achieve precise nutrient release. This was followed by the introduction of polyurethane-coated fertilizers such as “</w:t>
      </w:r>
      <w:proofErr w:type="spellStart"/>
      <w:r w:rsidRPr="002E597A">
        <w:rPr>
          <w:rFonts w:ascii="Times New Roman" w:eastAsia="Times New Roman" w:hAnsi="Times New Roman" w:cs="Times New Roman"/>
          <w:sz w:val="20"/>
          <w:szCs w:val="20"/>
          <w:lang w:val="en-IN" w:eastAsia="en-IN" w:bidi="hi-IN"/>
        </w:rPr>
        <w:t>Plantacote</w:t>
      </w:r>
      <w:proofErr w:type="spellEnd"/>
      <w:r w:rsidRPr="002E597A">
        <w:rPr>
          <w:rFonts w:ascii="Times New Roman" w:eastAsia="Times New Roman" w:hAnsi="Times New Roman" w:cs="Times New Roman"/>
          <w:sz w:val="20"/>
          <w:szCs w:val="20"/>
          <w:lang w:val="en-IN" w:eastAsia="en-IN" w:bidi="hi-IN"/>
        </w:rPr>
        <w:t>” in 1982 and “</w:t>
      </w:r>
      <w:proofErr w:type="spellStart"/>
      <w:r w:rsidRPr="002E597A">
        <w:rPr>
          <w:rFonts w:ascii="Times New Roman" w:eastAsia="Times New Roman" w:hAnsi="Times New Roman" w:cs="Times New Roman"/>
          <w:sz w:val="20"/>
          <w:szCs w:val="20"/>
          <w:lang w:val="en-IN" w:eastAsia="en-IN" w:bidi="hi-IN"/>
        </w:rPr>
        <w:t>Polyon</w:t>
      </w:r>
      <w:proofErr w:type="spellEnd"/>
      <w:r w:rsidRPr="002E597A">
        <w:rPr>
          <w:rFonts w:ascii="Times New Roman" w:eastAsia="Times New Roman" w:hAnsi="Times New Roman" w:cs="Times New Roman"/>
          <w:sz w:val="20"/>
          <w:szCs w:val="20"/>
          <w:lang w:val="en-IN" w:eastAsia="en-IN" w:bidi="hi-IN"/>
        </w:rPr>
        <w:t>” in 1988, which employed advanced membrane coating technologies to enhance release efficiency.</w:t>
      </w:r>
    </w:p>
    <w:p w14:paraId="697B25C4" w14:textId="1ED0880C" w:rsidR="002E597A" w:rsidRPr="002E597A" w:rsidRDefault="002E597A" w:rsidP="002E597A">
      <w:pPr>
        <w:spacing w:before="100" w:beforeAutospacing="1" w:after="100" w:afterAutospacing="1" w:line="240" w:lineRule="auto"/>
        <w:jc w:val="both"/>
        <w:rPr>
          <w:rFonts w:ascii="Times New Roman" w:eastAsia="Times New Roman" w:hAnsi="Times New Roman" w:cs="Times New Roman"/>
          <w:sz w:val="20"/>
          <w:szCs w:val="20"/>
          <w:lang w:val="en-IN" w:eastAsia="en-IN" w:bidi="hi-IN"/>
        </w:rPr>
      </w:pPr>
      <w:r w:rsidRPr="002E597A">
        <w:rPr>
          <w:rFonts w:ascii="Times New Roman" w:eastAsia="Times New Roman" w:hAnsi="Times New Roman" w:cs="Times New Roman"/>
          <w:sz w:val="20"/>
          <w:szCs w:val="20"/>
          <w:lang w:val="en-IN" w:eastAsia="en-IN" w:bidi="hi-IN"/>
        </w:rPr>
        <w:t xml:space="preserve">The development of biopolymer-based coatings marked another significant advancement, with starch-based coatings introduced by </w:t>
      </w:r>
      <w:proofErr w:type="spellStart"/>
      <w:r w:rsidRPr="002E597A">
        <w:rPr>
          <w:rFonts w:ascii="Times New Roman" w:eastAsia="Times New Roman" w:hAnsi="Times New Roman" w:cs="Times New Roman"/>
          <w:sz w:val="20"/>
          <w:szCs w:val="20"/>
          <w:lang w:val="en-IN" w:eastAsia="en-IN" w:bidi="hi-IN"/>
        </w:rPr>
        <w:t>Otey</w:t>
      </w:r>
      <w:proofErr w:type="spellEnd"/>
      <w:r w:rsidRPr="002E597A">
        <w:rPr>
          <w:rFonts w:ascii="Times New Roman" w:eastAsia="Times New Roman" w:hAnsi="Times New Roman" w:cs="Times New Roman"/>
          <w:sz w:val="20"/>
          <w:szCs w:val="20"/>
          <w:lang w:val="en-IN" w:eastAsia="en-IN" w:bidi="hi-IN"/>
        </w:rPr>
        <w:t xml:space="preserve"> et al. (1984), followed by chitosan and alginate-based coatings (Teixeira et al., 1990) and lignin-based formulations (Garcia et al., 1996). These innovations contributed to the development of environmentally friendly and biodegradable fertilizer coatings.</w:t>
      </w:r>
      <w:r w:rsidR="006C7602">
        <w:rPr>
          <w:rFonts w:ascii="Times New Roman" w:eastAsia="Times New Roman" w:hAnsi="Times New Roman" w:cs="Times New Roman"/>
          <w:sz w:val="20"/>
          <w:szCs w:val="20"/>
          <w:lang w:val="en-IN" w:eastAsia="en-IN" w:bidi="hi-IN"/>
        </w:rPr>
        <w:t xml:space="preserve"> </w:t>
      </w:r>
      <w:r w:rsidRPr="002E597A">
        <w:rPr>
          <w:rFonts w:ascii="Times New Roman" w:eastAsia="Times New Roman" w:hAnsi="Times New Roman" w:cs="Times New Roman"/>
          <w:sz w:val="20"/>
          <w:szCs w:val="20"/>
          <w:lang w:val="en-IN" w:eastAsia="en-IN" w:bidi="hi-IN"/>
        </w:rPr>
        <w:t>From a global perspective, the demand for slow and controlled release fertilizers has increased significantly, reaching over 1.5 million metric tonnes in 2018, with a projected annual g</w:t>
      </w:r>
      <w:r w:rsidR="003E693D">
        <w:rPr>
          <w:rFonts w:ascii="Times New Roman" w:eastAsia="Times New Roman" w:hAnsi="Times New Roman" w:cs="Times New Roman"/>
          <w:sz w:val="20"/>
          <w:szCs w:val="20"/>
          <w:lang w:val="en-IN" w:eastAsia="en-IN" w:bidi="hi-IN"/>
        </w:rPr>
        <w:t>rowth rate of approximately 6%</w:t>
      </w:r>
      <w:r w:rsidRPr="002E597A">
        <w:rPr>
          <w:rFonts w:ascii="Times New Roman" w:eastAsia="Times New Roman" w:hAnsi="Times New Roman" w:cs="Times New Roman"/>
          <w:sz w:val="20"/>
          <w:szCs w:val="20"/>
          <w:lang w:val="en-IN" w:eastAsia="en-IN" w:bidi="hi-IN"/>
        </w:rPr>
        <w:t>. China represents the largest consumer, accounting for nearly 46% of global usage, followed by the United States, Western Europe, and Japan (Garcia et al., 1996).</w:t>
      </w:r>
    </w:p>
    <w:p w14:paraId="3464CAF0" w14:textId="77777777" w:rsidR="002E597A" w:rsidRPr="002E597A" w:rsidRDefault="002E597A" w:rsidP="002E597A">
      <w:pPr>
        <w:spacing w:before="100" w:beforeAutospacing="1" w:after="100" w:afterAutospacing="1" w:line="240" w:lineRule="auto"/>
        <w:jc w:val="both"/>
        <w:rPr>
          <w:rFonts w:ascii="Times New Roman" w:eastAsia="Times New Roman" w:hAnsi="Times New Roman" w:cs="Times New Roman"/>
          <w:sz w:val="20"/>
          <w:szCs w:val="20"/>
          <w:lang w:val="en-IN" w:eastAsia="en-IN" w:bidi="hi-IN"/>
        </w:rPr>
      </w:pPr>
      <w:proofErr w:type="spellStart"/>
      <w:r w:rsidRPr="002E597A">
        <w:rPr>
          <w:rFonts w:ascii="Times New Roman" w:eastAsia="Times New Roman" w:hAnsi="Times New Roman" w:cs="Times New Roman"/>
          <w:sz w:val="20"/>
          <w:szCs w:val="20"/>
          <w:lang w:val="en-IN" w:eastAsia="en-IN" w:bidi="hi-IN"/>
        </w:rPr>
        <w:t>Scientometric</w:t>
      </w:r>
      <w:proofErr w:type="spellEnd"/>
      <w:r w:rsidRPr="002E597A">
        <w:rPr>
          <w:rFonts w:ascii="Times New Roman" w:eastAsia="Times New Roman" w:hAnsi="Times New Roman" w:cs="Times New Roman"/>
          <w:sz w:val="20"/>
          <w:szCs w:val="20"/>
          <w:lang w:val="en-IN" w:eastAsia="en-IN" w:bidi="hi-IN"/>
        </w:rPr>
        <w:t xml:space="preserve"> analysis further highlights the growing research interest in this field. Since 2000, a substantial number of publications have focused on controlled release fertilizers, slow release fertilizers, and polymer-coated fertilizers. Among these, controlled release fertilizers account for the largest proportion of research output, followed closely by slow release fertilizers, indicating a strong and expanding global research focus on improving fertilizer efficiency and </w:t>
      </w:r>
      <w:r w:rsidRPr="002E597A">
        <w:rPr>
          <w:rFonts w:ascii="Times New Roman" w:eastAsia="Times New Roman" w:hAnsi="Times New Roman" w:cs="Times New Roman"/>
          <w:sz w:val="20"/>
          <w:szCs w:val="20"/>
          <w:lang w:val="en-IN" w:eastAsia="en-IN" w:bidi="hi-IN"/>
        </w:rPr>
        <w:lastRenderedPageBreak/>
        <w:t>sustainability. The steady increase in publications over time reflects the rising importance of these technologies in addressing challenges related to nutrient management and environmental sustainability.</w:t>
      </w:r>
    </w:p>
    <w:p w14:paraId="45DEC8BE" w14:textId="77777777" w:rsidR="002E597A" w:rsidRPr="002E597A" w:rsidRDefault="002E597A" w:rsidP="002E597A">
      <w:pPr>
        <w:pStyle w:val="NormalWeb"/>
        <w:jc w:val="both"/>
        <w:rPr>
          <w:sz w:val="20"/>
          <w:szCs w:val="20"/>
        </w:rPr>
      </w:pPr>
      <w:r w:rsidRPr="002E597A">
        <w:rPr>
          <w:rStyle w:val="Strong"/>
          <w:sz w:val="20"/>
          <w:szCs w:val="20"/>
        </w:rPr>
        <w:t>4. Advantages of Slow Release Fertilizers and Controlled Release Fertilizers</w:t>
      </w:r>
    </w:p>
    <w:p w14:paraId="0EC7F339" w14:textId="77777777" w:rsidR="002E597A" w:rsidRPr="002E597A" w:rsidRDefault="002E597A" w:rsidP="002E597A">
      <w:pPr>
        <w:pStyle w:val="NormalWeb"/>
        <w:jc w:val="both"/>
        <w:rPr>
          <w:sz w:val="20"/>
          <w:szCs w:val="20"/>
        </w:rPr>
      </w:pPr>
      <w:r w:rsidRPr="002E597A">
        <w:rPr>
          <w:sz w:val="20"/>
          <w:szCs w:val="20"/>
        </w:rPr>
        <w:t>Slow release fertilizers (SRFs) and controlled release fertilizers (CRFs) represent a significant advancement in nutrient management technologies, offering improved efficiency and sustainability compared to conventional fertilizers. Although both categories are often grouped together, they differ fundamentally in their mechanisms of nutrient release. The release characteristics of these fertilizers are largely governed by coating properties such as thickness, composition, porosity, and solubility, as well as environmental factors including soil temperature, moisture, pH, texture, and microbial activity.</w:t>
      </w:r>
    </w:p>
    <w:p w14:paraId="20E27C8C" w14:textId="2BBE437F" w:rsidR="002E597A" w:rsidRPr="002E597A" w:rsidRDefault="002E597A" w:rsidP="002E597A">
      <w:pPr>
        <w:pStyle w:val="NormalWeb"/>
        <w:jc w:val="both"/>
        <w:rPr>
          <w:sz w:val="20"/>
          <w:szCs w:val="20"/>
        </w:rPr>
      </w:pPr>
      <w:r w:rsidRPr="002E597A">
        <w:rPr>
          <w:sz w:val="20"/>
          <w:szCs w:val="20"/>
        </w:rPr>
        <w:t>Controlled release fertilizers are typically characterized by the presence of inorganic or organic coatings, particularly polymer-based encapsulation systems, which regulate nutrient diffusion through semi-permeable membranes. In contrast, slow release fertilizers, such as compost, animal manures, and plant-based residues, depend primarily on microbial decomposition processes for nutrient release, making their release patterns less predictable and more dependent on environmental conditions.</w:t>
      </w:r>
      <w:r w:rsidR="006C7602">
        <w:rPr>
          <w:sz w:val="20"/>
          <w:szCs w:val="20"/>
        </w:rPr>
        <w:t xml:space="preserve"> </w:t>
      </w:r>
      <w:r w:rsidRPr="002E597A">
        <w:rPr>
          <w:sz w:val="20"/>
          <w:szCs w:val="20"/>
        </w:rPr>
        <w:t xml:space="preserve">The mechanism of nutrient release and global adoption trends of these fertilizers are illustrated in </w:t>
      </w:r>
      <w:r w:rsidRPr="002E597A">
        <w:rPr>
          <w:rStyle w:val="Strong"/>
          <w:sz w:val="20"/>
          <w:szCs w:val="20"/>
        </w:rPr>
        <w:t>Fig. 2</w:t>
      </w:r>
      <w:r w:rsidRPr="002E597A">
        <w:rPr>
          <w:sz w:val="20"/>
          <w:szCs w:val="20"/>
        </w:rPr>
        <w:t>, which highlights the widespread utilization and increasing demand for slow and controlled release fertilizers (Garcia et al., 1996).</w:t>
      </w:r>
    </w:p>
    <w:p w14:paraId="47A4DE84" w14:textId="77777777" w:rsidR="002E597A" w:rsidRPr="002E597A" w:rsidRDefault="002E597A" w:rsidP="006C7602">
      <w:pPr>
        <w:spacing w:line="240" w:lineRule="auto"/>
        <w:ind w:firstLine="720"/>
        <w:jc w:val="center"/>
        <w:rPr>
          <w:rFonts w:ascii="Times New Roman" w:eastAsia="Times New Roman" w:hAnsi="Times New Roman" w:cs="Times New Roman"/>
          <w:sz w:val="20"/>
          <w:szCs w:val="20"/>
        </w:rPr>
      </w:pPr>
      <w:r w:rsidRPr="002E597A">
        <w:rPr>
          <w:noProof/>
          <w:sz w:val="20"/>
          <w:szCs w:val="20"/>
          <w:lang w:val="en-IN" w:eastAsia="en-IN" w:bidi="hi-IN"/>
        </w:rPr>
        <w:drawing>
          <wp:inline distT="0" distB="0" distL="0" distR="0" wp14:anchorId="695ADBDF" wp14:editId="5DB1E9A7">
            <wp:extent cx="3257550" cy="2171700"/>
            <wp:effectExtent l="19050" t="19050" r="19050" b="1905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3257550" cy="2171700"/>
                    </a:xfrm>
                    <a:prstGeom prst="rect">
                      <a:avLst/>
                    </a:prstGeom>
                    <a:ln w="3175">
                      <a:solidFill>
                        <a:schemeClr val="tx1"/>
                      </a:solidFill>
                    </a:ln>
                  </pic:spPr>
                </pic:pic>
              </a:graphicData>
            </a:graphic>
          </wp:inline>
        </w:drawing>
      </w:r>
    </w:p>
    <w:p w14:paraId="1AF94F10" w14:textId="56FB3B99" w:rsidR="002E597A" w:rsidRPr="002E597A" w:rsidRDefault="002E597A" w:rsidP="006C7602">
      <w:pPr>
        <w:spacing w:line="240" w:lineRule="auto"/>
        <w:jc w:val="center"/>
        <w:rPr>
          <w:rFonts w:ascii="Times New Roman" w:eastAsia="Times New Roman" w:hAnsi="Times New Roman" w:cs="Times New Roman"/>
          <w:sz w:val="20"/>
          <w:szCs w:val="20"/>
        </w:rPr>
      </w:pPr>
      <w:r w:rsidRPr="002E597A">
        <w:rPr>
          <w:rFonts w:ascii="Times New Roman" w:eastAsia="Times New Roman" w:hAnsi="Times New Roman" w:cs="Times New Roman"/>
          <w:sz w:val="20"/>
          <w:szCs w:val="20"/>
        </w:rPr>
        <w:t>Fig. 2: Total consumption of Slow/Controlled Release Fertilizers in 2018 (</w:t>
      </w:r>
      <w:r w:rsidRPr="002E597A">
        <w:rPr>
          <w:rFonts w:ascii="Times New Roman" w:hAnsi="Times New Roman" w:cs="Times New Roman"/>
          <w:sz w:val="20"/>
          <w:szCs w:val="20"/>
        </w:rPr>
        <w:t>Garcia et al., 1996).</w:t>
      </w:r>
    </w:p>
    <w:p w14:paraId="2BD0D53C" w14:textId="77777777" w:rsidR="002E597A" w:rsidRPr="002E597A" w:rsidRDefault="002E597A" w:rsidP="002E597A">
      <w:pPr>
        <w:pStyle w:val="NormalWeb"/>
        <w:jc w:val="both"/>
        <w:rPr>
          <w:sz w:val="20"/>
          <w:szCs w:val="20"/>
        </w:rPr>
      </w:pPr>
      <w:r w:rsidRPr="002E597A">
        <w:rPr>
          <w:sz w:val="20"/>
          <w:szCs w:val="20"/>
        </w:rPr>
        <w:t xml:space="preserve">In addition to conventional formulations, several chemically synthesized slow release compounds such as </w:t>
      </w:r>
      <w:proofErr w:type="spellStart"/>
      <w:r w:rsidRPr="002E597A">
        <w:rPr>
          <w:sz w:val="20"/>
          <w:szCs w:val="20"/>
        </w:rPr>
        <w:t>crotonylidene</w:t>
      </w:r>
      <w:proofErr w:type="spellEnd"/>
      <w:r w:rsidRPr="002E597A">
        <w:rPr>
          <w:sz w:val="20"/>
          <w:szCs w:val="20"/>
        </w:rPr>
        <w:t xml:space="preserve"> </w:t>
      </w:r>
      <w:proofErr w:type="spellStart"/>
      <w:r w:rsidRPr="002E597A">
        <w:rPr>
          <w:sz w:val="20"/>
          <w:szCs w:val="20"/>
        </w:rPr>
        <w:t>diurea</w:t>
      </w:r>
      <w:proofErr w:type="spellEnd"/>
      <w:r w:rsidRPr="002E597A">
        <w:rPr>
          <w:sz w:val="20"/>
          <w:szCs w:val="20"/>
        </w:rPr>
        <w:t xml:space="preserve"> (CDU), </w:t>
      </w:r>
      <w:proofErr w:type="spellStart"/>
      <w:r w:rsidRPr="002E597A">
        <w:rPr>
          <w:sz w:val="20"/>
          <w:szCs w:val="20"/>
        </w:rPr>
        <w:t>isobutylidene</w:t>
      </w:r>
      <w:proofErr w:type="spellEnd"/>
      <w:r w:rsidRPr="002E597A">
        <w:rPr>
          <w:sz w:val="20"/>
          <w:szCs w:val="20"/>
        </w:rPr>
        <w:t xml:space="preserve"> </w:t>
      </w:r>
      <w:proofErr w:type="spellStart"/>
      <w:r w:rsidRPr="002E597A">
        <w:rPr>
          <w:sz w:val="20"/>
          <w:szCs w:val="20"/>
        </w:rPr>
        <w:t>diurea</w:t>
      </w:r>
      <w:proofErr w:type="spellEnd"/>
      <w:r w:rsidRPr="002E597A">
        <w:rPr>
          <w:sz w:val="20"/>
          <w:szCs w:val="20"/>
        </w:rPr>
        <w:t xml:space="preserve"> (IBDU), and urea formaldehyde (UF) have been developed to improve nutrient availability and reduce losses (Liu et al., 2017). Controlled release fertilizers, due to their engineered coatings, provide a more consistent and regulated nutrient supply over time. This controlled release mechanism significantly reduces nutrient losses and minimizes environmental risks associated with conventional fertilization practices (Schmidt, 2013).</w:t>
      </w:r>
    </w:p>
    <w:p w14:paraId="0591387D" w14:textId="77777777" w:rsidR="002E597A" w:rsidRPr="002E597A" w:rsidRDefault="002E597A" w:rsidP="002E597A">
      <w:pPr>
        <w:pStyle w:val="NormalWeb"/>
        <w:jc w:val="both"/>
        <w:rPr>
          <w:sz w:val="20"/>
          <w:szCs w:val="20"/>
        </w:rPr>
      </w:pPr>
      <w:r w:rsidRPr="002E597A">
        <w:rPr>
          <w:rStyle w:val="Strong"/>
          <w:sz w:val="20"/>
          <w:szCs w:val="20"/>
        </w:rPr>
        <w:t>Agronomic effects</w:t>
      </w:r>
    </w:p>
    <w:p w14:paraId="7FBA8812" w14:textId="7CB08FE1" w:rsidR="002E597A" w:rsidRPr="002E597A" w:rsidRDefault="002E597A" w:rsidP="002E597A">
      <w:pPr>
        <w:pStyle w:val="NormalWeb"/>
        <w:jc w:val="both"/>
        <w:rPr>
          <w:sz w:val="20"/>
          <w:szCs w:val="20"/>
        </w:rPr>
      </w:pPr>
      <w:r w:rsidRPr="002E597A">
        <w:rPr>
          <w:sz w:val="20"/>
          <w:szCs w:val="20"/>
        </w:rPr>
        <w:t>From an agronomic perspective, CRFs and SRFs contribute to improved crop growth and productivity by ensuring a sustained and synchronized supply of nutrients in accordance with plant demand. This synchronization enhances nutrient uptake efficiency and reduces the likelihood of nutrient deficiencies during critical growth stages. Additionally, the gradual release of nutrients prevents the accumulation of high concentrations of soluble salts in the soil, thereby minimizing osmotic stress and reducing the risk of root and leaf injury commonly associated with conventional fertilizers.</w:t>
      </w:r>
      <w:r w:rsidR="006C7602">
        <w:rPr>
          <w:sz w:val="20"/>
          <w:szCs w:val="20"/>
        </w:rPr>
        <w:t xml:space="preserve"> </w:t>
      </w:r>
      <w:r w:rsidRPr="002E597A">
        <w:rPr>
          <w:sz w:val="20"/>
          <w:szCs w:val="20"/>
        </w:rPr>
        <w:t xml:space="preserve">These fertilizers also contribute to improved seed germination, enhanced root development, </w:t>
      </w:r>
      <w:r w:rsidRPr="002E597A">
        <w:rPr>
          <w:sz w:val="20"/>
          <w:szCs w:val="20"/>
        </w:rPr>
        <w:lastRenderedPageBreak/>
        <w:t>and better soil structure due to reduced nutrient fluctuations. Furthermore, the steady nutrient availability can lower the incidence of certain diseases by maintaining optimal plant health and reducing physiological stress.</w:t>
      </w:r>
    </w:p>
    <w:p w14:paraId="32030E61" w14:textId="77777777" w:rsidR="002E597A" w:rsidRPr="002E597A" w:rsidRDefault="002E597A" w:rsidP="002E597A">
      <w:pPr>
        <w:pStyle w:val="NormalWeb"/>
        <w:jc w:val="both"/>
        <w:rPr>
          <w:sz w:val="20"/>
          <w:szCs w:val="20"/>
        </w:rPr>
      </w:pPr>
      <w:r w:rsidRPr="002E597A">
        <w:rPr>
          <w:rStyle w:val="Strong"/>
          <w:sz w:val="20"/>
          <w:szCs w:val="20"/>
        </w:rPr>
        <w:t>Environmental benefits</w:t>
      </w:r>
    </w:p>
    <w:p w14:paraId="3A4B722F" w14:textId="77777777" w:rsidR="002E597A" w:rsidRPr="002E597A" w:rsidRDefault="002E597A" w:rsidP="002E597A">
      <w:pPr>
        <w:pStyle w:val="NormalWeb"/>
        <w:jc w:val="both"/>
        <w:rPr>
          <w:sz w:val="20"/>
          <w:szCs w:val="20"/>
        </w:rPr>
      </w:pPr>
      <w:r w:rsidRPr="002E597A">
        <w:rPr>
          <w:sz w:val="20"/>
          <w:szCs w:val="20"/>
        </w:rPr>
        <w:t>One of the most significant advantages of SRFs and CRFs is their ability to reduce environmental pollution. By minimizing nutrient losses through leaching, volatilization, and runoff, these fertilizers help prevent groundwater contamination, eutrophication of water bodies, and greenhouse gas emissions. Their use also reduces the accumulation of excess nutrients in soil systems, thereby maintaining ecological balance and promoting sustainable agricultural practices (Schmidt, 2013).</w:t>
      </w:r>
    </w:p>
    <w:p w14:paraId="7B6851D5" w14:textId="77777777" w:rsidR="002E597A" w:rsidRPr="002E597A" w:rsidRDefault="002E597A" w:rsidP="002E597A">
      <w:pPr>
        <w:pStyle w:val="NormalWeb"/>
        <w:jc w:val="both"/>
        <w:rPr>
          <w:sz w:val="20"/>
          <w:szCs w:val="20"/>
        </w:rPr>
      </w:pPr>
      <w:r w:rsidRPr="002E597A">
        <w:rPr>
          <w:rStyle w:val="Strong"/>
          <w:sz w:val="20"/>
          <w:szCs w:val="20"/>
        </w:rPr>
        <w:t>Economic impacts</w:t>
      </w:r>
    </w:p>
    <w:p w14:paraId="7C4D6668" w14:textId="5A366081" w:rsidR="002E597A" w:rsidRPr="002E597A" w:rsidRDefault="002E597A" w:rsidP="002E597A">
      <w:pPr>
        <w:pStyle w:val="NormalWeb"/>
        <w:jc w:val="both"/>
        <w:rPr>
          <w:sz w:val="20"/>
          <w:szCs w:val="20"/>
        </w:rPr>
      </w:pPr>
      <w:r w:rsidRPr="002E597A">
        <w:rPr>
          <w:sz w:val="20"/>
          <w:szCs w:val="20"/>
        </w:rPr>
        <w:t>From an economic standpoint, controlled release fertilizers offer considerable cost-saving potential. Due to their higher nutrient use efficiency, the recommended application rates of conventional fertilizers can be reduced by approximately 20–30% without compromising crop yield (</w:t>
      </w:r>
      <w:proofErr w:type="spellStart"/>
      <w:r w:rsidRPr="002E597A">
        <w:rPr>
          <w:sz w:val="20"/>
          <w:szCs w:val="20"/>
        </w:rPr>
        <w:t>Trenkel</w:t>
      </w:r>
      <w:proofErr w:type="spellEnd"/>
      <w:r w:rsidRPr="002E597A">
        <w:rPr>
          <w:sz w:val="20"/>
          <w:szCs w:val="20"/>
        </w:rPr>
        <w:t>, 2010). Additionally, the need for multiple fertilizer applications is minimized, as a single application of CRFs can supply nutrients throughout the cropping season.</w:t>
      </w:r>
      <w:r w:rsidR="006C7602">
        <w:rPr>
          <w:sz w:val="20"/>
          <w:szCs w:val="20"/>
        </w:rPr>
        <w:t xml:space="preserve"> </w:t>
      </w:r>
      <w:r w:rsidRPr="002E597A">
        <w:rPr>
          <w:sz w:val="20"/>
          <w:szCs w:val="20"/>
        </w:rPr>
        <w:t xml:space="preserve">This reduction in application frequency translates into savings in </w:t>
      </w:r>
      <w:proofErr w:type="spellStart"/>
      <w:r w:rsidRPr="002E597A">
        <w:rPr>
          <w:sz w:val="20"/>
          <w:szCs w:val="20"/>
        </w:rPr>
        <w:t>labor</w:t>
      </w:r>
      <w:proofErr w:type="spellEnd"/>
      <w:r w:rsidRPr="002E597A">
        <w:rPr>
          <w:sz w:val="20"/>
          <w:szCs w:val="20"/>
        </w:rPr>
        <w:t>, energy, and operational costs, making these fertilizers economically viable in the long term. Furthermore, improved nutrient efficiency and reduced losses contribute to better return on investment for farmers by enhancing productivity while lowering input costs (</w:t>
      </w:r>
      <w:proofErr w:type="spellStart"/>
      <w:r w:rsidRPr="002E597A">
        <w:rPr>
          <w:sz w:val="20"/>
          <w:szCs w:val="20"/>
        </w:rPr>
        <w:t>Trenkel</w:t>
      </w:r>
      <w:proofErr w:type="spellEnd"/>
      <w:r w:rsidRPr="002E597A">
        <w:rPr>
          <w:sz w:val="20"/>
          <w:szCs w:val="20"/>
        </w:rPr>
        <w:t>, 2010).</w:t>
      </w:r>
    </w:p>
    <w:p w14:paraId="405EAE06" w14:textId="77777777" w:rsidR="002E597A" w:rsidRPr="002E597A" w:rsidRDefault="002E597A" w:rsidP="002E597A">
      <w:pPr>
        <w:pStyle w:val="NormalWeb"/>
        <w:jc w:val="both"/>
        <w:rPr>
          <w:sz w:val="20"/>
          <w:szCs w:val="20"/>
        </w:rPr>
      </w:pPr>
      <w:r w:rsidRPr="002E597A">
        <w:rPr>
          <w:sz w:val="20"/>
          <w:szCs w:val="20"/>
        </w:rPr>
        <w:t>Overall, slow and controlled release fertilizers provide a balanced approach to nutrient management by integrating agronomic efficiency, environmental sustainability, and economic feasibility, thereby playing a crucial role in modern sustainable agriculture.</w:t>
      </w:r>
    </w:p>
    <w:p w14:paraId="1E4360BE" w14:textId="77777777" w:rsidR="006C7602" w:rsidRPr="006C7602" w:rsidRDefault="006C7602" w:rsidP="006C7602">
      <w:pPr>
        <w:pStyle w:val="NormalWeb"/>
        <w:jc w:val="both"/>
        <w:rPr>
          <w:sz w:val="20"/>
          <w:szCs w:val="20"/>
        </w:rPr>
      </w:pPr>
      <w:bookmarkStart w:id="1" w:name="_Hlk198031404"/>
      <w:bookmarkStart w:id="2" w:name="_Hlk219125673"/>
      <w:bookmarkStart w:id="3" w:name="_Hlk220510767"/>
      <w:r w:rsidRPr="006C7602">
        <w:rPr>
          <w:rStyle w:val="Strong"/>
          <w:sz w:val="20"/>
          <w:szCs w:val="20"/>
        </w:rPr>
        <w:t>Conclusion</w:t>
      </w:r>
    </w:p>
    <w:p w14:paraId="067EBEF8" w14:textId="2EBE26DF" w:rsidR="006C7602" w:rsidRPr="006C7602" w:rsidRDefault="006C7602" w:rsidP="006C7602">
      <w:pPr>
        <w:pStyle w:val="NormalWeb"/>
        <w:jc w:val="both"/>
        <w:rPr>
          <w:sz w:val="20"/>
          <w:szCs w:val="20"/>
        </w:rPr>
      </w:pPr>
      <w:r w:rsidRPr="006C7602">
        <w:rPr>
          <w:sz w:val="20"/>
          <w:szCs w:val="20"/>
        </w:rPr>
        <w:t xml:space="preserve">Achieving global food security while ensuring environmental sustainability remains a major challenge for modern agriculture. With increasing population pressure and the need for higher productivity, it is essential to adopt nutrient management strategies that enhance efficiency while minimizing environmental impacts. Conventional fertilization practices, although effective in improving yields, are often associated with substantial nutrient losses, leading to reduced efficiency, increased production costs, and environmental degradation such as soil deterioration, water contamination, and greenhouse gas emissions. In this context, smart fertilizers have emerged as a promising solution to address the limitations of traditional fertilizers. Nano fertilizers, owing to their unique physicochemical properties such as high surface area, enhanced reactivity, and targeted delivery, improve nutrient availability and uptake efficiency while reducing losses. Similarly, slow and controlled release fertilizers provide a sustained and regulated supply of nutrients, ensuring better synchronization between nutrient availability and plant demand. This not only enhances crop productivity </w:t>
      </w:r>
      <w:r w:rsidRPr="006C7602">
        <w:rPr>
          <w:sz w:val="20"/>
          <w:szCs w:val="20"/>
          <w:highlight w:val="yellow"/>
        </w:rPr>
        <w:t>but also reduces the frequency of fertilizer application and associated input costs. The adoption of these advanced fertilizer technologies contributes significantly to improving soil health, enhancing nutrient use efficiency, and reducing environmental pollution. Furthermore, they support sustainable agricultural intensification by optimizing resource utilization and minimizing ecological footprints. However, large-scale adoption of smart fertilizers requires further research to optimize formulations, assess long-term field performance, and improve economic feasibility under diverse agro-climatic conditions. Greater emphasis is also needed on developing cost-effective, environmentally safe, and farmer-friendly technologies. Overall, smart fertilizers represent a transformative approach in nutrient management, offering a balanced pathway toward increased agricultural productivity and environmental sustainability. Their integration into modern farming systems will play a crucial role in achieving long-term sustainability goals and ensuring food security for future generations.</w:t>
      </w:r>
    </w:p>
    <w:p w14:paraId="1B18264C" w14:textId="77777777" w:rsidR="00225341" w:rsidRPr="00F44DF0" w:rsidRDefault="00225341" w:rsidP="00F44DF0">
      <w:pPr>
        <w:spacing w:after="0" w:line="240" w:lineRule="auto"/>
        <w:rPr>
          <w:rFonts w:ascii="Times New Roman" w:hAnsi="Times New Roman" w:cs="Times New Roman"/>
          <w:b/>
          <w:bCs/>
          <w:kern w:val="2"/>
          <w:sz w:val="20"/>
          <w:szCs w:val="20"/>
          <w:highlight w:val="yellow"/>
          <w:lang w:val="en-US" w:eastAsia="en-US"/>
        </w:rPr>
      </w:pPr>
      <w:r w:rsidRPr="00F44DF0">
        <w:rPr>
          <w:rFonts w:ascii="Times New Roman" w:hAnsi="Times New Roman" w:cs="Times New Roman"/>
          <w:b/>
          <w:bCs/>
          <w:kern w:val="2"/>
          <w:sz w:val="20"/>
          <w:szCs w:val="20"/>
          <w:highlight w:val="yellow"/>
          <w:lang w:val="en-US" w:eastAsia="en-US"/>
        </w:rPr>
        <w:t>Disclaimer (Artificial intelligence)</w:t>
      </w:r>
    </w:p>
    <w:p w14:paraId="0881EA69" w14:textId="77777777" w:rsidR="00225341" w:rsidRPr="00F44DF0" w:rsidRDefault="00225341" w:rsidP="00F44DF0">
      <w:pPr>
        <w:spacing w:after="0" w:line="240" w:lineRule="auto"/>
        <w:rPr>
          <w:rFonts w:ascii="Times New Roman" w:hAnsi="Times New Roman" w:cs="Times New Roman"/>
          <w:kern w:val="2"/>
          <w:sz w:val="20"/>
          <w:szCs w:val="20"/>
          <w:highlight w:val="yellow"/>
          <w:lang w:val="en-US" w:eastAsia="en-US"/>
        </w:rPr>
      </w:pPr>
    </w:p>
    <w:p w14:paraId="7B0A657B" w14:textId="77777777" w:rsidR="00225341" w:rsidRPr="00F44DF0" w:rsidRDefault="00225341" w:rsidP="00F44DF0">
      <w:pPr>
        <w:spacing w:after="0" w:line="240" w:lineRule="auto"/>
        <w:rPr>
          <w:rFonts w:ascii="Times New Roman" w:hAnsi="Times New Roman" w:cs="Times New Roman"/>
          <w:kern w:val="2"/>
          <w:sz w:val="20"/>
          <w:szCs w:val="20"/>
          <w:highlight w:val="yellow"/>
          <w:lang w:val="en-US" w:eastAsia="en-US"/>
        </w:rPr>
      </w:pPr>
      <w:r w:rsidRPr="00F44DF0">
        <w:rPr>
          <w:rFonts w:ascii="Times New Roman" w:hAnsi="Times New Roman" w:cs="Times New Roman"/>
          <w:kern w:val="2"/>
          <w:sz w:val="20"/>
          <w:szCs w:val="20"/>
          <w:highlight w:val="yellow"/>
          <w:lang w:val="en-US" w:eastAsia="en-US"/>
        </w:rPr>
        <w:t xml:space="preserve">Author(s) hereby declare that NO generative AI technologies such as Large Language Models (ChatGPT, COPILOT, etc.) and text-to-image generators have been used during the writing or editing of this manuscript. </w:t>
      </w:r>
    </w:p>
    <w:bookmarkEnd w:id="1"/>
    <w:bookmarkEnd w:id="2"/>
    <w:bookmarkEnd w:id="3"/>
    <w:p w14:paraId="71326158" w14:textId="77777777" w:rsidR="00563158" w:rsidRPr="00F44DF0" w:rsidRDefault="00563158" w:rsidP="00F44DF0">
      <w:pPr>
        <w:spacing w:line="240" w:lineRule="auto"/>
        <w:ind w:firstLine="720"/>
        <w:jc w:val="both"/>
        <w:rPr>
          <w:rFonts w:ascii="Times New Roman" w:eastAsia="Times New Roman" w:hAnsi="Times New Roman" w:cs="Times New Roman"/>
          <w:sz w:val="20"/>
          <w:szCs w:val="20"/>
          <w:lang w:val="en-GB"/>
        </w:rPr>
      </w:pPr>
    </w:p>
    <w:p w14:paraId="3FA9E198" w14:textId="77777777" w:rsidR="00076D98" w:rsidRPr="00C952BC" w:rsidRDefault="00030B54" w:rsidP="00F44DF0">
      <w:pPr>
        <w:spacing w:line="240" w:lineRule="auto"/>
        <w:jc w:val="both"/>
        <w:rPr>
          <w:rFonts w:ascii="Times New Roman" w:eastAsia="Times New Roman" w:hAnsi="Times New Roman" w:cs="Times New Roman"/>
          <w:b/>
          <w:bCs/>
          <w:color w:val="0D0D0D"/>
          <w:sz w:val="20"/>
          <w:szCs w:val="20"/>
          <w:highlight w:val="yellow"/>
        </w:rPr>
      </w:pPr>
      <w:r w:rsidRPr="00C952BC">
        <w:rPr>
          <w:rFonts w:ascii="Times New Roman" w:eastAsia="Times New Roman" w:hAnsi="Times New Roman" w:cs="Times New Roman"/>
          <w:b/>
          <w:bCs/>
          <w:color w:val="0D0D0D"/>
          <w:sz w:val="20"/>
          <w:szCs w:val="20"/>
          <w:highlight w:val="yellow"/>
        </w:rPr>
        <w:lastRenderedPageBreak/>
        <w:t>References</w:t>
      </w:r>
    </w:p>
    <w:p w14:paraId="14962A58" w14:textId="77777777" w:rsidR="00F44DF0" w:rsidRPr="00C952BC" w:rsidRDefault="00F44DF0" w:rsidP="00F44DF0">
      <w:pPr>
        <w:spacing w:line="240" w:lineRule="auto"/>
        <w:ind w:left="851" w:hanging="851"/>
        <w:jc w:val="both"/>
        <w:rPr>
          <w:rFonts w:ascii="Times New Roman" w:eastAsia="Times New Roman" w:hAnsi="Times New Roman" w:cs="Times New Roman"/>
          <w:sz w:val="20"/>
          <w:szCs w:val="20"/>
          <w:highlight w:val="yellow"/>
        </w:rPr>
      </w:pPr>
      <w:r w:rsidRPr="00C952BC">
        <w:rPr>
          <w:rFonts w:ascii="Times New Roman" w:eastAsia="Times New Roman" w:hAnsi="Times New Roman" w:cs="Times New Roman"/>
          <w:sz w:val="20"/>
          <w:szCs w:val="20"/>
          <w:highlight w:val="yellow"/>
        </w:rPr>
        <w:t xml:space="preserve">Ahmed, S., Niger F., Kabir, MH., Chakrabarti, G., Nur, H.P., &amp; </w:t>
      </w:r>
      <w:proofErr w:type="spellStart"/>
      <w:r w:rsidRPr="00C952BC">
        <w:rPr>
          <w:rFonts w:ascii="Times New Roman" w:eastAsia="Times New Roman" w:hAnsi="Times New Roman" w:cs="Times New Roman"/>
          <w:sz w:val="20"/>
          <w:szCs w:val="20"/>
          <w:highlight w:val="yellow"/>
        </w:rPr>
        <w:t>Imamul</w:t>
      </w:r>
      <w:proofErr w:type="spellEnd"/>
      <w:r w:rsidRPr="00C952BC">
        <w:rPr>
          <w:rFonts w:ascii="Times New Roman" w:eastAsia="Times New Roman" w:hAnsi="Times New Roman" w:cs="Times New Roman"/>
          <w:sz w:val="20"/>
          <w:szCs w:val="20"/>
          <w:highlight w:val="yellow"/>
        </w:rPr>
        <w:t xml:space="preserve"> Huq. S.M. (2012). Development of Slow Release Nano </w:t>
      </w:r>
      <w:proofErr w:type="spellStart"/>
      <w:r w:rsidRPr="00C952BC">
        <w:rPr>
          <w:rFonts w:ascii="Times New Roman" w:eastAsia="Times New Roman" w:hAnsi="Times New Roman" w:cs="Times New Roman"/>
          <w:sz w:val="20"/>
          <w:szCs w:val="20"/>
          <w:highlight w:val="yellow"/>
        </w:rPr>
        <w:t>Fertilizer.pp</w:t>
      </w:r>
      <w:proofErr w:type="spellEnd"/>
      <w:r w:rsidRPr="00C952BC">
        <w:rPr>
          <w:rFonts w:ascii="Times New Roman" w:eastAsia="Times New Roman" w:hAnsi="Times New Roman" w:cs="Times New Roman"/>
          <w:sz w:val="20"/>
          <w:szCs w:val="20"/>
          <w:highlight w:val="yellow"/>
        </w:rPr>
        <w:t xml:space="preserve">. 45. </w:t>
      </w:r>
      <w:r w:rsidRPr="00C952BC">
        <w:rPr>
          <w:rFonts w:ascii="Times New Roman" w:eastAsia="Times New Roman" w:hAnsi="Times New Roman" w:cs="Times New Roman"/>
          <w:i/>
          <w:iCs/>
          <w:sz w:val="20"/>
          <w:szCs w:val="20"/>
          <w:highlight w:val="yellow"/>
        </w:rPr>
        <w:t>Proceedings of the   on Nanotechnology</w:t>
      </w:r>
      <w:r w:rsidRPr="00C952BC">
        <w:rPr>
          <w:rFonts w:ascii="Times New Roman" w:eastAsia="Times New Roman" w:hAnsi="Times New Roman" w:cs="Times New Roman"/>
          <w:sz w:val="20"/>
          <w:szCs w:val="20"/>
          <w:highlight w:val="yellow"/>
        </w:rPr>
        <w:t>,</w:t>
      </w:r>
      <w:r w:rsidRPr="00C952BC">
        <w:rPr>
          <w:sz w:val="20"/>
          <w:szCs w:val="20"/>
          <w:highlight w:val="yellow"/>
        </w:rPr>
        <w:t xml:space="preserve"> </w:t>
      </w:r>
      <w:r w:rsidRPr="00C952BC">
        <w:rPr>
          <w:rFonts w:ascii="Times New Roman" w:eastAsia="Times New Roman" w:hAnsi="Times New Roman" w:cs="Times New Roman"/>
          <w:sz w:val="20"/>
          <w:szCs w:val="20"/>
          <w:highlight w:val="yellow"/>
        </w:rPr>
        <w:t>September 21-23,</w:t>
      </w:r>
      <w:r w:rsidRPr="00C952BC">
        <w:rPr>
          <w:sz w:val="20"/>
          <w:szCs w:val="20"/>
          <w:highlight w:val="yellow"/>
        </w:rPr>
        <w:t xml:space="preserve"> </w:t>
      </w:r>
      <w:r w:rsidRPr="00C952BC">
        <w:rPr>
          <w:rFonts w:ascii="Times New Roman" w:eastAsia="Times New Roman" w:hAnsi="Times New Roman" w:cs="Times New Roman"/>
          <w:sz w:val="20"/>
          <w:szCs w:val="20"/>
          <w:highlight w:val="yellow"/>
        </w:rPr>
        <w:t xml:space="preserve">2012-Dhaka, Bangladesh. </w:t>
      </w:r>
    </w:p>
    <w:p w14:paraId="5FE339F9" w14:textId="77777777" w:rsidR="00F44DF0" w:rsidRPr="00C952BC" w:rsidRDefault="00F44DF0" w:rsidP="00F44DF0">
      <w:pPr>
        <w:spacing w:line="240" w:lineRule="auto"/>
        <w:ind w:left="851" w:hanging="851"/>
        <w:jc w:val="both"/>
        <w:rPr>
          <w:rFonts w:ascii="Times New Roman" w:eastAsia="Times New Roman" w:hAnsi="Times New Roman" w:cs="Times New Roman"/>
          <w:sz w:val="20"/>
          <w:szCs w:val="20"/>
          <w:highlight w:val="yellow"/>
        </w:rPr>
      </w:pPr>
      <w:bookmarkStart w:id="4" w:name="_3fm1n7qoazrn" w:colFirst="0" w:colLast="0"/>
      <w:bookmarkEnd w:id="4"/>
      <w:r w:rsidRPr="00C952BC">
        <w:rPr>
          <w:rFonts w:ascii="Times New Roman" w:eastAsia="Times New Roman" w:hAnsi="Times New Roman" w:cs="Times New Roman"/>
          <w:sz w:val="20"/>
          <w:szCs w:val="20"/>
          <w:highlight w:val="yellow"/>
        </w:rPr>
        <w:t xml:space="preserve">Azeem, B., </w:t>
      </w:r>
      <w:proofErr w:type="spellStart"/>
      <w:r w:rsidRPr="00C952BC">
        <w:rPr>
          <w:rFonts w:ascii="Times New Roman" w:eastAsia="Times New Roman" w:hAnsi="Times New Roman" w:cs="Times New Roman"/>
          <w:sz w:val="20"/>
          <w:szCs w:val="20"/>
          <w:highlight w:val="yellow"/>
        </w:rPr>
        <w:t>Kushaari</w:t>
      </w:r>
      <w:proofErr w:type="spellEnd"/>
      <w:r w:rsidRPr="00C952BC">
        <w:rPr>
          <w:rFonts w:ascii="Times New Roman" w:eastAsia="Times New Roman" w:hAnsi="Times New Roman" w:cs="Times New Roman"/>
          <w:sz w:val="20"/>
          <w:szCs w:val="20"/>
          <w:highlight w:val="yellow"/>
        </w:rPr>
        <w:t xml:space="preserve">, K., Man, ZB., B1asit, A., &amp; Thanh, TH. (2014). Review on materials &amp; methods to produce controlled release coated urea fertilizer. </w:t>
      </w:r>
      <w:r w:rsidRPr="00C952BC">
        <w:rPr>
          <w:rFonts w:ascii="Times New Roman" w:eastAsia="Times New Roman" w:hAnsi="Times New Roman" w:cs="Times New Roman"/>
          <w:i/>
          <w:iCs/>
          <w:sz w:val="20"/>
          <w:szCs w:val="20"/>
          <w:highlight w:val="yellow"/>
        </w:rPr>
        <w:t>The Journal of Controlled Release</w:t>
      </w:r>
      <w:r w:rsidRPr="00C952BC">
        <w:rPr>
          <w:rFonts w:ascii="Arial" w:eastAsia="Arial" w:hAnsi="Arial" w:cs="Arial"/>
          <w:color w:val="202124"/>
          <w:sz w:val="20"/>
          <w:szCs w:val="20"/>
          <w:highlight w:val="yellow"/>
        </w:rPr>
        <w:t> </w:t>
      </w:r>
      <w:r w:rsidRPr="00C952BC">
        <w:rPr>
          <w:rFonts w:ascii="Times New Roman" w:eastAsia="Times New Roman" w:hAnsi="Times New Roman" w:cs="Times New Roman"/>
          <w:sz w:val="20"/>
          <w:szCs w:val="20"/>
          <w:highlight w:val="yellow"/>
        </w:rPr>
        <w:t>181, 11–21.</w:t>
      </w:r>
    </w:p>
    <w:p w14:paraId="2B33F4A7" w14:textId="77777777" w:rsidR="00F44DF0" w:rsidRPr="00C952BC" w:rsidRDefault="00F44DF0" w:rsidP="00F44DF0">
      <w:pPr>
        <w:spacing w:line="240" w:lineRule="auto"/>
        <w:ind w:left="851" w:hanging="851"/>
        <w:jc w:val="both"/>
        <w:rPr>
          <w:rFonts w:ascii="Times New Roman" w:eastAsia="Times New Roman" w:hAnsi="Times New Roman" w:cs="Times New Roman"/>
          <w:color w:val="000000"/>
          <w:sz w:val="20"/>
          <w:szCs w:val="20"/>
          <w:highlight w:val="yellow"/>
        </w:rPr>
      </w:pPr>
      <w:r w:rsidRPr="00C952BC">
        <w:rPr>
          <w:rFonts w:ascii="Times New Roman" w:eastAsia="Times New Roman" w:hAnsi="Times New Roman" w:cs="Times New Roman"/>
          <w:color w:val="000000"/>
          <w:sz w:val="20"/>
          <w:szCs w:val="20"/>
          <w:highlight w:val="yellow"/>
        </w:rPr>
        <w:t xml:space="preserve">Baruah, S., &amp; Dutta, J. (2009). Nanotechnology applications in sensing and pollution degradation in agriculture. </w:t>
      </w:r>
      <w:r w:rsidRPr="00C952BC">
        <w:rPr>
          <w:rFonts w:ascii="Times New Roman" w:eastAsia="Times New Roman" w:hAnsi="Times New Roman" w:cs="Times New Roman"/>
          <w:i/>
          <w:iCs/>
          <w:color w:val="000000"/>
          <w:sz w:val="20"/>
          <w:szCs w:val="20"/>
          <w:highlight w:val="yellow"/>
        </w:rPr>
        <w:t>Environmental Chemistry Letters,</w:t>
      </w:r>
      <w:r w:rsidRPr="00C952BC">
        <w:rPr>
          <w:rFonts w:ascii="Times New Roman" w:eastAsia="Times New Roman" w:hAnsi="Times New Roman" w:cs="Times New Roman"/>
          <w:color w:val="000000"/>
          <w:sz w:val="20"/>
          <w:szCs w:val="20"/>
          <w:highlight w:val="yellow"/>
        </w:rPr>
        <w:t xml:space="preserve"> </w:t>
      </w:r>
      <w:r w:rsidRPr="00C952BC">
        <w:rPr>
          <w:rFonts w:ascii="Times New Roman" w:eastAsia="Times New Roman" w:hAnsi="Times New Roman" w:cs="Times New Roman"/>
          <w:b/>
          <w:bCs/>
          <w:color w:val="000000"/>
          <w:sz w:val="20"/>
          <w:szCs w:val="20"/>
          <w:highlight w:val="yellow"/>
        </w:rPr>
        <w:t>7</w:t>
      </w:r>
      <w:r w:rsidRPr="00C952BC">
        <w:rPr>
          <w:rFonts w:ascii="Times New Roman" w:eastAsia="Times New Roman" w:hAnsi="Times New Roman" w:cs="Times New Roman"/>
          <w:color w:val="000000"/>
          <w:sz w:val="20"/>
          <w:szCs w:val="20"/>
          <w:highlight w:val="yellow"/>
        </w:rPr>
        <w:t>, 191-204.</w:t>
      </w:r>
    </w:p>
    <w:p w14:paraId="033D736D" w14:textId="77777777" w:rsidR="00F44DF0" w:rsidRPr="00C952BC" w:rsidRDefault="00F44DF0" w:rsidP="00F44DF0">
      <w:pPr>
        <w:spacing w:line="240" w:lineRule="auto"/>
        <w:ind w:left="851" w:hanging="851"/>
        <w:jc w:val="both"/>
        <w:rPr>
          <w:rFonts w:ascii="Times New Roman" w:eastAsia="Times New Roman" w:hAnsi="Times New Roman" w:cs="Times New Roman"/>
          <w:sz w:val="20"/>
          <w:szCs w:val="20"/>
          <w:highlight w:val="yellow"/>
        </w:rPr>
      </w:pPr>
      <w:r w:rsidRPr="00C952BC">
        <w:rPr>
          <w:rFonts w:ascii="Times New Roman" w:eastAsia="Times New Roman" w:hAnsi="Times New Roman" w:cs="Times New Roman"/>
          <w:sz w:val="20"/>
          <w:szCs w:val="20"/>
          <w:highlight w:val="yellow"/>
        </w:rPr>
        <w:t>Brady, N.C., and Weil, R.R. (1999). The Nature and Properties of Soils</w:t>
      </w:r>
      <w:r w:rsidRPr="00C952BC">
        <w:rPr>
          <w:rFonts w:ascii="Times New Roman" w:eastAsia="Times New Roman" w:hAnsi="Times New Roman" w:cs="Times New Roman"/>
          <w:i/>
          <w:iCs/>
          <w:sz w:val="20"/>
          <w:szCs w:val="20"/>
          <w:highlight w:val="yellow"/>
        </w:rPr>
        <w:t xml:space="preserve">, </w:t>
      </w:r>
      <w:r w:rsidRPr="00C952BC">
        <w:rPr>
          <w:rFonts w:ascii="Times New Roman" w:eastAsia="Times New Roman" w:hAnsi="Times New Roman" w:cs="Times New Roman"/>
          <w:sz w:val="20"/>
          <w:szCs w:val="20"/>
          <w:highlight w:val="yellow"/>
        </w:rPr>
        <w:t>12th Edition, Prentice Hall Publishers, London. 1-9, 453-536.</w:t>
      </w:r>
    </w:p>
    <w:p w14:paraId="7C3D41DF" w14:textId="77777777" w:rsidR="00F44DF0" w:rsidRPr="00C952BC" w:rsidRDefault="00F44DF0" w:rsidP="00F44DF0">
      <w:pPr>
        <w:spacing w:line="240" w:lineRule="auto"/>
        <w:ind w:left="851" w:hanging="851"/>
        <w:jc w:val="both"/>
        <w:rPr>
          <w:rFonts w:ascii="Times New Roman" w:eastAsia="Times New Roman" w:hAnsi="Times New Roman" w:cs="Times New Roman"/>
          <w:sz w:val="20"/>
          <w:szCs w:val="20"/>
          <w:highlight w:val="yellow"/>
        </w:rPr>
      </w:pPr>
      <w:bookmarkStart w:id="5" w:name="_1b6johtkedn" w:colFirst="0" w:colLast="0"/>
      <w:bookmarkEnd w:id="5"/>
      <w:proofErr w:type="spellStart"/>
      <w:r w:rsidRPr="00C952BC">
        <w:rPr>
          <w:rFonts w:ascii="Times New Roman" w:eastAsia="Times New Roman" w:hAnsi="Times New Roman" w:cs="Times New Roman"/>
          <w:sz w:val="20"/>
          <w:szCs w:val="20"/>
          <w:highlight w:val="yellow"/>
        </w:rPr>
        <w:t>Chandini</w:t>
      </w:r>
      <w:proofErr w:type="spellEnd"/>
      <w:r w:rsidRPr="00C952BC">
        <w:rPr>
          <w:rFonts w:ascii="Times New Roman" w:eastAsia="Times New Roman" w:hAnsi="Times New Roman" w:cs="Times New Roman"/>
          <w:sz w:val="20"/>
          <w:szCs w:val="20"/>
          <w:highlight w:val="yellow"/>
        </w:rPr>
        <w:t xml:space="preserve">, K.R., Kumar, R. &amp; Prakash, O. (2019). The Impact of chemical fertilizers on our environment and ecosystem. </w:t>
      </w:r>
      <w:r w:rsidRPr="00C952BC">
        <w:rPr>
          <w:rFonts w:ascii="Times New Roman" w:eastAsia="Times New Roman" w:hAnsi="Times New Roman" w:cs="Times New Roman"/>
          <w:i/>
          <w:iCs/>
          <w:sz w:val="20"/>
          <w:szCs w:val="20"/>
          <w:highlight w:val="yellow"/>
        </w:rPr>
        <w:t>Research Trends in Environmental Sciences,</w:t>
      </w:r>
      <w:r w:rsidRPr="00C952BC">
        <w:rPr>
          <w:rFonts w:ascii="Times New Roman" w:eastAsia="Times New Roman" w:hAnsi="Times New Roman" w:cs="Times New Roman"/>
          <w:sz w:val="20"/>
          <w:szCs w:val="20"/>
          <w:highlight w:val="yellow"/>
        </w:rPr>
        <w:t xml:space="preserve"> 2, 69-86.</w:t>
      </w:r>
    </w:p>
    <w:p w14:paraId="23507313" w14:textId="77777777" w:rsidR="00F44DF0" w:rsidRPr="00C952BC" w:rsidRDefault="00F44DF0" w:rsidP="00F44DF0">
      <w:pPr>
        <w:spacing w:line="240" w:lineRule="auto"/>
        <w:ind w:left="851" w:hanging="851"/>
        <w:jc w:val="both"/>
        <w:rPr>
          <w:rFonts w:ascii="Times New Roman" w:eastAsia="Times New Roman" w:hAnsi="Times New Roman" w:cs="Times New Roman"/>
          <w:sz w:val="20"/>
          <w:szCs w:val="20"/>
          <w:highlight w:val="yellow"/>
        </w:rPr>
      </w:pPr>
      <w:r w:rsidRPr="00C952BC">
        <w:rPr>
          <w:rFonts w:ascii="Times New Roman" w:eastAsia="Times New Roman" w:hAnsi="Times New Roman" w:cs="Times New Roman"/>
          <w:sz w:val="20"/>
          <w:szCs w:val="20"/>
          <w:highlight w:val="yellow"/>
        </w:rPr>
        <w:t>Cui, HX., Sun, C.J., Liu, Q., Jiang, J. &amp; Gu, W. (2010). Applications of nanotechnology in agrochemical formulation, perspectives, challenges and strategies. Pp. 28-33. In</w:t>
      </w:r>
      <w:r w:rsidRPr="00C952BC">
        <w:rPr>
          <w:rFonts w:ascii="Times New Roman" w:eastAsia="Times New Roman" w:hAnsi="Times New Roman" w:cs="Times New Roman"/>
          <w:i/>
          <w:iCs/>
          <w:sz w:val="20"/>
          <w:szCs w:val="20"/>
          <w:highlight w:val="yellow"/>
        </w:rPr>
        <w:t xml:space="preserve">: International conference on </w:t>
      </w:r>
      <w:proofErr w:type="spellStart"/>
      <w:r w:rsidRPr="00C952BC">
        <w:rPr>
          <w:rFonts w:ascii="Times New Roman" w:eastAsia="Times New Roman" w:hAnsi="Times New Roman" w:cs="Times New Roman"/>
          <w:i/>
          <w:iCs/>
          <w:sz w:val="20"/>
          <w:szCs w:val="20"/>
          <w:highlight w:val="yellow"/>
        </w:rPr>
        <w:t>Nanoagri</w:t>
      </w:r>
      <w:proofErr w:type="spellEnd"/>
      <w:r w:rsidRPr="00C952BC">
        <w:rPr>
          <w:rFonts w:ascii="Times New Roman" w:eastAsia="Times New Roman" w:hAnsi="Times New Roman" w:cs="Times New Roman"/>
          <w:sz w:val="20"/>
          <w:szCs w:val="20"/>
          <w:highlight w:val="yellow"/>
        </w:rPr>
        <w:t xml:space="preserve">, Sao Pedro, Brazil. </w:t>
      </w:r>
    </w:p>
    <w:p w14:paraId="605B5EFE" w14:textId="77777777" w:rsidR="00F44DF0" w:rsidRPr="00C952BC" w:rsidRDefault="00F44DF0" w:rsidP="00F44DF0">
      <w:pPr>
        <w:spacing w:line="240" w:lineRule="auto"/>
        <w:ind w:left="851" w:hanging="851"/>
        <w:jc w:val="both"/>
        <w:rPr>
          <w:rFonts w:ascii="Times New Roman" w:eastAsia="Times New Roman" w:hAnsi="Times New Roman" w:cs="Times New Roman"/>
          <w:sz w:val="20"/>
          <w:szCs w:val="20"/>
          <w:highlight w:val="yellow"/>
        </w:rPr>
      </w:pPr>
      <w:r w:rsidRPr="00C952BC">
        <w:rPr>
          <w:rFonts w:ascii="Times New Roman" w:eastAsia="Times New Roman" w:hAnsi="Times New Roman" w:cs="Times New Roman"/>
          <w:sz w:val="20"/>
          <w:szCs w:val="20"/>
          <w:highlight w:val="yellow"/>
        </w:rPr>
        <w:t xml:space="preserve">Dos, Santos, B.R., </w:t>
      </w:r>
      <w:proofErr w:type="spellStart"/>
      <w:r w:rsidRPr="00C952BC">
        <w:rPr>
          <w:rFonts w:ascii="Times New Roman" w:eastAsia="Times New Roman" w:hAnsi="Times New Roman" w:cs="Times New Roman"/>
          <w:sz w:val="20"/>
          <w:szCs w:val="20"/>
          <w:highlight w:val="yellow"/>
        </w:rPr>
        <w:t>Bacalhau</w:t>
      </w:r>
      <w:proofErr w:type="spellEnd"/>
      <w:r w:rsidRPr="00C952BC">
        <w:rPr>
          <w:rFonts w:ascii="Times New Roman" w:eastAsia="Times New Roman" w:hAnsi="Times New Roman" w:cs="Times New Roman"/>
          <w:sz w:val="20"/>
          <w:szCs w:val="20"/>
          <w:highlight w:val="yellow"/>
        </w:rPr>
        <w:t xml:space="preserve">, F.B., Pereira, T.D.S., Souza, C.F., &amp; Faez, R. (2015).  Chitosan- montmorillonite microspheres: a sustainable fertilizer delivery system. </w:t>
      </w:r>
      <w:r w:rsidRPr="00C952BC">
        <w:rPr>
          <w:rFonts w:ascii="Times New Roman" w:eastAsia="Times New Roman" w:hAnsi="Times New Roman" w:cs="Times New Roman"/>
          <w:i/>
          <w:iCs/>
          <w:sz w:val="20"/>
          <w:szCs w:val="20"/>
          <w:highlight w:val="yellow"/>
        </w:rPr>
        <w:t>Carbohydrate Polymers,</w:t>
      </w:r>
      <w:r w:rsidRPr="00C952BC">
        <w:rPr>
          <w:rFonts w:ascii="Times New Roman" w:eastAsia="Times New Roman" w:hAnsi="Times New Roman" w:cs="Times New Roman"/>
          <w:sz w:val="20"/>
          <w:szCs w:val="20"/>
          <w:highlight w:val="yellow"/>
        </w:rPr>
        <w:t xml:space="preserve"> 127, 340–346.</w:t>
      </w:r>
    </w:p>
    <w:p w14:paraId="4918BE16" w14:textId="77777777" w:rsidR="00F44DF0" w:rsidRPr="00C952BC" w:rsidRDefault="00F44DF0" w:rsidP="00F44DF0">
      <w:pPr>
        <w:spacing w:line="240" w:lineRule="auto"/>
        <w:ind w:left="851" w:hanging="851"/>
        <w:jc w:val="both"/>
        <w:rPr>
          <w:rFonts w:ascii="Times New Roman" w:eastAsia="Times New Roman" w:hAnsi="Times New Roman" w:cs="Times New Roman"/>
          <w:sz w:val="20"/>
          <w:szCs w:val="20"/>
          <w:highlight w:val="yellow"/>
        </w:rPr>
      </w:pPr>
      <w:r w:rsidRPr="00C952BC">
        <w:rPr>
          <w:rFonts w:ascii="Times New Roman" w:eastAsia="Times New Roman" w:hAnsi="Times New Roman" w:cs="Times New Roman"/>
          <w:sz w:val="20"/>
          <w:szCs w:val="20"/>
          <w:highlight w:val="yellow"/>
        </w:rPr>
        <w:t xml:space="preserve">Fleischer, A., O’Neill, M.A., &amp; </w:t>
      </w:r>
      <w:proofErr w:type="spellStart"/>
      <w:r w:rsidRPr="00C952BC">
        <w:rPr>
          <w:rFonts w:ascii="Times New Roman" w:eastAsia="Times New Roman" w:hAnsi="Times New Roman" w:cs="Times New Roman"/>
          <w:sz w:val="20"/>
          <w:szCs w:val="20"/>
          <w:highlight w:val="yellow"/>
        </w:rPr>
        <w:t>Ehwald</w:t>
      </w:r>
      <w:proofErr w:type="spellEnd"/>
      <w:r w:rsidRPr="00C952BC">
        <w:rPr>
          <w:rFonts w:ascii="Times New Roman" w:eastAsia="Times New Roman" w:hAnsi="Times New Roman" w:cs="Times New Roman"/>
          <w:sz w:val="20"/>
          <w:szCs w:val="20"/>
          <w:highlight w:val="yellow"/>
        </w:rPr>
        <w:t>, R. (1999). The pore size of non-</w:t>
      </w:r>
      <w:proofErr w:type="spellStart"/>
      <w:r w:rsidRPr="00C952BC">
        <w:rPr>
          <w:rFonts w:ascii="Times New Roman" w:eastAsia="Times New Roman" w:hAnsi="Times New Roman" w:cs="Times New Roman"/>
          <w:sz w:val="20"/>
          <w:szCs w:val="20"/>
          <w:highlight w:val="yellow"/>
        </w:rPr>
        <w:t>graminaceous</w:t>
      </w:r>
      <w:proofErr w:type="spellEnd"/>
      <w:r w:rsidRPr="00C952BC">
        <w:rPr>
          <w:rFonts w:ascii="Times New Roman" w:eastAsia="Times New Roman" w:hAnsi="Times New Roman" w:cs="Times New Roman"/>
          <w:sz w:val="20"/>
          <w:szCs w:val="20"/>
          <w:highlight w:val="yellow"/>
        </w:rPr>
        <w:t xml:space="preserve"> </w:t>
      </w:r>
      <w:proofErr w:type="spellStart"/>
      <w:r w:rsidRPr="00C952BC">
        <w:rPr>
          <w:rFonts w:ascii="Times New Roman" w:eastAsia="Times New Roman" w:hAnsi="Times New Roman" w:cs="Times New Roman"/>
          <w:sz w:val="20"/>
          <w:szCs w:val="20"/>
          <w:highlight w:val="yellow"/>
        </w:rPr>
        <w:t>plantcell</w:t>
      </w:r>
      <w:proofErr w:type="spellEnd"/>
      <w:r w:rsidRPr="00C952BC">
        <w:rPr>
          <w:rFonts w:ascii="Times New Roman" w:eastAsia="Times New Roman" w:hAnsi="Times New Roman" w:cs="Times New Roman"/>
          <w:sz w:val="20"/>
          <w:szCs w:val="20"/>
          <w:highlight w:val="yellow"/>
        </w:rPr>
        <w:t xml:space="preserve"> walls is rapidly decreased by borate ester cross-linking of the pectic polysaccharide rhamnogalacturonan II. </w:t>
      </w:r>
      <w:r w:rsidRPr="00C952BC">
        <w:rPr>
          <w:rFonts w:ascii="Times New Roman" w:eastAsia="Times New Roman" w:hAnsi="Times New Roman" w:cs="Times New Roman"/>
          <w:i/>
          <w:iCs/>
          <w:sz w:val="20"/>
          <w:szCs w:val="20"/>
          <w:highlight w:val="yellow"/>
        </w:rPr>
        <w:t>Plant Physiology,</w:t>
      </w:r>
      <w:r w:rsidRPr="00C952BC">
        <w:rPr>
          <w:rFonts w:ascii="Times New Roman" w:eastAsia="Times New Roman" w:hAnsi="Times New Roman" w:cs="Times New Roman"/>
          <w:sz w:val="20"/>
          <w:szCs w:val="20"/>
          <w:highlight w:val="yellow"/>
        </w:rPr>
        <w:t xml:space="preserve"> 121, 829-838.</w:t>
      </w:r>
    </w:p>
    <w:p w14:paraId="554133EC" w14:textId="77777777" w:rsidR="00F44DF0" w:rsidRPr="00C952BC" w:rsidRDefault="00F44DF0" w:rsidP="00F44DF0">
      <w:pPr>
        <w:spacing w:line="240" w:lineRule="auto"/>
        <w:ind w:left="851" w:hanging="851"/>
        <w:jc w:val="both"/>
        <w:rPr>
          <w:rFonts w:ascii="Times New Roman" w:eastAsia="Times New Roman" w:hAnsi="Times New Roman" w:cs="Times New Roman"/>
          <w:sz w:val="20"/>
          <w:szCs w:val="20"/>
          <w:highlight w:val="yellow"/>
        </w:rPr>
      </w:pPr>
      <w:r w:rsidRPr="00C952BC">
        <w:rPr>
          <w:rFonts w:ascii="Times New Roman" w:eastAsia="Times New Roman" w:hAnsi="Times New Roman" w:cs="Times New Roman"/>
          <w:sz w:val="20"/>
          <w:szCs w:val="20"/>
          <w:highlight w:val="yellow"/>
        </w:rPr>
        <w:t xml:space="preserve">García, M., Díez, J.A., Vallejo, A., García, L. &amp; </w:t>
      </w:r>
      <w:proofErr w:type="spellStart"/>
      <w:r w:rsidRPr="00C952BC">
        <w:rPr>
          <w:rFonts w:ascii="Times New Roman" w:eastAsia="Times New Roman" w:hAnsi="Times New Roman" w:cs="Times New Roman"/>
          <w:sz w:val="20"/>
          <w:szCs w:val="20"/>
          <w:highlight w:val="yellow"/>
        </w:rPr>
        <w:t>Artagena</w:t>
      </w:r>
      <w:proofErr w:type="spellEnd"/>
      <w:r w:rsidRPr="00C952BC">
        <w:rPr>
          <w:rFonts w:ascii="Times New Roman" w:eastAsia="Times New Roman" w:hAnsi="Times New Roman" w:cs="Times New Roman"/>
          <w:sz w:val="20"/>
          <w:szCs w:val="20"/>
          <w:highlight w:val="yellow"/>
        </w:rPr>
        <w:t xml:space="preserve">, M.C. (1996).  Use of kraft pine lignin in controlled-release fertilizer. </w:t>
      </w:r>
      <w:r w:rsidRPr="00C952BC">
        <w:rPr>
          <w:rFonts w:ascii="Times New Roman" w:eastAsia="Times New Roman" w:hAnsi="Times New Roman" w:cs="Times New Roman"/>
          <w:i/>
          <w:iCs/>
          <w:sz w:val="20"/>
          <w:szCs w:val="20"/>
          <w:highlight w:val="yellow"/>
        </w:rPr>
        <w:t xml:space="preserve">Industrial &amp; Engineering Chemistry Research, </w:t>
      </w:r>
      <w:r w:rsidRPr="00C952BC">
        <w:rPr>
          <w:rFonts w:ascii="Times New Roman" w:eastAsia="Times New Roman" w:hAnsi="Times New Roman" w:cs="Times New Roman"/>
          <w:sz w:val="20"/>
          <w:szCs w:val="20"/>
          <w:highlight w:val="yellow"/>
        </w:rPr>
        <w:t xml:space="preserve">35, 245–249. </w:t>
      </w:r>
    </w:p>
    <w:p w14:paraId="4171CE15" w14:textId="77777777" w:rsidR="00F44DF0" w:rsidRPr="00C952BC" w:rsidRDefault="00F44DF0" w:rsidP="00F44DF0">
      <w:pPr>
        <w:spacing w:line="240" w:lineRule="auto"/>
        <w:ind w:left="851" w:hanging="851"/>
        <w:jc w:val="both"/>
        <w:rPr>
          <w:rFonts w:ascii="Times New Roman" w:eastAsia="Times New Roman" w:hAnsi="Times New Roman" w:cs="Times New Roman"/>
          <w:sz w:val="20"/>
          <w:szCs w:val="20"/>
          <w:highlight w:val="yellow"/>
        </w:rPr>
      </w:pPr>
      <w:r w:rsidRPr="00C952BC">
        <w:rPr>
          <w:rFonts w:ascii="Times New Roman" w:eastAsia="Times New Roman" w:hAnsi="Times New Roman" w:cs="Times New Roman"/>
          <w:sz w:val="20"/>
          <w:szCs w:val="20"/>
          <w:highlight w:val="yellow"/>
        </w:rPr>
        <w:t xml:space="preserve">Guru, T., Veronica, N., </w:t>
      </w:r>
      <w:proofErr w:type="spellStart"/>
      <w:r w:rsidRPr="00C952BC">
        <w:rPr>
          <w:rFonts w:ascii="Times New Roman" w:eastAsia="Times New Roman" w:hAnsi="Times New Roman" w:cs="Times New Roman"/>
          <w:sz w:val="20"/>
          <w:szCs w:val="20"/>
          <w:highlight w:val="yellow"/>
        </w:rPr>
        <w:t>Thatikunta</w:t>
      </w:r>
      <w:proofErr w:type="spellEnd"/>
      <w:r w:rsidRPr="00C952BC">
        <w:rPr>
          <w:rFonts w:ascii="Times New Roman" w:eastAsia="Times New Roman" w:hAnsi="Times New Roman" w:cs="Times New Roman"/>
          <w:sz w:val="20"/>
          <w:szCs w:val="20"/>
          <w:highlight w:val="yellow"/>
        </w:rPr>
        <w:t xml:space="preserve">, R. &amp; Reddy, S.N. (2015). Crop Nutrition Management with Nano fertilizers. </w:t>
      </w:r>
      <w:r w:rsidRPr="00C952BC">
        <w:rPr>
          <w:rFonts w:ascii="Times New Roman" w:eastAsia="Times New Roman" w:hAnsi="Times New Roman" w:cs="Times New Roman"/>
          <w:i/>
          <w:iCs/>
          <w:sz w:val="20"/>
          <w:szCs w:val="20"/>
          <w:highlight w:val="yellow"/>
        </w:rPr>
        <w:t>International Journal of Environmental Science and Technology,</w:t>
      </w:r>
      <w:r w:rsidRPr="00C952BC">
        <w:rPr>
          <w:rFonts w:ascii="Times New Roman" w:eastAsia="Times New Roman" w:hAnsi="Times New Roman" w:cs="Times New Roman"/>
          <w:sz w:val="20"/>
          <w:szCs w:val="20"/>
          <w:highlight w:val="yellow"/>
        </w:rPr>
        <w:t xml:space="preserve"> 1(1), 4-6.</w:t>
      </w:r>
    </w:p>
    <w:p w14:paraId="45FBE44E" w14:textId="77777777" w:rsidR="00F44DF0" w:rsidRPr="00C952BC" w:rsidRDefault="00F44DF0" w:rsidP="00F44DF0">
      <w:pPr>
        <w:spacing w:line="240" w:lineRule="auto"/>
        <w:ind w:left="851" w:hanging="851"/>
        <w:jc w:val="both"/>
        <w:rPr>
          <w:rFonts w:ascii="Times New Roman" w:eastAsia="Times New Roman" w:hAnsi="Times New Roman" w:cs="Times New Roman"/>
          <w:sz w:val="20"/>
          <w:szCs w:val="20"/>
          <w:highlight w:val="yellow"/>
        </w:rPr>
      </w:pPr>
      <w:proofErr w:type="spellStart"/>
      <w:r w:rsidRPr="00C952BC">
        <w:rPr>
          <w:rFonts w:ascii="Times New Roman" w:eastAsia="Times New Roman" w:hAnsi="Times New Roman" w:cs="Times New Roman"/>
          <w:sz w:val="20"/>
          <w:szCs w:val="20"/>
          <w:highlight w:val="yellow"/>
        </w:rPr>
        <w:t>Huiyuan</w:t>
      </w:r>
      <w:proofErr w:type="spellEnd"/>
      <w:r w:rsidRPr="00C952BC">
        <w:rPr>
          <w:rFonts w:ascii="Times New Roman" w:eastAsia="Times New Roman" w:hAnsi="Times New Roman" w:cs="Times New Roman"/>
          <w:sz w:val="20"/>
          <w:szCs w:val="20"/>
          <w:highlight w:val="yellow"/>
        </w:rPr>
        <w:t xml:space="preserve">, G., Jason, C.W., Zhenyu, W. &amp; Baoshan, X. (2018). Nano-enabled fertilizers </w:t>
      </w:r>
      <w:proofErr w:type="spellStart"/>
      <w:r w:rsidRPr="00C952BC">
        <w:rPr>
          <w:rFonts w:ascii="Times New Roman" w:eastAsia="Times New Roman" w:hAnsi="Times New Roman" w:cs="Times New Roman"/>
          <w:sz w:val="20"/>
          <w:szCs w:val="20"/>
          <w:highlight w:val="yellow"/>
        </w:rPr>
        <w:t>tocontrol</w:t>
      </w:r>
      <w:proofErr w:type="spellEnd"/>
      <w:r w:rsidRPr="00C952BC">
        <w:rPr>
          <w:rFonts w:ascii="Times New Roman" w:eastAsia="Times New Roman" w:hAnsi="Times New Roman" w:cs="Times New Roman"/>
          <w:sz w:val="20"/>
          <w:szCs w:val="20"/>
          <w:highlight w:val="yellow"/>
        </w:rPr>
        <w:t xml:space="preserve"> the release and use efficiency of nutrients. </w:t>
      </w:r>
      <w:r w:rsidRPr="00C952BC">
        <w:rPr>
          <w:rFonts w:ascii="Times New Roman" w:eastAsia="Times New Roman" w:hAnsi="Times New Roman" w:cs="Times New Roman"/>
          <w:i/>
          <w:iCs/>
          <w:sz w:val="20"/>
          <w:szCs w:val="20"/>
          <w:highlight w:val="yellow"/>
        </w:rPr>
        <w:t>Current Opinion in Environmental Science and Health,</w:t>
      </w:r>
      <w:r w:rsidRPr="00C952BC">
        <w:rPr>
          <w:rFonts w:ascii="Times New Roman" w:eastAsia="Times New Roman" w:hAnsi="Times New Roman" w:cs="Times New Roman"/>
          <w:sz w:val="20"/>
          <w:szCs w:val="20"/>
          <w:highlight w:val="yellow"/>
        </w:rPr>
        <w:t xml:space="preserve"> 6, 77-83.</w:t>
      </w:r>
    </w:p>
    <w:p w14:paraId="6B7254A8" w14:textId="77777777" w:rsidR="00F44DF0" w:rsidRPr="00C952BC" w:rsidRDefault="00F44DF0" w:rsidP="00F44DF0">
      <w:pPr>
        <w:spacing w:line="240" w:lineRule="auto"/>
        <w:ind w:left="851" w:hanging="851"/>
        <w:jc w:val="both"/>
        <w:rPr>
          <w:rFonts w:ascii="Times New Roman" w:eastAsia="Times New Roman" w:hAnsi="Times New Roman" w:cs="Times New Roman"/>
          <w:sz w:val="20"/>
          <w:szCs w:val="20"/>
          <w:highlight w:val="yellow"/>
        </w:rPr>
      </w:pPr>
      <w:r w:rsidRPr="00C952BC">
        <w:rPr>
          <w:rFonts w:ascii="Times New Roman" w:eastAsia="Times New Roman" w:hAnsi="Times New Roman" w:cs="Times New Roman"/>
          <w:sz w:val="20"/>
          <w:szCs w:val="20"/>
          <w:highlight w:val="yellow"/>
        </w:rPr>
        <w:t xml:space="preserve">Juárez-Maldonado, A., Hortensia, O., América, B.M., Susana, G., Álvaro, M.M., Cabrera-Dela Fuente, M., Sandoval-Rangel, A., Cadenas, P. G. &amp; Benavides-Mendoza, A. (2019). Nanoparticles and Nanomaterials as Plant </w:t>
      </w:r>
      <w:proofErr w:type="spellStart"/>
      <w:r w:rsidRPr="00C952BC">
        <w:rPr>
          <w:rFonts w:ascii="Times New Roman" w:eastAsia="Times New Roman" w:hAnsi="Times New Roman" w:cs="Times New Roman"/>
          <w:sz w:val="20"/>
          <w:szCs w:val="20"/>
          <w:highlight w:val="yellow"/>
        </w:rPr>
        <w:t>Biostimulants</w:t>
      </w:r>
      <w:proofErr w:type="spellEnd"/>
      <w:r w:rsidRPr="00C952BC">
        <w:rPr>
          <w:rFonts w:ascii="Times New Roman" w:eastAsia="Times New Roman" w:hAnsi="Times New Roman" w:cs="Times New Roman"/>
          <w:sz w:val="20"/>
          <w:szCs w:val="20"/>
          <w:highlight w:val="yellow"/>
        </w:rPr>
        <w:t xml:space="preserve">. </w:t>
      </w:r>
      <w:r w:rsidRPr="00C952BC">
        <w:rPr>
          <w:rFonts w:ascii="Times New Roman" w:eastAsia="Times New Roman" w:hAnsi="Times New Roman" w:cs="Times New Roman"/>
          <w:i/>
          <w:iCs/>
          <w:sz w:val="20"/>
          <w:szCs w:val="20"/>
          <w:highlight w:val="yellow"/>
        </w:rPr>
        <w:t xml:space="preserve">International Journal of Molecular Sciences, </w:t>
      </w:r>
      <w:r w:rsidRPr="00C952BC">
        <w:rPr>
          <w:rFonts w:ascii="Times New Roman" w:eastAsia="Times New Roman" w:hAnsi="Times New Roman" w:cs="Times New Roman"/>
          <w:sz w:val="20"/>
          <w:szCs w:val="20"/>
          <w:highlight w:val="yellow"/>
        </w:rPr>
        <w:t>20(1), 162.</w:t>
      </w:r>
    </w:p>
    <w:p w14:paraId="1C26A672" w14:textId="77777777" w:rsidR="00F44DF0" w:rsidRPr="00C952BC" w:rsidRDefault="00F44DF0" w:rsidP="00F44DF0">
      <w:pPr>
        <w:spacing w:line="240" w:lineRule="auto"/>
        <w:ind w:left="851" w:hanging="851"/>
        <w:jc w:val="both"/>
        <w:rPr>
          <w:rFonts w:ascii="Times New Roman" w:eastAsia="Times New Roman" w:hAnsi="Times New Roman" w:cs="Times New Roman"/>
          <w:sz w:val="20"/>
          <w:szCs w:val="20"/>
          <w:highlight w:val="yellow"/>
        </w:rPr>
      </w:pPr>
      <w:r w:rsidRPr="00C952BC">
        <w:rPr>
          <w:rFonts w:ascii="Times New Roman" w:eastAsia="Times New Roman" w:hAnsi="Times New Roman" w:cs="Times New Roman"/>
          <w:sz w:val="20"/>
          <w:szCs w:val="20"/>
          <w:highlight w:val="yellow"/>
        </w:rPr>
        <w:t xml:space="preserve">Khan, M.N., Mobin, M., Abbas, Z.K., Alamri, S.A. (2017). Fertilizers and their contaminants in soils, surface and groundwater. </w:t>
      </w:r>
      <w:r w:rsidRPr="00C952BC">
        <w:rPr>
          <w:rFonts w:ascii="Times New Roman" w:eastAsia="Times New Roman" w:hAnsi="Times New Roman" w:cs="Times New Roman"/>
          <w:i/>
          <w:iCs/>
          <w:sz w:val="20"/>
          <w:szCs w:val="20"/>
          <w:highlight w:val="yellow"/>
        </w:rPr>
        <w:t>Encyclopedia of Anthropology,</w:t>
      </w:r>
      <w:r w:rsidRPr="00C952BC">
        <w:rPr>
          <w:rFonts w:ascii="Times New Roman" w:eastAsia="Times New Roman" w:hAnsi="Times New Roman" w:cs="Times New Roman"/>
          <w:sz w:val="20"/>
          <w:szCs w:val="20"/>
          <w:highlight w:val="yellow"/>
        </w:rPr>
        <w:t xml:space="preserve"> pp. 225–240. </w:t>
      </w:r>
    </w:p>
    <w:p w14:paraId="11CC2F2B" w14:textId="77777777" w:rsidR="00F44DF0" w:rsidRPr="00C952BC" w:rsidRDefault="00F44DF0" w:rsidP="00F44DF0">
      <w:pPr>
        <w:spacing w:line="240" w:lineRule="auto"/>
        <w:ind w:left="851" w:hanging="851"/>
        <w:jc w:val="both"/>
        <w:rPr>
          <w:rFonts w:ascii="Times New Roman" w:eastAsia="Times New Roman" w:hAnsi="Times New Roman" w:cs="Times New Roman"/>
          <w:sz w:val="20"/>
          <w:szCs w:val="20"/>
          <w:highlight w:val="yellow"/>
        </w:rPr>
      </w:pPr>
      <w:proofErr w:type="spellStart"/>
      <w:r w:rsidRPr="00C952BC">
        <w:rPr>
          <w:rFonts w:ascii="Times New Roman" w:eastAsia="Times New Roman" w:hAnsi="Times New Roman" w:cs="Times New Roman"/>
          <w:sz w:val="20"/>
          <w:szCs w:val="20"/>
          <w:highlight w:val="yellow"/>
        </w:rPr>
        <w:t>Kottegoda</w:t>
      </w:r>
      <w:proofErr w:type="spellEnd"/>
      <w:r w:rsidRPr="00C952BC">
        <w:rPr>
          <w:rFonts w:ascii="Times New Roman" w:eastAsia="Times New Roman" w:hAnsi="Times New Roman" w:cs="Times New Roman"/>
          <w:sz w:val="20"/>
          <w:szCs w:val="20"/>
          <w:highlight w:val="yellow"/>
        </w:rPr>
        <w:t xml:space="preserve">, N., Munaweera, I., Nadeesh, M.A. &amp; Karunaratne, V. (2011). A green slow- release fertilizer composition based on urea-modified hydroxyapatite nanoparticles encapsulated wood. </w:t>
      </w:r>
      <w:r w:rsidRPr="00C952BC">
        <w:rPr>
          <w:rFonts w:ascii="Times New Roman" w:eastAsia="Times New Roman" w:hAnsi="Times New Roman" w:cs="Times New Roman"/>
          <w:i/>
          <w:iCs/>
          <w:sz w:val="20"/>
          <w:szCs w:val="20"/>
          <w:highlight w:val="yellow"/>
        </w:rPr>
        <w:t>Current Science,</w:t>
      </w:r>
      <w:r w:rsidRPr="00C952BC">
        <w:rPr>
          <w:rFonts w:ascii="Times New Roman" w:eastAsia="Times New Roman" w:hAnsi="Times New Roman" w:cs="Times New Roman"/>
          <w:sz w:val="20"/>
          <w:szCs w:val="20"/>
          <w:highlight w:val="yellow"/>
        </w:rPr>
        <w:t xml:space="preserve"> 101(1), 73-78.</w:t>
      </w:r>
    </w:p>
    <w:p w14:paraId="613A5099" w14:textId="77777777" w:rsidR="00F44DF0" w:rsidRPr="00C952BC" w:rsidRDefault="00F44DF0" w:rsidP="00F44DF0">
      <w:pPr>
        <w:spacing w:line="240" w:lineRule="auto"/>
        <w:ind w:left="851" w:hanging="851"/>
        <w:jc w:val="both"/>
        <w:rPr>
          <w:rFonts w:ascii="Times New Roman" w:eastAsia="Times New Roman" w:hAnsi="Times New Roman" w:cs="Times New Roman"/>
          <w:sz w:val="20"/>
          <w:szCs w:val="20"/>
          <w:highlight w:val="yellow"/>
        </w:rPr>
      </w:pPr>
      <w:proofErr w:type="spellStart"/>
      <w:r w:rsidRPr="00C952BC">
        <w:rPr>
          <w:rFonts w:ascii="Times New Roman" w:eastAsia="Times New Roman" w:hAnsi="Times New Roman" w:cs="Times New Roman"/>
          <w:sz w:val="20"/>
          <w:szCs w:val="20"/>
          <w:highlight w:val="yellow"/>
        </w:rPr>
        <w:t>Leggo</w:t>
      </w:r>
      <w:proofErr w:type="spellEnd"/>
      <w:r w:rsidRPr="00C952BC">
        <w:rPr>
          <w:rFonts w:ascii="Times New Roman" w:eastAsia="Times New Roman" w:hAnsi="Times New Roman" w:cs="Times New Roman"/>
          <w:sz w:val="20"/>
          <w:szCs w:val="20"/>
          <w:highlight w:val="yellow"/>
        </w:rPr>
        <w:t xml:space="preserve">, P.J. (2000). An investigation of plant growth in an organo-zeolitic substrate and its ecological significance. </w:t>
      </w:r>
      <w:r w:rsidRPr="00C952BC">
        <w:rPr>
          <w:rFonts w:ascii="Times New Roman" w:eastAsia="Times New Roman" w:hAnsi="Times New Roman" w:cs="Times New Roman"/>
          <w:i/>
          <w:iCs/>
          <w:sz w:val="20"/>
          <w:szCs w:val="20"/>
          <w:highlight w:val="yellow"/>
        </w:rPr>
        <w:t>Plant and Soil,</w:t>
      </w:r>
      <w:r w:rsidRPr="00C952BC">
        <w:rPr>
          <w:rFonts w:ascii="Times New Roman" w:eastAsia="Times New Roman" w:hAnsi="Times New Roman" w:cs="Times New Roman"/>
          <w:sz w:val="20"/>
          <w:szCs w:val="20"/>
          <w:highlight w:val="yellow"/>
        </w:rPr>
        <w:t xml:space="preserve"> 219, 135-146.</w:t>
      </w:r>
    </w:p>
    <w:p w14:paraId="1532DE78" w14:textId="77777777" w:rsidR="00F44DF0" w:rsidRPr="00C952BC" w:rsidRDefault="00F44DF0" w:rsidP="00F44DF0">
      <w:pPr>
        <w:spacing w:line="240" w:lineRule="auto"/>
        <w:ind w:left="851" w:hanging="851"/>
        <w:jc w:val="both"/>
        <w:rPr>
          <w:rFonts w:ascii="Times New Roman" w:eastAsia="Times New Roman" w:hAnsi="Times New Roman" w:cs="Times New Roman"/>
          <w:sz w:val="20"/>
          <w:szCs w:val="20"/>
          <w:highlight w:val="yellow"/>
          <w:lang w:val="fr-FR"/>
        </w:rPr>
      </w:pPr>
      <w:r w:rsidRPr="00C952BC">
        <w:rPr>
          <w:rFonts w:ascii="Times New Roman" w:eastAsia="Times New Roman" w:hAnsi="Times New Roman" w:cs="Times New Roman"/>
          <w:sz w:val="20"/>
          <w:szCs w:val="20"/>
          <w:highlight w:val="yellow"/>
        </w:rPr>
        <w:t xml:space="preserve">Lin, D. &amp; Xing, B. (2007). Phytotoxicity of Nanoparticles: Inhibition of Seed Germination and Root Growth. </w:t>
      </w:r>
      <w:proofErr w:type="spellStart"/>
      <w:r w:rsidRPr="00C952BC">
        <w:rPr>
          <w:rFonts w:ascii="Times New Roman" w:eastAsia="Times New Roman" w:hAnsi="Times New Roman" w:cs="Times New Roman"/>
          <w:i/>
          <w:iCs/>
          <w:sz w:val="20"/>
          <w:szCs w:val="20"/>
          <w:highlight w:val="yellow"/>
          <w:lang w:val="fr-FR"/>
        </w:rPr>
        <w:t>Environmental</w:t>
      </w:r>
      <w:proofErr w:type="spellEnd"/>
      <w:r w:rsidRPr="00C952BC">
        <w:rPr>
          <w:rFonts w:ascii="Times New Roman" w:eastAsia="Times New Roman" w:hAnsi="Times New Roman" w:cs="Times New Roman"/>
          <w:i/>
          <w:iCs/>
          <w:sz w:val="20"/>
          <w:szCs w:val="20"/>
          <w:highlight w:val="yellow"/>
          <w:lang w:val="fr-FR"/>
        </w:rPr>
        <w:t xml:space="preserve"> Pollution, </w:t>
      </w:r>
      <w:r w:rsidRPr="00C952BC">
        <w:rPr>
          <w:rFonts w:ascii="Times New Roman" w:eastAsia="Times New Roman" w:hAnsi="Times New Roman" w:cs="Times New Roman"/>
          <w:sz w:val="20"/>
          <w:szCs w:val="20"/>
          <w:highlight w:val="yellow"/>
          <w:lang w:val="fr-FR"/>
        </w:rPr>
        <w:t>50, 243-250.</w:t>
      </w:r>
    </w:p>
    <w:p w14:paraId="5B8D4FC0" w14:textId="77777777" w:rsidR="00F44DF0" w:rsidRPr="00C952BC" w:rsidRDefault="00F44DF0" w:rsidP="00F44DF0">
      <w:pPr>
        <w:spacing w:line="240" w:lineRule="auto"/>
        <w:ind w:left="851" w:hanging="851"/>
        <w:jc w:val="both"/>
        <w:rPr>
          <w:rFonts w:ascii="Times New Roman" w:eastAsia="Times New Roman" w:hAnsi="Times New Roman" w:cs="Times New Roman"/>
          <w:sz w:val="20"/>
          <w:szCs w:val="20"/>
          <w:highlight w:val="yellow"/>
        </w:rPr>
      </w:pPr>
      <w:r w:rsidRPr="00C952BC">
        <w:rPr>
          <w:rFonts w:ascii="Times New Roman" w:eastAsia="Times New Roman" w:hAnsi="Times New Roman" w:cs="Times New Roman"/>
          <w:sz w:val="20"/>
          <w:szCs w:val="20"/>
          <w:highlight w:val="yellow"/>
          <w:lang w:val="fr-FR"/>
        </w:rPr>
        <w:t xml:space="preserve">Linquist, B.A., Liu, L., van Kessel, C., &amp; van </w:t>
      </w:r>
      <w:proofErr w:type="spellStart"/>
      <w:r w:rsidRPr="00C952BC">
        <w:rPr>
          <w:rFonts w:ascii="Times New Roman" w:eastAsia="Times New Roman" w:hAnsi="Times New Roman" w:cs="Times New Roman"/>
          <w:sz w:val="20"/>
          <w:szCs w:val="20"/>
          <w:highlight w:val="yellow"/>
          <w:lang w:val="fr-FR"/>
        </w:rPr>
        <w:t>Groenigen</w:t>
      </w:r>
      <w:proofErr w:type="spellEnd"/>
      <w:r w:rsidRPr="00C952BC">
        <w:rPr>
          <w:rFonts w:ascii="Times New Roman" w:eastAsia="Times New Roman" w:hAnsi="Times New Roman" w:cs="Times New Roman"/>
          <w:sz w:val="20"/>
          <w:szCs w:val="20"/>
          <w:highlight w:val="yellow"/>
          <w:lang w:val="fr-FR"/>
        </w:rPr>
        <w:t xml:space="preserve">, K. J. (2013). </w:t>
      </w:r>
      <w:r w:rsidRPr="00C952BC">
        <w:rPr>
          <w:rFonts w:ascii="Times New Roman" w:eastAsia="Times New Roman" w:hAnsi="Times New Roman" w:cs="Times New Roman"/>
          <w:sz w:val="20"/>
          <w:szCs w:val="20"/>
          <w:highlight w:val="yellow"/>
        </w:rPr>
        <w:t xml:space="preserve">Enhanced efficiency nitrogen fertilizers for rice systems: Meta-analysis of yield and nitrogen uptake. </w:t>
      </w:r>
      <w:r w:rsidRPr="00C952BC">
        <w:rPr>
          <w:rFonts w:ascii="Times New Roman" w:eastAsia="Times New Roman" w:hAnsi="Times New Roman" w:cs="Times New Roman"/>
          <w:i/>
          <w:iCs/>
          <w:sz w:val="20"/>
          <w:szCs w:val="20"/>
          <w:highlight w:val="yellow"/>
        </w:rPr>
        <w:t>Field Crops Res</w:t>
      </w:r>
      <w:r w:rsidRPr="00C952BC">
        <w:rPr>
          <w:rFonts w:ascii="Times New Roman" w:eastAsia="Times New Roman" w:hAnsi="Times New Roman" w:cs="Times New Roman"/>
          <w:sz w:val="20"/>
          <w:szCs w:val="20"/>
          <w:highlight w:val="yellow"/>
        </w:rPr>
        <w:t>earch, 154, 246-254.</w:t>
      </w:r>
    </w:p>
    <w:p w14:paraId="57394E64" w14:textId="77777777" w:rsidR="00F44DF0" w:rsidRPr="00C952BC" w:rsidRDefault="00F44DF0" w:rsidP="00F44DF0">
      <w:pPr>
        <w:spacing w:line="240" w:lineRule="auto"/>
        <w:ind w:left="851" w:hanging="851"/>
        <w:jc w:val="both"/>
        <w:rPr>
          <w:rFonts w:ascii="Times New Roman" w:eastAsia="Times New Roman" w:hAnsi="Times New Roman" w:cs="Times New Roman"/>
          <w:sz w:val="20"/>
          <w:szCs w:val="20"/>
          <w:highlight w:val="yellow"/>
        </w:rPr>
      </w:pPr>
      <w:proofErr w:type="spellStart"/>
      <w:r w:rsidRPr="00C952BC">
        <w:rPr>
          <w:rFonts w:ascii="Times New Roman" w:eastAsia="Times New Roman" w:hAnsi="Times New Roman" w:cs="Times New Roman"/>
          <w:sz w:val="20"/>
          <w:szCs w:val="20"/>
          <w:highlight w:val="yellow"/>
        </w:rPr>
        <w:lastRenderedPageBreak/>
        <w:t>Liscano</w:t>
      </w:r>
      <w:proofErr w:type="spellEnd"/>
      <w:r w:rsidRPr="00C952BC">
        <w:rPr>
          <w:rFonts w:ascii="Times New Roman" w:eastAsia="Times New Roman" w:hAnsi="Times New Roman" w:cs="Times New Roman"/>
          <w:sz w:val="20"/>
          <w:szCs w:val="20"/>
          <w:highlight w:val="yellow"/>
        </w:rPr>
        <w:t xml:space="preserve">, J.F., Wilson, C.E., Norman, R.J. &amp; Slaton, N.A. (2000). Zinc availability to rice from seven granular fertilizers. </w:t>
      </w:r>
      <w:r w:rsidRPr="00C952BC">
        <w:rPr>
          <w:rFonts w:ascii="Times New Roman" w:eastAsia="Times New Roman" w:hAnsi="Times New Roman" w:cs="Times New Roman"/>
          <w:i/>
          <w:iCs/>
          <w:sz w:val="20"/>
          <w:szCs w:val="20"/>
          <w:highlight w:val="yellow"/>
        </w:rPr>
        <w:t>AAES Research Bulletin,</w:t>
      </w:r>
      <w:r w:rsidRPr="00C952BC">
        <w:rPr>
          <w:rFonts w:ascii="Times New Roman" w:eastAsia="Times New Roman" w:hAnsi="Times New Roman" w:cs="Times New Roman"/>
          <w:sz w:val="20"/>
          <w:szCs w:val="20"/>
          <w:highlight w:val="yellow"/>
        </w:rPr>
        <w:t xml:space="preserve"> 963, 1-31.</w:t>
      </w:r>
    </w:p>
    <w:p w14:paraId="4C8143C5" w14:textId="77777777" w:rsidR="00F44DF0" w:rsidRPr="00C952BC" w:rsidRDefault="00F44DF0" w:rsidP="00F44DF0">
      <w:pPr>
        <w:spacing w:line="240" w:lineRule="auto"/>
        <w:ind w:left="851" w:hanging="851"/>
        <w:jc w:val="both"/>
        <w:rPr>
          <w:rFonts w:ascii="Times New Roman" w:eastAsia="Times New Roman" w:hAnsi="Times New Roman" w:cs="Times New Roman"/>
          <w:sz w:val="20"/>
          <w:szCs w:val="20"/>
          <w:highlight w:val="yellow"/>
        </w:rPr>
      </w:pPr>
      <w:r w:rsidRPr="00C952BC">
        <w:rPr>
          <w:rFonts w:ascii="Times New Roman" w:eastAsia="Times New Roman" w:hAnsi="Times New Roman" w:cs="Times New Roman"/>
          <w:sz w:val="20"/>
          <w:szCs w:val="20"/>
          <w:highlight w:val="yellow"/>
        </w:rPr>
        <w:t xml:space="preserve">Liu, </w:t>
      </w:r>
      <w:hyperlink r:id="rId9">
        <w:r w:rsidRPr="00C952BC">
          <w:rPr>
            <w:rFonts w:ascii="Times New Roman" w:eastAsia="Times New Roman" w:hAnsi="Times New Roman" w:cs="Times New Roman"/>
            <w:sz w:val="20"/>
            <w:szCs w:val="20"/>
            <w:highlight w:val="yellow"/>
          </w:rPr>
          <w:t>G., Zotarelli, L., Li, Y., Dinkins, D., Wang, Q. &amp; Ozores-Hampton, M. (2017). Controlled-</w:t>
        </w:r>
      </w:hyperlink>
      <w:r w:rsidRPr="00C952BC">
        <w:rPr>
          <w:rFonts w:ascii="Times New Roman" w:eastAsia="Times New Roman" w:hAnsi="Times New Roman" w:cs="Times New Roman"/>
          <w:sz w:val="20"/>
          <w:szCs w:val="20"/>
          <w:highlight w:val="yellow"/>
        </w:rPr>
        <w:t xml:space="preserve"> </w:t>
      </w:r>
      <w:hyperlink r:id="rId10">
        <w:r w:rsidRPr="00C952BC">
          <w:rPr>
            <w:rFonts w:ascii="Times New Roman" w:eastAsia="Times New Roman" w:hAnsi="Times New Roman" w:cs="Times New Roman"/>
            <w:sz w:val="20"/>
            <w:szCs w:val="20"/>
            <w:highlight w:val="yellow"/>
          </w:rPr>
          <w:t xml:space="preserve">Release and Slow-Release Fertilizers as Nutrient Management Tools. pp. 1–6. </w:t>
        </w:r>
      </w:hyperlink>
      <w:hyperlink r:id="rId11">
        <w:r w:rsidRPr="00C952BC">
          <w:rPr>
            <w:rFonts w:ascii="Times New Roman" w:eastAsia="Times New Roman" w:hAnsi="Times New Roman" w:cs="Times New Roman"/>
            <w:i/>
            <w:iCs/>
            <w:sz w:val="20"/>
            <w:szCs w:val="20"/>
            <w:highlight w:val="yellow"/>
          </w:rPr>
          <w:t>University of Florida, Institute of Food and Agricultural Sciences</w:t>
        </w:r>
      </w:hyperlink>
      <w:r w:rsidRPr="00C952BC">
        <w:rPr>
          <w:rFonts w:ascii="Times New Roman" w:eastAsia="Times New Roman" w:hAnsi="Times New Roman" w:cs="Times New Roman"/>
          <w:i/>
          <w:iCs/>
          <w:sz w:val="20"/>
          <w:szCs w:val="20"/>
          <w:highlight w:val="yellow"/>
        </w:rPr>
        <w:t>.</w:t>
      </w:r>
    </w:p>
    <w:p w14:paraId="1611B68F" w14:textId="77777777" w:rsidR="00F44DF0" w:rsidRPr="00C952BC" w:rsidRDefault="00F44DF0" w:rsidP="00F44DF0">
      <w:pPr>
        <w:spacing w:line="240" w:lineRule="auto"/>
        <w:ind w:left="851" w:hanging="851"/>
        <w:jc w:val="both"/>
        <w:rPr>
          <w:rFonts w:ascii="Times New Roman" w:eastAsia="Times New Roman" w:hAnsi="Times New Roman" w:cs="Times New Roman"/>
          <w:sz w:val="20"/>
          <w:szCs w:val="20"/>
          <w:highlight w:val="yellow"/>
        </w:rPr>
      </w:pPr>
      <w:proofErr w:type="spellStart"/>
      <w:r w:rsidRPr="00C952BC">
        <w:rPr>
          <w:rFonts w:ascii="Times New Roman" w:eastAsia="Times New Roman" w:hAnsi="Times New Roman" w:cs="Times New Roman"/>
          <w:sz w:val="20"/>
          <w:szCs w:val="20"/>
          <w:highlight w:val="yellow"/>
        </w:rPr>
        <w:t>Manjunatha</w:t>
      </w:r>
      <w:proofErr w:type="spellEnd"/>
      <w:r w:rsidRPr="00C952BC">
        <w:rPr>
          <w:rFonts w:ascii="Times New Roman" w:eastAsia="Times New Roman" w:hAnsi="Times New Roman" w:cs="Times New Roman"/>
          <w:sz w:val="20"/>
          <w:szCs w:val="20"/>
          <w:highlight w:val="yellow"/>
        </w:rPr>
        <w:t xml:space="preserve">, S.B., </w:t>
      </w:r>
      <w:proofErr w:type="spellStart"/>
      <w:r w:rsidRPr="00C952BC">
        <w:rPr>
          <w:rFonts w:ascii="Times New Roman" w:eastAsia="Times New Roman" w:hAnsi="Times New Roman" w:cs="Times New Roman"/>
          <w:sz w:val="20"/>
          <w:szCs w:val="20"/>
          <w:highlight w:val="yellow"/>
        </w:rPr>
        <w:t>Biradar</w:t>
      </w:r>
      <w:proofErr w:type="spellEnd"/>
      <w:r w:rsidRPr="00C952BC">
        <w:rPr>
          <w:rFonts w:ascii="Times New Roman" w:eastAsia="Times New Roman" w:hAnsi="Times New Roman" w:cs="Times New Roman"/>
          <w:sz w:val="20"/>
          <w:szCs w:val="20"/>
          <w:highlight w:val="yellow"/>
        </w:rPr>
        <w:t xml:space="preserve">, D.P., &amp; </w:t>
      </w:r>
      <w:proofErr w:type="spellStart"/>
      <w:r w:rsidRPr="00C952BC">
        <w:rPr>
          <w:rFonts w:ascii="Times New Roman" w:eastAsia="Times New Roman" w:hAnsi="Times New Roman" w:cs="Times New Roman"/>
          <w:sz w:val="20"/>
          <w:szCs w:val="20"/>
          <w:highlight w:val="yellow"/>
        </w:rPr>
        <w:t>Aladakatti</w:t>
      </w:r>
      <w:proofErr w:type="spellEnd"/>
      <w:r w:rsidRPr="00C952BC">
        <w:rPr>
          <w:rFonts w:ascii="Times New Roman" w:eastAsia="Times New Roman" w:hAnsi="Times New Roman" w:cs="Times New Roman"/>
          <w:sz w:val="20"/>
          <w:szCs w:val="20"/>
          <w:highlight w:val="yellow"/>
        </w:rPr>
        <w:t xml:space="preserve">, Y.R. (2016). Nanotechnology and its applications in agriculture: A review. </w:t>
      </w:r>
      <w:r w:rsidRPr="00C952BC">
        <w:rPr>
          <w:rFonts w:ascii="Times New Roman" w:eastAsia="Times New Roman" w:hAnsi="Times New Roman" w:cs="Times New Roman"/>
          <w:i/>
          <w:iCs/>
          <w:sz w:val="20"/>
          <w:szCs w:val="20"/>
          <w:highlight w:val="yellow"/>
        </w:rPr>
        <w:t xml:space="preserve">Journal of Farm Sciences, </w:t>
      </w:r>
      <w:r w:rsidRPr="00C952BC">
        <w:rPr>
          <w:rFonts w:ascii="Times New Roman" w:eastAsia="Times New Roman" w:hAnsi="Times New Roman" w:cs="Times New Roman"/>
          <w:sz w:val="20"/>
          <w:szCs w:val="20"/>
          <w:highlight w:val="yellow"/>
        </w:rPr>
        <w:t>29(1), 1-3.</w:t>
      </w:r>
    </w:p>
    <w:p w14:paraId="398C6050" w14:textId="77777777" w:rsidR="00F44DF0" w:rsidRPr="00C952BC" w:rsidRDefault="00F44DF0" w:rsidP="00F44DF0">
      <w:pPr>
        <w:spacing w:line="240" w:lineRule="auto"/>
        <w:ind w:left="851" w:hanging="851"/>
        <w:jc w:val="both"/>
        <w:rPr>
          <w:rFonts w:ascii="Times New Roman" w:eastAsia="Times New Roman" w:hAnsi="Times New Roman" w:cs="Times New Roman"/>
          <w:sz w:val="20"/>
          <w:szCs w:val="20"/>
          <w:highlight w:val="yellow"/>
        </w:rPr>
      </w:pPr>
      <w:r w:rsidRPr="00C952BC">
        <w:rPr>
          <w:rFonts w:ascii="Times New Roman" w:eastAsia="Times New Roman" w:hAnsi="Times New Roman" w:cs="Times New Roman"/>
          <w:sz w:val="20"/>
          <w:szCs w:val="20"/>
          <w:highlight w:val="yellow"/>
        </w:rPr>
        <w:t xml:space="preserve">Moore, M. (2006). Do nanoparticles present ecotoxicological risks for the health of the aquatic environment? </w:t>
      </w:r>
      <w:r w:rsidRPr="00C952BC">
        <w:rPr>
          <w:rFonts w:ascii="Times New Roman" w:eastAsia="Times New Roman" w:hAnsi="Times New Roman" w:cs="Times New Roman"/>
          <w:i/>
          <w:iCs/>
          <w:sz w:val="20"/>
          <w:szCs w:val="20"/>
          <w:highlight w:val="yellow"/>
        </w:rPr>
        <w:t xml:space="preserve">Environment International, </w:t>
      </w:r>
      <w:r w:rsidRPr="00C952BC">
        <w:rPr>
          <w:rFonts w:ascii="Times New Roman" w:eastAsia="Times New Roman" w:hAnsi="Times New Roman" w:cs="Times New Roman"/>
          <w:sz w:val="20"/>
          <w:szCs w:val="20"/>
          <w:highlight w:val="yellow"/>
        </w:rPr>
        <w:t>32, 967-976.</w:t>
      </w:r>
    </w:p>
    <w:p w14:paraId="5957AC09" w14:textId="77777777" w:rsidR="00F44DF0" w:rsidRPr="00C952BC" w:rsidRDefault="00F44DF0" w:rsidP="00F44DF0">
      <w:pPr>
        <w:spacing w:line="240" w:lineRule="auto"/>
        <w:ind w:left="851" w:hanging="851"/>
        <w:jc w:val="both"/>
        <w:rPr>
          <w:rFonts w:ascii="Times New Roman" w:eastAsia="Times New Roman" w:hAnsi="Times New Roman" w:cs="Times New Roman"/>
          <w:sz w:val="20"/>
          <w:szCs w:val="20"/>
          <w:highlight w:val="yellow"/>
        </w:rPr>
      </w:pPr>
      <w:r w:rsidRPr="00C952BC">
        <w:rPr>
          <w:rFonts w:ascii="Times New Roman" w:eastAsia="Times New Roman" w:hAnsi="Times New Roman" w:cs="Times New Roman"/>
          <w:sz w:val="20"/>
          <w:szCs w:val="20"/>
          <w:highlight w:val="yellow"/>
        </w:rPr>
        <w:t xml:space="preserve">Nair, R., Varghese, S.H., Nair, B.G., Maekawa, T., Yoshida, Y., &amp; Kumar, D.S. (2010). Nanoparticulate material delivery to plants. </w:t>
      </w:r>
      <w:r w:rsidRPr="00C952BC">
        <w:rPr>
          <w:rFonts w:ascii="Times New Roman" w:eastAsia="Times New Roman" w:hAnsi="Times New Roman" w:cs="Times New Roman"/>
          <w:i/>
          <w:iCs/>
          <w:sz w:val="20"/>
          <w:szCs w:val="20"/>
          <w:highlight w:val="yellow"/>
        </w:rPr>
        <w:t xml:space="preserve">Plant Science, </w:t>
      </w:r>
      <w:r w:rsidRPr="00C952BC">
        <w:rPr>
          <w:rFonts w:ascii="Times New Roman" w:eastAsia="Times New Roman" w:hAnsi="Times New Roman" w:cs="Times New Roman"/>
          <w:sz w:val="20"/>
          <w:szCs w:val="20"/>
          <w:highlight w:val="yellow"/>
        </w:rPr>
        <w:t>179, 154-168.</w:t>
      </w:r>
    </w:p>
    <w:p w14:paraId="136FC058" w14:textId="77777777" w:rsidR="00F44DF0" w:rsidRPr="00C952BC" w:rsidRDefault="00F44DF0" w:rsidP="00F44DF0">
      <w:pPr>
        <w:spacing w:line="240" w:lineRule="auto"/>
        <w:ind w:left="851" w:hanging="851"/>
        <w:jc w:val="both"/>
        <w:rPr>
          <w:rFonts w:ascii="Times New Roman" w:eastAsia="Times New Roman" w:hAnsi="Times New Roman" w:cs="Times New Roman"/>
          <w:sz w:val="20"/>
          <w:szCs w:val="20"/>
          <w:highlight w:val="yellow"/>
        </w:rPr>
      </w:pPr>
      <w:r w:rsidRPr="00C952BC">
        <w:rPr>
          <w:rFonts w:ascii="Times New Roman" w:eastAsia="Times New Roman" w:hAnsi="Times New Roman" w:cs="Times New Roman"/>
          <w:sz w:val="20"/>
          <w:szCs w:val="20"/>
          <w:highlight w:val="yellow"/>
        </w:rPr>
        <w:t xml:space="preserve">Navarro, E., Baun, A., </w:t>
      </w:r>
      <w:proofErr w:type="spellStart"/>
      <w:r w:rsidRPr="00C952BC">
        <w:rPr>
          <w:rFonts w:ascii="Times New Roman" w:eastAsia="Times New Roman" w:hAnsi="Times New Roman" w:cs="Times New Roman"/>
          <w:sz w:val="20"/>
          <w:szCs w:val="20"/>
          <w:highlight w:val="yellow"/>
        </w:rPr>
        <w:t>Behra</w:t>
      </w:r>
      <w:proofErr w:type="spellEnd"/>
      <w:r w:rsidRPr="00C952BC">
        <w:rPr>
          <w:rFonts w:ascii="Times New Roman" w:eastAsia="Times New Roman" w:hAnsi="Times New Roman" w:cs="Times New Roman"/>
          <w:sz w:val="20"/>
          <w:szCs w:val="20"/>
          <w:highlight w:val="yellow"/>
        </w:rPr>
        <w:t xml:space="preserve">, R., Hartmann, N.B., </w:t>
      </w:r>
      <w:proofErr w:type="spellStart"/>
      <w:r w:rsidRPr="00C952BC">
        <w:rPr>
          <w:rFonts w:ascii="Times New Roman" w:eastAsia="Times New Roman" w:hAnsi="Times New Roman" w:cs="Times New Roman"/>
          <w:sz w:val="20"/>
          <w:szCs w:val="20"/>
          <w:highlight w:val="yellow"/>
        </w:rPr>
        <w:t>Filser</w:t>
      </w:r>
      <w:proofErr w:type="spellEnd"/>
      <w:r w:rsidRPr="00C952BC">
        <w:rPr>
          <w:rFonts w:ascii="Times New Roman" w:eastAsia="Times New Roman" w:hAnsi="Times New Roman" w:cs="Times New Roman"/>
          <w:sz w:val="20"/>
          <w:szCs w:val="20"/>
          <w:highlight w:val="yellow"/>
        </w:rPr>
        <w:t xml:space="preserve">, J., Miao, A.J., Quigg, A., Santschi, P.H., &amp; Sigg, L. (2008). Environmental behavior and ecotoxicity of engineered nanoparticles to algae, plants, and fungi. </w:t>
      </w:r>
      <w:r w:rsidRPr="00C952BC">
        <w:rPr>
          <w:rFonts w:ascii="Times New Roman" w:eastAsia="Times New Roman" w:hAnsi="Times New Roman" w:cs="Times New Roman"/>
          <w:i/>
          <w:iCs/>
          <w:sz w:val="20"/>
          <w:szCs w:val="20"/>
          <w:highlight w:val="yellow"/>
        </w:rPr>
        <w:t>Ecotoxicology,</w:t>
      </w:r>
      <w:r w:rsidRPr="00C952BC">
        <w:rPr>
          <w:rFonts w:ascii="Times New Roman" w:eastAsia="Times New Roman" w:hAnsi="Times New Roman" w:cs="Times New Roman"/>
          <w:sz w:val="20"/>
          <w:szCs w:val="20"/>
          <w:highlight w:val="yellow"/>
        </w:rPr>
        <w:t xml:space="preserve"> 17, 372-386.</w:t>
      </w:r>
    </w:p>
    <w:p w14:paraId="4132B919" w14:textId="77777777" w:rsidR="00F44DF0" w:rsidRPr="00C952BC" w:rsidRDefault="00F44DF0" w:rsidP="00F44DF0">
      <w:pPr>
        <w:spacing w:line="240" w:lineRule="auto"/>
        <w:ind w:left="851" w:hanging="851"/>
        <w:jc w:val="both"/>
        <w:rPr>
          <w:rFonts w:ascii="Times New Roman" w:eastAsia="Times New Roman" w:hAnsi="Times New Roman" w:cs="Times New Roman"/>
          <w:sz w:val="20"/>
          <w:szCs w:val="20"/>
          <w:highlight w:val="yellow"/>
        </w:rPr>
      </w:pPr>
      <w:r w:rsidRPr="00C952BC">
        <w:rPr>
          <w:rFonts w:ascii="Times New Roman" w:eastAsia="Times New Roman" w:hAnsi="Times New Roman" w:cs="Times New Roman"/>
          <w:sz w:val="20"/>
          <w:szCs w:val="20"/>
          <w:highlight w:val="yellow"/>
        </w:rPr>
        <w:t xml:space="preserve">O´skarsson, H., Sigurgeirsson, A., &amp; </w:t>
      </w:r>
      <w:proofErr w:type="spellStart"/>
      <w:r w:rsidRPr="00C952BC">
        <w:rPr>
          <w:rFonts w:ascii="Times New Roman" w:eastAsia="Times New Roman" w:hAnsi="Times New Roman" w:cs="Times New Roman"/>
          <w:sz w:val="20"/>
          <w:szCs w:val="20"/>
          <w:highlight w:val="yellow"/>
        </w:rPr>
        <w:t>Raulund</w:t>
      </w:r>
      <w:proofErr w:type="spellEnd"/>
      <w:r w:rsidRPr="00C952BC">
        <w:rPr>
          <w:rFonts w:ascii="Times New Roman" w:eastAsia="Times New Roman" w:hAnsi="Times New Roman" w:cs="Times New Roman"/>
          <w:sz w:val="20"/>
          <w:szCs w:val="20"/>
          <w:highlight w:val="yellow"/>
        </w:rPr>
        <w:t xml:space="preserve">-Rasmussen, K. (2006). Survival, growth, and nutrition of tree seedlings fertilized at planting on </w:t>
      </w:r>
      <w:proofErr w:type="spellStart"/>
      <w:r w:rsidRPr="00C952BC">
        <w:rPr>
          <w:rFonts w:ascii="Times New Roman" w:eastAsia="Times New Roman" w:hAnsi="Times New Roman" w:cs="Times New Roman"/>
          <w:sz w:val="20"/>
          <w:szCs w:val="20"/>
          <w:highlight w:val="yellow"/>
        </w:rPr>
        <w:t>Andisol</w:t>
      </w:r>
      <w:proofErr w:type="spellEnd"/>
      <w:r w:rsidRPr="00C952BC">
        <w:rPr>
          <w:rFonts w:ascii="Times New Roman" w:eastAsia="Times New Roman" w:hAnsi="Times New Roman" w:cs="Times New Roman"/>
          <w:sz w:val="20"/>
          <w:szCs w:val="20"/>
          <w:highlight w:val="yellow"/>
        </w:rPr>
        <w:t xml:space="preserve"> soils in Iceland: si</w:t>
      </w:r>
      <w:r w:rsidRPr="00C952BC">
        <w:rPr>
          <w:rFonts w:ascii="Times New Roman" w:eastAsia="Times New Roman" w:hAnsi="Times New Roman" w:cs="Times New Roman"/>
          <w:smallCaps/>
          <w:sz w:val="20"/>
          <w:szCs w:val="20"/>
          <w:highlight w:val="yellow"/>
        </w:rPr>
        <w:t>x</w:t>
      </w:r>
      <w:r w:rsidRPr="00C952BC">
        <w:rPr>
          <w:rFonts w:ascii="Times New Roman" w:eastAsia="Times New Roman" w:hAnsi="Times New Roman" w:cs="Times New Roman"/>
          <w:sz w:val="20"/>
          <w:szCs w:val="20"/>
          <w:highlight w:val="yellow"/>
        </w:rPr>
        <w:t xml:space="preserve">- year results. </w:t>
      </w:r>
      <w:r w:rsidRPr="00C952BC">
        <w:rPr>
          <w:rFonts w:ascii="Times New Roman" w:eastAsia="Times New Roman" w:hAnsi="Times New Roman" w:cs="Times New Roman"/>
          <w:i/>
          <w:iCs/>
          <w:sz w:val="20"/>
          <w:szCs w:val="20"/>
          <w:highlight w:val="yellow"/>
        </w:rPr>
        <w:t xml:space="preserve">Forest Ecology and Management, </w:t>
      </w:r>
      <w:r w:rsidRPr="00C952BC">
        <w:rPr>
          <w:rFonts w:ascii="Times New Roman" w:eastAsia="Times New Roman" w:hAnsi="Times New Roman" w:cs="Times New Roman"/>
          <w:sz w:val="20"/>
          <w:szCs w:val="20"/>
          <w:highlight w:val="yellow"/>
        </w:rPr>
        <w:t>229, 88–97.</w:t>
      </w:r>
    </w:p>
    <w:p w14:paraId="51F3D8B6" w14:textId="77777777" w:rsidR="00F44DF0" w:rsidRPr="00C952BC" w:rsidRDefault="00F44DF0" w:rsidP="00F44DF0">
      <w:pPr>
        <w:spacing w:line="240" w:lineRule="auto"/>
        <w:ind w:left="851" w:hanging="851"/>
        <w:jc w:val="both"/>
        <w:rPr>
          <w:rFonts w:ascii="Times New Roman" w:eastAsia="Times New Roman" w:hAnsi="Times New Roman" w:cs="Times New Roman"/>
          <w:sz w:val="20"/>
          <w:szCs w:val="20"/>
          <w:highlight w:val="yellow"/>
        </w:rPr>
      </w:pPr>
      <w:r w:rsidRPr="00C952BC">
        <w:rPr>
          <w:rFonts w:ascii="Times New Roman" w:eastAsia="Times New Roman" w:hAnsi="Times New Roman" w:cs="Times New Roman"/>
          <w:sz w:val="20"/>
          <w:szCs w:val="20"/>
          <w:highlight w:val="yellow"/>
        </w:rPr>
        <w:t xml:space="preserve">Oertli, J.J. &amp; Lunt, O.R. (1962). Controlled release of fertilizer minerals by incapsulating membranes: I. Factors influencing the rate of release. </w:t>
      </w:r>
      <w:r w:rsidRPr="00C952BC">
        <w:rPr>
          <w:rFonts w:ascii="Times New Roman" w:eastAsia="Times New Roman" w:hAnsi="Times New Roman" w:cs="Times New Roman"/>
          <w:i/>
          <w:iCs/>
          <w:sz w:val="20"/>
          <w:szCs w:val="20"/>
          <w:highlight w:val="yellow"/>
        </w:rPr>
        <w:t xml:space="preserve">Soil Science Society of America Journal, </w:t>
      </w:r>
      <w:r w:rsidRPr="00C952BC">
        <w:rPr>
          <w:rFonts w:ascii="Times New Roman" w:eastAsia="Times New Roman" w:hAnsi="Times New Roman" w:cs="Times New Roman"/>
          <w:sz w:val="20"/>
          <w:szCs w:val="20"/>
          <w:highlight w:val="yellow"/>
        </w:rPr>
        <w:t>26, 579–583.</w:t>
      </w:r>
    </w:p>
    <w:p w14:paraId="12CD95C9" w14:textId="77777777" w:rsidR="00F44DF0" w:rsidRPr="00C952BC" w:rsidRDefault="00F44DF0" w:rsidP="00F44DF0">
      <w:pPr>
        <w:spacing w:line="240" w:lineRule="auto"/>
        <w:ind w:left="851" w:hanging="851"/>
        <w:jc w:val="both"/>
        <w:rPr>
          <w:rFonts w:ascii="Times New Roman" w:eastAsia="Times New Roman" w:hAnsi="Times New Roman" w:cs="Times New Roman"/>
          <w:sz w:val="20"/>
          <w:szCs w:val="20"/>
          <w:highlight w:val="yellow"/>
        </w:rPr>
      </w:pPr>
      <w:r w:rsidRPr="00C952BC">
        <w:rPr>
          <w:rFonts w:ascii="Times New Roman" w:eastAsia="Times New Roman" w:hAnsi="Times New Roman" w:cs="Times New Roman"/>
          <w:sz w:val="20"/>
          <w:szCs w:val="20"/>
          <w:highlight w:val="yellow"/>
        </w:rPr>
        <w:t>Otey, F.H., Trimnell, D., Westhoff, R.P., &amp; Shasha, B.S. (1984). Starch matri</w:t>
      </w:r>
      <w:r w:rsidRPr="00C952BC">
        <w:rPr>
          <w:rFonts w:ascii="Times New Roman" w:eastAsia="Times New Roman" w:hAnsi="Times New Roman" w:cs="Times New Roman"/>
          <w:smallCaps/>
          <w:sz w:val="20"/>
          <w:szCs w:val="20"/>
          <w:highlight w:val="yellow"/>
        </w:rPr>
        <w:t>x</w:t>
      </w:r>
      <w:r w:rsidRPr="00C952BC">
        <w:rPr>
          <w:rFonts w:ascii="Times New Roman" w:eastAsia="Times New Roman" w:hAnsi="Times New Roman" w:cs="Times New Roman"/>
          <w:sz w:val="20"/>
          <w:szCs w:val="20"/>
          <w:highlight w:val="yellow"/>
        </w:rPr>
        <w:t xml:space="preserve"> for controlled release of urea fertilizer Feli</w:t>
      </w:r>
      <w:r w:rsidRPr="00C952BC">
        <w:rPr>
          <w:rFonts w:ascii="Times New Roman" w:eastAsia="Times New Roman" w:hAnsi="Times New Roman" w:cs="Times New Roman"/>
          <w:smallCaps/>
          <w:sz w:val="20"/>
          <w:szCs w:val="20"/>
          <w:highlight w:val="yellow"/>
        </w:rPr>
        <w:t>x</w:t>
      </w:r>
      <w:r w:rsidRPr="00C952BC">
        <w:rPr>
          <w:rFonts w:ascii="Times New Roman" w:eastAsia="Times New Roman" w:hAnsi="Times New Roman" w:cs="Times New Roman"/>
          <w:sz w:val="20"/>
          <w:szCs w:val="20"/>
          <w:highlight w:val="yellow"/>
        </w:rPr>
        <w:t xml:space="preserve">. </w:t>
      </w:r>
      <w:r w:rsidRPr="00C952BC">
        <w:rPr>
          <w:rFonts w:ascii="Times New Roman" w:eastAsia="Times New Roman" w:hAnsi="Times New Roman" w:cs="Times New Roman"/>
          <w:i/>
          <w:iCs/>
          <w:sz w:val="20"/>
          <w:szCs w:val="20"/>
          <w:highlight w:val="yellow"/>
        </w:rPr>
        <w:t>Journal of Agricultural and Food Chemistry,</w:t>
      </w:r>
      <w:r w:rsidRPr="00C952BC">
        <w:rPr>
          <w:rFonts w:ascii="Arial" w:eastAsia="Arial" w:hAnsi="Arial" w:cs="Arial"/>
          <w:b/>
          <w:bCs/>
          <w:color w:val="5F6368"/>
          <w:sz w:val="20"/>
          <w:szCs w:val="20"/>
          <w:highlight w:val="yellow"/>
        </w:rPr>
        <w:t xml:space="preserve"> </w:t>
      </w:r>
      <w:r w:rsidRPr="00C952BC">
        <w:rPr>
          <w:rFonts w:ascii="Times New Roman" w:eastAsia="Times New Roman" w:hAnsi="Times New Roman" w:cs="Times New Roman"/>
          <w:sz w:val="20"/>
          <w:szCs w:val="20"/>
          <w:highlight w:val="yellow"/>
        </w:rPr>
        <w:t>32, 1095–1098.</w:t>
      </w:r>
    </w:p>
    <w:p w14:paraId="0D41BE69" w14:textId="77777777" w:rsidR="00F44DF0" w:rsidRPr="00C952BC" w:rsidRDefault="00F44DF0" w:rsidP="00F44DF0">
      <w:pPr>
        <w:spacing w:line="240" w:lineRule="auto"/>
        <w:ind w:left="851" w:hanging="851"/>
        <w:jc w:val="both"/>
        <w:rPr>
          <w:rFonts w:ascii="Times New Roman" w:eastAsia="Times New Roman" w:hAnsi="Times New Roman" w:cs="Times New Roman"/>
          <w:sz w:val="20"/>
          <w:szCs w:val="20"/>
          <w:highlight w:val="yellow"/>
        </w:rPr>
      </w:pPr>
      <w:proofErr w:type="spellStart"/>
      <w:r w:rsidRPr="00C952BC">
        <w:rPr>
          <w:rFonts w:ascii="Times New Roman" w:eastAsia="Times New Roman" w:hAnsi="Times New Roman" w:cs="Times New Roman"/>
          <w:sz w:val="20"/>
          <w:szCs w:val="20"/>
          <w:highlight w:val="yellow"/>
        </w:rPr>
        <w:t>Preetha</w:t>
      </w:r>
      <w:proofErr w:type="spellEnd"/>
      <w:r w:rsidRPr="00C952BC">
        <w:rPr>
          <w:rFonts w:ascii="Times New Roman" w:eastAsia="Times New Roman" w:hAnsi="Times New Roman" w:cs="Times New Roman"/>
          <w:sz w:val="20"/>
          <w:szCs w:val="20"/>
          <w:highlight w:val="yellow"/>
        </w:rPr>
        <w:t xml:space="preserve">, S., &amp; Balakrishnan, N. (2017). A review of nano fertilizers and their use and functions in soil. </w:t>
      </w:r>
      <w:r w:rsidRPr="00C952BC">
        <w:rPr>
          <w:rFonts w:ascii="Times New Roman" w:eastAsia="Times New Roman" w:hAnsi="Times New Roman" w:cs="Times New Roman"/>
          <w:i/>
          <w:iCs/>
          <w:sz w:val="20"/>
          <w:szCs w:val="20"/>
          <w:highlight w:val="yellow"/>
        </w:rPr>
        <w:t>International Journal of Current Microbiology and Applied Science,</w:t>
      </w:r>
      <w:r w:rsidRPr="00C952BC">
        <w:rPr>
          <w:rFonts w:ascii="Times New Roman" w:eastAsia="Times New Roman" w:hAnsi="Times New Roman" w:cs="Times New Roman"/>
          <w:sz w:val="20"/>
          <w:szCs w:val="20"/>
          <w:highlight w:val="yellow"/>
        </w:rPr>
        <w:t xml:space="preserve"> 6(12), 3117-3133.</w:t>
      </w:r>
    </w:p>
    <w:p w14:paraId="63388B04" w14:textId="77777777" w:rsidR="00F44DF0" w:rsidRPr="00C952BC" w:rsidRDefault="00F44DF0" w:rsidP="00F44DF0">
      <w:pPr>
        <w:spacing w:line="240" w:lineRule="auto"/>
        <w:ind w:left="851" w:hanging="851"/>
        <w:jc w:val="both"/>
        <w:rPr>
          <w:rFonts w:ascii="Times New Roman" w:eastAsia="Times New Roman" w:hAnsi="Times New Roman" w:cs="Times New Roman"/>
          <w:sz w:val="20"/>
          <w:szCs w:val="20"/>
          <w:highlight w:val="yellow"/>
        </w:rPr>
      </w:pPr>
      <w:proofErr w:type="spellStart"/>
      <w:r w:rsidRPr="00C952BC">
        <w:rPr>
          <w:rFonts w:ascii="Times New Roman" w:eastAsia="Times New Roman" w:hAnsi="Times New Roman" w:cs="Times New Roman"/>
          <w:sz w:val="20"/>
          <w:szCs w:val="20"/>
          <w:highlight w:val="yellow"/>
        </w:rPr>
        <w:t>Rop</w:t>
      </w:r>
      <w:proofErr w:type="spellEnd"/>
      <w:r w:rsidRPr="00C952BC">
        <w:rPr>
          <w:rFonts w:ascii="Times New Roman" w:eastAsia="Times New Roman" w:hAnsi="Times New Roman" w:cs="Times New Roman"/>
          <w:sz w:val="20"/>
          <w:szCs w:val="20"/>
          <w:highlight w:val="yellow"/>
        </w:rPr>
        <w:t xml:space="preserve">, K., </w:t>
      </w:r>
      <w:proofErr w:type="spellStart"/>
      <w:r w:rsidRPr="00C952BC">
        <w:rPr>
          <w:rFonts w:ascii="Times New Roman" w:eastAsia="Times New Roman" w:hAnsi="Times New Roman" w:cs="Times New Roman"/>
          <w:sz w:val="20"/>
          <w:szCs w:val="20"/>
          <w:highlight w:val="yellow"/>
        </w:rPr>
        <w:t>Karuku</w:t>
      </w:r>
      <w:proofErr w:type="spellEnd"/>
      <w:r w:rsidRPr="00C952BC">
        <w:rPr>
          <w:rFonts w:ascii="Times New Roman" w:eastAsia="Times New Roman" w:hAnsi="Times New Roman" w:cs="Times New Roman"/>
          <w:sz w:val="20"/>
          <w:szCs w:val="20"/>
          <w:highlight w:val="yellow"/>
        </w:rPr>
        <w:t xml:space="preserve">, GN., Mbui, D., </w:t>
      </w:r>
      <w:proofErr w:type="spellStart"/>
      <w:r w:rsidRPr="00C952BC">
        <w:rPr>
          <w:rFonts w:ascii="Times New Roman" w:eastAsia="Times New Roman" w:hAnsi="Times New Roman" w:cs="Times New Roman"/>
          <w:sz w:val="20"/>
          <w:szCs w:val="20"/>
          <w:highlight w:val="yellow"/>
        </w:rPr>
        <w:t>Michira</w:t>
      </w:r>
      <w:proofErr w:type="spellEnd"/>
      <w:r w:rsidRPr="00C952BC">
        <w:rPr>
          <w:rFonts w:ascii="Times New Roman" w:eastAsia="Times New Roman" w:hAnsi="Times New Roman" w:cs="Times New Roman"/>
          <w:sz w:val="20"/>
          <w:szCs w:val="20"/>
          <w:highlight w:val="yellow"/>
        </w:rPr>
        <w:t xml:space="preserve">, I. &amp; </w:t>
      </w:r>
      <w:proofErr w:type="spellStart"/>
      <w:r w:rsidRPr="00C952BC">
        <w:rPr>
          <w:rFonts w:ascii="Times New Roman" w:eastAsia="Times New Roman" w:hAnsi="Times New Roman" w:cs="Times New Roman"/>
          <w:sz w:val="20"/>
          <w:szCs w:val="20"/>
          <w:highlight w:val="yellow"/>
        </w:rPr>
        <w:t>Njomo</w:t>
      </w:r>
      <w:proofErr w:type="spellEnd"/>
      <w:r w:rsidRPr="00C952BC">
        <w:rPr>
          <w:rFonts w:ascii="Times New Roman" w:eastAsia="Times New Roman" w:hAnsi="Times New Roman" w:cs="Times New Roman"/>
          <w:sz w:val="20"/>
          <w:szCs w:val="20"/>
          <w:highlight w:val="yellow"/>
        </w:rPr>
        <w:t xml:space="preserve">, N. (2018). Formulation of slow release NPK fertilizer (cellulose-graft-poly(acrylamide)/nano-hydroxyapatite/soluble fertilizer) composite and evaluating its N mineralization potential. </w:t>
      </w:r>
      <w:r w:rsidRPr="00C952BC">
        <w:rPr>
          <w:rFonts w:ascii="Times New Roman" w:eastAsia="Times New Roman" w:hAnsi="Times New Roman" w:cs="Times New Roman"/>
          <w:i/>
          <w:iCs/>
          <w:sz w:val="20"/>
          <w:szCs w:val="20"/>
          <w:highlight w:val="yellow"/>
        </w:rPr>
        <w:t>Annals of Agricultural Sciences,</w:t>
      </w:r>
      <w:r w:rsidRPr="00C952BC">
        <w:rPr>
          <w:rFonts w:ascii="Arial" w:eastAsia="Arial" w:hAnsi="Arial" w:cs="Arial"/>
          <w:color w:val="202124"/>
          <w:sz w:val="20"/>
          <w:szCs w:val="20"/>
          <w:highlight w:val="yellow"/>
        </w:rPr>
        <w:t> </w:t>
      </w:r>
      <w:r w:rsidRPr="00C952BC">
        <w:rPr>
          <w:rFonts w:ascii="Times New Roman" w:eastAsia="Times New Roman" w:hAnsi="Times New Roman" w:cs="Times New Roman"/>
          <w:sz w:val="20"/>
          <w:szCs w:val="20"/>
          <w:highlight w:val="yellow"/>
        </w:rPr>
        <w:t>63, 163–172.</w:t>
      </w:r>
    </w:p>
    <w:p w14:paraId="0B39FA8A" w14:textId="77777777" w:rsidR="00F44DF0" w:rsidRPr="00C952BC" w:rsidRDefault="00F44DF0" w:rsidP="00F44DF0">
      <w:pPr>
        <w:spacing w:line="240" w:lineRule="auto"/>
        <w:ind w:left="851" w:hanging="851"/>
        <w:jc w:val="both"/>
        <w:rPr>
          <w:rFonts w:ascii="Times New Roman" w:eastAsia="Times New Roman" w:hAnsi="Times New Roman" w:cs="Times New Roman"/>
          <w:sz w:val="20"/>
          <w:szCs w:val="20"/>
          <w:highlight w:val="yellow"/>
        </w:rPr>
      </w:pPr>
      <w:proofErr w:type="spellStart"/>
      <w:r w:rsidRPr="00C952BC">
        <w:rPr>
          <w:rFonts w:ascii="Times New Roman" w:eastAsia="Times New Roman" w:hAnsi="Times New Roman" w:cs="Times New Roman"/>
          <w:sz w:val="20"/>
          <w:szCs w:val="20"/>
          <w:highlight w:val="yellow"/>
        </w:rPr>
        <w:t>Saigusa</w:t>
      </w:r>
      <w:proofErr w:type="spellEnd"/>
      <w:r w:rsidRPr="00C952BC">
        <w:rPr>
          <w:rFonts w:ascii="Times New Roman" w:eastAsia="Times New Roman" w:hAnsi="Times New Roman" w:cs="Times New Roman"/>
          <w:sz w:val="20"/>
          <w:szCs w:val="20"/>
          <w:highlight w:val="yellow"/>
        </w:rPr>
        <w:t xml:space="preserve">, M. &amp; </w:t>
      </w:r>
      <w:proofErr w:type="spellStart"/>
      <w:r w:rsidRPr="00C952BC">
        <w:rPr>
          <w:rFonts w:ascii="Times New Roman" w:eastAsia="Times New Roman" w:hAnsi="Times New Roman" w:cs="Times New Roman"/>
          <w:sz w:val="20"/>
          <w:szCs w:val="20"/>
          <w:highlight w:val="yellow"/>
        </w:rPr>
        <w:t>Ombódi</w:t>
      </w:r>
      <w:proofErr w:type="spellEnd"/>
      <w:r w:rsidRPr="00C952BC">
        <w:rPr>
          <w:rFonts w:ascii="Times New Roman" w:eastAsia="Times New Roman" w:hAnsi="Times New Roman" w:cs="Times New Roman"/>
          <w:sz w:val="20"/>
          <w:szCs w:val="20"/>
          <w:highlight w:val="yellow"/>
        </w:rPr>
        <w:t>, A. (2000). Broadcast application versus band application of polyolefin</w:t>
      </w:r>
      <w:r w:rsidRPr="00C952BC">
        <w:rPr>
          <w:sz w:val="20"/>
          <w:szCs w:val="20"/>
          <w:highlight w:val="yellow"/>
        </w:rPr>
        <w:t>‐</w:t>
      </w:r>
      <w:r w:rsidRPr="00C952BC">
        <w:rPr>
          <w:rFonts w:ascii="Times New Roman" w:eastAsia="Times New Roman" w:hAnsi="Times New Roman" w:cs="Times New Roman"/>
          <w:sz w:val="20"/>
          <w:szCs w:val="20"/>
          <w:highlight w:val="yellow"/>
        </w:rPr>
        <w:t xml:space="preserve">coated fertilizer on green peppers grown on </w:t>
      </w:r>
      <w:proofErr w:type="spellStart"/>
      <w:r w:rsidRPr="00C952BC">
        <w:rPr>
          <w:rFonts w:ascii="Times New Roman" w:eastAsia="Times New Roman" w:hAnsi="Times New Roman" w:cs="Times New Roman"/>
          <w:sz w:val="20"/>
          <w:szCs w:val="20"/>
          <w:highlight w:val="yellow"/>
        </w:rPr>
        <w:t>andisol</w:t>
      </w:r>
      <w:proofErr w:type="spellEnd"/>
      <w:r w:rsidRPr="00C952BC">
        <w:rPr>
          <w:rFonts w:ascii="Times New Roman" w:eastAsia="Times New Roman" w:hAnsi="Times New Roman" w:cs="Times New Roman"/>
          <w:sz w:val="20"/>
          <w:szCs w:val="20"/>
          <w:highlight w:val="yellow"/>
        </w:rPr>
        <w:t xml:space="preserve">. </w:t>
      </w:r>
      <w:r w:rsidRPr="00C952BC">
        <w:rPr>
          <w:rFonts w:ascii="Times New Roman" w:eastAsia="Times New Roman" w:hAnsi="Times New Roman" w:cs="Times New Roman"/>
          <w:i/>
          <w:iCs/>
          <w:sz w:val="20"/>
          <w:szCs w:val="20"/>
          <w:highlight w:val="yellow"/>
        </w:rPr>
        <w:t>Journal of Plant Nutrition,</w:t>
      </w:r>
      <w:r w:rsidRPr="00C952BC">
        <w:rPr>
          <w:rFonts w:ascii="Times New Roman" w:eastAsia="Times New Roman" w:hAnsi="Times New Roman" w:cs="Times New Roman"/>
          <w:sz w:val="20"/>
          <w:szCs w:val="20"/>
          <w:highlight w:val="yellow"/>
        </w:rPr>
        <w:t xml:space="preserve"> 23, 1485-1493.</w:t>
      </w:r>
    </w:p>
    <w:p w14:paraId="4A4D2AB1" w14:textId="77777777" w:rsidR="00F44DF0" w:rsidRPr="00C952BC" w:rsidRDefault="00F44DF0" w:rsidP="00F44DF0">
      <w:pPr>
        <w:spacing w:line="240" w:lineRule="auto"/>
        <w:ind w:left="851" w:hanging="851"/>
        <w:jc w:val="both"/>
        <w:rPr>
          <w:rFonts w:ascii="Times New Roman" w:eastAsia="Times New Roman" w:hAnsi="Times New Roman" w:cs="Times New Roman"/>
          <w:sz w:val="20"/>
          <w:szCs w:val="20"/>
          <w:highlight w:val="yellow"/>
        </w:rPr>
      </w:pPr>
      <w:r w:rsidRPr="00C952BC">
        <w:rPr>
          <w:rFonts w:ascii="Times New Roman" w:eastAsia="Times New Roman" w:hAnsi="Times New Roman" w:cs="Times New Roman"/>
          <w:sz w:val="20"/>
          <w:szCs w:val="20"/>
          <w:highlight w:val="yellow"/>
        </w:rPr>
        <w:t xml:space="preserve">Sasson, Y., Levy-Ruso, G., Toledano, O., &amp; </w:t>
      </w:r>
      <w:proofErr w:type="spellStart"/>
      <w:r w:rsidRPr="00C952BC">
        <w:rPr>
          <w:rFonts w:ascii="Times New Roman" w:eastAsia="Times New Roman" w:hAnsi="Times New Roman" w:cs="Times New Roman"/>
          <w:sz w:val="20"/>
          <w:szCs w:val="20"/>
          <w:highlight w:val="yellow"/>
        </w:rPr>
        <w:t>Ishaaya</w:t>
      </w:r>
      <w:proofErr w:type="spellEnd"/>
      <w:r w:rsidRPr="00C952BC">
        <w:rPr>
          <w:rFonts w:ascii="Times New Roman" w:eastAsia="Times New Roman" w:hAnsi="Times New Roman" w:cs="Times New Roman"/>
          <w:sz w:val="20"/>
          <w:szCs w:val="20"/>
          <w:highlight w:val="yellow"/>
        </w:rPr>
        <w:t xml:space="preserve">, I. (2007). Nanosuspensions: </w:t>
      </w:r>
      <w:proofErr w:type="spellStart"/>
      <w:r w:rsidRPr="00C952BC">
        <w:rPr>
          <w:rFonts w:ascii="Times New Roman" w:eastAsia="Times New Roman" w:hAnsi="Times New Roman" w:cs="Times New Roman"/>
          <w:sz w:val="20"/>
          <w:szCs w:val="20"/>
          <w:highlight w:val="yellow"/>
        </w:rPr>
        <w:t>emergingnovel</w:t>
      </w:r>
      <w:proofErr w:type="spellEnd"/>
      <w:r w:rsidRPr="00C952BC">
        <w:rPr>
          <w:rFonts w:ascii="Times New Roman" w:eastAsia="Times New Roman" w:hAnsi="Times New Roman" w:cs="Times New Roman"/>
          <w:sz w:val="20"/>
          <w:szCs w:val="20"/>
          <w:highlight w:val="yellow"/>
        </w:rPr>
        <w:t xml:space="preserve"> agrochemical formulations, pp.  1-39. In: </w:t>
      </w:r>
      <w:proofErr w:type="spellStart"/>
      <w:r w:rsidRPr="00C952BC">
        <w:rPr>
          <w:rFonts w:ascii="Times New Roman" w:eastAsia="Times New Roman" w:hAnsi="Times New Roman" w:cs="Times New Roman"/>
          <w:sz w:val="20"/>
          <w:szCs w:val="20"/>
          <w:highlight w:val="yellow"/>
        </w:rPr>
        <w:t>Ishaaya</w:t>
      </w:r>
      <w:proofErr w:type="spellEnd"/>
      <w:r w:rsidRPr="00C952BC">
        <w:rPr>
          <w:rFonts w:ascii="Times New Roman" w:eastAsia="Times New Roman" w:hAnsi="Times New Roman" w:cs="Times New Roman"/>
          <w:sz w:val="20"/>
          <w:szCs w:val="20"/>
          <w:highlight w:val="yellow"/>
        </w:rPr>
        <w:t xml:space="preserve">, I.; Horowitz, A.R. and </w:t>
      </w:r>
      <w:proofErr w:type="spellStart"/>
      <w:r w:rsidRPr="00C952BC">
        <w:rPr>
          <w:rFonts w:ascii="Times New Roman" w:eastAsia="Times New Roman" w:hAnsi="Times New Roman" w:cs="Times New Roman"/>
          <w:sz w:val="20"/>
          <w:szCs w:val="20"/>
          <w:highlight w:val="yellow"/>
        </w:rPr>
        <w:t>Nauen</w:t>
      </w:r>
      <w:proofErr w:type="spellEnd"/>
      <w:r w:rsidRPr="00C952BC">
        <w:rPr>
          <w:rFonts w:ascii="Times New Roman" w:eastAsia="Times New Roman" w:hAnsi="Times New Roman" w:cs="Times New Roman"/>
          <w:sz w:val="20"/>
          <w:szCs w:val="20"/>
          <w:highlight w:val="yellow"/>
        </w:rPr>
        <w:t xml:space="preserve"> R. (eds.). </w:t>
      </w:r>
      <w:r w:rsidRPr="00C952BC">
        <w:rPr>
          <w:rFonts w:ascii="Times New Roman" w:eastAsia="Times New Roman" w:hAnsi="Times New Roman" w:cs="Times New Roman"/>
          <w:i/>
          <w:iCs/>
          <w:sz w:val="20"/>
          <w:szCs w:val="20"/>
          <w:highlight w:val="yellow"/>
        </w:rPr>
        <w:t xml:space="preserve">Insecticides design using advanced technologies, </w:t>
      </w:r>
      <w:r w:rsidRPr="00C952BC">
        <w:rPr>
          <w:rFonts w:ascii="Times New Roman" w:eastAsia="Times New Roman" w:hAnsi="Times New Roman" w:cs="Times New Roman"/>
          <w:sz w:val="20"/>
          <w:szCs w:val="20"/>
          <w:highlight w:val="yellow"/>
        </w:rPr>
        <w:t>Springer, Berlin.</w:t>
      </w:r>
    </w:p>
    <w:p w14:paraId="0D6BA8BD" w14:textId="77777777" w:rsidR="00F44DF0" w:rsidRPr="00C952BC" w:rsidRDefault="00F44DF0" w:rsidP="00F44DF0">
      <w:pPr>
        <w:spacing w:line="240" w:lineRule="auto"/>
        <w:ind w:left="851" w:hanging="851"/>
        <w:jc w:val="both"/>
        <w:rPr>
          <w:rFonts w:ascii="Times New Roman" w:eastAsia="Times New Roman" w:hAnsi="Times New Roman" w:cs="Times New Roman"/>
          <w:sz w:val="20"/>
          <w:szCs w:val="20"/>
          <w:highlight w:val="yellow"/>
        </w:rPr>
      </w:pPr>
      <w:r w:rsidRPr="00C952BC">
        <w:rPr>
          <w:rFonts w:ascii="Times New Roman" w:eastAsia="Times New Roman" w:hAnsi="Times New Roman" w:cs="Times New Roman"/>
          <w:sz w:val="20"/>
          <w:szCs w:val="20"/>
          <w:highlight w:val="yellow"/>
        </w:rPr>
        <w:t xml:space="preserve">Schmidt, M.A., Kreinberg, A.J., Gonzalez, J.M., Halvorson, J.J., French, E., Bollmann, A., </w:t>
      </w:r>
      <w:proofErr w:type="gramStart"/>
      <w:r w:rsidRPr="00C952BC">
        <w:rPr>
          <w:rFonts w:ascii="Times New Roman" w:eastAsia="Times New Roman" w:hAnsi="Times New Roman" w:cs="Times New Roman"/>
          <w:sz w:val="20"/>
          <w:szCs w:val="20"/>
          <w:highlight w:val="yellow"/>
        </w:rPr>
        <w:t>&amp;  Hagerman</w:t>
      </w:r>
      <w:proofErr w:type="gramEnd"/>
      <w:r w:rsidRPr="00C952BC">
        <w:rPr>
          <w:rFonts w:ascii="Times New Roman" w:eastAsia="Times New Roman" w:hAnsi="Times New Roman" w:cs="Times New Roman"/>
          <w:sz w:val="20"/>
          <w:szCs w:val="20"/>
          <w:highlight w:val="yellow"/>
        </w:rPr>
        <w:t xml:space="preserve">, A.E. (2013). Soil microbial communities respond differently to three chemically defined polyphenols, Plant Physiol. </w:t>
      </w:r>
      <w:r w:rsidRPr="00C952BC">
        <w:rPr>
          <w:rFonts w:ascii="Times New Roman" w:eastAsia="Times New Roman" w:hAnsi="Times New Roman" w:cs="Times New Roman"/>
          <w:i/>
          <w:iCs/>
          <w:sz w:val="20"/>
          <w:szCs w:val="20"/>
          <w:highlight w:val="yellow"/>
        </w:rPr>
        <w:t>Biochemical,</w:t>
      </w:r>
      <w:r w:rsidRPr="00C952BC">
        <w:rPr>
          <w:rFonts w:ascii="Times New Roman" w:eastAsia="Times New Roman" w:hAnsi="Times New Roman" w:cs="Times New Roman"/>
          <w:sz w:val="20"/>
          <w:szCs w:val="20"/>
          <w:highlight w:val="yellow"/>
        </w:rPr>
        <w:t xml:space="preserve"> 72, 190–197.</w:t>
      </w:r>
    </w:p>
    <w:p w14:paraId="6B1BD584" w14:textId="77777777" w:rsidR="00F44DF0" w:rsidRPr="00C952BC" w:rsidRDefault="00F44DF0" w:rsidP="00F44DF0">
      <w:pPr>
        <w:spacing w:line="240" w:lineRule="auto"/>
        <w:ind w:left="851" w:hanging="851"/>
        <w:jc w:val="both"/>
        <w:rPr>
          <w:rFonts w:ascii="Times New Roman" w:eastAsia="Times New Roman" w:hAnsi="Times New Roman" w:cs="Times New Roman"/>
          <w:sz w:val="20"/>
          <w:szCs w:val="20"/>
          <w:highlight w:val="yellow"/>
        </w:rPr>
      </w:pPr>
      <w:bookmarkStart w:id="6" w:name="_oivfio7sfxo3" w:colFirst="0" w:colLast="0"/>
      <w:bookmarkEnd w:id="6"/>
      <w:r w:rsidRPr="00C952BC">
        <w:rPr>
          <w:rFonts w:ascii="Times New Roman" w:eastAsia="Times New Roman" w:hAnsi="Times New Roman" w:cs="Times New Roman"/>
          <w:sz w:val="20"/>
          <w:szCs w:val="20"/>
          <w:highlight w:val="yellow"/>
        </w:rPr>
        <w:t xml:space="preserve">Solanki, P., Bhargava, A., </w:t>
      </w:r>
      <w:proofErr w:type="spellStart"/>
      <w:r w:rsidRPr="00C952BC">
        <w:rPr>
          <w:rFonts w:ascii="Times New Roman" w:eastAsia="Times New Roman" w:hAnsi="Times New Roman" w:cs="Times New Roman"/>
          <w:sz w:val="20"/>
          <w:szCs w:val="20"/>
          <w:highlight w:val="yellow"/>
        </w:rPr>
        <w:t>Chhipa</w:t>
      </w:r>
      <w:proofErr w:type="spellEnd"/>
      <w:r w:rsidRPr="00C952BC">
        <w:rPr>
          <w:rFonts w:ascii="Times New Roman" w:eastAsia="Times New Roman" w:hAnsi="Times New Roman" w:cs="Times New Roman"/>
          <w:sz w:val="20"/>
          <w:szCs w:val="20"/>
          <w:highlight w:val="yellow"/>
        </w:rPr>
        <w:t xml:space="preserve">, H., Jain, N. &amp; Panwar, J. (2015). Nano-fertilizers and their smart delivery system. In: </w:t>
      </w:r>
      <w:r w:rsidRPr="00C952BC">
        <w:rPr>
          <w:rFonts w:ascii="Times New Roman" w:eastAsia="Times New Roman" w:hAnsi="Times New Roman" w:cs="Times New Roman"/>
          <w:i/>
          <w:iCs/>
          <w:sz w:val="20"/>
          <w:szCs w:val="20"/>
          <w:highlight w:val="yellow"/>
        </w:rPr>
        <w:t xml:space="preserve">Nanotechnologies in Food and Agriculture, </w:t>
      </w:r>
      <w:r w:rsidRPr="00C952BC">
        <w:rPr>
          <w:rFonts w:ascii="Times New Roman" w:eastAsia="Times New Roman" w:hAnsi="Times New Roman" w:cs="Times New Roman"/>
          <w:sz w:val="20"/>
          <w:szCs w:val="20"/>
          <w:highlight w:val="yellow"/>
        </w:rPr>
        <w:t>pp 81-101, Springer, Cham.</w:t>
      </w:r>
    </w:p>
    <w:p w14:paraId="25DB1839" w14:textId="77777777" w:rsidR="00F44DF0" w:rsidRPr="00C952BC" w:rsidRDefault="00F44DF0" w:rsidP="00F44DF0">
      <w:pPr>
        <w:spacing w:line="240" w:lineRule="auto"/>
        <w:ind w:left="851" w:hanging="851"/>
        <w:jc w:val="both"/>
        <w:rPr>
          <w:rFonts w:ascii="Times New Roman" w:eastAsia="Times New Roman" w:hAnsi="Times New Roman" w:cs="Times New Roman"/>
          <w:sz w:val="20"/>
          <w:szCs w:val="20"/>
          <w:highlight w:val="yellow"/>
        </w:rPr>
      </w:pPr>
      <w:r w:rsidRPr="00C952BC">
        <w:rPr>
          <w:rFonts w:ascii="Times New Roman" w:eastAsia="Times New Roman" w:hAnsi="Times New Roman" w:cs="Times New Roman"/>
          <w:sz w:val="20"/>
          <w:szCs w:val="20"/>
          <w:highlight w:val="yellow"/>
        </w:rPr>
        <w:t xml:space="preserve">Subramanian, K.S. &amp; </w:t>
      </w:r>
      <w:proofErr w:type="spellStart"/>
      <w:r w:rsidRPr="00C952BC">
        <w:rPr>
          <w:rFonts w:ascii="Times New Roman" w:eastAsia="Times New Roman" w:hAnsi="Times New Roman" w:cs="Times New Roman"/>
          <w:sz w:val="20"/>
          <w:szCs w:val="20"/>
          <w:highlight w:val="yellow"/>
        </w:rPr>
        <w:t>Rahale</w:t>
      </w:r>
      <w:proofErr w:type="spellEnd"/>
      <w:r w:rsidRPr="00C952BC">
        <w:rPr>
          <w:rFonts w:ascii="Times New Roman" w:eastAsia="Times New Roman" w:hAnsi="Times New Roman" w:cs="Times New Roman"/>
          <w:sz w:val="20"/>
          <w:szCs w:val="20"/>
          <w:highlight w:val="yellow"/>
        </w:rPr>
        <w:t xml:space="preserve">, S. (2009). Synthesis of </w:t>
      </w:r>
      <w:proofErr w:type="spellStart"/>
      <w:r w:rsidRPr="00C952BC">
        <w:rPr>
          <w:rFonts w:ascii="Times New Roman" w:eastAsia="Times New Roman" w:hAnsi="Times New Roman" w:cs="Times New Roman"/>
          <w:sz w:val="20"/>
          <w:szCs w:val="20"/>
          <w:highlight w:val="yellow"/>
        </w:rPr>
        <w:t>nanofertiliser</w:t>
      </w:r>
      <w:proofErr w:type="spellEnd"/>
      <w:r w:rsidRPr="00C952BC">
        <w:rPr>
          <w:rFonts w:ascii="Times New Roman" w:eastAsia="Times New Roman" w:hAnsi="Times New Roman" w:cs="Times New Roman"/>
          <w:sz w:val="20"/>
          <w:szCs w:val="20"/>
          <w:highlight w:val="yellow"/>
        </w:rPr>
        <w:t xml:space="preserve"> formulations for balanced nutrition. </w:t>
      </w:r>
      <w:r w:rsidRPr="00C952BC">
        <w:rPr>
          <w:rFonts w:ascii="Times New Roman" w:eastAsia="Times New Roman" w:hAnsi="Times New Roman" w:cs="Times New Roman"/>
          <w:i/>
          <w:iCs/>
          <w:sz w:val="20"/>
          <w:szCs w:val="20"/>
          <w:highlight w:val="yellow"/>
        </w:rPr>
        <w:t>Proceedings of the Indian society of soil science-platinum Jubilee celebration</w:t>
      </w:r>
      <w:r w:rsidRPr="00C952BC">
        <w:rPr>
          <w:rFonts w:ascii="Times New Roman" w:eastAsia="Times New Roman" w:hAnsi="Times New Roman" w:cs="Times New Roman"/>
          <w:sz w:val="20"/>
          <w:szCs w:val="20"/>
          <w:highlight w:val="yellow"/>
        </w:rPr>
        <w:t>. IARI Campus, New Delhi. 85.</w:t>
      </w:r>
    </w:p>
    <w:p w14:paraId="613D1281" w14:textId="77777777" w:rsidR="00F44DF0" w:rsidRPr="00C952BC" w:rsidRDefault="00F44DF0" w:rsidP="00F44DF0">
      <w:pPr>
        <w:spacing w:line="240" w:lineRule="auto"/>
        <w:ind w:left="851" w:hanging="851"/>
        <w:jc w:val="both"/>
        <w:rPr>
          <w:rFonts w:ascii="Times New Roman" w:eastAsia="Times New Roman" w:hAnsi="Times New Roman" w:cs="Times New Roman"/>
          <w:sz w:val="20"/>
          <w:szCs w:val="20"/>
          <w:highlight w:val="yellow"/>
        </w:rPr>
      </w:pPr>
      <w:r w:rsidRPr="00C952BC">
        <w:rPr>
          <w:rFonts w:ascii="Times New Roman" w:eastAsia="Times New Roman" w:hAnsi="Times New Roman" w:cs="Times New Roman"/>
          <w:sz w:val="20"/>
          <w:szCs w:val="20"/>
          <w:highlight w:val="yellow"/>
        </w:rPr>
        <w:t xml:space="preserve">Tarafdar, J.C., Raliya, R. &amp; Rathore, I. (2012). Microbial synthesis of phosphorous nanoparticle from tri- calcium phosphate using Aspergillus </w:t>
      </w:r>
      <w:proofErr w:type="spellStart"/>
      <w:r w:rsidRPr="00C952BC">
        <w:rPr>
          <w:rFonts w:ascii="Times New Roman" w:eastAsia="Times New Roman" w:hAnsi="Times New Roman" w:cs="Times New Roman"/>
          <w:sz w:val="20"/>
          <w:szCs w:val="20"/>
          <w:highlight w:val="yellow"/>
        </w:rPr>
        <w:t>tubingensis</w:t>
      </w:r>
      <w:proofErr w:type="spellEnd"/>
      <w:r w:rsidRPr="00C952BC">
        <w:rPr>
          <w:rFonts w:ascii="Times New Roman" w:eastAsia="Times New Roman" w:hAnsi="Times New Roman" w:cs="Times New Roman"/>
          <w:sz w:val="20"/>
          <w:szCs w:val="20"/>
          <w:highlight w:val="yellow"/>
        </w:rPr>
        <w:t xml:space="preserve"> TFR-5.” </w:t>
      </w:r>
      <w:r w:rsidRPr="00C952BC">
        <w:rPr>
          <w:rFonts w:ascii="Times New Roman" w:eastAsia="Times New Roman" w:hAnsi="Times New Roman" w:cs="Times New Roman"/>
          <w:i/>
          <w:iCs/>
          <w:sz w:val="20"/>
          <w:szCs w:val="20"/>
          <w:highlight w:val="yellow"/>
        </w:rPr>
        <w:t xml:space="preserve">Journal of </w:t>
      </w:r>
      <w:proofErr w:type="spellStart"/>
      <w:r w:rsidRPr="00C952BC">
        <w:rPr>
          <w:rFonts w:ascii="Times New Roman" w:eastAsia="Times New Roman" w:hAnsi="Times New Roman" w:cs="Times New Roman"/>
          <w:i/>
          <w:iCs/>
          <w:sz w:val="20"/>
          <w:szCs w:val="20"/>
          <w:highlight w:val="yellow"/>
        </w:rPr>
        <w:t>Bionanoscience</w:t>
      </w:r>
      <w:proofErr w:type="spellEnd"/>
      <w:r w:rsidRPr="00C952BC">
        <w:rPr>
          <w:rFonts w:ascii="Times New Roman" w:eastAsia="Times New Roman" w:hAnsi="Times New Roman" w:cs="Times New Roman"/>
          <w:i/>
          <w:iCs/>
          <w:sz w:val="20"/>
          <w:szCs w:val="20"/>
          <w:highlight w:val="yellow"/>
        </w:rPr>
        <w:t xml:space="preserve"> </w:t>
      </w:r>
      <w:r w:rsidRPr="00C952BC">
        <w:rPr>
          <w:rFonts w:ascii="Times New Roman" w:eastAsia="Times New Roman" w:hAnsi="Times New Roman" w:cs="Times New Roman"/>
          <w:sz w:val="20"/>
          <w:szCs w:val="20"/>
          <w:highlight w:val="yellow"/>
        </w:rPr>
        <w:t>6: 84-89.</w:t>
      </w:r>
    </w:p>
    <w:p w14:paraId="7EFBC9DB" w14:textId="77777777" w:rsidR="00F44DF0" w:rsidRPr="00C952BC" w:rsidRDefault="00F44DF0" w:rsidP="00F44DF0">
      <w:pPr>
        <w:spacing w:line="240" w:lineRule="auto"/>
        <w:ind w:left="851" w:hanging="851"/>
        <w:jc w:val="both"/>
        <w:rPr>
          <w:rFonts w:ascii="Times New Roman" w:eastAsia="Times New Roman" w:hAnsi="Times New Roman" w:cs="Times New Roman"/>
          <w:sz w:val="20"/>
          <w:szCs w:val="20"/>
          <w:highlight w:val="yellow"/>
        </w:rPr>
      </w:pPr>
      <w:r w:rsidRPr="00C952BC">
        <w:rPr>
          <w:rFonts w:ascii="Times New Roman" w:eastAsia="Times New Roman" w:hAnsi="Times New Roman" w:cs="Times New Roman"/>
          <w:sz w:val="20"/>
          <w:szCs w:val="20"/>
          <w:highlight w:val="yellow"/>
        </w:rPr>
        <w:lastRenderedPageBreak/>
        <w:t xml:space="preserve">Tarafdar, J.C., Sharma, S., &amp; Raliya, R. (2013). Review nanotechnology: interdisciplinary science of applications. </w:t>
      </w:r>
      <w:r w:rsidRPr="00C952BC">
        <w:rPr>
          <w:rFonts w:ascii="Times New Roman" w:eastAsia="Times New Roman" w:hAnsi="Times New Roman" w:cs="Times New Roman"/>
          <w:i/>
          <w:iCs/>
          <w:sz w:val="20"/>
          <w:szCs w:val="20"/>
          <w:highlight w:val="yellow"/>
        </w:rPr>
        <w:t>African Journal of Biotechnology,</w:t>
      </w:r>
      <w:r w:rsidRPr="00C952BC">
        <w:rPr>
          <w:rFonts w:ascii="Times New Roman" w:eastAsia="Times New Roman" w:hAnsi="Times New Roman" w:cs="Times New Roman"/>
          <w:sz w:val="20"/>
          <w:szCs w:val="20"/>
          <w:highlight w:val="yellow"/>
        </w:rPr>
        <w:t xml:space="preserve"> 12(3), 219-226.</w:t>
      </w:r>
    </w:p>
    <w:p w14:paraId="1C7BE573" w14:textId="77777777" w:rsidR="00F44DF0" w:rsidRPr="00C952BC" w:rsidRDefault="00F44DF0" w:rsidP="00F44DF0">
      <w:pPr>
        <w:spacing w:line="240" w:lineRule="auto"/>
        <w:ind w:left="851" w:hanging="851"/>
        <w:jc w:val="both"/>
        <w:rPr>
          <w:rFonts w:ascii="Times New Roman" w:eastAsia="Times New Roman" w:hAnsi="Times New Roman" w:cs="Times New Roman"/>
          <w:sz w:val="20"/>
          <w:szCs w:val="20"/>
          <w:highlight w:val="yellow"/>
        </w:rPr>
      </w:pPr>
      <w:r w:rsidRPr="00C952BC">
        <w:rPr>
          <w:rFonts w:ascii="Times New Roman" w:eastAsia="Times New Roman" w:hAnsi="Times New Roman" w:cs="Times New Roman"/>
          <w:sz w:val="20"/>
          <w:szCs w:val="20"/>
          <w:highlight w:val="yellow"/>
        </w:rPr>
        <w:t>Tei</w:t>
      </w:r>
      <w:r w:rsidRPr="00C952BC">
        <w:rPr>
          <w:rFonts w:ascii="Times New Roman" w:eastAsia="Times New Roman" w:hAnsi="Times New Roman" w:cs="Times New Roman"/>
          <w:smallCaps/>
          <w:sz w:val="20"/>
          <w:szCs w:val="20"/>
          <w:highlight w:val="yellow"/>
        </w:rPr>
        <w:t>x</w:t>
      </w:r>
      <w:r w:rsidRPr="00C952BC">
        <w:rPr>
          <w:rFonts w:ascii="Times New Roman" w:eastAsia="Times New Roman" w:hAnsi="Times New Roman" w:cs="Times New Roman"/>
          <w:sz w:val="20"/>
          <w:szCs w:val="20"/>
          <w:highlight w:val="yellow"/>
        </w:rPr>
        <w:t xml:space="preserve">eira, M.A., Paterson, W.J., Dunn, E.J., Li, Q., Hunter, B.K., Goosen, M.F.A., &amp; Hunter, B. K. (1990). Assessment of chitosan gels for the controlled release of agrochemicals. </w:t>
      </w:r>
      <w:r w:rsidRPr="00C952BC">
        <w:rPr>
          <w:rFonts w:ascii="Times New Roman" w:eastAsia="Times New Roman" w:hAnsi="Times New Roman" w:cs="Times New Roman"/>
          <w:i/>
          <w:iCs/>
          <w:sz w:val="20"/>
          <w:szCs w:val="20"/>
          <w:highlight w:val="yellow"/>
        </w:rPr>
        <w:t>Industrial &amp; Engineering Chemistry Research,</w:t>
      </w:r>
      <w:r w:rsidRPr="00C952BC">
        <w:rPr>
          <w:rFonts w:ascii="Times New Roman" w:eastAsia="Times New Roman" w:hAnsi="Times New Roman" w:cs="Times New Roman"/>
          <w:sz w:val="20"/>
          <w:szCs w:val="20"/>
          <w:highlight w:val="yellow"/>
        </w:rPr>
        <w:t xml:space="preserve"> 29, 1205–1209.</w:t>
      </w:r>
    </w:p>
    <w:p w14:paraId="581E2F3D" w14:textId="77777777" w:rsidR="00F44DF0" w:rsidRPr="00C952BC" w:rsidRDefault="00F44DF0" w:rsidP="00F44DF0">
      <w:pPr>
        <w:spacing w:line="240" w:lineRule="auto"/>
        <w:ind w:left="851" w:hanging="851"/>
        <w:jc w:val="both"/>
        <w:rPr>
          <w:rFonts w:ascii="Times New Roman" w:eastAsia="Times New Roman" w:hAnsi="Times New Roman" w:cs="Times New Roman"/>
          <w:sz w:val="20"/>
          <w:szCs w:val="20"/>
          <w:highlight w:val="yellow"/>
        </w:rPr>
      </w:pPr>
      <w:r w:rsidRPr="00C952BC">
        <w:rPr>
          <w:rFonts w:ascii="Times New Roman" w:eastAsia="Times New Roman" w:hAnsi="Times New Roman" w:cs="Times New Roman"/>
          <w:sz w:val="20"/>
          <w:szCs w:val="20"/>
          <w:highlight w:val="yellow"/>
        </w:rPr>
        <w:t xml:space="preserve">Tilman, D., Knops, J., Wedin, D., &amp; Reich, P. (2002). Plant diversity and composition: effects on productivity and nutrient dynamics of experimental grasslands, pp 21-35. In: </w:t>
      </w:r>
      <w:proofErr w:type="spellStart"/>
      <w:r w:rsidRPr="00C952BC">
        <w:rPr>
          <w:rFonts w:ascii="Times New Roman" w:eastAsia="Times New Roman" w:hAnsi="Times New Roman" w:cs="Times New Roman"/>
          <w:sz w:val="20"/>
          <w:szCs w:val="20"/>
          <w:highlight w:val="yellow"/>
        </w:rPr>
        <w:t>Loreau</w:t>
      </w:r>
      <w:proofErr w:type="spellEnd"/>
      <w:r w:rsidRPr="00C952BC">
        <w:rPr>
          <w:rFonts w:ascii="Times New Roman" w:eastAsia="Times New Roman" w:hAnsi="Times New Roman" w:cs="Times New Roman"/>
          <w:sz w:val="20"/>
          <w:szCs w:val="20"/>
          <w:highlight w:val="yellow"/>
        </w:rPr>
        <w:t xml:space="preserve"> M, Naeem </w:t>
      </w:r>
      <w:proofErr w:type="spellStart"/>
      <w:r w:rsidRPr="00C952BC">
        <w:rPr>
          <w:rFonts w:ascii="Times New Roman" w:eastAsia="Times New Roman" w:hAnsi="Times New Roman" w:cs="Times New Roman"/>
          <w:sz w:val="20"/>
          <w:szCs w:val="20"/>
          <w:highlight w:val="yellow"/>
        </w:rPr>
        <w:t>Inchausti</w:t>
      </w:r>
      <w:proofErr w:type="spellEnd"/>
      <w:r w:rsidRPr="00C952BC">
        <w:rPr>
          <w:rFonts w:ascii="Times New Roman" w:eastAsia="Times New Roman" w:hAnsi="Times New Roman" w:cs="Times New Roman"/>
          <w:sz w:val="20"/>
          <w:szCs w:val="20"/>
          <w:highlight w:val="yellow"/>
        </w:rPr>
        <w:t xml:space="preserve"> PS (eds.). </w:t>
      </w:r>
      <w:r w:rsidRPr="00C952BC">
        <w:rPr>
          <w:rFonts w:ascii="Times New Roman" w:eastAsia="Times New Roman" w:hAnsi="Times New Roman" w:cs="Times New Roman"/>
          <w:i/>
          <w:iCs/>
          <w:sz w:val="20"/>
          <w:szCs w:val="20"/>
          <w:highlight w:val="yellow"/>
        </w:rPr>
        <w:t xml:space="preserve">Biodiversity and ecosystem functioning. </w:t>
      </w:r>
      <w:r w:rsidRPr="00C952BC">
        <w:rPr>
          <w:rFonts w:ascii="Times New Roman" w:eastAsia="Times New Roman" w:hAnsi="Times New Roman" w:cs="Times New Roman"/>
          <w:sz w:val="20"/>
          <w:szCs w:val="20"/>
          <w:highlight w:val="yellow"/>
        </w:rPr>
        <w:t xml:space="preserve">Oxford University Press, Oxford. </w:t>
      </w:r>
    </w:p>
    <w:p w14:paraId="1907156C" w14:textId="77777777" w:rsidR="00F44DF0" w:rsidRPr="00C952BC" w:rsidRDefault="00F44DF0" w:rsidP="00F44DF0">
      <w:pPr>
        <w:spacing w:line="240" w:lineRule="auto"/>
        <w:ind w:left="851" w:hanging="851"/>
        <w:jc w:val="both"/>
        <w:rPr>
          <w:rFonts w:ascii="Times New Roman" w:eastAsia="Times New Roman" w:hAnsi="Times New Roman" w:cs="Times New Roman"/>
          <w:sz w:val="20"/>
          <w:szCs w:val="20"/>
          <w:highlight w:val="yellow"/>
        </w:rPr>
      </w:pPr>
      <w:bookmarkStart w:id="7" w:name="_14hzxe590ior" w:colFirst="0" w:colLast="0"/>
      <w:bookmarkEnd w:id="7"/>
      <w:proofErr w:type="spellStart"/>
      <w:r w:rsidRPr="00C952BC">
        <w:rPr>
          <w:rFonts w:ascii="Times New Roman" w:eastAsia="Times New Roman" w:hAnsi="Times New Roman" w:cs="Times New Roman"/>
          <w:sz w:val="20"/>
          <w:szCs w:val="20"/>
          <w:highlight w:val="yellow"/>
        </w:rPr>
        <w:t>Trenkel</w:t>
      </w:r>
      <w:proofErr w:type="spellEnd"/>
      <w:r w:rsidRPr="00C952BC">
        <w:rPr>
          <w:rFonts w:ascii="Times New Roman" w:eastAsia="Times New Roman" w:hAnsi="Times New Roman" w:cs="Times New Roman"/>
          <w:sz w:val="20"/>
          <w:szCs w:val="20"/>
          <w:highlight w:val="yellow"/>
        </w:rPr>
        <w:t>, M.E. (2010). Slow and controlled-release and stabilized fertilizers, International Fertilizer Association, pp.1–163.</w:t>
      </w:r>
    </w:p>
    <w:p w14:paraId="3FCD970B" w14:textId="77777777" w:rsidR="00F44DF0" w:rsidRPr="00C952BC" w:rsidRDefault="00F44DF0" w:rsidP="00F44DF0">
      <w:pPr>
        <w:spacing w:line="240" w:lineRule="auto"/>
        <w:ind w:left="851" w:hanging="851"/>
        <w:jc w:val="both"/>
        <w:rPr>
          <w:rFonts w:ascii="Times New Roman" w:eastAsia="Times New Roman" w:hAnsi="Times New Roman" w:cs="Times New Roman"/>
          <w:sz w:val="20"/>
          <w:szCs w:val="20"/>
          <w:highlight w:val="yellow"/>
        </w:rPr>
      </w:pPr>
      <w:r w:rsidRPr="00C952BC">
        <w:rPr>
          <w:rFonts w:ascii="Times New Roman" w:eastAsia="Times New Roman" w:hAnsi="Times New Roman" w:cs="Times New Roman"/>
          <w:sz w:val="20"/>
          <w:szCs w:val="20"/>
          <w:highlight w:val="yellow"/>
          <w:lang w:val="fr-FR"/>
        </w:rPr>
        <w:t xml:space="preserve">Xie, L., Liu, M., Ni, B., &amp; Wang, Y. (2012). </w:t>
      </w:r>
      <w:r w:rsidRPr="00C952BC">
        <w:rPr>
          <w:rFonts w:ascii="Times New Roman" w:eastAsia="Times New Roman" w:hAnsi="Times New Roman" w:cs="Times New Roman"/>
          <w:sz w:val="20"/>
          <w:szCs w:val="20"/>
          <w:highlight w:val="yellow"/>
        </w:rPr>
        <w:t xml:space="preserve">New environment-friendly use of wheat straw in slow-release fertilizer formulations with the function of superabsorbent. </w:t>
      </w:r>
      <w:r w:rsidRPr="00C952BC">
        <w:rPr>
          <w:rFonts w:ascii="Times New Roman" w:eastAsia="Times New Roman" w:hAnsi="Times New Roman" w:cs="Times New Roman"/>
          <w:i/>
          <w:iCs/>
          <w:sz w:val="20"/>
          <w:szCs w:val="20"/>
          <w:highlight w:val="yellow"/>
        </w:rPr>
        <w:t xml:space="preserve">Industrial &amp; Engineering Chemistry Research, </w:t>
      </w:r>
      <w:r w:rsidRPr="00C952BC">
        <w:rPr>
          <w:rFonts w:ascii="Times New Roman" w:eastAsia="Times New Roman" w:hAnsi="Times New Roman" w:cs="Times New Roman"/>
          <w:sz w:val="20"/>
          <w:szCs w:val="20"/>
          <w:highlight w:val="yellow"/>
        </w:rPr>
        <w:t>51, 3855–3862.</w:t>
      </w:r>
    </w:p>
    <w:p w14:paraId="4D284D6C" w14:textId="77777777" w:rsidR="00F44DF0" w:rsidRDefault="00F44DF0" w:rsidP="00F44DF0">
      <w:pPr>
        <w:spacing w:line="240" w:lineRule="auto"/>
        <w:ind w:left="851" w:hanging="851"/>
        <w:jc w:val="both"/>
        <w:rPr>
          <w:rFonts w:ascii="Times New Roman" w:eastAsia="Times New Roman" w:hAnsi="Times New Roman" w:cs="Times New Roman"/>
          <w:sz w:val="24"/>
          <w:szCs w:val="24"/>
        </w:rPr>
      </w:pPr>
      <w:r w:rsidRPr="00C952BC">
        <w:rPr>
          <w:rFonts w:ascii="Times New Roman" w:eastAsia="Times New Roman" w:hAnsi="Times New Roman" w:cs="Times New Roman"/>
          <w:sz w:val="20"/>
          <w:szCs w:val="20"/>
          <w:highlight w:val="yellow"/>
        </w:rPr>
        <w:t xml:space="preserve">Zulfiqar, F., Navarro, M., Ashraf, M., Akram, N.A., &amp; Munne-Bosch, S. (2019). </w:t>
      </w:r>
      <w:proofErr w:type="spellStart"/>
      <w:r w:rsidRPr="00C952BC">
        <w:rPr>
          <w:rFonts w:ascii="Times New Roman" w:eastAsia="Times New Roman" w:hAnsi="Times New Roman" w:cs="Times New Roman"/>
          <w:sz w:val="20"/>
          <w:szCs w:val="20"/>
          <w:highlight w:val="yellow"/>
        </w:rPr>
        <w:t>Nanofertilizer</w:t>
      </w:r>
      <w:proofErr w:type="spellEnd"/>
      <w:r w:rsidRPr="00C952BC">
        <w:rPr>
          <w:rFonts w:ascii="Times New Roman" w:eastAsia="Times New Roman" w:hAnsi="Times New Roman" w:cs="Times New Roman"/>
          <w:sz w:val="20"/>
          <w:szCs w:val="20"/>
          <w:highlight w:val="yellow"/>
        </w:rPr>
        <w:t xml:space="preserve"> use for sustainable agriculture: advantages and Limitations. </w:t>
      </w:r>
      <w:r w:rsidRPr="00C952BC">
        <w:rPr>
          <w:rFonts w:ascii="Times New Roman" w:eastAsia="Times New Roman" w:hAnsi="Times New Roman" w:cs="Times New Roman"/>
          <w:i/>
          <w:iCs/>
          <w:sz w:val="20"/>
          <w:szCs w:val="20"/>
          <w:highlight w:val="yellow"/>
        </w:rPr>
        <w:t xml:space="preserve">Plant Science </w:t>
      </w:r>
      <w:r w:rsidRPr="00C952BC">
        <w:rPr>
          <w:rFonts w:ascii="Times New Roman" w:eastAsia="Times New Roman" w:hAnsi="Times New Roman" w:cs="Times New Roman"/>
          <w:sz w:val="20"/>
          <w:szCs w:val="20"/>
          <w:highlight w:val="yellow"/>
        </w:rPr>
        <w:t>289</w:t>
      </w:r>
      <w:r w:rsidRPr="00C952BC">
        <w:rPr>
          <w:rFonts w:ascii="Times New Roman" w:eastAsia="Times New Roman" w:hAnsi="Times New Roman" w:cs="Times New Roman"/>
          <w:i/>
          <w:iCs/>
          <w:sz w:val="20"/>
          <w:szCs w:val="20"/>
          <w:highlight w:val="yellow"/>
        </w:rPr>
        <w:t xml:space="preserve">: </w:t>
      </w:r>
      <w:r w:rsidRPr="00C952BC">
        <w:rPr>
          <w:rFonts w:ascii="Times New Roman" w:eastAsia="Times New Roman" w:hAnsi="Times New Roman" w:cs="Times New Roman"/>
          <w:sz w:val="20"/>
          <w:szCs w:val="20"/>
          <w:highlight w:val="yellow"/>
        </w:rPr>
        <w:t>110270.</w:t>
      </w:r>
    </w:p>
    <w:sectPr w:rsidR="00F44DF0">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98888E" w14:textId="77777777" w:rsidR="00AB3F7D" w:rsidRDefault="00AB3F7D" w:rsidP="00163699">
      <w:pPr>
        <w:spacing w:after="0" w:line="240" w:lineRule="auto"/>
      </w:pPr>
      <w:r>
        <w:separator/>
      </w:r>
    </w:p>
  </w:endnote>
  <w:endnote w:type="continuationSeparator" w:id="0">
    <w:p w14:paraId="3418A8DA" w14:textId="77777777" w:rsidR="00AB3F7D" w:rsidRDefault="00AB3F7D" w:rsidP="00163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57BF6F0-D73B-49FD-A657-9034374BAAA0}"/>
    <w:embedBold r:id="rId2" w:fontKey="{3D0AECF1-7EE6-4EFD-A944-09FBCE592F43}"/>
    <w:embedItalic r:id="rId3" w:fontKey="{C3E87B53-9B18-4C8B-9B7F-7A0BAB92A613}"/>
    <w:embedBoldItalic r:id="rId4" w:fontKey="{4D09DF78-000E-4704-BA30-935F2E626243}"/>
  </w:font>
  <w:font w:name="Georgia">
    <w:panose1 w:val="02040502050405020303"/>
    <w:charset w:val="00"/>
    <w:family w:val="roman"/>
    <w:pitch w:val="variable"/>
    <w:sig w:usb0="00000287" w:usb1="00000000" w:usb2="00000000" w:usb3="00000000" w:csb0="0000009F" w:csb1="00000000"/>
    <w:embedItalic r:id="rId5" w:fontKey="{5EE17BE1-AA25-4D1B-97BD-CE1D10B769F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embedRegular r:id="rId6" w:fontKey="{719ACE13-410D-4F6A-A198-95623A69E849}"/>
  </w:font>
  <w:font w:name="Cambria">
    <w:panose1 w:val="02040503050406030204"/>
    <w:charset w:val="00"/>
    <w:family w:val="roman"/>
    <w:pitch w:val="variable"/>
    <w:sig w:usb0="E00006FF" w:usb1="420024FF" w:usb2="02000000" w:usb3="00000000" w:csb0="0000019F" w:csb1="00000000"/>
    <w:embedRegular r:id="rId7" w:fontKey="{DDCC6143-A9A0-4285-93A0-A87C0E64AE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D386C" w14:textId="77777777" w:rsidR="00163699" w:rsidRDefault="001636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D97B0" w14:textId="77777777" w:rsidR="00163699" w:rsidRDefault="001636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15D4A" w14:textId="77777777" w:rsidR="00163699" w:rsidRDefault="001636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EE0152" w14:textId="77777777" w:rsidR="00AB3F7D" w:rsidRDefault="00AB3F7D" w:rsidP="00163699">
      <w:pPr>
        <w:spacing w:after="0" w:line="240" w:lineRule="auto"/>
      </w:pPr>
      <w:r>
        <w:separator/>
      </w:r>
    </w:p>
  </w:footnote>
  <w:footnote w:type="continuationSeparator" w:id="0">
    <w:p w14:paraId="7A7DF3D2" w14:textId="77777777" w:rsidR="00AB3F7D" w:rsidRDefault="00AB3F7D" w:rsidP="001636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101CB" w14:textId="3DEC657B" w:rsidR="00163699" w:rsidRDefault="00AB3F7D">
    <w:pPr>
      <w:pStyle w:val="Header"/>
    </w:pPr>
    <w:r>
      <w:rPr>
        <w:noProof/>
      </w:rPr>
      <w:pict w14:anchorId="2EBDAE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37489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33BF2" w14:textId="7A19C3B4" w:rsidR="00163699" w:rsidRDefault="00AB3F7D">
    <w:pPr>
      <w:pStyle w:val="Header"/>
    </w:pPr>
    <w:r>
      <w:rPr>
        <w:noProof/>
      </w:rPr>
      <w:pict w14:anchorId="0E0893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37489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439C1" w14:textId="7479D954" w:rsidR="00163699" w:rsidRDefault="00AB3F7D">
    <w:pPr>
      <w:pStyle w:val="Header"/>
    </w:pPr>
    <w:r>
      <w:rPr>
        <w:noProof/>
      </w:rPr>
      <w:pict w14:anchorId="4558A3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37489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7E60CD"/>
    <w:multiLevelType w:val="multilevel"/>
    <w:tmpl w:val="A66ADF9A"/>
    <w:lvl w:ilvl="0">
      <w:start w:val="1"/>
      <w:numFmt w:val="low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30C196C"/>
    <w:multiLevelType w:val="multilevel"/>
    <w:tmpl w:val="CE88DC4E"/>
    <w:lvl w:ilvl="0">
      <w:start w:val="1"/>
      <w:numFmt w:val="lowerRoman"/>
      <w:lvlText w:val="%1."/>
      <w:lvlJc w:val="left"/>
      <w:pPr>
        <w:ind w:left="720" w:hanging="360"/>
      </w:pPr>
      <w:rPr>
        <w:rFonts w:ascii="Times New Roman" w:eastAsia="Times New Roman" w:hAnsi="Times New Roman" w:cs="Times New Roman"/>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F040116"/>
    <w:multiLevelType w:val="multilevel"/>
    <w:tmpl w:val="AB382EC0"/>
    <w:lvl w:ilvl="0">
      <w:start w:val="2"/>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D98"/>
    <w:rsid w:val="00030B54"/>
    <w:rsid w:val="00076D98"/>
    <w:rsid w:val="000C7813"/>
    <w:rsid w:val="000E6FA0"/>
    <w:rsid w:val="00163699"/>
    <w:rsid w:val="002145DD"/>
    <w:rsid w:val="00225341"/>
    <w:rsid w:val="002919E8"/>
    <w:rsid w:val="002E597A"/>
    <w:rsid w:val="003915A2"/>
    <w:rsid w:val="003E693D"/>
    <w:rsid w:val="00563158"/>
    <w:rsid w:val="005D0B98"/>
    <w:rsid w:val="005F12C2"/>
    <w:rsid w:val="006A7730"/>
    <w:rsid w:val="006C7602"/>
    <w:rsid w:val="006F77AE"/>
    <w:rsid w:val="0089202F"/>
    <w:rsid w:val="009F0F2B"/>
    <w:rsid w:val="009F1693"/>
    <w:rsid w:val="00AB3F7D"/>
    <w:rsid w:val="00C952BC"/>
    <w:rsid w:val="00D33BEA"/>
    <w:rsid w:val="00DB2E21"/>
    <w:rsid w:val="00DD3DBB"/>
    <w:rsid w:val="00F2450A"/>
    <w:rsid w:val="00F44DF0"/>
    <w:rsid w:val="00F5625B"/>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DA888E"/>
  <w15:docId w15:val="{D98BD61C-39CB-45B4-9C2C-D70EBB607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widowControl w:val="0"/>
      <w:spacing w:after="0" w:line="240" w:lineRule="auto"/>
      <w:ind w:left="1866" w:hanging="387"/>
      <w:outlineLvl w:val="1"/>
    </w:pPr>
    <w:rPr>
      <w:rFonts w:ascii="Times New Roman" w:eastAsia="Times New Roman" w:hAnsi="Times New Roman" w:cs="Times New Roman"/>
      <w:b/>
      <w:bCs/>
    </w:rPr>
  </w:style>
  <w:style w:type="paragraph" w:styleId="Heading3">
    <w:name w:val="heading 3"/>
    <w:basedOn w:val="Normal"/>
    <w:next w:val="Normal"/>
    <w:uiPriority w:val="9"/>
    <w:semiHidden/>
    <w:unhideWhenUsed/>
    <w:qFormat/>
    <w:pPr>
      <w:widowControl w:val="0"/>
      <w:spacing w:before="1" w:after="0" w:line="240" w:lineRule="auto"/>
      <w:ind w:left="2032" w:hanging="553"/>
      <w:outlineLvl w:val="2"/>
    </w:pPr>
    <w:rPr>
      <w:rFonts w:ascii="Times New Roman" w:eastAsia="Times New Roman" w:hAnsi="Times New Roman" w:cs="Times New Roman"/>
      <w:b/>
      <w:bCs/>
      <w:i/>
      <w:i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1636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3699"/>
  </w:style>
  <w:style w:type="paragraph" w:styleId="Footer">
    <w:name w:val="footer"/>
    <w:basedOn w:val="Normal"/>
    <w:link w:val="FooterChar"/>
    <w:uiPriority w:val="99"/>
    <w:unhideWhenUsed/>
    <w:rsid w:val="001636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3699"/>
  </w:style>
  <w:style w:type="character" w:styleId="Hyperlink">
    <w:name w:val="Hyperlink"/>
    <w:basedOn w:val="DefaultParagraphFont"/>
    <w:uiPriority w:val="99"/>
    <w:unhideWhenUsed/>
    <w:rsid w:val="000E6FA0"/>
    <w:rPr>
      <w:color w:val="0000FF" w:themeColor="hyperlink"/>
      <w:u w:val="single"/>
    </w:rPr>
  </w:style>
  <w:style w:type="character" w:customStyle="1" w:styleId="UnresolvedMention1">
    <w:name w:val="Unresolved Mention1"/>
    <w:basedOn w:val="DefaultParagraphFont"/>
    <w:uiPriority w:val="99"/>
    <w:semiHidden/>
    <w:unhideWhenUsed/>
    <w:rsid w:val="000E6FA0"/>
    <w:rPr>
      <w:color w:val="605E5C"/>
      <w:shd w:val="clear" w:color="auto" w:fill="E1DFDD"/>
    </w:rPr>
  </w:style>
  <w:style w:type="paragraph" w:customStyle="1" w:styleId="isselectedend">
    <w:name w:val="isselectedend"/>
    <w:basedOn w:val="Normal"/>
    <w:rsid w:val="00F2450A"/>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paragraph" w:styleId="NormalWeb">
    <w:name w:val="Normal (Web)"/>
    <w:basedOn w:val="Normal"/>
    <w:uiPriority w:val="99"/>
    <w:semiHidden/>
    <w:unhideWhenUsed/>
    <w:rsid w:val="00F2450A"/>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character" w:styleId="Strong">
    <w:name w:val="Strong"/>
    <w:basedOn w:val="DefaultParagraphFont"/>
    <w:uiPriority w:val="22"/>
    <w:qFormat/>
    <w:rsid w:val="00F2450A"/>
    <w:rPr>
      <w:b/>
      <w:bCs/>
    </w:rPr>
  </w:style>
  <w:style w:type="paragraph" w:styleId="NoSpacing">
    <w:name w:val="No Spacing"/>
    <w:uiPriority w:val="1"/>
    <w:qFormat/>
    <w:rsid w:val="00F2450A"/>
    <w:pPr>
      <w:spacing w:after="0" w:line="240" w:lineRule="auto"/>
    </w:pPr>
  </w:style>
  <w:style w:type="table" w:styleId="TableGrid">
    <w:name w:val="Table Grid"/>
    <w:basedOn w:val="TableNormal"/>
    <w:uiPriority w:val="39"/>
    <w:rsid w:val="006A77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178086">
      <w:bodyDiv w:val="1"/>
      <w:marLeft w:val="0"/>
      <w:marRight w:val="0"/>
      <w:marTop w:val="0"/>
      <w:marBottom w:val="0"/>
      <w:divBdr>
        <w:top w:val="none" w:sz="0" w:space="0" w:color="auto"/>
        <w:left w:val="none" w:sz="0" w:space="0" w:color="auto"/>
        <w:bottom w:val="none" w:sz="0" w:space="0" w:color="auto"/>
        <w:right w:val="none" w:sz="0" w:space="0" w:color="auto"/>
      </w:divBdr>
    </w:div>
    <w:div w:id="443498694">
      <w:bodyDiv w:val="1"/>
      <w:marLeft w:val="0"/>
      <w:marRight w:val="0"/>
      <w:marTop w:val="0"/>
      <w:marBottom w:val="0"/>
      <w:divBdr>
        <w:top w:val="none" w:sz="0" w:space="0" w:color="auto"/>
        <w:left w:val="none" w:sz="0" w:space="0" w:color="auto"/>
        <w:bottom w:val="none" w:sz="0" w:space="0" w:color="auto"/>
        <w:right w:val="none" w:sz="0" w:space="0" w:color="auto"/>
      </w:divBdr>
    </w:div>
    <w:div w:id="550119366">
      <w:bodyDiv w:val="1"/>
      <w:marLeft w:val="0"/>
      <w:marRight w:val="0"/>
      <w:marTop w:val="0"/>
      <w:marBottom w:val="0"/>
      <w:divBdr>
        <w:top w:val="none" w:sz="0" w:space="0" w:color="auto"/>
        <w:left w:val="none" w:sz="0" w:space="0" w:color="auto"/>
        <w:bottom w:val="none" w:sz="0" w:space="0" w:color="auto"/>
        <w:right w:val="none" w:sz="0" w:space="0" w:color="auto"/>
      </w:divBdr>
    </w:div>
    <w:div w:id="776565037">
      <w:bodyDiv w:val="1"/>
      <w:marLeft w:val="0"/>
      <w:marRight w:val="0"/>
      <w:marTop w:val="0"/>
      <w:marBottom w:val="0"/>
      <w:divBdr>
        <w:top w:val="none" w:sz="0" w:space="0" w:color="auto"/>
        <w:left w:val="none" w:sz="0" w:space="0" w:color="auto"/>
        <w:bottom w:val="none" w:sz="0" w:space="0" w:color="auto"/>
        <w:right w:val="none" w:sz="0" w:space="0" w:color="auto"/>
      </w:divBdr>
    </w:div>
    <w:div w:id="1013920713">
      <w:bodyDiv w:val="1"/>
      <w:marLeft w:val="0"/>
      <w:marRight w:val="0"/>
      <w:marTop w:val="0"/>
      <w:marBottom w:val="0"/>
      <w:divBdr>
        <w:top w:val="none" w:sz="0" w:space="0" w:color="auto"/>
        <w:left w:val="none" w:sz="0" w:space="0" w:color="auto"/>
        <w:bottom w:val="none" w:sz="0" w:space="0" w:color="auto"/>
        <w:right w:val="none" w:sz="0" w:space="0" w:color="auto"/>
      </w:divBdr>
    </w:div>
    <w:div w:id="1168641008">
      <w:bodyDiv w:val="1"/>
      <w:marLeft w:val="0"/>
      <w:marRight w:val="0"/>
      <w:marTop w:val="0"/>
      <w:marBottom w:val="0"/>
      <w:divBdr>
        <w:top w:val="none" w:sz="0" w:space="0" w:color="auto"/>
        <w:left w:val="none" w:sz="0" w:space="0" w:color="auto"/>
        <w:bottom w:val="none" w:sz="0" w:space="0" w:color="auto"/>
        <w:right w:val="none" w:sz="0" w:space="0" w:color="auto"/>
      </w:divBdr>
    </w:div>
    <w:div w:id="1438790092">
      <w:bodyDiv w:val="1"/>
      <w:marLeft w:val="0"/>
      <w:marRight w:val="0"/>
      <w:marTop w:val="0"/>
      <w:marBottom w:val="0"/>
      <w:divBdr>
        <w:top w:val="none" w:sz="0" w:space="0" w:color="auto"/>
        <w:left w:val="none" w:sz="0" w:space="0" w:color="auto"/>
        <w:bottom w:val="none" w:sz="0" w:space="0" w:color="auto"/>
        <w:right w:val="none" w:sz="0" w:space="0" w:color="auto"/>
      </w:divBdr>
    </w:div>
    <w:div w:id="1459956181">
      <w:bodyDiv w:val="1"/>
      <w:marLeft w:val="0"/>
      <w:marRight w:val="0"/>
      <w:marTop w:val="0"/>
      <w:marBottom w:val="0"/>
      <w:divBdr>
        <w:top w:val="none" w:sz="0" w:space="0" w:color="auto"/>
        <w:left w:val="none" w:sz="0" w:space="0" w:color="auto"/>
        <w:bottom w:val="none" w:sz="0" w:space="0" w:color="auto"/>
        <w:right w:val="none" w:sz="0" w:space="0" w:color="auto"/>
      </w:divBdr>
    </w:div>
    <w:div w:id="1858081335">
      <w:bodyDiv w:val="1"/>
      <w:marLeft w:val="0"/>
      <w:marRight w:val="0"/>
      <w:marTop w:val="0"/>
      <w:marBottom w:val="0"/>
      <w:divBdr>
        <w:top w:val="none" w:sz="0" w:space="0" w:color="auto"/>
        <w:left w:val="none" w:sz="0" w:space="0" w:color="auto"/>
        <w:bottom w:val="none" w:sz="0" w:space="0" w:color="auto"/>
        <w:right w:val="none" w:sz="0" w:space="0" w:color="auto"/>
      </w:divBdr>
    </w:div>
    <w:div w:id="20502531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efhub.elsevier.com/S0168-3659(20)30750-1/rf0205"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refhub.elsevier.com/S0168-3659(20)30750-1/rf0205"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refhub.elsevier.com/S0168-3659(20)30750-1/rf0205"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11</Pages>
  <Words>5829</Words>
  <Characters>33231</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1186</cp:lastModifiedBy>
  <cp:revision>20</cp:revision>
  <dcterms:created xsi:type="dcterms:W3CDTF">2026-04-15T04:20:00Z</dcterms:created>
  <dcterms:modified xsi:type="dcterms:W3CDTF">2026-04-21T06:49:00Z</dcterms:modified>
</cp:coreProperties>
</file>