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4F" w:rsidRDefault="006E72F2" w:rsidP="00C83F4F">
      <w:pPr>
        <w:spacing w:line="360" w:lineRule="auto"/>
        <w:jc w:val="center"/>
        <w:rPr>
          <w:rFonts w:ascii="Times New Roman" w:eastAsia="SimSun" w:hAnsi="Times New Roman" w:cs="Times New Roman"/>
          <w:sz w:val="40"/>
          <w:szCs w:val="40"/>
        </w:rPr>
      </w:pPr>
      <w:r w:rsidRPr="006E72F2">
        <w:rPr>
          <w:rStyle w:val="Emphasis"/>
          <w:rFonts w:ascii="Times New Roman" w:eastAsia="Arial Unicode MS" w:hAnsi="Times New Roman" w:cs="Times New Roman"/>
          <w:b/>
          <w:i w:val="0"/>
          <w:sz w:val="40"/>
          <w:szCs w:val="40"/>
        </w:rPr>
        <w:t>Floristic Diversity and Composition of Urban</w:t>
      </w:r>
      <w:r w:rsidRPr="006E72F2">
        <w:rPr>
          <w:rStyle w:val="Emphasis"/>
          <w:rFonts w:ascii="Times New Roman" w:eastAsia="Arial Unicode MS" w:hAnsi="Times New Roman" w:cs="Times New Roman"/>
          <w:i w:val="0"/>
          <w:sz w:val="40"/>
          <w:szCs w:val="40"/>
        </w:rPr>
        <w:t xml:space="preserve"> </w:t>
      </w:r>
      <w:r w:rsidRPr="006E72F2">
        <w:rPr>
          <w:rStyle w:val="Emphasis"/>
          <w:rFonts w:ascii="Times New Roman" w:eastAsia="Arial Unicode MS" w:hAnsi="Times New Roman" w:cs="Times New Roman"/>
          <w:b/>
          <w:i w:val="0"/>
          <w:sz w:val="40"/>
          <w:szCs w:val="40"/>
        </w:rPr>
        <w:t>Forest Trees</w:t>
      </w:r>
      <w:r w:rsidR="00C83F4F" w:rsidRPr="006E72F2">
        <w:rPr>
          <w:rFonts w:ascii="Times New Roman" w:eastAsia="SimSun" w:hAnsi="Times New Roman" w:cs="Times New Roman"/>
          <w:b/>
          <w:bCs/>
          <w:i/>
          <w:sz w:val="40"/>
          <w:szCs w:val="40"/>
        </w:rPr>
        <w:t xml:space="preserve"> </w:t>
      </w:r>
      <w:r w:rsidR="00C83F4F" w:rsidRPr="006E72F2">
        <w:rPr>
          <w:rFonts w:ascii="Times New Roman" w:eastAsia="SimSun" w:hAnsi="Times New Roman" w:cs="Times New Roman"/>
          <w:b/>
          <w:bCs/>
          <w:sz w:val="40"/>
          <w:szCs w:val="40"/>
        </w:rPr>
        <w:t>in</w:t>
      </w:r>
      <w:r w:rsidR="00C83F4F">
        <w:rPr>
          <w:rFonts w:ascii="Times New Roman" w:eastAsia="SimSun" w:hAnsi="Times New Roman" w:cs="Times New Roman"/>
          <w:b/>
          <w:bCs/>
          <w:sz w:val="40"/>
          <w:szCs w:val="40"/>
        </w:rPr>
        <w:t xml:space="preserve"> Kano Metropolis, Nigeria</w:t>
      </w:r>
    </w:p>
    <w:p w:rsidR="00C83F4F" w:rsidRDefault="00C83F4F" w:rsidP="00C83F4F">
      <w:pPr>
        <w:spacing w:line="360" w:lineRule="auto"/>
        <w:jc w:val="center"/>
        <w:rPr>
          <w:rFonts w:ascii="Times New Roman" w:hAnsi="Times New Roman" w:cs="Times New Roman"/>
          <w:bCs/>
          <w:sz w:val="24"/>
          <w:szCs w:val="24"/>
        </w:rPr>
      </w:pPr>
    </w:p>
    <w:p w:rsidR="00C83F4F" w:rsidRDefault="00C83F4F" w:rsidP="00C83F4F">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DE1C0A" w:rsidRPr="00A25B80" w:rsidRDefault="00C83F4F" w:rsidP="00DE1C0A">
      <w:pPr>
        <w:rPr>
          <w:rFonts w:ascii="Times New Roman" w:hAnsi="Times New Roman" w:cs="Times New Roman"/>
          <w:sz w:val="24"/>
          <w:szCs w:val="24"/>
        </w:rPr>
      </w:pPr>
      <w:r w:rsidRPr="00A25B80">
        <w:rPr>
          <w:rFonts w:ascii="Times New Roman" w:hAnsi="Times New Roman" w:cs="Times New Roman"/>
          <w:sz w:val="24"/>
          <w:szCs w:val="24"/>
        </w:rPr>
        <w:t xml:space="preserve">This study evaluates the species composition and diversity of urban trees in Kano Metropolis, Northern Nigeria, with emphasis on their ecological structure and distribution. </w:t>
      </w:r>
      <w:r w:rsidR="00DE1C0A" w:rsidRPr="00A25B80">
        <w:rPr>
          <w:rFonts w:ascii="Times New Roman" w:hAnsi="Times New Roman" w:cs="Times New Roman"/>
          <w:sz w:val="24"/>
          <w:szCs w:val="24"/>
        </w:rPr>
        <w:t>A systematic vegetation survey was conducted across 15 representative urban sites using quadrats and transect sampling techniques. All trees with a diameter at breast height (DBH) ≥10 cm were identified to species level, and their abundance, frequency, and dominance were recorded. Diversity indices, including Shannon–Wiener, Simpson, and Evenness indices, were computed to evaluate floristic diversity, while species composition patterns were analyzed using importance value indices (IVI).</w:t>
      </w:r>
    </w:p>
    <w:p w:rsidR="00C83F4F" w:rsidRDefault="00C83F4F" w:rsidP="00443AC4">
      <w:pPr>
        <w:rPr>
          <w:rFonts w:ascii="Times New Roman" w:hAnsi="Times New Roman" w:cs="Times New Roman"/>
          <w:sz w:val="24"/>
          <w:szCs w:val="24"/>
        </w:rPr>
      </w:pPr>
      <w:r w:rsidRPr="00C867FB">
        <w:rPr>
          <w:rFonts w:ascii="Times New Roman" w:hAnsi="Times New Roman" w:cs="Times New Roman"/>
          <w:sz w:val="24"/>
          <w:szCs w:val="24"/>
        </w:rPr>
        <w:t xml:space="preserve">A field inventory of all trees with diameter at breast height (DBH) ≥ 10 cm was conducted across selected urban locations. Tree species were identified and measured, and diversity was assessed using Shannon–Wiener and Simpson indices. A total of 1,144 individual trees belonging to 15 families were recorded, comprising both native and exotic species. </w:t>
      </w:r>
      <w:r w:rsidR="00DE1C0A" w:rsidRPr="00C867FB">
        <w:rPr>
          <w:rFonts w:ascii="Times New Roman" w:hAnsi="Times New Roman" w:cs="Times New Roman"/>
          <w:sz w:val="24"/>
          <w:szCs w:val="24"/>
        </w:rPr>
        <w:t>Shannon–Wiene</w:t>
      </w:r>
      <w:r w:rsidR="000D2F40">
        <w:rPr>
          <w:rFonts w:ascii="Times New Roman" w:hAnsi="Times New Roman" w:cs="Times New Roman"/>
          <w:sz w:val="24"/>
          <w:szCs w:val="24"/>
        </w:rPr>
        <w:t>r diversity values ranged from 1.07</w:t>
      </w:r>
      <w:r w:rsidR="00DE1C0A" w:rsidRPr="00C867FB">
        <w:rPr>
          <w:rFonts w:ascii="Times New Roman" w:hAnsi="Times New Roman" w:cs="Times New Roman"/>
          <w:sz w:val="24"/>
          <w:szCs w:val="24"/>
        </w:rPr>
        <w:t>–</w:t>
      </w:r>
      <w:r w:rsidR="000D2F40">
        <w:rPr>
          <w:rFonts w:ascii="Times New Roman" w:hAnsi="Times New Roman" w:cs="Times New Roman"/>
          <w:sz w:val="24"/>
          <w:szCs w:val="24"/>
        </w:rPr>
        <w:t>2.36</w:t>
      </w:r>
      <w:r w:rsidR="00DE1C0A" w:rsidRPr="00C867FB">
        <w:rPr>
          <w:rFonts w:ascii="Times New Roman" w:hAnsi="Times New Roman" w:cs="Times New Roman"/>
          <w:sz w:val="24"/>
          <w:szCs w:val="24"/>
        </w:rPr>
        <w:t xml:space="preserve">, indicating moderate species diversity across sites, while species evenness was generally low, reflecting dominance by a few cultivated or exotic species. </w:t>
      </w:r>
      <w:r w:rsidRPr="00C867FB">
        <w:rPr>
          <w:rFonts w:ascii="Times New Roman" w:hAnsi="Times New Roman" w:cs="Times New Roman"/>
          <w:sz w:val="24"/>
          <w:szCs w:val="24"/>
        </w:rPr>
        <w:t xml:space="preserve">The results revealed variations in species abundance and distribution, with </w:t>
      </w:r>
      <w:r w:rsidRPr="00C867FB">
        <w:rPr>
          <w:rFonts w:ascii="Times New Roman" w:hAnsi="Times New Roman" w:cs="Times New Roman"/>
          <w:i/>
          <w:sz w:val="24"/>
          <w:szCs w:val="24"/>
        </w:rPr>
        <w:t>Azadirachta indica</w:t>
      </w:r>
      <w:r w:rsidRPr="00C867FB">
        <w:rPr>
          <w:rFonts w:ascii="Times New Roman" w:hAnsi="Times New Roman" w:cs="Times New Roman"/>
          <w:sz w:val="24"/>
          <w:szCs w:val="24"/>
        </w:rPr>
        <w:t xml:space="preserve"> being the most dominant species, while </w:t>
      </w:r>
      <w:r w:rsidRPr="00C867FB">
        <w:rPr>
          <w:rFonts w:ascii="Times New Roman" w:hAnsi="Times New Roman" w:cs="Times New Roman"/>
          <w:i/>
          <w:sz w:val="24"/>
          <w:szCs w:val="24"/>
        </w:rPr>
        <w:t>Ficus platyphylla</w:t>
      </w:r>
      <w:r w:rsidRPr="00C867FB">
        <w:rPr>
          <w:rFonts w:ascii="Times New Roman" w:hAnsi="Times New Roman" w:cs="Times New Roman"/>
          <w:sz w:val="24"/>
          <w:szCs w:val="24"/>
        </w:rPr>
        <w:t xml:space="preserve">, </w:t>
      </w:r>
      <w:r w:rsidRPr="00C867FB">
        <w:rPr>
          <w:rFonts w:ascii="Times New Roman" w:hAnsi="Times New Roman" w:cs="Times New Roman"/>
          <w:i/>
          <w:sz w:val="24"/>
          <w:szCs w:val="24"/>
        </w:rPr>
        <w:t>Balanites aegyptiaca</w:t>
      </w:r>
      <w:r w:rsidRPr="00C867FB">
        <w:rPr>
          <w:rFonts w:ascii="Times New Roman" w:hAnsi="Times New Roman" w:cs="Times New Roman"/>
          <w:sz w:val="24"/>
          <w:szCs w:val="24"/>
        </w:rPr>
        <w:t xml:space="preserve">, and </w:t>
      </w:r>
      <w:r w:rsidRPr="00C867FB">
        <w:rPr>
          <w:rFonts w:ascii="Times New Roman" w:hAnsi="Times New Roman" w:cs="Times New Roman"/>
          <w:i/>
          <w:sz w:val="24"/>
          <w:szCs w:val="24"/>
        </w:rPr>
        <w:t>Acacia seyal</w:t>
      </w:r>
      <w:r w:rsidRPr="00C867FB">
        <w:rPr>
          <w:rFonts w:ascii="Times New Roman" w:hAnsi="Times New Roman" w:cs="Times New Roman"/>
          <w:sz w:val="24"/>
          <w:szCs w:val="24"/>
        </w:rPr>
        <w:t xml:space="preserve"> were among the least represented. Diversity indices indicated moderate species diversity within the study area. </w:t>
      </w:r>
      <w:r w:rsidR="00DE1C0A" w:rsidRPr="00C867FB">
        <w:rPr>
          <w:rFonts w:ascii="Times New Roman" w:hAnsi="Times New Roman" w:cs="Times New Roman"/>
          <w:sz w:val="24"/>
          <w:szCs w:val="24"/>
        </w:rPr>
        <w:t xml:space="preserve">The study highlights the heterogeneity of urban forest structure in Kano Metropolis and emphasizes the need for strategic </w:t>
      </w:r>
      <w:r w:rsidR="0099722F" w:rsidRPr="00C867FB">
        <w:rPr>
          <w:rFonts w:ascii="Times New Roman" w:hAnsi="Times New Roman" w:cs="Times New Roman"/>
          <w:sz w:val="24"/>
          <w:szCs w:val="24"/>
        </w:rPr>
        <w:t>planning</w:t>
      </w:r>
      <w:r w:rsidR="00DE1C0A" w:rsidRPr="00C867FB">
        <w:rPr>
          <w:rFonts w:ascii="Times New Roman" w:hAnsi="Times New Roman" w:cs="Times New Roman"/>
          <w:sz w:val="24"/>
          <w:szCs w:val="24"/>
        </w:rPr>
        <w:t xml:space="preserve"> and conservation of indigenous species to enhance urban biodiversity and resilience. Findings provide a baseline for urban forestry planning and management, contributing to sustainable urban green space development in rapidly expanding Nigerian cities.</w:t>
      </w:r>
    </w:p>
    <w:p w:rsidR="00443AC4" w:rsidRDefault="00443AC4" w:rsidP="00443AC4">
      <w:pPr>
        <w:rPr>
          <w:rFonts w:ascii="Times New Roman" w:hAnsi="Times New Roman" w:cs="Times New Roman"/>
          <w:sz w:val="24"/>
          <w:szCs w:val="24"/>
        </w:rPr>
      </w:pPr>
    </w:p>
    <w:p w:rsidR="00DE1C0A" w:rsidRPr="00C867FB" w:rsidRDefault="00DE1C0A" w:rsidP="00DE1C0A">
      <w:pPr>
        <w:rPr>
          <w:rFonts w:ascii="Times New Roman" w:hAnsi="Times New Roman" w:cs="Times New Roman"/>
          <w:sz w:val="24"/>
          <w:szCs w:val="24"/>
        </w:rPr>
      </w:pPr>
      <w:r w:rsidRPr="00C867FB">
        <w:rPr>
          <w:rFonts w:ascii="Times New Roman" w:hAnsi="Times New Roman" w:cs="Times New Roman"/>
          <w:sz w:val="24"/>
          <w:szCs w:val="24"/>
        </w:rPr>
        <w:t>Keywords: Urban forest, Floristic diversity, Species composition, Shannon–Wiener index, Kano Metropolis, Nigeria</w:t>
      </w:r>
    </w:p>
    <w:p w:rsidR="00C83F4F" w:rsidRDefault="00C83F4F" w:rsidP="00C83F4F">
      <w:pPr>
        <w:spacing w:line="360" w:lineRule="auto"/>
        <w:rPr>
          <w:rFonts w:ascii="Times New Roman" w:hAnsi="Times New Roman" w:cs="Times New Roman"/>
          <w:sz w:val="24"/>
          <w:szCs w:val="24"/>
        </w:rPr>
      </w:pPr>
    </w:p>
    <w:p w:rsidR="00C83F4F" w:rsidRDefault="00C83F4F" w:rsidP="00C83F4F">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8B6868" w:rsidRPr="00C867FB" w:rsidRDefault="008B6868" w:rsidP="00DE1C0A">
      <w:pPr>
        <w:autoSpaceDE w:val="0"/>
        <w:autoSpaceDN w:val="0"/>
        <w:adjustRightInd w:val="0"/>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 xml:space="preserve">Urban forests, comprising all trees within city landscapes, play a crucial role in maintaining ecological balance, enhancing environmental quality, and supporting biodiversity within urban environments (Nowak et al., 2010). In ecological research, floristic diversity and species composition are fundamental metrics used to evaluate the structural and functional attributes of vegetation communities (Magurran, 2013). Urban areas in </w:t>
      </w:r>
      <w:r w:rsidR="00280596" w:rsidRPr="00C867FB">
        <w:rPr>
          <w:rFonts w:ascii="Times New Roman" w:hAnsi="Times New Roman" w:cs="Times New Roman"/>
          <w:sz w:val="24"/>
          <w:szCs w:val="24"/>
        </w:rPr>
        <w:t>sub-Saharan</w:t>
      </w:r>
      <w:r w:rsidRPr="00C867FB">
        <w:rPr>
          <w:rFonts w:ascii="Times New Roman" w:hAnsi="Times New Roman" w:cs="Times New Roman"/>
          <w:sz w:val="24"/>
          <w:szCs w:val="24"/>
        </w:rPr>
        <w:t xml:space="preserve"> Africa are experiencing rapid growth, resulting in substantial changes in land use and vegetation cover (UN‑Habitat, 2020). Nigeria, one of Africa’s most populous countries, is no exception; rapid urbanization has contributed to extensive transformation of natural landscapes, often at the expense of vegetative cover within metropolitan areas (Adeniyi et al., 2018).</w:t>
      </w:r>
    </w:p>
    <w:p w:rsidR="008B6868" w:rsidRPr="00C867FB" w:rsidRDefault="00D335D6"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C</w:t>
      </w:r>
      <w:r w:rsidR="008B6868" w:rsidRPr="00C867FB">
        <w:rPr>
          <w:rFonts w:ascii="Times New Roman" w:hAnsi="Times New Roman" w:cs="Times New Roman"/>
          <w:sz w:val="24"/>
          <w:szCs w:val="24"/>
        </w:rPr>
        <w:t>omprehensive studies on tree species diversity and composition within many Nigerian cities remain limited, especially in northern regions where ecological data on urban trees are scarce. Studies conducted in North‑Western Nigeria report significant variation in urban tree composition and diversity, with some cities dominated by a few species and a mix of native and exotic trees, underscoring the need for location‑specific inventories (Dangulla et al., 2020). These assessments provide valuable baseline data but highlight gaps in our understanding of urban floristics in northern Nigerian metropolises, including Kano.</w:t>
      </w:r>
    </w:p>
    <w:p w:rsidR="00D335D6" w:rsidRPr="00C867FB" w:rsidRDefault="00D335D6"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Despite the ecological importance of urban trees, studies on floristic diversity and species composition in many rapidly urbanizing Nigerian cities remain limited. Research in cities such as Lagos and Ibadan has provided baseline information on urban tree inventories and vegetation patterns (Adeniji et al., 2015; Faluyi, 2012), but there is a paucity of comprehensive studies focused on Kano Metropolis, a major urban center in northern Nigeria. Kano’s unique socio‑ecological environment — characterized by a semi‑arid climate, high population density, and diverse land‑use patterns — presents distinct challenges and opportunities for urban forest development (Aliyu &amp; Amadu, 2015). Thus, assessing the floristic composition and diversity of urban forest trees in this region is essential for understanding how urbanization influences tree species assemblages and for supporting biodiversity conservation strategies.</w:t>
      </w:r>
    </w:p>
    <w:p w:rsidR="007A636A" w:rsidRPr="00C867FB" w:rsidRDefault="00D335D6"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lastRenderedPageBreak/>
        <w:t>Studies in other regions have shown that urban forest diversity is shaped by a combination of ecological factors and human influences, including planting preferences, management practices, and historical land use (Kendal et al., 2012; Conway et al., 2018). Floristic assessments in cities such as Nairobi, Kenya (Okelo et al., 2012), and Accra, Ghana (Gomez et al., 2016), reveal the dominance of a few cultivated species alongside remnant indigenous trees, underscoring the need for biodiversity‑focused urban forestry planning. These patterns highlight the importance of documenting tree species diversity and composition in understudied metropolitan regions, particularly where environmental pressures and anthropogenic influences are high.</w:t>
      </w:r>
      <w:r w:rsidR="007A636A" w:rsidRPr="00C867FB">
        <w:rPr>
          <w:rFonts w:ascii="Times New Roman" w:hAnsi="Times New Roman" w:cs="Times New Roman"/>
          <w:sz w:val="24"/>
          <w:szCs w:val="24"/>
        </w:rPr>
        <w:t xml:space="preserve"> Recent ecological research within Nigeria has started to address these gaps. A detailed investigation into tree species diversity and composition in the Dansoshiya Forest Reserve in Kano State documented a rich assemblage of tree species, indicating significant botanical diversity within semi‑natural landscapes adjacent to urban environments (Yusuf, 2025). In Ilorin Metropolis, researchers reported relatively high species richness of urban trees, demonstrating the ecological complexity of urban tree communities and the importance of public perceptions in influencing tree retention and management (Moshood et al., 2025). Additionally, studies in Ibadan show that amenity trees contribute substantially to urban vegetation diversity and abundance, supporting the ecological and social value of urban forests in Nigerian cities (Owoeye &amp; Hauser, 2023).</w:t>
      </w:r>
    </w:p>
    <w:p w:rsidR="007A636A" w:rsidRPr="00C867FB" w:rsidRDefault="007A636A"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Kano Metropolis, one of northern Nigeria’s most populous cities, is characterized by a semi‑arid climate and intense anthropogenic pressure on urban green spaces. Despite its ecological and socio‑economic importance, there is a lack of up‑to‑date information on the floristic composition and tree diversity within its urban forests. Documenting these patterns will not only contribute to the limited body of urban vegetation research in northern Nigeria but also provide a foundation for biodiversity conservation, ecosystem service enhancement, and urban ecological planning.</w:t>
      </w:r>
    </w:p>
    <w:p w:rsidR="00C83F4F" w:rsidRPr="00C867FB" w:rsidRDefault="007A636A"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This study therefore aims to characterize the floristic diversity and species composition of urban forest trees in Kano Metropolis, Northern Nigeria. By documenting tree species richness, abundance, and distribution patterns, this research contributes to a more comprehensive understanding of urban forest dynamics in a Key West African city and provides a scientific basis for promoting sustainable urban green infrastructure.</w:t>
      </w:r>
      <w:r w:rsidR="00C83F4F" w:rsidRPr="00C867FB">
        <w:rPr>
          <w:rFonts w:ascii="Times New Roman" w:hAnsi="Times New Roman" w:cs="Times New Roman"/>
          <w:color w:val="000000" w:themeColor="text1"/>
          <w:sz w:val="24"/>
          <w:szCs w:val="24"/>
        </w:rPr>
        <w:t xml:space="preserve"> </w:t>
      </w:r>
    </w:p>
    <w:p w:rsidR="00C83F4F" w:rsidRDefault="00C83F4F" w:rsidP="00C83F4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rsidR="00C83F4F" w:rsidRDefault="00C83F4F" w:rsidP="00C83F4F">
      <w:pPr>
        <w:spacing w:line="360" w:lineRule="auto"/>
        <w:rPr>
          <w:rFonts w:ascii="Times New Roman" w:hAnsi="Times New Roman" w:cs="Times New Roman"/>
          <w:b/>
          <w:bCs/>
          <w:sz w:val="24"/>
          <w:szCs w:val="24"/>
        </w:rPr>
      </w:pPr>
      <w:r>
        <w:rPr>
          <w:rFonts w:ascii="Times New Roman" w:hAnsi="Times New Roman" w:cs="Times New Roman"/>
          <w:b/>
          <w:bCs/>
          <w:sz w:val="24"/>
          <w:szCs w:val="24"/>
        </w:rPr>
        <w:t>STUDY AREA</w:t>
      </w:r>
    </w:p>
    <w:p w:rsidR="00C83F4F" w:rsidRDefault="00C83F4F" w:rsidP="00C83F4F">
      <w:p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 AND LOCATION</w:t>
      </w:r>
    </w:p>
    <w:p w:rsidR="00C83F4F" w:rsidRDefault="00C83F4F" w:rsidP="00C83F4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study was conducted in Kano Metropolis, loca</w:t>
      </w:r>
      <w:r w:rsidR="0059690C">
        <w:rPr>
          <w:rFonts w:ascii="Times New Roman" w:hAnsi="Times New Roman" w:cs="Times New Roman"/>
          <w:sz w:val="24"/>
          <w:szCs w:val="24"/>
        </w:rPr>
        <w:t>ted in Northern Nigeria. Kano</w:t>
      </w:r>
      <w:r>
        <w:rPr>
          <w:rFonts w:ascii="Times New Roman" w:hAnsi="Times New Roman" w:cs="Times New Roman"/>
          <w:sz w:val="24"/>
          <w:szCs w:val="24"/>
        </w:rPr>
        <w:t xml:space="preserve"> is characterized by a tropical climate with distinct wet and dry seasons. The area experiences increasing urbanization, leading to significant changes in vegetation structure. Kano Met</w:t>
      </w:r>
      <w:r w:rsidR="00C12B97">
        <w:rPr>
          <w:rFonts w:ascii="Times New Roman" w:hAnsi="Times New Roman" w:cs="Times New Roman"/>
          <w:sz w:val="24"/>
          <w:szCs w:val="24"/>
        </w:rPr>
        <w:t>ropolis lies between latitude 12.0001</w:t>
      </w:r>
      <w:r w:rsidR="00C12B97">
        <w:rPr>
          <w:rFonts w:ascii="Times New Roman" w:hAnsi="Times New Roman" w:cs="Times New Roman"/>
          <w:sz w:val="24"/>
          <w:szCs w:val="24"/>
          <w:vertAlign w:val="superscript"/>
        </w:rPr>
        <w:t>o</w:t>
      </w:r>
      <w:r w:rsidR="00C12B97">
        <w:rPr>
          <w:rFonts w:ascii="Times New Roman" w:hAnsi="Times New Roman" w:cs="Times New Roman"/>
          <w:sz w:val="24"/>
          <w:szCs w:val="24"/>
        </w:rPr>
        <w:t>N and longitude 8.5167</w:t>
      </w:r>
      <w:r w:rsidR="00C12B97">
        <w:rPr>
          <w:rFonts w:ascii="Times New Roman" w:hAnsi="Times New Roman" w:cs="Times New Roman"/>
          <w:sz w:val="24"/>
          <w:szCs w:val="24"/>
          <w:vertAlign w:val="superscript"/>
        </w:rPr>
        <w:t xml:space="preserve">o </w:t>
      </w:r>
      <w:r w:rsidR="00C12B97">
        <w:rPr>
          <w:rFonts w:ascii="Times New Roman" w:hAnsi="Times New Roman" w:cs="Times New Roman"/>
          <w:sz w:val="24"/>
          <w:szCs w:val="24"/>
        </w:rPr>
        <w:t>E</w:t>
      </w:r>
      <w:r w:rsidR="00D966A5">
        <w:rPr>
          <w:rFonts w:ascii="Times New Roman" w:hAnsi="Times New Roman" w:cs="Times New Roman"/>
          <w:sz w:val="24"/>
          <w:szCs w:val="24"/>
        </w:rPr>
        <w:t>. T</w:t>
      </w:r>
      <w:r>
        <w:rPr>
          <w:rFonts w:ascii="Times New Roman" w:hAnsi="Times New Roman" w:cs="Times New Roman"/>
          <w:sz w:val="24"/>
          <w:szCs w:val="24"/>
        </w:rPr>
        <w:t xml:space="preserve">he study area being the second most populous city in Nigeria (Koko </w:t>
      </w:r>
      <w:r w:rsidR="00C12B97">
        <w:rPr>
          <w:rFonts w:ascii="Times New Roman" w:hAnsi="Times New Roman" w:cs="Times New Roman"/>
          <w:i/>
          <w:sz w:val="24"/>
          <w:szCs w:val="24"/>
        </w:rPr>
        <w:t>et</w:t>
      </w:r>
      <w:r>
        <w:rPr>
          <w:rFonts w:ascii="Times New Roman" w:hAnsi="Times New Roman" w:cs="Times New Roman"/>
          <w:i/>
          <w:sz w:val="24"/>
          <w:szCs w:val="24"/>
        </w:rPr>
        <w:t xml:space="preserve"> al., </w:t>
      </w:r>
      <w:r>
        <w:rPr>
          <w:rFonts w:ascii="Times New Roman" w:hAnsi="Times New Roman" w:cs="Times New Roman"/>
          <w:sz w:val="24"/>
          <w:szCs w:val="24"/>
        </w:rPr>
        <w:t>2021). Kano metropolis includes Dala, Fagge, Gwale, Kano Municipal, Nassarawa, Tarauni and parts of Ungogo and Kumbotso local governments.</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t>Kano metropolis is situated within the Sudan savannah region, with a small portion of the city’s south on the Guinea Savannah belt. It covers an area of approximately 575 km</w:t>
      </w:r>
      <w:r>
        <w:rPr>
          <w:rFonts w:ascii="Times New Roman" w:hAnsi="Times New Roman" w:cs="Times New Roman"/>
          <w:sz w:val="24"/>
          <w:szCs w:val="24"/>
          <w:vertAlign w:val="superscript"/>
        </w:rPr>
        <w:t>2</w:t>
      </w:r>
      <w:r>
        <w:rPr>
          <w:rFonts w:ascii="Times New Roman" w:hAnsi="Times New Roman" w:cs="Times New Roman"/>
          <w:sz w:val="24"/>
          <w:szCs w:val="24"/>
        </w:rPr>
        <w:t>. The annual temperature of the state is between 26°C to 30°C of diurnal temperature, which is high, and measurable between the range of 13.1%, with the relative humidity of between 17% and 90% respectively.</w:t>
      </w:r>
    </w:p>
    <w:p w:rsidR="00C83F4F" w:rsidRDefault="00C83F4F" w:rsidP="00C83F4F">
      <w:pPr>
        <w:spacing w:line="360" w:lineRule="auto"/>
        <w:jc w:val="center"/>
        <w:rPr>
          <w:rFonts w:ascii="Times New Roman" w:hAnsi="Times New Roman" w:cs="Times New Roman"/>
          <w:sz w:val="24"/>
          <w:szCs w:val="24"/>
        </w:rPr>
      </w:pPr>
    </w:p>
    <w:p w:rsidR="00C83F4F" w:rsidRDefault="00C83F4F" w:rsidP="00C83F4F">
      <w:pPr>
        <w:spacing w:line="360" w:lineRule="auto"/>
        <w:jc w:val="center"/>
        <w:rPr>
          <w:rFonts w:ascii="Times New Roman" w:hAnsi="Times New Roman" w:cs="Times New Roman"/>
          <w:b/>
          <w:bCs/>
          <w:sz w:val="24"/>
          <w:szCs w:val="24"/>
        </w:rPr>
      </w:pPr>
      <w:r>
        <w:rPr>
          <w:rFonts w:ascii="Times New Roman" w:hAnsi="Times New Roman" w:cs="Times New Roman"/>
          <w:noProof/>
          <w:sz w:val="24"/>
          <w:szCs w:val="24"/>
        </w:rPr>
        <w:lastRenderedPageBreak/>
        <w:drawing>
          <wp:inline distT="0" distB="0" distL="0" distR="0" wp14:anchorId="4B0ACD30" wp14:editId="786E99C7">
            <wp:extent cx="4502785" cy="3338195"/>
            <wp:effectExtent l="0" t="0" r="0" b="0"/>
            <wp:docPr id="1" name="Picture 1" descr="C:\Users\User\Desktop\a Jalal\2 - Copy.jpg"/>
            <wp:cNvGraphicFramePr/>
            <a:graphic xmlns:a="http://schemas.openxmlformats.org/drawingml/2006/main">
              <a:graphicData uri="http://schemas.openxmlformats.org/drawingml/2006/picture">
                <pic:pic xmlns:pic="http://schemas.openxmlformats.org/drawingml/2006/picture">
                  <pic:nvPicPr>
                    <pic:cNvPr id="1" name="Picture 1" descr="C:\Users\User\Desktop\a Jalal\2 - Copy.jpg"/>
                    <pic:cNvPicPr/>
                  </pic:nvPicPr>
                  <pic:blipFill>
                    <a:blip r:embed="rId7">
                      <a:extLst>
                        <a:ext uri="{28A0092B-C50C-407E-A947-70E740481C1C}">
                          <a14:useLocalDpi xmlns:a14="http://schemas.microsoft.com/office/drawing/2010/main" val="0"/>
                        </a:ext>
                      </a:extLst>
                    </a:blip>
                    <a:srcRect/>
                    <a:stretch>
                      <a:fillRect/>
                    </a:stretch>
                  </pic:blipFill>
                  <pic:spPr>
                    <a:xfrm>
                      <a:off x="0" y="0"/>
                      <a:ext cx="4514478" cy="3346712"/>
                    </a:xfrm>
                    <a:prstGeom prst="rect">
                      <a:avLst/>
                    </a:prstGeom>
                    <a:noFill/>
                    <a:ln>
                      <a:noFill/>
                    </a:ln>
                  </pic:spPr>
                </pic:pic>
              </a:graphicData>
            </a:graphic>
          </wp:inline>
        </w:drawing>
      </w:r>
    </w:p>
    <w:p w:rsidR="00C83F4F" w:rsidRDefault="00C83F4F" w:rsidP="00C83F4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The study area map (Kano Metropolis, Nigeria).</w:t>
      </w:r>
    </w:p>
    <w:p w:rsidR="00C83F4F" w:rsidRDefault="00C83F4F" w:rsidP="00C83F4F">
      <w:pPr>
        <w:spacing w:after="0" w:line="360" w:lineRule="auto"/>
        <w:rPr>
          <w:rFonts w:ascii="Times New Roman" w:hAnsi="Times New Roman" w:cs="Times New Roman"/>
          <w:b/>
          <w:sz w:val="24"/>
          <w:szCs w:val="24"/>
        </w:rPr>
      </w:pPr>
    </w:p>
    <w:p w:rsidR="00C83F4F" w:rsidRDefault="00C83F4F" w:rsidP="00C83F4F">
      <w:pPr>
        <w:pStyle w:val="Default"/>
        <w:spacing w:after="160" w:line="360" w:lineRule="auto"/>
        <w:ind w:right="-290"/>
        <w:jc w:val="both"/>
        <w:rPr>
          <w:rStyle w:val="Emphasis"/>
          <w:b/>
          <w:bCs/>
          <w:color w:val="000000" w:themeColor="text1"/>
        </w:rPr>
      </w:pPr>
    </w:p>
    <w:p w:rsidR="00D966A5" w:rsidRDefault="00D966A5" w:rsidP="00C83F4F">
      <w:pPr>
        <w:pStyle w:val="Default"/>
        <w:spacing w:after="160" w:line="360" w:lineRule="auto"/>
        <w:ind w:right="-290"/>
        <w:jc w:val="both"/>
        <w:rPr>
          <w:rStyle w:val="Emphasis"/>
          <w:b/>
          <w:bCs/>
          <w:color w:val="000000" w:themeColor="text1"/>
        </w:rPr>
      </w:pPr>
    </w:p>
    <w:p w:rsidR="00443AC4" w:rsidRDefault="00443AC4" w:rsidP="00C83F4F">
      <w:pPr>
        <w:pStyle w:val="Default"/>
        <w:spacing w:after="160" w:line="360" w:lineRule="auto"/>
        <w:ind w:right="-290"/>
        <w:jc w:val="both"/>
        <w:rPr>
          <w:rStyle w:val="Emphasis"/>
          <w:b/>
          <w:bCs/>
          <w:color w:val="000000" w:themeColor="text1"/>
        </w:rPr>
      </w:pPr>
    </w:p>
    <w:p w:rsidR="00443AC4" w:rsidRDefault="00443AC4" w:rsidP="00C83F4F">
      <w:pPr>
        <w:pStyle w:val="Default"/>
        <w:spacing w:after="160" w:line="360" w:lineRule="auto"/>
        <w:ind w:right="-290"/>
        <w:jc w:val="both"/>
        <w:rPr>
          <w:rStyle w:val="Emphasis"/>
          <w:b/>
          <w:bCs/>
          <w:color w:val="000000" w:themeColor="text1"/>
        </w:rPr>
      </w:pPr>
    </w:p>
    <w:p w:rsidR="00443AC4" w:rsidRDefault="00443AC4" w:rsidP="00C83F4F">
      <w:pPr>
        <w:pStyle w:val="Default"/>
        <w:spacing w:after="160" w:line="360" w:lineRule="auto"/>
        <w:ind w:right="-290"/>
        <w:jc w:val="both"/>
        <w:rPr>
          <w:rStyle w:val="Emphasis"/>
          <w:b/>
          <w:bCs/>
          <w:color w:val="000000" w:themeColor="text1"/>
        </w:rPr>
      </w:pPr>
    </w:p>
    <w:p w:rsidR="00C83F4F" w:rsidRPr="00C867FB" w:rsidRDefault="00C83F4F" w:rsidP="00C83F4F">
      <w:pPr>
        <w:rPr>
          <w:rFonts w:ascii="Times New Roman" w:hAnsi="Times New Roman" w:cs="Times New Roman"/>
          <w:b/>
          <w:sz w:val="28"/>
          <w:szCs w:val="28"/>
        </w:rPr>
      </w:pPr>
      <w:r w:rsidRPr="00C867FB">
        <w:rPr>
          <w:rFonts w:ascii="Times New Roman" w:hAnsi="Times New Roman" w:cs="Times New Roman"/>
          <w:b/>
          <w:sz w:val="28"/>
          <w:szCs w:val="28"/>
        </w:rPr>
        <w:lastRenderedPageBreak/>
        <w:t>Study Design</w:t>
      </w:r>
    </w:p>
    <w:p w:rsidR="00C83F4F" w:rsidRPr="00C867FB" w:rsidRDefault="00C83F4F"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A descriptive and cross-sectional survey was employed to assess the floristic diversity and species composition of urban forest trees across the metropolis. The study utilized a stratified random sampling approach, categorizing the city into different land-use types (Major Road, Eid ground,</w:t>
      </w:r>
      <w:r w:rsidR="00D044D1" w:rsidRPr="00C867FB">
        <w:rPr>
          <w:rFonts w:ascii="Times New Roman" w:hAnsi="Times New Roman" w:cs="Times New Roman"/>
          <w:sz w:val="24"/>
          <w:szCs w:val="24"/>
        </w:rPr>
        <w:t xml:space="preserve"> institutional, and secretariat</w:t>
      </w:r>
      <w:r w:rsidRPr="00C867FB">
        <w:rPr>
          <w:rFonts w:ascii="Times New Roman" w:hAnsi="Times New Roman" w:cs="Times New Roman"/>
          <w:sz w:val="24"/>
          <w:szCs w:val="24"/>
        </w:rPr>
        <w:t>) to ensure representative sampling of the urban forest.</w:t>
      </w:r>
    </w:p>
    <w:p w:rsidR="00C83F4F" w:rsidRPr="00C867FB" w:rsidRDefault="00C83F4F" w:rsidP="00C83F4F">
      <w:pPr>
        <w:rPr>
          <w:rFonts w:ascii="Times New Roman" w:hAnsi="Times New Roman" w:cs="Times New Roman"/>
          <w:b/>
          <w:sz w:val="28"/>
          <w:szCs w:val="28"/>
        </w:rPr>
      </w:pPr>
      <w:r w:rsidRPr="00C867FB">
        <w:rPr>
          <w:rFonts w:ascii="Times New Roman" w:hAnsi="Times New Roman" w:cs="Times New Roman"/>
          <w:b/>
          <w:sz w:val="28"/>
          <w:szCs w:val="28"/>
        </w:rPr>
        <w:t>Sampling Procedure</w:t>
      </w:r>
    </w:p>
    <w:p w:rsidR="00C83F4F" w:rsidRPr="00C867FB" w:rsidRDefault="00DE1C0A"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Sampling Units: A r</w:t>
      </w:r>
      <w:r w:rsidR="00C83F4F" w:rsidRPr="00C867FB">
        <w:rPr>
          <w:rFonts w:ascii="Times New Roman" w:hAnsi="Times New Roman" w:cs="Times New Roman"/>
          <w:sz w:val="24"/>
          <w:szCs w:val="24"/>
        </w:rPr>
        <w:t>ectangular plots (quadrats) measuring 20 m × 20 m were established at randomly selected sites within each land-use type.</w:t>
      </w:r>
    </w:p>
    <w:p w:rsidR="00C83F4F" w:rsidRPr="00C867FB" w:rsidRDefault="00C83F4F"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Number of Plots: A total of X plots were surveyed, based on preliminary reconnaissance and accessibility of green spaces.</w:t>
      </w:r>
    </w:p>
    <w:p w:rsidR="00C83F4F" w:rsidRPr="00C867FB" w:rsidRDefault="00C83F4F"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Inclusion Criteria: All trees with dia</w:t>
      </w:r>
      <w:r w:rsidR="00DE1C0A" w:rsidRPr="00C867FB">
        <w:rPr>
          <w:rFonts w:ascii="Times New Roman" w:hAnsi="Times New Roman" w:cs="Times New Roman"/>
          <w:sz w:val="24"/>
          <w:szCs w:val="24"/>
        </w:rPr>
        <w:t>meter at breast height (DBH) ≥ 10</w:t>
      </w:r>
      <w:r w:rsidRPr="00C867FB">
        <w:rPr>
          <w:rFonts w:ascii="Times New Roman" w:hAnsi="Times New Roman" w:cs="Times New Roman"/>
          <w:sz w:val="24"/>
          <w:szCs w:val="24"/>
        </w:rPr>
        <w:t xml:space="preserve"> cm were measured. Trees below this threshold were excluded to focus on mature and ecologically significant specimens.</w:t>
      </w:r>
    </w:p>
    <w:p w:rsidR="00C83F4F" w:rsidRPr="00C867FB" w:rsidRDefault="00C83F4F" w:rsidP="00C83F4F">
      <w:pPr>
        <w:rPr>
          <w:rFonts w:ascii="Times New Roman" w:hAnsi="Times New Roman" w:cs="Times New Roman"/>
          <w:b/>
          <w:sz w:val="28"/>
          <w:szCs w:val="28"/>
        </w:rPr>
      </w:pPr>
      <w:r w:rsidRPr="00C867FB">
        <w:rPr>
          <w:rFonts w:ascii="Times New Roman" w:hAnsi="Times New Roman" w:cs="Times New Roman"/>
          <w:b/>
          <w:sz w:val="28"/>
          <w:szCs w:val="28"/>
        </w:rPr>
        <w:t>Data Collection</w:t>
      </w:r>
    </w:p>
    <w:p w:rsidR="00C83F4F" w:rsidRPr="00C867FB" w:rsidRDefault="00C83F4F" w:rsidP="00C83F4F">
      <w:pPr>
        <w:rPr>
          <w:rFonts w:ascii="Times New Roman" w:hAnsi="Times New Roman" w:cs="Times New Roman"/>
          <w:b/>
          <w:sz w:val="28"/>
          <w:szCs w:val="28"/>
        </w:rPr>
      </w:pPr>
      <w:r w:rsidRPr="00C867FB">
        <w:rPr>
          <w:rFonts w:ascii="Times New Roman" w:hAnsi="Times New Roman" w:cs="Times New Roman"/>
          <w:b/>
          <w:sz w:val="28"/>
          <w:szCs w:val="28"/>
        </w:rPr>
        <w:t>Tree Identification:</w:t>
      </w:r>
    </w:p>
    <w:p w:rsidR="00C83F4F" w:rsidRPr="00C867FB" w:rsidRDefault="00C83F4F" w:rsidP="00E71F9B">
      <w:pPr>
        <w:spacing w:after="0" w:line="360" w:lineRule="auto"/>
        <w:jc w:val="both"/>
        <w:rPr>
          <w:rFonts w:ascii="Times New Roman" w:hAnsi="Times New Roman" w:cs="Times New Roman"/>
          <w:sz w:val="24"/>
          <w:szCs w:val="24"/>
        </w:rPr>
      </w:pPr>
      <w:r w:rsidRPr="00C867FB">
        <w:rPr>
          <w:rFonts w:ascii="Times New Roman" w:hAnsi="Times New Roman" w:cs="Times New Roman"/>
          <w:sz w:val="24"/>
          <w:szCs w:val="24"/>
        </w:rPr>
        <w:t>Trees within each plot were identified to species level using standard taxonomic keys (Akobundu &amp; Agyakwa, 1998) and confirmed with reference to th</w:t>
      </w:r>
      <w:r w:rsidR="00D044D1" w:rsidRPr="00C867FB">
        <w:rPr>
          <w:rFonts w:ascii="Times New Roman" w:hAnsi="Times New Roman" w:cs="Times New Roman"/>
          <w:sz w:val="24"/>
          <w:szCs w:val="24"/>
        </w:rPr>
        <w:t xml:space="preserve">e Herbarium of Aliko Dangote University of </w:t>
      </w:r>
      <w:r w:rsidR="00244AA4" w:rsidRPr="00C867FB">
        <w:rPr>
          <w:rFonts w:ascii="Times New Roman" w:hAnsi="Times New Roman" w:cs="Times New Roman"/>
          <w:sz w:val="24"/>
          <w:szCs w:val="24"/>
        </w:rPr>
        <w:t>S</w:t>
      </w:r>
      <w:r w:rsidR="00D044D1" w:rsidRPr="00C867FB">
        <w:rPr>
          <w:rFonts w:ascii="Times New Roman" w:hAnsi="Times New Roman" w:cs="Times New Roman"/>
          <w:sz w:val="24"/>
          <w:szCs w:val="24"/>
        </w:rPr>
        <w:t>cience and Technology, Wudil</w:t>
      </w:r>
      <w:r w:rsidRPr="00C867FB">
        <w:rPr>
          <w:rFonts w:ascii="Times New Roman" w:hAnsi="Times New Roman" w:cs="Times New Roman"/>
          <w:sz w:val="24"/>
          <w:szCs w:val="24"/>
        </w:rPr>
        <w:t>, Kano</w:t>
      </w:r>
      <w:r w:rsidR="0013651F" w:rsidRPr="00C867FB">
        <w:rPr>
          <w:rFonts w:ascii="Times New Roman" w:hAnsi="Times New Roman" w:cs="Times New Roman"/>
          <w:sz w:val="24"/>
          <w:szCs w:val="24"/>
        </w:rPr>
        <w:t xml:space="preserve"> (ADUSTECH)</w:t>
      </w:r>
      <w:r w:rsidRPr="00C867FB">
        <w:rPr>
          <w:rFonts w:ascii="Times New Roman" w:hAnsi="Times New Roman" w:cs="Times New Roman"/>
          <w:sz w:val="24"/>
          <w:szCs w:val="24"/>
        </w:rPr>
        <w:t>.</w:t>
      </w:r>
    </w:p>
    <w:p w:rsidR="00C83F4F" w:rsidRPr="00C867FB" w:rsidRDefault="00C83F4F" w:rsidP="00E71F9B">
      <w:pPr>
        <w:spacing w:after="0" w:line="360" w:lineRule="auto"/>
        <w:jc w:val="both"/>
        <w:rPr>
          <w:rFonts w:ascii="Times New Roman" w:hAnsi="Times New Roman" w:cs="Times New Roman"/>
          <w:sz w:val="24"/>
          <w:szCs w:val="24"/>
        </w:rPr>
      </w:pPr>
      <w:r w:rsidRPr="00C867FB">
        <w:rPr>
          <w:rFonts w:ascii="Times New Roman" w:hAnsi="Times New Roman" w:cs="Times New Roman"/>
          <w:sz w:val="24"/>
          <w:szCs w:val="24"/>
        </w:rPr>
        <w:t>For species difficult to identify in the field, specimens were collected and examined in the laboratory.</w:t>
      </w:r>
    </w:p>
    <w:p w:rsidR="00C83F4F" w:rsidRPr="00C867FB" w:rsidRDefault="00C83F4F" w:rsidP="00C83F4F">
      <w:pPr>
        <w:rPr>
          <w:rFonts w:ascii="Times New Roman" w:hAnsi="Times New Roman" w:cs="Times New Roman"/>
          <w:b/>
          <w:sz w:val="28"/>
          <w:szCs w:val="28"/>
        </w:rPr>
      </w:pPr>
      <w:r w:rsidRPr="00C867FB">
        <w:rPr>
          <w:rFonts w:ascii="Times New Roman" w:hAnsi="Times New Roman" w:cs="Times New Roman"/>
          <w:b/>
          <w:sz w:val="28"/>
          <w:szCs w:val="28"/>
        </w:rPr>
        <w:t>Measurement Parameters:</w:t>
      </w:r>
    </w:p>
    <w:p w:rsidR="00C83F4F" w:rsidRPr="00C867FB" w:rsidRDefault="00C83F4F"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Diameter at Breast Height (DBH): Measured at 1.3 m above the ground using a diameter tape.</w:t>
      </w:r>
    </w:p>
    <w:p w:rsidR="00C83F4F" w:rsidRPr="00C867FB" w:rsidRDefault="00C83F4F"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Tree Height: Measured using</w:t>
      </w:r>
      <w:r w:rsidR="00DE1C0A" w:rsidRPr="00C867FB">
        <w:rPr>
          <w:rFonts w:ascii="Times New Roman" w:hAnsi="Times New Roman" w:cs="Times New Roman"/>
          <w:sz w:val="24"/>
          <w:szCs w:val="24"/>
        </w:rPr>
        <w:t xml:space="preserve"> a clinometer</w:t>
      </w:r>
    </w:p>
    <w:p w:rsidR="00C83F4F" w:rsidRPr="00C867FB" w:rsidRDefault="00C83F4F"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Abundance and Frequency: Recorded</w:t>
      </w:r>
      <w:r w:rsidR="00DE1C0A" w:rsidRPr="00C867FB">
        <w:rPr>
          <w:rFonts w:ascii="Times New Roman" w:hAnsi="Times New Roman" w:cs="Times New Roman"/>
          <w:sz w:val="24"/>
          <w:szCs w:val="24"/>
        </w:rPr>
        <w:t xml:space="preserve"> for each species in all plots.</w:t>
      </w:r>
    </w:p>
    <w:p w:rsidR="0065417C" w:rsidRPr="00443AC4" w:rsidRDefault="0065417C" w:rsidP="0065417C">
      <w:pPr>
        <w:rPr>
          <w:rFonts w:ascii="Times New Roman" w:hAnsi="Times New Roman" w:cs="Times New Roman"/>
          <w:b/>
          <w:sz w:val="28"/>
          <w:szCs w:val="28"/>
        </w:rPr>
      </w:pPr>
      <w:r w:rsidRPr="00443AC4">
        <w:rPr>
          <w:rFonts w:ascii="Times New Roman" w:hAnsi="Times New Roman" w:cs="Times New Roman"/>
          <w:b/>
          <w:sz w:val="28"/>
          <w:szCs w:val="28"/>
        </w:rPr>
        <w:lastRenderedPageBreak/>
        <w:t>Ethical Considerations</w:t>
      </w:r>
    </w:p>
    <w:p w:rsidR="0065417C" w:rsidRPr="00C867FB" w:rsidRDefault="00340DCA" w:rsidP="00C867FB">
      <w:pPr>
        <w:spacing w:line="360" w:lineRule="auto"/>
        <w:jc w:val="both"/>
        <w:rPr>
          <w:rFonts w:ascii="Times New Roman" w:hAnsi="Times New Roman" w:cs="Times New Roman"/>
          <w:sz w:val="24"/>
          <w:szCs w:val="24"/>
        </w:rPr>
      </w:pPr>
      <w:r w:rsidRPr="00C867FB">
        <w:rPr>
          <w:rFonts w:ascii="Times New Roman" w:hAnsi="Times New Roman" w:cs="Times New Roman"/>
          <w:sz w:val="24"/>
          <w:szCs w:val="24"/>
        </w:rPr>
        <w:t>This</w:t>
      </w:r>
      <w:r w:rsidR="002A5882" w:rsidRPr="00C867FB">
        <w:rPr>
          <w:rFonts w:ascii="Times New Roman" w:hAnsi="Times New Roman" w:cs="Times New Roman"/>
          <w:sz w:val="24"/>
          <w:szCs w:val="24"/>
        </w:rPr>
        <w:t xml:space="preserve"> study</w:t>
      </w:r>
      <w:r w:rsidR="002A5882" w:rsidRPr="00C867FB">
        <w:rPr>
          <w:rFonts w:ascii="Times New Roman" w:hAnsi="Times New Roman" w:cs="Times New Roman"/>
          <w:b/>
          <w:sz w:val="24"/>
          <w:szCs w:val="24"/>
        </w:rPr>
        <w:t xml:space="preserve"> </w:t>
      </w:r>
      <w:r w:rsidR="002A5882" w:rsidRPr="00C867FB">
        <w:rPr>
          <w:rFonts w:ascii="Times New Roman" w:hAnsi="Times New Roman" w:cs="Times New Roman"/>
          <w:sz w:val="24"/>
          <w:szCs w:val="24"/>
        </w:rPr>
        <w:t>was conducted with strict adherence to ethical standards to ensure respect for the environment, authorities, and the community.</w:t>
      </w:r>
      <w:r w:rsidR="00DE6F8C">
        <w:rPr>
          <w:rFonts w:ascii="Times New Roman" w:hAnsi="Times New Roman" w:cs="Times New Roman"/>
          <w:sz w:val="24"/>
          <w:szCs w:val="24"/>
        </w:rPr>
        <w:t xml:space="preserve"> </w:t>
      </w:r>
      <w:r w:rsidR="0065417C" w:rsidRPr="00C867FB">
        <w:rPr>
          <w:rFonts w:ascii="Times New Roman" w:hAnsi="Times New Roman" w:cs="Times New Roman"/>
          <w:sz w:val="24"/>
          <w:szCs w:val="24"/>
        </w:rPr>
        <w:t>Permission for tree sampling was obtained from the Kano State Ministry of Environment.</w:t>
      </w:r>
      <w:r w:rsidR="00DE6F8C">
        <w:rPr>
          <w:rFonts w:ascii="Times New Roman" w:hAnsi="Times New Roman" w:cs="Times New Roman"/>
          <w:sz w:val="24"/>
          <w:szCs w:val="24"/>
        </w:rPr>
        <w:t xml:space="preserve"> </w:t>
      </w:r>
      <w:r w:rsidR="0065417C" w:rsidRPr="00C867FB">
        <w:rPr>
          <w:rFonts w:ascii="Times New Roman" w:hAnsi="Times New Roman" w:cs="Times New Roman"/>
          <w:sz w:val="24"/>
          <w:szCs w:val="24"/>
        </w:rPr>
        <w:t xml:space="preserve">Tree sampling followed non-destructive </w:t>
      </w:r>
      <w:r w:rsidR="002A5882" w:rsidRPr="00C867FB">
        <w:rPr>
          <w:rFonts w:ascii="Times New Roman" w:hAnsi="Times New Roman" w:cs="Times New Roman"/>
          <w:sz w:val="24"/>
          <w:szCs w:val="24"/>
        </w:rPr>
        <w:t xml:space="preserve">protocols. No trees or vegetation were cut, uprooted or damaged </w:t>
      </w:r>
      <w:r w:rsidR="00DE6F8C" w:rsidRPr="00C867FB">
        <w:rPr>
          <w:rFonts w:ascii="Times New Roman" w:hAnsi="Times New Roman" w:cs="Times New Roman"/>
          <w:sz w:val="24"/>
          <w:szCs w:val="24"/>
        </w:rPr>
        <w:t>during</w:t>
      </w:r>
      <w:r w:rsidR="002A5882" w:rsidRPr="00C867FB">
        <w:rPr>
          <w:rFonts w:ascii="Times New Roman" w:hAnsi="Times New Roman" w:cs="Times New Roman"/>
          <w:sz w:val="24"/>
          <w:szCs w:val="24"/>
        </w:rPr>
        <w:t xml:space="preserve"> sampling.</w:t>
      </w:r>
    </w:p>
    <w:p w:rsidR="005C7EAC" w:rsidRPr="00C867FB" w:rsidRDefault="002A5882" w:rsidP="00C867FB">
      <w:pPr>
        <w:spacing w:line="360" w:lineRule="auto"/>
        <w:jc w:val="both"/>
        <w:rPr>
          <w:rStyle w:val="Emphasis"/>
          <w:rFonts w:ascii="Times New Roman" w:hAnsi="Times New Roman" w:cs="Times New Roman"/>
          <w:i w:val="0"/>
          <w:iCs w:val="0"/>
          <w:sz w:val="24"/>
          <w:szCs w:val="24"/>
        </w:rPr>
      </w:pPr>
      <w:r w:rsidRPr="00C867FB">
        <w:rPr>
          <w:rFonts w:ascii="Times New Roman" w:hAnsi="Times New Roman" w:cs="Times New Roman"/>
          <w:sz w:val="24"/>
          <w:szCs w:val="24"/>
        </w:rPr>
        <w:t>All data</w:t>
      </w:r>
      <w:r w:rsidR="00C449D6" w:rsidRPr="00C867FB">
        <w:rPr>
          <w:rFonts w:ascii="Times New Roman" w:hAnsi="Times New Roman" w:cs="Times New Roman"/>
          <w:sz w:val="24"/>
          <w:szCs w:val="24"/>
        </w:rPr>
        <w:t xml:space="preserve"> </w:t>
      </w:r>
      <w:r w:rsidRPr="00C867FB">
        <w:rPr>
          <w:rFonts w:ascii="Times New Roman" w:hAnsi="Times New Roman" w:cs="Times New Roman"/>
          <w:sz w:val="24"/>
          <w:szCs w:val="24"/>
        </w:rPr>
        <w:t>collected were recorded honestly and accurately without fabrication, falsification, or manipulation to ensure reliability and credibility of the research finding.</w:t>
      </w:r>
    </w:p>
    <w:p w:rsidR="00C83F4F" w:rsidRDefault="00C83F4F" w:rsidP="00C83F4F">
      <w:pPr>
        <w:pStyle w:val="Default"/>
        <w:spacing w:after="160" w:line="360" w:lineRule="auto"/>
        <w:ind w:right="-290"/>
        <w:jc w:val="both"/>
        <w:rPr>
          <w:b/>
          <w:bCs/>
          <w:color w:val="000000" w:themeColor="text1"/>
        </w:rPr>
      </w:pPr>
      <w:r>
        <w:rPr>
          <w:rStyle w:val="Emphasis"/>
          <w:b/>
          <w:bCs/>
          <w:i w:val="0"/>
          <w:iCs w:val="0"/>
          <w:color w:val="000000" w:themeColor="text1"/>
        </w:rPr>
        <w:t xml:space="preserve">VEGETATION ANALYSIS </w:t>
      </w:r>
    </w:p>
    <w:p w:rsidR="00C83F4F" w:rsidRDefault="00C83F4F" w:rsidP="00C83F4F">
      <w:pPr>
        <w:spacing w:line="360" w:lineRule="auto"/>
        <w:ind w:right="-29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FLORISTIC SURVEY</w:t>
      </w:r>
    </w:p>
    <w:p w:rsidR="00C83F4F" w:rsidRDefault="00C83F4F" w:rsidP="00C83F4F">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primary analysis of floristic inventory was carried out to ascertain the values of different parameters like frequency (F), density (D), abundance (AB), relative frequency (RF), relative density (RD), relative basal area (RBA), and important value index (IVI) (Curtis, 1959).</w:t>
      </w:r>
    </w:p>
    <w:p w:rsidR="00C83F4F" w:rsidRDefault="00C83F4F" w:rsidP="00C83F4F">
      <w:pPr>
        <w:numPr>
          <w:ilvl w:val="0"/>
          <w:numId w:val="1"/>
        </w:num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Frequency </w:t>
      </w:r>
    </w:p>
    <w:p w:rsidR="00C83F4F" w:rsidRDefault="00C83F4F" w:rsidP="00C83F4F">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Frequency refers to the extent of dispersion of individual species in an area, generally expressed in percentage occurrence. It was studied by sampling the study area randomly at several places and recording the names of the species that occurred in each sampling unit. It is calculated by the equation below:</w:t>
      </w:r>
    </w:p>
    <w:p w:rsidR="00C83F4F" w:rsidRDefault="00C83F4F" w:rsidP="00C83F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Percentage Frequency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quadrats of occurrence </m:t>
            </m:r>
          </m:num>
          <m:den>
            <m:r>
              <m:rPr>
                <m:sty m:val="p"/>
              </m:rPr>
              <w:rPr>
                <w:rFonts w:ascii="Cambria Math" w:hAnsi="Cambria Math" w:cs="Times New Roman"/>
                <w:color w:val="000000" w:themeColor="text1"/>
                <w:sz w:val="24"/>
                <w:szCs w:val="24"/>
              </w:rPr>
              <m:t xml:space="preserve">The total number of quadrats studied </m:t>
            </m:r>
          </m:den>
        </m:f>
        <m:r>
          <w:rPr>
            <w:rFonts w:ascii="Cambria Math" w:hAnsi="Cambria Math" w:cs="Times New Roman"/>
            <w:color w:val="000000" w:themeColor="text1"/>
            <w:sz w:val="24"/>
            <w:szCs w:val="24"/>
          </w:rPr>
          <m:t xml:space="preserve"> ×100</m:t>
        </m:r>
      </m:oMath>
    </w:p>
    <w:p w:rsidR="00C83F4F" w:rsidRDefault="00C83F4F" w:rsidP="00C83F4F">
      <w:pPr>
        <w:spacing w:line="360" w:lineRule="auto"/>
        <w:ind w:right="-290"/>
        <w:jc w:val="center"/>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m:t>Relative Frequency</m:t>
          </m:r>
          <m:r>
            <w:rPr>
              <w:rFonts w:ascii="Cambria Math" w:eastAsia="Times New Roman" w:hAnsi="Cambria Math" w:cs="Times New Roman"/>
              <w:color w:val="000000" w:themeColor="text1"/>
              <w:sz w:val="24"/>
              <w:szCs w:val="24"/>
            </w:rPr>
            <m:t xml:space="preserve"> </m:t>
          </m:r>
          <m:r>
            <m:rPr>
              <m:sty m:val="p"/>
            </m:rP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color w:val="000000" w:themeColor="text1"/>
                  <w:sz w:val="24"/>
                  <w:szCs w:val="24"/>
                </w:rPr>
              </m:ctrlPr>
            </m:fPr>
            <m:num>
              <m:r>
                <m:rPr>
                  <m:sty m:val="p"/>
                </m:rPr>
                <w:rPr>
                  <w:rFonts w:ascii="Cambria Math" w:eastAsia="Times New Roman" w:hAnsi="Cambria Math" w:cs="Times New Roman"/>
                  <w:color w:val="000000" w:themeColor="text1"/>
                  <w:sz w:val="24"/>
                  <w:szCs w:val="24"/>
                </w:rPr>
                <m:t>Number of occurance of a specie</m:t>
              </m:r>
            </m:num>
            <m:den>
              <m:r>
                <m:rPr>
                  <m:sty m:val="p"/>
                </m:rPr>
                <w:rPr>
                  <w:rFonts w:ascii="Cambria Math" w:eastAsia="Times New Roman" w:hAnsi="Cambria Math" w:cs="Times New Roman"/>
                  <w:color w:val="000000" w:themeColor="text1"/>
                  <w:sz w:val="24"/>
                  <w:szCs w:val="24"/>
                </w:rPr>
                <m:t xml:space="preserve">Number of occurance of all the species </m:t>
              </m:r>
            </m:den>
          </m:f>
          <m:r>
            <w:rPr>
              <w:rFonts w:ascii="Cambria Math" w:eastAsia="Times New Roman" w:hAnsi="Cambria Math" w:cs="Times New Roman"/>
              <w:color w:val="000000" w:themeColor="text1"/>
              <w:sz w:val="24"/>
              <w:szCs w:val="24"/>
            </w:rPr>
            <m:t xml:space="preserve"> 100</m:t>
          </m:r>
        </m:oMath>
      </m:oMathPara>
    </w:p>
    <w:p w:rsidR="00C83F4F" w:rsidRDefault="00C83F4F" w:rsidP="00C83F4F">
      <w:pPr>
        <w:numPr>
          <w:ilvl w:val="0"/>
          <w:numId w:val="1"/>
        </w:num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Density</w:t>
      </w:r>
    </w:p>
    <w:p w:rsidR="00C83F4F" w:rsidRDefault="00C83F4F" w:rsidP="00C83F4F">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Density is an expression of a species' numerical strength where the total number of individuals of each species in all the quadrates is divided by the total number of quadrates studied. Density is calculated by the equation as follows</w:t>
      </w:r>
    </w:p>
    <w:p w:rsidR="00C83F4F" w:rsidRDefault="00C83F4F" w:rsidP="00C83F4F">
      <w:pPr>
        <w:spacing w:line="360" w:lineRule="auto"/>
        <w:jc w:val="center"/>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Density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Individual of the species in all the quadrat </m:t>
              </m:r>
            </m:num>
            <m:den>
              <m:r>
                <m:rPr>
                  <m:sty m:val="p"/>
                </m:rPr>
                <w:rPr>
                  <w:rFonts w:ascii="Cambria Math" w:hAnsi="Cambria Math" w:cs="Times New Roman"/>
                  <w:color w:val="000000" w:themeColor="text1"/>
                  <w:sz w:val="24"/>
                  <w:szCs w:val="24"/>
                </w:rPr>
                <m:t xml:space="preserve">Total number of quadrats studied </m:t>
              </m:r>
            </m:den>
          </m:f>
        </m:oMath>
      </m:oMathPara>
    </w:p>
    <w:p w:rsidR="00C83F4F" w:rsidRDefault="00C83F4F" w:rsidP="00C83F4F">
      <w:pPr>
        <w:spacing w:line="360" w:lineRule="auto"/>
        <w:ind w:right="-29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Relative density (RD) is the study of the numerical strength of species in relation to the total number of individual of all the species, calculated as </w:t>
      </w:r>
    </w:p>
    <w:p w:rsidR="00C83F4F" w:rsidRDefault="00C83F4F" w:rsidP="00C83F4F">
      <w:pPr>
        <w:spacing w:line="360" w:lineRule="auto"/>
        <w:ind w:right="-290"/>
        <w:jc w:val="center"/>
        <w:rPr>
          <w:rFonts w:ascii="Times New Roman" w:eastAsia="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Relative density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individual  of the species </m:t>
              </m:r>
            </m:num>
            <m:den>
              <m:r>
                <m:rPr>
                  <m:sty m:val="p"/>
                </m:rPr>
                <w:rPr>
                  <w:rFonts w:ascii="Cambria Math" w:hAnsi="Cambria Math" w:cs="Times New Roman"/>
                  <w:color w:val="000000" w:themeColor="text1"/>
                  <w:sz w:val="24"/>
                  <w:szCs w:val="24"/>
                </w:rPr>
                <m:t xml:space="preserve">Number of individual of all the species </m:t>
              </m:r>
            </m:den>
          </m:f>
          <m:r>
            <m:rPr>
              <m:sty m:val="p"/>
            </m:rPr>
            <w:rPr>
              <w:rFonts w:ascii="Cambria Math" w:hAnsi="Cambria Math" w:cs="Times New Roman"/>
              <w:color w:val="000000" w:themeColor="text1"/>
              <w:sz w:val="24"/>
              <w:szCs w:val="24"/>
            </w:rPr>
            <m:t xml:space="preserve"> ×100</m:t>
          </m:r>
        </m:oMath>
      </m:oMathPara>
    </w:p>
    <w:p w:rsidR="00C83F4F" w:rsidRDefault="00C83F4F" w:rsidP="00C83F4F">
      <w:pPr>
        <w:numPr>
          <w:ilvl w:val="0"/>
          <w:numId w:val="1"/>
        </w:numPr>
        <w:spacing w:line="360" w:lineRule="auto"/>
        <w:ind w:right="-2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Abundance </w:t>
      </w:r>
    </w:p>
    <w:p w:rsidR="00C83F4F" w:rsidRDefault="00C83F4F" w:rsidP="00C83F4F">
      <w:pPr>
        <w:spacing w:line="360" w:lineRule="auto"/>
        <w:ind w:right="-29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Abundance is an expression of a number of individual of different species in the given community per quadrat in which the species occurred expressed as follow:</w:t>
      </w:r>
    </w:p>
    <w:p w:rsidR="00C83F4F" w:rsidRDefault="00C83F4F" w:rsidP="00C83F4F">
      <w:pPr>
        <w:spacing w:line="360" w:lineRule="auto"/>
        <w:ind w:right="-290"/>
        <w:rPr>
          <w:rFonts w:ascii="Times New Roman" w:eastAsia="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Abundance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Total number of individual of a species in all the quadrats </m:t>
              </m:r>
            </m:num>
            <m:den>
              <m:r>
                <m:rPr>
                  <m:sty m:val="p"/>
                </m:rPr>
                <w:rPr>
                  <w:rFonts w:ascii="Cambria Math" w:hAnsi="Cambria Math" w:cs="Times New Roman"/>
                  <w:color w:val="000000" w:themeColor="text1"/>
                  <w:sz w:val="24"/>
                  <w:szCs w:val="24"/>
                </w:rPr>
                <m:t xml:space="preserve">Total number of quadrats in which the species occurred </m:t>
              </m:r>
            </m:den>
          </m:f>
        </m:oMath>
      </m:oMathPara>
    </w:p>
    <w:p w:rsidR="00C83F4F" w:rsidRDefault="00C83F4F" w:rsidP="00C83F4F">
      <w:pPr>
        <w:pStyle w:val="ListParagraph"/>
        <w:numPr>
          <w:ilvl w:val="0"/>
          <w:numId w:val="2"/>
        </w:numPr>
        <w:spacing w:line="360" w:lineRule="auto"/>
        <w:ind w:right="-2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Girth Class Distribution </w:t>
      </w:r>
    </w:p>
    <w:p w:rsidR="00C83F4F" w:rsidRDefault="00C83F4F" w:rsidP="00C83F4F">
      <w:pPr>
        <w:spacing w:line="360" w:lineRule="auto"/>
        <w:ind w:right="-29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All the individual plants sampled from the studied quadrat were classified into different groups based on their girth class distribution, i.e., 10-30 cm, 31-60 cm, 61-120 cm, 121-180 cm, 181-210, and ˃210 cm. Individual plants with less than 10 cm circumference were taken as regeneration. </w:t>
      </w:r>
    </w:p>
    <w:p w:rsidR="00E20599" w:rsidRDefault="00E20599" w:rsidP="00C83F4F">
      <w:pPr>
        <w:spacing w:line="360" w:lineRule="auto"/>
        <w:ind w:right="-290" w:firstLine="567"/>
        <w:jc w:val="both"/>
        <w:rPr>
          <w:rFonts w:ascii="Times New Roman" w:eastAsia="Times New Roman" w:hAnsi="Times New Roman" w:cs="Times New Roman"/>
          <w:color w:val="000000" w:themeColor="text1"/>
          <w:sz w:val="24"/>
          <w:szCs w:val="24"/>
        </w:rPr>
      </w:pPr>
    </w:p>
    <w:p w:rsidR="00E20599" w:rsidRDefault="00E20599" w:rsidP="00C83F4F">
      <w:pPr>
        <w:spacing w:line="360" w:lineRule="auto"/>
        <w:ind w:right="-290" w:firstLine="567"/>
        <w:jc w:val="both"/>
        <w:rPr>
          <w:rFonts w:ascii="Times New Roman" w:eastAsia="Times New Roman" w:hAnsi="Times New Roman" w:cs="Times New Roman"/>
          <w:color w:val="000000" w:themeColor="text1"/>
          <w:sz w:val="24"/>
          <w:szCs w:val="24"/>
        </w:rPr>
      </w:pPr>
    </w:p>
    <w:p w:rsidR="00C83F4F" w:rsidRDefault="00C83F4F" w:rsidP="00C83F4F">
      <w:pPr>
        <w:pStyle w:val="ListParagraph"/>
        <w:numPr>
          <w:ilvl w:val="0"/>
          <w:numId w:val="2"/>
        </w:numPr>
        <w:tabs>
          <w:tab w:val="left" w:pos="1376"/>
        </w:tabs>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Basal Area/ Dominance (BA)</w:t>
      </w:r>
    </w:p>
    <w:p w:rsidR="00C83F4F" w:rsidRDefault="00C83F4F" w:rsidP="00C83F4F">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total basal area was calculated from the sum of the total diameter of emerging stems. In trees, poles, and saplings, the basal area was measured at a breast height of 1.37 m.</w:t>
      </w:r>
    </w:p>
    <w:p w:rsidR="00C83F4F" w:rsidRDefault="00C83F4F" w:rsidP="00C83F4F">
      <w:pPr>
        <w:spacing w:line="36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Basal area = G</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/4π </w:t>
      </w:r>
      <w:r>
        <w:rPr>
          <w:rFonts w:ascii="Times New Roman" w:eastAsia="Times New Roman" w:hAnsi="Times New Roman" w:cs="Times New Roman"/>
          <w:color w:val="000000" w:themeColor="text1"/>
          <w:sz w:val="24"/>
          <w:szCs w:val="24"/>
        </w:rPr>
        <w:t xml:space="preserve"> (G= Girth at breast height)</w:t>
      </w:r>
    </w:p>
    <w:p w:rsidR="00C83F4F" w:rsidRDefault="00C83F4F" w:rsidP="00C83F4F">
      <w:pPr>
        <w:numPr>
          <w:ilvl w:val="0"/>
          <w:numId w:val="1"/>
        </w:numPr>
        <w:spacing w:line="360" w:lineRule="auto"/>
        <w:ind w:right="-29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Importance Value Index</w:t>
      </w:r>
    </w:p>
    <w:p w:rsidR="00C83F4F" w:rsidRDefault="00C83F4F" w:rsidP="00C83F4F">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importance value index gives the total status of the species for community structure. To obtain this value, the percentage value of relative frequency, relative density, and the relative basal area are summed up, and the obtained value is described as the importance value index of the species (Curtis and Mcintosh, 1950). It was assessed using the following formula.</w:t>
      </w:r>
    </w:p>
    <w:p w:rsidR="000D41B0"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Important Value Index = Relative density + Relative </w:t>
      </w:r>
      <w:r w:rsidR="000D41B0">
        <w:rPr>
          <w:rFonts w:ascii="Times New Roman" w:hAnsi="Times New Roman" w:cs="Times New Roman"/>
          <w:color w:val="000000" w:themeColor="text1"/>
          <w:sz w:val="24"/>
          <w:szCs w:val="24"/>
        </w:rPr>
        <w:t xml:space="preserve">Frequency +Relative basal area </w:t>
      </w:r>
    </w:p>
    <w:p w:rsidR="00C83F4F" w:rsidRPr="000D41B0"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Plant Diversity indices</w:t>
      </w:r>
    </w:p>
    <w:p w:rsidR="00C83F4F" w:rsidRDefault="00C83F4F" w:rsidP="00C83F4F">
      <w:p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Species Diversity</w:t>
      </w:r>
    </w:p>
    <w:p w:rsidR="00C83F4F" w:rsidRDefault="00C83F4F" w:rsidP="00C83F4F">
      <w:pPr>
        <w:spacing w:line="360" w:lineRule="auto"/>
        <w:ind w:right="-290" w:firstLine="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Shannon’s index and Simpson’s index of diversity indices were calculated using the following formulas:</w:t>
      </w:r>
    </w:p>
    <w:p w:rsidR="00C83F4F" w:rsidRDefault="00C83F4F" w:rsidP="00C83F4F">
      <w:pPr>
        <w:spacing w:line="360" w:lineRule="auto"/>
        <w:ind w:right="-290" w:firstLine="113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 Shannon and Wiener’s Index (H') Shannon (1968)  </w:t>
      </w:r>
    </w:p>
    <w:p w:rsidR="00C83F4F" w:rsidRPr="002A0220" w:rsidRDefault="00C83F4F" w:rsidP="00C83F4F">
      <w:pPr>
        <w:spacing w:line="360" w:lineRule="auto"/>
        <w:ind w:right="-290"/>
        <w:jc w:val="both"/>
        <w:rPr>
          <w:rFonts w:ascii="Times New Roman" w:hAnsi="Times New Roman" w:cs="Times New Roman"/>
          <w:color w:val="000000" w:themeColor="text1"/>
          <w:sz w:val="24"/>
          <w:szCs w:val="24"/>
          <w:lang w:val="fr-FR"/>
        </w:rPr>
      </w:pPr>
      <w:r w:rsidRPr="002A0220">
        <w:rPr>
          <w:rFonts w:ascii="Times New Roman" w:hAnsi="Times New Roman" w:cs="Times New Roman"/>
          <w:color w:val="000000" w:themeColor="text1"/>
          <w:sz w:val="24"/>
          <w:szCs w:val="24"/>
          <w:lang w:val="fr-FR"/>
        </w:rPr>
        <w:t xml:space="preserve">(a) H' = 3.3219 (log N-1/N </w:t>
      </w:r>
      <w:r>
        <w:rPr>
          <w:rFonts w:ascii="Times New Roman" w:hAnsi="Times New Roman" w:cs="Times New Roman"/>
          <w:color w:val="000000" w:themeColor="text1"/>
          <w:sz w:val="24"/>
          <w:szCs w:val="24"/>
        </w:rPr>
        <w:t>Σ</w:t>
      </w:r>
      <w:r w:rsidRPr="002A0220">
        <w:rPr>
          <w:rFonts w:ascii="Times New Roman" w:hAnsi="Times New Roman" w:cs="Times New Roman"/>
          <w:color w:val="000000" w:themeColor="text1"/>
          <w:sz w:val="24"/>
          <w:szCs w:val="24"/>
          <w:lang w:val="fr-FR"/>
        </w:rPr>
        <w:t xml:space="preserve"> ni log ni)</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Hmax = 3.3219 log</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S</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Hmax is the maximum dispersion taking into account the number of species in the plot</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N- Total number of all the individual of all the species </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ni- Number of individuals of a species </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 Total number of species </w:t>
      </w:r>
    </w:p>
    <w:p w:rsidR="00C83F4F" w:rsidRDefault="00C83F4F" w:rsidP="00C83F4F">
      <w:pPr>
        <w:numPr>
          <w:ilvl w:val="1"/>
          <w:numId w:val="3"/>
        </w:numPr>
        <w:spacing w:line="360" w:lineRule="auto"/>
        <w:ind w:right="-290"/>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the conversion factor log</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to log</w:t>
      </w:r>
      <w:r>
        <w:rPr>
          <w:rFonts w:ascii="Times New Roman" w:hAnsi="Times New Roman" w:cs="Times New Roman"/>
          <w:color w:val="000000" w:themeColor="text1"/>
          <w:sz w:val="24"/>
          <w:szCs w:val="24"/>
          <w:vertAlign w:val="subscript"/>
        </w:rPr>
        <w:t>10</w:t>
      </w:r>
    </w:p>
    <w:p w:rsidR="00C83F4F" w:rsidRDefault="00C83F4F" w:rsidP="00C83F4F">
      <w:pPr>
        <w:pStyle w:val="ListParagraph"/>
        <w:spacing w:line="360" w:lineRule="auto"/>
        <w:ind w:left="0" w:right="-290" w:firstLine="993"/>
        <w:jc w:val="both"/>
        <w:rPr>
          <w:rFonts w:ascii="Times New Roman" w:hAnsi="Times New Roman" w:cs="Times New Roman"/>
          <w:color w:val="000000" w:themeColor="text1"/>
          <w:sz w:val="24"/>
          <w:szCs w:val="24"/>
          <w:vertAlign w:val="subscript"/>
        </w:rPr>
      </w:pPr>
      <w:r>
        <w:rPr>
          <w:rFonts w:ascii="Times New Roman" w:hAnsi="Times New Roman" w:cs="Times New Roman"/>
          <w:b/>
          <w:color w:val="000000" w:themeColor="text1"/>
          <w:sz w:val="24"/>
          <w:szCs w:val="24"/>
        </w:rPr>
        <w:t>ii. Concentration of Dominance</w:t>
      </w:r>
    </w:p>
    <w:p w:rsidR="00C83F4F" w:rsidRDefault="00C83F4F" w:rsidP="00C83F4F">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concentration of dominance is a measure at which community differs in how some measure of importance is shared among the species. Simpson Index (1949) is used to examine the concentration of dominance.</w:t>
      </w:r>
    </w:p>
    <w:p w:rsidR="00C83F4F" w:rsidRDefault="00C83F4F" w:rsidP="00C83F4F">
      <w:pPr>
        <w:spacing w:line="360" w:lineRule="auto"/>
        <w:ind w:right="-290" w:firstLine="993"/>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Simpson’s Index (D) </w:t>
      </w:r>
      <w:r>
        <w:rPr>
          <w:rFonts w:ascii="Times New Roman" w:hAnsi="Times New Roman" w:cs="Times New Roman"/>
          <w:bCs/>
          <w:color w:val="000000" w:themeColor="text1"/>
          <w:sz w:val="24"/>
          <w:szCs w:val="24"/>
        </w:rPr>
        <w:t>(Simpson, 1949)</w:t>
      </w:r>
    </w:p>
    <w:p w:rsidR="00C83F4F" w:rsidRDefault="00C83F4F" w:rsidP="00C83F4F">
      <w:pPr>
        <w:spacing w:line="360" w:lineRule="auto"/>
        <w:ind w:right="-290"/>
        <w:jc w:val="center"/>
        <w:rPr>
          <w:rFonts w:ascii="Times New Roman" w:hAnsi="Times New Roman" w:cs="Times New Roman"/>
          <w:b/>
          <w:color w:val="000000" w:themeColor="text1"/>
          <w:sz w:val="24"/>
          <w:szCs w:val="24"/>
        </w:rPr>
      </w:pPr>
      <m:oMathPara>
        <m:oMath>
          <m:r>
            <w:rPr>
              <w:rFonts w:ascii="Cambria Math" w:hAnsi="Cambria Math" w:cs="Times New Roman"/>
              <w:color w:val="000000" w:themeColor="text1"/>
              <w:sz w:val="24"/>
              <w:szCs w:val="24"/>
            </w:rPr>
            <m:t>λ</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Σ (ni (ni-1)</m:t>
              </m:r>
            </m:num>
            <m:den>
              <m:r>
                <m:rPr>
                  <m:sty m:val="p"/>
                </m:rPr>
                <w:rPr>
                  <w:rFonts w:ascii="Cambria Math" w:hAnsi="Cambria Math" w:cs="Times New Roman"/>
                  <w:color w:val="000000" w:themeColor="text1"/>
                  <w:sz w:val="24"/>
                  <w:szCs w:val="24"/>
                </w:rPr>
                <m:t xml:space="preserve"> N (N-1)</m:t>
              </m:r>
            </m:den>
          </m:f>
        </m:oMath>
      </m:oMathPara>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ni is the was the total number of individuals of species i</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Modified Simpson’s index = λ/1</w:t>
      </w:r>
    </w:p>
    <w:p w:rsidR="00C83F4F" w:rsidRDefault="00C83F4F" w:rsidP="00C83F4F">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total number of all the individuals of all the species</w:t>
      </w:r>
    </w:p>
    <w:p w:rsidR="00C83F4F" w:rsidRDefault="00C83F4F" w:rsidP="00C83F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rsidR="00811CB5" w:rsidRDefault="00C83F4F" w:rsidP="00C83F4F">
      <w:pPr>
        <w:spacing w:after="379" w:line="360" w:lineRule="auto"/>
        <w:jc w:val="both"/>
        <w:rPr>
          <w:rFonts w:ascii="Times New Roman" w:hAnsi="Times New Roman" w:cs="Times New Roman"/>
          <w:sz w:val="24"/>
          <w:szCs w:val="24"/>
        </w:rPr>
      </w:pPr>
      <w:r>
        <w:rPr>
          <w:rFonts w:ascii="Times New Roman" w:hAnsi="Times New Roman" w:cs="Times New Roman"/>
          <w:sz w:val="24"/>
          <w:szCs w:val="24"/>
        </w:rPr>
        <w:t>Species diversity, Paleontological Statistical Software (PAST software) version 4.03 was used in data analysis and know the specie that is more diverse in the study area.</w:t>
      </w:r>
      <w:r w:rsidR="00FC626C">
        <w:rPr>
          <w:rFonts w:ascii="Times New Roman" w:hAnsi="Times New Roman" w:cs="Times New Roman"/>
          <w:sz w:val="24"/>
          <w:szCs w:val="24"/>
        </w:rPr>
        <w:t xml:space="preserve"> </w:t>
      </w:r>
    </w:p>
    <w:p w:rsidR="00340CCA" w:rsidRDefault="00340CCA" w:rsidP="00C83F4F">
      <w:pPr>
        <w:spacing w:after="379" w:line="360" w:lineRule="auto"/>
        <w:jc w:val="both"/>
        <w:rPr>
          <w:rFonts w:ascii="Times New Roman" w:hAnsi="Times New Roman" w:cs="Times New Roman"/>
          <w:b/>
          <w:sz w:val="24"/>
          <w:szCs w:val="24"/>
        </w:rPr>
      </w:pPr>
    </w:p>
    <w:p w:rsidR="00340CCA" w:rsidRDefault="00340CCA" w:rsidP="00C83F4F">
      <w:pPr>
        <w:spacing w:after="379" w:line="360" w:lineRule="auto"/>
        <w:jc w:val="both"/>
        <w:rPr>
          <w:rFonts w:ascii="Times New Roman" w:hAnsi="Times New Roman" w:cs="Times New Roman"/>
          <w:b/>
          <w:sz w:val="24"/>
          <w:szCs w:val="24"/>
        </w:rPr>
      </w:pPr>
    </w:p>
    <w:p w:rsidR="00340CCA" w:rsidRDefault="00C83F4F" w:rsidP="00340CCA">
      <w:pPr>
        <w:spacing w:after="379"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w:t>
      </w:r>
    </w:p>
    <w:p w:rsidR="00C83F4F" w:rsidRDefault="00C83F4F" w:rsidP="00C83F4F">
      <w:pPr>
        <w:spacing w:line="360" w:lineRule="auto"/>
        <w:rPr>
          <w:rFonts w:ascii="Times New Roman" w:hAnsi="Times New Roman" w:cs="Times New Roman"/>
          <w:sz w:val="24"/>
          <w:szCs w:val="24"/>
        </w:rPr>
      </w:pPr>
      <w:r>
        <w:rPr>
          <w:rFonts w:ascii="Times New Roman" w:hAnsi="Times New Roman" w:cs="Times New Roman"/>
          <w:b/>
          <w:sz w:val="24"/>
          <w:szCs w:val="24"/>
        </w:rPr>
        <w:t>Tree Species Diversity</w:t>
      </w:r>
    </w:p>
    <w:tbl>
      <w:tblPr>
        <w:tblpPr w:leftFromText="180" w:rightFromText="180" w:bottomFromText="160" w:vertAnchor="text" w:horzAnchor="margin" w:tblpXSpec="center" w:tblpY="347"/>
        <w:tblW w:w="12995" w:type="dxa"/>
        <w:tblBorders>
          <w:top w:val="single" w:sz="4" w:space="0" w:color="auto"/>
          <w:bottom w:val="single" w:sz="4" w:space="0" w:color="auto"/>
        </w:tblBorders>
        <w:tblLayout w:type="fixed"/>
        <w:tblLook w:val="04A0" w:firstRow="1" w:lastRow="0" w:firstColumn="1" w:lastColumn="0" w:noHBand="0" w:noVBand="1"/>
      </w:tblPr>
      <w:tblGrid>
        <w:gridCol w:w="631"/>
        <w:gridCol w:w="2249"/>
        <w:gridCol w:w="1439"/>
        <w:gridCol w:w="1259"/>
        <w:gridCol w:w="990"/>
        <w:gridCol w:w="1439"/>
        <w:gridCol w:w="1398"/>
        <w:gridCol w:w="1337"/>
        <w:gridCol w:w="1150"/>
        <w:gridCol w:w="1103"/>
      </w:tblGrid>
      <w:tr w:rsidR="00C83F4F" w:rsidTr="00C83F4F">
        <w:trPr>
          <w:trHeight w:val="312"/>
        </w:trPr>
        <w:tc>
          <w:tcPr>
            <w:tcW w:w="631"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S/N          </w:t>
            </w:r>
          </w:p>
        </w:tc>
        <w:tc>
          <w:tcPr>
            <w:tcW w:w="2249" w:type="dxa"/>
            <w:tcBorders>
              <w:top w:val="single" w:sz="4" w:space="0" w:color="auto"/>
              <w:left w:val="nil"/>
              <w:bottom w:val="single" w:sz="4" w:space="0" w:color="auto"/>
              <w:right w:val="nil"/>
            </w:tcBorders>
            <w:noWrap/>
            <w:vAlign w:val="bottom"/>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Bot/ Name</w:t>
            </w:r>
          </w:p>
        </w:tc>
        <w:tc>
          <w:tcPr>
            <w:tcW w:w="1439"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Common</w:t>
            </w:r>
          </w:p>
        </w:tc>
        <w:tc>
          <w:tcPr>
            <w:tcW w:w="1259"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L/Name</w:t>
            </w:r>
          </w:p>
        </w:tc>
        <w:tc>
          <w:tcPr>
            <w:tcW w:w="990"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Nature</w:t>
            </w:r>
          </w:p>
        </w:tc>
        <w:tc>
          <w:tcPr>
            <w:tcW w:w="1439"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Family</w:t>
            </w:r>
          </w:p>
        </w:tc>
        <w:tc>
          <w:tcPr>
            <w:tcW w:w="1398"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1337"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RF</w:t>
            </w:r>
          </w:p>
        </w:tc>
        <w:tc>
          <w:tcPr>
            <w:tcW w:w="1150"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Mean (Dbh)                          </w:t>
            </w:r>
          </w:p>
        </w:tc>
        <w:tc>
          <w:tcPr>
            <w:tcW w:w="1103" w:type="dxa"/>
            <w:tcBorders>
              <w:top w:val="single" w:sz="4" w:space="0" w:color="auto"/>
              <w:left w:val="nil"/>
              <w:bottom w:val="single" w:sz="4" w:space="0" w:color="auto"/>
              <w:right w:val="nil"/>
            </w:tcBorders>
          </w:tcPr>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Hgh(m)</w:t>
            </w:r>
          </w:p>
          <w:p w:rsidR="00C83F4F" w:rsidRDefault="00C83F4F" w:rsidP="00C83F4F">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tc>
      </w:tr>
      <w:tr w:rsidR="00C83F4F" w:rsidTr="00C83F4F">
        <w:trPr>
          <w:trHeight w:val="312"/>
        </w:trPr>
        <w:tc>
          <w:tcPr>
            <w:tcW w:w="631" w:type="dxa"/>
            <w:tcBorders>
              <w:top w:val="single" w:sz="4" w:space="0" w:color="auto"/>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9" w:type="dxa"/>
            <w:tcBorders>
              <w:top w:val="single" w:sz="4" w:space="0" w:color="auto"/>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Azadirachta indica</w:t>
            </w:r>
          </w:p>
        </w:tc>
        <w:tc>
          <w:tcPr>
            <w:tcW w:w="1439" w:type="dxa"/>
            <w:tcBorders>
              <w:top w:val="single" w:sz="4" w:space="0" w:color="auto"/>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Neem</w:t>
            </w:r>
          </w:p>
        </w:tc>
        <w:tc>
          <w:tcPr>
            <w:tcW w:w="1259" w:type="dxa"/>
            <w:tcBorders>
              <w:top w:val="single" w:sz="4" w:space="0" w:color="auto"/>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Darbejiya</w:t>
            </w:r>
          </w:p>
        </w:tc>
        <w:tc>
          <w:tcPr>
            <w:tcW w:w="990" w:type="dxa"/>
            <w:tcBorders>
              <w:top w:val="single" w:sz="4" w:space="0" w:color="auto"/>
              <w:left w:val="nil"/>
              <w:bottom w:val="nil"/>
              <w:right w:val="nil"/>
            </w:tcBorders>
            <w:vAlign w:val="bottom"/>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single" w:sz="4" w:space="0" w:color="auto"/>
              <w:left w:val="nil"/>
              <w:bottom w:val="nil"/>
              <w:right w:val="nil"/>
            </w:tcBorders>
            <w:vAlign w:val="bottom"/>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Meliaceae</w:t>
            </w:r>
          </w:p>
        </w:tc>
        <w:tc>
          <w:tcPr>
            <w:tcW w:w="1398" w:type="dxa"/>
            <w:tcBorders>
              <w:top w:val="single" w:sz="4" w:space="0" w:color="auto"/>
              <w:left w:val="nil"/>
              <w:bottom w:val="nil"/>
              <w:right w:val="nil"/>
            </w:tcBorders>
            <w:vAlign w:val="bottom"/>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468</w:t>
            </w:r>
          </w:p>
        </w:tc>
        <w:tc>
          <w:tcPr>
            <w:tcW w:w="1337" w:type="dxa"/>
            <w:tcBorders>
              <w:top w:val="single" w:sz="4" w:space="0" w:color="auto"/>
              <w:left w:val="nil"/>
              <w:bottom w:val="nil"/>
              <w:right w:val="nil"/>
            </w:tcBorders>
            <w:vAlign w:val="bottom"/>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40.94</w:t>
            </w:r>
          </w:p>
        </w:tc>
        <w:tc>
          <w:tcPr>
            <w:tcW w:w="1150" w:type="dxa"/>
            <w:tcBorders>
              <w:top w:val="single" w:sz="4" w:space="0" w:color="auto"/>
              <w:left w:val="nil"/>
              <w:bottom w:val="nil"/>
              <w:right w:val="nil"/>
            </w:tcBorders>
            <w:vAlign w:val="bottom"/>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99.83</w:t>
            </w:r>
          </w:p>
        </w:tc>
        <w:tc>
          <w:tcPr>
            <w:tcW w:w="1103" w:type="dxa"/>
            <w:tcBorders>
              <w:top w:val="single" w:sz="4" w:space="0" w:color="auto"/>
              <w:left w:val="nil"/>
              <w:bottom w:val="nil"/>
              <w:right w:val="nil"/>
            </w:tcBorders>
            <w:vAlign w:val="bottom"/>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8.57</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Tectona grandis</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Teek</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Lamiaceae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5.16</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100.99</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11.29</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Delonix regia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Flamboyant</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Barankaci</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122.09</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8.25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Diospyros mespiliformis</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Jackal berry</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Kanya</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Ebenaceae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0.44</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75.88</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8.78</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Albizia lebbeck</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Lebbeck</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Kastari</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4.81</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80.42</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7.79</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Khaya senegalensis</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Mahogany</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Madaci</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Meliaceae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110.81</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10.41</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Eucalyptus camaldulensis</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Eucalypts</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Turare</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Myrtaceae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115.68</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4.83</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Syzyguim guineense</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pear</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Malmo</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Myrtaceae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6.56</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65.51</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7.23</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Acacia nilotica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Gum Arabic</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Bagaruwa</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104.74</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9.58</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Acacia sieberiana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Acacia</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Farar kaya</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Leguminosae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2.54</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95.1</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9.01</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Ficus thonningii</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Wild fig</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Chediya</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102.8</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Senna siamea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Kassod</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Malga</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5.34</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89.21</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9.25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Terminalia mantally</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Settellite</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ombretaceae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50.74</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5.82</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Ficus cycomorus</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 mulberry</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Baure </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154.05</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12.23</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Mangifera indica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Mango</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Mangoro</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Anacardiaceae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100.28</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6.77</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Ceiba pentandra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Silk cotton</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Rimi</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Malvaceae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1.92</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85.63</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8.07</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Tamarindus indica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Tamarind</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Tsamiya</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128.85</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10.83</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Ficus platyphylla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Gamji</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Faidherbia albida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Apple ring</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Gao</w:t>
            </w: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111.05</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13.29</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Fraxinus velutina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Valvet ash</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Exotic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13</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91.54</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9.54</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Casuarina equisetifolia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Beach pine</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Exotic </w:t>
            </w:r>
          </w:p>
        </w:tc>
        <w:tc>
          <w:tcPr>
            <w:tcW w:w="1439" w:type="dxa"/>
            <w:tcBorders>
              <w:top w:val="nil"/>
              <w:left w:val="nil"/>
              <w:bottom w:val="nil"/>
              <w:right w:val="nil"/>
            </w:tcBorders>
          </w:tcPr>
          <w:p w:rsidR="00C83F4F" w:rsidRDefault="0029022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C83F4F">
              <w:rPr>
                <w:rFonts w:ascii="Times New Roman" w:eastAsia="Times New Roman" w:hAnsi="Times New Roman" w:cs="Times New Roman"/>
                <w:color w:val="000000"/>
                <w:sz w:val="24"/>
                <w:szCs w:val="24"/>
              </w:rPr>
              <w:t>asuarinaceae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7</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0.61</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8.62</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Terminalia catappa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Indian almond</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Combretaceae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4</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42.38</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Annacardium occidentale</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Cashew</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Kashu</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Exotic</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Anarcadiaceae</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8</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112.72</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5.72</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Parkia biglobosa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Locust bean</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Dorawa</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9</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Ficus benjamina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Weeping fig</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Exotic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Moraceae </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2</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0.17</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Hura crepitans</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Sandbox </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Exotic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Euphorbiaceae </w:t>
            </w: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9</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Butyrospermum paradoxum</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Shea butter</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Kadanya</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Sapolaceae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113.9</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Sclerocarya birrea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 thorn</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Danya </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Anacardiaceae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75.13</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Ficus polita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Herat leaved fig</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Durumi</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3</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Balanite egyptiaca</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Desert date</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Aduwa</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Zygophyllaceae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C83F4F" w:rsidTr="00C83F4F">
        <w:trPr>
          <w:trHeight w:val="312"/>
        </w:trPr>
        <w:tc>
          <w:tcPr>
            <w:tcW w:w="631"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249" w:type="dxa"/>
            <w:tcBorders>
              <w:top w:val="nil"/>
              <w:left w:val="nil"/>
              <w:bottom w:val="nil"/>
              <w:right w:val="nil"/>
            </w:tcBorders>
            <w:noWrap/>
            <w:vAlign w:val="bottom"/>
          </w:tcPr>
          <w:p w:rsidR="00C83F4F" w:rsidRDefault="00C83F4F" w:rsidP="00C83F4F">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Acacia seyal</w:t>
            </w:r>
          </w:p>
        </w:tc>
        <w:tc>
          <w:tcPr>
            <w:tcW w:w="143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Shittim wood</w:t>
            </w:r>
          </w:p>
        </w:tc>
        <w:tc>
          <w:tcPr>
            <w:tcW w:w="1259" w:type="dxa"/>
            <w:tcBorders>
              <w:top w:val="nil"/>
              <w:left w:val="nil"/>
              <w:bottom w:val="nil"/>
              <w:right w:val="nil"/>
            </w:tcBorders>
          </w:tcPr>
          <w:p w:rsidR="00C83F4F" w:rsidRDefault="00C83F4F" w:rsidP="00C83F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Dushe </w:t>
            </w:r>
          </w:p>
        </w:tc>
        <w:tc>
          <w:tcPr>
            <w:tcW w:w="990" w:type="dxa"/>
            <w:tcBorders>
              <w:top w:val="nil"/>
              <w:left w:val="nil"/>
              <w:bottom w:val="nil"/>
              <w:right w:val="nil"/>
            </w:tcBorders>
          </w:tcPr>
          <w:p w:rsidR="00C83F4F" w:rsidRDefault="00C83F4F" w:rsidP="00C83F4F">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rsidR="00C83F4F" w:rsidRDefault="00C83F4F" w:rsidP="00C83F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p w:rsidR="00C83F4F" w:rsidRDefault="00C83F4F" w:rsidP="00C83F4F">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rsidR="00C83F4F" w:rsidRDefault="00C83F4F" w:rsidP="00C83F4F">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195</w:t>
            </w:r>
          </w:p>
        </w:tc>
        <w:tc>
          <w:tcPr>
            <w:tcW w:w="1103" w:type="dxa"/>
            <w:tcBorders>
              <w:top w:val="nil"/>
              <w:left w:val="nil"/>
              <w:bottom w:val="nil"/>
              <w:right w:val="nil"/>
            </w:tcBorders>
            <w:vAlign w:val="bottom"/>
          </w:tcPr>
          <w:p w:rsidR="00C83F4F" w:rsidRDefault="00C83F4F" w:rsidP="00C83F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C83F4F" w:rsidTr="00C83F4F">
        <w:trPr>
          <w:trHeight w:val="312"/>
        </w:trPr>
        <w:tc>
          <w:tcPr>
            <w:tcW w:w="2880" w:type="dxa"/>
            <w:gridSpan w:val="2"/>
            <w:tcBorders>
              <w:top w:val="nil"/>
              <w:left w:val="nil"/>
              <w:bottom w:val="single" w:sz="4" w:space="0" w:color="auto"/>
              <w:right w:val="nil"/>
            </w:tcBorders>
          </w:tcPr>
          <w:p w:rsidR="00C83F4F" w:rsidRDefault="00C83F4F" w:rsidP="00C83F4F">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1439" w:type="dxa"/>
            <w:tcBorders>
              <w:top w:val="nil"/>
              <w:left w:val="nil"/>
              <w:bottom w:val="single" w:sz="4" w:space="0" w:color="auto"/>
              <w:right w:val="nil"/>
            </w:tcBorders>
          </w:tcPr>
          <w:p w:rsidR="00C83F4F" w:rsidRDefault="00C83F4F" w:rsidP="00C83F4F">
            <w:pPr>
              <w:spacing w:after="0" w:line="360" w:lineRule="auto"/>
              <w:jc w:val="both"/>
              <w:rPr>
                <w:rFonts w:ascii="Times New Roman" w:eastAsia="Times New Roman" w:hAnsi="Times New Roman" w:cs="Times New Roman"/>
                <w:b/>
                <w:bCs/>
                <w:color w:val="000000"/>
                <w:sz w:val="24"/>
                <w:szCs w:val="24"/>
              </w:rPr>
            </w:pPr>
          </w:p>
        </w:tc>
        <w:tc>
          <w:tcPr>
            <w:tcW w:w="1259" w:type="dxa"/>
            <w:tcBorders>
              <w:top w:val="nil"/>
              <w:left w:val="nil"/>
              <w:bottom w:val="single" w:sz="4" w:space="0" w:color="auto"/>
              <w:right w:val="nil"/>
            </w:tcBorders>
          </w:tcPr>
          <w:p w:rsidR="00C83F4F" w:rsidRDefault="00C83F4F" w:rsidP="00C83F4F">
            <w:pPr>
              <w:spacing w:after="0" w:line="360" w:lineRule="auto"/>
              <w:jc w:val="both"/>
              <w:rPr>
                <w:rFonts w:ascii="Times New Roman" w:eastAsia="Times New Roman" w:hAnsi="Times New Roman" w:cs="Times New Roman"/>
                <w:b/>
                <w:bCs/>
                <w:color w:val="000000"/>
                <w:sz w:val="24"/>
                <w:szCs w:val="24"/>
              </w:rPr>
            </w:pPr>
          </w:p>
        </w:tc>
        <w:tc>
          <w:tcPr>
            <w:tcW w:w="990" w:type="dxa"/>
            <w:tcBorders>
              <w:top w:val="nil"/>
              <w:left w:val="nil"/>
              <w:bottom w:val="single" w:sz="4" w:space="0" w:color="auto"/>
              <w:right w:val="nil"/>
            </w:tcBorders>
          </w:tcPr>
          <w:p w:rsidR="00C83F4F" w:rsidRDefault="00C83F4F" w:rsidP="00C83F4F">
            <w:pPr>
              <w:spacing w:after="0" w:line="360" w:lineRule="auto"/>
              <w:jc w:val="both"/>
              <w:rPr>
                <w:rFonts w:ascii="Times New Roman" w:eastAsia="SimSun" w:hAnsi="Times New Roman" w:cs="Times New Roman"/>
                <w:b/>
                <w:bCs/>
                <w:color w:val="000000"/>
                <w:sz w:val="24"/>
                <w:szCs w:val="24"/>
              </w:rPr>
            </w:pPr>
          </w:p>
        </w:tc>
        <w:tc>
          <w:tcPr>
            <w:tcW w:w="1439" w:type="dxa"/>
            <w:tcBorders>
              <w:top w:val="nil"/>
              <w:left w:val="nil"/>
              <w:bottom w:val="single" w:sz="4" w:space="0" w:color="auto"/>
              <w:right w:val="nil"/>
            </w:tcBorders>
          </w:tcPr>
          <w:p w:rsidR="00C83F4F" w:rsidRDefault="00C83F4F" w:rsidP="00C83F4F">
            <w:pPr>
              <w:spacing w:after="0" w:line="360" w:lineRule="auto"/>
              <w:jc w:val="both"/>
              <w:rPr>
                <w:rFonts w:ascii="Times New Roman" w:hAnsi="Times New Roman" w:cs="Times New Roman"/>
                <w:b/>
                <w:bCs/>
                <w:color w:val="000000"/>
                <w:sz w:val="24"/>
                <w:szCs w:val="24"/>
              </w:rPr>
            </w:pPr>
          </w:p>
        </w:tc>
        <w:tc>
          <w:tcPr>
            <w:tcW w:w="1398" w:type="dxa"/>
            <w:tcBorders>
              <w:top w:val="nil"/>
              <w:left w:val="nil"/>
              <w:bottom w:val="single" w:sz="4" w:space="0" w:color="auto"/>
              <w:right w:val="nil"/>
            </w:tcBorders>
            <w:vAlign w:val="bottom"/>
          </w:tcPr>
          <w:p w:rsidR="00C83F4F" w:rsidRDefault="00C83F4F" w:rsidP="00C83F4F">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1144</w:t>
            </w:r>
          </w:p>
        </w:tc>
        <w:tc>
          <w:tcPr>
            <w:tcW w:w="1337" w:type="dxa"/>
            <w:tcBorders>
              <w:top w:val="nil"/>
              <w:left w:val="nil"/>
              <w:bottom w:val="single" w:sz="4" w:space="0" w:color="auto"/>
              <w:right w:val="nil"/>
            </w:tcBorders>
            <w:vAlign w:val="bottom"/>
          </w:tcPr>
          <w:p w:rsidR="00C83F4F" w:rsidRDefault="00C83F4F" w:rsidP="00C83F4F">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c>
          <w:tcPr>
            <w:tcW w:w="1150" w:type="dxa"/>
            <w:tcBorders>
              <w:top w:val="nil"/>
              <w:left w:val="nil"/>
              <w:bottom w:val="single" w:sz="4" w:space="0" w:color="auto"/>
              <w:right w:val="nil"/>
            </w:tcBorders>
            <w:vAlign w:val="bottom"/>
          </w:tcPr>
          <w:p w:rsidR="00C83F4F" w:rsidRDefault="00C83F4F" w:rsidP="00C83F4F">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1103" w:type="dxa"/>
            <w:tcBorders>
              <w:top w:val="nil"/>
              <w:left w:val="nil"/>
              <w:bottom w:val="single" w:sz="4" w:space="0" w:color="auto"/>
              <w:right w:val="nil"/>
            </w:tcBorders>
            <w:vAlign w:val="bottom"/>
          </w:tcPr>
          <w:p w:rsidR="00C83F4F" w:rsidRDefault="00C83F4F" w:rsidP="00C83F4F">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bl>
    <w:p w:rsidR="000D41B0" w:rsidRDefault="000D41B0" w:rsidP="000D41B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Table 1: Tree Species Composition in Kano Metropolis</w:t>
      </w:r>
    </w:p>
    <w:p w:rsidR="000D41B0" w:rsidRDefault="000D41B0" w:rsidP="000D41B0">
      <w:pPr>
        <w:tabs>
          <w:tab w:val="left" w:pos="14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29022F" w:rsidRPr="00E106A3" w:rsidRDefault="0029022F" w:rsidP="00E106A3">
      <w:pPr>
        <w:pStyle w:val="NoSpacing"/>
        <w:spacing w:line="360" w:lineRule="auto"/>
        <w:jc w:val="both"/>
        <w:rPr>
          <w:rFonts w:ascii="Times New Roman" w:hAnsi="Times New Roman" w:cs="Times New Roman"/>
          <w:bCs/>
          <w:iCs/>
          <w:sz w:val="24"/>
          <w:szCs w:val="24"/>
        </w:rPr>
      </w:pPr>
      <w:r>
        <w:rPr>
          <w:rFonts w:ascii="Times New Roman" w:hAnsi="Times New Roman" w:cs="Times New Roman"/>
          <w:bCs/>
          <w:sz w:val="24"/>
          <w:szCs w:val="24"/>
        </w:rPr>
        <w:lastRenderedPageBreak/>
        <w:t xml:space="preserve">The tree species composition describes the nature of the population of trees in a given area. </w:t>
      </w:r>
      <w:r>
        <w:rPr>
          <w:rFonts w:ascii="Times New Roman" w:hAnsi="Times New Roman" w:cs="Times New Roman"/>
          <w:sz w:val="24"/>
          <w:szCs w:val="24"/>
        </w:rPr>
        <w:t xml:space="preserve">Kano metropolis is blessed with diverse composition of tree species. </w:t>
      </w:r>
      <w:r>
        <w:rPr>
          <w:rFonts w:ascii="Times New Roman" w:hAnsi="Times New Roman" w:cs="Times New Roman"/>
          <w:bCs/>
          <w:sz w:val="24"/>
          <w:szCs w:val="24"/>
        </w:rPr>
        <w:t xml:space="preserve"> It tells about quantity and the of the tree species of that location. Table 1 presented the nature of tree species in Kano Metropolis. The total of one thousand one-hundred and forty-four (</w:t>
      </w:r>
      <w:r>
        <w:rPr>
          <w:rFonts w:ascii="Times New Roman" w:hAnsi="Times New Roman" w:cs="Times New Roman"/>
          <w:color w:val="000000"/>
          <w:sz w:val="24"/>
          <w:szCs w:val="24"/>
        </w:rPr>
        <w:t>1144) trees, belonging to t</w:t>
      </w:r>
      <w:r>
        <w:rPr>
          <w:rFonts w:ascii="Times New Roman" w:hAnsi="Times New Roman" w:cs="Times New Roman"/>
          <w:bCs/>
          <w:sz w:val="24"/>
          <w:szCs w:val="24"/>
        </w:rPr>
        <w:t xml:space="preserve">hirty-one (31) native and exotic species of trees were identified in the study area. The species were distributed in to 15 different families. The species of </w:t>
      </w:r>
      <w:r>
        <w:rPr>
          <w:rFonts w:ascii="Times New Roman" w:eastAsia="Times New Roman" w:hAnsi="Times New Roman" w:cs="Times New Roman"/>
          <w:i/>
          <w:color w:val="000000"/>
          <w:sz w:val="24"/>
          <w:szCs w:val="24"/>
        </w:rPr>
        <w:t xml:space="preserve">Azadirachta indica </w:t>
      </w:r>
      <w:r>
        <w:rPr>
          <w:rFonts w:ascii="Times New Roman" w:eastAsia="Times New Roman" w:hAnsi="Times New Roman" w:cs="Times New Roman"/>
          <w:iCs/>
          <w:color w:val="000000"/>
          <w:sz w:val="24"/>
          <w:szCs w:val="24"/>
        </w:rPr>
        <w:t>recorded the highest frequency of (</w:t>
      </w:r>
      <w:r>
        <w:rPr>
          <w:rFonts w:ascii="Times New Roman" w:hAnsi="Times New Roman" w:cs="Times New Roman"/>
          <w:color w:val="000000"/>
          <w:sz w:val="24"/>
          <w:szCs w:val="24"/>
        </w:rPr>
        <w:t xml:space="preserve">468) while </w:t>
      </w:r>
      <w:r>
        <w:rPr>
          <w:rFonts w:ascii="Times New Roman" w:hAnsi="Times New Roman" w:cs="Times New Roman"/>
          <w:i/>
          <w:iCs/>
          <w:color w:val="000000"/>
          <w:sz w:val="24"/>
          <w:szCs w:val="24"/>
        </w:rPr>
        <w:t>Ficus platyphylla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Balanite egyptiaca</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Acacia seyel</w:t>
      </w:r>
      <w:r>
        <w:rPr>
          <w:rFonts w:ascii="Times New Roman" w:hAnsi="Times New Roman" w:cs="Times New Roman"/>
          <w:color w:val="000000"/>
          <w:sz w:val="24"/>
          <w:szCs w:val="24"/>
        </w:rPr>
        <w:t xml:space="preserve"> recorded one across the study area. </w:t>
      </w:r>
      <w:r>
        <w:rPr>
          <w:rFonts w:ascii="Times New Roman" w:hAnsi="Times New Roman" w:cs="Times New Roman"/>
          <w:i/>
          <w:iCs/>
          <w:color w:val="000000"/>
          <w:sz w:val="24"/>
          <w:szCs w:val="24"/>
        </w:rPr>
        <w:t>Acacia seyel</w:t>
      </w:r>
      <w:r>
        <w:rPr>
          <w:rFonts w:ascii="Times New Roman" w:hAnsi="Times New Roman" w:cs="Times New Roman"/>
          <w:color w:val="000000"/>
          <w:sz w:val="24"/>
          <w:szCs w:val="24"/>
        </w:rPr>
        <w:t xml:space="preserve"> had the largest mean DBH of 195cm while </w:t>
      </w:r>
      <w:r>
        <w:rPr>
          <w:rFonts w:ascii="Times New Roman" w:eastAsia="Times New Roman" w:hAnsi="Times New Roman" w:cs="Times New Roman"/>
          <w:i/>
          <w:color w:val="000000"/>
          <w:sz w:val="24"/>
          <w:szCs w:val="24"/>
        </w:rPr>
        <w:t xml:space="preserve">Hura crepitans </w:t>
      </w:r>
      <w:r>
        <w:rPr>
          <w:rFonts w:ascii="Times New Roman" w:eastAsia="Times New Roman" w:hAnsi="Times New Roman" w:cs="Times New Roman"/>
          <w:iCs/>
          <w:color w:val="000000"/>
          <w:sz w:val="24"/>
          <w:szCs w:val="24"/>
        </w:rPr>
        <w:t xml:space="preserve">recorded the least 24cm. Similarly, </w:t>
      </w:r>
      <w:r>
        <w:rPr>
          <w:rFonts w:ascii="Times New Roman" w:hAnsi="Times New Roman" w:cs="Times New Roman"/>
          <w:i/>
          <w:iCs/>
          <w:color w:val="000000"/>
          <w:sz w:val="24"/>
          <w:szCs w:val="24"/>
        </w:rPr>
        <w:t xml:space="preserve">Acacia seyel </w:t>
      </w:r>
      <w:r>
        <w:rPr>
          <w:rFonts w:ascii="Times New Roman" w:hAnsi="Times New Roman" w:cs="Times New Roman"/>
          <w:color w:val="000000"/>
          <w:sz w:val="24"/>
          <w:szCs w:val="24"/>
        </w:rPr>
        <w:t xml:space="preserve">had the highest mean height of 15m while </w:t>
      </w:r>
      <w:r>
        <w:rPr>
          <w:rFonts w:ascii="Times New Roman" w:eastAsia="Times New Roman" w:hAnsi="Times New Roman" w:cs="Times New Roman"/>
          <w:i/>
          <w:color w:val="000000"/>
          <w:sz w:val="24"/>
          <w:szCs w:val="24"/>
        </w:rPr>
        <w:t>Hura crepitans</w:t>
      </w:r>
      <w:r>
        <w:rPr>
          <w:rFonts w:ascii="Times New Roman" w:eastAsia="Times New Roman" w:hAnsi="Times New Roman" w:cs="Times New Roman"/>
          <w:iCs/>
          <w:color w:val="000000"/>
          <w:sz w:val="24"/>
          <w:szCs w:val="24"/>
        </w:rPr>
        <w:t xml:space="preserve"> </w:t>
      </w:r>
      <w:r>
        <w:rPr>
          <w:rFonts w:ascii="Times New Roman" w:hAnsi="Times New Roman" w:cs="Times New Roman"/>
          <w:color w:val="000000"/>
          <w:sz w:val="24"/>
          <w:szCs w:val="24"/>
        </w:rPr>
        <w:t>2.47m.</w:t>
      </w:r>
    </w:p>
    <w:p w:rsidR="000D41B0" w:rsidRPr="000D41B0" w:rsidRDefault="000D41B0" w:rsidP="000D41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Species Diversity Index</w:t>
      </w:r>
    </w:p>
    <w:tbl>
      <w:tblPr>
        <w:tblStyle w:val="TableGrid"/>
        <w:tblW w:w="1378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1296"/>
        <w:gridCol w:w="1348"/>
        <w:gridCol w:w="1230"/>
        <w:gridCol w:w="1320"/>
        <w:gridCol w:w="1520"/>
        <w:gridCol w:w="1050"/>
        <w:gridCol w:w="1420"/>
        <w:gridCol w:w="1460"/>
        <w:gridCol w:w="1236"/>
      </w:tblGrid>
      <w:tr w:rsidR="00C83F4F" w:rsidTr="00C83F4F">
        <w:trPr>
          <w:trHeight w:val="876"/>
          <w:jc w:val="center"/>
        </w:trPr>
        <w:tc>
          <w:tcPr>
            <w:tcW w:w="1903"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p>
          <w:p w:rsidR="000D41B0" w:rsidRDefault="000D41B0" w:rsidP="00C83F4F">
            <w:pPr>
              <w:spacing w:line="360" w:lineRule="auto"/>
              <w:rPr>
                <w:b/>
                <w:bCs/>
                <w:sz w:val="24"/>
                <w:szCs w:val="24"/>
              </w:rPr>
            </w:pPr>
          </w:p>
        </w:tc>
        <w:tc>
          <w:tcPr>
            <w:tcW w:w="1296"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 xml:space="preserve">Audu Bako Zoological Garden   </w:t>
            </w:r>
          </w:p>
        </w:tc>
        <w:tc>
          <w:tcPr>
            <w:tcW w:w="1348"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Bayero University</w:t>
            </w:r>
          </w:p>
        </w:tc>
        <w:tc>
          <w:tcPr>
            <w:tcW w:w="1230"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 xml:space="preserve">Sa`adatu Rimi   </w:t>
            </w:r>
          </w:p>
        </w:tc>
        <w:tc>
          <w:tcPr>
            <w:tcW w:w="1320"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Audu bako Secretariate</w:t>
            </w:r>
          </w:p>
        </w:tc>
        <w:tc>
          <w:tcPr>
            <w:tcW w:w="1520"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 xml:space="preserve">Tarauni Secretariate    </w:t>
            </w:r>
          </w:p>
        </w:tc>
        <w:tc>
          <w:tcPr>
            <w:tcW w:w="1050"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Gwarzo Road</w:t>
            </w:r>
          </w:p>
        </w:tc>
        <w:tc>
          <w:tcPr>
            <w:tcW w:w="1420"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 xml:space="preserve">Zaria Road     </w:t>
            </w:r>
          </w:p>
        </w:tc>
        <w:tc>
          <w:tcPr>
            <w:tcW w:w="1460"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Dansarari Eid Ground</w:t>
            </w:r>
          </w:p>
        </w:tc>
        <w:tc>
          <w:tcPr>
            <w:tcW w:w="1236" w:type="dxa"/>
            <w:tcBorders>
              <w:top w:val="single" w:sz="4" w:space="0" w:color="auto"/>
              <w:left w:val="nil"/>
              <w:bottom w:val="single" w:sz="4" w:space="0" w:color="auto"/>
              <w:right w:val="nil"/>
            </w:tcBorders>
          </w:tcPr>
          <w:p w:rsidR="00C83F4F" w:rsidRDefault="00C83F4F" w:rsidP="00C83F4F">
            <w:pPr>
              <w:spacing w:line="360" w:lineRule="auto"/>
              <w:rPr>
                <w:b/>
                <w:bCs/>
                <w:sz w:val="24"/>
                <w:szCs w:val="24"/>
              </w:rPr>
            </w:pPr>
            <w:r>
              <w:rPr>
                <w:b/>
                <w:bCs/>
                <w:sz w:val="24"/>
                <w:szCs w:val="24"/>
              </w:rPr>
              <w:t>Mean value</w:t>
            </w:r>
          </w:p>
        </w:tc>
      </w:tr>
      <w:tr w:rsidR="00C83F4F" w:rsidTr="00C83F4F">
        <w:trPr>
          <w:trHeight w:val="520"/>
          <w:jc w:val="center"/>
        </w:trPr>
        <w:tc>
          <w:tcPr>
            <w:tcW w:w="1903" w:type="dxa"/>
            <w:tcBorders>
              <w:top w:val="single" w:sz="4" w:space="0" w:color="auto"/>
              <w:left w:val="nil"/>
              <w:bottom w:val="nil"/>
              <w:right w:val="nil"/>
            </w:tcBorders>
          </w:tcPr>
          <w:p w:rsidR="00C83F4F" w:rsidRDefault="00C83F4F" w:rsidP="00C83F4F">
            <w:pPr>
              <w:spacing w:line="360" w:lineRule="auto"/>
              <w:rPr>
                <w:b/>
                <w:bCs/>
                <w:sz w:val="24"/>
                <w:szCs w:val="24"/>
              </w:rPr>
            </w:pPr>
            <w:r>
              <w:rPr>
                <w:b/>
                <w:bCs/>
                <w:sz w:val="24"/>
                <w:szCs w:val="24"/>
              </w:rPr>
              <w:t>Taxa_S</w:t>
            </w:r>
            <w:r>
              <w:rPr>
                <w:b/>
                <w:bCs/>
                <w:sz w:val="24"/>
                <w:szCs w:val="24"/>
              </w:rPr>
              <w:tab/>
            </w:r>
          </w:p>
        </w:tc>
        <w:tc>
          <w:tcPr>
            <w:tcW w:w="1296"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21</w:t>
            </w:r>
          </w:p>
        </w:tc>
        <w:tc>
          <w:tcPr>
            <w:tcW w:w="1348"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20</w:t>
            </w:r>
          </w:p>
        </w:tc>
        <w:tc>
          <w:tcPr>
            <w:tcW w:w="1230"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23</w:t>
            </w:r>
          </w:p>
        </w:tc>
        <w:tc>
          <w:tcPr>
            <w:tcW w:w="1320"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7</w:t>
            </w:r>
          </w:p>
        </w:tc>
        <w:tc>
          <w:tcPr>
            <w:tcW w:w="1520"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5</w:t>
            </w:r>
          </w:p>
        </w:tc>
        <w:tc>
          <w:tcPr>
            <w:tcW w:w="1050"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8</w:t>
            </w:r>
          </w:p>
        </w:tc>
        <w:tc>
          <w:tcPr>
            <w:tcW w:w="1420"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9</w:t>
            </w:r>
          </w:p>
        </w:tc>
        <w:tc>
          <w:tcPr>
            <w:tcW w:w="1460"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5</w:t>
            </w:r>
          </w:p>
        </w:tc>
        <w:tc>
          <w:tcPr>
            <w:tcW w:w="1236" w:type="dxa"/>
            <w:tcBorders>
              <w:top w:val="single" w:sz="4" w:space="0" w:color="auto"/>
              <w:left w:val="nil"/>
              <w:bottom w:val="nil"/>
              <w:right w:val="nil"/>
            </w:tcBorders>
          </w:tcPr>
          <w:p w:rsidR="00C83F4F" w:rsidRDefault="00C83F4F" w:rsidP="00C83F4F">
            <w:pPr>
              <w:spacing w:line="360" w:lineRule="auto"/>
              <w:jc w:val="right"/>
              <w:rPr>
                <w:sz w:val="24"/>
                <w:szCs w:val="24"/>
              </w:rPr>
            </w:pPr>
            <w:r>
              <w:rPr>
                <w:sz w:val="24"/>
                <w:szCs w:val="24"/>
              </w:rPr>
              <w:t>12.25</w:t>
            </w:r>
          </w:p>
        </w:tc>
      </w:tr>
      <w:tr w:rsidR="00C83F4F" w:rsidTr="00C83F4F">
        <w:trPr>
          <w:trHeight w:val="520"/>
          <w:jc w:val="center"/>
        </w:trPr>
        <w:tc>
          <w:tcPr>
            <w:tcW w:w="1903" w:type="dxa"/>
            <w:tcBorders>
              <w:top w:val="nil"/>
              <w:left w:val="nil"/>
              <w:bottom w:val="nil"/>
              <w:right w:val="nil"/>
            </w:tcBorders>
          </w:tcPr>
          <w:p w:rsidR="00C83F4F" w:rsidRDefault="00C83F4F" w:rsidP="00C83F4F">
            <w:pPr>
              <w:spacing w:line="360" w:lineRule="auto"/>
              <w:rPr>
                <w:b/>
                <w:bCs/>
                <w:sz w:val="24"/>
                <w:szCs w:val="24"/>
              </w:rPr>
            </w:pPr>
            <w:r>
              <w:rPr>
                <w:b/>
                <w:bCs/>
                <w:sz w:val="24"/>
                <w:szCs w:val="24"/>
              </w:rPr>
              <w:t>Individuals</w:t>
            </w:r>
          </w:p>
        </w:tc>
        <w:tc>
          <w:tcPr>
            <w:tcW w:w="129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358</w:t>
            </w:r>
          </w:p>
        </w:tc>
        <w:tc>
          <w:tcPr>
            <w:tcW w:w="1348"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380</w:t>
            </w:r>
          </w:p>
        </w:tc>
        <w:tc>
          <w:tcPr>
            <w:tcW w:w="123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144</w:t>
            </w:r>
          </w:p>
        </w:tc>
        <w:tc>
          <w:tcPr>
            <w:tcW w:w="13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54</w:t>
            </w:r>
          </w:p>
        </w:tc>
        <w:tc>
          <w:tcPr>
            <w:tcW w:w="15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22</w:t>
            </w:r>
          </w:p>
        </w:tc>
        <w:tc>
          <w:tcPr>
            <w:tcW w:w="105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34</w:t>
            </w:r>
          </w:p>
        </w:tc>
        <w:tc>
          <w:tcPr>
            <w:tcW w:w="14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93</w:t>
            </w:r>
          </w:p>
        </w:tc>
        <w:tc>
          <w:tcPr>
            <w:tcW w:w="146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59</w:t>
            </w:r>
          </w:p>
        </w:tc>
        <w:tc>
          <w:tcPr>
            <w:tcW w:w="123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143</w:t>
            </w:r>
          </w:p>
        </w:tc>
      </w:tr>
      <w:tr w:rsidR="00C83F4F" w:rsidTr="00C83F4F">
        <w:trPr>
          <w:trHeight w:val="507"/>
          <w:jc w:val="center"/>
        </w:trPr>
        <w:tc>
          <w:tcPr>
            <w:tcW w:w="1903" w:type="dxa"/>
            <w:tcBorders>
              <w:top w:val="nil"/>
              <w:left w:val="nil"/>
              <w:bottom w:val="nil"/>
              <w:right w:val="nil"/>
            </w:tcBorders>
          </w:tcPr>
          <w:p w:rsidR="00C83F4F" w:rsidRDefault="00C83F4F" w:rsidP="00C83F4F">
            <w:pPr>
              <w:spacing w:line="360" w:lineRule="auto"/>
              <w:rPr>
                <w:b/>
                <w:bCs/>
                <w:sz w:val="24"/>
                <w:szCs w:val="24"/>
              </w:rPr>
            </w:pPr>
            <w:r>
              <w:rPr>
                <w:b/>
                <w:bCs/>
                <w:sz w:val="24"/>
                <w:szCs w:val="24"/>
              </w:rPr>
              <w:t>Dominance_D</w:t>
            </w:r>
          </w:p>
        </w:tc>
        <w:tc>
          <w:tcPr>
            <w:tcW w:w="129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0.1938  </w:t>
            </w:r>
          </w:p>
        </w:tc>
        <w:tc>
          <w:tcPr>
            <w:tcW w:w="1348"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0.2159  </w:t>
            </w:r>
          </w:p>
        </w:tc>
        <w:tc>
          <w:tcPr>
            <w:tcW w:w="123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0.1753</w:t>
            </w:r>
          </w:p>
        </w:tc>
        <w:tc>
          <w:tcPr>
            <w:tcW w:w="13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0.4218            </w:t>
            </w:r>
          </w:p>
        </w:tc>
        <w:tc>
          <w:tcPr>
            <w:tcW w:w="15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0.2893</w:t>
            </w:r>
          </w:p>
        </w:tc>
        <w:tc>
          <w:tcPr>
            <w:tcW w:w="105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0.2855</w:t>
            </w:r>
          </w:p>
        </w:tc>
        <w:tc>
          <w:tcPr>
            <w:tcW w:w="14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0.1678</w:t>
            </w:r>
          </w:p>
        </w:tc>
        <w:tc>
          <w:tcPr>
            <w:tcW w:w="146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  0.7259</w:t>
            </w:r>
          </w:p>
        </w:tc>
        <w:tc>
          <w:tcPr>
            <w:tcW w:w="123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0.3094</w:t>
            </w:r>
          </w:p>
        </w:tc>
      </w:tr>
      <w:tr w:rsidR="00C83F4F" w:rsidTr="00C83F4F">
        <w:trPr>
          <w:trHeight w:val="850"/>
          <w:jc w:val="center"/>
        </w:trPr>
        <w:tc>
          <w:tcPr>
            <w:tcW w:w="1903" w:type="dxa"/>
            <w:tcBorders>
              <w:top w:val="nil"/>
              <w:left w:val="nil"/>
              <w:bottom w:val="nil"/>
              <w:right w:val="nil"/>
            </w:tcBorders>
          </w:tcPr>
          <w:p w:rsidR="00C83F4F" w:rsidRDefault="00C83F4F" w:rsidP="00C83F4F">
            <w:pPr>
              <w:spacing w:line="360" w:lineRule="auto"/>
              <w:rPr>
                <w:b/>
                <w:bCs/>
                <w:sz w:val="24"/>
                <w:szCs w:val="24"/>
              </w:rPr>
            </w:pPr>
            <w:r>
              <w:rPr>
                <w:b/>
                <w:bCs/>
                <w:sz w:val="24"/>
                <w:szCs w:val="24"/>
              </w:rPr>
              <w:t xml:space="preserve">Simpson_1-D  </w:t>
            </w:r>
          </w:p>
        </w:tc>
        <w:tc>
          <w:tcPr>
            <w:tcW w:w="129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0.8062   </w:t>
            </w:r>
          </w:p>
        </w:tc>
        <w:tc>
          <w:tcPr>
            <w:tcW w:w="1348"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0.7841  </w:t>
            </w:r>
          </w:p>
        </w:tc>
        <w:tc>
          <w:tcPr>
            <w:tcW w:w="123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0.8247</w:t>
            </w:r>
          </w:p>
        </w:tc>
        <w:tc>
          <w:tcPr>
            <w:tcW w:w="13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0.5782</w:t>
            </w:r>
          </w:p>
        </w:tc>
        <w:tc>
          <w:tcPr>
            <w:tcW w:w="15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   0.7107</w:t>
            </w:r>
          </w:p>
        </w:tc>
        <w:tc>
          <w:tcPr>
            <w:tcW w:w="105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0.7145</w:t>
            </w:r>
          </w:p>
        </w:tc>
        <w:tc>
          <w:tcPr>
            <w:tcW w:w="14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0.8322</w:t>
            </w:r>
          </w:p>
        </w:tc>
        <w:tc>
          <w:tcPr>
            <w:tcW w:w="146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0.2741</w:t>
            </w:r>
          </w:p>
        </w:tc>
        <w:tc>
          <w:tcPr>
            <w:tcW w:w="123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0.6899</w:t>
            </w:r>
          </w:p>
        </w:tc>
      </w:tr>
      <w:tr w:rsidR="00C83F4F" w:rsidTr="00C83F4F">
        <w:trPr>
          <w:trHeight w:val="837"/>
          <w:jc w:val="center"/>
        </w:trPr>
        <w:tc>
          <w:tcPr>
            <w:tcW w:w="1903" w:type="dxa"/>
            <w:tcBorders>
              <w:top w:val="nil"/>
              <w:left w:val="nil"/>
              <w:bottom w:val="nil"/>
              <w:right w:val="nil"/>
            </w:tcBorders>
          </w:tcPr>
          <w:p w:rsidR="00C83F4F" w:rsidRDefault="00C83F4F" w:rsidP="00C83F4F">
            <w:pPr>
              <w:spacing w:line="360" w:lineRule="auto"/>
              <w:rPr>
                <w:b/>
                <w:bCs/>
                <w:sz w:val="24"/>
                <w:szCs w:val="24"/>
              </w:rPr>
            </w:pPr>
            <w:r>
              <w:rPr>
                <w:b/>
                <w:bCs/>
                <w:sz w:val="24"/>
                <w:szCs w:val="24"/>
              </w:rPr>
              <w:t xml:space="preserve">Shannon_H      </w:t>
            </w:r>
          </w:p>
        </w:tc>
        <w:tc>
          <w:tcPr>
            <w:tcW w:w="129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2.235     </w:t>
            </w:r>
          </w:p>
        </w:tc>
        <w:tc>
          <w:tcPr>
            <w:tcW w:w="1348"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2.032    </w:t>
            </w:r>
          </w:p>
        </w:tc>
        <w:tc>
          <w:tcPr>
            <w:tcW w:w="123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2.359</w:t>
            </w:r>
          </w:p>
        </w:tc>
        <w:tc>
          <w:tcPr>
            <w:tcW w:w="13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 1.077</w:t>
            </w:r>
          </w:p>
        </w:tc>
        <w:tc>
          <w:tcPr>
            <w:tcW w:w="15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     1.35</w:t>
            </w:r>
            <w:r>
              <w:rPr>
                <w:sz w:val="24"/>
                <w:szCs w:val="24"/>
              </w:rPr>
              <w:tab/>
            </w:r>
          </w:p>
        </w:tc>
        <w:tc>
          <w:tcPr>
            <w:tcW w:w="105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 xml:space="preserve">1.572    </w:t>
            </w:r>
          </w:p>
        </w:tc>
        <w:tc>
          <w:tcPr>
            <w:tcW w:w="14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1.898</w:t>
            </w:r>
          </w:p>
        </w:tc>
        <w:tc>
          <w:tcPr>
            <w:tcW w:w="146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0.6124</w:t>
            </w:r>
          </w:p>
        </w:tc>
        <w:tc>
          <w:tcPr>
            <w:tcW w:w="123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1.6419</w:t>
            </w:r>
          </w:p>
        </w:tc>
      </w:tr>
      <w:tr w:rsidR="00C83F4F" w:rsidTr="00C83F4F">
        <w:trPr>
          <w:trHeight w:val="520"/>
          <w:jc w:val="center"/>
        </w:trPr>
        <w:tc>
          <w:tcPr>
            <w:tcW w:w="1903" w:type="dxa"/>
            <w:tcBorders>
              <w:top w:val="nil"/>
              <w:left w:val="nil"/>
              <w:bottom w:val="nil"/>
              <w:right w:val="nil"/>
            </w:tcBorders>
          </w:tcPr>
          <w:p w:rsidR="00C83F4F" w:rsidRDefault="00C83F4F" w:rsidP="00C83F4F">
            <w:pPr>
              <w:spacing w:line="360" w:lineRule="auto"/>
              <w:rPr>
                <w:b/>
                <w:bCs/>
                <w:sz w:val="24"/>
                <w:szCs w:val="24"/>
              </w:rPr>
            </w:pPr>
            <w:r>
              <w:rPr>
                <w:b/>
                <w:bCs/>
                <w:sz w:val="24"/>
                <w:szCs w:val="24"/>
              </w:rPr>
              <w:t>Evenness_e^H/S</w:t>
            </w:r>
          </w:p>
        </w:tc>
        <w:tc>
          <w:tcPr>
            <w:tcW w:w="129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0.4451</w:t>
            </w:r>
          </w:p>
        </w:tc>
        <w:tc>
          <w:tcPr>
            <w:tcW w:w="1348"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0.3813</w:t>
            </w:r>
          </w:p>
        </w:tc>
        <w:tc>
          <w:tcPr>
            <w:tcW w:w="123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0.46</w:t>
            </w:r>
          </w:p>
        </w:tc>
        <w:tc>
          <w:tcPr>
            <w:tcW w:w="13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0.4195</w:t>
            </w:r>
          </w:p>
        </w:tc>
        <w:tc>
          <w:tcPr>
            <w:tcW w:w="15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0.7714</w:t>
            </w:r>
          </w:p>
        </w:tc>
        <w:tc>
          <w:tcPr>
            <w:tcW w:w="105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0.6019</w:t>
            </w:r>
            <w:r>
              <w:rPr>
                <w:sz w:val="24"/>
                <w:szCs w:val="24"/>
              </w:rPr>
              <w:tab/>
            </w:r>
          </w:p>
        </w:tc>
        <w:tc>
          <w:tcPr>
            <w:tcW w:w="14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0.7414</w:t>
            </w:r>
          </w:p>
        </w:tc>
        <w:tc>
          <w:tcPr>
            <w:tcW w:w="146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0.369</w:t>
            </w:r>
          </w:p>
        </w:tc>
        <w:tc>
          <w:tcPr>
            <w:tcW w:w="123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0.5237</w:t>
            </w:r>
          </w:p>
        </w:tc>
      </w:tr>
      <w:tr w:rsidR="00C83F4F" w:rsidTr="00C83F4F">
        <w:trPr>
          <w:trHeight w:val="507"/>
          <w:jc w:val="center"/>
        </w:trPr>
        <w:tc>
          <w:tcPr>
            <w:tcW w:w="1903" w:type="dxa"/>
            <w:tcBorders>
              <w:top w:val="nil"/>
              <w:left w:val="nil"/>
              <w:bottom w:val="nil"/>
              <w:right w:val="nil"/>
            </w:tcBorders>
          </w:tcPr>
          <w:p w:rsidR="00C83F4F" w:rsidRDefault="00C83F4F" w:rsidP="00C83F4F">
            <w:pPr>
              <w:spacing w:line="360" w:lineRule="auto"/>
              <w:rPr>
                <w:b/>
                <w:bCs/>
                <w:sz w:val="24"/>
                <w:szCs w:val="24"/>
              </w:rPr>
            </w:pPr>
            <w:r>
              <w:rPr>
                <w:b/>
                <w:bCs/>
                <w:sz w:val="24"/>
                <w:szCs w:val="24"/>
              </w:rPr>
              <w:lastRenderedPageBreak/>
              <w:t>Margalef</w:t>
            </w:r>
          </w:p>
        </w:tc>
        <w:tc>
          <w:tcPr>
            <w:tcW w:w="129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3.401</w:t>
            </w:r>
          </w:p>
        </w:tc>
        <w:tc>
          <w:tcPr>
            <w:tcW w:w="1348"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3.199</w:t>
            </w:r>
          </w:p>
        </w:tc>
        <w:tc>
          <w:tcPr>
            <w:tcW w:w="123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4.427</w:t>
            </w:r>
          </w:p>
        </w:tc>
        <w:tc>
          <w:tcPr>
            <w:tcW w:w="13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1.504</w:t>
            </w:r>
          </w:p>
        </w:tc>
        <w:tc>
          <w:tcPr>
            <w:tcW w:w="15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1.294</w:t>
            </w:r>
          </w:p>
        </w:tc>
        <w:tc>
          <w:tcPr>
            <w:tcW w:w="105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1.985</w:t>
            </w:r>
          </w:p>
        </w:tc>
        <w:tc>
          <w:tcPr>
            <w:tcW w:w="142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1.765</w:t>
            </w:r>
          </w:p>
        </w:tc>
        <w:tc>
          <w:tcPr>
            <w:tcW w:w="1460"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0.981</w:t>
            </w:r>
          </w:p>
        </w:tc>
        <w:tc>
          <w:tcPr>
            <w:tcW w:w="1236" w:type="dxa"/>
            <w:tcBorders>
              <w:top w:val="nil"/>
              <w:left w:val="nil"/>
              <w:bottom w:val="nil"/>
              <w:right w:val="nil"/>
            </w:tcBorders>
          </w:tcPr>
          <w:p w:rsidR="00C83F4F" w:rsidRDefault="00C83F4F" w:rsidP="00C83F4F">
            <w:pPr>
              <w:spacing w:line="360" w:lineRule="auto"/>
              <w:jc w:val="right"/>
              <w:rPr>
                <w:sz w:val="24"/>
                <w:szCs w:val="24"/>
              </w:rPr>
            </w:pPr>
            <w:r>
              <w:rPr>
                <w:sz w:val="24"/>
                <w:szCs w:val="24"/>
              </w:rPr>
              <w:t>2.3195</w:t>
            </w:r>
          </w:p>
        </w:tc>
      </w:tr>
      <w:tr w:rsidR="00C83F4F" w:rsidTr="00C83F4F">
        <w:trPr>
          <w:trHeight w:val="520"/>
          <w:jc w:val="center"/>
        </w:trPr>
        <w:tc>
          <w:tcPr>
            <w:tcW w:w="1903" w:type="dxa"/>
            <w:tcBorders>
              <w:top w:val="nil"/>
              <w:left w:val="nil"/>
              <w:bottom w:val="single" w:sz="4" w:space="0" w:color="auto"/>
              <w:right w:val="nil"/>
            </w:tcBorders>
          </w:tcPr>
          <w:p w:rsidR="00C83F4F" w:rsidRDefault="00C83F4F" w:rsidP="00C83F4F">
            <w:pPr>
              <w:spacing w:line="360" w:lineRule="auto"/>
              <w:rPr>
                <w:b/>
                <w:bCs/>
                <w:sz w:val="24"/>
                <w:szCs w:val="24"/>
              </w:rPr>
            </w:pPr>
            <w:r>
              <w:rPr>
                <w:b/>
                <w:bCs/>
                <w:sz w:val="24"/>
                <w:szCs w:val="24"/>
              </w:rPr>
              <w:t>Equitability_J</w:t>
            </w:r>
          </w:p>
        </w:tc>
        <w:tc>
          <w:tcPr>
            <w:tcW w:w="1296"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0.7341</w:t>
            </w:r>
          </w:p>
        </w:tc>
        <w:tc>
          <w:tcPr>
            <w:tcW w:w="1348"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0.6781</w:t>
            </w:r>
          </w:p>
        </w:tc>
        <w:tc>
          <w:tcPr>
            <w:tcW w:w="1230"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0.7523</w:t>
            </w:r>
          </w:p>
        </w:tc>
        <w:tc>
          <w:tcPr>
            <w:tcW w:w="1320"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0.5536</w:t>
            </w:r>
          </w:p>
        </w:tc>
        <w:tc>
          <w:tcPr>
            <w:tcW w:w="1520"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0.8388</w:t>
            </w:r>
          </w:p>
        </w:tc>
        <w:tc>
          <w:tcPr>
            <w:tcW w:w="1050"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0.7559</w:t>
            </w:r>
          </w:p>
        </w:tc>
        <w:tc>
          <w:tcPr>
            <w:tcW w:w="1420"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0.8638</w:t>
            </w:r>
          </w:p>
        </w:tc>
        <w:tc>
          <w:tcPr>
            <w:tcW w:w="1460"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0.3805</w:t>
            </w:r>
          </w:p>
        </w:tc>
        <w:tc>
          <w:tcPr>
            <w:tcW w:w="1236" w:type="dxa"/>
            <w:tcBorders>
              <w:top w:val="nil"/>
              <w:left w:val="nil"/>
              <w:bottom w:val="single" w:sz="4" w:space="0" w:color="auto"/>
              <w:right w:val="nil"/>
            </w:tcBorders>
          </w:tcPr>
          <w:p w:rsidR="00C83F4F" w:rsidRDefault="00C83F4F" w:rsidP="00C83F4F">
            <w:pPr>
              <w:spacing w:line="360" w:lineRule="auto"/>
              <w:jc w:val="right"/>
              <w:rPr>
                <w:sz w:val="24"/>
                <w:szCs w:val="24"/>
              </w:rPr>
            </w:pPr>
            <w:r>
              <w:rPr>
                <w:sz w:val="24"/>
                <w:szCs w:val="24"/>
              </w:rPr>
              <w:t>0.6946</w:t>
            </w:r>
          </w:p>
        </w:tc>
      </w:tr>
    </w:tbl>
    <w:p w:rsidR="00C83F4F" w:rsidRDefault="00C83F4F" w:rsidP="00C83F4F">
      <w:pPr>
        <w:spacing w:after="0" w:line="360" w:lineRule="auto"/>
        <w:jc w:val="both"/>
        <w:rPr>
          <w:rFonts w:ascii="Times New Roman" w:hAnsi="Times New Roman" w:cs="Times New Roman"/>
          <w:b/>
          <w:sz w:val="24"/>
          <w:szCs w:val="24"/>
        </w:rPr>
      </w:pPr>
    </w:p>
    <w:p w:rsidR="0029022F" w:rsidRDefault="0029022F" w:rsidP="0029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Several important variables were calculated for all study locations. These include; number of individuals, number of species, dominance, evenness, Margalef index and Simpson Shannon’s diversity index as presented in Table 2. Sa’adatu Rimi College of Education recorded the highest number of species with 23 and 144 individuals while Tarauni secretariat had the least with 5 and 22 species and individual species respectively. Dansarari had the highest Dominance Value of 0.73 where Zaria Road accounted for 0.17. Species diversity also varies across the eight (8) study locations. Zaria road had the highest value of Simpson diversity index while Dansari eid ground appeared to be the least with 0.27. Sa’adatu Rimi College of Education had the highest Shannon diversity index while Dansarari recorded the least 0.61. Evenness also differs with locations. Tarauni secretariat appeared to record the highest species evenness 0.77 where Dansarari Eid Ground had the least 0.37. Margalef index of species richness indicated that all the study location differs and also vary in stability. In this case Sa’adatu Rimi College of Education accounted for 4.43 while Dansarari eid ground had the lowest Margalef index of 0.98. Finally, Tarauni secretariat was the location with most equitability of 0.84 while Dansarari eid ground recorded the least 0.38.</w:t>
      </w:r>
    </w:p>
    <w:p w:rsidR="0029022F" w:rsidRDefault="0029022F" w:rsidP="0029022F">
      <w:pPr>
        <w:spacing w:after="0" w:line="360" w:lineRule="auto"/>
        <w:rPr>
          <w:rFonts w:ascii="Times New Roman" w:hAnsi="Times New Roman" w:cs="Times New Roman"/>
          <w:b/>
          <w:sz w:val="24"/>
          <w:szCs w:val="24"/>
        </w:rPr>
        <w:sectPr w:rsidR="0029022F">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560" w:bottom="1440" w:left="1440" w:header="720" w:footer="720" w:gutter="0"/>
          <w:cols w:space="720"/>
        </w:sectPr>
      </w:pPr>
    </w:p>
    <w:p w:rsidR="00C83F4F" w:rsidRDefault="00C83F4F" w:rsidP="00C83F4F">
      <w:pPr>
        <w:spacing w:line="360" w:lineRule="auto"/>
        <w:jc w:val="both"/>
        <w:rPr>
          <w:rFonts w:ascii="Times New Roman" w:hAnsi="Times New Roman" w:cs="Times New Roman"/>
          <w:b/>
          <w:bCs/>
          <w:sz w:val="24"/>
          <w:szCs w:val="24"/>
        </w:rPr>
      </w:pPr>
    </w:p>
    <w:p w:rsidR="00C83F4F" w:rsidRDefault="000C5792" w:rsidP="00C83F4F">
      <w:pPr>
        <w:spacing w:line="360" w:lineRule="auto"/>
        <w:jc w:val="both"/>
        <w:rPr>
          <w:rFonts w:ascii="Times New Roman" w:hAnsi="Times New Roman" w:cs="Times New Roman"/>
          <w:b/>
          <w:bCs/>
          <w:sz w:val="24"/>
          <w:szCs w:val="24"/>
        </w:rPr>
      </w:pPr>
      <w:r>
        <w:rPr>
          <w:noProof/>
        </w:rPr>
        <w:drawing>
          <wp:inline distT="0" distB="0" distL="0" distR="0" wp14:anchorId="768699E1" wp14:editId="24CA51E3">
            <wp:extent cx="7797800" cy="391639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824909" cy="3930007"/>
                    </a:xfrm>
                    <a:prstGeom prst="rect">
                      <a:avLst/>
                    </a:prstGeom>
                  </pic:spPr>
                </pic:pic>
              </a:graphicData>
            </a:graphic>
          </wp:inline>
        </w:drawing>
      </w:r>
    </w:p>
    <w:p w:rsidR="002B62D6" w:rsidRDefault="000C5792" w:rsidP="00C83F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Fig2: diversity chart Across the </w:t>
      </w:r>
      <w:r w:rsidR="00535817">
        <w:rPr>
          <w:rFonts w:ascii="Times New Roman" w:hAnsi="Times New Roman" w:cs="Times New Roman"/>
          <w:b/>
          <w:bCs/>
          <w:sz w:val="24"/>
          <w:szCs w:val="24"/>
        </w:rPr>
        <w:t>Sampling</w:t>
      </w:r>
      <w:r>
        <w:rPr>
          <w:rFonts w:ascii="Times New Roman" w:hAnsi="Times New Roman" w:cs="Times New Roman"/>
          <w:b/>
          <w:bCs/>
          <w:sz w:val="24"/>
          <w:szCs w:val="24"/>
        </w:rPr>
        <w:t xml:space="preserve"> Locations</w:t>
      </w:r>
    </w:p>
    <w:p w:rsidR="002B62D6" w:rsidRDefault="002B62D6" w:rsidP="00C83F4F">
      <w:pPr>
        <w:spacing w:line="360" w:lineRule="auto"/>
        <w:jc w:val="both"/>
        <w:rPr>
          <w:rFonts w:ascii="Times New Roman" w:hAnsi="Times New Roman" w:cs="Times New Roman"/>
          <w:b/>
          <w:bCs/>
          <w:sz w:val="24"/>
          <w:szCs w:val="24"/>
        </w:rPr>
      </w:pPr>
    </w:p>
    <w:p w:rsidR="008D6634" w:rsidRDefault="008D6634" w:rsidP="00C83F4F">
      <w:pPr>
        <w:spacing w:line="360" w:lineRule="auto"/>
        <w:jc w:val="both"/>
        <w:rPr>
          <w:rFonts w:ascii="Times New Roman" w:hAnsi="Times New Roman" w:cs="Times New Roman"/>
          <w:b/>
          <w:bCs/>
          <w:sz w:val="24"/>
          <w:szCs w:val="24"/>
        </w:rPr>
      </w:pPr>
    </w:p>
    <w:p w:rsidR="002B62D6" w:rsidRDefault="002B62D6" w:rsidP="00C83F4F">
      <w:pPr>
        <w:spacing w:line="360" w:lineRule="auto"/>
        <w:jc w:val="both"/>
        <w:rPr>
          <w:rFonts w:ascii="Times New Roman" w:hAnsi="Times New Roman" w:cs="Times New Roman"/>
          <w:b/>
          <w:bCs/>
          <w:sz w:val="24"/>
          <w:szCs w:val="24"/>
        </w:rPr>
      </w:pPr>
    </w:p>
    <w:p w:rsidR="00C83F4F" w:rsidRDefault="00C83F4F" w:rsidP="00C83F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variations in tree species diversity across the selected urban sites within Kano Metropolis, as indicated by species richness (Taxa S), abundance (Individuals), and diversity indices including Simpson’s index, Shannon–Wiener index, Margalef’s index, and Evenness. These variations reflect differences in land-use type, management intensity, and levels of anthropogenic disturbance across the study locations.</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t>Species richness was highest at Sa’adatu Rimi (S = 23), Audu Bako Zoological Garden (S = 21), and BUK (S = 20), suggesting that institutional and semi-protected areas support a greater diversity of tree species compared to road corridors and administrative premises. This pattern is consistent with findings by Adekunle et al. (2013) and Jimoh et al. (2015), who reported higher tree species diversity in protected or less disturbed sites due to better management practices and reduced tree removal. In contrast, relatively low species richness recorded at Dandinsarai Eid Ground (S = 5) and Tarauni Secretariat (S = 5) may be attributed to limited planting space, selective tree retention, and intensive urban activities.</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t>The Shannon–Wiener diversity index (H′), which accounts for both species richness and evenness, ranged from 1.07 to 2.36, with the highest value observed at Sa’adatu Rimi (H′ = 2.359) and relatively high values at Audu Bako Zoological Garden (H′ = 2.235) and BUK (H′ = 2.032). These values indicate moderate to high species diversity and suggest a relatively stable tree community in these locations. According to Onyekwelu et al. (2008), Shannon index values above 2.0 are indicative of structurally diverse and ecologically balanced tree populations, which are capable of providing enhanced ecosystem services, including carbon sequestration.</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t>Evenness values across the study sites were generally moderate, ranging from 0.38 to 0.77, indicating varying degrees of dominance by a few species. Lower evenness observed in some locations suggests that tree populations are dominated by a small number of species, a common characteristic of urban environments in Nigeria where a few hardy or preferred species are repeatedly planted (Ogunjemite et al., 2017). High dominance values in sites such as Zaria Road and Dandinsarai Eid Ground further support this observation, implying reduced species balance and increased vulnerability to pests, diseases, and environmental stress.</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Margalef’s index values followed a similar trend to species richness, with higher values recorded in institutional areas and lower values in roadside and highly built-up zones. This supports earlier studies by Adeyemi et al. (2018), who observed that land-use type significantly influences urban tree diversity in Nigerian cities, with educational and recreational spaces supporting higher biodiversity than commercial and traffic-dominated areas.</w:t>
      </w:r>
    </w:p>
    <w:p w:rsidR="00C83F4F" w:rsidRDefault="00C83F4F" w:rsidP="00C83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Across all the study locations </w:t>
      </w:r>
      <w:r>
        <w:rPr>
          <w:rFonts w:ascii="Times New Roman" w:hAnsi="Times New Roman" w:cs="Times New Roman"/>
          <w:i/>
          <w:sz w:val="24"/>
          <w:szCs w:val="24"/>
        </w:rPr>
        <w:t>Azadirachta indica</w:t>
      </w:r>
      <w:r>
        <w:rPr>
          <w:rFonts w:ascii="Times New Roman" w:hAnsi="Times New Roman" w:cs="Times New Roman"/>
          <w:sz w:val="24"/>
          <w:szCs w:val="24"/>
        </w:rPr>
        <w:t xml:space="preserve"> was found to be more diverse in the study area, even though it’s not native but it’s adapt well to the environment. Also, it’s the specie that is planted often in the study area may be due to its tolerant to draught, fast growth, requires less management and possess coppicing system. This is align with a study which revealed that </w:t>
      </w:r>
      <w:r>
        <w:rPr>
          <w:rFonts w:ascii="Times New Roman" w:hAnsi="Times New Roman" w:cs="Times New Roman"/>
          <w:i/>
          <w:sz w:val="24"/>
          <w:szCs w:val="24"/>
        </w:rPr>
        <w:t>Azadirachta indica</w:t>
      </w:r>
      <w:r>
        <w:rPr>
          <w:rFonts w:ascii="Times New Roman" w:hAnsi="Times New Roman" w:cs="Times New Roman"/>
          <w:sz w:val="24"/>
          <w:szCs w:val="24"/>
        </w:rPr>
        <w:t xml:space="preserve"> was dominant in their research conducted at Zaria. Dangulla </w:t>
      </w:r>
      <w:r>
        <w:rPr>
          <w:rFonts w:ascii="Times New Roman" w:hAnsi="Times New Roman" w:cs="Times New Roman"/>
          <w:i/>
          <w:sz w:val="24"/>
          <w:szCs w:val="24"/>
        </w:rPr>
        <w:t>et al</w:t>
      </w:r>
      <w:r>
        <w:rPr>
          <w:rFonts w:ascii="Times New Roman" w:hAnsi="Times New Roman" w:cs="Times New Roman"/>
          <w:sz w:val="24"/>
          <w:szCs w:val="24"/>
        </w:rPr>
        <w:t xml:space="preserve">. (2021). Olaniyi, O., and Akinola, M, (2023) on their study revealed </w:t>
      </w:r>
      <w:r>
        <w:rPr>
          <w:rFonts w:ascii="Times New Roman" w:hAnsi="Times New Roman" w:cs="Times New Roman"/>
          <w:i/>
          <w:sz w:val="24"/>
          <w:szCs w:val="24"/>
        </w:rPr>
        <w:t>Polyalthia longifolia</w:t>
      </w:r>
      <w:r>
        <w:rPr>
          <w:rFonts w:ascii="Times New Roman" w:hAnsi="Times New Roman" w:cs="Times New Roman"/>
          <w:sz w:val="24"/>
          <w:szCs w:val="24"/>
        </w:rPr>
        <w:t xml:space="preserve"> dominant in the study area which differs with the findings in this study. Another study in illorin shows that </w:t>
      </w:r>
      <w:r>
        <w:rPr>
          <w:rFonts w:ascii="Times New Roman" w:hAnsi="Times New Roman" w:cs="Times New Roman"/>
          <w:i/>
          <w:sz w:val="24"/>
          <w:szCs w:val="24"/>
        </w:rPr>
        <w:t>Albezia lebbeck</w:t>
      </w:r>
      <w:r>
        <w:rPr>
          <w:rFonts w:ascii="Times New Roman" w:hAnsi="Times New Roman" w:cs="Times New Roman"/>
          <w:sz w:val="24"/>
          <w:szCs w:val="24"/>
        </w:rPr>
        <w:t xml:space="preserve"> was found dominant in their resaerch (Mashood </w:t>
      </w:r>
      <w:r>
        <w:rPr>
          <w:rFonts w:ascii="Times New Roman" w:hAnsi="Times New Roman" w:cs="Times New Roman"/>
          <w:i/>
          <w:sz w:val="24"/>
          <w:szCs w:val="24"/>
        </w:rPr>
        <w:t>et al</w:t>
      </w:r>
      <w:r>
        <w:rPr>
          <w:rFonts w:ascii="Times New Roman" w:hAnsi="Times New Roman" w:cs="Times New Roman"/>
          <w:iCs/>
          <w:sz w:val="24"/>
          <w:szCs w:val="24"/>
        </w:rPr>
        <w:t>.,</w:t>
      </w:r>
      <w:r>
        <w:rPr>
          <w:rFonts w:ascii="Times New Roman" w:hAnsi="Times New Roman" w:cs="Times New Roman"/>
          <w:sz w:val="24"/>
          <w:szCs w:val="24"/>
        </w:rPr>
        <w:t xml:space="preserve"> 2024).</w:t>
      </w:r>
    </w:p>
    <w:p w:rsidR="00C83F4F" w:rsidRDefault="00C83F4F" w:rsidP="00C83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Generally, Kano metropolis had the mean Shanon H (1.64), eveness (0.52), and Margalef index (2.32) approximately. This is consistent with a study of Dangulla </w:t>
      </w:r>
      <w:r>
        <w:rPr>
          <w:rFonts w:ascii="Times New Roman" w:hAnsi="Times New Roman" w:cs="Times New Roman"/>
          <w:i/>
          <w:sz w:val="24"/>
          <w:szCs w:val="24"/>
        </w:rPr>
        <w:t>et al</w:t>
      </w:r>
      <w:r>
        <w:rPr>
          <w:rFonts w:ascii="Times New Roman" w:hAnsi="Times New Roman" w:cs="Times New Roman"/>
          <w:sz w:val="24"/>
          <w:szCs w:val="24"/>
        </w:rPr>
        <w:t xml:space="preserve">. (2021) which in their study reported Shannon (3.30) and evenness (0.80) which shows higher than this research findings, another study by Mashood </w:t>
      </w:r>
      <w:r>
        <w:rPr>
          <w:rFonts w:ascii="Times New Roman" w:hAnsi="Times New Roman" w:cs="Times New Roman"/>
          <w:i/>
          <w:sz w:val="24"/>
          <w:szCs w:val="24"/>
        </w:rPr>
        <w:t>et, al</w:t>
      </w:r>
      <w:r>
        <w:rPr>
          <w:rFonts w:ascii="Times New Roman" w:hAnsi="Times New Roman" w:cs="Times New Roman"/>
          <w:sz w:val="24"/>
          <w:szCs w:val="24"/>
        </w:rPr>
        <w:t xml:space="preserve">. (2024) reported Shannon (3.88) and Margalef (10.5) which shows higher than this research, Ogwu </w:t>
      </w:r>
      <w:r>
        <w:rPr>
          <w:rFonts w:ascii="Times New Roman" w:hAnsi="Times New Roman" w:cs="Times New Roman"/>
          <w:i/>
          <w:sz w:val="24"/>
          <w:szCs w:val="24"/>
        </w:rPr>
        <w:t>et al.</w:t>
      </w:r>
      <w:r>
        <w:rPr>
          <w:rFonts w:ascii="Times New Roman" w:hAnsi="Times New Roman" w:cs="Times New Roman"/>
          <w:sz w:val="24"/>
          <w:szCs w:val="24"/>
        </w:rPr>
        <w:t xml:space="preserve"> (2016) reported Shannon (0.84) and Margalef (2.57) in their study which shows that Shannon is less than and Margalef is higher than this result. Abubakar </w:t>
      </w:r>
      <w:r>
        <w:rPr>
          <w:rFonts w:ascii="Times New Roman" w:hAnsi="Times New Roman" w:cs="Times New Roman"/>
          <w:i/>
          <w:sz w:val="24"/>
          <w:szCs w:val="24"/>
        </w:rPr>
        <w:t>et al</w:t>
      </w:r>
      <w:r>
        <w:rPr>
          <w:rFonts w:ascii="Times New Roman" w:hAnsi="Times New Roman" w:cs="Times New Roman"/>
          <w:sz w:val="24"/>
          <w:szCs w:val="24"/>
        </w:rPr>
        <w:t>., (2016) reported Shannon (0.92) and Margalef (0.89) in their study conducted at Maiduguri, which shows lower than the findings of this research.</w:t>
      </w:r>
    </w:p>
    <w:p w:rsidR="00C83F4F" w:rsidRDefault="00C83F4F" w:rsidP="00C83F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observed variation in species diversity across Kano Metropolis has important implications for carbon sequestration potential. Areas with higher species diversity and structural complexity are more likely to store and sequester greater amounts of carbon due to the presence of trees with varying growth rates, sizes, and biomass accumulation capacities. This aligns with findings by Onyekwelu and Akindele (2012), who emphasized that species-diverse tree stands contribute more effectively to ecosystem stability and carbon storage than monoculture-dominated urban landscapes. </w:t>
      </w:r>
    </w:p>
    <w:p w:rsidR="00531F67" w:rsidRDefault="00531F67" w:rsidP="00C83F4F">
      <w:pPr>
        <w:spacing w:line="360" w:lineRule="auto"/>
        <w:jc w:val="both"/>
        <w:rPr>
          <w:rFonts w:ascii="Times New Roman" w:hAnsi="Times New Roman" w:cs="Times New Roman"/>
          <w:sz w:val="24"/>
          <w:szCs w:val="24"/>
        </w:rPr>
      </w:pPr>
    </w:p>
    <w:p w:rsidR="00811CB5" w:rsidRDefault="00811CB5" w:rsidP="00C83F4F">
      <w:pPr>
        <w:spacing w:line="360" w:lineRule="auto"/>
        <w:jc w:val="both"/>
        <w:rPr>
          <w:rFonts w:ascii="Times New Roman" w:hAnsi="Times New Roman" w:cs="Times New Roman"/>
          <w:b/>
          <w:sz w:val="28"/>
          <w:szCs w:val="28"/>
        </w:rPr>
      </w:pPr>
      <w:r w:rsidRPr="00811CB5">
        <w:rPr>
          <w:rFonts w:ascii="Times New Roman" w:hAnsi="Times New Roman" w:cs="Times New Roman"/>
          <w:b/>
          <w:sz w:val="28"/>
          <w:szCs w:val="28"/>
        </w:rPr>
        <w:lastRenderedPageBreak/>
        <w:t>Limitation</w:t>
      </w:r>
    </w:p>
    <w:p w:rsidR="00811CB5" w:rsidRPr="004B3E49" w:rsidRDefault="00811CB5" w:rsidP="00C83F4F">
      <w:pPr>
        <w:spacing w:line="360" w:lineRule="auto"/>
        <w:jc w:val="both"/>
        <w:rPr>
          <w:rFonts w:ascii="Times New Roman" w:hAnsi="Times New Roman" w:cs="Times New Roman"/>
          <w:sz w:val="24"/>
          <w:szCs w:val="24"/>
        </w:rPr>
      </w:pPr>
      <w:r w:rsidRPr="004B3E49">
        <w:rPr>
          <w:rFonts w:ascii="Times New Roman" w:hAnsi="Times New Roman" w:cs="Times New Roman"/>
          <w:sz w:val="24"/>
          <w:szCs w:val="24"/>
        </w:rPr>
        <w:t xml:space="preserve">This study is limited by the restricted number of sampling plots and the focus on selected urban forest sites within </w:t>
      </w:r>
      <w:r w:rsidR="0045028B" w:rsidRPr="004B3E49">
        <w:rPr>
          <w:rFonts w:ascii="Times New Roman" w:hAnsi="Times New Roman" w:cs="Times New Roman"/>
          <w:sz w:val="24"/>
          <w:szCs w:val="24"/>
        </w:rPr>
        <w:t>Kano</w:t>
      </w:r>
      <w:r w:rsidRPr="004B3E49">
        <w:rPr>
          <w:rFonts w:ascii="Times New Roman" w:hAnsi="Times New Roman" w:cs="Times New Roman"/>
          <w:sz w:val="24"/>
          <w:szCs w:val="24"/>
        </w:rPr>
        <w:t xml:space="preserve"> </w:t>
      </w:r>
      <w:r w:rsidR="0045028B" w:rsidRPr="004B3E49">
        <w:rPr>
          <w:rFonts w:ascii="Times New Roman" w:hAnsi="Times New Roman" w:cs="Times New Roman"/>
          <w:sz w:val="24"/>
          <w:szCs w:val="24"/>
        </w:rPr>
        <w:t>Metropolis</w:t>
      </w:r>
      <w:r w:rsidRPr="004B3E49">
        <w:rPr>
          <w:rFonts w:ascii="Times New Roman" w:hAnsi="Times New Roman" w:cs="Times New Roman"/>
          <w:sz w:val="24"/>
          <w:szCs w:val="24"/>
        </w:rPr>
        <w:t xml:space="preserve">, </w:t>
      </w:r>
      <w:r w:rsidR="004B3E49" w:rsidRPr="004B3E49">
        <w:rPr>
          <w:rFonts w:ascii="Times New Roman" w:hAnsi="Times New Roman" w:cs="Times New Roman"/>
          <w:sz w:val="24"/>
          <w:szCs w:val="24"/>
        </w:rPr>
        <w:t>which may not fully represent the entire vegetation structure of the area. In addition, seasonal variations and accessibi</w:t>
      </w:r>
      <w:r w:rsidR="0045028B">
        <w:rPr>
          <w:rFonts w:ascii="Times New Roman" w:hAnsi="Times New Roman" w:cs="Times New Roman"/>
          <w:sz w:val="24"/>
          <w:szCs w:val="24"/>
        </w:rPr>
        <w:t>li</w:t>
      </w:r>
      <w:r w:rsidR="004B3E49" w:rsidRPr="004B3E49">
        <w:rPr>
          <w:rFonts w:ascii="Times New Roman" w:hAnsi="Times New Roman" w:cs="Times New Roman"/>
          <w:sz w:val="24"/>
          <w:szCs w:val="24"/>
        </w:rPr>
        <w:t>ty constraints may have influenced species composition and data collection. Despite these limitations, the study provides valuable insights into the floristic diversity and species composition of urban forests in the study area.</w:t>
      </w:r>
    </w:p>
    <w:p w:rsidR="00C83F4F" w:rsidRDefault="00C83F4F" w:rsidP="00C83F4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8B4022" w:rsidRDefault="00C83F4F" w:rsidP="008B4022">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revealed moderate tree species diversity with dominance by a few species in Kano Metropolis. The findings highlight the need for strategic urban forestry planning focused on species diversification. The assessment of tree diversity in Kano Metropolis revealed a rich and varied assemblage of urban tree species, with significant differences in species composition, abundance, and distribution across different areas. The findings highlight the importance of urban forests in maintaining ecological balance, supporting biodiversity, and providing environmental benefits such as air purification, shade, and carbon storage. Despite pressures from urbanization and human activities, certain species demonstrated resilience, indicating their potential for future urban greening initiatives. This study underscores the need for effective planning and conservation strategies to preserve and enhance tree diversity, ensuring sustainable and resilient urban</w:t>
      </w:r>
      <w:r w:rsidR="00811CB5">
        <w:rPr>
          <w:rFonts w:ascii="Times New Roman" w:hAnsi="Times New Roman" w:cs="Times New Roman"/>
          <w:sz w:val="24"/>
          <w:szCs w:val="24"/>
        </w:rPr>
        <w:t xml:space="preserve"> ecosystems in Kano Metropolis.</w:t>
      </w:r>
      <w:bookmarkStart w:id="0" w:name="_Hlk198031404"/>
    </w:p>
    <w:p w:rsidR="008B4022" w:rsidRPr="00DF4D9E" w:rsidRDefault="00C83F4F" w:rsidP="008B4022">
      <w:pPr>
        <w:spacing w:line="360" w:lineRule="auto"/>
        <w:jc w:val="both"/>
        <w:rPr>
          <w:rFonts w:ascii="Times New Roman" w:hAnsi="Times New Roman" w:cs="Times New Roman"/>
          <w:sz w:val="24"/>
          <w:szCs w:val="24"/>
        </w:rPr>
      </w:pPr>
      <w:r w:rsidRPr="00DF4D9E">
        <w:rPr>
          <w:rFonts w:ascii="Times New Roman" w:eastAsia="Calibri" w:hAnsi="Times New Roman" w:cs="Times New Roman"/>
          <w:kern w:val="2"/>
          <w:sz w:val="24"/>
          <w:szCs w:val="24"/>
        </w:rPr>
        <w:t>Disclaimer (Artificial intelligence)</w:t>
      </w:r>
    </w:p>
    <w:p w:rsidR="00C83F4F" w:rsidRDefault="00C83F4F" w:rsidP="00531F67">
      <w:pPr>
        <w:spacing w:line="360" w:lineRule="auto"/>
        <w:jc w:val="both"/>
        <w:rPr>
          <w:rFonts w:ascii="Times New Roman" w:hAnsi="Times New Roman" w:cs="Times New Roman"/>
          <w:sz w:val="24"/>
          <w:szCs w:val="24"/>
        </w:rPr>
      </w:pPr>
      <w:r w:rsidRPr="00DF4D9E">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bookmarkEnd w:id="0"/>
    </w:p>
    <w:p w:rsidR="00531F67" w:rsidRDefault="00531F67" w:rsidP="00531F67">
      <w:pPr>
        <w:spacing w:line="360" w:lineRule="auto"/>
        <w:jc w:val="both"/>
        <w:rPr>
          <w:rFonts w:ascii="Times New Roman" w:hAnsi="Times New Roman" w:cs="Times New Roman"/>
          <w:sz w:val="24"/>
          <w:szCs w:val="24"/>
        </w:rPr>
      </w:pPr>
    </w:p>
    <w:p w:rsidR="00B801CD" w:rsidRDefault="00B801CD" w:rsidP="00B801CD">
      <w:pPr>
        <w:rPr>
          <w:highlight w:val="yellow"/>
        </w:rPr>
      </w:pPr>
      <w:r>
        <w:rPr>
          <w:highlight w:val="yellow"/>
        </w:rPr>
        <w:t>Disclaimer (Artificial intelligence)</w:t>
      </w:r>
    </w:p>
    <w:p w:rsidR="00B801CD" w:rsidRDefault="00B801CD" w:rsidP="00B801CD">
      <w:pPr>
        <w:rPr>
          <w:highlight w:val="yellow"/>
        </w:rPr>
      </w:pPr>
      <w:r>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B801CD" w:rsidRDefault="00B801CD" w:rsidP="00B801CD"/>
    <w:p w:rsidR="00531F67" w:rsidRPr="00531F67" w:rsidRDefault="00531F67" w:rsidP="00531F67">
      <w:pPr>
        <w:spacing w:line="360" w:lineRule="auto"/>
        <w:jc w:val="both"/>
        <w:rPr>
          <w:rFonts w:ascii="Times New Roman" w:hAnsi="Times New Roman" w:cs="Times New Roman"/>
          <w:sz w:val="24"/>
          <w:szCs w:val="24"/>
        </w:rPr>
      </w:pPr>
      <w:bookmarkStart w:id="1" w:name="_GoBack"/>
      <w:bookmarkEnd w:id="1"/>
    </w:p>
    <w:p w:rsidR="00C83F4F" w:rsidRDefault="00C83F4F" w:rsidP="00C83F4F">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Nowak, D. J., Crane, D. E., &amp; Stevens, J. C. (2010). Urban forest structure and ecosystem services: A review and synthesis. Environmental Pollution, 159(8–9), 1973–1980.</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Magurran, A. E. (2013). Measuring Biological Diversity. Oxford, United Kingdom: Wiley-Blackwell.</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UN-Habitat. (2020). World Cities Report 2020: The value of sustainable urbanization. Nairobi, Kenya: United Nations Human Settlements Programme.</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Adeniyi, S. A., Aremu, A. O., &amp; Ojo, O. S. (2018). Urbanization and vegetation change in Nigerian cities: Implications for environmental sustainability. Urban Forestry &amp; Urban Greening, 29, 1–9.</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Dangulla, M., Ibrahim, U. A., &amp; Sani, M. (2020). Urban tree composition and diversity in North-Western Nigeria. Urban Forestry &amp; Urban Greening, 52, 126–134.</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Adeniji, T. A., Oluwafemi, J. O., &amp; Balogun, O. S. (2015). Urban tree inventory and vegetation structure in Lagos, Nigeria. Journal of Environmental Management, 160, 1–10.</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Faluyi, J. O. (2012). Urban tree inventory and biodiversity assessment in Ibadan metropolis, Nigeria. Environmental Monitoring and Assessment, 184(5), 1–11.</w:t>
      </w:r>
    </w:p>
    <w:p w:rsidR="001E3117" w:rsidRPr="00A83264"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Aliyu, A. B., &amp; Amadu, L. (2015). Urban growth and environmental sustainability in Kano, Nigeria. Journal of Sustainable Development, 8(3), 1–12.</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Kendal, D., Williams, N. S. G., &amp; Williams, K. J. H. (2012). Drivers of diversity and species composition in urban forests. Landscape and Urban Planning, 106(3), 145–153.</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lastRenderedPageBreak/>
        <w:t>Conway, T. M., Shakeel, T., &amp; Attallah, S. (2018). Functional and structural diversity of urban forests: Drivers of species composition. Urban Ecosystems, 21(4), 681–695.</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Okelo, W., Khamala, P., &amp; Odanga, J. (2012). Tree species diversity and composition in Nairobi urban forests. African Journal of Ecology, 50(2), 210–218.</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Gomez, L. D., van Vliet, J., &amp; Bregt, A. K. (2016). Urban vegetation diversity and structure in Accra, Ghana. Landscape and Urban Planning, 149, 1–10.</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Yusuf, M. S. (2025). Tree species composition and diversity in Dansoshiya Forest Reserve, Kano State, Nigeria. FUDMA Journal of Sciences, 9(1), 101–115.</w:t>
      </w:r>
    </w:p>
    <w:p w:rsidR="001E3117" w:rsidRPr="00C83663" w:rsidRDefault="001E3117" w:rsidP="00011672">
      <w:pPr>
        <w:pStyle w:val="ListParagraph"/>
        <w:numPr>
          <w:ilvl w:val="0"/>
          <w:numId w:val="4"/>
        </w:numPr>
        <w:spacing w:line="360" w:lineRule="auto"/>
        <w:rPr>
          <w:rFonts w:ascii="Times New Roman" w:hAnsi="Times New Roman" w:cs="Times New Roman"/>
          <w:sz w:val="24"/>
          <w:szCs w:val="24"/>
        </w:rPr>
      </w:pPr>
      <w:r w:rsidRPr="00C83663">
        <w:rPr>
          <w:rFonts w:ascii="Times New Roman" w:hAnsi="Times New Roman" w:cs="Times New Roman"/>
          <w:sz w:val="24"/>
          <w:szCs w:val="24"/>
        </w:rPr>
        <w:t>Owoeye, I. O., &amp; Hauser, S. (2023). Diversity and abundance of amenity trees in urban landscapes of Ibadan, Nigeria. Journal of Botanical Research, 12(3), 45–60.</w:t>
      </w:r>
    </w:p>
    <w:p w:rsidR="004E02CD" w:rsidRPr="00C83663" w:rsidRDefault="004E02CD" w:rsidP="00011672">
      <w:pPr>
        <w:pStyle w:val="ListParagraph"/>
        <w:numPr>
          <w:ilvl w:val="0"/>
          <w:numId w:val="4"/>
        </w:numPr>
        <w:spacing w:after="0" w:line="360" w:lineRule="auto"/>
        <w:ind w:right="6"/>
        <w:jc w:val="both"/>
        <w:rPr>
          <w:rFonts w:ascii="Times New Roman" w:hAnsi="Times New Roman" w:cs="Times New Roman"/>
          <w:sz w:val="24"/>
          <w:szCs w:val="24"/>
        </w:rPr>
      </w:pPr>
      <w:r w:rsidRPr="00C83663">
        <w:rPr>
          <w:rFonts w:ascii="Times New Roman" w:hAnsi="Times New Roman" w:cs="Times New Roman"/>
          <w:sz w:val="24"/>
          <w:szCs w:val="24"/>
        </w:rPr>
        <w:t xml:space="preserve">Koko, A.F.; Wu, Y.; Abubakar, G.A.; Alabsi, A.A.N.; Hamed, R.; Bello, M. Thirty Years of Land Use/Land Cover Changes and Their Impact on Urban Climate: A Study of Kano Metropolis, Nigeria. </w:t>
      </w:r>
      <w:r w:rsidRPr="00C83663">
        <w:rPr>
          <w:rFonts w:ascii="Times New Roman" w:hAnsi="Times New Roman" w:cs="Times New Roman"/>
          <w:i/>
          <w:sz w:val="24"/>
          <w:szCs w:val="24"/>
        </w:rPr>
        <w:t xml:space="preserve">Land </w:t>
      </w:r>
      <w:r w:rsidRPr="00C83663">
        <w:rPr>
          <w:rFonts w:ascii="Times New Roman" w:hAnsi="Times New Roman" w:cs="Times New Roman"/>
          <w:b/>
          <w:sz w:val="24"/>
          <w:szCs w:val="24"/>
        </w:rPr>
        <w:t>2021</w:t>
      </w:r>
      <w:r w:rsidRPr="00C83663">
        <w:rPr>
          <w:rFonts w:ascii="Times New Roman" w:hAnsi="Times New Roman" w:cs="Times New Roman"/>
          <w:sz w:val="24"/>
          <w:szCs w:val="24"/>
        </w:rPr>
        <w:t xml:space="preserve">, </w:t>
      </w:r>
      <w:r w:rsidRPr="00C83663">
        <w:rPr>
          <w:rFonts w:ascii="Times New Roman" w:hAnsi="Times New Roman" w:cs="Times New Roman"/>
          <w:i/>
          <w:sz w:val="24"/>
          <w:szCs w:val="24"/>
        </w:rPr>
        <w:t>10</w:t>
      </w:r>
      <w:r w:rsidRPr="00C83663">
        <w:rPr>
          <w:rFonts w:ascii="Times New Roman" w:hAnsi="Times New Roman" w:cs="Times New Roman"/>
          <w:sz w:val="24"/>
          <w:szCs w:val="24"/>
        </w:rPr>
        <w:t>, 1106. [</w:t>
      </w:r>
      <w:hyperlink r:id="rId15" w:history="1">
        <w:r w:rsidRPr="00C83663">
          <w:rPr>
            <w:rFonts w:ascii="Times New Roman" w:hAnsi="Times New Roman" w:cs="Times New Roman"/>
            <w:sz w:val="24"/>
            <w:szCs w:val="24"/>
            <w:u w:val="single"/>
          </w:rPr>
          <w:t>CrossRef</w:t>
        </w:r>
      </w:hyperlink>
      <w:hyperlink r:id="rId16" w:history="1">
        <w:r w:rsidRPr="00C83663">
          <w:rPr>
            <w:rFonts w:ascii="Times New Roman" w:hAnsi="Times New Roman" w:cs="Times New Roman"/>
            <w:sz w:val="24"/>
            <w:szCs w:val="24"/>
            <w:u w:val="single"/>
          </w:rPr>
          <w:t>]</w:t>
        </w:r>
      </w:hyperlink>
    </w:p>
    <w:p w:rsidR="004E02CD" w:rsidRPr="00C83663" w:rsidRDefault="004E02CD" w:rsidP="00011672">
      <w:pPr>
        <w:pStyle w:val="ListParagraph"/>
        <w:numPr>
          <w:ilvl w:val="0"/>
          <w:numId w:val="4"/>
        </w:numPr>
        <w:spacing w:after="0" w:line="360" w:lineRule="auto"/>
        <w:jc w:val="both"/>
        <w:rPr>
          <w:rFonts w:ascii="Times New Roman" w:hAnsi="Times New Roman" w:cs="Times New Roman"/>
          <w:sz w:val="24"/>
          <w:szCs w:val="24"/>
        </w:rPr>
      </w:pPr>
      <w:r w:rsidRPr="00C83663">
        <w:rPr>
          <w:rFonts w:ascii="Times New Roman" w:hAnsi="Times New Roman" w:cs="Times New Roman"/>
          <w:sz w:val="24"/>
          <w:szCs w:val="24"/>
        </w:rPr>
        <w:t>Adekunle, V.A.J., Olagoke, A.O., &amp; Akimdele, S.O. (2013). Tress species diversity and structure of a Nigerian strict nature reserve. Tropical Ecology, 54(3), 275-289.</w:t>
      </w:r>
    </w:p>
    <w:p w:rsidR="004E02CD" w:rsidRPr="00C83663" w:rsidRDefault="004E02CD" w:rsidP="00011672">
      <w:pPr>
        <w:pStyle w:val="ListParagraph"/>
        <w:numPr>
          <w:ilvl w:val="0"/>
          <w:numId w:val="4"/>
        </w:numPr>
        <w:spacing w:line="360" w:lineRule="auto"/>
        <w:jc w:val="both"/>
        <w:rPr>
          <w:rFonts w:ascii="Times New Roman" w:eastAsia="SimSun" w:hAnsi="Times New Roman" w:cs="Times New Roman"/>
          <w:color w:val="222222"/>
          <w:sz w:val="24"/>
          <w:szCs w:val="24"/>
          <w:shd w:val="clear" w:color="auto" w:fill="FFFFFF"/>
        </w:rPr>
      </w:pPr>
      <w:r w:rsidRPr="00C83663">
        <w:rPr>
          <w:rFonts w:ascii="Times New Roman" w:eastAsia="SimSun" w:hAnsi="Times New Roman" w:cs="Times New Roman"/>
          <w:color w:val="222222"/>
          <w:sz w:val="24"/>
          <w:szCs w:val="24"/>
          <w:shd w:val="clear" w:color="auto" w:fill="FFFFFF"/>
        </w:rPr>
        <w:t>Lawal, A., Jimoh, S., Jibo, A., Salami, K., &amp; Girei, A. (2024). Flora species composition and diversity across land use types in jigawa state, nigeria. </w:t>
      </w:r>
      <w:r w:rsidRPr="00C83663">
        <w:rPr>
          <w:rFonts w:ascii="Times New Roman" w:eastAsia="SimSun" w:hAnsi="Times New Roman" w:cs="Times New Roman"/>
          <w:i/>
          <w:iCs/>
          <w:color w:val="222222"/>
          <w:sz w:val="24"/>
          <w:szCs w:val="24"/>
          <w:shd w:val="clear" w:color="auto" w:fill="FFFFFF"/>
        </w:rPr>
        <w:t>Fudma Journal of Agriculture and Agricultural Technology</w:t>
      </w:r>
      <w:r w:rsidRPr="00C83663">
        <w:rPr>
          <w:rFonts w:ascii="Times New Roman" w:eastAsia="SimSun" w:hAnsi="Times New Roman" w:cs="Times New Roman"/>
          <w:color w:val="222222"/>
          <w:sz w:val="24"/>
          <w:szCs w:val="24"/>
          <w:shd w:val="clear" w:color="auto" w:fill="FFFFFF"/>
        </w:rPr>
        <w:t>, </w:t>
      </w:r>
      <w:r w:rsidRPr="00C83663">
        <w:rPr>
          <w:rFonts w:ascii="Times New Roman" w:eastAsia="SimSun" w:hAnsi="Times New Roman" w:cs="Times New Roman"/>
          <w:i/>
          <w:iCs/>
          <w:color w:val="222222"/>
          <w:sz w:val="24"/>
          <w:szCs w:val="24"/>
          <w:shd w:val="clear" w:color="auto" w:fill="FFFFFF"/>
        </w:rPr>
        <w:t>10</w:t>
      </w:r>
      <w:r w:rsidRPr="00C83663">
        <w:rPr>
          <w:rFonts w:ascii="Times New Roman" w:eastAsia="SimSun" w:hAnsi="Times New Roman" w:cs="Times New Roman"/>
          <w:color w:val="222222"/>
          <w:sz w:val="24"/>
          <w:szCs w:val="24"/>
          <w:shd w:val="clear" w:color="auto" w:fill="FFFFFF"/>
        </w:rPr>
        <w:t>(3), 155-166.</w:t>
      </w:r>
    </w:p>
    <w:p w:rsidR="004E02CD" w:rsidRPr="00C83663" w:rsidRDefault="004E02CD" w:rsidP="00011672">
      <w:pPr>
        <w:pStyle w:val="ListParagraph"/>
        <w:numPr>
          <w:ilvl w:val="0"/>
          <w:numId w:val="4"/>
        </w:numPr>
        <w:spacing w:line="360" w:lineRule="auto"/>
        <w:jc w:val="both"/>
        <w:rPr>
          <w:rFonts w:ascii="Times New Roman" w:hAnsi="Times New Roman" w:cs="Times New Roman"/>
          <w:color w:val="222222"/>
          <w:sz w:val="24"/>
          <w:szCs w:val="24"/>
          <w:shd w:val="clear" w:color="auto" w:fill="FFFFFF"/>
        </w:rPr>
      </w:pPr>
      <w:r w:rsidRPr="00C83663">
        <w:rPr>
          <w:rFonts w:ascii="Times New Roman" w:hAnsi="Times New Roman" w:cs="Times New Roman"/>
          <w:sz w:val="24"/>
          <w:szCs w:val="24"/>
        </w:rPr>
        <w:t xml:space="preserve">Onyekwelu and Akindele (2012), who emphasized that species-diverse tree stands contribute more effectively to ecosystem stability and carbon storage than monoculture-dominated urban landscapes. </w:t>
      </w:r>
      <w:r w:rsidRPr="00C83663">
        <w:rPr>
          <w:rFonts w:ascii="Times New Roman" w:hAnsi="Times New Roman" w:cs="Times New Roman"/>
          <w:i/>
          <w:iCs/>
          <w:color w:val="222222"/>
          <w:sz w:val="24"/>
          <w:szCs w:val="24"/>
          <w:shd w:val="clear" w:color="auto" w:fill="FFFFFF"/>
        </w:rPr>
        <w:t>griculture and Agricultural Technology</w:t>
      </w:r>
      <w:r w:rsidRPr="00C83663">
        <w:rPr>
          <w:rFonts w:ascii="Times New Roman" w:hAnsi="Times New Roman" w:cs="Times New Roman"/>
          <w:color w:val="222222"/>
          <w:sz w:val="24"/>
          <w:szCs w:val="24"/>
          <w:shd w:val="clear" w:color="auto" w:fill="FFFFFF"/>
        </w:rPr>
        <w:t>, </w:t>
      </w:r>
      <w:r w:rsidRPr="00C83663">
        <w:rPr>
          <w:rFonts w:ascii="Times New Roman" w:hAnsi="Times New Roman" w:cs="Times New Roman"/>
          <w:i/>
          <w:iCs/>
          <w:color w:val="222222"/>
          <w:sz w:val="24"/>
          <w:szCs w:val="24"/>
          <w:shd w:val="clear" w:color="auto" w:fill="FFFFFF"/>
        </w:rPr>
        <w:t>10</w:t>
      </w:r>
      <w:r w:rsidRPr="00C83663">
        <w:rPr>
          <w:rFonts w:ascii="Times New Roman" w:hAnsi="Times New Roman" w:cs="Times New Roman"/>
          <w:color w:val="222222"/>
          <w:sz w:val="24"/>
          <w:szCs w:val="24"/>
          <w:shd w:val="clear" w:color="auto" w:fill="FFFFFF"/>
        </w:rPr>
        <w:t>(3), 155-166.</w:t>
      </w:r>
    </w:p>
    <w:p w:rsidR="004E02CD" w:rsidRPr="00C83663" w:rsidRDefault="004E02CD" w:rsidP="00011672">
      <w:pPr>
        <w:pStyle w:val="ListParagraph"/>
        <w:numPr>
          <w:ilvl w:val="0"/>
          <w:numId w:val="4"/>
        </w:numPr>
        <w:spacing w:line="360" w:lineRule="auto"/>
        <w:jc w:val="both"/>
        <w:rPr>
          <w:rFonts w:ascii="Times New Roman" w:hAnsi="Times New Roman" w:cs="Times New Roman"/>
          <w:color w:val="222222"/>
          <w:sz w:val="24"/>
          <w:szCs w:val="24"/>
          <w:shd w:val="clear" w:color="auto" w:fill="FFFFFF"/>
        </w:rPr>
      </w:pPr>
      <w:r w:rsidRPr="00C83663">
        <w:rPr>
          <w:rFonts w:ascii="Times New Roman" w:hAnsi="Times New Roman" w:cs="Times New Roman"/>
          <w:color w:val="222222"/>
          <w:sz w:val="24"/>
          <w:szCs w:val="24"/>
          <w:shd w:val="clear" w:color="auto" w:fill="FFFFFF"/>
        </w:rPr>
        <w:t>Adeyemi, O., Toure, M., Covic, N., van den Bold, M., Nisbett, N., &amp; Headey, D. (2022). Understanding drivers of stunting reduction in Nigeria from 2003 to 2018: a regression analysis. </w:t>
      </w:r>
      <w:r w:rsidRPr="00C83663">
        <w:rPr>
          <w:rFonts w:ascii="Times New Roman" w:hAnsi="Times New Roman" w:cs="Times New Roman"/>
          <w:i/>
          <w:iCs/>
          <w:color w:val="222222"/>
          <w:sz w:val="24"/>
          <w:szCs w:val="24"/>
          <w:shd w:val="clear" w:color="auto" w:fill="FFFFFF"/>
        </w:rPr>
        <w:t>Food Security</w:t>
      </w:r>
      <w:r w:rsidRPr="00C83663">
        <w:rPr>
          <w:rFonts w:ascii="Times New Roman" w:hAnsi="Times New Roman" w:cs="Times New Roman"/>
          <w:color w:val="222222"/>
          <w:sz w:val="24"/>
          <w:szCs w:val="24"/>
          <w:shd w:val="clear" w:color="auto" w:fill="FFFFFF"/>
        </w:rPr>
        <w:t>, </w:t>
      </w:r>
      <w:r w:rsidRPr="00C83663">
        <w:rPr>
          <w:rFonts w:ascii="Times New Roman" w:hAnsi="Times New Roman" w:cs="Times New Roman"/>
          <w:i/>
          <w:iCs/>
          <w:color w:val="222222"/>
          <w:sz w:val="24"/>
          <w:szCs w:val="24"/>
          <w:shd w:val="clear" w:color="auto" w:fill="FFFFFF"/>
        </w:rPr>
        <w:t>14</w:t>
      </w:r>
      <w:r w:rsidRPr="00C83663">
        <w:rPr>
          <w:rFonts w:ascii="Times New Roman" w:hAnsi="Times New Roman" w:cs="Times New Roman"/>
          <w:color w:val="222222"/>
          <w:sz w:val="24"/>
          <w:szCs w:val="24"/>
          <w:shd w:val="clear" w:color="auto" w:fill="FFFFFF"/>
        </w:rPr>
        <w:t>(4), 995-1011.</w:t>
      </w:r>
    </w:p>
    <w:p w:rsidR="004E02CD" w:rsidRPr="00C83663" w:rsidRDefault="004E02CD" w:rsidP="00011672">
      <w:pPr>
        <w:pStyle w:val="ListParagraph"/>
        <w:numPr>
          <w:ilvl w:val="0"/>
          <w:numId w:val="4"/>
        </w:numPr>
        <w:spacing w:after="0" w:line="360" w:lineRule="auto"/>
        <w:jc w:val="both"/>
        <w:rPr>
          <w:rFonts w:ascii="Times New Roman" w:hAnsi="Times New Roman" w:cs="Times New Roman"/>
          <w:sz w:val="24"/>
          <w:szCs w:val="24"/>
        </w:rPr>
      </w:pPr>
      <w:r w:rsidRPr="00C83663">
        <w:rPr>
          <w:rFonts w:ascii="Times New Roman" w:hAnsi="Times New Roman" w:cs="Times New Roman"/>
          <w:sz w:val="24"/>
          <w:szCs w:val="24"/>
        </w:rPr>
        <w:t xml:space="preserve">Dangulla, M., Abd Manaf, L., Ramli, M. F., Yacob, M.R., and Namadi, S. (2021) exploring urban  tree diversity and carbon stock in zaria metropolis, North Western Nigeria. </w:t>
      </w:r>
      <w:r w:rsidRPr="00C83663">
        <w:rPr>
          <w:rFonts w:ascii="Times New Roman" w:hAnsi="Times New Roman" w:cs="Times New Roman"/>
          <w:i/>
          <w:sz w:val="24"/>
          <w:szCs w:val="24"/>
        </w:rPr>
        <w:t>Apllied Geography</w:t>
      </w:r>
      <w:r w:rsidRPr="00C83663">
        <w:rPr>
          <w:rFonts w:ascii="Times New Roman" w:hAnsi="Times New Roman" w:cs="Times New Roman"/>
          <w:sz w:val="24"/>
          <w:szCs w:val="24"/>
        </w:rPr>
        <w:t xml:space="preserve">, 127, 102385.https:// doi.org/10.1016/apgeog.2021.102385. </w:t>
      </w:r>
    </w:p>
    <w:p w:rsidR="004E02CD" w:rsidRPr="00C83663" w:rsidRDefault="004E02CD" w:rsidP="00011672">
      <w:pPr>
        <w:pStyle w:val="ListParagraph"/>
        <w:numPr>
          <w:ilvl w:val="0"/>
          <w:numId w:val="4"/>
        </w:numPr>
        <w:spacing w:after="0" w:line="360" w:lineRule="auto"/>
        <w:jc w:val="both"/>
        <w:rPr>
          <w:rFonts w:ascii="Times New Roman" w:hAnsi="Times New Roman" w:cs="Times New Roman"/>
          <w:sz w:val="24"/>
          <w:szCs w:val="24"/>
        </w:rPr>
      </w:pPr>
      <w:r w:rsidRPr="00C83663">
        <w:rPr>
          <w:rFonts w:ascii="Times New Roman" w:hAnsi="Times New Roman" w:cs="Times New Roman"/>
          <w:sz w:val="24"/>
          <w:szCs w:val="24"/>
        </w:rPr>
        <w:lastRenderedPageBreak/>
        <w:t xml:space="preserve">Moshood, F. J., Muhali, M.O., and Ugbong, E. A., (2024). Evaluating urban tree diversity and the “10-20-30 ” rule in illorin Metropolis. </w:t>
      </w:r>
      <w:r w:rsidRPr="00C83663">
        <w:rPr>
          <w:rFonts w:ascii="Times New Roman" w:hAnsi="Times New Roman" w:cs="Times New Roman"/>
          <w:i/>
          <w:sz w:val="24"/>
          <w:szCs w:val="24"/>
        </w:rPr>
        <w:t xml:space="preserve">Journal of Agriculture and Environment, </w:t>
      </w:r>
      <w:r w:rsidRPr="00C83663">
        <w:rPr>
          <w:rFonts w:ascii="Times New Roman" w:hAnsi="Times New Roman" w:cs="Times New Roman"/>
          <w:sz w:val="24"/>
          <w:szCs w:val="24"/>
        </w:rPr>
        <w:t xml:space="preserve">20(1), 89-101. </w:t>
      </w:r>
      <w:hyperlink r:id="rId17" w:history="1">
        <w:r w:rsidRPr="00C83663">
          <w:rPr>
            <w:rStyle w:val="Hyperlink"/>
            <w:rFonts w:ascii="Times New Roman" w:hAnsi="Times New Roman" w:cs="Times New Roman"/>
            <w:sz w:val="24"/>
            <w:szCs w:val="24"/>
          </w:rPr>
          <w:t>https://www.ajol.info/index.php/jagrenv/article/view/291049</w:t>
        </w:r>
      </w:hyperlink>
    </w:p>
    <w:p w:rsidR="004E02CD" w:rsidRPr="00C83663" w:rsidRDefault="004E02CD" w:rsidP="00011672">
      <w:pPr>
        <w:pStyle w:val="ListParagraph"/>
        <w:numPr>
          <w:ilvl w:val="0"/>
          <w:numId w:val="4"/>
        </w:numPr>
        <w:spacing w:line="360" w:lineRule="auto"/>
        <w:jc w:val="both"/>
        <w:rPr>
          <w:rFonts w:ascii="Times New Roman" w:hAnsi="Times New Roman" w:cs="Times New Roman"/>
          <w:color w:val="222222"/>
          <w:sz w:val="24"/>
          <w:szCs w:val="24"/>
          <w:shd w:val="clear" w:color="auto" w:fill="FFFFFF"/>
        </w:rPr>
      </w:pPr>
      <w:r w:rsidRPr="00C83663">
        <w:rPr>
          <w:rFonts w:ascii="Times New Roman" w:hAnsi="Times New Roman" w:cs="Times New Roman"/>
          <w:color w:val="222222"/>
          <w:sz w:val="24"/>
          <w:szCs w:val="24"/>
          <w:shd w:val="clear" w:color="auto" w:fill="FFFFFF"/>
        </w:rPr>
        <w:t>Ogwu, M. C., Osawaru, M. E., &amp; Obayuwana, O. K. (2016). Diversity and abundance of tree species in the University of Benin, Benin City, Nigeria. </w:t>
      </w:r>
      <w:r w:rsidRPr="00C83663">
        <w:rPr>
          <w:rFonts w:ascii="Times New Roman" w:hAnsi="Times New Roman" w:cs="Times New Roman"/>
          <w:i/>
          <w:iCs/>
          <w:color w:val="222222"/>
          <w:sz w:val="24"/>
          <w:szCs w:val="24"/>
          <w:shd w:val="clear" w:color="auto" w:fill="FFFFFF"/>
        </w:rPr>
        <w:t>Applied Tropical Agriculture</w:t>
      </w:r>
      <w:r w:rsidRPr="00C83663">
        <w:rPr>
          <w:rFonts w:ascii="Times New Roman" w:hAnsi="Times New Roman" w:cs="Times New Roman"/>
          <w:color w:val="222222"/>
          <w:sz w:val="24"/>
          <w:szCs w:val="24"/>
          <w:shd w:val="clear" w:color="auto" w:fill="FFFFFF"/>
        </w:rPr>
        <w:t>, </w:t>
      </w:r>
      <w:r w:rsidRPr="00C83663">
        <w:rPr>
          <w:rFonts w:ascii="Times New Roman" w:hAnsi="Times New Roman" w:cs="Times New Roman"/>
          <w:i/>
          <w:iCs/>
          <w:color w:val="222222"/>
          <w:sz w:val="24"/>
          <w:szCs w:val="24"/>
          <w:shd w:val="clear" w:color="auto" w:fill="FFFFFF"/>
        </w:rPr>
        <w:t>21</w:t>
      </w:r>
      <w:r w:rsidRPr="00C83663">
        <w:rPr>
          <w:rFonts w:ascii="Times New Roman" w:hAnsi="Times New Roman" w:cs="Times New Roman"/>
          <w:color w:val="222222"/>
          <w:sz w:val="24"/>
          <w:szCs w:val="24"/>
          <w:shd w:val="clear" w:color="auto" w:fill="FFFFFF"/>
        </w:rPr>
        <w:t>(3), 46-54.</w:t>
      </w:r>
    </w:p>
    <w:p w:rsidR="00C83F4F" w:rsidRPr="00C83663" w:rsidRDefault="00C83F4F" w:rsidP="00011672">
      <w:pPr>
        <w:pStyle w:val="ListParagraph"/>
        <w:numPr>
          <w:ilvl w:val="0"/>
          <w:numId w:val="4"/>
        </w:numPr>
        <w:spacing w:after="0" w:line="360" w:lineRule="auto"/>
        <w:jc w:val="both"/>
        <w:rPr>
          <w:rFonts w:ascii="Times New Roman" w:hAnsi="Times New Roman" w:cs="Times New Roman"/>
          <w:sz w:val="24"/>
          <w:szCs w:val="24"/>
        </w:rPr>
      </w:pPr>
      <w:r w:rsidRPr="00C83663">
        <w:rPr>
          <w:rFonts w:ascii="Times New Roman" w:hAnsi="Times New Roman" w:cs="Times New Roman"/>
          <w:sz w:val="24"/>
          <w:szCs w:val="24"/>
        </w:rPr>
        <w:t xml:space="preserve">Abubakar, A., Musa, A., and Babagana, M., (2016). </w:t>
      </w:r>
      <w:r w:rsidRPr="00C83663">
        <w:rPr>
          <w:rFonts w:ascii="Times New Roman" w:hAnsi="Times New Roman" w:cs="Times New Roman"/>
          <w:i/>
          <w:sz w:val="24"/>
          <w:szCs w:val="24"/>
        </w:rPr>
        <w:t>Floristic co</w:t>
      </w:r>
      <w:r w:rsidR="00A25B80" w:rsidRPr="00C83663">
        <w:rPr>
          <w:rFonts w:ascii="Times New Roman" w:hAnsi="Times New Roman" w:cs="Times New Roman"/>
          <w:i/>
          <w:sz w:val="24"/>
          <w:szCs w:val="24"/>
        </w:rPr>
        <w:t>mposition and diversity of tree</w:t>
      </w:r>
      <w:r w:rsidRPr="00C83663">
        <w:rPr>
          <w:rFonts w:ascii="Times New Roman" w:hAnsi="Times New Roman" w:cs="Times New Roman"/>
          <w:i/>
          <w:sz w:val="24"/>
          <w:szCs w:val="24"/>
        </w:rPr>
        <w:t xml:space="preserve"> species in urban green spaces of Maiduguri Metropolis, Borno State Nigeria.</w:t>
      </w:r>
      <w:r w:rsidRPr="00C83663">
        <w:rPr>
          <w:rFonts w:ascii="Times New Roman" w:hAnsi="Times New Roman" w:cs="Times New Roman"/>
          <w:sz w:val="24"/>
          <w:szCs w:val="24"/>
        </w:rPr>
        <w:t xml:space="preserve"> Greener Journal of Agricultural Science,6(3), 075-083. https;//doi.org/10.15580/GJAS.2016.3.021716044.</w:t>
      </w:r>
    </w:p>
    <w:p w:rsidR="00C83F4F" w:rsidRDefault="00C83F4F" w:rsidP="00C83F4F">
      <w:pPr>
        <w:spacing w:after="0" w:line="360" w:lineRule="auto"/>
        <w:ind w:left="720"/>
        <w:rPr>
          <w:rFonts w:ascii="Times New Roman" w:hAnsi="Times New Roman" w:cs="Times New Roman"/>
          <w:sz w:val="24"/>
          <w:szCs w:val="24"/>
        </w:rPr>
      </w:pPr>
    </w:p>
    <w:sectPr w:rsidR="00C83F4F">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874" w:rsidRDefault="00C32874">
      <w:pPr>
        <w:spacing w:after="0" w:line="240" w:lineRule="auto"/>
      </w:pPr>
      <w:r>
        <w:separator/>
      </w:r>
    </w:p>
  </w:endnote>
  <w:endnote w:type="continuationSeparator" w:id="0">
    <w:p w:rsidR="00C32874" w:rsidRDefault="00C3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22F" w:rsidRDefault="00290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22F" w:rsidRDefault="00290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22F" w:rsidRDefault="002902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4F" w:rsidRDefault="00C83F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4F" w:rsidRDefault="00C83F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4F" w:rsidRDefault="00C8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874" w:rsidRDefault="00C32874">
      <w:pPr>
        <w:spacing w:after="0" w:line="240" w:lineRule="auto"/>
      </w:pPr>
      <w:r>
        <w:separator/>
      </w:r>
    </w:p>
  </w:footnote>
  <w:footnote w:type="continuationSeparator" w:id="0">
    <w:p w:rsidR="00C32874" w:rsidRDefault="00C32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22F" w:rsidRDefault="00C32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22F" w:rsidRDefault="00C32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22F" w:rsidRDefault="00C32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4F" w:rsidRDefault="00C32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32"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4F" w:rsidRDefault="00C32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33"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4F" w:rsidRDefault="00C32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31"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4065C"/>
    <w:multiLevelType w:val="multilevel"/>
    <w:tmpl w:val="24E4065C"/>
    <w:lvl w:ilvl="0">
      <w:start w:val="3"/>
      <w:numFmt w:val="decimal"/>
      <w:lvlText w:val="%1"/>
      <w:lvlJc w:val="left"/>
      <w:pPr>
        <w:ind w:left="660" w:hanging="660"/>
      </w:pPr>
      <w:rPr>
        <w:rFonts w:hint="default"/>
      </w:rPr>
    </w:lvl>
    <w:lvl w:ilvl="1">
      <w:start w:val="3219"/>
      <w:numFmt w:val="decimal"/>
      <w:lvlText w:val="%1.%2"/>
      <w:lvlJc w:val="left"/>
      <w:pPr>
        <w:ind w:left="660" w:hanging="660"/>
      </w:pPr>
      <w:rPr>
        <w:rFonts w:hint="default"/>
      </w:rPr>
    </w:lvl>
    <w:lvl w:ilvl="2">
      <w:start w:val="1"/>
      <w:numFmt w:val="decimal"/>
      <w:lvlText w:val="%1.%2.%3"/>
      <w:lvlJc w:val="left"/>
      <w:pPr>
        <w:ind w:left="660" w:hanging="6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55C40E5D"/>
    <w:multiLevelType w:val="multilevel"/>
    <w:tmpl w:val="55C40E5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AC709D"/>
    <w:multiLevelType w:val="multilevel"/>
    <w:tmpl w:val="5CAC709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64CB7D1F"/>
    <w:multiLevelType w:val="hybridMultilevel"/>
    <w:tmpl w:val="DA54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24CD6"/>
    <w:multiLevelType w:val="hybridMultilevel"/>
    <w:tmpl w:val="A8C8A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4F"/>
    <w:rsid w:val="00011672"/>
    <w:rsid w:val="000C5792"/>
    <w:rsid w:val="000D2F40"/>
    <w:rsid w:val="000D41B0"/>
    <w:rsid w:val="000E6750"/>
    <w:rsid w:val="0013651F"/>
    <w:rsid w:val="00184D45"/>
    <w:rsid w:val="00187F4B"/>
    <w:rsid w:val="001E3117"/>
    <w:rsid w:val="00244AA4"/>
    <w:rsid w:val="00280596"/>
    <w:rsid w:val="0029022F"/>
    <w:rsid w:val="00290AA7"/>
    <w:rsid w:val="002A5882"/>
    <w:rsid w:val="002B62D6"/>
    <w:rsid w:val="002F32DA"/>
    <w:rsid w:val="00340CCA"/>
    <w:rsid w:val="00340DCA"/>
    <w:rsid w:val="00347816"/>
    <w:rsid w:val="003B29AC"/>
    <w:rsid w:val="00443994"/>
    <w:rsid w:val="00443AC4"/>
    <w:rsid w:val="0045028B"/>
    <w:rsid w:val="0048239B"/>
    <w:rsid w:val="00490D7B"/>
    <w:rsid w:val="004B3E49"/>
    <w:rsid w:val="004E02CD"/>
    <w:rsid w:val="004F02F4"/>
    <w:rsid w:val="00531F67"/>
    <w:rsid w:val="00535817"/>
    <w:rsid w:val="0054493B"/>
    <w:rsid w:val="00545B17"/>
    <w:rsid w:val="0059690C"/>
    <w:rsid w:val="005C7EAC"/>
    <w:rsid w:val="0065417C"/>
    <w:rsid w:val="006A4E26"/>
    <w:rsid w:val="006E236D"/>
    <w:rsid w:val="006E72F2"/>
    <w:rsid w:val="007A636A"/>
    <w:rsid w:val="007B283C"/>
    <w:rsid w:val="00811CB5"/>
    <w:rsid w:val="008A741A"/>
    <w:rsid w:val="008B4022"/>
    <w:rsid w:val="008B6868"/>
    <w:rsid w:val="008D6634"/>
    <w:rsid w:val="00937CA4"/>
    <w:rsid w:val="00995832"/>
    <w:rsid w:val="0099722F"/>
    <w:rsid w:val="00A0122B"/>
    <w:rsid w:val="00A25B80"/>
    <w:rsid w:val="00A83264"/>
    <w:rsid w:val="00A95E20"/>
    <w:rsid w:val="00B801CD"/>
    <w:rsid w:val="00BD1ABE"/>
    <w:rsid w:val="00BE214E"/>
    <w:rsid w:val="00BE7DCC"/>
    <w:rsid w:val="00C12B97"/>
    <w:rsid w:val="00C32874"/>
    <w:rsid w:val="00C449D6"/>
    <w:rsid w:val="00C550E5"/>
    <w:rsid w:val="00C83663"/>
    <w:rsid w:val="00C83F4F"/>
    <w:rsid w:val="00C867FB"/>
    <w:rsid w:val="00D044D1"/>
    <w:rsid w:val="00D275D5"/>
    <w:rsid w:val="00D335D6"/>
    <w:rsid w:val="00D34EBE"/>
    <w:rsid w:val="00D954F2"/>
    <w:rsid w:val="00D966A5"/>
    <w:rsid w:val="00DD4306"/>
    <w:rsid w:val="00DE1C0A"/>
    <w:rsid w:val="00DE6F8C"/>
    <w:rsid w:val="00DF4D9E"/>
    <w:rsid w:val="00E106A3"/>
    <w:rsid w:val="00E20599"/>
    <w:rsid w:val="00E71F9B"/>
    <w:rsid w:val="00ED4E79"/>
    <w:rsid w:val="00F037C7"/>
    <w:rsid w:val="00FA2908"/>
    <w:rsid w:val="00FC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7122ED2-F7B0-411A-BC1E-8AECD544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83F4F"/>
    <w:rPr>
      <w:i/>
      <w:iCs/>
    </w:rPr>
  </w:style>
  <w:style w:type="paragraph" w:styleId="Footer">
    <w:name w:val="footer"/>
    <w:basedOn w:val="Normal"/>
    <w:link w:val="FooterChar"/>
    <w:uiPriority w:val="99"/>
    <w:unhideWhenUsed/>
    <w:rsid w:val="00C83F4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83F4F"/>
  </w:style>
  <w:style w:type="paragraph" w:styleId="Header">
    <w:name w:val="header"/>
    <w:basedOn w:val="Normal"/>
    <w:link w:val="HeaderChar"/>
    <w:uiPriority w:val="99"/>
    <w:unhideWhenUsed/>
    <w:qFormat/>
    <w:rsid w:val="00C83F4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83F4F"/>
  </w:style>
  <w:style w:type="character" w:styleId="Hyperlink">
    <w:name w:val="Hyperlink"/>
    <w:basedOn w:val="DefaultParagraphFont"/>
    <w:uiPriority w:val="99"/>
    <w:unhideWhenUsed/>
    <w:rsid w:val="00C83F4F"/>
    <w:rPr>
      <w:color w:val="0000FF"/>
      <w:u w:val="single"/>
    </w:rPr>
  </w:style>
  <w:style w:type="table" w:styleId="TableGrid">
    <w:name w:val="Table Grid"/>
    <w:basedOn w:val="TableNormal"/>
    <w:uiPriority w:val="39"/>
    <w:rsid w:val="00C83F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83F4F"/>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ListParagraph">
    <w:name w:val="List Paragraph"/>
    <w:basedOn w:val="Normal"/>
    <w:uiPriority w:val="34"/>
    <w:qFormat/>
    <w:rsid w:val="00C83F4F"/>
    <w:pPr>
      <w:ind w:left="720"/>
      <w:contextualSpacing/>
    </w:pPr>
    <w:rPr>
      <w:lang w:val="en-IN"/>
    </w:rPr>
  </w:style>
  <w:style w:type="paragraph" w:styleId="NoSpacing">
    <w:name w:val="No Spacing"/>
    <w:uiPriority w:val="1"/>
    <w:qFormat/>
    <w:rsid w:val="00C83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ajol.info/index.php/jagrenv/article/view/2910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i.org/10.3390/land10111106"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i.org/10.3390/land10111106"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22</Pages>
  <Words>4639</Words>
  <Characters>26447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77</cp:revision>
  <dcterms:created xsi:type="dcterms:W3CDTF">2026-04-09T17:11:00Z</dcterms:created>
  <dcterms:modified xsi:type="dcterms:W3CDTF">2026-04-11T09:43:00Z</dcterms:modified>
</cp:coreProperties>
</file>