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8C528" w14:textId="77777777" w:rsidR="000959F9" w:rsidRDefault="00FD7D35">
      <w:pPr>
        <w:pStyle w:val="Title"/>
      </w:pPr>
      <w:r>
        <w:t>A Review of Energy Pellet Production from Agricultural Waste for Reducing Fossil Fuel Consumption</w:t>
      </w:r>
    </w:p>
    <w:p w14:paraId="4CA055BD" w14:textId="77777777" w:rsidR="000959F9" w:rsidRDefault="00FD7D35">
      <w:pPr>
        <w:spacing w:before="400" w:after="200"/>
      </w:pPr>
      <w:r>
        <w:rPr>
          <w:b/>
          <w:bCs/>
        </w:rPr>
        <w:t>Abstract</w:t>
      </w:r>
    </w:p>
    <w:p w14:paraId="3E061511" w14:textId="591A880E" w:rsidR="000959F9" w:rsidRDefault="00FD7D35">
      <w:pPr>
        <w:spacing w:after="200"/>
        <w:jc w:val="both"/>
      </w:pPr>
      <w:r>
        <w:t xml:space="preserve">The global transition towards sustainable energy systems necessitates the exploration of renewable alternatives to fossil fuels. Agricultural waste represents a substantial yet </w:t>
      </w:r>
      <w:proofErr w:type="spellStart"/>
      <w:r>
        <w:t>underutilised</w:t>
      </w:r>
      <w:proofErr w:type="spellEnd"/>
      <w:r>
        <w:t xml:space="preserve"> resource for bioenergy production, with energy pellet manufacturing emerging as a promising pathway for converting these residues into </w:t>
      </w:r>
      <w:proofErr w:type="spellStart"/>
      <w:r>
        <w:t>standardised</w:t>
      </w:r>
      <w:proofErr w:type="spellEnd"/>
      <w:r>
        <w:t xml:space="preserve">, high-energy-density solid fuels. This comprehensive review examines the current state of knowledge regarding energy pellet production from agricultural waste, encompassing feedstock characteristics, </w:t>
      </w:r>
      <w:proofErr w:type="spellStart"/>
      <w:r>
        <w:t>pelletisation</w:t>
      </w:r>
      <w:proofErr w:type="spellEnd"/>
      <w:r>
        <w:t xml:space="preserve"> technologies, pretreatment methods, quality parameters, environmental implications, and techno-economic considerations. </w:t>
      </w:r>
      <w:r w:rsidR="00076837" w:rsidRPr="002F07C4">
        <w:rPr>
          <w:highlight w:val="yellow"/>
        </w:rPr>
        <w:t>This review was conducted through a comprehensive search of peer-reviewed literature using established academic databases, including Web of Science, Scopus, Google Scholar, and PubMed.</w:t>
      </w:r>
      <w:r w:rsidR="00076837">
        <w:t xml:space="preserve"> </w:t>
      </w:r>
      <w:r>
        <w:t xml:space="preserve">Agricultural residues, including cereal straws, corn stover, rice husks, sugarcane bagasse, and various crop processing by-products, demonstrate considerable potential for pellet production when appropriately processed. The review critically analyses the influence of feedstock properties such as moisture content, particle size distribution, and chemical composition on pellet quality attributes including mechanical durability, bulk density, and calorific value. Advanced pretreatment technologies, particularly torrefaction and hydrothermal processing, are evaluated for their capacity to enhance pellet characteristics and combustion performance. Life cycle assessment studies indicate that agricultural waste-derived pellets can achieve substantial greenhouse gas emission reductions compared to fossil fuel alternatives, though the magnitude of these benefits depends significantly on supply chain configurations and processing methodologies. The co-firing of biomass pellets with coal in existing thermal power plants represents a pragmatic near-term strategy for emission mitigation whilst maintaining energy security. Despite promising developments, several challenges persist, including feedstock variability, seasonal availability constraints, logistical complexities, and the need for supportive policy frameworks. This review identifies research gaps and provides recommendations for advancing agricultural waste </w:t>
      </w:r>
      <w:proofErr w:type="spellStart"/>
      <w:r>
        <w:t>pelletisation</w:t>
      </w:r>
      <w:proofErr w:type="spellEnd"/>
      <w:r>
        <w:t xml:space="preserve"> as a viable contributor to global </w:t>
      </w:r>
      <w:proofErr w:type="spellStart"/>
      <w:r>
        <w:t>decarbonisation</w:t>
      </w:r>
      <w:proofErr w:type="spellEnd"/>
      <w:r>
        <w:t xml:space="preserve"> efforts.</w:t>
      </w:r>
    </w:p>
    <w:p w14:paraId="0A630C1D" w14:textId="622C07FD" w:rsidR="000959F9" w:rsidRDefault="00FD7D35">
      <w:pPr>
        <w:spacing w:before="200" w:after="400"/>
      </w:pPr>
      <w:r w:rsidRPr="00377EAC">
        <w:rPr>
          <w:b/>
          <w:bCs/>
          <w:highlight w:val="yellow"/>
        </w:rPr>
        <w:lastRenderedPageBreak/>
        <w:t xml:space="preserve">Keywords: </w:t>
      </w:r>
      <w:r w:rsidRPr="00377EAC">
        <w:rPr>
          <w:highlight w:val="yellow"/>
        </w:rPr>
        <w:t xml:space="preserve">Agricultural waste; Biomass pellets; Bioenergy; </w:t>
      </w:r>
      <w:proofErr w:type="spellStart"/>
      <w:r w:rsidRPr="00377EAC">
        <w:rPr>
          <w:highlight w:val="yellow"/>
        </w:rPr>
        <w:t>Pelletisation</w:t>
      </w:r>
      <w:proofErr w:type="spellEnd"/>
      <w:r w:rsidRPr="00377EAC">
        <w:rPr>
          <w:highlight w:val="yellow"/>
        </w:rPr>
        <w:t>; Fossil fuel reduction; Renewable energy; Sustainable energy</w:t>
      </w:r>
    </w:p>
    <w:p w14:paraId="14D46D55" w14:textId="77777777" w:rsidR="000959F9" w:rsidRDefault="00FD7D35">
      <w:pPr>
        <w:pStyle w:val="Heading1"/>
      </w:pPr>
      <w:r>
        <w:t>1. Introduction</w:t>
      </w:r>
    </w:p>
    <w:p w14:paraId="34732395" w14:textId="7399DDDB" w:rsidR="000959F9" w:rsidRDefault="0065266A">
      <w:pPr>
        <w:spacing w:after="200"/>
        <w:jc w:val="both"/>
      </w:pPr>
      <w:r w:rsidRPr="002F07C4">
        <w:rPr>
          <w:rFonts w:ascii="Georgia" w:hAnsi="Georgia"/>
          <w:color w:val="1F1F1F"/>
          <w:highlight w:val="yellow"/>
        </w:rPr>
        <w:t>The biomass pellet market and use scenario ha</w:t>
      </w:r>
      <w:r w:rsidR="00521208">
        <w:rPr>
          <w:rFonts w:ascii="Georgia" w:hAnsi="Georgia"/>
          <w:color w:val="1F1F1F"/>
          <w:highlight w:val="yellow"/>
        </w:rPr>
        <w:t>ve</w:t>
      </w:r>
      <w:r w:rsidRPr="002F07C4">
        <w:rPr>
          <w:rFonts w:ascii="Georgia" w:hAnsi="Georgia"/>
          <w:color w:val="1F1F1F"/>
          <w:highlight w:val="yellow"/>
        </w:rPr>
        <w:t xml:space="preserve"> become a vital part of the energy sector and thus </w:t>
      </w:r>
      <w:r w:rsidR="00521208">
        <w:rPr>
          <w:rFonts w:ascii="Georgia" w:hAnsi="Georgia"/>
          <w:color w:val="1F1F1F"/>
          <w:highlight w:val="yellow"/>
        </w:rPr>
        <w:t>are</w:t>
      </w:r>
      <w:r w:rsidRPr="002F07C4">
        <w:rPr>
          <w:rFonts w:ascii="Georgia" w:hAnsi="Georgia"/>
          <w:color w:val="1F1F1F"/>
          <w:highlight w:val="yellow"/>
        </w:rPr>
        <w:t xml:space="preserve"> evolving continuously at a faster rate</w:t>
      </w:r>
      <w:r w:rsidRPr="002F07C4">
        <w:rPr>
          <w:highlight w:val="yellow"/>
        </w:rPr>
        <w:t xml:space="preserve">. </w:t>
      </w:r>
      <w:r w:rsidRPr="002F07C4">
        <w:rPr>
          <w:rFonts w:ascii="Georgia" w:hAnsi="Georgia"/>
          <w:color w:val="1F1F1F"/>
          <w:highlight w:val="yellow"/>
        </w:rPr>
        <w:t>The production of pellets can significantly replace traditional household biomass demand and improve environmental and health quality. However, the production and use of pellets are limited due to technical, financial, social and policy issues</w:t>
      </w:r>
      <w:r>
        <w:rPr>
          <w:rFonts w:ascii="Georgia" w:hAnsi="Georgia"/>
          <w:color w:val="1F1F1F"/>
          <w:highlight w:val="yellow"/>
        </w:rPr>
        <w:t xml:space="preserve"> (</w:t>
      </w:r>
      <w:proofErr w:type="spellStart"/>
      <w:r w:rsidRPr="004D22C4">
        <w:rPr>
          <w:rFonts w:ascii="Arial" w:hAnsi="Arial" w:cs="Arial"/>
          <w:color w:val="222222"/>
          <w:sz w:val="20"/>
          <w:szCs w:val="20"/>
          <w:highlight w:val="yellow"/>
          <w:shd w:val="clear" w:color="auto" w:fill="FFFFFF"/>
        </w:rPr>
        <w:t>Mawusi</w:t>
      </w:r>
      <w:proofErr w:type="spellEnd"/>
      <w:r>
        <w:rPr>
          <w:rFonts w:ascii="Arial" w:hAnsi="Arial" w:cs="Arial"/>
          <w:color w:val="222222"/>
          <w:sz w:val="20"/>
          <w:szCs w:val="20"/>
          <w:highlight w:val="yellow"/>
          <w:shd w:val="clear" w:color="auto" w:fill="FFFFFF"/>
        </w:rPr>
        <w:t xml:space="preserve"> et al., 2023</w:t>
      </w:r>
      <w:r>
        <w:rPr>
          <w:rFonts w:ascii="Georgia" w:hAnsi="Georgia"/>
          <w:color w:val="1F1F1F"/>
          <w:highlight w:val="yellow"/>
        </w:rPr>
        <w:t>)</w:t>
      </w:r>
      <w:r w:rsidRPr="002F07C4">
        <w:rPr>
          <w:rFonts w:ascii="Georgia" w:hAnsi="Georgia"/>
          <w:color w:val="1F1F1F"/>
          <w:highlight w:val="yellow"/>
        </w:rPr>
        <w:t>.</w:t>
      </w:r>
      <w:r>
        <w:t xml:space="preserve"> </w:t>
      </w:r>
      <w:r w:rsidR="00FD7D35">
        <w:t xml:space="preserve">The contemporary global energy landscape is </w:t>
      </w:r>
      <w:proofErr w:type="spellStart"/>
      <w:r w:rsidR="00FD7D35">
        <w:t>characterised</w:t>
      </w:r>
      <w:proofErr w:type="spellEnd"/>
      <w:r w:rsidR="00FD7D35">
        <w:t xml:space="preserve"> by an urgent imperative to transition away from fossil fuel dependence towards sustainable, low-carbon alternatives. Over 86% of global energy consumption continues to rely on traditional fossil fuels, which emit pollutants such as </w:t>
      </w:r>
      <w:proofErr w:type="spellStart"/>
      <w:r w:rsidR="00FD7D35">
        <w:t>sulphur</w:t>
      </w:r>
      <w:proofErr w:type="spellEnd"/>
      <w:r w:rsidR="00FD7D35">
        <w:t xml:space="preserve"> dioxide, nitrogen oxides, polycyclic aromatic hydrocarbons, carbon monoxide, and carbon dioxide, thereby exacerbating environmental degradation and contributing substantially to anthropogenic climate change (Zhu et al., 2025). The Intergovernmental Panel on Climate Change has </w:t>
      </w:r>
      <w:proofErr w:type="spellStart"/>
      <w:r w:rsidR="00FD7D35">
        <w:t>emphasised</w:t>
      </w:r>
      <w:proofErr w:type="spellEnd"/>
      <w:r w:rsidR="00FD7D35">
        <w:t xml:space="preserve"> with high confidence that bioenergy deployment can lead to either increased or reduced emissions, depending on the scale of deployment, conversion technology, fuel displaced, and the manner in which biomass is produced (Tran et al., 2023). Consequently, the scientific community and policymakers have intensified efforts to identify and develop renewable energy pathways that can meaningfully contribute to </w:t>
      </w:r>
      <w:proofErr w:type="spellStart"/>
      <w:r w:rsidR="00FD7D35">
        <w:t>decarbonisation</w:t>
      </w:r>
      <w:proofErr w:type="spellEnd"/>
      <w:r w:rsidR="00FD7D35">
        <w:t xml:space="preserve"> objectives whilst maintaining energy security and economic viability.</w:t>
      </w:r>
      <w:r w:rsidR="00586697">
        <w:t xml:space="preserve"> </w:t>
      </w:r>
      <w:r w:rsidR="00586697" w:rsidRPr="002F07C4">
        <w:rPr>
          <w:rFonts w:ascii="Arial" w:hAnsi="Arial" w:cs="Arial"/>
          <w:color w:val="222222"/>
          <w:sz w:val="20"/>
          <w:szCs w:val="20"/>
          <w:highlight w:val="yellow"/>
          <w:shd w:val="clear" w:color="auto" w:fill="FFFFFF"/>
        </w:rPr>
        <w:t>To mitigate the environmental impacts and protect human health, transitioning to renewable energy sources such as wind, solar, geothermal, and biomass is considered one of the most promising solutions to reduce dependence on fossil fuels. Among these, bioenergy has become the world’s fourth-largest energy source, following oil, coal, and natural gas, accounting for an estimated 11.6% of global final energy consumption, or 44 exajoules (EJ), with more than half of this coming from renewable sources. Some practices have proven that utilizing crop straw for biomass-pellet production can not only alleviate rural energy poverty but also contribute significantly to rural development and sustainable agricultural practices</w:t>
      </w:r>
      <w:r w:rsidR="008E5E0F" w:rsidRPr="00521208">
        <w:rPr>
          <w:rFonts w:ascii="Arial" w:hAnsi="Arial" w:cs="Arial"/>
          <w:color w:val="222222"/>
          <w:sz w:val="20"/>
          <w:szCs w:val="20"/>
          <w:highlight w:val="yellow"/>
          <w:shd w:val="clear" w:color="auto" w:fill="FFFFFF"/>
        </w:rPr>
        <w:t xml:space="preserve"> (</w:t>
      </w:r>
      <w:r w:rsidR="008E5E0F" w:rsidRPr="002F07C4">
        <w:rPr>
          <w:rFonts w:ascii="inherit" w:hAnsi="inherit" w:cs="Helvetica"/>
          <w:color w:val="222222"/>
          <w:sz w:val="22"/>
          <w:szCs w:val="18"/>
          <w:highlight w:val="yellow"/>
        </w:rPr>
        <w:t>Deng et al., 2025</w:t>
      </w:r>
      <w:r w:rsidR="008E5E0F" w:rsidRPr="002F07C4">
        <w:rPr>
          <w:rFonts w:ascii="Arial" w:hAnsi="Arial" w:cs="Arial"/>
          <w:color w:val="222222"/>
          <w:sz w:val="20"/>
          <w:szCs w:val="20"/>
          <w:highlight w:val="yellow"/>
          <w:shd w:val="clear" w:color="auto" w:fill="FFFFFF"/>
        </w:rPr>
        <w:t>)</w:t>
      </w:r>
      <w:r w:rsidR="00586697" w:rsidRPr="002F07C4">
        <w:rPr>
          <w:rFonts w:ascii="Arial" w:hAnsi="Arial" w:cs="Arial"/>
          <w:color w:val="222222"/>
          <w:sz w:val="20"/>
          <w:szCs w:val="20"/>
          <w:highlight w:val="yellow"/>
          <w:shd w:val="clear" w:color="auto" w:fill="FFFFFF"/>
        </w:rPr>
        <w:t>.</w:t>
      </w:r>
    </w:p>
    <w:p w14:paraId="4028CC77" w14:textId="77777777" w:rsidR="000959F9" w:rsidRDefault="00FD7D35">
      <w:pPr>
        <w:spacing w:after="200"/>
        <w:jc w:val="both"/>
      </w:pPr>
      <w:r>
        <w:t xml:space="preserve">Bioenergy has emerged as the fourth-largest energy source globally, following oil, coal, and natural gas, accounting for an estimated 11.6% of global final energy consumption, equivalent to approximately 44 exajoules, with more than half originating from renewable sources (Zhu et al., 2025). Among the various bioenergy pathways, the production of solid fuel pellets from biomass has attracted considerable attention owing to their advantageous </w:t>
      </w:r>
      <w:r>
        <w:lastRenderedPageBreak/>
        <w:t>properties, including high energy density, low moisture content, uniform physical characteristics, and efficient combustion performance. The global biomass pellets market was valued at approximately 12.3 billion United States dollars in 2024 and is projected to reach 24.7 billion dollars by 2034, reflecting a compound annual growth rate of 7.2% (Market.us, 2025). This substantial market expansion underscores the growing recognition of biomass pellets as a viable contributor to renewable energy portfolios.</w:t>
      </w:r>
    </w:p>
    <w:p w14:paraId="7838DA0D" w14:textId="77777777" w:rsidR="000959F9" w:rsidRDefault="00FD7D35">
      <w:pPr>
        <w:spacing w:after="200"/>
        <w:jc w:val="both"/>
      </w:pPr>
      <w:r>
        <w:t xml:space="preserve">Agricultural activities generate enormous quantities of residues annually, presenting both environmental challenges and energy opportunities. According to estimates from the Food and Agriculture Organization of the United Nations, global agricultural production yields hundreds of millions of </w:t>
      </w:r>
      <w:proofErr w:type="spellStart"/>
      <w:r>
        <w:t>tonnes</w:t>
      </w:r>
      <w:proofErr w:type="spellEnd"/>
      <w:r>
        <w:t xml:space="preserve"> of crop residues each year, a significant proportion of which remains </w:t>
      </w:r>
      <w:proofErr w:type="spellStart"/>
      <w:r>
        <w:t>underutilised</w:t>
      </w:r>
      <w:proofErr w:type="spellEnd"/>
      <w:r>
        <w:t xml:space="preserve"> or is disposed of through environmentally detrimental practices such as open-field burning (Sileshi et al., 2025). In 2019 alone, approximately 458 million </w:t>
      </w:r>
      <w:proofErr w:type="spellStart"/>
      <w:r>
        <w:t>tonnes</w:t>
      </w:r>
      <w:proofErr w:type="spellEnd"/>
      <w:r>
        <w:t xml:space="preserve"> of crop residue were burnt globally, resulting in 1,238 </w:t>
      </w:r>
      <w:proofErr w:type="spellStart"/>
      <w:r>
        <w:t>kilotonnes</w:t>
      </w:r>
      <w:proofErr w:type="spellEnd"/>
      <w:r>
        <w:t xml:space="preserve"> of methane and 32 </w:t>
      </w:r>
      <w:proofErr w:type="spellStart"/>
      <w:r>
        <w:t>kilotonnes</w:t>
      </w:r>
      <w:proofErr w:type="spellEnd"/>
      <w:r>
        <w:t xml:space="preserve"> of nitrous oxide emissions (Sileshi et al., 2025). Beyond direct atmospheric pollution, such burning practices eliminate opportunities for value addition and contribute to soil nutrient depletion through the near-complete loss of organic carbon and nitrogen, alongside substantial losses of phosphorus, potassium, and </w:t>
      </w:r>
      <w:proofErr w:type="spellStart"/>
      <w:r>
        <w:t>sulphur</w:t>
      </w:r>
      <w:proofErr w:type="spellEnd"/>
      <w:r>
        <w:t>.</w:t>
      </w:r>
    </w:p>
    <w:p w14:paraId="38122959" w14:textId="77777777" w:rsidR="000959F9" w:rsidRDefault="00FD7D35">
      <w:pPr>
        <w:spacing w:after="200"/>
        <w:jc w:val="both"/>
      </w:pPr>
      <w:r>
        <w:t xml:space="preserve">The conversion of agricultural waste into energy pellets offers a compelling solution that addresses multiple sustainability objectives simultaneously. </w:t>
      </w:r>
      <w:proofErr w:type="spellStart"/>
      <w:r>
        <w:t>Pelletisation</w:t>
      </w:r>
      <w:proofErr w:type="spellEnd"/>
      <w:r>
        <w:t xml:space="preserve"> transforms heterogeneous, bulky agricultural residues into uniform, energy-dense solid fuels with enhanced handling, storage, and transportation characteristics (Pradhan et al., 2018). The densification process substantially increases bulk density, typically achieving values exceeding 600 kilograms per cubic </w:t>
      </w:r>
      <w:proofErr w:type="spellStart"/>
      <w:r>
        <w:t>metre</w:t>
      </w:r>
      <w:proofErr w:type="spellEnd"/>
      <w:r>
        <w:t>, thereby dramatically reducing logistics costs and facilitating integration into existing energy infrastructure (</w:t>
      </w:r>
      <w:proofErr w:type="spellStart"/>
      <w:r>
        <w:t>Phuttaro</w:t>
      </w:r>
      <w:proofErr w:type="spellEnd"/>
      <w:r>
        <w:t xml:space="preserve"> et al., 2024). Furthermore, agricultural waste-derived pellets can substitute for fossil fuels in diverse applications, including residential heating, industrial process heat, and electricity generation through dedicated combustion or co-firing with coal.</w:t>
      </w:r>
    </w:p>
    <w:p w14:paraId="2BC9024A" w14:textId="77777777" w:rsidR="000959F9" w:rsidRDefault="00FD7D35">
      <w:pPr>
        <w:spacing w:after="200"/>
        <w:jc w:val="both"/>
      </w:pPr>
      <w:r>
        <w:t xml:space="preserve">The European Union has established itself as a global leader in biomass pellet </w:t>
      </w:r>
      <w:proofErr w:type="spellStart"/>
      <w:r>
        <w:t>utilisation</w:t>
      </w:r>
      <w:proofErr w:type="spellEnd"/>
      <w:r>
        <w:t xml:space="preserve">, driven by stringent environmental regulations and ambitious renewable energy targets. The region's well-established infrastructure and mature biomass markets continue to drive high pellet demand, particularly for district heating and power generation applications (Straits Research, 2025). Similarly, the Asia-Pacific region has witnessed rapid growth in biomass </w:t>
      </w:r>
      <w:r>
        <w:lastRenderedPageBreak/>
        <w:t xml:space="preserve">pellet adoption, with countries such as Japan, South Korea, and China implementing policies to promote bioenergy integration into their energy systems. India, for instance, has mandated that coal-fired thermal power plants co-fire biomass pellets at ratios of 5% from fiscal year 2024-25, increasing to 7% from fiscal year 2025-26, reflecting a broader global trend towards </w:t>
      </w:r>
      <w:proofErr w:type="spellStart"/>
      <w:r>
        <w:t>utilising</w:t>
      </w:r>
      <w:proofErr w:type="spellEnd"/>
      <w:r>
        <w:t xml:space="preserve"> biomass as a bridge fuel for </w:t>
      </w:r>
      <w:proofErr w:type="spellStart"/>
      <w:r>
        <w:t>decarbonisation</w:t>
      </w:r>
      <w:proofErr w:type="spellEnd"/>
      <w:r>
        <w:t xml:space="preserve"> (Market.us, 2025).</w:t>
      </w:r>
    </w:p>
    <w:p w14:paraId="5969AB3F" w14:textId="77777777" w:rsidR="000959F9" w:rsidRDefault="00FD7D35">
      <w:pPr>
        <w:spacing w:after="200"/>
        <w:jc w:val="both"/>
      </w:pPr>
      <w:r>
        <w:t xml:space="preserve">Despite the promising potential of agricultural waste </w:t>
      </w:r>
      <w:proofErr w:type="spellStart"/>
      <w:r>
        <w:t>pelletisation</w:t>
      </w:r>
      <w:proofErr w:type="spellEnd"/>
      <w:r>
        <w:t xml:space="preserve">, significant technical, economic, and policy challenges remain. Agricultural residues exhibit considerable heterogeneity in their physical and chemical properties, presenting difficulties for </w:t>
      </w:r>
      <w:proofErr w:type="spellStart"/>
      <w:r>
        <w:t>standardised</w:t>
      </w:r>
      <w:proofErr w:type="spellEnd"/>
      <w:r>
        <w:t xml:space="preserve"> pellet production. The seasonal availability of crop residues creates supply chain complexities, whilst competing uses such as animal feed, soil amendment, and industrial applications constrain the quantities available for energy purposes. Moreover, the techno-economic viability of pellet production varies substantially depending on feedstock characteristics, processing technologies, and market conditions. A comprehensive understanding of these factors is essential for developing effective strategies to scale up agricultural waste </w:t>
      </w:r>
      <w:proofErr w:type="spellStart"/>
      <w:r>
        <w:t>pelletisation</w:t>
      </w:r>
      <w:proofErr w:type="spellEnd"/>
      <w:r>
        <w:t xml:space="preserve"> as a meaningful contributor to fossil fuel displacement.</w:t>
      </w:r>
    </w:p>
    <w:p w14:paraId="45DB6BF9" w14:textId="77777777" w:rsidR="000959F9" w:rsidRDefault="00FD7D35">
      <w:pPr>
        <w:pStyle w:val="Heading2"/>
      </w:pPr>
      <w:r>
        <w:t>1.1 Scope and Objectives</w:t>
      </w:r>
    </w:p>
    <w:p w14:paraId="0DCA125E" w14:textId="77777777" w:rsidR="000959F9" w:rsidRDefault="00FD7D35">
      <w:pPr>
        <w:spacing w:after="200"/>
        <w:jc w:val="both"/>
      </w:pPr>
      <w:r>
        <w:t xml:space="preserve">This review article aims to provide a comprehensive synthesis of current knowledge regarding energy pellet production from agricultural waste as a strategy for reducing fossil fuel consumption. The scope encompasses the entire value chain from feedstock </w:t>
      </w:r>
      <w:proofErr w:type="spellStart"/>
      <w:r>
        <w:t>characterisation</w:t>
      </w:r>
      <w:proofErr w:type="spellEnd"/>
      <w:r>
        <w:t xml:space="preserve"> through processing technologies to end-use applications and environmental implications. The primary objectives are to critically evaluate the technical parameters influencing pellet quality and production efficiency; to assess the environmental sustainability of agricultural waste </w:t>
      </w:r>
      <w:proofErr w:type="spellStart"/>
      <w:r>
        <w:t>pelletisation</w:t>
      </w:r>
      <w:proofErr w:type="spellEnd"/>
      <w:r>
        <w:t xml:space="preserve"> through examination of life cycle assessment studies; to </w:t>
      </w:r>
      <w:proofErr w:type="spellStart"/>
      <w:r>
        <w:t>analyse</w:t>
      </w:r>
      <w:proofErr w:type="spellEnd"/>
      <w:r>
        <w:t xml:space="preserve"> the role of pretreatment technologies in enhancing pellet characteristics; to examine the potential for biomass pellet co-firing in existing thermal power infrastructure; to identify economic considerations and policy frameworks supporting or constraining market development; and to highlight research gaps and future directions for advancing this field. By </w:t>
      </w:r>
      <w:proofErr w:type="spellStart"/>
      <w:r>
        <w:t>synthesising</w:t>
      </w:r>
      <w:proofErr w:type="spellEnd"/>
      <w:r>
        <w:t xml:space="preserve"> evidence across these dimensions, this review seeks to inform researchers, practitioners, and policymakers regarding the current state and future potential of agricultural waste </w:t>
      </w:r>
      <w:proofErr w:type="spellStart"/>
      <w:r>
        <w:t>pelletisation</w:t>
      </w:r>
      <w:proofErr w:type="spellEnd"/>
      <w:r>
        <w:t xml:space="preserve"> for sustainable energy production.</w:t>
      </w:r>
    </w:p>
    <w:p w14:paraId="1C2F4AA3" w14:textId="77777777" w:rsidR="000959F9" w:rsidRDefault="00FD7D35">
      <w:pPr>
        <w:pStyle w:val="Heading1"/>
      </w:pPr>
      <w:r>
        <w:t>2. Methods for Literature Selection</w:t>
      </w:r>
    </w:p>
    <w:p w14:paraId="5D4F0251" w14:textId="77777777" w:rsidR="000959F9" w:rsidRDefault="00FD7D35">
      <w:pPr>
        <w:spacing w:after="200"/>
        <w:jc w:val="both"/>
      </w:pPr>
      <w:r>
        <w:lastRenderedPageBreak/>
        <w:t>This narrative review was conducted through a comprehensive search of peer-reviewed literature using established academic databases, including Web of Science, Scopus, Google Scholar, and PubMed. The search strategy employed combinations of keywords including 'agricultural waste', 'biomass pellets', '</w:t>
      </w:r>
      <w:proofErr w:type="spellStart"/>
      <w:r>
        <w:t>pelletisation</w:t>
      </w:r>
      <w:proofErr w:type="spellEnd"/>
      <w:r>
        <w:t>', 'agricultural residue', 'bioenergy', 'torrefaction', 'co-firing', 'life cycle assessment', 'greenhouse gas emissions', 'fossil fuel replacement', and 'renewable energy'. The primary search period encompassed publications from 2005 to 2026, ensuring capture of both foundational research and recent advances in the field. Additionally, relevant earlier publications of historical significance were included where they provided essential context or seminal contributions to understanding.</w:t>
      </w:r>
    </w:p>
    <w:p w14:paraId="3B18B29F" w14:textId="70E10AA6" w:rsidR="000959F9" w:rsidRDefault="00FD7D35">
      <w:pPr>
        <w:spacing w:after="200"/>
        <w:jc w:val="both"/>
      </w:pPr>
      <w:r>
        <w:t xml:space="preserve">Inclusion criteria required that articles be published in peer-reviewed journals with established impact factors, written in English, and directly relevant to agricultural waste </w:t>
      </w:r>
      <w:proofErr w:type="spellStart"/>
      <w:r>
        <w:t>utilisation</w:t>
      </w:r>
      <w:proofErr w:type="spellEnd"/>
      <w:r>
        <w:t xml:space="preserve"> for pellet production or closely related topics such as biomass processing, bioenergy systems, or environmental assessment of solid biofuels. Reports from authoritative governmental and intergovernmental </w:t>
      </w:r>
      <w:proofErr w:type="spellStart"/>
      <w:r>
        <w:t>organisations</w:t>
      </w:r>
      <w:proofErr w:type="spellEnd"/>
      <w:r>
        <w:t xml:space="preserve">, including the Food and Agriculture Organization of the United Nations, the International Energy Agency, and the International Renewable Energy Agency, were also </w:t>
      </w:r>
      <w:r w:rsidRPr="002F07C4">
        <w:rPr>
          <w:highlight w:val="yellow"/>
        </w:rPr>
        <w:t>considered</w:t>
      </w:r>
      <w:r w:rsidR="00521208" w:rsidRPr="002F07C4">
        <w:rPr>
          <w:highlight w:val="yellow"/>
        </w:rPr>
        <w:t>,</w:t>
      </w:r>
      <w:r w:rsidRPr="002F07C4">
        <w:rPr>
          <w:highlight w:val="yellow"/>
        </w:rPr>
        <w:t xml:space="preserve"> where t</w:t>
      </w:r>
      <w:r>
        <w:t xml:space="preserve">hey provided relevant data or policy context. Exclusion criteria eliminated conference abstracts without full papers, non-peer-reviewed grey literature, trade publications without scientific </w:t>
      </w:r>
      <w:proofErr w:type="spellStart"/>
      <w:r>
        <w:t>rigour</w:t>
      </w:r>
      <w:proofErr w:type="spellEnd"/>
      <w:r>
        <w:t>, and studies focusing exclusively on woody biomass without relevance to agricultural residues.</w:t>
      </w:r>
    </w:p>
    <w:p w14:paraId="3D894565" w14:textId="50AE9890" w:rsidR="000959F9" w:rsidRDefault="00FD7D35">
      <w:pPr>
        <w:spacing w:after="200"/>
        <w:jc w:val="both"/>
      </w:pPr>
      <w:r>
        <w:t xml:space="preserve">This review adopts a narrative </w:t>
      </w:r>
      <w:r w:rsidRPr="002F07C4">
        <w:rPr>
          <w:highlight w:val="yellow"/>
        </w:rPr>
        <w:t xml:space="preserve">rather than </w:t>
      </w:r>
      <w:r w:rsidR="00521208" w:rsidRPr="002F07C4">
        <w:rPr>
          <w:highlight w:val="yellow"/>
        </w:rPr>
        <w:t xml:space="preserve">a </w:t>
      </w:r>
      <w:r w:rsidRPr="002F07C4">
        <w:rPr>
          <w:highlight w:val="yellow"/>
        </w:rPr>
        <w:t>systema</w:t>
      </w:r>
      <w:r>
        <w:t xml:space="preserve">tic approach for several reasons. The interdisciplinary nature of agricultural waste </w:t>
      </w:r>
      <w:proofErr w:type="spellStart"/>
      <w:r>
        <w:t>pelletisation</w:t>
      </w:r>
      <w:proofErr w:type="spellEnd"/>
      <w:r>
        <w:t xml:space="preserve"> spans agricultural science, chemical engineering, environmental science, energy economics, and policy studies, rendering a traditional systematic review protocol challenging to implement comprehensively. The heterogeneity of research methodologies, outcome measures, and feedstock types across studies precludes meaningful quantitative synthesis or meta-analysis. Furthermore, a narrative approach permits the integration of technical, economic, environmental, and policy dimensions into a coherent synthesis that informs both academic understanding and practical implementation. Approximately 150 publications were initially identified, with subsequent screening reducing this to </w:t>
      </w:r>
      <w:r w:rsidR="00A9066C">
        <w:t>42</w:t>
      </w:r>
      <w:r>
        <w:t xml:space="preserve"> articles that </w:t>
      </w:r>
      <w:r w:rsidRPr="002F07C4">
        <w:rPr>
          <w:highlight w:val="yellow"/>
        </w:rPr>
        <w:t xml:space="preserve">met </w:t>
      </w:r>
      <w:r w:rsidR="00521208" w:rsidRPr="002F07C4">
        <w:rPr>
          <w:highlight w:val="yellow"/>
        </w:rPr>
        <w:t xml:space="preserve">the </w:t>
      </w:r>
      <w:r w:rsidRPr="002F07C4">
        <w:rPr>
          <w:highlight w:val="yellow"/>
        </w:rPr>
        <w:t>inclusi</w:t>
      </w:r>
      <w:r>
        <w:t>on criteria.</w:t>
      </w:r>
    </w:p>
    <w:p w14:paraId="5638000B" w14:textId="77777777" w:rsidR="000959F9" w:rsidRDefault="00FD7D35">
      <w:pPr>
        <w:pStyle w:val="Heading1"/>
      </w:pPr>
      <w:r>
        <w:t>3. Agricultural Waste as Feedstock for Pellet Production</w:t>
      </w:r>
    </w:p>
    <w:p w14:paraId="3D66835B" w14:textId="77777777" w:rsidR="000959F9" w:rsidRDefault="00FD7D35">
      <w:pPr>
        <w:pStyle w:val="Heading2"/>
      </w:pPr>
      <w:r>
        <w:t>3.1 Global Availability and Distribution</w:t>
      </w:r>
    </w:p>
    <w:p w14:paraId="20CA2057" w14:textId="77777777" w:rsidR="000959F9" w:rsidRDefault="00FD7D35">
      <w:pPr>
        <w:spacing w:after="200"/>
        <w:jc w:val="both"/>
      </w:pPr>
      <w:r>
        <w:lastRenderedPageBreak/>
        <w:t xml:space="preserve">Agricultural activities worldwide generate vast quantities of residues with significant bioenergy potential. Research indicates that approximately 774 million </w:t>
      </w:r>
      <w:proofErr w:type="spellStart"/>
      <w:r>
        <w:t>tonnes</w:t>
      </w:r>
      <w:proofErr w:type="spellEnd"/>
      <w:r>
        <w:t xml:space="preserve"> of crop residue are generated annually in India alone, with a surplus quantity of approximately 228 million </w:t>
      </w:r>
      <w:proofErr w:type="spellStart"/>
      <w:r>
        <w:t>tonnes</w:t>
      </w:r>
      <w:proofErr w:type="spellEnd"/>
      <w:r>
        <w:t xml:space="preserve"> available after accounting for competing uses such as animal feed, soil mulching, and manure applications (Mohanty &amp; Kumar, 2024). At the global scale, integrated assessments suggest that bioenergy potentials from agricultural land could range from 64 to 161 exajoules per year by 2050, depending on climate impacts, agricultural yields, and dietary patterns (Haberl et al., 2011). These estimates underscore the substantial resource base available for pellet production, though they also highlight the importance of carefully considering competing demands and sustainability constraints.</w:t>
      </w:r>
    </w:p>
    <w:p w14:paraId="05475AC3" w14:textId="77777777" w:rsidR="000959F9" w:rsidRDefault="00FD7D35">
      <w:pPr>
        <w:spacing w:after="200"/>
        <w:jc w:val="both"/>
      </w:pPr>
      <w:r>
        <w:t xml:space="preserve">The spatial distribution of agricultural residues correlates closely with patterns of crop production, creating distinct regional profiles of feedstock availability. Cereal crops, including wheat, rice, maize, and barley, contribute approximately two-thirds of global fibrous crop residue production, with additional contributions from oilseed crops, pulses, sugarcane, and various horticultural residues (FAO, 2021). Sub-Saharan Africa, Southeast Asia, and Latin America possess particularly substantial untapped bioenergy potential from agricultural residues, though infrastructure limitations and competing resource demands create challenges for large-scale </w:t>
      </w:r>
      <w:proofErr w:type="spellStart"/>
      <w:r>
        <w:t>utilisation</w:t>
      </w:r>
      <w:proofErr w:type="spellEnd"/>
      <w:r>
        <w:t xml:space="preserve"> (IRENA, 2023). In contrast, European and North American regions benefit from more developed collection and processing infrastructure, facilitating higher </w:t>
      </w:r>
      <w:proofErr w:type="spellStart"/>
      <w:r>
        <w:t>utilisation</w:t>
      </w:r>
      <w:proofErr w:type="spellEnd"/>
      <w:r>
        <w:t xml:space="preserve"> rates despite lower total residue availability per capita.</w:t>
      </w:r>
    </w:p>
    <w:p w14:paraId="1D71A450" w14:textId="77777777" w:rsidR="000959F9" w:rsidRDefault="00FD7D35">
      <w:pPr>
        <w:pStyle w:val="Heading2"/>
      </w:pPr>
      <w:r>
        <w:t>3.2 Types and Characteristics of Agricultural Residues</w:t>
      </w:r>
    </w:p>
    <w:p w14:paraId="2BB950C1" w14:textId="77777777" w:rsidR="000959F9" w:rsidRDefault="00FD7D35">
      <w:pPr>
        <w:spacing w:after="200"/>
        <w:jc w:val="both"/>
      </w:pPr>
      <w:r>
        <w:t xml:space="preserve">Agricultural residues suitable for </w:t>
      </w:r>
      <w:proofErr w:type="spellStart"/>
      <w:r>
        <w:t>pelletisation</w:t>
      </w:r>
      <w:proofErr w:type="spellEnd"/>
      <w:r>
        <w:t xml:space="preserve"> encompass a diverse array of materials with varying physical and chemical properties. Field residues, comprising the aboveground biomass remaining after crop harvest, include cereal straws from wheat, rice, barley, and oats, as well as stalks from maize, sorghum, and millet. Processing residues generated during agricultural product transformation include rice husks, groundnut shells, coconut shells, sugarcane bagasse, palm kernel shells, and various fruit processing wastes. Each category exhibits distinctive characteristics that influence </w:t>
      </w:r>
      <w:proofErr w:type="spellStart"/>
      <w:r>
        <w:t>pelletisation</w:t>
      </w:r>
      <w:proofErr w:type="spellEnd"/>
      <w:r>
        <w:t xml:space="preserve"> </w:t>
      </w:r>
      <w:proofErr w:type="spellStart"/>
      <w:r>
        <w:t>behaviour</w:t>
      </w:r>
      <w:proofErr w:type="spellEnd"/>
      <w:r>
        <w:t xml:space="preserve"> and final product quality (</w:t>
      </w:r>
      <w:proofErr w:type="spellStart"/>
      <w:r>
        <w:t>Tumuluru</w:t>
      </w:r>
      <w:proofErr w:type="spellEnd"/>
      <w:r>
        <w:t xml:space="preserve"> et al., 2021).</w:t>
      </w:r>
    </w:p>
    <w:p w14:paraId="7F5BBEB9" w14:textId="77777777" w:rsidR="000959F9" w:rsidRDefault="00FD7D35">
      <w:pPr>
        <w:spacing w:after="200"/>
        <w:jc w:val="both"/>
      </w:pPr>
      <w:r>
        <w:t xml:space="preserve">Cereal straws represent the most abundant category of agricultural residues globally and have received considerable research attention for pellet production. Wheat straw, for instance, contains approximately 35-40% cellulose, 25-30% hemicellulose, and 15-20% lignin on a dry </w:t>
      </w:r>
      <w:r>
        <w:lastRenderedPageBreak/>
        <w:t>basis, with ash contents typically ranging from 5-10% depending on growing conditions and harvesting practices (Kaliyan &amp; Morey, 2009). The relatively low lignin content of cereal straws compared to woody biomass presents challenges for pellet durability, as lignin serves as a natural binding agent during the densification process. Rice straw exhibits similar compositional profiles but with notably higher silica content, which contributes to increased ash formation during combustion and potential slagging and fouling issues in combustion equipment (Said et al., 2013).</w:t>
      </w:r>
    </w:p>
    <w:p w14:paraId="7DB0AB66" w14:textId="77777777" w:rsidR="000959F9" w:rsidRDefault="00FD7D35">
      <w:pPr>
        <w:spacing w:after="200"/>
        <w:jc w:val="both"/>
      </w:pPr>
      <w:r>
        <w:t xml:space="preserve">Maize stover, comprising stalks, leaves, cobs, and husks remaining after grain harvest, constitutes the second largest agricultural cash crop residue globally in terms of area planted (Zhu et al., 2025). The heterogeneous nature of maize stover, with anatomically distinct plant parts possessing different chemical compositions, necessitates careful consideration of blending ratios and processing parameters. Corn cobs, in particular, demonstrate </w:t>
      </w:r>
      <w:proofErr w:type="spellStart"/>
      <w:r>
        <w:t>favourable</w:t>
      </w:r>
      <w:proofErr w:type="spellEnd"/>
      <w:r>
        <w:t xml:space="preserve"> characteristics for </w:t>
      </w:r>
      <w:proofErr w:type="spellStart"/>
      <w:r>
        <w:t>pelletisation</w:t>
      </w:r>
      <w:proofErr w:type="spellEnd"/>
      <w:r>
        <w:t xml:space="preserve">, including relatively high lignin content and lower ash compared to stalk materials. Research has demonstrated that processing corn stalk into biomass pellets for heating can reduce heating costs by approximately 254.26 United States dollars per hectare whilst simultaneously reducing emissions of </w:t>
      </w:r>
      <w:proofErr w:type="spellStart"/>
      <w:r>
        <w:t>sulphur</w:t>
      </w:r>
      <w:proofErr w:type="spellEnd"/>
      <w:r>
        <w:t xml:space="preserve"> dioxide, nitrogen oxides, carbon monoxide, particulate matter, and carbon dioxide (Zhu et al., 2025).</w:t>
      </w:r>
    </w:p>
    <w:p w14:paraId="7DAC7358" w14:textId="551F9DAF" w:rsidR="000959F9" w:rsidRDefault="00FD7D35">
      <w:pPr>
        <w:spacing w:after="200"/>
        <w:jc w:val="both"/>
      </w:pPr>
      <w:r>
        <w:t xml:space="preserve">Sugarcane bagasse and leaves represent important feedstocks in tropical and subtropical regions with significant sugar industries. Studies conducted on sugar industry by-products in Thailand have investigated </w:t>
      </w:r>
      <w:proofErr w:type="spellStart"/>
      <w:r>
        <w:t>pelletising</w:t>
      </w:r>
      <w:proofErr w:type="spellEnd"/>
      <w:r>
        <w:t xml:space="preserve"> </w:t>
      </w:r>
      <w:proofErr w:type="spellStart"/>
      <w:r>
        <w:t>behaviour</w:t>
      </w:r>
      <w:proofErr w:type="spellEnd"/>
      <w:r>
        <w:t xml:space="preserve"> using sugarcane straw, bagasse, and filter cake, finding </w:t>
      </w:r>
      <w:r w:rsidRPr="002F07C4">
        <w:rPr>
          <w:highlight w:val="yellow"/>
        </w:rPr>
        <w:t xml:space="preserve">that </w:t>
      </w:r>
      <w:r w:rsidR="00521208" w:rsidRPr="002F07C4">
        <w:rPr>
          <w:highlight w:val="yellow"/>
        </w:rPr>
        <w:t xml:space="preserve">the </w:t>
      </w:r>
      <w:r w:rsidRPr="002F07C4">
        <w:rPr>
          <w:highlight w:val="yellow"/>
        </w:rPr>
        <w:t>moisture content</w:t>
      </w:r>
      <w:r>
        <w:t xml:space="preserve"> of approximately 20% wet basis was optimal for </w:t>
      </w:r>
      <w:proofErr w:type="spellStart"/>
      <w:r>
        <w:t>pelletisation</w:t>
      </w:r>
      <w:proofErr w:type="spellEnd"/>
      <w:r>
        <w:t>, with specific energy consumption ranging from 144.28 to 197.85 watt-hours per kilogram (</w:t>
      </w:r>
      <w:proofErr w:type="spellStart"/>
      <w:r>
        <w:t>Phuttaro</w:t>
      </w:r>
      <w:proofErr w:type="spellEnd"/>
      <w:r>
        <w:t xml:space="preserve"> et al., 2024). Blending formulations of 90% bagasse with 10% filter cake, or 93.5% bagasse with 5% sugarcane leaves and 1.5% filter cake, yielded pellets with bulk densities exceeding 600 kilograms per cubic </w:t>
      </w:r>
      <w:proofErr w:type="spellStart"/>
      <w:r>
        <w:t>metre</w:t>
      </w:r>
      <w:proofErr w:type="spellEnd"/>
      <w:r>
        <w:t xml:space="preserve"> and durability indices of at least 97.5%, meeting quality standards for commercial applications.</w:t>
      </w:r>
    </w:p>
    <w:p w14:paraId="5BD1EA95" w14:textId="77777777" w:rsidR="000959F9" w:rsidRDefault="00FD7D35">
      <w:pPr>
        <w:spacing w:after="200"/>
        <w:jc w:val="both"/>
      </w:pPr>
      <w:r>
        <w:t xml:space="preserve">High-lignin agricultural residues from drupe crops, including coconut shells, mango endocarps, and stone fruit pits, offer particularly attractive characteristics for bioenergy applications. Global analysis has demonstrated that exploiting such high-lignin feedstocks from existing production systems has a bioenergy production potential of 4.1-5.2 × 10⁸ gigajoules per annum (Mendu et al., 2012). The elevated lignin content of these materials confers superior energy density, enhanced mechanical strength during </w:t>
      </w:r>
      <w:proofErr w:type="spellStart"/>
      <w:r>
        <w:t>pelletisation</w:t>
      </w:r>
      <w:proofErr w:type="spellEnd"/>
      <w:r>
        <w:t xml:space="preserve">, and </w:t>
      </w:r>
      <w:r>
        <w:lastRenderedPageBreak/>
        <w:t xml:space="preserve">optimal energy-to-weight returns applicable to small-scale gasification for bioelectricity generation. Coconut shell, with an estimated annual global production of 13.1 million </w:t>
      </w:r>
      <w:proofErr w:type="spellStart"/>
      <w:r>
        <w:t>tonnes</w:t>
      </w:r>
      <w:proofErr w:type="spellEnd"/>
      <w:r>
        <w:t>, represents the largest contributor within this category.</w:t>
      </w:r>
    </w:p>
    <w:p w14:paraId="1F213A76" w14:textId="77777777" w:rsidR="000959F9" w:rsidRDefault="00FD7D35">
      <w:pPr>
        <w:pStyle w:val="Heading1"/>
      </w:pPr>
      <w:r>
        <w:t xml:space="preserve">4. </w:t>
      </w:r>
      <w:proofErr w:type="spellStart"/>
      <w:r>
        <w:t>Pelletisation</w:t>
      </w:r>
      <w:proofErr w:type="spellEnd"/>
      <w:r>
        <w:t xml:space="preserve"> Technology and Process Parameters</w:t>
      </w:r>
    </w:p>
    <w:p w14:paraId="58CC7CA9" w14:textId="77777777" w:rsidR="000959F9" w:rsidRDefault="00FD7D35">
      <w:pPr>
        <w:pStyle w:val="Heading2"/>
      </w:pPr>
      <w:r>
        <w:t>4.1 Principles of Biomass Densification</w:t>
      </w:r>
    </w:p>
    <w:p w14:paraId="37D73749" w14:textId="18A4E3A6" w:rsidR="000959F9" w:rsidRDefault="00FD7D35">
      <w:pPr>
        <w:spacing w:after="200"/>
        <w:jc w:val="both"/>
      </w:pPr>
      <w:r>
        <w:t xml:space="preserve">Biomass </w:t>
      </w:r>
      <w:proofErr w:type="spellStart"/>
      <w:r>
        <w:t>pelletisation</w:t>
      </w:r>
      <w:proofErr w:type="spellEnd"/>
      <w:r>
        <w:t xml:space="preserve"> operates through the principle of mechanical densification, whereby ground biomass particles are compressed through cylindrical die channels under high pressure, resulting in the formation of compact cylindrical pellets. The process relies fundamentally on the activation of natural lignin and other binding components within the biomass through the combined effects of pressure, temperature, and friction generated during extrusion through the die (</w:t>
      </w:r>
      <w:proofErr w:type="spellStart"/>
      <w:r>
        <w:t>Tumuluru</w:t>
      </w:r>
      <w:proofErr w:type="spellEnd"/>
      <w:r>
        <w:t xml:space="preserve"> et al., 2021). As material passes through the die, frictional heating raises the temperature sufficiently to soften lignin, which acts as a thermoplastic binder that fuses </w:t>
      </w:r>
      <w:r w:rsidRPr="002F07C4">
        <w:rPr>
          <w:highlight w:val="yellow"/>
        </w:rPr>
        <w:t>particles up</w:t>
      </w:r>
      <w:r>
        <w:t>on cooling. This natural binding mechanism eliminates the requirement for synthetic adhesives in most applications, resulting in a purely biomass-derived product.</w:t>
      </w:r>
    </w:p>
    <w:p w14:paraId="5670C7D5" w14:textId="77777777" w:rsidR="000959F9" w:rsidRDefault="00FD7D35">
      <w:pPr>
        <w:spacing w:after="200"/>
        <w:jc w:val="both"/>
      </w:pPr>
      <w:r>
        <w:t xml:space="preserve">The densification process substantially transforms the physical properties of agricultural residues. Raw agricultural biomass typically exhibits bulk densities of 40-200 kilograms per cubic </w:t>
      </w:r>
      <w:proofErr w:type="spellStart"/>
      <w:r>
        <w:t>metre</w:t>
      </w:r>
      <w:proofErr w:type="spellEnd"/>
      <w:r>
        <w:t xml:space="preserve">, presenting significant challenges for storage, handling, and transportation. Through </w:t>
      </w:r>
      <w:proofErr w:type="spellStart"/>
      <w:r>
        <w:t>pelletisation</w:t>
      </w:r>
      <w:proofErr w:type="spellEnd"/>
      <w:r>
        <w:t xml:space="preserve">, bulk densities are increased to 550-700 kilograms per cubic </w:t>
      </w:r>
      <w:proofErr w:type="spellStart"/>
      <w:r>
        <w:t>metre</w:t>
      </w:r>
      <w:proofErr w:type="spellEnd"/>
      <w:r>
        <w:t xml:space="preserve">, representing improvements of three to </w:t>
      </w:r>
      <w:proofErr w:type="gramStart"/>
      <w:r>
        <w:t>fifteen fold</w:t>
      </w:r>
      <w:proofErr w:type="gramEnd"/>
      <w:r>
        <w:t xml:space="preserve"> depending on feedstock characteristics (Pradhan et al., 2018). This densification dramatically enhances volumetric energy density, reduces transportation costs per unit energy, and facilitates automated handling in combustion systems designed for coal or wood pellets. Additionally, the uniform cylindrical geometry of pellets enables consistent fuel feeding and combustion </w:t>
      </w:r>
      <w:proofErr w:type="spellStart"/>
      <w:r>
        <w:t>behaviour</w:t>
      </w:r>
      <w:proofErr w:type="spellEnd"/>
      <w:r>
        <w:t>.</w:t>
      </w:r>
    </w:p>
    <w:p w14:paraId="3FAF07D4" w14:textId="77777777" w:rsidR="000959F9" w:rsidRDefault="00FD7D35">
      <w:pPr>
        <w:pStyle w:val="Heading2"/>
      </w:pPr>
      <w:r>
        <w:t>4.2 Equipment Types and Configurations</w:t>
      </w:r>
    </w:p>
    <w:p w14:paraId="38CC1480" w14:textId="77777777" w:rsidR="000959F9" w:rsidRDefault="00FD7D35">
      <w:pPr>
        <w:spacing w:after="200"/>
        <w:jc w:val="both"/>
      </w:pPr>
      <w:r>
        <w:t xml:space="preserve">Two principal categories of pellet mill equipment dominate commercial applications: flat die mills and ring die mills. Flat die pellet mills employ a horizontally oriented perforated plate through which rollers press feedstock material, extruding pellets downward by gravity. These systems are </w:t>
      </w:r>
      <w:proofErr w:type="spellStart"/>
      <w:r>
        <w:t>characterised</w:t>
      </w:r>
      <w:proofErr w:type="spellEnd"/>
      <w:r>
        <w:t xml:space="preserve"> by relatively simple construction, lower capital costs, and ease of operation and maintenance, making them well-suited for small to medium-scale operations and </w:t>
      </w:r>
      <w:proofErr w:type="spellStart"/>
      <w:r>
        <w:t>decentralised</w:t>
      </w:r>
      <w:proofErr w:type="spellEnd"/>
      <w:r>
        <w:t xml:space="preserve"> processing applications. However, flat die mills typically achieve lower </w:t>
      </w:r>
      <w:r>
        <w:lastRenderedPageBreak/>
        <w:t>throughput capacities and may exhibit higher specific energy consumption compared to ring die alternatives (Chen et al., 2022).</w:t>
      </w:r>
    </w:p>
    <w:p w14:paraId="083B4D18" w14:textId="77777777" w:rsidR="000959F9" w:rsidRDefault="00FD7D35">
      <w:pPr>
        <w:spacing w:after="200"/>
        <w:jc w:val="both"/>
      </w:pPr>
      <w:r>
        <w:t xml:space="preserve">Ring die pellet mills </w:t>
      </w:r>
      <w:proofErr w:type="spellStart"/>
      <w:r>
        <w:t>utilise</w:t>
      </w:r>
      <w:proofErr w:type="spellEnd"/>
      <w:r>
        <w:t xml:space="preserve"> a rotating cylindrical die with multiple rows of radial die channels through which feedstock is pressed by stationary or counter-rotating rollers positioned inside the ring. The centrifugal forces generated during rotation assist material flow and pellet ejection, enabling higher production capacities suitable for industrial-scale operations. Ring die mills predominate in large commercial pellet manufacturing facilities, with individual units capable of producing several </w:t>
      </w:r>
      <w:proofErr w:type="spellStart"/>
      <w:r>
        <w:t>tonnes</w:t>
      </w:r>
      <w:proofErr w:type="spellEnd"/>
      <w:r>
        <w:t xml:space="preserve"> per hour. The die geometry, </w:t>
      </w:r>
      <w:proofErr w:type="spellStart"/>
      <w:r>
        <w:t>characterised</w:t>
      </w:r>
      <w:proofErr w:type="spellEnd"/>
      <w:r>
        <w:t xml:space="preserve"> by the length-to-diameter ratio of die channels, significantly influences pellet quality and production efficiency, with higher ratios generally improving pellet density and durability but increasing energy consumption and die wear (</w:t>
      </w:r>
      <w:proofErr w:type="spellStart"/>
      <w:r>
        <w:t>Tumuluru</w:t>
      </w:r>
      <w:proofErr w:type="spellEnd"/>
      <w:r>
        <w:t>, 2018).</w:t>
      </w:r>
    </w:p>
    <w:p w14:paraId="660935FB" w14:textId="77777777" w:rsidR="000959F9" w:rsidRDefault="00FD7D35">
      <w:pPr>
        <w:pStyle w:val="Heading2"/>
      </w:pPr>
      <w:r>
        <w:t>4.3 Critical Process Parameters</w:t>
      </w:r>
    </w:p>
    <w:p w14:paraId="0A68DB18" w14:textId="77777777" w:rsidR="000959F9" w:rsidRDefault="00FD7D35">
      <w:pPr>
        <w:spacing w:after="200"/>
        <w:jc w:val="both"/>
      </w:pPr>
      <w:r>
        <w:t xml:space="preserve">Moisture content represents perhaps the single most critical parameter influencing </w:t>
      </w:r>
      <w:proofErr w:type="spellStart"/>
      <w:r>
        <w:t>pelletisation</w:t>
      </w:r>
      <w:proofErr w:type="spellEnd"/>
      <w:r>
        <w:t xml:space="preserve"> success and pellet quality. Optimal moisture levels facilitate particle flow, enhance inter-particle bonding through hydrogen bond formation, and promote lignin softening during compression. However, excessive moisture inhibits binding, reduces pellet durability, and increases energy requirements for subsequent drying. Research across diverse agricultural feedstocks consistently identifies optimal </w:t>
      </w:r>
      <w:proofErr w:type="spellStart"/>
      <w:r>
        <w:t>pelletisation</w:t>
      </w:r>
      <w:proofErr w:type="spellEnd"/>
      <w:r>
        <w:t xml:space="preserve"> moisture in the range of 10-20% wet basis, though specific optima vary with feedstock composition (Yu et al., 2021). Studies on wheat straw and timothy hay demonstrated that hydrothermal pretreatment at 135°C for 90 minutes substantially improved pellet durability and hardness, with canola straw hardness increasing from 2.21 to 4.67 newtons per square </w:t>
      </w:r>
      <w:proofErr w:type="spellStart"/>
      <w:r>
        <w:t>millimetre</w:t>
      </w:r>
      <w:proofErr w:type="spellEnd"/>
      <w:r>
        <w:t xml:space="preserve"> and durability improving from 83.42% to 95.41% (Yu et al., 2021).</w:t>
      </w:r>
    </w:p>
    <w:p w14:paraId="73A9D353" w14:textId="0B0F8B74" w:rsidR="000959F9" w:rsidRDefault="00FD7D35">
      <w:pPr>
        <w:spacing w:after="200"/>
        <w:jc w:val="both"/>
      </w:pPr>
      <w:r>
        <w:t xml:space="preserve">Particle size distribution profoundly affects </w:t>
      </w:r>
      <w:proofErr w:type="spellStart"/>
      <w:r>
        <w:t>pelletisation</w:t>
      </w:r>
      <w:proofErr w:type="spellEnd"/>
      <w:r>
        <w:t xml:space="preserve"> </w:t>
      </w:r>
      <w:proofErr w:type="spellStart"/>
      <w:r>
        <w:t>behaviour</w:t>
      </w:r>
      <w:proofErr w:type="spellEnd"/>
      <w:r>
        <w:t xml:space="preserve"> and product quality. Finer particles generally enhance inter-particle contact and bonding, improving pellet density and durability, though excessively fine grinding increases preprocessing energy consumption. Conversely, coarser particles may create voids within pellets, reducing density and mechanical strength. Research on greenhouse melon residues demonstrated that particle size influenced </w:t>
      </w:r>
      <w:r w:rsidRPr="002F07C4">
        <w:rPr>
          <w:highlight w:val="yellow"/>
        </w:rPr>
        <w:t>bulk density</w:t>
      </w:r>
      <w:r w:rsidR="00521208" w:rsidRPr="002F07C4">
        <w:rPr>
          <w:highlight w:val="yellow"/>
        </w:rPr>
        <w:t>,</w:t>
      </w:r>
      <w:r w:rsidRPr="002F07C4">
        <w:rPr>
          <w:highlight w:val="yellow"/>
        </w:rPr>
        <w:t xml:space="preserve"> whilst </w:t>
      </w:r>
      <w:proofErr w:type="spellStart"/>
      <w:r w:rsidRPr="002F07C4">
        <w:rPr>
          <w:highlight w:val="yellow"/>
        </w:rPr>
        <w:t>pelletising</w:t>
      </w:r>
      <w:proofErr w:type="spellEnd"/>
      <w:r>
        <w:t xml:space="preserve"> moisture significantly affected moisture content, bulk density, single pellet density, and durability index (Yilmaz et al., 2021). The highest pellet production capacity of 103.86 kilograms per </w:t>
      </w:r>
      <w:r w:rsidRPr="002F07C4">
        <w:rPr>
          <w:highlight w:val="yellow"/>
        </w:rPr>
        <w:t xml:space="preserve">hour and </w:t>
      </w:r>
      <w:r w:rsidR="00521208" w:rsidRPr="002F07C4">
        <w:rPr>
          <w:highlight w:val="yellow"/>
        </w:rPr>
        <w:t xml:space="preserve">the </w:t>
      </w:r>
      <w:r w:rsidRPr="002F07C4">
        <w:rPr>
          <w:highlight w:val="yellow"/>
        </w:rPr>
        <w:t>lowest</w:t>
      </w:r>
      <w:r>
        <w:t xml:space="preserve"> specific energy </w:t>
      </w:r>
      <w:r>
        <w:lastRenderedPageBreak/>
        <w:t xml:space="preserve">consumption of 73.92 kilowatt-hours per </w:t>
      </w:r>
      <w:proofErr w:type="spellStart"/>
      <w:r>
        <w:t>tonne</w:t>
      </w:r>
      <w:proofErr w:type="spellEnd"/>
      <w:r>
        <w:t xml:space="preserve"> were achieved with 4 </w:t>
      </w:r>
      <w:proofErr w:type="spellStart"/>
      <w:r>
        <w:t>millimetre</w:t>
      </w:r>
      <w:proofErr w:type="spellEnd"/>
      <w:r>
        <w:t xml:space="preserve"> ground material at 15% moisture content.</w:t>
      </w:r>
    </w:p>
    <w:p w14:paraId="551D0C6A" w14:textId="08BE169F" w:rsidR="000959F9" w:rsidRDefault="00521208">
      <w:pPr>
        <w:spacing w:after="200"/>
        <w:jc w:val="both"/>
      </w:pPr>
      <w:r w:rsidRPr="002F07C4">
        <w:rPr>
          <w:highlight w:val="yellow"/>
        </w:rPr>
        <w:t>Th</w:t>
      </w:r>
      <w:r w:rsidRPr="002F07C4">
        <w:rPr>
          <w:highlight w:val="yellow"/>
        </w:rPr>
        <w:t xml:space="preserve">e </w:t>
      </w:r>
      <w:r w:rsidR="00FD7D35" w:rsidRPr="002F07C4">
        <w:rPr>
          <w:highlight w:val="yellow"/>
        </w:rPr>
        <w:t>temperature and</w:t>
      </w:r>
      <w:r w:rsidR="00FD7D35">
        <w:t xml:space="preserve"> compression pressure interact with feedstock properties to determine pellet characteristics. Elevated temperatures enhance lignin plasticity and flow, promoting particle bonding, but excessive temperatures may cause thermal degradation of volatile components. Compression pressures must be sufficient to achieve adequate density and particle interlocking whilst avoiding excessive equipment stress and energy consumption. The die length-to-diameter ratio provides a design parameter that integrates these factors, with ratios of 5:1 to 8:1 commonly employed for agricultural residues (</w:t>
      </w:r>
      <w:proofErr w:type="spellStart"/>
      <w:r w:rsidR="00FD7D35">
        <w:t>Tumuluru</w:t>
      </w:r>
      <w:proofErr w:type="spellEnd"/>
      <w:r w:rsidR="00FD7D35">
        <w:t xml:space="preserve">, 2018). </w:t>
      </w:r>
      <w:proofErr w:type="spellStart"/>
      <w:r w:rsidR="00FD7D35">
        <w:t>Optimisation</w:t>
      </w:r>
      <w:proofErr w:type="spellEnd"/>
      <w:r w:rsidR="00FD7D35">
        <w:t xml:space="preserve"> of these parameters requires consideration of specific feedstock properties and target pellet specifications.</w:t>
      </w:r>
    </w:p>
    <w:p w14:paraId="567222B0" w14:textId="77777777" w:rsidR="000959F9" w:rsidRDefault="00FD7D35">
      <w:pPr>
        <w:pStyle w:val="Heading1"/>
      </w:pPr>
      <w:r>
        <w:t>5. Pretreatment Technologies for Enhanced Pellet Quality</w:t>
      </w:r>
    </w:p>
    <w:p w14:paraId="73A98E27" w14:textId="77777777" w:rsidR="000959F9" w:rsidRDefault="00FD7D35">
      <w:pPr>
        <w:pStyle w:val="Heading2"/>
      </w:pPr>
      <w:r>
        <w:t>5.1 Torrefaction</w:t>
      </w:r>
    </w:p>
    <w:p w14:paraId="4ABF74AA" w14:textId="77777777" w:rsidR="000959F9" w:rsidRDefault="00FD7D35">
      <w:pPr>
        <w:spacing w:after="200"/>
        <w:jc w:val="both"/>
      </w:pPr>
      <w:r>
        <w:t xml:space="preserve">Torrefaction has emerged as a highly promising thermal pretreatment technology for upgrading agricultural residues prior to or following </w:t>
      </w:r>
      <w:proofErr w:type="spellStart"/>
      <w:r>
        <w:t>pelletisation</w:t>
      </w:r>
      <w:proofErr w:type="spellEnd"/>
      <w:r>
        <w:t>. This mild pyrolysis process, conducted at temperatures of 200-300°C under inert or oxygen-limited atmospheres for residence times ranging from minutes to hours, fundamentally alters biomass characteristics in ways that enhance suitability for energy applications (Chen et al., 2015). During torrefaction, moisture is eliminated, hemicellulose is substantially degraded, and the lignocellulosic matrix undergoes structural modifications that improve grindability, hydrophobicity, and energy density. These transformations address several inherent limitations of raw agricultural biomass as a solid fuel.</w:t>
      </w:r>
    </w:p>
    <w:p w14:paraId="2DEB7966" w14:textId="23E2C82D" w:rsidR="000959F9" w:rsidRDefault="00FD7D35">
      <w:pPr>
        <w:spacing w:after="200"/>
        <w:jc w:val="both"/>
      </w:pPr>
      <w:r>
        <w:t xml:space="preserve">Research on torrefaction of woody biomass pellets has demonstrated that increasing torrefaction severity reduces mass yields whilst considerably increasing heating values and fixed carbon content (Wang et al., 2020). The grindability of raw pellets was substantially improved after </w:t>
      </w:r>
      <w:proofErr w:type="spellStart"/>
      <w:r>
        <w:t>torrefaction</w:t>
      </w:r>
      <w:proofErr w:type="spellEnd"/>
      <w:r>
        <w:t xml:space="preserve"> treatment, </w:t>
      </w:r>
      <w:r w:rsidRPr="002F07C4">
        <w:rPr>
          <w:highlight w:val="yellow"/>
        </w:rPr>
        <w:t xml:space="preserve">with </w:t>
      </w:r>
      <w:r w:rsidR="00521208" w:rsidRPr="002F07C4">
        <w:rPr>
          <w:highlight w:val="yellow"/>
        </w:rPr>
        <w:t xml:space="preserve">the </w:t>
      </w:r>
      <w:r w:rsidRPr="002F07C4">
        <w:rPr>
          <w:highlight w:val="yellow"/>
        </w:rPr>
        <w:t>energy required</w:t>
      </w:r>
      <w:r>
        <w:t xml:space="preserve"> for grinding torrefied pellets being less than 50% of that needed for untreated pellets. This improved grindability facilitates </w:t>
      </w:r>
      <w:proofErr w:type="spellStart"/>
      <w:r>
        <w:t>utilisation</w:t>
      </w:r>
      <w:proofErr w:type="spellEnd"/>
      <w:r>
        <w:t xml:space="preserve"> in </w:t>
      </w:r>
      <w:proofErr w:type="spellStart"/>
      <w:r>
        <w:t>pulverised</w:t>
      </w:r>
      <w:proofErr w:type="spellEnd"/>
      <w:r>
        <w:t xml:space="preserve"> fuel combustion systems designed for coal, enabling direct substitution or co-firing applications. Studies comparing </w:t>
      </w:r>
      <w:proofErr w:type="spellStart"/>
      <w:r>
        <w:t>pelletisation</w:t>
      </w:r>
      <w:proofErr w:type="spellEnd"/>
      <w:r>
        <w:t xml:space="preserve"> before versus after torrefaction indicate that both process sequences have distinct advantages, with post-</w:t>
      </w:r>
      <w:proofErr w:type="spellStart"/>
      <w:r>
        <w:lastRenderedPageBreak/>
        <w:t>pelletisation</w:t>
      </w:r>
      <w:proofErr w:type="spellEnd"/>
      <w:r>
        <w:t xml:space="preserve"> </w:t>
      </w:r>
      <w:proofErr w:type="spellStart"/>
      <w:r>
        <w:t>torrefaction</w:t>
      </w:r>
      <w:proofErr w:type="spellEnd"/>
      <w:r>
        <w:t xml:space="preserve"> potentially offering better pellet integrity retention during storage and handling (</w:t>
      </w:r>
      <w:proofErr w:type="spellStart"/>
      <w:r>
        <w:t>Grycova</w:t>
      </w:r>
      <w:proofErr w:type="spellEnd"/>
      <w:r>
        <w:t xml:space="preserve"> et al., 2023).</w:t>
      </w:r>
    </w:p>
    <w:p w14:paraId="3D9CF727" w14:textId="4E262A75" w:rsidR="000959F9" w:rsidRDefault="00FD7D35">
      <w:pPr>
        <w:spacing w:after="200"/>
        <w:jc w:val="both"/>
      </w:pPr>
      <w:r>
        <w:t xml:space="preserve">Torrefied pellets exhibit substantially enhanced hydrophobicity compared to raw biomass pellets, a property of considerable practical significance for storage and logistics. Untreated pellets readily absorb atmospheric moisture, leading to swelling, disintegration, and increased susceptibility to biological degradation during storage. Studies have demonstrated that torrefied pellets retain their physical integrity even after prolonged immersion in water or exposure to freeze-thaw cycles, whereas untreated pellets rapidly disintegrate under similar conditions (Soelberg &amp; Bi, 2021). The hydrophobic character derives from the elimination of hydroxyl groups </w:t>
      </w:r>
      <w:r w:rsidRPr="002F07C4">
        <w:rPr>
          <w:highlight w:val="yellow"/>
        </w:rPr>
        <w:t xml:space="preserve">and </w:t>
      </w:r>
      <w:r w:rsidR="00521208" w:rsidRPr="002F07C4">
        <w:rPr>
          <w:highlight w:val="yellow"/>
        </w:rPr>
        <w:t xml:space="preserve">the </w:t>
      </w:r>
      <w:r w:rsidRPr="002F07C4">
        <w:rPr>
          <w:highlight w:val="yellow"/>
        </w:rPr>
        <w:t>formation o</w:t>
      </w:r>
      <w:r>
        <w:t>f non-polar surface characteristics during torrefaction. This enhanced stability substantially reduces losses during storage and transportation, improving supply chain economics.</w:t>
      </w:r>
    </w:p>
    <w:p w14:paraId="49C25661" w14:textId="2937A89E" w:rsidR="000959F9" w:rsidRDefault="00FD7D35">
      <w:pPr>
        <w:spacing w:after="200"/>
        <w:jc w:val="both"/>
      </w:pPr>
      <w:r>
        <w:t xml:space="preserve">Investigations of agricultural residue torrefaction have yielded encouraging results. Research on wheat and barley straw has demonstrated that microwave-assisted torrefaction combined with biochar addition and high-density polyethylene binders can reduce moisture adsorption to uptake ratios of 0.10-0.25 compared to 1.0 for untreated biomass, substantially improving storage capability in humid environments (Agu et al., 2021). For combined </w:t>
      </w:r>
      <w:proofErr w:type="spellStart"/>
      <w:r>
        <w:t>torrefaction</w:t>
      </w:r>
      <w:proofErr w:type="spellEnd"/>
      <w:r>
        <w:t xml:space="preserve"> and </w:t>
      </w:r>
      <w:proofErr w:type="spellStart"/>
      <w:r>
        <w:t>pelletisation</w:t>
      </w:r>
      <w:proofErr w:type="spellEnd"/>
      <w:r>
        <w:t xml:space="preserve"> of </w:t>
      </w:r>
      <w:r w:rsidRPr="002F07C4">
        <w:rPr>
          <w:highlight w:val="yellow"/>
        </w:rPr>
        <w:t>agricultural residues</w:t>
      </w:r>
      <w:r w:rsidR="00521208" w:rsidRPr="002F07C4">
        <w:rPr>
          <w:highlight w:val="yellow"/>
        </w:rPr>
        <w:t>,</w:t>
      </w:r>
      <w:r w:rsidRPr="002F07C4">
        <w:rPr>
          <w:highlight w:val="yellow"/>
        </w:rPr>
        <w:t xml:space="preserve"> including oat</w:t>
      </w:r>
      <w:r>
        <w:t xml:space="preserve"> hull, canola hull, and mustard meal, studies have demonstrated that </w:t>
      </w:r>
      <w:proofErr w:type="spellStart"/>
      <w:r>
        <w:t>pelletisation</w:t>
      </w:r>
      <w:proofErr w:type="spellEnd"/>
      <w:r>
        <w:t xml:space="preserve"> before </w:t>
      </w:r>
      <w:proofErr w:type="spellStart"/>
      <w:r>
        <w:t>torrefaction</w:t>
      </w:r>
      <w:proofErr w:type="spellEnd"/>
      <w:r>
        <w:t xml:space="preserve"> produces pellets with higher heating values reaching 27 megajoules per kilogram at 300°C, closely approaching lignite characteristics and representing potential coal substitutes (Hossain et al., 2022).</w:t>
      </w:r>
    </w:p>
    <w:p w14:paraId="3F789E75" w14:textId="77777777" w:rsidR="000959F9" w:rsidRDefault="00FD7D35">
      <w:pPr>
        <w:pStyle w:val="Heading2"/>
      </w:pPr>
      <w:r>
        <w:t>5.2 Hydrothermal Treatment</w:t>
      </w:r>
    </w:p>
    <w:p w14:paraId="1163B278" w14:textId="77777777" w:rsidR="000959F9" w:rsidRDefault="00FD7D35">
      <w:pPr>
        <w:spacing w:after="200"/>
        <w:jc w:val="both"/>
      </w:pPr>
      <w:r>
        <w:t xml:space="preserve">Hydrothermal treatment processes offer alternative pretreatment pathways particularly suited to high-moisture feedstocks. Unlike torrefaction, which requires dry biomass input, hydrothermal processes operate in aqueous environments, eliminating energy-intensive drying requirements for wet agricultural wastes. Hydrothermal </w:t>
      </w:r>
      <w:proofErr w:type="spellStart"/>
      <w:r>
        <w:t>carbonisation</w:t>
      </w:r>
      <w:proofErr w:type="spellEnd"/>
      <w:r>
        <w:t xml:space="preserve">, conducted at temperatures of 180-260°C under autogenous pressure, converts biomass into </w:t>
      </w:r>
      <w:proofErr w:type="spellStart"/>
      <w:r>
        <w:t>hydrochar</w:t>
      </w:r>
      <w:proofErr w:type="spellEnd"/>
      <w:r>
        <w:t xml:space="preserve"> with enhanced fuel properties. However, such conditions represent relatively energy-intensive processes. Mild hydrothermal treatment at lower temperatures has been proposed as a more economical alternative that nonetheless achieves meaningful improvements in pellet quality (Yu et al., 2021).</w:t>
      </w:r>
    </w:p>
    <w:p w14:paraId="38C24F68" w14:textId="2A2F21BD" w:rsidR="000959F9" w:rsidRDefault="00FD7D35">
      <w:pPr>
        <w:spacing w:after="200"/>
        <w:jc w:val="both"/>
      </w:pPr>
      <w:r>
        <w:lastRenderedPageBreak/>
        <w:t xml:space="preserve">Research investigating mild hydrothermal treatment at 135°C for 90 minutes applied to pine woodchip, wheat straw, timothy hay, and canola straw prior to </w:t>
      </w:r>
      <w:proofErr w:type="spellStart"/>
      <w:r>
        <w:t>pelletisation</w:t>
      </w:r>
      <w:proofErr w:type="spellEnd"/>
      <w:r>
        <w:t xml:space="preserve"> demonstrated significant improvements across multiple quality parameters. The mass density of pellets increased by 2.89%, 5.85%, 3.69%, and 9.21%</w:t>
      </w:r>
      <w:r w:rsidR="00521208">
        <w:t>,</w:t>
      </w:r>
      <w:r>
        <w:t xml:space="preserve"> </w:t>
      </w:r>
      <w:r w:rsidRPr="002F07C4">
        <w:rPr>
          <w:highlight w:val="yellow"/>
        </w:rPr>
        <w:t>respectively for the four feedstocks, whilst volumetric energy density increased by 8.04%, 7.46%, 8.34%, and 12.59%</w:t>
      </w:r>
      <w:r w:rsidR="00521208" w:rsidRPr="002F07C4">
        <w:rPr>
          <w:highlight w:val="yellow"/>
        </w:rPr>
        <w:t>,</w:t>
      </w:r>
      <w:r w:rsidRPr="002F07C4">
        <w:rPr>
          <w:highlight w:val="yellow"/>
        </w:rPr>
        <w:t xml:space="preserve"> respectively</w:t>
      </w:r>
      <w:r>
        <w:t xml:space="preserve"> (Yu et al., 2021). The treatment also elevated </w:t>
      </w:r>
      <w:proofErr w:type="spellStart"/>
      <w:r>
        <w:t>devolatilisation</w:t>
      </w:r>
      <w:proofErr w:type="spellEnd"/>
      <w:r>
        <w:t xml:space="preserve"> indices and decreased activation energies, indicating that volatile matter release during combustion was facilitated. These findings suggest that mild hydrothermal treatment represents a clean and economical method for improving agricultural pellet quality with potential applicability in industrial manufacturing.</w:t>
      </w:r>
    </w:p>
    <w:p w14:paraId="116D09E6" w14:textId="77777777" w:rsidR="000959F9" w:rsidRDefault="00FD7D35">
      <w:pPr>
        <w:pStyle w:val="Heading2"/>
      </w:pPr>
      <w:r>
        <w:t>5.3 Blending and Additive Strategies</w:t>
      </w:r>
    </w:p>
    <w:p w14:paraId="1F216A1D" w14:textId="77777777" w:rsidR="000959F9" w:rsidRDefault="00FD7D35">
      <w:pPr>
        <w:spacing w:after="200"/>
        <w:jc w:val="both"/>
      </w:pPr>
      <w:r>
        <w:t xml:space="preserve">Blending agricultural residues with complementary feedstocks or incorporating binding additives represents a widely employed strategy for overcoming individual feedstock limitations. Agricultural residues generally contain lower lignin concentrations than woody biomass, resulting in reduced natural binding capacity during </w:t>
      </w:r>
      <w:proofErr w:type="spellStart"/>
      <w:r>
        <w:t>pelletisation</w:t>
      </w:r>
      <w:proofErr w:type="spellEnd"/>
      <w:r>
        <w:t xml:space="preserve">. Blending with lignin-rich materials or adding external binders can compensate for this deficiency, improving pellet durability and mechanical strength. Research on blending sugarcane leaves with bamboo at various ratios demonstrated that pellet properties could be </w:t>
      </w:r>
      <w:proofErr w:type="spellStart"/>
      <w:r>
        <w:t>optimised</w:t>
      </w:r>
      <w:proofErr w:type="spellEnd"/>
      <w:r>
        <w:t xml:space="preserve"> to meet international standards, with sugarcane-to-bamboo ratios above 3:2 producing pellets meeting ISO 17225-6:2021 specifications (Pitak et al., 2025).</w:t>
      </w:r>
    </w:p>
    <w:p w14:paraId="5FF09ECB" w14:textId="77777777" w:rsidR="000959F9" w:rsidRDefault="00FD7D35">
      <w:pPr>
        <w:spacing w:after="200"/>
        <w:jc w:val="both"/>
      </w:pPr>
      <w:r>
        <w:t xml:space="preserve">Studies on pellets comprising spent coffee grounds and wood powder have demonstrated that feedstock blending ratios significantly influence fuel quality parameters (Park et al., 2021). Increasing the proportion of spent coffee grounds elevated calorific value owing to high carbon, hydrogen, and oil contents, whilst also increasing ash and </w:t>
      </w:r>
      <w:proofErr w:type="spellStart"/>
      <w:r>
        <w:t>sulphur</w:t>
      </w:r>
      <w:proofErr w:type="spellEnd"/>
      <w:r>
        <w:t xml:space="preserve"> contents. The smaller particle size of spent coffee grounds compared to pine sawdust reduced pellet durability at higher blending ratios, illustrating trade-offs between different quality attributes that must be </w:t>
      </w:r>
      <w:proofErr w:type="spellStart"/>
      <w:r>
        <w:t>optimised</w:t>
      </w:r>
      <w:proofErr w:type="spellEnd"/>
      <w:r>
        <w:t xml:space="preserve"> for specific applications. Similar considerations apply to blending agricultural residues with woody biomass, where adding 30-50% sawdust to straw has been shown to increase bulk density and mechanical strength whilst reducing ash content and increasing calorific value (Stolarski et al., 2025).</w:t>
      </w:r>
    </w:p>
    <w:p w14:paraId="2D08BDCB" w14:textId="77777777" w:rsidR="000959F9" w:rsidRDefault="00FD7D35">
      <w:pPr>
        <w:pStyle w:val="Heading1"/>
      </w:pPr>
      <w:r>
        <w:t>6. Pellet Quality Parameters and Standards</w:t>
      </w:r>
    </w:p>
    <w:p w14:paraId="4365EBBD" w14:textId="77777777" w:rsidR="000959F9" w:rsidRDefault="00FD7D35">
      <w:pPr>
        <w:pStyle w:val="Heading2"/>
      </w:pPr>
      <w:r>
        <w:lastRenderedPageBreak/>
        <w:t>6.1 Physical and Mechanical Properties</w:t>
      </w:r>
    </w:p>
    <w:p w14:paraId="38118714" w14:textId="77777777" w:rsidR="000959F9" w:rsidRDefault="00FD7D35">
      <w:pPr>
        <w:spacing w:after="200"/>
        <w:jc w:val="both"/>
      </w:pPr>
      <w:r>
        <w:t xml:space="preserve">Pellet quality assessment encompasses a comprehensive suite of physical, mechanical, and chemical parameters that collectively determine suitability for intended applications. Physical properties include pellet dimensions, moisture content, bulk density, and particle density, whilst mechanical properties encompass durability, hardness, and resistance to impact and abrasion. These properties directly influence handling characteristics, storage stability, and combustion </w:t>
      </w:r>
      <w:proofErr w:type="spellStart"/>
      <w:r>
        <w:t>behaviour</w:t>
      </w:r>
      <w:proofErr w:type="spellEnd"/>
      <w:r>
        <w:t xml:space="preserve">. International standards, particularly the ISO 17225 series and the European </w:t>
      </w:r>
      <w:proofErr w:type="spellStart"/>
      <w:r>
        <w:t>ENplus</w:t>
      </w:r>
      <w:proofErr w:type="spellEnd"/>
      <w:r>
        <w:t xml:space="preserve"> certification scheme, establish specifications for different pellet quality classes.</w:t>
      </w:r>
    </w:p>
    <w:p w14:paraId="1377E6CE" w14:textId="6D2E0CE0" w:rsidR="000959F9" w:rsidRDefault="00FD7D35">
      <w:pPr>
        <w:spacing w:after="200"/>
        <w:jc w:val="both"/>
      </w:pPr>
      <w:r>
        <w:t xml:space="preserve">Mechanical durability represents a critical quality parameter reflecting pellet resistance to mechanical stresses encountered during handling, transportation, and storage. High durability </w:t>
      </w:r>
      <w:proofErr w:type="spellStart"/>
      <w:r>
        <w:t>minimises</w:t>
      </w:r>
      <w:proofErr w:type="spellEnd"/>
      <w:r>
        <w:t xml:space="preserve"> fine particle generation, reducing dust emissions, fire risks, and material losses. Research on wood pellet samples </w:t>
      </w:r>
      <w:proofErr w:type="spellStart"/>
      <w:r>
        <w:t>utilised</w:t>
      </w:r>
      <w:proofErr w:type="spellEnd"/>
      <w:r>
        <w:t xml:space="preserve"> for power generation demonstrated that pellets with densities above 1,100 kilograms per cubic </w:t>
      </w:r>
      <w:proofErr w:type="spellStart"/>
      <w:r>
        <w:t>metre</w:t>
      </w:r>
      <w:proofErr w:type="spellEnd"/>
      <w:r>
        <w:t xml:space="preserve"> exhibited superior mechanical durability and strength, achieving maximum strengths of 0.6 to 0.8 kilonewtons with durability exceeding 99.4% (Oyelaran et al., 2024). Optimal moisture content, typically between 6 and 7%, was crucial for </w:t>
      </w:r>
      <w:proofErr w:type="spellStart"/>
      <w:r>
        <w:t>maximising</w:t>
      </w:r>
      <w:proofErr w:type="spellEnd"/>
      <w:r>
        <w:t xml:space="preserve"> density, bulk density, mechanical durability, and fracture resistance. Pellet dimensions also influence durability, with longer lengths exceeding 12 </w:t>
      </w:r>
      <w:proofErr w:type="spellStart"/>
      <w:r>
        <w:t>millimetres</w:t>
      </w:r>
      <w:proofErr w:type="spellEnd"/>
      <w:r>
        <w:t xml:space="preserve"> enhancing </w:t>
      </w:r>
      <w:r w:rsidRPr="002F07C4">
        <w:rPr>
          <w:highlight w:val="yellow"/>
        </w:rPr>
        <w:t>durability</w:t>
      </w:r>
      <w:r w:rsidR="00521208" w:rsidRPr="002F07C4">
        <w:rPr>
          <w:highlight w:val="yellow"/>
        </w:rPr>
        <w:t>,</w:t>
      </w:r>
      <w:r w:rsidRPr="002F07C4">
        <w:rPr>
          <w:highlight w:val="yellow"/>
        </w:rPr>
        <w:t xml:space="preserve"> whilst larger</w:t>
      </w:r>
      <w:r>
        <w:t xml:space="preserve"> diameters exceeding 8 </w:t>
      </w:r>
      <w:proofErr w:type="spellStart"/>
      <w:r>
        <w:t>millimetres</w:t>
      </w:r>
      <w:proofErr w:type="spellEnd"/>
      <w:r>
        <w:t xml:space="preserve"> exhibited reduced durability.</w:t>
      </w:r>
    </w:p>
    <w:p w14:paraId="79DE2CD2" w14:textId="0D24A025" w:rsidR="000959F9" w:rsidRDefault="00FD7D35">
      <w:pPr>
        <w:spacing w:after="200"/>
        <w:jc w:val="both"/>
      </w:pPr>
      <w:r>
        <w:t xml:space="preserve">Storage conditions significantly affect pellet quality degradation over time. Research examining storage effects on agricultural </w:t>
      </w:r>
      <w:r w:rsidRPr="002F07C4">
        <w:rPr>
          <w:highlight w:val="yellow"/>
        </w:rPr>
        <w:t>biomass pellets</w:t>
      </w:r>
      <w:r w:rsidR="00521208" w:rsidRPr="002F07C4">
        <w:rPr>
          <w:highlight w:val="yellow"/>
        </w:rPr>
        <w:t>,</w:t>
      </w:r>
      <w:r w:rsidRPr="002F07C4">
        <w:rPr>
          <w:highlight w:val="yellow"/>
        </w:rPr>
        <w:t xml:space="preserve"> including sunflower husks, wheat straw, and hemp hurds under varying temperature and humidity conditions</w:t>
      </w:r>
      <w:r w:rsidR="00521208" w:rsidRPr="002F07C4">
        <w:rPr>
          <w:highlight w:val="yellow"/>
        </w:rPr>
        <w:t>,</w:t>
      </w:r>
      <w:r w:rsidRPr="002F07C4">
        <w:rPr>
          <w:highlight w:val="yellow"/>
        </w:rPr>
        <w:t xml:space="preserve"> revealed</w:t>
      </w:r>
      <w:r>
        <w:t xml:space="preserve"> that agricultural pellets exhibit higher degradability compared to woody biomass (</w:t>
      </w:r>
      <w:proofErr w:type="spellStart"/>
      <w:r>
        <w:t>Jezerska</w:t>
      </w:r>
      <w:proofErr w:type="spellEnd"/>
      <w:r>
        <w:t xml:space="preserve"> et al., 2024). Pellets degraded less at varying temperatures than at high humidity conditions of 90% relative humidity. After complete moisture saturation, durability decreased for agricultural pellets by an average of 9%, whilst strength-by-dropping indices decreased by 20% after exposure to high temperature and humidity conditions and 15% under varying temperature conditions. These findings highlight the importance of appropriate storage facilities for maintaining pellet quality.</w:t>
      </w:r>
    </w:p>
    <w:p w14:paraId="5B6A7923" w14:textId="77777777" w:rsidR="000959F9" w:rsidRDefault="00FD7D35">
      <w:pPr>
        <w:pStyle w:val="Heading2"/>
      </w:pPr>
      <w:r>
        <w:t>6.2 Combustion Properties and Energy Content</w:t>
      </w:r>
    </w:p>
    <w:p w14:paraId="1EB60F81" w14:textId="61B5513D" w:rsidR="000959F9" w:rsidRDefault="00FD7D35">
      <w:pPr>
        <w:spacing w:after="200"/>
        <w:jc w:val="both"/>
      </w:pPr>
      <w:r>
        <w:lastRenderedPageBreak/>
        <w:t xml:space="preserve">The energy content of agricultural waste pellets, quantified through higher heating value or gross calorific value, determines the quantity of fuel </w:t>
      </w:r>
      <w:r w:rsidRPr="002F07C4">
        <w:rPr>
          <w:highlight w:val="yellow"/>
        </w:rPr>
        <w:t xml:space="preserve">required for </w:t>
      </w:r>
      <w:r w:rsidR="00521208" w:rsidRPr="002F07C4">
        <w:rPr>
          <w:highlight w:val="yellow"/>
        </w:rPr>
        <w:t xml:space="preserve">a </w:t>
      </w:r>
      <w:r w:rsidRPr="002F07C4">
        <w:rPr>
          <w:highlight w:val="yellow"/>
        </w:rPr>
        <w:t>give</w:t>
      </w:r>
      <w:r>
        <w:t xml:space="preserve">n energy output and thus directly influences economic competitiveness. Agricultural residue pellets typically exhibit higher heating values in the range of 14-18 megajoules per kilogram, somewhat lower than premium wood pellets at 18-20 megajoules per kilogram but substantially exceeding typical coal values when adjusted for moisture content (Pradhan et al., 2018). Research on pellets from </w:t>
      </w:r>
      <w:proofErr w:type="spellStart"/>
      <w:r>
        <w:t>Movingui</w:t>
      </w:r>
      <w:proofErr w:type="spellEnd"/>
      <w:r>
        <w:t xml:space="preserve"> sawdust, corn spathes, and coconut shells demonstrated that blended formulations achieved higher heating values of 24,985 kilojoules per kilogram </w:t>
      </w:r>
      <w:r w:rsidRPr="002F07C4">
        <w:rPr>
          <w:highlight w:val="yellow"/>
        </w:rPr>
        <w:t xml:space="preserve">with </w:t>
      </w:r>
      <w:r w:rsidR="00521208" w:rsidRPr="002F07C4">
        <w:rPr>
          <w:highlight w:val="yellow"/>
        </w:rPr>
        <w:t xml:space="preserve">a </w:t>
      </w:r>
      <w:r w:rsidRPr="002F07C4">
        <w:rPr>
          <w:highlight w:val="yellow"/>
        </w:rPr>
        <w:t xml:space="preserve">fixed </w:t>
      </w:r>
      <w:r>
        <w:t>carbon content of 25.52%, approaching coal characteristics (Ndong Mba et al., 2024).</w:t>
      </w:r>
    </w:p>
    <w:p w14:paraId="497D8EE5" w14:textId="77777777" w:rsidR="000959F9" w:rsidRDefault="00FD7D35">
      <w:pPr>
        <w:spacing w:after="200"/>
        <w:jc w:val="both"/>
      </w:pPr>
      <w:r>
        <w:t xml:space="preserve">Ash content and composition represent important considerations for combustion system design and operation. Agricultural residues generally contain higher ash contents than woody biomass, with cereal straws exhibiting ash contents of 5-15% compared to 0.5-2% for clean wood. The composition of ash, particularly concentrations of alkali metals, silica, chlorine, and </w:t>
      </w:r>
      <w:proofErr w:type="spellStart"/>
      <w:r>
        <w:t>sulphur</w:t>
      </w:r>
      <w:proofErr w:type="spellEnd"/>
      <w:r>
        <w:t xml:space="preserve">, influences slagging, fouling, and corrosion tendencies in combustion equipment. Research on greenhouse melon residue pellets found ash content of 20.73% and relatively low calorific value of 11.92 megajoules per kilogram, suggesting that whilst </w:t>
      </w:r>
      <w:proofErr w:type="spellStart"/>
      <w:r>
        <w:t>pelletisation</w:t>
      </w:r>
      <w:proofErr w:type="spellEnd"/>
      <w:r>
        <w:t xml:space="preserve"> was technically feasible, the high ash content might preclude use in domestic heating systems (Yilmaz et al., 2021). Blending with lower-ash materials or implementing ash-reduction pretreatments may address such limitations.</w:t>
      </w:r>
    </w:p>
    <w:p w14:paraId="70DFC885" w14:textId="77777777" w:rsidR="000959F9" w:rsidRDefault="00FD7D35">
      <w:pPr>
        <w:pStyle w:val="Heading1"/>
      </w:pPr>
      <w:r>
        <w:t>7. Environmental Assessment and Life Cycle Considerations</w:t>
      </w:r>
    </w:p>
    <w:p w14:paraId="541C94A5" w14:textId="77777777" w:rsidR="000959F9" w:rsidRDefault="00FD7D35">
      <w:pPr>
        <w:pStyle w:val="Heading2"/>
      </w:pPr>
      <w:r>
        <w:t>7.1 Life Cycle Assessment of Biomass Pellets</w:t>
      </w:r>
    </w:p>
    <w:p w14:paraId="677F615F" w14:textId="77777777" w:rsidR="000959F9" w:rsidRDefault="00FD7D35">
      <w:pPr>
        <w:spacing w:after="200"/>
        <w:jc w:val="both"/>
      </w:pPr>
      <w:r>
        <w:t xml:space="preserve">Life cycle assessment provides a comprehensive framework for evaluating the environmental implications of biomass pellet production and </w:t>
      </w:r>
      <w:proofErr w:type="spellStart"/>
      <w:r>
        <w:t>utilisation</w:t>
      </w:r>
      <w:proofErr w:type="spellEnd"/>
      <w:r>
        <w:t xml:space="preserve"> across all stages from feedstock acquisition through end-of-life. A systematic review of 84 published life cycle assessment studies on biomass pellets revealed wide variation in methodological approaches and results, though most studies confirmed net environmental benefits compared to fossil fuel alternatives (Martín-Gamboa et al., 2020). The methodological choices varied substantially between studies with respect to approach, functional unit, system boundaries, allocation procedures, biogenic carbon modelling, inclusion of greenhouse gases other than carbon dioxide, and impact assessment methods, contributing to result variability.</w:t>
      </w:r>
    </w:p>
    <w:p w14:paraId="1CC754C7" w14:textId="77777777" w:rsidR="000959F9" w:rsidRDefault="00FD7D35">
      <w:pPr>
        <w:spacing w:after="200"/>
        <w:jc w:val="both"/>
      </w:pPr>
      <w:r>
        <w:lastRenderedPageBreak/>
        <w:t xml:space="preserve">Greenhouse gas emission reductions represent a primary motivation for biomass pellet </w:t>
      </w:r>
      <w:proofErr w:type="spellStart"/>
      <w:r>
        <w:t>utilisation</w:t>
      </w:r>
      <w:proofErr w:type="spellEnd"/>
      <w:r>
        <w:t>, though the magnitude of benefits depends significantly on supply chain configurations and methodological assumptions. Research examining wood pellet combustion for electricity generation demonstrated that in best-case scenarios, greenhouse gas reductions of 83% compared to coal-fired generation were achievable (Röder et al., 2015). However, when parameters such as different drying fuels, storage emissions, dry matter losses, and feedstock market changes were incorporated, emission profiles showed strong variation with up to 73% higher greenhouse gas emissions compared to coal in worst-case scenarios. The impact of methane emissions during storage proved particularly significant regarding uncertainty and emission increases.</w:t>
      </w:r>
    </w:p>
    <w:p w14:paraId="260C12E9" w14:textId="77777777" w:rsidR="000959F9" w:rsidRDefault="00FD7D35">
      <w:pPr>
        <w:spacing w:after="200"/>
        <w:jc w:val="both"/>
      </w:pPr>
      <w:r>
        <w:t xml:space="preserve">Studies comparing different wood pellet supply chains found that excluding biogenic carbon dioxide emissions, pellets from whole trees from forest thinning operations exhibited the lowest global warming potential at 14.9 grams carbon dioxide equivalent per megajoule, followed by logging residues at 17.9 grams, roundwood logs at 25.4 grams, and sawmill sawdust at 27.6 grams (Pergola et al., 2020). The preparation stage, encompassing drying and milling processes, contributed the major proportion of emissions across all scenarios. Including biogenic carbon dioxide increased absolute values substantially but maintained similar relative rankings. These findings underscore the importance of </w:t>
      </w:r>
      <w:proofErr w:type="spellStart"/>
      <w:r>
        <w:t>optimising</w:t>
      </w:r>
      <w:proofErr w:type="spellEnd"/>
      <w:r>
        <w:t xml:space="preserve"> processing energy consumption for </w:t>
      </w:r>
      <w:proofErr w:type="spellStart"/>
      <w:r>
        <w:t>minimising</w:t>
      </w:r>
      <w:proofErr w:type="spellEnd"/>
      <w:r>
        <w:t xml:space="preserve"> overall environmental footprints.</w:t>
      </w:r>
    </w:p>
    <w:p w14:paraId="383E4C76" w14:textId="7F7697E4" w:rsidR="000959F9" w:rsidRDefault="00FD7D35">
      <w:pPr>
        <w:spacing w:after="200"/>
        <w:jc w:val="both"/>
      </w:pPr>
      <w:r>
        <w:t xml:space="preserve">Life cycle assessment of agricultural residue-derived pellets requires careful consideration of allocation procedures for shared agricultural processes and competing uses. Research on biomass pellets from cedar sawdust, pine sawdust, wheat straw, and corn cobs in Pakistan identified multiple environmental impact categories, including acidification, eutrophication, human toxicity, and global </w:t>
      </w:r>
      <w:r w:rsidRPr="002F07C4">
        <w:rPr>
          <w:highlight w:val="yellow"/>
        </w:rPr>
        <w:t xml:space="preserve">warming potential (Rashedi et al., 2022). The results indicated that wheat straw pellets contributed </w:t>
      </w:r>
      <w:r w:rsidR="00521208" w:rsidRPr="002F07C4">
        <w:rPr>
          <w:highlight w:val="yellow"/>
        </w:rPr>
        <w:t>the mo</w:t>
      </w:r>
      <w:r w:rsidR="00521208" w:rsidRPr="002F07C4">
        <w:rPr>
          <w:highlight w:val="yellow"/>
        </w:rPr>
        <w:t xml:space="preserve">st </w:t>
      </w:r>
      <w:r w:rsidRPr="002F07C4">
        <w:rPr>
          <w:highlight w:val="yellow"/>
        </w:rPr>
        <w:t xml:space="preserve">to most impact categories, whilst pine pellets demonstrated </w:t>
      </w:r>
      <w:r w:rsidR="00521208" w:rsidRPr="002F07C4">
        <w:rPr>
          <w:highlight w:val="yellow"/>
        </w:rPr>
        <w:t xml:space="preserve">the </w:t>
      </w:r>
      <w:r w:rsidRPr="002F07C4">
        <w:rPr>
          <w:highlight w:val="yellow"/>
        </w:rPr>
        <w:t xml:space="preserve">lowest environmental burdens. Global warming potential ranged from approximately 0.8 kilograms </w:t>
      </w:r>
      <w:r w:rsidR="00521208" w:rsidRPr="002F07C4">
        <w:rPr>
          <w:highlight w:val="yellow"/>
        </w:rPr>
        <w:t>of</w:t>
      </w:r>
      <w:r w:rsidR="00521208">
        <w:t xml:space="preserve"> </w:t>
      </w:r>
      <w:r>
        <w:t>carbon dioxide equivalent per kilogram of pellets, substantially lower than fossil fuel alternatives on an energy-delivered basis.</w:t>
      </w:r>
    </w:p>
    <w:p w14:paraId="49082036" w14:textId="77777777" w:rsidR="000959F9" w:rsidRDefault="00FD7D35">
      <w:pPr>
        <w:pStyle w:val="Heading2"/>
      </w:pPr>
      <w:r>
        <w:t>7.2 Comparison with Fossil Fuel Alternatives</w:t>
      </w:r>
    </w:p>
    <w:p w14:paraId="57C88D2F" w14:textId="77777777" w:rsidR="000959F9" w:rsidRDefault="00FD7D35">
      <w:pPr>
        <w:spacing w:after="200"/>
        <w:jc w:val="both"/>
      </w:pPr>
      <w:r>
        <w:t xml:space="preserve">Comparative assessment of biomass pellets against fossil fuel alternatives consistently demonstrates environmental advantages for well-managed bioenergy systems. </w:t>
      </w:r>
      <w:proofErr w:type="spellStart"/>
      <w:r>
        <w:t>Regionalised</w:t>
      </w:r>
      <w:proofErr w:type="spellEnd"/>
      <w:r>
        <w:t xml:space="preserve"> life cycle analysis of forest biomass electricity generation in the United States demonstrated </w:t>
      </w:r>
      <w:r>
        <w:lastRenderedPageBreak/>
        <w:t>that forest biomass-derived electricity is associated with 86-93% lower life cycle greenhouse gas emissions than emissions from average grid electricity (Daystar et al., 2022). Mill residues-based pathways achieved 15-52% lower emissions than pulpwood-based pathways, with logging residues falling between. However, the analysis also highlighted that screening bioenergy projects on specific feedstock types alone is insufficient because emissions from a pulpwood-based pathway in one state can be lower than those from a mill residue pathway in another.</w:t>
      </w:r>
    </w:p>
    <w:p w14:paraId="43DD2E8C" w14:textId="77777777" w:rsidR="000959F9" w:rsidRDefault="00FD7D35">
      <w:pPr>
        <w:spacing w:after="200"/>
        <w:jc w:val="both"/>
      </w:pPr>
      <w:r>
        <w:t xml:space="preserve">Research comparing wood pellet combustion with diesel for heat generation in remote Canadian communities found that wood pellets exhibited superior performance across multiple impact categories (Ahmadi et al., 2023). Harvesting, transportation, sawmill operation, </w:t>
      </w:r>
      <w:proofErr w:type="spellStart"/>
      <w:r>
        <w:t>pelletisation</w:t>
      </w:r>
      <w:proofErr w:type="spellEnd"/>
      <w:r>
        <w:t xml:space="preserve">, and combustion stages were assessed across eight environmental indicators including global warming, ozone depletion, human toxicity, and fossil fuel depletion. The </w:t>
      </w:r>
      <w:proofErr w:type="spellStart"/>
      <w:r>
        <w:t>pelletisation</w:t>
      </w:r>
      <w:proofErr w:type="spellEnd"/>
      <w:r>
        <w:t xml:space="preserve"> and combustion stages contributed most significantly to overall environmental impacts, though pellet combustion nonetheless outperformed diesel particularly regarding non-carcinogenic effects and fossil fuel depletion. These findings support the potential for biomass pellets to provide sustainable energy solutions in off-grid and remote applications.</w:t>
      </w:r>
    </w:p>
    <w:p w14:paraId="174F8EF9" w14:textId="77777777" w:rsidR="000959F9" w:rsidRDefault="00FD7D35">
      <w:pPr>
        <w:pStyle w:val="Heading1"/>
      </w:pPr>
      <w:r>
        <w:t>8. Co-firing Applications in Thermal Power Generation</w:t>
      </w:r>
    </w:p>
    <w:p w14:paraId="622C9F53" w14:textId="77777777" w:rsidR="000959F9" w:rsidRDefault="00FD7D35">
      <w:pPr>
        <w:pStyle w:val="Heading2"/>
      </w:pPr>
      <w:r>
        <w:t>8.1 Technical Aspects of Biomass Co-firing</w:t>
      </w:r>
    </w:p>
    <w:p w14:paraId="64E92E2F" w14:textId="77777777" w:rsidR="000959F9" w:rsidRDefault="00FD7D35">
      <w:pPr>
        <w:spacing w:after="200"/>
        <w:jc w:val="both"/>
      </w:pPr>
      <w:r>
        <w:t xml:space="preserve">Co-firing of biomass pellets with coal in existing thermal power plants represents a pragmatic near-term strategy for reducing greenhouse gas emissions whilst leveraging established infrastructure. This approach enables incremental displacement of fossil fuels without requiring construction of dedicated biomass power facilities, thereby </w:t>
      </w:r>
      <w:proofErr w:type="spellStart"/>
      <w:r>
        <w:t>minimising</w:t>
      </w:r>
      <w:proofErr w:type="spellEnd"/>
      <w:r>
        <w:t xml:space="preserve"> capital investment requirements and implementation timelines. Co-firing can be implemented through several configurations, including direct co-firing where biomass and coal are processed together through existing fuel handling and combustion systems, indirect co-firing involving separate biomass gasification with syngas injection, and parallel co-firing with dedicated biomass boilers supplying steam to existing turbine systems (Basu et al., 2011).</w:t>
      </w:r>
    </w:p>
    <w:p w14:paraId="609DA4A7" w14:textId="77777777" w:rsidR="000959F9" w:rsidRDefault="00FD7D35">
      <w:pPr>
        <w:spacing w:after="200"/>
        <w:jc w:val="both"/>
      </w:pPr>
      <w:r>
        <w:t xml:space="preserve">The technical feasibility of co-firing depends substantially on biomass feedstock properties and their compatibility with existing equipment. Torrefied pellets offer particular advantages for co-firing applications because their physical and chemical properties more closely </w:t>
      </w:r>
      <w:r>
        <w:lastRenderedPageBreak/>
        <w:t xml:space="preserve">resemble coal characteristics, enabling higher substitution ratios with minimal equipment modifications. Research has demonstrated that properly torrefied biomass pellets can be </w:t>
      </w:r>
      <w:proofErr w:type="spellStart"/>
      <w:r>
        <w:t>pulverised</w:t>
      </w:r>
      <w:proofErr w:type="spellEnd"/>
      <w:r>
        <w:t xml:space="preserve"> using existing coal mills, conveyed through existing fuel handling systems, and combusted through existing burners with acceptable flame characteristics and burnout (Wang et al., 2020). However, differences in ash composition, particularly higher potassium and chlorine concentrations in agricultural residues, may necessitate attention to slagging, fouling, and corrosion management.</w:t>
      </w:r>
    </w:p>
    <w:p w14:paraId="1AC283DF" w14:textId="77777777" w:rsidR="000959F9" w:rsidRDefault="00FD7D35">
      <w:pPr>
        <w:pStyle w:val="Heading2"/>
      </w:pPr>
      <w:r>
        <w:t>8.2 Emission Reduction Potential</w:t>
      </w:r>
    </w:p>
    <w:p w14:paraId="3349B663" w14:textId="77777777" w:rsidR="000959F9" w:rsidRDefault="00FD7D35">
      <w:pPr>
        <w:spacing w:after="200"/>
        <w:jc w:val="both"/>
      </w:pPr>
      <w:r>
        <w:t xml:space="preserve">The emission reduction potential of biomass co-firing depends on the substitution ratio, biomass characteristics, and baseline coal properties. Techno-economic evaluation of coal-biomass co-firing using the </w:t>
      </w:r>
      <w:proofErr w:type="spellStart"/>
      <w:r>
        <w:t>levelised</w:t>
      </w:r>
      <w:proofErr w:type="spellEnd"/>
      <w:r>
        <w:t xml:space="preserve"> cost of electricity model found that indirect co-firing increased generation costs by approximately 8% compared to pure coal-fired units, with costs rising by 10.7% at 15% biomass and 19.1% at 20% biomass substitution (Li et al., 2020). However, when rice husks replaced more expensive wood chips, the </w:t>
      </w:r>
      <w:proofErr w:type="spellStart"/>
      <w:r>
        <w:t>levelised</w:t>
      </w:r>
      <w:proofErr w:type="spellEnd"/>
      <w:r>
        <w:t xml:space="preserve"> cost decreased by 6.06%, highlighting the potential for agricultural residues to offer economically competitive co-firing options. These economic considerations must be balanced against emission reduction objectives and evolving carbon pricing mechanisms.</w:t>
      </w:r>
    </w:p>
    <w:p w14:paraId="2DE6CC88" w14:textId="77777777" w:rsidR="000959F9" w:rsidRDefault="00FD7D35">
      <w:pPr>
        <w:spacing w:after="200"/>
        <w:jc w:val="both"/>
      </w:pPr>
      <w:r>
        <w:t>Analysis of biomass co-firing viability in Indonesia demonstrated that incorporating existing biomass waste into coal plants reduces carbon emissions, though feedstock supply constraints limit abatement potential, particularly in eastern provinces with growing coal capacity (</w:t>
      </w:r>
      <w:proofErr w:type="spellStart"/>
      <w:r>
        <w:t>Sulaeman</w:t>
      </w:r>
      <w:proofErr w:type="spellEnd"/>
      <w:r>
        <w:t xml:space="preserve"> &amp; Burke, 2024). The study found that meeting co-firing demand was feasible only at low substitution ratios without additional land conversion, highlighting the importance of considering biomass availability constraints in policy formulation. Similar considerations apply to India's co-firing mandate, where achieving the required 5-7% biomass substitution across the thermal power fleet will necessitate substantial scaling of pellet production and supply chain infrastructure.</w:t>
      </w:r>
    </w:p>
    <w:p w14:paraId="0A414BB6" w14:textId="77777777" w:rsidR="000959F9" w:rsidRDefault="00FD7D35">
      <w:pPr>
        <w:spacing w:after="200"/>
        <w:jc w:val="both"/>
      </w:pPr>
      <w:r>
        <w:t xml:space="preserve">Research examining China's coal power transition pathways found that biomass co-firing, combined with other mitigation technologies including flexibility operation and carbon capture and storage, offers cost-effective emission reduction opportunities (Wang et al., 2025). The study determined that </w:t>
      </w:r>
      <w:proofErr w:type="spellStart"/>
      <w:r>
        <w:t>optimising</w:t>
      </w:r>
      <w:proofErr w:type="spellEnd"/>
      <w:r>
        <w:t xml:space="preserve"> transition pathways could potentially save over 700 billion United States dollars for achieving the same emission reduction target, or increase cumulative emission reductions from 30% to 50% at no additional cost. These findings </w:t>
      </w:r>
      <w:r>
        <w:lastRenderedPageBreak/>
        <w:t xml:space="preserve">underscore the value of integrated planning approaches that consider multiple technology options and plant-level decision-making processes in designing national </w:t>
      </w:r>
      <w:proofErr w:type="spellStart"/>
      <w:r>
        <w:t>decarbonisation</w:t>
      </w:r>
      <w:proofErr w:type="spellEnd"/>
      <w:r>
        <w:t xml:space="preserve"> strategies.</w:t>
      </w:r>
    </w:p>
    <w:p w14:paraId="0602317B" w14:textId="77777777" w:rsidR="000959F9" w:rsidRDefault="00FD7D35">
      <w:pPr>
        <w:pStyle w:val="Heading1"/>
      </w:pPr>
      <w:r>
        <w:t>9. Economic Considerations and Policy Frameworks</w:t>
      </w:r>
    </w:p>
    <w:p w14:paraId="1D30DD2E" w14:textId="77777777" w:rsidR="000959F9" w:rsidRDefault="00FD7D35">
      <w:pPr>
        <w:pStyle w:val="Heading2"/>
      </w:pPr>
      <w:r>
        <w:t>9.1 Production Economics and Value Chains</w:t>
      </w:r>
    </w:p>
    <w:p w14:paraId="76A1E89A" w14:textId="2CD6FFA7" w:rsidR="000959F9" w:rsidRDefault="00FD7D35">
      <w:pPr>
        <w:spacing w:after="200"/>
        <w:jc w:val="both"/>
      </w:pPr>
      <w:r>
        <w:t xml:space="preserve">The economic viability of agricultural waste pellet production depends on a complex interplay of feedstock costs, processing expenses, logistics, and market pricing. Unlike commercial wood pellet operations that can negotiate stable feedstock supplies from sawmills and forestry operations, agricultural residue </w:t>
      </w:r>
      <w:proofErr w:type="spellStart"/>
      <w:r>
        <w:t>pelletisation</w:t>
      </w:r>
      <w:proofErr w:type="spellEnd"/>
      <w:r>
        <w:t xml:space="preserve"> faces challenges associated with seasonal availability, dispersed production, and competition with alternative uses. The development of efficient collection, storage, and supply chain systems represents a critical success factor for commercial viability. Research in India has estimated the overall potential market size of agricultural residue-based pellets to exceed 40,000 crore rupees, </w:t>
      </w:r>
      <w:r w:rsidRPr="002F07C4">
        <w:rPr>
          <w:highlight w:val="yellow"/>
        </w:rPr>
        <w:t xml:space="preserve">indicating </w:t>
      </w:r>
      <w:r w:rsidR="00521208" w:rsidRPr="002F07C4">
        <w:rPr>
          <w:highlight w:val="yellow"/>
        </w:rPr>
        <w:t>a</w:t>
      </w:r>
      <w:r w:rsidR="00521208">
        <w:t xml:space="preserve"> </w:t>
      </w:r>
      <w:r>
        <w:t>substantial economic opportunity if supply chain challenges can be addressed (Mohanty &amp; Kumar, 2024).</w:t>
      </w:r>
    </w:p>
    <w:p w14:paraId="3C65534E" w14:textId="77777777" w:rsidR="000959F9" w:rsidRDefault="00FD7D35">
      <w:pPr>
        <w:spacing w:after="200"/>
        <w:jc w:val="both"/>
      </w:pPr>
      <w:r>
        <w:t xml:space="preserve">Life cycle economic assessment of wood pellet production has identified the drying process as accounting for 35-39% of total energy consumption, with the heat source significantly influencing both primary energy demand and production costs (Tanaka et al., 2025). Systems employing wood-fired boilers or combined heat and power systems for drying achieve reductions in primary energy demand by 12-26% and carbon dioxide emissions by 14-31% compared to conventional grid-supplied drying processes, simultaneously improving economic performance. For agricultural residues with variable moisture contents, similar </w:t>
      </w:r>
      <w:proofErr w:type="spellStart"/>
      <w:r>
        <w:t>optimisation</w:t>
      </w:r>
      <w:proofErr w:type="spellEnd"/>
      <w:r>
        <w:t xml:space="preserve"> of drying operations offers potential for enhancing economic competitiveness.</w:t>
      </w:r>
    </w:p>
    <w:p w14:paraId="1639BED1" w14:textId="77777777" w:rsidR="000959F9" w:rsidRDefault="00FD7D35">
      <w:pPr>
        <w:pStyle w:val="Heading2"/>
      </w:pPr>
      <w:r>
        <w:t>9.2 Policy Support Mechanisms</w:t>
      </w:r>
    </w:p>
    <w:p w14:paraId="405A057C" w14:textId="4F1A7C17" w:rsidR="000959F9" w:rsidRDefault="00FD7D35">
      <w:pPr>
        <w:spacing w:after="200"/>
        <w:jc w:val="both"/>
      </w:pPr>
      <w:r>
        <w:t xml:space="preserve">Supportive policy frameworks play essential roles in enabling agricultural waste pellet market development. The European Union's Renewable Energy Directive and associated national implementation measures have driven substantial biomass pellet adoption, with strong policy frameworks promoting </w:t>
      </w:r>
      <w:proofErr w:type="spellStart"/>
      <w:r>
        <w:t>decarbonisation</w:t>
      </w:r>
      <w:proofErr w:type="spellEnd"/>
      <w:r>
        <w:t xml:space="preserve"> coupled with financial incentives and carbon pricing mechanisms fostering </w:t>
      </w:r>
      <w:proofErr w:type="spellStart"/>
      <w:r>
        <w:t>utilisation</w:t>
      </w:r>
      <w:proofErr w:type="spellEnd"/>
      <w:r>
        <w:t xml:space="preserve">. Similarly, India's Ministry of New and Renewable Energy has increased financial assistance under the National Bioenergy </w:t>
      </w:r>
      <w:proofErr w:type="spellStart"/>
      <w:r>
        <w:t>Programme</w:t>
      </w:r>
      <w:proofErr w:type="spellEnd"/>
      <w:r>
        <w:t xml:space="preserve"> for biomass pellet manufacturing, with non-torrefied pellet plants receiving 21 </w:t>
      </w:r>
      <w:r>
        <w:lastRenderedPageBreak/>
        <w:t xml:space="preserve">lakh rupees per metric </w:t>
      </w:r>
      <w:proofErr w:type="spellStart"/>
      <w:r>
        <w:t>tonne</w:t>
      </w:r>
      <w:proofErr w:type="spellEnd"/>
      <w:r>
        <w:t xml:space="preserve"> per hour capacity and torrefied plants receiving 42 lakh rupees per metric </w:t>
      </w:r>
      <w:proofErr w:type="spellStart"/>
      <w:r>
        <w:t>tonne</w:t>
      </w:r>
      <w:proofErr w:type="spellEnd"/>
      <w:r>
        <w:t xml:space="preserve"> per hour capacity (Straits Research, 2025). Such incentives encourage </w:t>
      </w:r>
      <w:r w:rsidRPr="002F07C4">
        <w:rPr>
          <w:highlight w:val="yellow"/>
        </w:rPr>
        <w:t>production</w:t>
      </w:r>
      <w:r w:rsidR="00521208" w:rsidRPr="002F07C4">
        <w:rPr>
          <w:highlight w:val="yellow"/>
        </w:rPr>
        <w:t>,</w:t>
      </w:r>
      <w:r w:rsidRPr="002F07C4">
        <w:rPr>
          <w:highlight w:val="yellow"/>
        </w:rPr>
        <w:t xml:space="preserve"> particularly</w:t>
      </w:r>
      <w:r>
        <w:t xml:space="preserve"> in regions with abundant agricultural residues.</w:t>
      </w:r>
    </w:p>
    <w:p w14:paraId="58912A4E" w14:textId="77777777" w:rsidR="000959F9" w:rsidRDefault="00FD7D35">
      <w:pPr>
        <w:spacing w:after="200"/>
        <w:jc w:val="both"/>
      </w:pPr>
      <w:r>
        <w:t xml:space="preserve">China's recent policy developments illustrate the evolving regulatory landscape for biomass co-firing. The Action Plan for the Low-Carbon Transformation of Coal Power (2024-2027) </w:t>
      </w:r>
      <w:proofErr w:type="spellStart"/>
      <w:r>
        <w:t>emphasises</w:t>
      </w:r>
      <w:proofErr w:type="spellEnd"/>
      <w:r>
        <w:t xml:space="preserve"> low-carbon transformation requirements whilst also affecting the bioenergy sector. Whilst the primary objective targets carbon emission reductions from fossil fuels, the implemented measures create both opportunities and challenges for biomass pellet producers. The policy could strain local biomass supplies whilst simultaneously boosting the bioenergy sector through government support, promoting a transition towards sustainable energy futures (Wang et al., 2025). Careful policy design that considers biomass supply constraints, competing uses, and infrastructure requirements is essential for achieving intended outcomes.</w:t>
      </w:r>
    </w:p>
    <w:p w14:paraId="5410DE62" w14:textId="77777777" w:rsidR="000959F9" w:rsidRDefault="00FD7D35">
      <w:pPr>
        <w:pStyle w:val="Heading1"/>
      </w:pPr>
      <w:r>
        <w:t>10. Challenges and Future Research Directions</w:t>
      </w:r>
    </w:p>
    <w:p w14:paraId="26302C98" w14:textId="77777777" w:rsidR="000959F9" w:rsidRDefault="00FD7D35">
      <w:pPr>
        <w:pStyle w:val="Heading2"/>
      </w:pPr>
      <w:r>
        <w:t>10.1 Technical and Operational Challenges</w:t>
      </w:r>
    </w:p>
    <w:p w14:paraId="212B98A4" w14:textId="77777777" w:rsidR="000959F9" w:rsidRDefault="00FD7D35">
      <w:pPr>
        <w:spacing w:after="200"/>
        <w:jc w:val="both"/>
      </w:pPr>
      <w:r>
        <w:t xml:space="preserve">Despite significant advances, several technical challenges continue to constrain widespread adoption of agricultural waste </w:t>
      </w:r>
      <w:proofErr w:type="spellStart"/>
      <w:r>
        <w:t>pelletisation</w:t>
      </w:r>
      <w:proofErr w:type="spellEnd"/>
      <w:r>
        <w:t xml:space="preserve">. Feedstock heterogeneity represents a persistent issue, as agricultural residues exhibit substantial variability in physical properties, chemical composition, and moisture content both within and between crop types, seasons, and geographic regions. This variability complicates process </w:t>
      </w:r>
      <w:proofErr w:type="spellStart"/>
      <w:r>
        <w:t>optimisation</w:t>
      </w:r>
      <w:proofErr w:type="spellEnd"/>
      <w:r>
        <w:t xml:space="preserve"> and quality assurance, potentially resulting in inconsistent pellet characteristics. Development of adaptive process control systems capable of responding to feedstock variations represents an important research priority. Additionally, the relatively low lignin content of many agricultural residues compared to woody biomass necessitates careful attention to pellet durability and may require binding additives or pretreatment steps that increase complexity and cost.</w:t>
      </w:r>
    </w:p>
    <w:p w14:paraId="208B81C1" w14:textId="77777777" w:rsidR="000959F9" w:rsidRDefault="00FD7D35">
      <w:pPr>
        <w:spacing w:after="200"/>
        <w:jc w:val="both"/>
      </w:pPr>
      <w:r>
        <w:t xml:space="preserve">The higher ash content and problematic ash composition of agricultural residues create combustion-related challenges. Elevated concentrations of alkali metals, particularly potassium and sodium, combined with silica and chlorine, contribute to slagging and fouling tendencies that can reduce heat transfer efficiency and necessitate more frequent cleaning interventions. Chlorine-induced corrosion represents a particular concern for boiler tube materials at elevated temperatures. Whilst pretreatment technologies such as water leaching can reduce problematic elements, such processing adds cost and complexity. Research into </w:t>
      </w:r>
      <w:r>
        <w:lastRenderedPageBreak/>
        <w:t xml:space="preserve">ash </w:t>
      </w:r>
      <w:proofErr w:type="spellStart"/>
      <w:r>
        <w:t>behaviour</w:t>
      </w:r>
      <w:proofErr w:type="spellEnd"/>
      <w:r>
        <w:t xml:space="preserve"> prediction, combustion system design modifications, and additive strategies to mitigate ash-related problems continues to address these limitations.</w:t>
      </w:r>
    </w:p>
    <w:p w14:paraId="22FD891B" w14:textId="77777777" w:rsidR="000959F9" w:rsidRDefault="00FD7D35">
      <w:pPr>
        <w:pStyle w:val="Heading2"/>
      </w:pPr>
      <w:r>
        <w:t>10.2 Supply Chain and Logistics</w:t>
      </w:r>
    </w:p>
    <w:p w14:paraId="738188ED" w14:textId="03AE06A2" w:rsidR="000959F9" w:rsidRDefault="00FD7D35">
      <w:pPr>
        <w:spacing w:after="200"/>
        <w:jc w:val="both"/>
      </w:pPr>
      <w:r>
        <w:t xml:space="preserve">The seasonal and geographically dispersed nature of agricultural residue production creates substantial supply chain challenges. Unlike forestry operations that can maintain relatively consistent year-round feedstock flows, crop residues become available during relatively narrow harvest windows, necessitating either substantial storage capacity or acceptance of seasonal production patterns. Sensitivity analysis has revealed that transportation distance significantly impacts the sustainability performance of pellet production, </w:t>
      </w:r>
      <w:r w:rsidRPr="002F07C4">
        <w:rPr>
          <w:highlight w:val="yellow"/>
        </w:rPr>
        <w:t xml:space="preserve">with the </w:t>
      </w:r>
      <w:r w:rsidR="00521208">
        <w:t>e</w:t>
      </w:r>
      <w:r w:rsidR="00521208">
        <w:t>n</w:t>
      </w:r>
      <w:r w:rsidR="00521208">
        <w:t xml:space="preserve">ergy </w:t>
      </w:r>
      <w:r>
        <w:t xml:space="preserve">sustainability index for pellet production decreasing from 21.15 to 14.02 as transport distance increases from 20 to 100 </w:t>
      </w:r>
      <w:proofErr w:type="spellStart"/>
      <w:r>
        <w:t>kilometres</w:t>
      </w:r>
      <w:proofErr w:type="spellEnd"/>
      <w:r>
        <w:t xml:space="preserve"> (Zhu et al., 2025). </w:t>
      </w:r>
      <w:proofErr w:type="spellStart"/>
      <w:r>
        <w:t>Optimising</w:t>
      </w:r>
      <w:proofErr w:type="spellEnd"/>
      <w:r>
        <w:t xml:space="preserve"> logistics through </w:t>
      </w:r>
      <w:proofErr w:type="spellStart"/>
      <w:r>
        <w:t>decentralised</w:t>
      </w:r>
      <w:proofErr w:type="spellEnd"/>
      <w:r>
        <w:t xml:space="preserve"> processing facilities, improved storage technologies, and coordinated multi-crop sourcing strategies represents an important focus for enhancing viability.</w:t>
      </w:r>
    </w:p>
    <w:p w14:paraId="4B6EEE2C" w14:textId="4641319E" w:rsidR="000959F9" w:rsidRDefault="00FD7D35">
      <w:pPr>
        <w:spacing w:after="200"/>
        <w:jc w:val="both"/>
      </w:pPr>
      <w:r>
        <w:t xml:space="preserve">The development of </w:t>
      </w:r>
      <w:proofErr w:type="spellStart"/>
      <w:r>
        <w:t>decentralised</w:t>
      </w:r>
      <w:proofErr w:type="spellEnd"/>
      <w:r>
        <w:t xml:space="preserve"> processing models </w:t>
      </w:r>
      <w:r w:rsidRPr="002F07C4">
        <w:rPr>
          <w:highlight w:val="yellow"/>
        </w:rPr>
        <w:t xml:space="preserve">involving </w:t>
      </w:r>
      <w:r w:rsidR="00521208" w:rsidRPr="002F07C4">
        <w:rPr>
          <w:highlight w:val="yellow"/>
        </w:rPr>
        <w:t>Farmer</w:t>
      </w:r>
      <w:r w:rsidR="00521208" w:rsidRPr="002F07C4">
        <w:rPr>
          <w:highlight w:val="yellow"/>
        </w:rPr>
        <w:t>-</w:t>
      </w:r>
      <w:r w:rsidRPr="002F07C4">
        <w:rPr>
          <w:highlight w:val="yellow"/>
        </w:rPr>
        <w:t xml:space="preserve">Producer </w:t>
      </w:r>
      <w:proofErr w:type="spellStart"/>
      <w:r>
        <w:t>Organisations</w:t>
      </w:r>
      <w:proofErr w:type="spellEnd"/>
      <w:r>
        <w:t xml:space="preserve"> and agricultural cooperatives offers potential for addressing collection and aggregation challenges. Such models can reduce transportation distances by locating </w:t>
      </w:r>
      <w:proofErr w:type="spellStart"/>
      <w:r>
        <w:t>pelletisation</w:t>
      </w:r>
      <w:proofErr w:type="spellEnd"/>
      <w:r>
        <w:t xml:space="preserve"> facilities closer to residue sources whilst creating economic opportunities for rural communities. Research questions regarding optimal scale, technology configurations, and business models for </w:t>
      </w:r>
      <w:proofErr w:type="spellStart"/>
      <w:r>
        <w:t>decentralised</w:t>
      </w:r>
      <w:proofErr w:type="spellEnd"/>
      <w:r>
        <w:t xml:space="preserve"> pellet production remain to be comprehensively addressed. Understanding how much sustainable biomass can be supplied from agricultural ecosystems whilst considering complex interactions between availability and competing human needs represents a fundamental knowledge gap requiring interdisciplinary research approaches.</w:t>
      </w:r>
    </w:p>
    <w:p w14:paraId="79B3F468" w14:textId="77777777" w:rsidR="000959F9" w:rsidRDefault="00FD7D35">
      <w:pPr>
        <w:pStyle w:val="Heading2"/>
      </w:pPr>
      <w:r>
        <w:t>10.3 Future Research Priorities</w:t>
      </w:r>
    </w:p>
    <w:p w14:paraId="07B4459A" w14:textId="77777777" w:rsidR="000959F9" w:rsidRDefault="00FD7D35">
      <w:pPr>
        <w:spacing w:after="200"/>
        <w:jc w:val="both"/>
      </w:pPr>
      <w:r>
        <w:t xml:space="preserve">Several priority areas warrant intensified research attention to advance agricultural waste </w:t>
      </w:r>
      <w:proofErr w:type="spellStart"/>
      <w:r>
        <w:t>pelletisation</w:t>
      </w:r>
      <w:proofErr w:type="spellEnd"/>
      <w:r>
        <w:t xml:space="preserve">. First, systematic </w:t>
      </w:r>
      <w:proofErr w:type="spellStart"/>
      <w:r>
        <w:t>characterisation</w:t>
      </w:r>
      <w:proofErr w:type="spellEnd"/>
      <w:r>
        <w:t xml:space="preserve"> of diverse agricultural residues across regions and seasons would establish comprehensive databases supporting process design and quality prediction. Second, development and validation of advanced pretreatment technologies that enhance pellet properties whilst </w:t>
      </w:r>
      <w:proofErr w:type="spellStart"/>
      <w:r>
        <w:t>minimising</w:t>
      </w:r>
      <w:proofErr w:type="spellEnd"/>
      <w:r>
        <w:t xml:space="preserve"> energy consumption and cost merit continued investigation, with particular attention to process intensification and integration opportunities. Third, long-term studies examining pellet storage </w:t>
      </w:r>
      <w:proofErr w:type="spellStart"/>
      <w:r>
        <w:t>behaviour</w:t>
      </w:r>
      <w:proofErr w:type="spellEnd"/>
      <w:r>
        <w:t xml:space="preserve"> under realistic conditions would </w:t>
      </w:r>
      <w:r>
        <w:lastRenderedPageBreak/>
        <w:t>inform infrastructure requirements and quality management strategies. Fourth, comprehensive techno-economic analyses incorporating regional specificities, market dynamics, and policy scenarios would support investment decisions and policy formulation.</w:t>
      </w:r>
    </w:p>
    <w:p w14:paraId="29DED653" w14:textId="77777777" w:rsidR="000959F9" w:rsidRDefault="00FD7D35">
      <w:pPr>
        <w:spacing w:after="200"/>
        <w:jc w:val="both"/>
      </w:pPr>
      <w:r>
        <w:t xml:space="preserve">Additionally, research examining the integration of agricultural waste pellet production within broader circular bioeconomy frameworks would illuminate synergies with other value streams and waste management objectives. The potential for cascading use strategies, wherein residues are first </w:t>
      </w:r>
      <w:proofErr w:type="spellStart"/>
      <w:r>
        <w:t>utilised</w:t>
      </w:r>
      <w:proofErr w:type="spellEnd"/>
      <w:r>
        <w:t xml:space="preserve"> for higher-value applications before energy recovery, deserves systematic evaluation. Furthermore, social dimensions including employment creation, rural development impacts, and community acceptance require attention alongside technical and economic considerations. Addressing these research priorities through coordinated interdisciplinary efforts would substantially advance the contribution of agricultural waste </w:t>
      </w:r>
      <w:proofErr w:type="spellStart"/>
      <w:r>
        <w:t>pelletisation</w:t>
      </w:r>
      <w:proofErr w:type="spellEnd"/>
      <w:r>
        <w:t xml:space="preserve"> to sustainable energy systems.</w:t>
      </w:r>
    </w:p>
    <w:p w14:paraId="64D0FC87" w14:textId="77777777" w:rsidR="000959F9" w:rsidRDefault="00FD7D35">
      <w:pPr>
        <w:pStyle w:val="Heading1"/>
      </w:pPr>
      <w:r>
        <w:t>11. Conclusions</w:t>
      </w:r>
    </w:p>
    <w:p w14:paraId="4074A0BC" w14:textId="77777777" w:rsidR="000959F9" w:rsidRDefault="00FD7D35">
      <w:pPr>
        <w:spacing w:after="200"/>
        <w:jc w:val="both"/>
      </w:pPr>
      <w:r>
        <w:t xml:space="preserve">Agricultural waste represents a substantial and globally distributed resource with significant potential for contributing to fossil fuel displacement through energy pellet production. This review has </w:t>
      </w:r>
      <w:proofErr w:type="spellStart"/>
      <w:r>
        <w:t>synthesised</w:t>
      </w:r>
      <w:proofErr w:type="spellEnd"/>
      <w:r>
        <w:t xml:space="preserve"> current knowledge regarding feedstock characteristics, </w:t>
      </w:r>
      <w:proofErr w:type="spellStart"/>
      <w:r>
        <w:t>pelletisation</w:t>
      </w:r>
      <w:proofErr w:type="spellEnd"/>
      <w:r>
        <w:t xml:space="preserve"> technologies, pretreatment methods, quality parameters, environmental implications, and techno-economic considerations relevant to advancing this field. The evidence demonstrates that appropriately processed agricultural residues can yield pellets meeting established quality standards for diverse energy applications, including residential heating, industrial process heat, and power generation through dedicated combustion or co-firing with coal.</w:t>
      </w:r>
    </w:p>
    <w:p w14:paraId="55471008" w14:textId="77777777" w:rsidR="000959F9" w:rsidRDefault="00FD7D35">
      <w:pPr>
        <w:spacing w:after="200"/>
        <w:jc w:val="both"/>
      </w:pPr>
      <w:r>
        <w:t xml:space="preserve">The technical foundations of agricultural waste </w:t>
      </w:r>
      <w:proofErr w:type="spellStart"/>
      <w:r>
        <w:t>pelletisation</w:t>
      </w:r>
      <w:proofErr w:type="spellEnd"/>
      <w:r>
        <w:t xml:space="preserve"> are well established, with extensive research elucidating the influence of feedstock properties, moisture content, particle size, and processing parameters on pellet quality attributes. Advanced pretreatment technologies, particularly torrefaction and mild hydrothermal treatment, offer effective pathways for enhancing pellet characteristics, improving combustion performance, and enabling higher substitution ratios in co-firing applications. Life cycle assessment studies consistently indicate that well-designed agricultural waste pellet systems achieve substantial greenhouse gas emission reductions compared to fossil fuel alternatives, though the magnitude of benefits depends critically on supply chain configurations, processing energy sources, and system boundary definitions.</w:t>
      </w:r>
    </w:p>
    <w:p w14:paraId="223EE48A" w14:textId="77777777" w:rsidR="000959F9" w:rsidRDefault="00FD7D35">
      <w:pPr>
        <w:spacing w:after="200"/>
        <w:jc w:val="both"/>
      </w:pPr>
      <w:r>
        <w:lastRenderedPageBreak/>
        <w:t xml:space="preserve">Co-firing of biomass pellets in existing thermal power plants provides a pragmatic near-term </w:t>
      </w:r>
      <w:proofErr w:type="spellStart"/>
      <w:r>
        <w:t>decarbonisation</w:t>
      </w:r>
      <w:proofErr w:type="spellEnd"/>
      <w:r>
        <w:t xml:space="preserve"> pathway that leverages established infrastructure whilst building experience and supply chains for more ambitious future applications. Policy support mechanisms, including financial incentives, renewable energy mandates, and carbon pricing, play essential roles in enabling market development and overcoming initial economic barriers. However, </w:t>
      </w:r>
      <w:proofErr w:type="spellStart"/>
      <w:r>
        <w:t>realising</w:t>
      </w:r>
      <w:proofErr w:type="spellEnd"/>
      <w:r>
        <w:t xml:space="preserve"> the full potential of agricultural waste </w:t>
      </w:r>
      <w:proofErr w:type="spellStart"/>
      <w:r>
        <w:t>pelletisation</w:t>
      </w:r>
      <w:proofErr w:type="spellEnd"/>
      <w:r>
        <w:t xml:space="preserve"> requires addressing persistent challenges related to feedstock heterogeneity, seasonal availability, supply chain logistics, and ash-related combustion issues.</w:t>
      </w:r>
    </w:p>
    <w:p w14:paraId="61D24F9B" w14:textId="77777777" w:rsidR="000959F9" w:rsidRDefault="00FD7D35">
      <w:pPr>
        <w:spacing w:after="200"/>
        <w:jc w:val="both"/>
      </w:pPr>
      <w:r>
        <w:t xml:space="preserve">The transition towards sustainable energy systems necessitates </w:t>
      </w:r>
      <w:proofErr w:type="spellStart"/>
      <w:r>
        <w:t>mobilising</w:t>
      </w:r>
      <w:proofErr w:type="spellEnd"/>
      <w:r>
        <w:t xml:space="preserve"> diverse renewable resources, and agricultural waste </w:t>
      </w:r>
      <w:proofErr w:type="spellStart"/>
      <w:r>
        <w:t>pelletisation</w:t>
      </w:r>
      <w:proofErr w:type="spellEnd"/>
      <w:r>
        <w:t xml:space="preserve"> represents a valuable contributor to this portfolio. By converting </w:t>
      </w:r>
      <w:proofErr w:type="spellStart"/>
      <w:r>
        <w:t>underutilised</w:t>
      </w:r>
      <w:proofErr w:type="spellEnd"/>
      <w:r>
        <w:t xml:space="preserve"> residues into </w:t>
      </w:r>
      <w:proofErr w:type="spellStart"/>
      <w:r>
        <w:t>standardised</w:t>
      </w:r>
      <w:proofErr w:type="spellEnd"/>
      <w:r>
        <w:t xml:space="preserve">, high-energy-density fuels, </w:t>
      </w:r>
      <w:proofErr w:type="spellStart"/>
      <w:r>
        <w:t>pelletisation</w:t>
      </w:r>
      <w:proofErr w:type="spellEnd"/>
      <w:r>
        <w:t xml:space="preserve"> simultaneously addresses waste management challenges, creates rural economic opportunities, and reduces dependence on fossil fuels. Continued research and development, supportive policy frameworks, and investment in supply chain infrastructure will be essential for scaling agricultural waste </w:t>
      </w:r>
      <w:proofErr w:type="spellStart"/>
      <w:r>
        <w:t>pelletisation</w:t>
      </w:r>
      <w:proofErr w:type="spellEnd"/>
      <w:r>
        <w:t xml:space="preserve"> to meaningful contributions within global </w:t>
      </w:r>
      <w:proofErr w:type="spellStart"/>
      <w:r>
        <w:t>decarbonisation</w:t>
      </w:r>
      <w:proofErr w:type="spellEnd"/>
      <w:r>
        <w:t xml:space="preserve"> efforts.</w:t>
      </w:r>
    </w:p>
    <w:p w14:paraId="5C44E677" w14:textId="77777777" w:rsidR="000959F9" w:rsidRDefault="00FD7D35">
      <w:pPr>
        <w:pStyle w:val="Heading1"/>
      </w:pPr>
      <w:r>
        <w:t>12. Limitations</w:t>
      </w:r>
    </w:p>
    <w:p w14:paraId="5A4A586B" w14:textId="77777777" w:rsidR="000959F9" w:rsidRDefault="00FD7D35">
      <w:pPr>
        <w:spacing w:after="200"/>
        <w:jc w:val="both"/>
      </w:pPr>
      <w:r>
        <w:t>This review is subject to several limitations that should be acknowledged when interpreting findings and conclusions. First, as a narrative rather than systematic review, the literature selection process, whilst comprehensive, may not have captured all relevant publications, and subjective judgements influenced the emphasis given to different topics and findings. A systematic review with rigorous protocol would provide more reproducible methodology, though the interdisciplinary scope of this topic creates challenges for such approaches.</w:t>
      </w:r>
    </w:p>
    <w:p w14:paraId="712EDE01" w14:textId="77777777" w:rsidR="000959F9" w:rsidRDefault="00FD7D35">
      <w:pPr>
        <w:spacing w:after="200"/>
        <w:jc w:val="both"/>
      </w:pPr>
      <w:r>
        <w:t xml:space="preserve">Second, the geographic coverage of available literature exhibits substantial bias towards certain regions, particularly Europe, North America, and parts of Asia, potentially limiting the </w:t>
      </w:r>
      <w:proofErr w:type="spellStart"/>
      <w:r>
        <w:t>generalisability</w:t>
      </w:r>
      <w:proofErr w:type="spellEnd"/>
      <w:r>
        <w:t xml:space="preserve"> of findings to other contexts. Agricultural systems, residue characteristics, infrastructure availability, and market conditions vary substantially across regions, and research conducted in one context may not directly apply elsewhere. Third, publication bias may influence the available evidence base, as studies reporting positive outcomes for </w:t>
      </w:r>
      <w:proofErr w:type="spellStart"/>
      <w:r>
        <w:t>pelletisation</w:t>
      </w:r>
      <w:proofErr w:type="spellEnd"/>
      <w:r>
        <w:t xml:space="preserve"> may be more likely to achieve publication than those reporting negative or inconclusive results.</w:t>
      </w:r>
    </w:p>
    <w:p w14:paraId="2E07C41A" w14:textId="77777777" w:rsidR="000959F9" w:rsidRDefault="00FD7D35">
      <w:pPr>
        <w:spacing w:after="200"/>
        <w:jc w:val="both"/>
      </w:pPr>
      <w:r>
        <w:lastRenderedPageBreak/>
        <w:t xml:space="preserve">Fourth, the rapidly evolving nature of bioenergy technologies and markets means that some findings may become outdated as new developments emerge. Policy landscapes, in particular, are subject to rapid change, and the specific incentive </w:t>
      </w:r>
      <w:proofErr w:type="spellStart"/>
      <w:r>
        <w:t>programmes</w:t>
      </w:r>
      <w:proofErr w:type="spellEnd"/>
      <w:r>
        <w:t xml:space="preserve"> and regulations discussed may have evolved since original publication. Fifth, the review primarily addresses technical and environmental dimensions, with relatively limited treatment of social, governance, and institutional factors that may be equally important for practical implementation. Understanding community perspectives, governance arrangements, and institutional capacities would complement the technical focus of this review.</w:t>
      </w:r>
    </w:p>
    <w:p w14:paraId="7AFAD71C" w14:textId="77777777" w:rsidR="000959F9" w:rsidRDefault="00FD7D35">
      <w:pPr>
        <w:spacing w:after="200"/>
        <w:jc w:val="both"/>
      </w:pPr>
      <w:r>
        <w:t xml:space="preserve">Finally, quantitative synthesis through meta-analysis was precluded by heterogeneity in methodologies, outcome measures, and reporting standards across studies. Consequently, statements regarding typical parameter values, emission reductions, or economic performance should be interpreted as indicative rather than definitive, with actual outcomes depending substantially on specific local conditions and implementation approaches. Despite these limitations, this review provides a comprehensive synthesis of current knowledge that can inform research directions, policy deliberations, and practical implementation efforts in agricultural waste </w:t>
      </w:r>
      <w:proofErr w:type="spellStart"/>
      <w:r>
        <w:t>pelletisation</w:t>
      </w:r>
      <w:proofErr w:type="spellEnd"/>
      <w:r>
        <w:t>.</w:t>
      </w:r>
    </w:p>
    <w:p w14:paraId="1D61383B" w14:textId="77777777" w:rsidR="009E4F4F" w:rsidRDefault="009E4F4F">
      <w:pPr>
        <w:spacing w:after="200"/>
        <w:jc w:val="both"/>
      </w:pPr>
    </w:p>
    <w:p w14:paraId="16A648EB" w14:textId="77777777" w:rsidR="009E4F4F" w:rsidRPr="009E4F4F" w:rsidRDefault="009E4F4F" w:rsidP="009E4F4F">
      <w:pPr>
        <w:spacing w:after="200" w:line="276" w:lineRule="auto"/>
        <w:rPr>
          <w:rFonts w:ascii="Arial" w:eastAsiaTheme="minorEastAsia" w:hAnsi="Arial" w:cs="Arial"/>
          <w:b/>
          <w:bCs/>
          <w:sz w:val="22"/>
          <w:szCs w:val="22"/>
          <w:lang w:val="en-GB" w:eastAsia="en-GB"/>
        </w:rPr>
      </w:pPr>
      <w:r w:rsidRPr="009E4F4F">
        <w:rPr>
          <w:rFonts w:ascii="Arial" w:eastAsiaTheme="minorEastAsia" w:hAnsi="Arial" w:cs="Arial"/>
          <w:b/>
          <w:bCs/>
          <w:sz w:val="22"/>
          <w:szCs w:val="22"/>
          <w:lang w:val="en-GB" w:eastAsia="en-GB"/>
        </w:rPr>
        <w:t>COMPETING INTERESTS DISCLAIMER:</w:t>
      </w:r>
    </w:p>
    <w:p w14:paraId="044810FA" w14:textId="77777777" w:rsidR="009E4F4F" w:rsidRPr="009E4F4F" w:rsidRDefault="009E4F4F" w:rsidP="009E4F4F">
      <w:pPr>
        <w:spacing w:after="200" w:line="276" w:lineRule="auto"/>
        <w:rPr>
          <w:rFonts w:asciiTheme="minorHAnsi" w:eastAsiaTheme="minorEastAsia" w:hAnsiTheme="minorHAnsi" w:cstheme="minorBidi"/>
          <w:sz w:val="22"/>
          <w:szCs w:val="22"/>
          <w:lang w:val="en-GB" w:eastAsia="en-GB"/>
        </w:rPr>
      </w:pPr>
      <w:r w:rsidRPr="009E4F4F">
        <w:rPr>
          <w:rFonts w:ascii="Arial" w:eastAsiaTheme="minorEastAsia" w:hAnsi="Arial" w:cs="Arial"/>
          <w:sz w:val="22"/>
          <w:szCs w:val="22"/>
          <w:lang w:val="en-GB" w:eastAsia="en-GB"/>
        </w:rPr>
        <w:t>Authors have declared that they</w:t>
      </w:r>
      <w:bookmarkStart w:id="0" w:name="_GoBack"/>
      <w:bookmarkEnd w:id="0"/>
      <w:r w:rsidRPr="009E4F4F">
        <w:rPr>
          <w:rFonts w:ascii="Arial" w:eastAsiaTheme="minorEastAsia" w:hAnsi="Arial" w:cs="Arial"/>
          <w:sz w:val="22"/>
          <w:szCs w:val="22"/>
          <w:lang w:val="en-GB" w:eastAsia="en-GB"/>
        </w:rPr>
        <w:t xml:space="preserve"> have no known competing financial interests OR non-financial interests OR personal relationships that could have appeared to influence the work reported in this paper.</w:t>
      </w:r>
    </w:p>
    <w:p w14:paraId="0C1DDA6B" w14:textId="77777777" w:rsidR="0036396E" w:rsidRPr="00005ED1" w:rsidRDefault="0036396E" w:rsidP="0036396E">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7050EA00" w14:textId="77777777" w:rsidR="0036396E" w:rsidRPr="00005ED1" w:rsidRDefault="0036396E" w:rsidP="0036396E">
      <w:pPr>
        <w:pStyle w:val="NoSpacing"/>
        <w:rPr>
          <w:rFonts w:ascii="Arial" w:hAnsi="Arial" w:cs="Arial"/>
          <w:highlight w:val="yellow"/>
        </w:rPr>
      </w:pPr>
    </w:p>
    <w:p w14:paraId="6B2DE581" w14:textId="77777777" w:rsidR="0036396E" w:rsidRPr="00005ED1" w:rsidRDefault="0036396E" w:rsidP="0036396E">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44D56EB0" w14:textId="77777777" w:rsidR="009E4F4F" w:rsidRDefault="009E4F4F">
      <w:pPr>
        <w:spacing w:after="200"/>
        <w:jc w:val="both"/>
      </w:pPr>
    </w:p>
    <w:p w14:paraId="041B39D2" w14:textId="77777777" w:rsidR="000959F9" w:rsidRDefault="00FD7D35">
      <w:pPr>
        <w:pStyle w:val="Heading1"/>
      </w:pPr>
      <w:r>
        <w:t>References</w:t>
      </w:r>
    </w:p>
    <w:p w14:paraId="2385EF74" w14:textId="77777777" w:rsidR="00A9066C" w:rsidRDefault="00A9066C">
      <w:pPr>
        <w:spacing w:after="120"/>
        <w:ind w:left="720" w:hanging="720"/>
      </w:pPr>
      <w:r>
        <w:t xml:space="preserve">Agu, O. S., Tabil, L. G., Meda, V., Dumonceaux, T., &amp; </w:t>
      </w:r>
      <w:proofErr w:type="spellStart"/>
      <w:r>
        <w:t>Mupondwa</w:t>
      </w:r>
      <w:proofErr w:type="spellEnd"/>
      <w:r>
        <w:t xml:space="preserve">, E. (2021). Torrefaction and pelleting of wheat and barley straw for biofuel and energy applications. </w:t>
      </w:r>
      <w:r>
        <w:rPr>
          <w:i/>
          <w:iCs/>
        </w:rPr>
        <w:t>Frontiers in Energy Research, 9</w:t>
      </w:r>
      <w:r>
        <w:t>, 699657. https://doi.org/10.3389/fenrg.2021.699657</w:t>
      </w:r>
    </w:p>
    <w:p w14:paraId="643FF786" w14:textId="77777777" w:rsidR="00A9066C" w:rsidRDefault="00A9066C">
      <w:pPr>
        <w:spacing w:after="120"/>
        <w:ind w:left="720" w:hanging="720"/>
      </w:pPr>
      <w:r>
        <w:lastRenderedPageBreak/>
        <w:t xml:space="preserve">Ahmadi, P., Chapoy, A., &amp; Beaulieu, M. (2023). Life cycle assessment of bioenergy production using wood pellets: A case study of remote communities in Canada. </w:t>
      </w:r>
      <w:r>
        <w:rPr>
          <w:i/>
          <w:iCs/>
        </w:rPr>
        <w:t>Energies, 16</w:t>
      </w:r>
      <w:r>
        <w:t>(15), 5697. https://doi.org/10.3390/en16155697</w:t>
      </w:r>
    </w:p>
    <w:p w14:paraId="0507CD57" w14:textId="77777777" w:rsidR="00A9066C" w:rsidRDefault="00A9066C">
      <w:pPr>
        <w:spacing w:after="120"/>
        <w:ind w:left="720" w:hanging="720"/>
      </w:pPr>
      <w:r>
        <w:t xml:space="preserve">Basu, P., Butler, J., &amp; Leon, M. A. (2011). Biomass co-firing options on the emission reduction and electricity generation costs in coal-fired power plants. </w:t>
      </w:r>
      <w:r>
        <w:rPr>
          <w:i/>
          <w:iCs/>
        </w:rPr>
        <w:t>Renewable Energy, 36</w:t>
      </w:r>
      <w:r>
        <w:t>(1), 282–288. https://doi.org/10.1016/j.renene.2010.06.039</w:t>
      </w:r>
    </w:p>
    <w:p w14:paraId="175D272C" w14:textId="77777777" w:rsidR="00A9066C" w:rsidRDefault="00A9066C">
      <w:pPr>
        <w:spacing w:after="120"/>
        <w:ind w:left="720" w:hanging="720"/>
      </w:pPr>
      <w:r>
        <w:t xml:space="preserve">Chen, W.-H., Peng, J., &amp; Bi, X. T. (2015). A state-of-the-art review of biomass torrefaction, densification and applications. </w:t>
      </w:r>
      <w:r>
        <w:rPr>
          <w:i/>
          <w:iCs/>
        </w:rPr>
        <w:t>Renewable and Sustainable Energy Reviews, 44</w:t>
      </w:r>
      <w:r>
        <w:t>, 847–866. https://doi.org/10.1016/j.rser.2014.12.039</w:t>
      </w:r>
    </w:p>
    <w:p w14:paraId="6BB48F09" w14:textId="77777777" w:rsidR="00A9066C" w:rsidRDefault="00A9066C">
      <w:pPr>
        <w:spacing w:after="120"/>
        <w:ind w:left="720" w:hanging="720"/>
      </w:pPr>
      <w:r>
        <w:t xml:space="preserve">Chen, X., Li, S., Liu, Z., Chen, Y., Yang, H., Wang, X., &amp; Chen, H. (2022). A review on the effects of pretreatment and process parameters on properties of pellets. </w:t>
      </w:r>
      <w:r>
        <w:rPr>
          <w:i/>
          <w:iCs/>
        </w:rPr>
        <w:t>Energies, 15</w:t>
      </w:r>
      <w:r>
        <w:t>(19), 7303. https://doi.org/10.3390/en15197303</w:t>
      </w:r>
    </w:p>
    <w:p w14:paraId="08E03420" w14:textId="77777777" w:rsidR="00A9066C" w:rsidRDefault="00A9066C">
      <w:pPr>
        <w:spacing w:after="120"/>
        <w:ind w:left="720" w:hanging="720"/>
      </w:pPr>
      <w:r>
        <w:t xml:space="preserve">Daystar, J., Reeb, C., Venditti, R., Gonzalez, R., &amp; </w:t>
      </w:r>
      <w:proofErr w:type="spellStart"/>
      <w:r>
        <w:t>Puettmann</w:t>
      </w:r>
      <w:proofErr w:type="spellEnd"/>
      <w:r>
        <w:t xml:space="preserve">, M. E. (2022). Regionalized life cycle greenhouse gas emissions of forest biomass use for electricity generation in the United States. </w:t>
      </w:r>
      <w:r>
        <w:rPr>
          <w:i/>
          <w:iCs/>
        </w:rPr>
        <w:t>Environmental Science &amp; Technology, 56</w:t>
      </w:r>
      <w:r>
        <w:t>(2), 799–810. https://doi.org/10.1021/acs.est.1c04301</w:t>
      </w:r>
    </w:p>
    <w:p w14:paraId="1C3C59D0" w14:textId="77777777" w:rsidR="00A9066C" w:rsidRDefault="00A9066C">
      <w:pPr>
        <w:spacing w:after="120"/>
        <w:ind w:left="720" w:hanging="720"/>
      </w:pPr>
      <w:r>
        <w:t xml:space="preserve">Food and Agriculture Organization of the United Nations. (2021). </w:t>
      </w:r>
      <w:r>
        <w:rPr>
          <w:i/>
          <w:iCs/>
        </w:rPr>
        <w:t>FAOSTAT statistical database</w:t>
      </w:r>
      <w:r>
        <w:t>. https://www.fao.org/faostat/</w:t>
      </w:r>
    </w:p>
    <w:p w14:paraId="524E3E27" w14:textId="77777777" w:rsidR="00A9066C" w:rsidRDefault="00A9066C">
      <w:pPr>
        <w:spacing w:after="120"/>
        <w:ind w:left="720" w:hanging="720"/>
      </w:pPr>
      <w:r>
        <w:t xml:space="preserve">Grycova, B., </w:t>
      </w:r>
      <w:proofErr w:type="spellStart"/>
      <w:r>
        <w:t>Klemencova</w:t>
      </w:r>
      <w:proofErr w:type="spellEnd"/>
      <w:r>
        <w:t xml:space="preserve">, K., </w:t>
      </w:r>
      <w:proofErr w:type="spellStart"/>
      <w:r>
        <w:t>Jezerska</w:t>
      </w:r>
      <w:proofErr w:type="spellEnd"/>
      <w:r>
        <w:t xml:space="preserve">, L., Zidek, M., &amp; </w:t>
      </w:r>
      <w:proofErr w:type="spellStart"/>
      <w:r>
        <w:t>Lestinsky</w:t>
      </w:r>
      <w:proofErr w:type="spellEnd"/>
      <w:r>
        <w:t xml:space="preserve">, P. (2023). Effect of torrefaction on pellet quality parameters. </w:t>
      </w:r>
      <w:r>
        <w:rPr>
          <w:i/>
          <w:iCs/>
        </w:rPr>
        <w:t>Biomass Conversion and Biorefinery, 13</w:t>
      </w:r>
      <w:r>
        <w:t>, 13235–13243. https://doi.org/10.1007/s13399-021-02164-8</w:t>
      </w:r>
    </w:p>
    <w:p w14:paraId="1EB343D9" w14:textId="77777777" w:rsidR="00A9066C" w:rsidRDefault="00A9066C">
      <w:pPr>
        <w:spacing w:after="120"/>
        <w:ind w:left="720" w:hanging="720"/>
      </w:pPr>
      <w:r>
        <w:t xml:space="preserve">Haberl, H., Erb, K.-H., Krausmann, F., Bondeau, A., Lauk, C., Müller, C., </w:t>
      </w:r>
      <w:proofErr w:type="spellStart"/>
      <w:r>
        <w:t>Plutzar</w:t>
      </w:r>
      <w:proofErr w:type="spellEnd"/>
      <w:r>
        <w:t xml:space="preserve">, C., &amp; Steinberger, J. K. (2011). Global bioenergy potentials from agricultural land in 2050: Sensitivity to climate change, diets and yields. </w:t>
      </w:r>
      <w:r>
        <w:rPr>
          <w:i/>
          <w:iCs/>
        </w:rPr>
        <w:t>Biomass and Bioenergy, 35</w:t>
      </w:r>
      <w:r>
        <w:t>(12), 4753–4769. https://doi.org/10.1016/j.biombioe.2011.04.035</w:t>
      </w:r>
    </w:p>
    <w:p w14:paraId="5E3EA1F7" w14:textId="77777777" w:rsidR="00A9066C" w:rsidRDefault="00A9066C">
      <w:pPr>
        <w:spacing w:after="120"/>
        <w:ind w:left="720" w:hanging="720"/>
      </w:pPr>
      <w:r>
        <w:t xml:space="preserve">Hossain, N., Hossain, A., Nizamuddin, S., Griffin, G., &amp; Mubarak, N. M. (2022). Complementary effects of </w:t>
      </w:r>
      <w:proofErr w:type="spellStart"/>
      <w:r>
        <w:t>torrefaction</w:t>
      </w:r>
      <w:proofErr w:type="spellEnd"/>
      <w:r>
        <w:t xml:space="preserve"> and </w:t>
      </w:r>
      <w:proofErr w:type="spellStart"/>
      <w:r>
        <w:t>pelletization</w:t>
      </w:r>
      <w:proofErr w:type="spellEnd"/>
      <w:r>
        <w:t xml:space="preserve"> for the production of fuel pellets from agricultural residues: A comparative study. </w:t>
      </w:r>
      <w:r>
        <w:rPr>
          <w:i/>
          <w:iCs/>
        </w:rPr>
        <w:t>Industrial Crops and Products, 181</w:t>
      </w:r>
      <w:r>
        <w:t>, 114740. https://doi.org/10.1016/j.indcrop.2022.114740</w:t>
      </w:r>
    </w:p>
    <w:p w14:paraId="23D85B2C" w14:textId="77777777" w:rsidR="00A9066C" w:rsidRDefault="00A9066C">
      <w:pPr>
        <w:spacing w:after="120"/>
        <w:ind w:left="720" w:hanging="720"/>
      </w:pPr>
      <w:r>
        <w:lastRenderedPageBreak/>
        <w:t xml:space="preserve">International Renewable Energy Agency. (2023). </w:t>
      </w:r>
      <w:r>
        <w:rPr>
          <w:i/>
          <w:iCs/>
        </w:rPr>
        <w:t>Agricultural residue-based bioenergy: Regional potential and scale-up strategies</w:t>
      </w:r>
      <w:r>
        <w:t>. IRENA. https://www.irena.org/publications</w:t>
      </w:r>
    </w:p>
    <w:p w14:paraId="3E2E63AD" w14:textId="77777777" w:rsidR="00A9066C" w:rsidRDefault="00A9066C">
      <w:pPr>
        <w:spacing w:after="120"/>
        <w:ind w:left="720" w:hanging="720"/>
      </w:pPr>
      <w:proofErr w:type="spellStart"/>
      <w:r>
        <w:t>Jezerska</w:t>
      </w:r>
      <w:proofErr w:type="spellEnd"/>
      <w:r>
        <w:t xml:space="preserve">, L., </w:t>
      </w:r>
      <w:proofErr w:type="spellStart"/>
      <w:r>
        <w:t>Grycova</w:t>
      </w:r>
      <w:proofErr w:type="spellEnd"/>
      <w:r>
        <w:t xml:space="preserve">, B., </w:t>
      </w:r>
      <w:proofErr w:type="spellStart"/>
      <w:r>
        <w:t>Klemencova</w:t>
      </w:r>
      <w:proofErr w:type="spellEnd"/>
      <w:r>
        <w:t xml:space="preserve">, K., Zidek, M., &amp; </w:t>
      </w:r>
      <w:proofErr w:type="spellStart"/>
      <w:r>
        <w:t>Zegzulka</w:t>
      </w:r>
      <w:proofErr w:type="spellEnd"/>
      <w:r>
        <w:t xml:space="preserve">, J. (2024). Effect of storage conditions on lignocellulose biofuels properties. </w:t>
      </w:r>
      <w:r>
        <w:rPr>
          <w:i/>
          <w:iCs/>
        </w:rPr>
        <w:t>Scientific Reports, 14</w:t>
      </w:r>
      <w:r>
        <w:t>, 15288. https://doi.org/10.1038/s41598-024-66118-6</w:t>
      </w:r>
    </w:p>
    <w:p w14:paraId="14B2C2A3" w14:textId="77777777" w:rsidR="00A9066C" w:rsidRDefault="00A9066C">
      <w:pPr>
        <w:spacing w:after="120"/>
        <w:ind w:left="720" w:hanging="720"/>
      </w:pPr>
      <w:r>
        <w:t xml:space="preserve">Kaliyan, N., &amp; Morey, R. V. (2009). Factors affecting strength and durability of densified biomass products. </w:t>
      </w:r>
      <w:r>
        <w:rPr>
          <w:i/>
          <w:iCs/>
        </w:rPr>
        <w:t>Biomass and Bioenergy, 33</w:t>
      </w:r>
      <w:r>
        <w:t>(3), 337–359. https://doi.org/10.1016/j.biombioe.2008.08.005</w:t>
      </w:r>
    </w:p>
    <w:p w14:paraId="28E19213" w14:textId="77777777" w:rsidR="00A9066C" w:rsidRDefault="00A9066C">
      <w:pPr>
        <w:spacing w:after="120"/>
        <w:ind w:left="720" w:hanging="720"/>
      </w:pPr>
      <w:r>
        <w:t xml:space="preserve">Li, Y., Wang, Z., Liu, Y., &amp; Liu, H. (2020). Coal-biomass co-firing power generation technology: Current status, challenges and policy implications. </w:t>
      </w:r>
      <w:r>
        <w:rPr>
          <w:i/>
          <w:iCs/>
        </w:rPr>
        <w:t>Sustainability, 12</w:t>
      </w:r>
      <w:r>
        <w:t>(9), 3692. https://doi.org/10.3390/su12093692</w:t>
      </w:r>
    </w:p>
    <w:p w14:paraId="70ADB8D8" w14:textId="77777777" w:rsidR="00A9066C" w:rsidRDefault="00A9066C">
      <w:pPr>
        <w:spacing w:after="120"/>
        <w:ind w:left="720" w:hanging="720"/>
      </w:pPr>
      <w:r>
        <w:t xml:space="preserve">Market.us. (2025). </w:t>
      </w:r>
      <w:r>
        <w:rPr>
          <w:i/>
          <w:iCs/>
        </w:rPr>
        <w:t>Biomass pellets market size, share, CAGR of 7.2%</w:t>
      </w:r>
      <w:r>
        <w:t>. https://market.us/report/global-biomass-pellets-market/</w:t>
      </w:r>
    </w:p>
    <w:p w14:paraId="53991D6B" w14:textId="77777777" w:rsidR="00A9066C" w:rsidRDefault="00A9066C">
      <w:pPr>
        <w:spacing w:after="120"/>
        <w:ind w:left="720" w:hanging="720"/>
      </w:pPr>
      <w:r>
        <w:t xml:space="preserve">Martín-Gamboa, M., Marques, P., Freire, F., </w:t>
      </w:r>
      <w:proofErr w:type="spellStart"/>
      <w:r>
        <w:t>Arroja</w:t>
      </w:r>
      <w:proofErr w:type="spellEnd"/>
      <w:r>
        <w:t xml:space="preserve">, L., &amp; Dias, A. C. (2020). Life cycle assessment of biomass pellets: A review of methodological choices and results. </w:t>
      </w:r>
      <w:r>
        <w:rPr>
          <w:i/>
          <w:iCs/>
        </w:rPr>
        <w:t>Renewable and Sustainable Energy Reviews, 133</w:t>
      </w:r>
      <w:r>
        <w:t>, 110278. https://doi.org/10.1016/j.rser.2020.110278</w:t>
      </w:r>
    </w:p>
    <w:p w14:paraId="340A81E4" w14:textId="77777777" w:rsidR="00A9066C" w:rsidRDefault="00A9066C">
      <w:pPr>
        <w:spacing w:after="120"/>
        <w:ind w:left="720" w:hanging="720"/>
      </w:pPr>
      <w:r>
        <w:t xml:space="preserve">Mendu, V., Shearin, T., Campbell, J. E., Stork, J., </w:t>
      </w:r>
      <w:proofErr w:type="spellStart"/>
      <w:r>
        <w:t>Jien</w:t>
      </w:r>
      <w:proofErr w:type="spellEnd"/>
      <w:r>
        <w:t xml:space="preserve">, J., Crocker, M., Hall, S. G., &amp; DeBolt, S. (2012). Global bioenergy potential from high-lignin agricultural residue. </w:t>
      </w:r>
      <w:r>
        <w:rPr>
          <w:i/>
          <w:iCs/>
        </w:rPr>
        <w:t>Proceedings of the National Academy of Sciences, 109</w:t>
      </w:r>
      <w:r>
        <w:t>(10), 4014–4019. https://doi.org/10.1073/pnas.1112757109</w:t>
      </w:r>
    </w:p>
    <w:p w14:paraId="1225D083" w14:textId="77777777" w:rsidR="00A9066C" w:rsidRDefault="00A9066C">
      <w:pPr>
        <w:spacing w:after="120"/>
        <w:ind w:left="720" w:hanging="720"/>
      </w:pPr>
      <w:r>
        <w:t xml:space="preserve">Mohanty, S., &amp; Kumar, A. (2024). Crop </w:t>
      </w:r>
      <w:proofErr w:type="gramStart"/>
      <w:r>
        <w:t>residues based</w:t>
      </w:r>
      <w:proofErr w:type="gramEnd"/>
      <w:r>
        <w:t xml:space="preserve"> pellets market opportunities in India. </w:t>
      </w:r>
      <w:r>
        <w:rPr>
          <w:i/>
          <w:iCs/>
        </w:rPr>
        <w:t>Journal of Biotechnology &amp; Environmental Sciences, 9</w:t>
      </w:r>
      <w:r>
        <w:t>(4), 1–12. https://doi.org/10.33140/JBES.09.04.01</w:t>
      </w:r>
    </w:p>
    <w:p w14:paraId="4FBCEC68" w14:textId="77777777" w:rsidR="00A9066C" w:rsidRDefault="00A9066C">
      <w:pPr>
        <w:spacing w:after="120"/>
        <w:ind w:left="720" w:hanging="720"/>
      </w:pPr>
      <w:r>
        <w:t xml:space="preserve">Ndong Mba, A. R., Ndiaye, L. G., Adj, M., &amp; Ndiaye, D. (2024). Physical and energetic characteristics of pellets produced from </w:t>
      </w:r>
      <w:proofErr w:type="spellStart"/>
      <w:r>
        <w:t>Movingui</w:t>
      </w:r>
      <w:proofErr w:type="spellEnd"/>
      <w:r>
        <w:t xml:space="preserve"> sawdust, corn spathes, and coconut shells. </w:t>
      </w:r>
      <w:r>
        <w:rPr>
          <w:i/>
          <w:iCs/>
        </w:rPr>
        <w:t>Energy Nexus, 13</w:t>
      </w:r>
      <w:r>
        <w:t>, 100265. https://doi.org/10.1016/j.nexus.2024.100265</w:t>
      </w:r>
    </w:p>
    <w:p w14:paraId="1DC6422D" w14:textId="77777777" w:rsidR="00A9066C" w:rsidRDefault="00A9066C">
      <w:pPr>
        <w:spacing w:after="120"/>
        <w:ind w:left="720" w:hanging="720"/>
      </w:pPr>
      <w:r>
        <w:t xml:space="preserve">Oyelaran, O. A., Bolaji, B. O., Waheed, M. A., &amp; Adekunle, M. F. (2024). Unlocking power: Impact of physical and mechanical properties of biomass wood pellets on energy </w:t>
      </w:r>
      <w:r>
        <w:lastRenderedPageBreak/>
        <w:t xml:space="preserve">release and carbon emissions in power sector. </w:t>
      </w:r>
      <w:r>
        <w:rPr>
          <w:i/>
          <w:iCs/>
        </w:rPr>
        <w:t>Waste and Biomass Valorization, 15</w:t>
      </w:r>
      <w:r>
        <w:t>, 5789–5804. https://doi.org/10.1007/s12649-024-02669-z</w:t>
      </w:r>
    </w:p>
    <w:p w14:paraId="59E57D81" w14:textId="77777777" w:rsidR="00A9066C" w:rsidRDefault="00A9066C">
      <w:pPr>
        <w:spacing w:after="120"/>
        <w:ind w:left="720" w:hanging="720"/>
      </w:pPr>
      <w:r>
        <w:t xml:space="preserve">Park, C., Jeong, Y., Lee, J., &amp; Kim, K. (2021). Solid fuel characteristics of pellets comprising spent coffee grounds and wood powder. </w:t>
      </w:r>
      <w:r>
        <w:rPr>
          <w:i/>
          <w:iCs/>
        </w:rPr>
        <w:t>Energies, 14</w:t>
      </w:r>
      <w:r>
        <w:t>(2), 371. https://doi.org/10.3390/en14020371</w:t>
      </w:r>
    </w:p>
    <w:p w14:paraId="540CB0CD" w14:textId="77777777" w:rsidR="00A9066C" w:rsidRDefault="00A9066C">
      <w:pPr>
        <w:spacing w:after="120"/>
        <w:ind w:left="720" w:hanging="720"/>
      </w:pPr>
      <w:r>
        <w:t xml:space="preserve">Pergola, M., Gialdini, A., Celano, G., Ferrara, A., Palese, A. M., Cataldo, E., &amp; Ferrara, G. (2020). Comparative life cycle assessment of bioenergy production from different wood pellet supply chains. </w:t>
      </w:r>
      <w:r>
        <w:rPr>
          <w:i/>
          <w:iCs/>
        </w:rPr>
        <w:t>Forests, 11</w:t>
      </w:r>
      <w:r>
        <w:t>(11), 1127. https://doi.org/10.3390/f11111127</w:t>
      </w:r>
    </w:p>
    <w:p w14:paraId="05E79ABE" w14:textId="77777777" w:rsidR="00A9066C" w:rsidRDefault="00A9066C">
      <w:pPr>
        <w:spacing w:after="120"/>
        <w:ind w:left="720" w:hanging="720"/>
      </w:pPr>
      <w:proofErr w:type="spellStart"/>
      <w:r>
        <w:t>Phuttaro</w:t>
      </w:r>
      <w:proofErr w:type="spellEnd"/>
      <w:r>
        <w:t xml:space="preserve">, C., </w:t>
      </w:r>
      <w:proofErr w:type="spellStart"/>
      <w:r>
        <w:t>Punyapalakul</w:t>
      </w:r>
      <w:proofErr w:type="spellEnd"/>
      <w:r>
        <w:t xml:space="preserve">, P., &amp; Sawangwong, P. (2024). Biomass pellet processing from sugar industry byproducts: A study on pelletizing behavior and energy usage. </w:t>
      </w:r>
      <w:r>
        <w:rPr>
          <w:i/>
          <w:iCs/>
        </w:rPr>
        <w:t>Sustainability, 16</w:t>
      </w:r>
      <w:r>
        <w:t>(14), 6035. https://doi.org/10.3390/su16146035</w:t>
      </w:r>
    </w:p>
    <w:p w14:paraId="21281E94" w14:textId="77777777" w:rsidR="00A9066C" w:rsidRDefault="00A9066C">
      <w:pPr>
        <w:spacing w:after="120"/>
        <w:ind w:left="720" w:hanging="720"/>
      </w:pPr>
      <w:r>
        <w:t xml:space="preserve">Pitak, N., </w:t>
      </w:r>
      <w:proofErr w:type="spellStart"/>
      <w:r>
        <w:t>Promwungkwa</w:t>
      </w:r>
      <w:proofErr w:type="spellEnd"/>
      <w:r>
        <w:t xml:space="preserve">, A., &amp; </w:t>
      </w:r>
      <w:proofErr w:type="spellStart"/>
      <w:r>
        <w:t>Reubroycharoen</w:t>
      </w:r>
      <w:proofErr w:type="spellEnd"/>
      <w:r>
        <w:t xml:space="preserve">, P. (2025). Optimizing biomass pellet quality from sugarcane leaves and bamboo for sustainable biofuel production. </w:t>
      </w:r>
      <w:r>
        <w:rPr>
          <w:i/>
          <w:iCs/>
        </w:rPr>
        <w:t>Cleaner Engineering and Technology, 25</w:t>
      </w:r>
      <w:r>
        <w:t>, 100856. https://doi.org/10.1016/j.clet.2025.100856</w:t>
      </w:r>
    </w:p>
    <w:p w14:paraId="1B29C60C" w14:textId="77777777" w:rsidR="00A9066C" w:rsidRDefault="00A9066C">
      <w:pPr>
        <w:spacing w:after="120"/>
        <w:ind w:left="720" w:hanging="720"/>
      </w:pPr>
      <w:r>
        <w:t xml:space="preserve">Pradhan, P., Mahajani, S. M., &amp; Arora, A. (2018). Production and utilization of fuel pellets from biomass: A review. </w:t>
      </w:r>
      <w:r>
        <w:rPr>
          <w:i/>
          <w:iCs/>
        </w:rPr>
        <w:t>Fuel Processing Technology, 181</w:t>
      </w:r>
      <w:r>
        <w:t>, 215–232. https://doi.org/10.1016/j.fuproc.2018.09.021</w:t>
      </w:r>
    </w:p>
    <w:p w14:paraId="2C9F6944" w14:textId="77777777" w:rsidR="00A9066C" w:rsidRDefault="00A9066C">
      <w:pPr>
        <w:spacing w:after="120"/>
        <w:ind w:left="720" w:hanging="720"/>
      </w:pPr>
      <w:r>
        <w:t xml:space="preserve">Rashedi, A., Gul, N., Hussain, M., Hadi, R., Khan, N., Nadeem, S. G., Khanam, T., Asyraf, M. R. M., &amp; Kumar, V. (2022). Life cycle environmental sustainability and cumulative energy assessment of biomass pellets biofuel derived from agroforest residues. </w:t>
      </w:r>
      <w:proofErr w:type="spellStart"/>
      <w:r>
        <w:rPr>
          <w:i/>
          <w:iCs/>
        </w:rPr>
        <w:t>PLoS</w:t>
      </w:r>
      <w:proofErr w:type="spellEnd"/>
      <w:r>
        <w:rPr>
          <w:i/>
          <w:iCs/>
        </w:rPr>
        <w:t xml:space="preserve"> ONE, 17</w:t>
      </w:r>
      <w:r>
        <w:t>(10), e0275005. https://doi.org/10.1371/journal.pone.0275005</w:t>
      </w:r>
    </w:p>
    <w:p w14:paraId="7A96244D" w14:textId="77777777" w:rsidR="00A9066C" w:rsidRDefault="00A9066C">
      <w:pPr>
        <w:spacing w:after="120"/>
        <w:ind w:left="720" w:hanging="720"/>
      </w:pPr>
      <w:r>
        <w:t xml:space="preserve">Röder, M., Whittaker, C., &amp; Thornley, P. (2015). How certain are greenhouse gas reductions from bioenergy? Life cycle assessment and uncertainty analysis of wood pellet-to-electricity supply chains from forest residues. </w:t>
      </w:r>
      <w:r>
        <w:rPr>
          <w:i/>
          <w:iCs/>
        </w:rPr>
        <w:t>Biomass and Bioenergy, 79</w:t>
      </w:r>
      <w:r>
        <w:t>, 50–63. https://doi.org/10.1016/j.biombioe.2015.03.030</w:t>
      </w:r>
    </w:p>
    <w:p w14:paraId="6CFB8C90" w14:textId="77777777" w:rsidR="00A9066C" w:rsidRDefault="00A9066C">
      <w:pPr>
        <w:spacing w:after="120"/>
        <w:ind w:left="720" w:hanging="720"/>
      </w:pPr>
      <w:r>
        <w:t xml:space="preserve">Said, N., Abdel Daiem, M. M., García-Maraver, A., &amp; Zamorano, M. (2013). Influence of feedstock properties on the performance of pellets made from agricultural residues and forest waste. </w:t>
      </w:r>
      <w:r>
        <w:rPr>
          <w:i/>
          <w:iCs/>
        </w:rPr>
        <w:t>Fuel, 106</w:t>
      </w:r>
      <w:r>
        <w:t>, 392–400. https://doi.org/10.1016/j.fuel.2012.10.041</w:t>
      </w:r>
    </w:p>
    <w:p w14:paraId="094C746A" w14:textId="77777777" w:rsidR="00A9066C" w:rsidRDefault="00A9066C">
      <w:pPr>
        <w:spacing w:after="120"/>
        <w:ind w:left="720" w:hanging="720"/>
      </w:pPr>
      <w:r>
        <w:t xml:space="preserve">Sileshi, G. W., Barrios, E., Lehmann, J., &amp; Fonte, S. J. (2025). Consolidating global residue data from agriculture, fisheries, forestry and related industries: The organic matter </w:t>
      </w:r>
      <w:r>
        <w:lastRenderedPageBreak/>
        <w:t xml:space="preserve">database. </w:t>
      </w:r>
      <w:r>
        <w:rPr>
          <w:i/>
          <w:iCs/>
        </w:rPr>
        <w:t>Earth System Science Data, 17</w:t>
      </w:r>
      <w:r>
        <w:t>, 369–391. https://doi.org/10.5194/essd-17-369-2025</w:t>
      </w:r>
    </w:p>
    <w:p w14:paraId="551AC2F9" w14:textId="77777777" w:rsidR="00A9066C" w:rsidRDefault="00A9066C">
      <w:pPr>
        <w:spacing w:after="120"/>
        <w:ind w:left="720" w:hanging="720"/>
      </w:pPr>
      <w:r>
        <w:t xml:space="preserve">Soelberg, N. R., &amp; Bi, X. T. (2021). Biomass torrefaction process, product properties, reactor types, and moving bed reactor design concepts. </w:t>
      </w:r>
      <w:r>
        <w:rPr>
          <w:i/>
          <w:iCs/>
        </w:rPr>
        <w:t>Frontiers in Energy Research, 9</w:t>
      </w:r>
      <w:r>
        <w:t>, 728140. https://doi.org/10.3389/fenrg.2021.728140</w:t>
      </w:r>
    </w:p>
    <w:p w14:paraId="7EB6BAB2" w14:textId="77777777" w:rsidR="00A9066C" w:rsidRDefault="00A9066C">
      <w:pPr>
        <w:spacing w:after="120"/>
        <w:ind w:left="720" w:hanging="720"/>
      </w:pPr>
      <w:r>
        <w:t xml:space="preserve">Stolarski, M. J., Krzyżaniak, M., &amp; </w:t>
      </w:r>
      <w:proofErr w:type="spellStart"/>
      <w:r>
        <w:t>Olba-Zięty</w:t>
      </w:r>
      <w:proofErr w:type="spellEnd"/>
      <w:r>
        <w:t xml:space="preserve">, E. (2025). Properties of pellets from forest and agricultural biomass and their mixtures. </w:t>
      </w:r>
      <w:r>
        <w:rPr>
          <w:i/>
          <w:iCs/>
        </w:rPr>
        <w:t>Energies, 18</w:t>
      </w:r>
      <w:r>
        <w:t>(12), 3137. https://doi.org/10.3390/en18123137</w:t>
      </w:r>
    </w:p>
    <w:p w14:paraId="4325429D" w14:textId="77777777" w:rsidR="00A9066C" w:rsidRDefault="00A9066C">
      <w:pPr>
        <w:spacing w:after="120"/>
        <w:ind w:left="720" w:hanging="720"/>
      </w:pPr>
      <w:r>
        <w:t xml:space="preserve">Straits Research. (2025). </w:t>
      </w:r>
      <w:r>
        <w:rPr>
          <w:i/>
          <w:iCs/>
        </w:rPr>
        <w:t>Biomass pellets market size, demand, top share and regional analysis by 2033</w:t>
      </w:r>
      <w:r>
        <w:t>. https://straitsresearch.com/report/biomass-pellets-market</w:t>
      </w:r>
    </w:p>
    <w:p w14:paraId="077955EF" w14:textId="77777777" w:rsidR="00A9066C" w:rsidRDefault="00A9066C">
      <w:pPr>
        <w:spacing w:after="120"/>
        <w:ind w:left="720" w:hanging="720"/>
      </w:pPr>
      <w:proofErr w:type="spellStart"/>
      <w:r>
        <w:t>Sulaeman</w:t>
      </w:r>
      <w:proofErr w:type="spellEnd"/>
      <w:r>
        <w:t xml:space="preserve">, A., &amp; Burke, P. J. (2024). The viability of co-firing biomass waste to mitigate coal plant emissions in Indonesia. </w:t>
      </w:r>
      <w:r>
        <w:rPr>
          <w:i/>
          <w:iCs/>
        </w:rPr>
        <w:t>Communications Earth &amp; Environment, 5</w:t>
      </w:r>
      <w:r>
        <w:t>, 428. https://doi.org/10.1038/s43247-024-01588-0</w:t>
      </w:r>
    </w:p>
    <w:p w14:paraId="54E25D95" w14:textId="77777777" w:rsidR="00A9066C" w:rsidRDefault="00A9066C">
      <w:pPr>
        <w:spacing w:after="120"/>
        <w:ind w:left="720" w:hanging="720"/>
      </w:pPr>
      <w:r>
        <w:t xml:space="preserve">Tanaka, K., Yoshida, K., Yamamoto, S., &amp; Nakamura, T. (2025). Life cycle CO₂ emissions and techno-economic analysis of wood pellet production and CHP with different plant scales and sawdust drying processes. </w:t>
      </w:r>
      <w:r>
        <w:rPr>
          <w:i/>
          <w:iCs/>
        </w:rPr>
        <w:t>Sustainability, 17</w:t>
      </w:r>
      <w:r>
        <w:t>(1), 140. https://doi.org/10.3390/su17010140</w:t>
      </w:r>
    </w:p>
    <w:p w14:paraId="0B2CF9F8" w14:textId="77777777" w:rsidR="00A9066C" w:rsidRDefault="00A9066C">
      <w:pPr>
        <w:spacing w:after="120"/>
        <w:ind w:left="720" w:hanging="720"/>
      </w:pPr>
      <w:r>
        <w:t xml:space="preserve">Tran, H., Juno, E., &amp; Arunachalam, S. (2023). Emissions of wood </w:t>
      </w:r>
      <w:proofErr w:type="spellStart"/>
      <w:r>
        <w:t>pelletization</w:t>
      </w:r>
      <w:proofErr w:type="spellEnd"/>
      <w:r>
        <w:t xml:space="preserve"> and bioenergy use in the United States. </w:t>
      </w:r>
      <w:r>
        <w:rPr>
          <w:i/>
          <w:iCs/>
        </w:rPr>
        <w:t>Renewable Energy, 219</w:t>
      </w:r>
      <w:r>
        <w:t>, 119536. https://doi.org/10.1016/j.renene.2023.119536</w:t>
      </w:r>
    </w:p>
    <w:p w14:paraId="577E5497" w14:textId="77777777" w:rsidR="00A9066C" w:rsidRDefault="00A9066C">
      <w:pPr>
        <w:spacing w:after="120"/>
        <w:ind w:left="720" w:hanging="720"/>
      </w:pPr>
      <w:proofErr w:type="spellStart"/>
      <w:r>
        <w:t>Tumuluru</w:t>
      </w:r>
      <w:proofErr w:type="spellEnd"/>
      <w:r>
        <w:t xml:space="preserve">, J. S. (2018). Effect of pellet die diameter on density and durability of pellets made from high moisture woody and herbaceous biomass. </w:t>
      </w:r>
      <w:r>
        <w:rPr>
          <w:i/>
          <w:iCs/>
        </w:rPr>
        <w:t>Carbon Resources Conversion, 1</w:t>
      </w:r>
      <w:r>
        <w:t>(1), 44–54. https://doi.org/10.1016/j.crcon.2018.06.002</w:t>
      </w:r>
    </w:p>
    <w:p w14:paraId="24801939" w14:textId="77777777" w:rsidR="00A9066C" w:rsidRDefault="00A9066C">
      <w:pPr>
        <w:spacing w:after="120"/>
        <w:ind w:left="720" w:hanging="720"/>
      </w:pPr>
      <w:proofErr w:type="spellStart"/>
      <w:r>
        <w:t>Tumuluru</w:t>
      </w:r>
      <w:proofErr w:type="spellEnd"/>
      <w:r>
        <w:t xml:space="preserve">, J. S., Fillerup, E., Emmert, J., &amp; Heikkila, R. (2021). A review of torrefaction technology for upgrading lignocellulosic biomass to solid biofuels. </w:t>
      </w:r>
      <w:proofErr w:type="spellStart"/>
      <w:r>
        <w:rPr>
          <w:i/>
          <w:iCs/>
        </w:rPr>
        <w:t>BioEnergy</w:t>
      </w:r>
      <w:proofErr w:type="spellEnd"/>
      <w:r>
        <w:rPr>
          <w:i/>
          <w:iCs/>
        </w:rPr>
        <w:t xml:space="preserve"> Research, 14</w:t>
      </w:r>
      <w:r>
        <w:t>, 1–30. https://doi.org/10.1007/s12155-020-10236-2</w:t>
      </w:r>
    </w:p>
    <w:p w14:paraId="6154568E" w14:textId="77777777" w:rsidR="00A9066C" w:rsidRDefault="00A9066C">
      <w:pPr>
        <w:spacing w:after="120"/>
        <w:ind w:left="720" w:hanging="720"/>
      </w:pPr>
      <w:r>
        <w:t xml:space="preserve">Wang, L., Barta-Rajnai, E., </w:t>
      </w:r>
      <w:proofErr w:type="spellStart"/>
      <w:r>
        <w:t>Skreiberg</w:t>
      </w:r>
      <w:proofErr w:type="spellEnd"/>
      <w:r>
        <w:t xml:space="preserve">, Ø., Khalil, R., Czégény, Z., Jakab, E., &amp; Grønli, M. (2020). Effect of torrefaction on properties of pellets produced from woody biomass. </w:t>
      </w:r>
      <w:r>
        <w:rPr>
          <w:i/>
          <w:iCs/>
        </w:rPr>
        <w:t>Energy &amp; Fuels, 34</w:t>
      </w:r>
      <w:r>
        <w:t>(10), 11660–11673. https://doi.org/10.1021/acs.energyfuels.0c02671</w:t>
      </w:r>
    </w:p>
    <w:p w14:paraId="7B895DEC" w14:textId="77777777" w:rsidR="00A9066C" w:rsidRDefault="00A9066C">
      <w:pPr>
        <w:spacing w:after="120"/>
        <w:ind w:left="720" w:hanging="720"/>
      </w:pPr>
      <w:r>
        <w:lastRenderedPageBreak/>
        <w:t xml:space="preserve">Wang, R., Zhang, S., Qi, Y., Peng, W., &amp; Chen, W. (2025). Reducing transition costs towards carbon neutrality of China's coal power plants. </w:t>
      </w:r>
      <w:r>
        <w:rPr>
          <w:i/>
          <w:iCs/>
        </w:rPr>
        <w:t>Nature Communications, 16</w:t>
      </w:r>
      <w:r>
        <w:t>, 38. https://doi.org/10.1038/s41467-024-55332-5</w:t>
      </w:r>
    </w:p>
    <w:p w14:paraId="5FE52CDB" w14:textId="77777777" w:rsidR="00A9066C" w:rsidRDefault="00A9066C">
      <w:pPr>
        <w:spacing w:after="120"/>
        <w:ind w:left="720" w:hanging="720"/>
      </w:pPr>
      <w:r>
        <w:t xml:space="preserve">Yilmaz, H., </w:t>
      </w:r>
      <w:proofErr w:type="spellStart"/>
      <w:r>
        <w:t>Topakci</w:t>
      </w:r>
      <w:proofErr w:type="spellEnd"/>
      <w:r>
        <w:t xml:space="preserve">, M., Karayel, D., &amp; </w:t>
      </w:r>
      <w:proofErr w:type="spellStart"/>
      <w:r>
        <w:t>Çanakci</w:t>
      </w:r>
      <w:proofErr w:type="spellEnd"/>
      <w:r>
        <w:t xml:space="preserve">, M. (2021). The effect of raw material moisture and particle size on </w:t>
      </w:r>
      <w:proofErr w:type="spellStart"/>
      <w:r>
        <w:t>agri</w:t>
      </w:r>
      <w:proofErr w:type="spellEnd"/>
      <w:r>
        <w:t xml:space="preserve">-pellet production parameters and physical properties: A case study for greenhouse melon residues. </w:t>
      </w:r>
      <w:r>
        <w:rPr>
          <w:i/>
          <w:iCs/>
        </w:rPr>
        <w:t>Biomass and Bioenergy, 150</w:t>
      </w:r>
      <w:r>
        <w:t>, 106125. https://doi.org/10.1016/j.biombioe.2021.106125</w:t>
      </w:r>
    </w:p>
    <w:p w14:paraId="75F6ACCA" w14:textId="77777777" w:rsidR="00A9066C" w:rsidRDefault="00A9066C">
      <w:pPr>
        <w:spacing w:after="120"/>
        <w:ind w:left="720" w:hanging="720"/>
      </w:pPr>
      <w:r>
        <w:t xml:space="preserve">Yu, S., Zhang, Y., Chen, Z., Liu, Y., &amp; Guo, M. (2021). Improvement of the pellet quality and fuel characteristics of agricultural residues through mild hydrothermal treatment. </w:t>
      </w:r>
      <w:r>
        <w:rPr>
          <w:i/>
          <w:iCs/>
        </w:rPr>
        <w:t>Industrial Crops and Products, 169</w:t>
      </w:r>
      <w:r>
        <w:t>, 113647. https://doi.org/10.1016/j.indcrop.2021.113647</w:t>
      </w:r>
    </w:p>
    <w:p w14:paraId="134FBC6B" w14:textId="140695EE" w:rsidR="00A9066C" w:rsidRDefault="00A9066C">
      <w:pPr>
        <w:spacing w:after="120"/>
        <w:ind w:left="720" w:hanging="720"/>
      </w:pPr>
      <w:r>
        <w:t xml:space="preserve">Zhu, X., Zhang, Y., Liu, H., Wang, X., &amp; Chen, H. (2025). </w:t>
      </w:r>
      <w:proofErr w:type="spellStart"/>
      <w:r>
        <w:t>Emergy</w:t>
      </w:r>
      <w:proofErr w:type="spellEnd"/>
      <w:r>
        <w:t xml:space="preserve">, environmental and economic (3E) assessment of biomass pellets from agricultural waste. </w:t>
      </w:r>
      <w:r>
        <w:rPr>
          <w:i/>
          <w:iCs/>
        </w:rPr>
        <w:t>Agriculture, 15</w:t>
      </w:r>
      <w:r>
        <w:t xml:space="preserve">(6), 664. </w:t>
      </w:r>
      <w:hyperlink r:id="rId7" w:history="1">
        <w:r w:rsidR="0065266A" w:rsidRPr="000526F2">
          <w:rPr>
            <w:rStyle w:val="Hyperlink"/>
          </w:rPr>
          <w:t>https://doi.org/10.3390/agriculture15060664</w:t>
        </w:r>
      </w:hyperlink>
    </w:p>
    <w:p w14:paraId="221F0B6B" w14:textId="3AB0B8EB" w:rsidR="0065266A" w:rsidRDefault="0065266A">
      <w:pPr>
        <w:spacing w:after="120"/>
        <w:ind w:left="720" w:hanging="720"/>
        <w:rPr>
          <w:rFonts w:ascii="Arial" w:hAnsi="Arial" w:cs="Arial"/>
          <w:color w:val="222222"/>
          <w:sz w:val="20"/>
          <w:szCs w:val="20"/>
          <w:highlight w:val="yellow"/>
          <w:shd w:val="clear" w:color="auto" w:fill="FFFFFF"/>
        </w:rPr>
      </w:pPr>
      <w:proofErr w:type="spellStart"/>
      <w:r w:rsidRPr="002F07C4">
        <w:rPr>
          <w:rFonts w:ascii="Arial" w:hAnsi="Arial" w:cs="Arial"/>
          <w:color w:val="222222"/>
          <w:sz w:val="20"/>
          <w:szCs w:val="20"/>
          <w:highlight w:val="yellow"/>
          <w:shd w:val="clear" w:color="auto" w:fill="FFFFFF"/>
        </w:rPr>
        <w:t>Mawusi</w:t>
      </w:r>
      <w:proofErr w:type="spellEnd"/>
      <w:r w:rsidRPr="002F07C4">
        <w:rPr>
          <w:rFonts w:ascii="Arial" w:hAnsi="Arial" w:cs="Arial"/>
          <w:color w:val="222222"/>
          <w:sz w:val="20"/>
          <w:szCs w:val="20"/>
          <w:highlight w:val="yellow"/>
          <w:shd w:val="clear" w:color="auto" w:fill="FFFFFF"/>
        </w:rPr>
        <w:t xml:space="preserve">, S. K., Shrestha, P., </w:t>
      </w:r>
      <w:proofErr w:type="spellStart"/>
      <w:r w:rsidRPr="002F07C4">
        <w:rPr>
          <w:rFonts w:ascii="Arial" w:hAnsi="Arial" w:cs="Arial"/>
          <w:color w:val="222222"/>
          <w:sz w:val="20"/>
          <w:szCs w:val="20"/>
          <w:highlight w:val="yellow"/>
          <w:shd w:val="clear" w:color="auto" w:fill="FFFFFF"/>
        </w:rPr>
        <w:t>Xue</w:t>
      </w:r>
      <w:proofErr w:type="spellEnd"/>
      <w:r w:rsidRPr="002F07C4">
        <w:rPr>
          <w:rFonts w:ascii="Arial" w:hAnsi="Arial" w:cs="Arial"/>
          <w:color w:val="222222"/>
          <w:sz w:val="20"/>
          <w:szCs w:val="20"/>
          <w:highlight w:val="yellow"/>
          <w:shd w:val="clear" w:color="auto" w:fill="FFFFFF"/>
        </w:rPr>
        <w:t>, C., &amp; Liu, G. (2023). A comprehensive review of the production, adoption and sustained use of biomass pellets in Ghana. </w:t>
      </w:r>
      <w:proofErr w:type="spellStart"/>
      <w:r w:rsidRPr="002F07C4">
        <w:rPr>
          <w:rFonts w:ascii="Arial" w:hAnsi="Arial" w:cs="Arial"/>
          <w:i/>
          <w:iCs/>
          <w:color w:val="222222"/>
          <w:sz w:val="20"/>
          <w:szCs w:val="20"/>
          <w:highlight w:val="yellow"/>
          <w:shd w:val="clear" w:color="auto" w:fill="FFFFFF"/>
        </w:rPr>
        <w:t>Heliyon</w:t>
      </w:r>
      <w:proofErr w:type="spellEnd"/>
      <w:r w:rsidRPr="002F07C4">
        <w:rPr>
          <w:rFonts w:ascii="Arial" w:hAnsi="Arial" w:cs="Arial"/>
          <w:color w:val="222222"/>
          <w:sz w:val="20"/>
          <w:szCs w:val="20"/>
          <w:highlight w:val="yellow"/>
          <w:shd w:val="clear" w:color="auto" w:fill="FFFFFF"/>
        </w:rPr>
        <w:t>, </w:t>
      </w:r>
      <w:r w:rsidRPr="002F07C4">
        <w:rPr>
          <w:rFonts w:ascii="Arial" w:hAnsi="Arial" w:cs="Arial"/>
          <w:i/>
          <w:iCs/>
          <w:color w:val="222222"/>
          <w:sz w:val="20"/>
          <w:szCs w:val="20"/>
          <w:highlight w:val="yellow"/>
          <w:shd w:val="clear" w:color="auto" w:fill="FFFFFF"/>
        </w:rPr>
        <w:t>9</w:t>
      </w:r>
      <w:r w:rsidRPr="002F07C4">
        <w:rPr>
          <w:rFonts w:ascii="Arial" w:hAnsi="Arial" w:cs="Arial"/>
          <w:color w:val="222222"/>
          <w:sz w:val="20"/>
          <w:szCs w:val="20"/>
          <w:highlight w:val="yellow"/>
          <w:shd w:val="clear" w:color="auto" w:fill="FFFFFF"/>
        </w:rPr>
        <w:t>(6).</w:t>
      </w:r>
    </w:p>
    <w:p w14:paraId="0576DCE1" w14:textId="77777777" w:rsidR="008E5E0F" w:rsidRPr="002F07C4" w:rsidRDefault="008E5E0F" w:rsidP="008E5E0F">
      <w:pPr>
        <w:pStyle w:val="NormalWeb"/>
        <w:shd w:val="clear" w:color="auto" w:fill="FFFFFF"/>
        <w:spacing w:before="0" w:beforeAutospacing="0" w:after="150" w:afterAutospacing="0"/>
        <w:rPr>
          <w:rFonts w:ascii="inherit" w:hAnsi="inherit" w:cs="Helvetica"/>
          <w:color w:val="222222"/>
          <w:sz w:val="22"/>
          <w:szCs w:val="18"/>
        </w:rPr>
      </w:pPr>
      <w:r w:rsidRPr="002F07C4">
        <w:rPr>
          <w:rFonts w:ascii="inherit" w:hAnsi="inherit" w:cs="Helvetica"/>
          <w:color w:val="222222"/>
          <w:sz w:val="22"/>
          <w:szCs w:val="18"/>
          <w:highlight w:val="yellow"/>
        </w:rPr>
        <w:t xml:space="preserve">Deng, Y., Ran, X., </w:t>
      </w:r>
      <w:proofErr w:type="spellStart"/>
      <w:r w:rsidRPr="002F07C4">
        <w:rPr>
          <w:rFonts w:ascii="inherit" w:hAnsi="inherit" w:cs="Helvetica"/>
          <w:color w:val="222222"/>
          <w:sz w:val="22"/>
          <w:szCs w:val="18"/>
          <w:highlight w:val="yellow"/>
        </w:rPr>
        <w:t>Elshareef</w:t>
      </w:r>
      <w:proofErr w:type="spellEnd"/>
      <w:r w:rsidRPr="002F07C4">
        <w:rPr>
          <w:rFonts w:ascii="inherit" w:hAnsi="inherit" w:cs="Helvetica"/>
          <w:color w:val="222222"/>
          <w:sz w:val="22"/>
          <w:szCs w:val="18"/>
          <w:highlight w:val="yellow"/>
        </w:rPr>
        <w:t xml:space="preserve">, H., Dong, R., &amp; Zhou, Y. (2025). </w:t>
      </w:r>
      <w:proofErr w:type="spellStart"/>
      <w:r w:rsidRPr="002F07C4">
        <w:rPr>
          <w:rFonts w:ascii="inherit" w:hAnsi="inherit" w:cs="Helvetica"/>
          <w:color w:val="222222"/>
          <w:sz w:val="22"/>
          <w:szCs w:val="18"/>
          <w:highlight w:val="yellow"/>
        </w:rPr>
        <w:t>Emergy</w:t>
      </w:r>
      <w:proofErr w:type="spellEnd"/>
      <w:r w:rsidRPr="002F07C4">
        <w:rPr>
          <w:rFonts w:ascii="inherit" w:hAnsi="inherit" w:cs="Helvetica"/>
          <w:color w:val="222222"/>
          <w:sz w:val="22"/>
          <w:szCs w:val="18"/>
          <w:highlight w:val="yellow"/>
        </w:rPr>
        <w:t>, Environmental and Economic (3E) Assessment of Biomass Pellets from Agricultural Waste. </w:t>
      </w:r>
      <w:r w:rsidRPr="002F07C4">
        <w:rPr>
          <w:rStyle w:val="Emphasis"/>
          <w:rFonts w:ascii="inherit" w:hAnsi="inherit" w:cs="Helvetica"/>
          <w:color w:val="222222"/>
          <w:sz w:val="22"/>
          <w:szCs w:val="18"/>
          <w:highlight w:val="yellow"/>
        </w:rPr>
        <w:t>Agriculture</w:t>
      </w:r>
      <w:r w:rsidRPr="002F07C4">
        <w:rPr>
          <w:rFonts w:ascii="inherit" w:hAnsi="inherit" w:cs="Helvetica"/>
          <w:color w:val="222222"/>
          <w:sz w:val="22"/>
          <w:szCs w:val="18"/>
          <w:highlight w:val="yellow"/>
        </w:rPr>
        <w:t>, </w:t>
      </w:r>
      <w:r w:rsidRPr="002F07C4">
        <w:rPr>
          <w:rStyle w:val="Emphasis"/>
          <w:rFonts w:ascii="inherit" w:hAnsi="inherit" w:cs="Helvetica"/>
          <w:color w:val="222222"/>
          <w:sz w:val="22"/>
          <w:szCs w:val="18"/>
          <w:highlight w:val="yellow"/>
        </w:rPr>
        <w:t>15</w:t>
      </w:r>
      <w:r w:rsidRPr="002F07C4">
        <w:rPr>
          <w:rFonts w:ascii="inherit" w:hAnsi="inherit" w:cs="Helvetica"/>
          <w:color w:val="222222"/>
          <w:sz w:val="22"/>
          <w:szCs w:val="18"/>
          <w:highlight w:val="yellow"/>
        </w:rPr>
        <w:t>(6), 664. https://doi.org/10.3390/agriculture15060664</w:t>
      </w:r>
    </w:p>
    <w:p w14:paraId="28B2F0A1" w14:textId="77777777" w:rsidR="008E5E0F" w:rsidRDefault="008E5E0F">
      <w:pPr>
        <w:spacing w:after="120"/>
        <w:ind w:left="720" w:hanging="720"/>
      </w:pPr>
    </w:p>
    <w:sectPr w:rsidR="008E5E0F" w:rsidSect="000959F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3ECCA" w14:textId="77777777" w:rsidR="00EC7AA4" w:rsidRDefault="00EC7AA4" w:rsidP="000959F9">
      <w:pPr>
        <w:spacing w:line="240" w:lineRule="auto"/>
      </w:pPr>
      <w:r>
        <w:separator/>
      </w:r>
    </w:p>
  </w:endnote>
  <w:endnote w:type="continuationSeparator" w:id="0">
    <w:p w14:paraId="7D03B395" w14:textId="77777777" w:rsidR="00EC7AA4" w:rsidRDefault="00EC7AA4" w:rsidP="00095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96A1" w14:textId="77777777" w:rsidR="003500DE" w:rsidRDefault="00350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B08CE" w14:textId="77777777" w:rsidR="000959F9" w:rsidRDefault="000959F9">
    <w:pPr>
      <w:jc w:val="center"/>
    </w:pPr>
    <w:r>
      <w:fldChar w:fldCharType="begin"/>
    </w:r>
    <w:r w:rsidR="00FD7D35">
      <w:instrText>PAGE</w:instrText>
    </w:r>
    <w:r>
      <w:fldChar w:fldCharType="separate"/>
    </w:r>
    <w:r w:rsidR="00A9066C">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A5F5" w14:textId="77777777" w:rsidR="003500DE" w:rsidRDefault="00350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7EA81" w14:textId="77777777" w:rsidR="00EC7AA4" w:rsidRDefault="00EC7AA4" w:rsidP="000959F9">
      <w:pPr>
        <w:spacing w:line="240" w:lineRule="auto"/>
      </w:pPr>
      <w:r>
        <w:separator/>
      </w:r>
    </w:p>
  </w:footnote>
  <w:footnote w:type="continuationSeparator" w:id="0">
    <w:p w14:paraId="3F9250CA" w14:textId="77777777" w:rsidR="00EC7AA4" w:rsidRDefault="00EC7AA4" w:rsidP="000959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87AA9" w14:textId="4830796C" w:rsidR="003500DE" w:rsidRDefault="00EC7AA4">
    <w:pPr>
      <w:pStyle w:val="Header"/>
    </w:pPr>
    <w:r>
      <w:rPr>
        <w:noProof/>
      </w:rPr>
      <w:pict w14:anchorId="7C399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8370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CC41E" w14:textId="1BBCCF3C" w:rsidR="003500DE" w:rsidRDefault="00EC7AA4">
    <w:pPr>
      <w:pStyle w:val="Header"/>
    </w:pPr>
    <w:r>
      <w:rPr>
        <w:noProof/>
      </w:rPr>
      <w:pict w14:anchorId="0D309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8370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22280" w14:textId="6DD181EB" w:rsidR="003500DE" w:rsidRDefault="00EC7AA4">
    <w:pPr>
      <w:pStyle w:val="Header"/>
    </w:pPr>
    <w:r>
      <w:rPr>
        <w:noProof/>
      </w:rPr>
      <w:pict w14:anchorId="11831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8370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0741C"/>
    <w:multiLevelType w:val="hybridMultilevel"/>
    <w:tmpl w:val="6CAEBEC6"/>
    <w:lvl w:ilvl="0" w:tplc="66927746">
      <w:start w:val="1"/>
      <w:numFmt w:val="bullet"/>
      <w:lvlText w:val="●"/>
      <w:lvlJc w:val="left"/>
      <w:pPr>
        <w:ind w:left="720" w:hanging="360"/>
      </w:pPr>
    </w:lvl>
    <w:lvl w:ilvl="1" w:tplc="5D502124">
      <w:start w:val="1"/>
      <w:numFmt w:val="bullet"/>
      <w:lvlText w:val="○"/>
      <w:lvlJc w:val="left"/>
      <w:pPr>
        <w:ind w:left="1440" w:hanging="360"/>
      </w:pPr>
    </w:lvl>
    <w:lvl w:ilvl="2" w:tplc="C1CAE856">
      <w:start w:val="1"/>
      <w:numFmt w:val="bullet"/>
      <w:lvlText w:val="■"/>
      <w:lvlJc w:val="left"/>
      <w:pPr>
        <w:ind w:left="2160" w:hanging="360"/>
      </w:pPr>
    </w:lvl>
    <w:lvl w:ilvl="3" w:tplc="C456AC4C">
      <w:start w:val="1"/>
      <w:numFmt w:val="bullet"/>
      <w:lvlText w:val="●"/>
      <w:lvlJc w:val="left"/>
      <w:pPr>
        <w:ind w:left="2880" w:hanging="360"/>
      </w:pPr>
    </w:lvl>
    <w:lvl w:ilvl="4" w:tplc="76C4A7A8">
      <w:start w:val="1"/>
      <w:numFmt w:val="bullet"/>
      <w:lvlText w:val="○"/>
      <w:lvlJc w:val="left"/>
      <w:pPr>
        <w:ind w:left="3600" w:hanging="360"/>
      </w:pPr>
    </w:lvl>
    <w:lvl w:ilvl="5" w:tplc="5C686E26">
      <w:start w:val="1"/>
      <w:numFmt w:val="bullet"/>
      <w:lvlText w:val="■"/>
      <w:lvlJc w:val="left"/>
      <w:pPr>
        <w:ind w:left="4320" w:hanging="360"/>
      </w:pPr>
    </w:lvl>
    <w:lvl w:ilvl="6" w:tplc="2C285DD2">
      <w:start w:val="1"/>
      <w:numFmt w:val="bullet"/>
      <w:lvlText w:val="●"/>
      <w:lvlJc w:val="left"/>
      <w:pPr>
        <w:ind w:left="5040" w:hanging="360"/>
      </w:pPr>
    </w:lvl>
    <w:lvl w:ilvl="7" w:tplc="CFC698CC">
      <w:start w:val="1"/>
      <w:numFmt w:val="bullet"/>
      <w:lvlText w:val="●"/>
      <w:lvlJc w:val="left"/>
      <w:pPr>
        <w:ind w:left="5760" w:hanging="360"/>
      </w:pPr>
    </w:lvl>
    <w:lvl w:ilvl="8" w:tplc="66E83B7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3tzA1NjMwtjQ3MTZW0lEKTi0uzszPAykwrAUAiMkpxiwAAAA="/>
  </w:docVars>
  <w:rsids>
    <w:rsidRoot w:val="000959F9"/>
    <w:rsid w:val="00076837"/>
    <w:rsid w:val="000959F9"/>
    <w:rsid w:val="002F07C4"/>
    <w:rsid w:val="002F5EF9"/>
    <w:rsid w:val="003500DE"/>
    <w:rsid w:val="0036396E"/>
    <w:rsid w:val="00377CB3"/>
    <w:rsid w:val="00377EAC"/>
    <w:rsid w:val="00521208"/>
    <w:rsid w:val="00586697"/>
    <w:rsid w:val="0065266A"/>
    <w:rsid w:val="0089760A"/>
    <w:rsid w:val="008E5E0F"/>
    <w:rsid w:val="009E4F4F"/>
    <w:rsid w:val="00A9066C"/>
    <w:rsid w:val="00C60B8B"/>
    <w:rsid w:val="00E57CC5"/>
    <w:rsid w:val="00EC7AA4"/>
    <w:rsid w:val="00FD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4972D6"/>
  <w15:docId w15:val="{BE67E819-1A2F-4E42-A9A2-5A901D9A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0959F9"/>
    <w:pPr>
      <w:spacing w:before="240" w:after="120"/>
      <w:outlineLvl w:val="0"/>
    </w:pPr>
    <w:rPr>
      <w:b/>
      <w:bCs/>
      <w:sz w:val="28"/>
      <w:szCs w:val="28"/>
    </w:rPr>
  </w:style>
  <w:style w:type="paragraph" w:styleId="Heading2">
    <w:name w:val="heading 2"/>
    <w:qFormat/>
    <w:rsid w:val="000959F9"/>
    <w:pPr>
      <w:spacing w:before="200" w:after="100"/>
      <w:outlineLvl w:val="1"/>
    </w:pPr>
    <w:rPr>
      <w:b/>
      <w:bCs/>
      <w:sz w:val="26"/>
      <w:szCs w:val="26"/>
    </w:rPr>
  </w:style>
  <w:style w:type="paragraph" w:styleId="Heading3">
    <w:name w:val="heading 3"/>
    <w:qFormat/>
    <w:rsid w:val="000959F9"/>
    <w:pPr>
      <w:spacing w:before="160" w:after="80"/>
      <w:outlineLvl w:val="2"/>
    </w:pPr>
    <w:rPr>
      <w:b/>
      <w:bCs/>
      <w:i/>
      <w:iCs/>
    </w:rPr>
  </w:style>
  <w:style w:type="paragraph" w:styleId="Heading4">
    <w:name w:val="heading 4"/>
    <w:qFormat/>
    <w:rsid w:val="000959F9"/>
    <w:pPr>
      <w:outlineLvl w:val="3"/>
    </w:pPr>
    <w:rPr>
      <w:i/>
      <w:iCs/>
      <w:color w:val="2E74B5"/>
    </w:rPr>
  </w:style>
  <w:style w:type="paragraph" w:styleId="Heading5">
    <w:name w:val="heading 5"/>
    <w:qFormat/>
    <w:rsid w:val="000959F9"/>
    <w:pPr>
      <w:outlineLvl w:val="4"/>
    </w:pPr>
    <w:rPr>
      <w:color w:val="2E74B5"/>
    </w:rPr>
  </w:style>
  <w:style w:type="paragraph" w:styleId="Heading6">
    <w:name w:val="heading 6"/>
    <w:qFormat/>
    <w:rsid w:val="000959F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0959F9"/>
    <w:pPr>
      <w:spacing w:after="200"/>
      <w:jc w:val="center"/>
    </w:pPr>
    <w:rPr>
      <w:b/>
      <w:bCs/>
      <w:sz w:val="32"/>
      <w:szCs w:val="32"/>
    </w:rPr>
  </w:style>
  <w:style w:type="paragraph" w:customStyle="1" w:styleId="Strong1">
    <w:name w:val="Strong1"/>
    <w:qFormat/>
    <w:rsid w:val="000959F9"/>
    <w:rPr>
      <w:b/>
      <w:bCs/>
    </w:rPr>
  </w:style>
  <w:style w:type="paragraph" w:styleId="ListParagraph">
    <w:name w:val="List Paragraph"/>
    <w:qFormat/>
    <w:rsid w:val="000959F9"/>
  </w:style>
  <w:style w:type="character" w:styleId="Hyperlink">
    <w:name w:val="Hyperlink"/>
    <w:uiPriority w:val="99"/>
    <w:unhideWhenUsed/>
    <w:rsid w:val="000959F9"/>
    <w:rPr>
      <w:color w:val="0563C1"/>
      <w:u w:val="single"/>
    </w:rPr>
  </w:style>
  <w:style w:type="character" w:styleId="FootnoteReference">
    <w:name w:val="footnote reference"/>
    <w:uiPriority w:val="99"/>
    <w:semiHidden/>
    <w:unhideWhenUsed/>
    <w:rsid w:val="000959F9"/>
    <w:rPr>
      <w:vertAlign w:val="superscript"/>
    </w:rPr>
  </w:style>
  <w:style w:type="paragraph" w:styleId="FootnoteText">
    <w:name w:val="footnote text"/>
    <w:link w:val="FootnoteTextChar"/>
    <w:uiPriority w:val="99"/>
    <w:semiHidden/>
    <w:unhideWhenUsed/>
    <w:rsid w:val="000959F9"/>
    <w:pPr>
      <w:spacing w:line="240" w:lineRule="auto"/>
    </w:pPr>
    <w:rPr>
      <w:sz w:val="20"/>
      <w:szCs w:val="20"/>
    </w:rPr>
  </w:style>
  <w:style w:type="character" w:customStyle="1" w:styleId="FootnoteTextChar">
    <w:name w:val="Footnote Text Char"/>
    <w:link w:val="FootnoteText"/>
    <w:uiPriority w:val="99"/>
    <w:semiHidden/>
    <w:unhideWhenUsed/>
    <w:rsid w:val="000959F9"/>
    <w:rPr>
      <w:sz w:val="20"/>
      <w:szCs w:val="20"/>
    </w:rPr>
  </w:style>
  <w:style w:type="character" w:styleId="EndnoteReference">
    <w:name w:val="endnote reference"/>
    <w:uiPriority w:val="99"/>
    <w:semiHidden/>
    <w:unhideWhenUsed/>
    <w:rsid w:val="000959F9"/>
    <w:rPr>
      <w:vertAlign w:val="superscript"/>
    </w:rPr>
  </w:style>
  <w:style w:type="paragraph" w:styleId="EndnoteText">
    <w:name w:val="endnote text"/>
    <w:link w:val="EndnoteTextChar"/>
    <w:uiPriority w:val="99"/>
    <w:semiHidden/>
    <w:unhideWhenUsed/>
    <w:rsid w:val="000959F9"/>
    <w:pPr>
      <w:spacing w:line="240" w:lineRule="auto"/>
    </w:pPr>
    <w:rPr>
      <w:sz w:val="20"/>
      <w:szCs w:val="20"/>
    </w:rPr>
  </w:style>
  <w:style w:type="character" w:customStyle="1" w:styleId="EndnoteTextChar">
    <w:name w:val="Endnote Text Char"/>
    <w:link w:val="EndnoteText"/>
    <w:uiPriority w:val="99"/>
    <w:semiHidden/>
    <w:unhideWhenUsed/>
    <w:rsid w:val="000959F9"/>
    <w:rPr>
      <w:sz w:val="20"/>
      <w:szCs w:val="20"/>
    </w:rPr>
  </w:style>
  <w:style w:type="paragraph" w:styleId="Header">
    <w:name w:val="header"/>
    <w:basedOn w:val="Normal"/>
    <w:link w:val="HeaderChar"/>
    <w:uiPriority w:val="99"/>
    <w:unhideWhenUsed/>
    <w:rsid w:val="003500DE"/>
    <w:pPr>
      <w:tabs>
        <w:tab w:val="center" w:pos="4680"/>
        <w:tab w:val="right" w:pos="9360"/>
      </w:tabs>
      <w:spacing w:line="240" w:lineRule="auto"/>
    </w:pPr>
  </w:style>
  <w:style w:type="character" w:customStyle="1" w:styleId="HeaderChar">
    <w:name w:val="Header Char"/>
    <w:basedOn w:val="DefaultParagraphFont"/>
    <w:link w:val="Header"/>
    <w:uiPriority w:val="99"/>
    <w:rsid w:val="003500DE"/>
  </w:style>
  <w:style w:type="paragraph" w:styleId="Footer">
    <w:name w:val="footer"/>
    <w:basedOn w:val="Normal"/>
    <w:link w:val="FooterChar"/>
    <w:uiPriority w:val="99"/>
    <w:unhideWhenUsed/>
    <w:rsid w:val="003500DE"/>
    <w:pPr>
      <w:tabs>
        <w:tab w:val="center" w:pos="4680"/>
        <w:tab w:val="right" w:pos="9360"/>
      </w:tabs>
      <w:spacing w:line="240" w:lineRule="auto"/>
    </w:pPr>
  </w:style>
  <w:style w:type="character" w:customStyle="1" w:styleId="FooterChar">
    <w:name w:val="Footer Char"/>
    <w:basedOn w:val="DefaultParagraphFont"/>
    <w:link w:val="Footer"/>
    <w:uiPriority w:val="99"/>
    <w:rsid w:val="003500DE"/>
  </w:style>
  <w:style w:type="paragraph" w:styleId="NoSpacing">
    <w:name w:val="No Spacing"/>
    <w:uiPriority w:val="1"/>
    <w:qFormat/>
    <w:rsid w:val="0036396E"/>
    <w:pPr>
      <w:spacing w:line="240" w:lineRule="auto"/>
    </w:pPr>
    <w:rPr>
      <w:rFonts w:asciiTheme="minorHAnsi" w:eastAsiaTheme="minorHAnsi" w:hAnsiTheme="minorHAnsi" w:cstheme="minorBidi"/>
      <w:kern w:val="2"/>
      <w:sz w:val="22"/>
      <w:szCs w:val="22"/>
    </w:rPr>
  </w:style>
  <w:style w:type="paragraph" w:styleId="BalloonText">
    <w:name w:val="Balloon Text"/>
    <w:basedOn w:val="Normal"/>
    <w:link w:val="BalloonTextChar"/>
    <w:uiPriority w:val="99"/>
    <w:semiHidden/>
    <w:unhideWhenUsed/>
    <w:rsid w:val="0065266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66A"/>
    <w:rPr>
      <w:rFonts w:ascii="Segoe UI" w:hAnsi="Segoe UI" w:cs="Segoe UI"/>
      <w:sz w:val="18"/>
      <w:szCs w:val="18"/>
    </w:rPr>
  </w:style>
  <w:style w:type="character" w:styleId="UnresolvedMention">
    <w:name w:val="Unresolved Mention"/>
    <w:basedOn w:val="DefaultParagraphFont"/>
    <w:uiPriority w:val="99"/>
    <w:semiHidden/>
    <w:unhideWhenUsed/>
    <w:rsid w:val="0065266A"/>
    <w:rPr>
      <w:color w:val="605E5C"/>
      <w:shd w:val="clear" w:color="auto" w:fill="E1DFDD"/>
    </w:rPr>
  </w:style>
  <w:style w:type="paragraph" w:styleId="NormalWeb">
    <w:name w:val="Normal (Web)"/>
    <w:basedOn w:val="Normal"/>
    <w:uiPriority w:val="99"/>
    <w:semiHidden/>
    <w:unhideWhenUsed/>
    <w:rsid w:val="008E5E0F"/>
    <w:pPr>
      <w:spacing w:before="100" w:beforeAutospacing="1" w:after="100" w:afterAutospacing="1" w:line="240" w:lineRule="auto"/>
    </w:pPr>
  </w:style>
  <w:style w:type="character" w:styleId="Emphasis">
    <w:name w:val="Emphasis"/>
    <w:basedOn w:val="DefaultParagraphFont"/>
    <w:uiPriority w:val="20"/>
    <w:qFormat/>
    <w:rsid w:val="008E5E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63617">
      <w:bodyDiv w:val="1"/>
      <w:marLeft w:val="0"/>
      <w:marRight w:val="0"/>
      <w:marTop w:val="0"/>
      <w:marBottom w:val="0"/>
      <w:divBdr>
        <w:top w:val="none" w:sz="0" w:space="0" w:color="auto"/>
        <w:left w:val="none" w:sz="0" w:space="0" w:color="auto"/>
        <w:bottom w:val="none" w:sz="0" w:space="0" w:color="auto"/>
        <w:right w:val="none" w:sz="0" w:space="0" w:color="auto"/>
      </w:divBdr>
      <w:divsChild>
        <w:div w:id="646008034">
          <w:marLeft w:val="0"/>
          <w:marRight w:val="0"/>
          <w:marTop w:val="0"/>
          <w:marBottom w:val="0"/>
          <w:divBdr>
            <w:top w:val="none" w:sz="0" w:space="0" w:color="auto"/>
            <w:left w:val="none" w:sz="0" w:space="0" w:color="auto"/>
            <w:bottom w:val="none" w:sz="0" w:space="0" w:color="auto"/>
            <w:right w:val="none" w:sz="0" w:space="0" w:color="auto"/>
          </w:divBdr>
          <w:divsChild>
            <w:div w:id="18435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90/agriculture1506066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28</Pages>
  <Words>10411</Words>
  <Characters>59349</Characters>
  <Application>Microsoft Office Word</Application>
  <DocSecurity>0</DocSecurity>
  <Lines>494</Lines>
  <Paragraphs>139</Paragraphs>
  <ScaleCrop>false</ScaleCrop>
  <Company>HP</Company>
  <LinksUpToDate>false</LinksUpToDate>
  <CharactersWithSpaces>69621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New 16</cp:lastModifiedBy>
  <cp:revision>14</cp:revision>
  <dcterms:created xsi:type="dcterms:W3CDTF">2026-04-01T17:01:00Z</dcterms:created>
  <dcterms:modified xsi:type="dcterms:W3CDTF">2026-04-04T12:28:00Z</dcterms:modified>
</cp:coreProperties>
</file>