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259B9" w14:textId="77777777" w:rsidR="00754C9A" w:rsidRPr="008C5FCA" w:rsidRDefault="00754C9A" w:rsidP="00441B6F">
      <w:pPr>
        <w:pStyle w:val="Title"/>
        <w:spacing w:after="0"/>
        <w:jc w:val="both"/>
        <w:rPr>
          <w:rFonts w:ascii="Arial" w:hAnsi="Arial" w:cs="Arial"/>
          <w:color w:val="000000" w:themeColor="text1"/>
          <w:sz w:val="20"/>
        </w:rPr>
      </w:pPr>
      <w:bookmarkStart w:id="0" w:name="OLE_LINK14"/>
      <w:bookmarkStart w:id="1" w:name="OLE_LINK15"/>
    </w:p>
    <w:p w14:paraId="0F48D4DE" w14:textId="77777777" w:rsidR="00EF79D5" w:rsidRPr="00592A12" w:rsidRDefault="00EF79D5" w:rsidP="00441B6F">
      <w:pPr>
        <w:pStyle w:val="Author"/>
        <w:spacing w:line="240" w:lineRule="auto"/>
        <w:rPr>
          <w:rFonts w:ascii="Arial" w:hAnsi="Arial" w:cs="Arial"/>
          <w:bCs/>
          <w:iCs/>
          <w:color w:val="000000" w:themeColor="text1"/>
          <w:kern w:val="28"/>
          <w:sz w:val="36"/>
          <w:szCs w:val="36"/>
        </w:rPr>
      </w:pPr>
      <w:r w:rsidRPr="00592A12">
        <w:rPr>
          <w:rFonts w:ascii="Arial" w:hAnsi="Arial" w:cs="Arial"/>
          <w:bCs/>
          <w:iCs/>
          <w:color w:val="000000" w:themeColor="text1"/>
          <w:kern w:val="28"/>
          <w:sz w:val="36"/>
          <w:szCs w:val="36"/>
        </w:rPr>
        <w:t xml:space="preserve">Original Research Article </w:t>
      </w:r>
    </w:p>
    <w:p w14:paraId="781B0723" w14:textId="77777777" w:rsidR="00372E86" w:rsidRPr="008C5FCA" w:rsidRDefault="00372E86" w:rsidP="00441B6F">
      <w:pPr>
        <w:pStyle w:val="Author"/>
        <w:spacing w:line="240" w:lineRule="auto"/>
        <w:rPr>
          <w:rFonts w:ascii="Arial" w:hAnsi="Arial" w:cs="Arial"/>
          <w:bCs/>
          <w:iCs/>
          <w:color w:val="000000" w:themeColor="text1"/>
          <w:kern w:val="28"/>
          <w:sz w:val="20"/>
        </w:rPr>
      </w:pPr>
    </w:p>
    <w:p w14:paraId="3FEDB649" w14:textId="77777777" w:rsidR="00163BC4" w:rsidRPr="00592A12" w:rsidRDefault="00C506AE" w:rsidP="00592A12">
      <w:pPr>
        <w:pStyle w:val="Author"/>
        <w:spacing w:line="240" w:lineRule="auto"/>
        <w:rPr>
          <w:rFonts w:ascii="Arial" w:hAnsi="Arial" w:cs="Arial"/>
          <w:bCs/>
          <w:iCs/>
          <w:color w:val="000000" w:themeColor="text1"/>
          <w:kern w:val="28"/>
          <w:sz w:val="36"/>
          <w:szCs w:val="36"/>
        </w:rPr>
      </w:pPr>
      <w:r w:rsidRPr="00592A12">
        <w:rPr>
          <w:rFonts w:ascii="Arial" w:hAnsi="Arial" w:cs="Arial"/>
          <w:bCs/>
          <w:iCs/>
          <w:color w:val="000000" w:themeColor="text1"/>
          <w:kern w:val="28"/>
          <w:sz w:val="36"/>
          <w:szCs w:val="36"/>
        </w:rPr>
        <w:t xml:space="preserve">Performance </w:t>
      </w:r>
      <w:r w:rsidR="0005126A" w:rsidRPr="00592A12">
        <w:rPr>
          <w:rFonts w:ascii="Arial" w:hAnsi="Arial" w:cs="Arial"/>
          <w:bCs/>
          <w:iCs/>
          <w:color w:val="000000" w:themeColor="text1"/>
          <w:kern w:val="28"/>
          <w:sz w:val="36"/>
          <w:szCs w:val="36"/>
        </w:rPr>
        <w:t xml:space="preserve">Evaluation </w:t>
      </w:r>
      <w:r w:rsidRPr="00592A12">
        <w:rPr>
          <w:rFonts w:ascii="Arial" w:hAnsi="Arial" w:cs="Arial"/>
          <w:bCs/>
          <w:iCs/>
          <w:color w:val="000000" w:themeColor="text1"/>
          <w:kern w:val="28"/>
          <w:sz w:val="36"/>
          <w:szCs w:val="36"/>
        </w:rPr>
        <w:t>for Yield Traits in Garden Pea (</w:t>
      </w:r>
      <w:r w:rsidRPr="00592A12">
        <w:rPr>
          <w:rFonts w:ascii="Arial" w:hAnsi="Arial" w:cs="Arial"/>
          <w:bCs/>
          <w:i/>
          <w:color w:val="000000" w:themeColor="text1"/>
          <w:kern w:val="28"/>
          <w:sz w:val="36"/>
          <w:szCs w:val="36"/>
        </w:rPr>
        <w:t>Pisum sativum</w:t>
      </w:r>
      <w:r w:rsidRPr="00592A12">
        <w:rPr>
          <w:rFonts w:ascii="Arial" w:hAnsi="Arial" w:cs="Arial"/>
          <w:bCs/>
          <w:iCs/>
          <w:color w:val="000000" w:themeColor="text1"/>
          <w:kern w:val="28"/>
          <w:sz w:val="36"/>
          <w:szCs w:val="36"/>
        </w:rPr>
        <w:t xml:space="preserve"> L.) Genotypes Across Differential Thermal Environments</w:t>
      </w:r>
      <w:r w:rsidR="00231920" w:rsidRPr="00592A12">
        <w:rPr>
          <w:rFonts w:ascii="Arial" w:hAnsi="Arial" w:cs="Arial"/>
          <w:bCs/>
          <w:iCs/>
          <w:color w:val="000000" w:themeColor="text1"/>
          <w:kern w:val="28"/>
          <w:sz w:val="36"/>
          <w:szCs w:val="36"/>
        </w:rPr>
        <w:t xml:space="preserve"> </w:t>
      </w:r>
    </w:p>
    <w:p w14:paraId="1D76F001" w14:textId="77777777" w:rsidR="002C57D2" w:rsidRPr="008C5FCA" w:rsidRDefault="002C57D2" w:rsidP="00441B6F">
      <w:pPr>
        <w:pStyle w:val="Affiliation"/>
        <w:spacing w:after="0" w:line="240" w:lineRule="auto"/>
        <w:jc w:val="both"/>
        <w:rPr>
          <w:rFonts w:ascii="Arial" w:hAnsi="Arial" w:cs="Arial"/>
          <w:color w:val="000000" w:themeColor="text1"/>
        </w:rPr>
      </w:pPr>
    </w:p>
    <w:p w14:paraId="76E215E6" w14:textId="77777777" w:rsidR="00C506AE" w:rsidRPr="008C5FCA" w:rsidRDefault="00C506AE" w:rsidP="00441B6F">
      <w:pPr>
        <w:pStyle w:val="Affiliation"/>
        <w:spacing w:after="0" w:line="240" w:lineRule="auto"/>
        <w:jc w:val="both"/>
        <w:rPr>
          <w:rFonts w:ascii="Arial" w:hAnsi="Arial" w:cs="Arial"/>
          <w:color w:val="000000" w:themeColor="text1"/>
        </w:rPr>
      </w:pPr>
    </w:p>
    <w:p w14:paraId="5A6F19F4" w14:textId="77777777" w:rsidR="00B01FCD" w:rsidRPr="008C5FCA" w:rsidRDefault="000461FA" w:rsidP="00441B6F">
      <w:pPr>
        <w:pStyle w:val="Copyright"/>
        <w:spacing w:after="0" w:line="240" w:lineRule="auto"/>
        <w:jc w:val="both"/>
        <w:rPr>
          <w:rFonts w:ascii="Arial" w:hAnsi="Arial" w:cs="Arial"/>
          <w:color w:val="000000" w:themeColor="text1"/>
          <w:sz w:val="20"/>
        </w:rPr>
        <w:sectPr w:rsidR="00B01FCD" w:rsidRPr="008C5FCA" w:rsidSect="00C506A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95591B8" wp14:editId="7AAA3C38">
                <wp:extent cx="5303520" cy="635"/>
                <wp:effectExtent l="0" t="12700" r="5080" b="12065"/>
                <wp:docPr id="64410158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344D7A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" strokeweight="1.5pt">
                <o:lock v:ext="edit" shapetype="f"/>
                <w10:anchorlock/>
              </v:shape>
            </w:pict>
          </mc:Fallback>
        </mc:AlternateContent>
      </w:r>
      <w:r w:rsidR="00FB3A86" w:rsidRPr="008C5FCA">
        <w:rPr>
          <w:rFonts w:ascii="Arial" w:hAnsi="Arial" w:cs="Arial"/>
          <w:color w:val="000000" w:themeColor="text1"/>
          <w:sz w:val="20"/>
        </w:rPr>
        <w:t>.</w:t>
      </w:r>
    </w:p>
    <w:p w14:paraId="73439A27" w14:textId="77777777" w:rsidR="00B01FCD" w:rsidRPr="00592A12" w:rsidRDefault="00B01FCD" w:rsidP="00441B6F">
      <w:pPr>
        <w:pStyle w:val="AbstHead"/>
        <w:spacing w:after="0"/>
        <w:jc w:val="both"/>
        <w:rPr>
          <w:rFonts w:ascii="Arial" w:hAnsi="Arial" w:cs="Arial"/>
          <w:color w:val="000000" w:themeColor="text1"/>
          <w:szCs w:val="22"/>
        </w:rPr>
      </w:pPr>
      <w:r w:rsidRPr="00592A12">
        <w:rPr>
          <w:rFonts w:ascii="Arial" w:hAnsi="Arial" w:cs="Arial"/>
          <w:color w:val="000000" w:themeColor="text1"/>
          <w:szCs w:val="22"/>
        </w:rPr>
        <w:t>ABSTRACT</w:t>
      </w:r>
      <w:r w:rsidR="0066510A" w:rsidRPr="00592A12">
        <w:rPr>
          <w:rFonts w:ascii="Arial" w:hAnsi="Arial" w:cs="Arial"/>
          <w:color w:val="000000" w:themeColor="text1"/>
          <w:szCs w:val="22"/>
        </w:rPr>
        <w:t xml:space="preserve"> </w:t>
      </w:r>
    </w:p>
    <w:p w14:paraId="037DB552" w14:textId="77777777" w:rsidR="00790ADA" w:rsidRPr="008C5FCA" w:rsidRDefault="00790ADA" w:rsidP="00441B6F">
      <w:pPr>
        <w:pStyle w:val="AbstHead"/>
        <w:spacing w:after="0"/>
        <w:jc w:val="both"/>
        <w:rPr>
          <w:rFonts w:ascii="Arial" w:hAnsi="Arial" w:cs="Arial"/>
          <w:color w:val="000000" w:themeColor="text1"/>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7727D4" w14:paraId="3E975930" w14:textId="77777777" w:rsidTr="001E44FE">
        <w:tc>
          <w:tcPr>
            <w:tcW w:w="9576" w:type="dxa"/>
            <w:shd w:val="clear" w:color="auto" w:fill="F2F2F2"/>
          </w:tcPr>
          <w:p w14:paraId="08A1B487" w14:textId="230C5A8F" w:rsidR="00505F06" w:rsidRPr="007727D4" w:rsidRDefault="0069282C" w:rsidP="006D4A91">
            <w:pPr>
              <w:pStyle w:val="p1"/>
              <w:jc w:val="both"/>
              <w:rPr>
                <w:rFonts w:ascii="Arial" w:hAnsi="Arial" w:cs="Arial"/>
                <w:i/>
                <w:iCs/>
                <w:color w:val="000000" w:themeColor="text1"/>
                <w:sz w:val="20"/>
                <w:szCs w:val="20"/>
              </w:rPr>
            </w:pPr>
            <w:bookmarkStart w:id="2" w:name="OLE_LINK7"/>
            <w:r w:rsidRPr="007727D4">
              <w:rPr>
                <w:rFonts w:ascii="Arial" w:hAnsi="Arial" w:cs="Arial"/>
                <w:color w:val="000000" w:themeColor="text1"/>
                <w:sz w:val="20"/>
                <w:szCs w:val="20"/>
              </w:rPr>
              <w:t>The present study was undertaken to examine garden pea (</w:t>
            </w:r>
            <w:r w:rsidRPr="007727D4">
              <w:rPr>
                <w:rFonts w:ascii="Arial" w:hAnsi="Arial" w:cs="Arial"/>
                <w:i/>
                <w:iCs/>
                <w:color w:val="000000" w:themeColor="text1"/>
                <w:sz w:val="20"/>
                <w:szCs w:val="20"/>
              </w:rPr>
              <w:t>Pisum</w:t>
            </w:r>
            <w:r w:rsidR="008222E4" w:rsidRPr="007727D4">
              <w:rPr>
                <w:rFonts w:ascii="Arial" w:hAnsi="Arial" w:cs="Arial"/>
                <w:i/>
                <w:iCs/>
                <w:color w:val="000000" w:themeColor="text1"/>
                <w:sz w:val="20"/>
                <w:szCs w:val="20"/>
              </w:rPr>
              <w:t xml:space="preserve"> </w:t>
            </w:r>
            <w:r w:rsidRPr="007727D4">
              <w:rPr>
                <w:rFonts w:ascii="Arial" w:hAnsi="Arial" w:cs="Arial"/>
                <w:i/>
                <w:iCs/>
                <w:color w:val="000000" w:themeColor="text1"/>
                <w:sz w:val="20"/>
                <w:szCs w:val="20"/>
              </w:rPr>
              <w:t>sativum</w:t>
            </w:r>
            <w:r w:rsidRPr="007727D4">
              <w:rPr>
                <w:rFonts w:ascii="Arial" w:hAnsi="Arial" w:cs="Arial"/>
                <w:color w:val="000000" w:themeColor="text1"/>
                <w:sz w:val="20"/>
                <w:szCs w:val="20"/>
              </w:rPr>
              <w:t xml:space="preserve"> L.) genotypes for yield and its associated traits under varying thermal conditions, with the objective of identifying stable and heat-tolerant lines. The </w:t>
            </w:r>
            <w:r w:rsidR="00171FF1" w:rsidRPr="007727D4">
              <w:rPr>
                <w:rFonts w:ascii="Arial" w:hAnsi="Arial" w:cs="Arial"/>
                <w:color w:val="000000" w:themeColor="text1"/>
                <w:sz w:val="20"/>
                <w:szCs w:val="20"/>
              </w:rPr>
              <w:t>f</w:t>
            </w:r>
            <w:r w:rsidRPr="007727D4">
              <w:rPr>
                <w:rFonts w:ascii="Arial" w:hAnsi="Arial" w:cs="Arial"/>
                <w:color w:val="000000" w:themeColor="text1"/>
                <w:sz w:val="20"/>
                <w:szCs w:val="20"/>
              </w:rPr>
              <w:t xml:space="preserve">ield experiment </w:t>
            </w:r>
            <w:r w:rsidR="008222E4" w:rsidRPr="007727D4">
              <w:rPr>
                <w:rFonts w:ascii="Arial" w:hAnsi="Arial" w:cs="Arial"/>
                <w:color w:val="000000" w:themeColor="text1"/>
                <w:sz w:val="20"/>
                <w:szCs w:val="20"/>
              </w:rPr>
              <w:t xml:space="preserve">was </w:t>
            </w:r>
            <w:r w:rsidRPr="007727D4">
              <w:rPr>
                <w:rFonts w:ascii="Arial" w:hAnsi="Arial" w:cs="Arial"/>
                <w:color w:val="000000" w:themeColor="text1"/>
                <w:sz w:val="20"/>
                <w:szCs w:val="20"/>
              </w:rPr>
              <w:t xml:space="preserve">laid out in an Augmented Block Design at the Vegetable Research Centre, Govind Ballabh Pant University of Agriculture and Technology, Pantnagar, Uttarakhand, India, during the </w:t>
            </w:r>
            <w:r w:rsidRPr="007727D4">
              <w:rPr>
                <w:rFonts w:ascii="Arial" w:hAnsi="Arial" w:cs="Arial"/>
                <w:i/>
                <w:iCs/>
                <w:color w:val="000000" w:themeColor="text1"/>
                <w:sz w:val="20"/>
                <w:szCs w:val="20"/>
              </w:rPr>
              <w:t>rabi</w:t>
            </w:r>
            <w:r w:rsidRPr="007727D4">
              <w:rPr>
                <w:rFonts w:ascii="Arial" w:hAnsi="Arial" w:cs="Arial"/>
                <w:color w:val="000000" w:themeColor="text1"/>
                <w:sz w:val="20"/>
                <w:szCs w:val="20"/>
              </w:rPr>
              <w:t xml:space="preserve"> season of 2024–2025. A total of 72 diverse</w:t>
            </w:r>
            <w:r w:rsidR="00B57328">
              <w:rPr>
                <w:rFonts w:ascii="Arial" w:hAnsi="Arial" w:cs="Arial"/>
                <w:color w:val="000000" w:themeColor="text1"/>
                <w:sz w:val="20"/>
                <w:szCs w:val="20"/>
              </w:rPr>
              <w:t xml:space="preserve"> test</w:t>
            </w:r>
            <w:r w:rsidRPr="007727D4">
              <w:rPr>
                <w:rFonts w:ascii="Arial" w:hAnsi="Arial" w:cs="Arial"/>
                <w:color w:val="000000" w:themeColor="text1"/>
                <w:sz w:val="20"/>
                <w:szCs w:val="20"/>
              </w:rPr>
              <w:t xml:space="preserve"> genotypes along with two standard check varieties (PM-128 and PSM-3) were evaluated under three different thermal regimes, namely pre-flowering heat stress (E</w:t>
            </w:r>
            <w:r w:rsidR="0086347A" w:rsidRPr="007727D4">
              <w:rPr>
                <w:rFonts w:ascii="Arial" w:hAnsi="Arial" w:cs="Arial"/>
                <w:color w:val="000000" w:themeColor="text1"/>
                <w:sz w:val="20"/>
                <w:szCs w:val="20"/>
              </w:rPr>
              <w:t xml:space="preserve">nvironment </w:t>
            </w:r>
            <w:r w:rsidRPr="007727D4">
              <w:rPr>
                <w:rFonts w:ascii="Arial" w:hAnsi="Arial" w:cs="Arial"/>
                <w:color w:val="000000" w:themeColor="text1"/>
                <w:sz w:val="20"/>
                <w:szCs w:val="20"/>
              </w:rPr>
              <w:t>1), optimum conditions (E</w:t>
            </w:r>
            <w:r w:rsidR="0086347A" w:rsidRPr="007727D4">
              <w:rPr>
                <w:rFonts w:ascii="Arial" w:hAnsi="Arial" w:cs="Arial"/>
                <w:color w:val="000000" w:themeColor="text1"/>
                <w:sz w:val="20"/>
                <w:szCs w:val="20"/>
              </w:rPr>
              <w:t xml:space="preserve">nvironment </w:t>
            </w:r>
            <w:r w:rsidRPr="007727D4">
              <w:rPr>
                <w:rFonts w:ascii="Arial" w:hAnsi="Arial" w:cs="Arial"/>
                <w:color w:val="000000" w:themeColor="text1"/>
                <w:sz w:val="20"/>
                <w:szCs w:val="20"/>
              </w:rPr>
              <w:t>2), and terminal heat stress (E</w:t>
            </w:r>
            <w:r w:rsidR="0086347A" w:rsidRPr="007727D4">
              <w:rPr>
                <w:rFonts w:ascii="Arial" w:hAnsi="Arial" w:cs="Arial"/>
                <w:color w:val="000000" w:themeColor="text1"/>
                <w:sz w:val="20"/>
                <w:szCs w:val="20"/>
              </w:rPr>
              <w:t xml:space="preserve">nvironment </w:t>
            </w:r>
            <w:r w:rsidRPr="007727D4">
              <w:rPr>
                <w:rFonts w:ascii="Arial" w:hAnsi="Arial" w:cs="Arial"/>
                <w:color w:val="000000" w:themeColor="text1"/>
                <w:sz w:val="20"/>
                <w:szCs w:val="20"/>
              </w:rPr>
              <w:t xml:space="preserve">3). </w:t>
            </w:r>
            <w:r w:rsidR="006C3AB5" w:rsidRPr="007727D4">
              <w:rPr>
                <w:rFonts w:ascii="Arial" w:hAnsi="Arial" w:cs="Arial"/>
                <w:color w:val="000000" w:themeColor="text1"/>
                <w:sz w:val="20"/>
                <w:szCs w:val="20"/>
              </w:rPr>
              <w:t>Heat stress conditions were imposed through staggered sowing dates, with early sowing exposing the crop to higher temperatures during the vegetative stage and late sowing subjecting the crop to elevated temperatures during the reproductive</w:t>
            </w:r>
            <w:r w:rsidR="006F60D8" w:rsidRPr="007727D4">
              <w:rPr>
                <w:rFonts w:ascii="Arial" w:hAnsi="Arial" w:cs="Arial"/>
                <w:color w:val="000000" w:themeColor="text1"/>
                <w:sz w:val="20"/>
                <w:szCs w:val="20"/>
              </w:rPr>
              <w:t xml:space="preserve"> </w:t>
            </w:r>
            <w:r w:rsidR="006C3AB5" w:rsidRPr="007727D4">
              <w:rPr>
                <w:rFonts w:ascii="Arial" w:hAnsi="Arial" w:cs="Arial"/>
                <w:color w:val="000000" w:themeColor="text1"/>
                <w:sz w:val="20"/>
                <w:szCs w:val="20"/>
              </w:rPr>
              <w:t xml:space="preserve">phase. </w:t>
            </w:r>
            <w:r w:rsidRPr="007727D4">
              <w:rPr>
                <w:rFonts w:ascii="Arial" w:hAnsi="Arial" w:cs="Arial"/>
                <w:color w:val="000000" w:themeColor="text1"/>
                <w:sz w:val="20"/>
                <w:szCs w:val="20"/>
              </w:rPr>
              <w:t xml:space="preserve">Observation were recorded on important phenological and yield-related traits. </w:t>
            </w:r>
            <w:r w:rsidR="006F60D8" w:rsidRPr="007727D4">
              <w:rPr>
                <w:rFonts w:ascii="Arial" w:hAnsi="Arial" w:cs="Arial"/>
                <w:color w:val="000000" w:themeColor="text1"/>
                <w:sz w:val="20"/>
                <w:szCs w:val="20"/>
              </w:rPr>
              <w:t xml:space="preserve">Pre-flowering heat stress (Environment 1) led to accelerated flowering and reduced vegetative growth, with comparatively moderate effects on yield traits relative to terminal heat stress. </w:t>
            </w:r>
            <w:r w:rsidRPr="007727D4">
              <w:rPr>
                <w:rFonts w:ascii="Arial" w:hAnsi="Arial" w:cs="Arial"/>
                <w:color w:val="000000" w:themeColor="text1"/>
                <w:sz w:val="20"/>
                <w:szCs w:val="20"/>
              </w:rPr>
              <w:t>The crop performed best under optimal conditions (E</w:t>
            </w:r>
            <w:r w:rsidR="0086347A" w:rsidRPr="007727D4">
              <w:rPr>
                <w:rFonts w:ascii="Arial" w:hAnsi="Arial" w:cs="Arial"/>
                <w:color w:val="000000" w:themeColor="text1"/>
                <w:sz w:val="20"/>
                <w:szCs w:val="20"/>
              </w:rPr>
              <w:t xml:space="preserve">nvironment </w:t>
            </w:r>
            <w:r w:rsidRPr="007727D4">
              <w:rPr>
                <w:rFonts w:ascii="Arial" w:hAnsi="Arial" w:cs="Arial"/>
                <w:color w:val="000000" w:themeColor="text1"/>
                <w:sz w:val="20"/>
                <w:szCs w:val="20"/>
              </w:rPr>
              <w:t>2), whereas a marked decline in yield attributes was evident under terminal heat stress (E</w:t>
            </w:r>
            <w:r w:rsidR="0086347A" w:rsidRPr="007727D4">
              <w:rPr>
                <w:rFonts w:ascii="Arial" w:hAnsi="Arial" w:cs="Arial"/>
                <w:color w:val="000000" w:themeColor="text1"/>
                <w:sz w:val="20"/>
                <w:szCs w:val="20"/>
              </w:rPr>
              <w:t xml:space="preserve">nvironment </w:t>
            </w:r>
            <w:r w:rsidRPr="007727D4">
              <w:rPr>
                <w:rFonts w:ascii="Arial" w:hAnsi="Arial" w:cs="Arial"/>
                <w:color w:val="000000" w:themeColor="text1"/>
                <w:sz w:val="20"/>
                <w:szCs w:val="20"/>
              </w:rPr>
              <w:t xml:space="preserve">3), particularly for pod number, seed set, and overall pod yield. </w:t>
            </w:r>
            <w:bookmarkStart w:id="3" w:name="OLE_LINK5"/>
            <w:r w:rsidRPr="007727D4">
              <w:rPr>
                <w:rFonts w:ascii="Arial" w:hAnsi="Arial" w:cs="Arial"/>
                <w:color w:val="000000" w:themeColor="text1"/>
                <w:sz w:val="20"/>
                <w:szCs w:val="20"/>
              </w:rPr>
              <w:t>Among the entries, PSM-15</w:t>
            </w:r>
            <w:r w:rsidR="004C03F7" w:rsidRPr="007727D4">
              <w:rPr>
                <w:rFonts w:ascii="Arial" w:hAnsi="Arial" w:cs="Arial"/>
                <w:color w:val="000000" w:themeColor="text1"/>
                <w:sz w:val="20"/>
                <w:szCs w:val="20"/>
              </w:rPr>
              <w:t xml:space="preserve">1, </w:t>
            </w:r>
            <w:r w:rsidRPr="007727D4">
              <w:rPr>
                <w:rFonts w:ascii="Arial" w:hAnsi="Arial" w:cs="Arial"/>
                <w:color w:val="000000" w:themeColor="text1"/>
                <w:sz w:val="20"/>
                <w:szCs w:val="20"/>
              </w:rPr>
              <w:t>PM-128</w:t>
            </w:r>
            <w:r w:rsidR="004C03F7" w:rsidRPr="007727D4">
              <w:rPr>
                <w:rFonts w:ascii="Arial" w:hAnsi="Arial" w:cs="Arial"/>
                <w:color w:val="000000" w:themeColor="text1"/>
                <w:sz w:val="20"/>
                <w:szCs w:val="20"/>
              </w:rPr>
              <w:t>, PSM-3, PSM-166 and PSM-221</w:t>
            </w:r>
            <w:r w:rsidRPr="007727D4">
              <w:rPr>
                <w:rFonts w:ascii="Arial" w:hAnsi="Arial" w:cs="Arial"/>
                <w:color w:val="000000" w:themeColor="text1"/>
                <w:sz w:val="20"/>
                <w:szCs w:val="20"/>
              </w:rPr>
              <w:t xml:space="preserve"> consistently exhibited better</w:t>
            </w:r>
            <w:r w:rsidR="00696643" w:rsidRPr="007727D4">
              <w:rPr>
                <w:rFonts w:ascii="Arial" w:hAnsi="Arial" w:cs="Arial"/>
                <w:color w:val="000000" w:themeColor="text1"/>
                <w:sz w:val="20"/>
                <w:szCs w:val="20"/>
              </w:rPr>
              <w:t xml:space="preserve"> </w:t>
            </w:r>
            <w:r w:rsidR="008222E4" w:rsidRPr="007727D4">
              <w:rPr>
                <w:rFonts w:ascii="Arial" w:hAnsi="Arial" w:cs="Arial"/>
                <w:color w:val="000000" w:themeColor="text1"/>
                <w:sz w:val="20"/>
                <w:szCs w:val="20"/>
              </w:rPr>
              <w:t xml:space="preserve">and consistent </w:t>
            </w:r>
            <w:r w:rsidRPr="007727D4">
              <w:rPr>
                <w:rFonts w:ascii="Arial" w:hAnsi="Arial" w:cs="Arial"/>
                <w:color w:val="000000" w:themeColor="text1"/>
                <w:sz w:val="20"/>
                <w:szCs w:val="20"/>
              </w:rPr>
              <w:t xml:space="preserve">performance across environments, indicating their relative tolerance to heat stress. </w:t>
            </w:r>
            <w:bookmarkEnd w:id="3"/>
            <w:r w:rsidRPr="007727D4">
              <w:rPr>
                <w:rFonts w:ascii="Arial" w:hAnsi="Arial" w:cs="Arial"/>
                <w:color w:val="000000" w:themeColor="text1"/>
                <w:sz w:val="20"/>
                <w:szCs w:val="20"/>
              </w:rPr>
              <w:t xml:space="preserve">On the other hand, genotypes such as PSM-152 and PSM-202 were found to be more susceptible, especially under late-season heat stress. The findings indicate that heat stress imposed during the reproductive phase has a pronounced adverse effect on yield in garden pea. Genotypes demonstrating </w:t>
            </w:r>
            <w:r w:rsidR="008222E4" w:rsidRPr="007727D4">
              <w:rPr>
                <w:rFonts w:ascii="Arial" w:hAnsi="Arial" w:cs="Arial"/>
                <w:color w:val="000000" w:themeColor="text1"/>
                <w:sz w:val="20"/>
                <w:szCs w:val="20"/>
              </w:rPr>
              <w:t>consistent</w:t>
            </w:r>
            <w:r w:rsidRPr="007727D4">
              <w:rPr>
                <w:rFonts w:ascii="Arial" w:hAnsi="Arial" w:cs="Arial"/>
                <w:color w:val="000000" w:themeColor="text1"/>
                <w:sz w:val="20"/>
                <w:szCs w:val="20"/>
              </w:rPr>
              <w:t xml:space="preserve"> performance across environments, such as PSM-</w:t>
            </w:r>
            <w:r w:rsidR="004C03F7" w:rsidRPr="007727D4">
              <w:rPr>
                <w:rFonts w:ascii="Arial" w:hAnsi="Arial" w:cs="Arial"/>
                <w:color w:val="000000" w:themeColor="text1"/>
                <w:sz w:val="20"/>
                <w:szCs w:val="20"/>
              </w:rPr>
              <w:t xml:space="preserve">3, </w:t>
            </w:r>
            <w:r w:rsidRPr="007727D4">
              <w:rPr>
                <w:rFonts w:ascii="Arial" w:hAnsi="Arial" w:cs="Arial"/>
                <w:color w:val="000000" w:themeColor="text1"/>
                <w:sz w:val="20"/>
                <w:szCs w:val="20"/>
              </w:rPr>
              <w:t>PM-128</w:t>
            </w:r>
            <w:r w:rsidR="004C03F7" w:rsidRPr="007727D4">
              <w:rPr>
                <w:rFonts w:ascii="Arial" w:hAnsi="Arial" w:cs="Arial"/>
                <w:color w:val="000000" w:themeColor="text1"/>
                <w:sz w:val="20"/>
                <w:szCs w:val="20"/>
              </w:rPr>
              <w:t xml:space="preserve"> and PSM-151 </w:t>
            </w:r>
            <w:r w:rsidRPr="007727D4">
              <w:rPr>
                <w:rFonts w:ascii="Arial" w:hAnsi="Arial" w:cs="Arial"/>
                <w:color w:val="000000" w:themeColor="text1"/>
                <w:sz w:val="20"/>
                <w:szCs w:val="20"/>
              </w:rPr>
              <w:t>may serve as promising material for breeding programmes aimed at developing heat-resilient cultivars. However, further evaluation across locations and seasons would be necessary to confirm their wider adaptability.</w:t>
            </w:r>
            <w:bookmarkEnd w:id="2"/>
          </w:p>
        </w:tc>
      </w:tr>
    </w:tbl>
    <w:p w14:paraId="4F455E7A" w14:textId="77777777" w:rsidR="00636EB2" w:rsidRPr="007727D4" w:rsidRDefault="00636EB2" w:rsidP="00441B6F">
      <w:pPr>
        <w:pStyle w:val="Body"/>
        <w:spacing w:after="0"/>
        <w:rPr>
          <w:rFonts w:ascii="Arial" w:hAnsi="Arial" w:cs="Arial"/>
          <w:i/>
          <w:color w:val="000000" w:themeColor="text1"/>
        </w:rPr>
      </w:pPr>
    </w:p>
    <w:p w14:paraId="33465892" w14:textId="77777777" w:rsidR="00A24E7E" w:rsidRPr="007727D4" w:rsidRDefault="00A24E7E" w:rsidP="00441B6F">
      <w:pPr>
        <w:pStyle w:val="Body"/>
        <w:spacing w:after="0"/>
        <w:rPr>
          <w:rFonts w:ascii="Arial" w:hAnsi="Arial" w:cs="Arial"/>
          <w:i/>
          <w:iCs/>
          <w:color w:val="000000" w:themeColor="text1"/>
        </w:rPr>
      </w:pPr>
      <w:r w:rsidRPr="007727D4">
        <w:rPr>
          <w:rFonts w:ascii="Arial" w:hAnsi="Arial" w:cs="Arial"/>
          <w:i/>
          <w:color w:val="000000" w:themeColor="text1"/>
        </w:rPr>
        <w:t xml:space="preserve">Keywords: </w:t>
      </w:r>
      <w:r w:rsidR="0069282C" w:rsidRPr="007727D4">
        <w:rPr>
          <w:rFonts w:ascii="Arial" w:hAnsi="Arial" w:cs="Arial"/>
          <w:i/>
          <w:color w:val="000000" w:themeColor="text1"/>
        </w:rPr>
        <w:t>Garden Pea</w:t>
      </w:r>
      <w:r w:rsidR="00974C4C" w:rsidRPr="007727D4">
        <w:rPr>
          <w:rFonts w:ascii="Arial" w:hAnsi="Arial" w:cs="Arial"/>
          <w:i/>
          <w:color w:val="000000" w:themeColor="text1"/>
        </w:rPr>
        <w:t>;</w:t>
      </w:r>
      <w:r w:rsidR="0069282C" w:rsidRPr="007727D4">
        <w:rPr>
          <w:rFonts w:ascii="Arial" w:hAnsi="Arial" w:cs="Arial"/>
          <w:i/>
          <w:color w:val="000000" w:themeColor="text1"/>
        </w:rPr>
        <w:t xml:space="preserve"> Heat Stress</w:t>
      </w:r>
      <w:r w:rsidR="00974C4C" w:rsidRPr="007727D4">
        <w:rPr>
          <w:rFonts w:ascii="Arial" w:hAnsi="Arial" w:cs="Arial"/>
          <w:i/>
          <w:color w:val="000000" w:themeColor="text1"/>
        </w:rPr>
        <w:t>;</w:t>
      </w:r>
      <w:r w:rsidR="0069282C" w:rsidRPr="007727D4">
        <w:rPr>
          <w:rFonts w:ascii="Arial" w:hAnsi="Arial" w:cs="Arial"/>
          <w:i/>
          <w:color w:val="000000" w:themeColor="text1"/>
        </w:rPr>
        <w:t xml:space="preserve"> Genotypic </w:t>
      </w:r>
      <w:r w:rsidR="001777CA" w:rsidRPr="007727D4">
        <w:rPr>
          <w:rFonts w:ascii="Arial" w:hAnsi="Arial" w:cs="Arial"/>
          <w:i/>
          <w:color w:val="000000" w:themeColor="text1"/>
        </w:rPr>
        <w:t>Performance</w:t>
      </w:r>
      <w:r w:rsidR="009D2D4C" w:rsidRPr="007727D4">
        <w:rPr>
          <w:rFonts w:ascii="Arial" w:hAnsi="Arial" w:cs="Arial"/>
          <w:i/>
          <w:color w:val="000000" w:themeColor="text1"/>
        </w:rPr>
        <w:t xml:space="preserve">; </w:t>
      </w:r>
      <w:r w:rsidR="009D2D4C" w:rsidRPr="007727D4">
        <w:rPr>
          <w:rFonts w:ascii="Arial" w:hAnsi="Arial" w:cs="Arial"/>
          <w:i/>
          <w:iCs/>
          <w:color w:val="000000" w:themeColor="text1"/>
        </w:rPr>
        <w:t>Early flowering</w:t>
      </w:r>
    </w:p>
    <w:p w14:paraId="2CC0A23F" w14:textId="77777777" w:rsidR="00BA0C06" w:rsidRPr="007727D4" w:rsidRDefault="00BA0C06" w:rsidP="00441B6F">
      <w:pPr>
        <w:pStyle w:val="Body"/>
        <w:spacing w:after="0"/>
        <w:rPr>
          <w:rFonts w:ascii="Arial" w:hAnsi="Arial" w:cs="Arial"/>
          <w:i/>
          <w:color w:val="000000" w:themeColor="text1"/>
        </w:rPr>
      </w:pPr>
    </w:p>
    <w:p w14:paraId="751D101E" w14:textId="77777777" w:rsidR="007F7B32" w:rsidRPr="007727D4" w:rsidRDefault="00902823" w:rsidP="00441B6F">
      <w:pPr>
        <w:pStyle w:val="AbstHead"/>
        <w:spacing w:after="0"/>
        <w:jc w:val="both"/>
        <w:rPr>
          <w:rFonts w:ascii="Arial" w:hAnsi="Arial" w:cs="Arial"/>
          <w:color w:val="000000" w:themeColor="text1"/>
          <w:szCs w:val="22"/>
        </w:rPr>
      </w:pPr>
      <w:r w:rsidRPr="007727D4">
        <w:rPr>
          <w:rFonts w:ascii="Arial" w:hAnsi="Arial" w:cs="Arial"/>
          <w:color w:val="000000" w:themeColor="text1"/>
          <w:szCs w:val="22"/>
        </w:rPr>
        <w:t xml:space="preserve">1. </w:t>
      </w:r>
      <w:r w:rsidR="00B01FCD" w:rsidRPr="007727D4">
        <w:rPr>
          <w:rFonts w:ascii="Arial" w:hAnsi="Arial" w:cs="Arial"/>
          <w:color w:val="000000" w:themeColor="text1"/>
          <w:szCs w:val="22"/>
        </w:rPr>
        <w:t>INTRODUCTION</w:t>
      </w:r>
      <w:r w:rsidR="007F7B32" w:rsidRPr="007727D4">
        <w:rPr>
          <w:rFonts w:ascii="Arial" w:hAnsi="Arial" w:cs="Arial"/>
          <w:color w:val="000000" w:themeColor="text1"/>
          <w:szCs w:val="22"/>
        </w:rPr>
        <w:t xml:space="preserve"> </w:t>
      </w:r>
    </w:p>
    <w:p w14:paraId="770048CE" w14:textId="77777777" w:rsidR="00224330" w:rsidRPr="00224330" w:rsidRDefault="00224330" w:rsidP="00224330">
      <w:pPr>
        <w:pStyle w:val="NormalWeb"/>
        <w:jc w:val="both"/>
        <w:rPr>
          <w:rFonts w:ascii="Arial" w:hAnsi="Arial" w:cs="Arial"/>
          <w:sz w:val="20"/>
          <w:szCs w:val="20"/>
        </w:rPr>
      </w:pPr>
      <w:r w:rsidRPr="00224330">
        <w:rPr>
          <w:rFonts w:ascii="Arial" w:hAnsi="Arial" w:cs="Arial"/>
          <w:sz w:val="20"/>
          <w:szCs w:val="20"/>
        </w:rPr>
        <w:t>Garden pea (</w:t>
      </w:r>
      <w:r w:rsidRPr="00224330">
        <w:rPr>
          <w:rStyle w:val="Emphasis"/>
          <w:rFonts w:ascii="Arial" w:hAnsi="Arial" w:cs="Arial"/>
          <w:sz w:val="20"/>
          <w:szCs w:val="20"/>
        </w:rPr>
        <w:t>Pisum sativum L.</w:t>
      </w:r>
      <w:r w:rsidRPr="00224330">
        <w:rPr>
          <w:rFonts w:ascii="Arial" w:hAnsi="Arial" w:cs="Arial"/>
          <w:sz w:val="20"/>
          <w:szCs w:val="20"/>
        </w:rPr>
        <w:t>, 2n = 2x = 14) is among the earliest domesticated grain legumes, with a cultivation history extending thousands of years. It is an important cool</w:t>
      </w:r>
      <w:r w:rsidRPr="00224330">
        <w:rPr>
          <w:rFonts w:ascii="Arial" w:hAnsi="Arial" w:cs="Arial"/>
          <w:sz w:val="20"/>
          <w:szCs w:val="20"/>
        </w:rPr>
        <w:noBreakHyphen/>
        <w:t>season crop widely grown in temperate regions, contributing over 35 million tonnes to global production. In addition to its economic significance, pea serves as a valuable nutritional source due to its high protein content (21–33%) and richness in essential amino acids such as lysine, making it an effective complement to cereal</w:t>
      </w:r>
      <w:r w:rsidRPr="00224330">
        <w:rPr>
          <w:rFonts w:ascii="Arial" w:hAnsi="Arial" w:cs="Arial"/>
          <w:sz w:val="20"/>
          <w:szCs w:val="20"/>
        </w:rPr>
        <w:noBreakHyphen/>
        <w:t xml:space="preserve">based diets (FAOSTAT, 2019). In India, pea is cultivated on approximately 567 thousand hectares, yielding an annual production of around </w:t>
      </w:r>
      <w:r w:rsidRPr="00224330">
        <w:rPr>
          <w:rFonts w:ascii="Arial" w:hAnsi="Arial" w:cs="Arial"/>
          <w:sz w:val="20"/>
          <w:szCs w:val="20"/>
        </w:rPr>
        <w:lastRenderedPageBreak/>
        <w:t xml:space="preserve">5,846 thousand metric tons (Rawat </w:t>
      </w:r>
      <w:r w:rsidRPr="00224330">
        <w:rPr>
          <w:rFonts w:ascii="Arial" w:hAnsi="Arial" w:cs="Arial"/>
          <w:i/>
          <w:iCs/>
          <w:sz w:val="20"/>
          <w:szCs w:val="20"/>
        </w:rPr>
        <w:t>et al.,</w:t>
      </w:r>
      <w:r w:rsidRPr="00224330">
        <w:rPr>
          <w:rFonts w:ascii="Arial" w:hAnsi="Arial" w:cs="Arial"/>
          <w:sz w:val="20"/>
          <w:szCs w:val="20"/>
        </w:rPr>
        <w:t xml:space="preserve"> 2024), though its productivity remains variable, largely due to its narrow optimal temperature range of 10–18°C, which makes it sensitive to environmental fluctuations (Kumar and Choudhary, 2014). Prominent early varieties in Uttarakhand's Tarai region include Arkel, introduced from England, Pant Sabji Matar</w:t>
      </w:r>
      <w:r w:rsidRPr="00224330">
        <w:rPr>
          <w:rFonts w:ascii="Arial" w:hAnsi="Arial" w:cs="Arial"/>
          <w:sz w:val="20"/>
          <w:szCs w:val="20"/>
        </w:rPr>
        <w:noBreakHyphen/>
        <w:t>3 from Pantnagar, and VL</w:t>
      </w:r>
      <w:r w:rsidRPr="00224330">
        <w:rPr>
          <w:rFonts w:ascii="Arial" w:hAnsi="Arial" w:cs="Arial"/>
          <w:sz w:val="20"/>
          <w:szCs w:val="20"/>
        </w:rPr>
        <w:noBreakHyphen/>
        <w:t xml:space="preserve">7 from VPKAS, which is commonly grown in the hilly areas (Singh </w:t>
      </w:r>
      <w:r w:rsidRPr="00224330">
        <w:rPr>
          <w:rFonts w:ascii="Arial" w:hAnsi="Arial" w:cs="Arial"/>
          <w:i/>
          <w:iCs/>
          <w:sz w:val="20"/>
          <w:szCs w:val="20"/>
        </w:rPr>
        <w:t>et al.,</w:t>
      </w:r>
      <w:r w:rsidRPr="00224330">
        <w:rPr>
          <w:rFonts w:ascii="Arial" w:hAnsi="Arial" w:cs="Arial"/>
          <w:sz w:val="20"/>
          <w:szCs w:val="20"/>
        </w:rPr>
        <w:t xml:space="preserve"> 2012).</w:t>
      </w:r>
    </w:p>
    <w:p w14:paraId="60F5F50E" w14:textId="77777777" w:rsidR="00224330" w:rsidRPr="00224330" w:rsidRDefault="00224330" w:rsidP="00224330">
      <w:pPr>
        <w:pStyle w:val="NormalWeb"/>
        <w:jc w:val="both"/>
        <w:rPr>
          <w:rFonts w:ascii="Arial" w:hAnsi="Arial" w:cs="Arial"/>
          <w:sz w:val="20"/>
          <w:szCs w:val="20"/>
        </w:rPr>
      </w:pPr>
      <w:r w:rsidRPr="00224330">
        <w:rPr>
          <w:rFonts w:ascii="Arial" w:hAnsi="Arial" w:cs="Arial"/>
          <w:sz w:val="20"/>
          <w:szCs w:val="20"/>
        </w:rPr>
        <w:t xml:space="preserve">Pea is particularly vulnerable to </w:t>
      </w:r>
      <w:r w:rsidRPr="00224330">
        <w:rPr>
          <w:rStyle w:val="Strong"/>
          <w:rFonts w:ascii="Arial" w:hAnsi="Arial" w:cs="Arial"/>
          <w:b w:val="0"/>
          <w:bCs w:val="0"/>
          <w:sz w:val="20"/>
          <w:szCs w:val="20"/>
        </w:rPr>
        <w:t>heat stress</w:t>
      </w:r>
      <w:r w:rsidRPr="00224330">
        <w:rPr>
          <w:rFonts w:ascii="Arial" w:hAnsi="Arial" w:cs="Arial"/>
          <w:sz w:val="20"/>
          <w:szCs w:val="20"/>
        </w:rPr>
        <w:t>, especially during the reproductive phase. Temperatures above 25°C can severely reduce yield, and exposure to temperatures approaching or exceeding ~30°C during flowering and pod filling often accelerates development, shortens the grain</w:t>
      </w:r>
      <w:r w:rsidRPr="00224330">
        <w:rPr>
          <w:rFonts w:ascii="Arial" w:hAnsi="Arial" w:cs="Arial"/>
          <w:sz w:val="20"/>
          <w:szCs w:val="20"/>
        </w:rPr>
        <w:noBreakHyphen/>
        <w:t xml:space="preserve">filling period, and results in reduced seed size and poorly developed pods (Guilioni </w:t>
      </w:r>
      <w:r w:rsidRPr="00224330">
        <w:rPr>
          <w:rFonts w:ascii="Arial" w:hAnsi="Arial" w:cs="Arial"/>
          <w:i/>
          <w:iCs/>
          <w:sz w:val="20"/>
          <w:szCs w:val="20"/>
        </w:rPr>
        <w:t>et al.,</w:t>
      </w:r>
      <w:r w:rsidRPr="00224330">
        <w:rPr>
          <w:rFonts w:ascii="Arial" w:hAnsi="Arial" w:cs="Arial"/>
          <w:sz w:val="20"/>
          <w:szCs w:val="20"/>
        </w:rPr>
        <w:t xml:space="preserve"> 2003; Jiang </w:t>
      </w:r>
      <w:r w:rsidRPr="00224330">
        <w:rPr>
          <w:rFonts w:ascii="Arial" w:hAnsi="Arial" w:cs="Arial"/>
          <w:i/>
          <w:iCs/>
          <w:sz w:val="20"/>
          <w:szCs w:val="20"/>
        </w:rPr>
        <w:t>et al.,</w:t>
      </w:r>
      <w:r w:rsidRPr="00224330">
        <w:rPr>
          <w:rFonts w:ascii="Arial" w:hAnsi="Arial" w:cs="Arial"/>
          <w:sz w:val="20"/>
          <w:szCs w:val="20"/>
        </w:rPr>
        <w:t xml:space="preserve"> 2019). Elevated temperatures not only affect reproductive success but also impair vegetative growth; high temperature reduces net photosynthetic rate, increases photorespiration, and disrupts carbon assimilation, leading to slower growth, reduced biomass, and lower plant height (Haldimann &amp; Feller, 2005; Vijaylaxmi, 2013). High temperature also alters membrane stability and enzyme activities, further limiting assimilate production and transport (Devi </w:t>
      </w:r>
      <w:r w:rsidRPr="00224330">
        <w:rPr>
          <w:rFonts w:ascii="Arial" w:hAnsi="Arial" w:cs="Arial"/>
          <w:i/>
          <w:iCs/>
          <w:sz w:val="20"/>
          <w:szCs w:val="20"/>
        </w:rPr>
        <w:t>et al.,</w:t>
      </w:r>
      <w:r w:rsidRPr="00224330">
        <w:rPr>
          <w:rFonts w:ascii="Arial" w:hAnsi="Arial" w:cs="Arial"/>
          <w:sz w:val="20"/>
          <w:szCs w:val="20"/>
        </w:rPr>
        <w:t xml:space="preserve"> 2022). During reproductive development, heat stress impairs pollen viability and pollen tube growth, increases flower and pod abortion, and leads to poor fertilization, which together contribute to significant reductions in pod number, seed set, and final yield (Jeuffroy </w:t>
      </w:r>
      <w:r w:rsidRPr="00224330">
        <w:rPr>
          <w:rFonts w:ascii="Arial" w:hAnsi="Arial" w:cs="Arial"/>
          <w:i/>
          <w:iCs/>
          <w:sz w:val="20"/>
          <w:szCs w:val="20"/>
        </w:rPr>
        <w:t>et al.,</w:t>
      </w:r>
      <w:r w:rsidRPr="00224330">
        <w:rPr>
          <w:rFonts w:ascii="Arial" w:hAnsi="Arial" w:cs="Arial"/>
          <w:sz w:val="20"/>
          <w:szCs w:val="20"/>
        </w:rPr>
        <w:t xml:space="preserve"> 1990; Susmita </w:t>
      </w:r>
      <w:r w:rsidRPr="00224330">
        <w:rPr>
          <w:rFonts w:ascii="Arial" w:hAnsi="Arial" w:cs="Arial"/>
          <w:i/>
          <w:iCs/>
          <w:sz w:val="20"/>
          <w:szCs w:val="20"/>
        </w:rPr>
        <w:t>et al.,</w:t>
      </w:r>
      <w:r w:rsidRPr="00224330">
        <w:rPr>
          <w:rFonts w:ascii="Arial" w:hAnsi="Arial" w:cs="Arial"/>
          <w:sz w:val="20"/>
          <w:szCs w:val="20"/>
        </w:rPr>
        <w:t xml:space="preserve"> 2020; Devi </w:t>
      </w:r>
      <w:r w:rsidRPr="00224330">
        <w:rPr>
          <w:rFonts w:ascii="Arial" w:hAnsi="Arial" w:cs="Arial"/>
          <w:i/>
          <w:iCs/>
          <w:sz w:val="20"/>
          <w:szCs w:val="20"/>
        </w:rPr>
        <w:t>et al.,</w:t>
      </w:r>
      <w:r w:rsidRPr="00224330">
        <w:rPr>
          <w:rFonts w:ascii="Arial" w:hAnsi="Arial" w:cs="Arial"/>
          <w:sz w:val="20"/>
          <w:szCs w:val="20"/>
        </w:rPr>
        <w:t xml:space="preserve"> 2022).</w:t>
      </w:r>
    </w:p>
    <w:p w14:paraId="56C6FB6B" w14:textId="77777777" w:rsidR="00224330" w:rsidRPr="00224330" w:rsidRDefault="00224330" w:rsidP="00224330">
      <w:pPr>
        <w:pStyle w:val="NormalWeb"/>
        <w:jc w:val="both"/>
        <w:rPr>
          <w:rFonts w:ascii="Arial" w:hAnsi="Arial" w:cs="Arial"/>
          <w:sz w:val="20"/>
          <w:szCs w:val="20"/>
        </w:rPr>
      </w:pPr>
      <w:r w:rsidRPr="00224330">
        <w:rPr>
          <w:rFonts w:ascii="Arial" w:hAnsi="Arial" w:cs="Arial"/>
          <w:sz w:val="20"/>
          <w:szCs w:val="20"/>
        </w:rPr>
        <w:t xml:space="preserve">With the anticipated rise in global temperatures by 2–4°C, terminal heat stress is expected to intensify, especially in the North Indian plains where flowering often coincides with increasing temperatures during March–April (IPCC, 2014). Even a slight increase of 1°C during the flowering stage has been shown to significantly reduce yield by 0.7–0.8 t/ha, underscoring the crop’s sensitivity to thermal stress during critical growth periods (Lamichaney </w:t>
      </w:r>
      <w:r w:rsidRPr="00FF7634">
        <w:rPr>
          <w:rFonts w:ascii="Arial" w:hAnsi="Arial" w:cs="Arial"/>
          <w:i/>
          <w:iCs/>
          <w:sz w:val="20"/>
          <w:szCs w:val="20"/>
        </w:rPr>
        <w:t>et al.,</w:t>
      </w:r>
      <w:r w:rsidRPr="00224330">
        <w:rPr>
          <w:rFonts w:ascii="Arial" w:hAnsi="Arial" w:cs="Arial"/>
          <w:sz w:val="20"/>
          <w:szCs w:val="20"/>
        </w:rPr>
        <w:t xml:space="preserve"> 2021). Given the complexity of genotype × environment interactions, selection of stable and high</w:t>
      </w:r>
      <w:r w:rsidRPr="00224330">
        <w:rPr>
          <w:rFonts w:ascii="Arial" w:hAnsi="Arial" w:cs="Arial"/>
          <w:sz w:val="20"/>
          <w:szCs w:val="20"/>
        </w:rPr>
        <w:noBreakHyphen/>
        <w:t xml:space="preserve">yielding cultivars under heat stress is challenging, because tolerance is governed by multiple interacting traits and physiological mechanisms (Yan </w:t>
      </w:r>
      <w:r w:rsidRPr="00FF7634">
        <w:rPr>
          <w:rFonts w:ascii="Arial" w:hAnsi="Arial" w:cs="Arial"/>
          <w:i/>
          <w:iCs/>
          <w:sz w:val="20"/>
          <w:szCs w:val="20"/>
        </w:rPr>
        <w:t>et al.,</w:t>
      </w:r>
      <w:r w:rsidRPr="00224330">
        <w:rPr>
          <w:rFonts w:ascii="Arial" w:hAnsi="Arial" w:cs="Arial"/>
          <w:sz w:val="20"/>
          <w:szCs w:val="20"/>
        </w:rPr>
        <w:t xml:space="preserve"> 2007; Kumar </w:t>
      </w:r>
      <w:r w:rsidRPr="00FF7634">
        <w:rPr>
          <w:rFonts w:ascii="Arial" w:hAnsi="Arial" w:cs="Arial"/>
          <w:i/>
          <w:iCs/>
          <w:sz w:val="20"/>
          <w:szCs w:val="20"/>
        </w:rPr>
        <w:t>et al.,</w:t>
      </w:r>
      <w:r w:rsidRPr="00224330">
        <w:rPr>
          <w:rFonts w:ascii="Arial" w:hAnsi="Arial" w:cs="Arial"/>
          <w:sz w:val="20"/>
          <w:szCs w:val="20"/>
        </w:rPr>
        <w:t xml:space="preserve"> 2020).</w:t>
      </w:r>
    </w:p>
    <w:p w14:paraId="2AA80FD7" w14:textId="77777777" w:rsidR="00224330" w:rsidRPr="00224330" w:rsidRDefault="00224330" w:rsidP="00224330">
      <w:pPr>
        <w:pStyle w:val="NormalWeb"/>
        <w:jc w:val="both"/>
        <w:rPr>
          <w:rFonts w:ascii="Arial" w:hAnsi="Arial" w:cs="Arial"/>
          <w:sz w:val="20"/>
          <w:szCs w:val="20"/>
        </w:rPr>
      </w:pPr>
      <w:r w:rsidRPr="00224330">
        <w:rPr>
          <w:rFonts w:ascii="Arial" w:hAnsi="Arial" w:cs="Arial"/>
          <w:sz w:val="20"/>
          <w:szCs w:val="20"/>
        </w:rPr>
        <w:t xml:space="preserve">Several studies have attempted to screen pea genotypes for heat stress tolerance under both controlled and field conditions. Screening approaches have included greenhouse imposition of elevated temperatures and late or staggered sowing to expose plants to high temperatures during flowering and pod development. Susmita </w:t>
      </w:r>
      <w:r w:rsidRPr="00B856F2">
        <w:rPr>
          <w:rFonts w:ascii="Arial" w:hAnsi="Arial" w:cs="Arial"/>
          <w:i/>
          <w:iCs/>
          <w:sz w:val="20"/>
          <w:szCs w:val="20"/>
        </w:rPr>
        <w:t>et al.</w:t>
      </w:r>
      <w:r w:rsidR="00B856F2" w:rsidRPr="00B856F2">
        <w:rPr>
          <w:rFonts w:ascii="Arial" w:hAnsi="Arial" w:cs="Arial"/>
          <w:i/>
          <w:iCs/>
          <w:sz w:val="20"/>
          <w:szCs w:val="20"/>
        </w:rPr>
        <w:t>,</w:t>
      </w:r>
      <w:r w:rsidRPr="00224330">
        <w:rPr>
          <w:rFonts w:ascii="Arial" w:hAnsi="Arial" w:cs="Arial"/>
          <w:sz w:val="20"/>
          <w:szCs w:val="20"/>
        </w:rPr>
        <w:t xml:space="preserve"> (2020) reported variation among garden pea lines for heat tolerance under off</w:t>
      </w:r>
      <w:r w:rsidRPr="00224330">
        <w:rPr>
          <w:rFonts w:ascii="Arial" w:hAnsi="Arial" w:cs="Arial"/>
          <w:sz w:val="20"/>
          <w:szCs w:val="20"/>
        </w:rPr>
        <w:noBreakHyphen/>
        <w:t xml:space="preserve">season high temperature conditions. Similarly, Tafesse </w:t>
      </w:r>
      <w:r w:rsidRPr="00B856F2">
        <w:rPr>
          <w:rFonts w:ascii="Arial" w:hAnsi="Arial" w:cs="Arial"/>
          <w:i/>
          <w:iCs/>
          <w:sz w:val="20"/>
          <w:szCs w:val="20"/>
        </w:rPr>
        <w:t>et al.</w:t>
      </w:r>
      <w:r w:rsidR="00B856F2" w:rsidRPr="00B856F2">
        <w:rPr>
          <w:rFonts w:ascii="Arial" w:hAnsi="Arial" w:cs="Arial"/>
          <w:i/>
          <w:iCs/>
          <w:sz w:val="20"/>
          <w:szCs w:val="20"/>
        </w:rPr>
        <w:t>,</w:t>
      </w:r>
      <w:r w:rsidRPr="00224330">
        <w:rPr>
          <w:rFonts w:ascii="Arial" w:hAnsi="Arial" w:cs="Arial"/>
          <w:sz w:val="20"/>
          <w:szCs w:val="20"/>
        </w:rPr>
        <w:t xml:space="preserve"> (2019) and Lamichaney </w:t>
      </w:r>
      <w:r w:rsidRPr="00B856F2">
        <w:rPr>
          <w:rFonts w:ascii="Arial" w:hAnsi="Arial" w:cs="Arial"/>
          <w:i/>
          <w:iCs/>
          <w:sz w:val="20"/>
          <w:szCs w:val="20"/>
        </w:rPr>
        <w:t>et al.</w:t>
      </w:r>
      <w:r w:rsidR="00B856F2" w:rsidRPr="00B856F2">
        <w:rPr>
          <w:rFonts w:ascii="Arial" w:hAnsi="Arial" w:cs="Arial"/>
          <w:i/>
          <w:iCs/>
          <w:sz w:val="20"/>
          <w:szCs w:val="20"/>
        </w:rPr>
        <w:t>,</w:t>
      </w:r>
      <w:r w:rsidRPr="00224330">
        <w:rPr>
          <w:rFonts w:ascii="Arial" w:hAnsi="Arial" w:cs="Arial"/>
          <w:sz w:val="20"/>
          <w:szCs w:val="20"/>
        </w:rPr>
        <w:t xml:space="preserve"> (2021) documented significant differences among genotypes for heat stress responses in terms of yield and reproductive traits. These studies consistently indicate that the </w:t>
      </w:r>
      <w:r w:rsidRPr="00B856F2">
        <w:rPr>
          <w:rStyle w:val="Strong"/>
          <w:rFonts w:ascii="Arial" w:hAnsi="Arial" w:cs="Arial"/>
          <w:b w:val="0"/>
          <w:bCs w:val="0"/>
          <w:sz w:val="20"/>
          <w:szCs w:val="20"/>
        </w:rPr>
        <w:t>reproductive stage is the most sensitive to elevated temperature</w:t>
      </w:r>
      <w:r w:rsidRPr="00224330">
        <w:rPr>
          <w:rFonts w:ascii="Arial" w:hAnsi="Arial" w:cs="Arial"/>
          <w:sz w:val="20"/>
          <w:szCs w:val="20"/>
        </w:rPr>
        <w:t xml:space="preserve"> and that heat stress leads to significant reductions in yield components such as number of pods, seeds per pod, and pod weight (Sadras </w:t>
      </w:r>
      <w:r w:rsidRPr="00B856F2">
        <w:rPr>
          <w:rFonts w:ascii="Arial" w:hAnsi="Arial" w:cs="Arial"/>
          <w:i/>
          <w:iCs/>
          <w:sz w:val="20"/>
          <w:szCs w:val="20"/>
        </w:rPr>
        <w:t>et al.,</w:t>
      </w:r>
      <w:r w:rsidRPr="00224330">
        <w:rPr>
          <w:rFonts w:ascii="Arial" w:hAnsi="Arial" w:cs="Arial"/>
          <w:sz w:val="20"/>
          <w:szCs w:val="20"/>
        </w:rPr>
        <w:t xml:space="preserve"> 2013; Bueckert </w:t>
      </w:r>
      <w:r w:rsidRPr="00B856F2">
        <w:rPr>
          <w:rFonts w:ascii="Arial" w:hAnsi="Arial" w:cs="Arial"/>
          <w:i/>
          <w:iCs/>
          <w:sz w:val="20"/>
          <w:szCs w:val="20"/>
        </w:rPr>
        <w:t>et al.,</w:t>
      </w:r>
      <w:r w:rsidRPr="00224330">
        <w:rPr>
          <w:rFonts w:ascii="Arial" w:hAnsi="Arial" w:cs="Arial"/>
          <w:sz w:val="20"/>
          <w:szCs w:val="20"/>
        </w:rPr>
        <w:t xml:space="preserve"> 2015). However, most earlier investigations have been limited either to a relatively small number of genotypes or to a single stress environment, and comprehensive evaluation under </w:t>
      </w:r>
      <w:r w:rsidRPr="00B856F2">
        <w:rPr>
          <w:rStyle w:val="Strong"/>
          <w:rFonts w:ascii="Arial" w:hAnsi="Arial" w:cs="Arial"/>
          <w:b w:val="0"/>
          <w:bCs w:val="0"/>
          <w:sz w:val="20"/>
          <w:szCs w:val="20"/>
        </w:rPr>
        <w:t>contrasting thermal regimes</w:t>
      </w:r>
      <w:r w:rsidRPr="00224330">
        <w:rPr>
          <w:rFonts w:ascii="Arial" w:hAnsi="Arial" w:cs="Arial"/>
          <w:sz w:val="20"/>
          <w:szCs w:val="20"/>
        </w:rPr>
        <w:t xml:space="preserve"> reflecting both pre</w:t>
      </w:r>
      <w:r w:rsidRPr="00224330">
        <w:rPr>
          <w:rFonts w:ascii="Arial" w:hAnsi="Arial" w:cs="Arial"/>
          <w:sz w:val="20"/>
          <w:szCs w:val="20"/>
        </w:rPr>
        <w:noBreakHyphen/>
        <w:t>flowering and terminal heat stress is still limited.</w:t>
      </w:r>
    </w:p>
    <w:p w14:paraId="0C746807" w14:textId="77777777" w:rsidR="00224330" w:rsidRPr="00224330" w:rsidRDefault="00224330" w:rsidP="00224330">
      <w:pPr>
        <w:pStyle w:val="NormalWeb"/>
        <w:jc w:val="both"/>
        <w:rPr>
          <w:rFonts w:ascii="Arial" w:hAnsi="Arial" w:cs="Arial"/>
          <w:sz w:val="20"/>
          <w:szCs w:val="20"/>
        </w:rPr>
      </w:pPr>
      <w:r w:rsidRPr="00224330">
        <w:rPr>
          <w:rFonts w:ascii="Arial" w:hAnsi="Arial" w:cs="Arial"/>
          <w:sz w:val="20"/>
          <w:szCs w:val="20"/>
        </w:rPr>
        <w:t xml:space="preserve">Therefore, </w:t>
      </w:r>
      <w:r w:rsidRPr="00B856F2">
        <w:rPr>
          <w:rStyle w:val="Strong"/>
          <w:rFonts w:ascii="Arial" w:hAnsi="Arial" w:cs="Arial"/>
          <w:b w:val="0"/>
          <w:bCs w:val="0"/>
          <w:sz w:val="20"/>
          <w:szCs w:val="20"/>
        </w:rPr>
        <w:t>systematic screening under both stress and non</w:t>
      </w:r>
      <w:r w:rsidRPr="00B856F2">
        <w:rPr>
          <w:rStyle w:val="Strong"/>
          <w:rFonts w:ascii="Arial" w:hAnsi="Arial" w:cs="Arial"/>
          <w:b w:val="0"/>
          <w:bCs w:val="0"/>
          <w:sz w:val="20"/>
          <w:szCs w:val="20"/>
        </w:rPr>
        <w:noBreakHyphen/>
        <w:t>stress environments</w:t>
      </w:r>
      <w:r w:rsidRPr="00224330">
        <w:rPr>
          <w:rFonts w:ascii="Arial" w:hAnsi="Arial" w:cs="Arial"/>
          <w:sz w:val="20"/>
          <w:szCs w:val="20"/>
        </w:rPr>
        <w:t xml:space="preserve"> is essential to distinguish true heat tolerance from general environmental effects and to identify genotypes with stable performance. Given the limited availability of studies evaluating a large and diverse set of genotypes under multiple heat stress scenarios, particularly those that distinguish between early (pre</w:t>
      </w:r>
      <w:r w:rsidRPr="00224330">
        <w:rPr>
          <w:rFonts w:ascii="Arial" w:hAnsi="Arial" w:cs="Arial"/>
          <w:sz w:val="20"/>
          <w:szCs w:val="20"/>
        </w:rPr>
        <w:noBreakHyphen/>
        <w:t>flowering) and late (terminal) heat stress, a more thorough assessment is required.</w:t>
      </w:r>
    </w:p>
    <w:p w14:paraId="68C77B81" w14:textId="553F5836" w:rsidR="00224330" w:rsidRPr="00224330" w:rsidRDefault="00224330" w:rsidP="00224330">
      <w:pPr>
        <w:pStyle w:val="NormalWeb"/>
        <w:jc w:val="both"/>
        <w:rPr>
          <w:rFonts w:ascii="Arial" w:hAnsi="Arial" w:cs="Arial"/>
          <w:sz w:val="20"/>
          <w:szCs w:val="20"/>
        </w:rPr>
      </w:pPr>
      <w:r w:rsidRPr="00224330">
        <w:rPr>
          <w:rFonts w:ascii="Arial" w:hAnsi="Arial" w:cs="Arial"/>
          <w:sz w:val="20"/>
          <w:szCs w:val="20"/>
        </w:rPr>
        <w:lastRenderedPageBreak/>
        <w:t xml:space="preserve">In this context, the present study evaluates </w:t>
      </w:r>
      <w:r w:rsidRPr="00B856F2">
        <w:rPr>
          <w:rStyle w:val="Strong"/>
          <w:rFonts w:ascii="Arial" w:hAnsi="Arial" w:cs="Arial"/>
          <w:b w:val="0"/>
          <w:bCs w:val="0"/>
          <w:sz w:val="20"/>
          <w:szCs w:val="20"/>
        </w:rPr>
        <w:t>7</w:t>
      </w:r>
      <w:r w:rsidR="00B57328">
        <w:rPr>
          <w:rStyle w:val="Strong"/>
          <w:rFonts w:ascii="Arial" w:hAnsi="Arial" w:cs="Arial"/>
          <w:b w:val="0"/>
          <w:bCs w:val="0"/>
          <w:sz w:val="20"/>
          <w:szCs w:val="20"/>
        </w:rPr>
        <w:t>4</w:t>
      </w:r>
      <w:r w:rsidRPr="00B856F2">
        <w:rPr>
          <w:rStyle w:val="Strong"/>
          <w:rFonts w:ascii="Arial" w:hAnsi="Arial" w:cs="Arial"/>
          <w:b w:val="0"/>
          <w:bCs w:val="0"/>
          <w:sz w:val="20"/>
          <w:szCs w:val="20"/>
        </w:rPr>
        <w:t xml:space="preserve"> diverse garden pea genotypes</w:t>
      </w:r>
      <w:r w:rsidRPr="00224330">
        <w:rPr>
          <w:rFonts w:ascii="Arial" w:hAnsi="Arial" w:cs="Arial"/>
          <w:sz w:val="20"/>
          <w:szCs w:val="20"/>
        </w:rPr>
        <w:t xml:space="preserve"> under three thermal regimes</w:t>
      </w:r>
      <w:r w:rsidR="00B856F2">
        <w:rPr>
          <w:rFonts w:ascii="Arial" w:hAnsi="Arial" w:cs="Arial"/>
          <w:sz w:val="20"/>
          <w:szCs w:val="20"/>
        </w:rPr>
        <w:t xml:space="preserve">, </w:t>
      </w:r>
      <w:r w:rsidRPr="00224330">
        <w:rPr>
          <w:rFonts w:ascii="Arial" w:hAnsi="Arial" w:cs="Arial"/>
          <w:sz w:val="20"/>
          <w:szCs w:val="20"/>
        </w:rPr>
        <w:t>namely high temperature during the early vegetative and pre</w:t>
      </w:r>
      <w:r w:rsidRPr="00224330">
        <w:rPr>
          <w:rFonts w:ascii="Arial" w:hAnsi="Arial" w:cs="Arial"/>
          <w:sz w:val="20"/>
          <w:szCs w:val="20"/>
        </w:rPr>
        <w:noBreakHyphen/>
        <w:t>flowering stages, optimal cool</w:t>
      </w:r>
      <w:r w:rsidRPr="00224330">
        <w:rPr>
          <w:rFonts w:ascii="Arial" w:hAnsi="Arial" w:cs="Arial"/>
          <w:sz w:val="20"/>
          <w:szCs w:val="20"/>
        </w:rPr>
        <w:noBreakHyphen/>
        <w:t>season conditions, and terminal heat stress during pod development and seed maturation</w:t>
      </w:r>
      <w:r w:rsidR="00B856F2">
        <w:rPr>
          <w:rFonts w:ascii="Arial" w:hAnsi="Arial" w:cs="Arial"/>
          <w:sz w:val="20"/>
          <w:szCs w:val="20"/>
        </w:rPr>
        <w:t xml:space="preserve">, </w:t>
      </w:r>
      <w:r w:rsidRPr="00224330">
        <w:rPr>
          <w:rFonts w:ascii="Arial" w:hAnsi="Arial" w:cs="Arial"/>
          <w:sz w:val="20"/>
          <w:szCs w:val="20"/>
        </w:rPr>
        <w:t>to identify promising lines for developing climate</w:t>
      </w:r>
      <w:r w:rsidRPr="00224330">
        <w:rPr>
          <w:rFonts w:ascii="Arial" w:hAnsi="Arial" w:cs="Arial"/>
          <w:sz w:val="20"/>
          <w:szCs w:val="20"/>
        </w:rPr>
        <w:noBreakHyphen/>
        <w:t>resilient pea cultivars.</w:t>
      </w:r>
    </w:p>
    <w:p w14:paraId="47D9EF16" w14:textId="77777777" w:rsidR="00790ADA" w:rsidRPr="004F5785" w:rsidRDefault="004F5785" w:rsidP="004F5785">
      <w:pPr>
        <w:pStyle w:val="NormalWeb"/>
        <w:jc w:val="both"/>
        <w:rPr>
          <w:rFonts w:ascii="Arial" w:hAnsi="Arial" w:cs="Arial"/>
          <w:b/>
          <w:bCs/>
          <w:color w:val="000000" w:themeColor="text1"/>
          <w:sz w:val="22"/>
          <w:szCs w:val="22"/>
        </w:rPr>
      </w:pPr>
      <w:r w:rsidRPr="004F5785">
        <w:rPr>
          <w:rFonts w:ascii="Arial" w:hAnsi="Arial" w:cs="Arial"/>
          <w:b/>
          <w:bCs/>
          <w:color w:val="000000" w:themeColor="text1"/>
          <w:sz w:val="22"/>
          <w:szCs w:val="22"/>
        </w:rPr>
        <w:t xml:space="preserve">2. MATERIAL AND METHODS </w:t>
      </w:r>
    </w:p>
    <w:p w14:paraId="0EB5F610" w14:textId="77777777" w:rsidR="001922A7" w:rsidRPr="00B702CF" w:rsidRDefault="00AA74E0" w:rsidP="001922A7">
      <w:pPr>
        <w:pStyle w:val="Body"/>
        <w:spacing w:after="0"/>
        <w:rPr>
          <w:rFonts w:ascii="Arial" w:hAnsi="Arial" w:cs="Arial"/>
          <w:color w:val="000000" w:themeColor="text1"/>
          <w:sz w:val="22"/>
          <w:szCs w:val="22"/>
        </w:rPr>
      </w:pPr>
      <w:bookmarkStart w:id="4" w:name="OLE_LINK2"/>
      <w:r w:rsidRPr="00B702CF">
        <w:rPr>
          <w:rFonts w:ascii="Arial" w:hAnsi="Arial" w:cs="Arial"/>
          <w:b/>
          <w:caps/>
          <w:color w:val="000000" w:themeColor="text1"/>
          <w:sz w:val="22"/>
          <w:szCs w:val="22"/>
        </w:rPr>
        <w:t>2.1</w:t>
      </w:r>
      <w:r w:rsidRPr="00B702CF">
        <w:rPr>
          <w:rFonts w:ascii="Arial" w:hAnsi="Arial" w:cs="Arial"/>
          <w:b/>
          <w:bCs/>
          <w:caps/>
          <w:color w:val="000000" w:themeColor="text1"/>
          <w:sz w:val="22"/>
          <w:szCs w:val="22"/>
        </w:rPr>
        <w:t xml:space="preserve"> </w:t>
      </w:r>
      <w:bookmarkStart w:id="5" w:name="OLE_LINK122"/>
      <w:bookmarkEnd w:id="4"/>
      <w:r w:rsidR="001922A7" w:rsidRPr="00B702CF">
        <w:rPr>
          <w:rFonts w:ascii="Arial" w:hAnsi="Arial" w:cs="Arial"/>
          <w:b/>
          <w:bCs/>
          <w:color w:val="000000" w:themeColor="text1"/>
          <w:sz w:val="22"/>
          <w:szCs w:val="22"/>
        </w:rPr>
        <w:t xml:space="preserve">Experimental Site </w:t>
      </w:r>
    </w:p>
    <w:p w14:paraId="75AD79D5" w14:textId="77777777" w:rsidR="001922A7" w:rsidRDefault="001922A7" w:rsidP="001922A7">
      <w:pPr>
        <w:pStyle w:val="Body"/>
        <w:spacing w:after="0"/>
        <w:rPr>
          <w:rFonts w:ascii="Arial" w:hAnsi="Arial" w:cs="Arial"/>
          <w:color w:val="000000" w:themeColor="text1"/>
        </w:rPr>
      </w:pPr>
    </w:p>
    <w:p w14:paraId="1B27DF29" w14:textId="2D21F350" w:rsidR="00F5247B" w:rsidRPr="001244D4" w:rsidRDefault="00F02502" w:rsidP="00E35861">
      <w:pPr>
        <w:pStyle w:val="Body"/>
        <w:spacing w:after="0"/>
        <w:rPr>
          <w:rFonts w:ascii="Arial" w:hAnsi="Arial" w:cs="Arial"/>
          <w:color w:val="000000" w:themeColor="text1"/>
        </w:rPr>
      </w:pPr>
      <w:bookmarkStart w:id="6" w:name="OLE_LINK10"/>
      <w:r w:rsidRPr="001922A7">
        <w:rPr>
          <w:rFonts w:ascii="Arial" w:hAnsi="Arial" w:cs="Arial"/>
          <w:color w:val="000000" w:themeColor="text1"/>
        </w:rPr>
        <w:t>A</w:t>
      </w:r>
      <w:r w:rsidRPr="008C5FCA">
        <w:rPr>
          <w:rFonts w:ascii="Arial" w:hAnsi="Arial" w:cs="Arial"/>
          <w:color w:val="000000" w:themeColor="text1"/>
        </w:rPr>
        <w:t xml:space="preserve"> field experiment was carried out at the Vegetable Research Centre, G. B. Pant University of </w:t>
      </w:r>
      <w:r w:rsidRPr="00E35861">
        <w:rPr>
          <w:rFonts w:ascii="Arial" w:hAnsi="Arial" w:cs="Arial"/>
          <w:color w:val="000000" w:themeColor="text1"/>
        </w:rPr>
        <w:t xml:space="preserve">Agriculture and Technology, Pantnagar (Uttarakhand), during the </w:t>
      </w:r>
      <w:r w:rsidRPr="00E35861">
        <w:rPr>
          <w:rStyle w:val="Emphasis"/>
          <w:rFonts w:ascii="Arial" w:hAnsi="Arial" w:cs="Arial"/>
          <w:color w:val="000000" w:themeColor="text1"/>
        </w:rPr>
        <w:t>rabi</w:t>
      </w:r>
      <w:r w:rsidRPr="00E35861">
        <w:rPr>
          <w:rFonts w:ascii="Arial" w:hAnsi="Arial" w:cs="Arial"/>
          <w:color w:val="000000" w:themeColor="text1"/>
        </w:rPr>
        <w:t xml:space="preserve"> season of 2024–2025 with the aim of assessing the response of </w:t>
      </w:r>
      <w:r w:rsidR="007C6B53" w:rsidRPr="00E35861">
        <w:rPr>
          <w:rFonts w:ascii="Arial" w:hAnsi="Arial" w:cs="Arial"/>
          <w:color w:val="000000" w:themeColor="text1"/>
        </w:rPr>
        <w:t>seventy-two</w:t>
      </w:r>
      <w:r w:rsidRPr="00E35861">
        <w:rPr>
          <w:rFonts w:ascii="Arial" w:hAnsi="Arial" w:cs="Arial"/>
          <w:color w:val="000000" w:themeColor="text1"/>
        </w:rPr>
        <w:t xml:space="preserve"> genotypes of garden pea (</w:t>
      </w:r>
      <w:r w:rsidRPr="00E35861">
        <w:rPr>
          <w:rStyle w:val="Emphasis"/>
          <w:rFonts w:ascii="Arial" w:hAnsi="Arial" w:cs="Arial"/>
          <w:color w:val="000000" w:themeColor="text1"/>
        </w:rPr>
        <w:t>Pisum sativum</w:t>
      </w:r>
      <w:r w:rsidRPr="00E35861">
        <w:rPr>
          <w:rFonts w:ascii="Arial" w:hAnsi="Arial" w:cs="Arial"/>
          <w:color w:val="000000" w:themeColor="text1"/>
        </w:rPr>
        <w:t xml:space="preserve"> L.) to different thermal regimes. Pantnagar is located at 29°0′ N latitude and 79°3′ E longitude, at an altitude of 243.8 m above mean sea level. </w:t>
      </w:r>
      <w:r w:rsidR="001244D4" w:rsidRPr="00E35861">
        <w:rPr>
          <w:rFonts w:ascii="Arial" w:hAnsi="Arial" w:cs="Arial"/>
        </w:rPr>
        <w:t>The experiment was designed to generate comprehensive data on genotype performance under varying temperature conditions, providing insights for future breeding and management strategies in pea cultivation.</w:t>
      </w:r>
    </w:p>
    <w:p w14:paraId="63A8E842" w14:textId="36D9246B" w:rsidR="00AB6CD2" w:rsidRDefault="00AB6CD2" w:rsidP="00ED3488">
      <w:pPr>
        <w:pStyle w:val="Body"/>
        <w:spacing w:after="0"/>
        <w:rPr>
          <w:rFonts w:ascii="Arial" w:hAnsi="Arial" w:cs="Arial"/>
          <w:b/>
          <w:caps/>
          <w:color w:val="000000" w:themeColor="text1"/>
          <w:sz w:val="22"/>
          <w:szCs w:val="22"/>
        </w:rPr>
      </w:pPr>
      <w:bookmarkStart w:id="7" w:name="OLE_LINK95"/>
      <w:bookmarkStart w:id="8" w:name="OLE_LINK3"/>
      <w:bookmarkEnd w:id="5"/>
      <w:bookmarkEnd w:id="6"/>
    </w:p>
    <w:p w14:paraId="61E306F0" w14:textId="77777777" w:rsidR="00ED3488" w:rsidRDefault="00F5247B" w:rsidP="00ED3488">
      <w:pPr>
        <w:pStyle w:val="Body"/>
        <w:spacing w:after="0"/>
        <w:rPr>
          <w:rFonts w:ascii="Arial" w:hAnsi="Arial" w:cs="Arial"/>
          <w:b/>
          <w:color w:val="000000" w:themeColor="text1"/>
          <w:sz w:val="22"/>
          <w:szCs w:val="22"/>
        </w:rPr>
      </w:pPr>
      <w:r w:rsidRPr="00ED3488">
        <w:rPr>
          <w:rFonts w:ascii="Arial" w:hAnsi="Arial" w:cs="Arial"/>
          <w:b/>
          <w:caps/>
          <w:color w:val="000000" w:themeColor="text1"/>
          <w:sz w:val="22"/>
          <w:szCs w:val="22"/>
        </w:rPr>
        <w:t xml:space="preserve">2.2 </w:t>
      </w:r>
      <w:bookmarkStart w:id="9" w:name="OLE_LINK134"/>
      <w:r w:rsidRPr="00ED3488">
        <w:rPr>
          <w:rFonts w:ascii="Arial" w:hAnsi="Arial" w:cs="Arial"/>
          <w:b/>
          <w:caps/>
          <w:color w:val="000000" w:themeColor="text1"/>
          <w:sz w:val="22"/>
          <w:szCs w:val="22"/>
        </w:rPr>
        <w:t>E</w:t>
      </w:r>
      <w:r w:rsidRPr="00ED3488">
        <w:rPr>
          <w:rFonts w:ascii="Arial" w:hAnsi="Arial" w:cs="Arial"/>
          <w:b/>
          <w:color w:val="000000" w:themeColor="text1"/>
          <w:sz w:val="22"/>
          <w:szCs w:val="22"/>
        </w:rPr>
        <w:t>xperimental Design</w:t>
      </w:r>
      <w:r w:rsidR="00245114" w:rsidRPr="00ED3488">
        <w:rPr>
          <w:rFonts w:ascii="Arial" w:hAnsi="Arial" w:cs="Arial"/>
          <w:b/>
          <w:color w:val="000000" w:themeColor="text1"/>
          <w:sz w:val="22"/>
          <w:szCs w:val="22"/>
        </w:rPr>
        <w:t xml:space="preserve"> and Layout</w:t>
      </w:r>
      <w:bookmarkEnd w:id="9"/>
    </w:p>
    <w:p w14:paraId="5D8E12A8" w14:textId="77777777" w:rsidR="00033AD4" w:rsidRDefault="00033AD4" w:rsidP="00ED3488">
      <w:pPr>
        <w:pStyle w:val="Body"/>
        <w:spacing w:after="0"/>
        <w:rPr>
          <w:rFonts w:ascii="Arial" w:hAnsi="Arial" w:cs="Arial"/>
          <w:b/>
          <w:color w:val="000000" w:themeColor="text1"/>
          <w:sz w:val="22"/>
          <w:szCs w:val="22"/>
        </w:rPr>
      </w:pPr>
    </w:p>
    <w:p w14:paraId="2E6E9F55" w14:textId="5FE4FBCE" w:rsidR="00DD1D7C" w:rsidRDefault="00245114" w:rsidP="006752A7">
      <w:pPr>
        <w:pStyle w:val="Body"/>
        <w:spacing w:after="0"/>
        <w:rPr>
          <w:rFonts w:ascii="Arial" w:hAnsi="Arial" w:cs="Arial"/>
          <w:color w:val="000000" w:themeColor="text1"/>
        </w:rPr>
      </w:pPr>
      <w:r w:rsidRPr="008C5FCA">
        <w:rPr>
          <w:rFonts w:ascii="Arial" w:hAnsi="Arial" w:cs="Arial"/>
          <w:color w:val="000000" w:themeColor="text1"/>
        </w:rPr>
        <w:t>The experiment was conducted using an Augmented Block Design (ABD) comprising four blocks in each environment. A total of 7</w:t>
      </w:r>
      <w:r w:rsidR="00B57328">
        <w:rPr>
          <w:rFonts w:ascii="Arial" w:hAnsi="Arial" w:cs="Arial"/>
          <w:color w:val="000000" w:themeColor="text1"/>
        </w:rPr>
        <w:t>4</w:t>
      </w:r>
      <w:r w:rsidRPr="008C5FCA">
        <w:rPr>
          <w:rFonts w:ascii="Arial" w:hAnsi="Arial" w:cs="Arial"/>
          <w:color w:val="000000" w:themeColor="text1"/>
        </w:rPr>
        <w:t xml:space="preserve"> garden pea genotypes</w:t>
      </w:r>
      <w:r w:rsidR="00033AD4">
        <w:rPr>
          <w:rFonts w:ascii="Arial" w:hAnsi="Arial" w:cs="Arial"/>
          <w:color w:val="000000" w:themeColor="text1"/>
        </w:rPr>
        <w:t xml:space="preserve"> (Table 1)</w:t>
      </w:r>
      <w:r w:rsidRPr="008C5FCA">
        <w:rPr>
          <w:rFonts w:ascii="Arial" w:hAnsi="Arial" w:cs="Arial"/>
          <w:color w:val="000000" w:themeColor="text1"/>
        </w:rPr>
        <w:t xml:space="preserve"> were evaluated, which included 7</w:t>
      </w:r>
      <w:r w:rsidR="00B57328">
        <w:rPr>
          <w:rFonts w:ascii="Arial" w:hAnsi="Arial" w:cs="Arial"/>
          <w:color w:val="000000" w:themeColor="text1"/>
        </w:rPr>
        <w:t>2</w:t>
      </w:r>
      <w:r w:rsidRPr="008C5FCA">
        <w:rPr>
          <w:rFonts w:ascii="Arial" w:hAnsi="Arial" w:cs="Arial"/>
          <w:color w:val="000000" w:themeColor="text1"/>
        </w:rPr>
        <w:t xml:space="preserve"> test genotypes and two standard check varieties (PM-128 and PSM-3). The study was carried out across three different thermal environments where each environment was represented by a single sowing and was not replicated.</w:t>
      </w:r>
      <w:r w:rsidR="006752A7">
        <w:rPr>
          <w:rFonts w:ascii="Arial" w:hAnsi="Arial" w:cs="Arial"/>
          <w:color w:val="000000" w:themeColor="text1"/>
        </w:rPr>
        <w:t xml:space="preserve"> </w:t>
      </w:r>
      <w:r w:rsidRPr="008C5FCA">
        <w:rPr>
          <w:rFonts w:ascii="Arial" w:hAnsi="Arial" w:cs="Arial"/>
          <w:color w:val="000000" w:themeColor="text1"/>
        </w:rPr>
        <w:t xml:space="preserve">Within each environment, the test genotypes were grown without replication, whereas the check varieties were replicated once in each block to provide a basis for adjustment of block effects. Sowing was carried out in rows, maintaining a spacing of 30 cm between rows and 10 cm between plants. </w:t>
      </w:r>
    </w:p>
    <w:p w14:paraId="64E353B9" w14:textId="77777777" w:rsidR="006752A7" w:rsidRPr="006752A7" w:rsidRDefault="006752A7" w:rsidP="006752A7">
      <w:pPr>
        <w:pStyle w:val="Body"/>
        <w:spacing w:after="0"/>
        <w:rPr>
          <w:rFonts w:ascii="Arial" w:hAnsi="Arial" w:cs="Arial"/>
          <w:b/>
          <w:color w:val="000000" w:themeColor="text1"/>
          <w:sz w:val="22"/>
          <w:szCs w:val="22"/>
        </w:rPr>
      </w:pPr>
    </w:p>
    <w:bookmarkEnd w:id="7"/>
    <w:p w14:paraId="000FC3DE" w14:textId="77777777" w:rsidR="00DD1D7C" w:rsidRPr="008C5FCA" w:rsidRDefault="00DD1D7C" w:rsidP="00DD1D7C">
      <w:pPr>
        <w:pStyle w:val="p1"/>
        <w:rPr>
          <w:rFonts w:ascii="Arial" w:hAnsi="Arial" w:cs="Arial"/>
          <w:b/>
          <w:bCs/>
          <w:color w:val="000000" w:themeColor="text1"/>
          <w:sz w:val="20"/>
          <w:szCs w:val="20"/>
        </w:rPr>
      </w:pPr>
      <w:r w:rsidRPr="008C5FCA">
        <w:rPr>
          <w:rFonts w:ascii="Arial" w:hAnsi="Arial" w:cs="Arial"/>
          <w:b/>
          <w:bCs/>
          <w:color w:val="000000" w:themeColor="text1"/>
          <w:sz w:val="20"/>
          <w:szCs w:val="20"/>
        </w:rPr>
        <w:t>Table 1: Garden Pea (</w:t>
      </w:r>
      <w:r w:rsidRPr="008C5FCA">
        <w:rPr>
          <w:rStyle w:val="Emphasis"/>
          <w:rFonts w:ascii="Arial" w:hAnsi="Arial" w:cs="Arial"/>
          <w:b/>
          <w:bCs/>
          <w:color w:val="000000" w:themeColor="text1"/>
          <w:sz w:val="20"/>
          <w:szCs w:val="20"/>
        </w:rPr>
        <w:t>Pisum sativum</w:t>
      </w:r>
      <w:r w:rsidRPr="008C5FCA">
        <w:rPr>
          <w:rFonts w:ascii="Arial" w:hAnsi="Arial" w:cs="Arial"/>
          <w:b/>
          <w:bCs/>
          <w:color w:val="000000" w:themeColor="text1"/>
          <w:sz w:val="20"/>
          <w:szCs w:val="20"/>
        </w:rPr>
        <w:t xml:space="preserve"> L.) Genotypes Used for Evaluation in the current</w:t>
      </w:r>
    </w:p>
    <w:p w14:paraId="77D9BF16" w14:textId="77777777" w:rsidR="00DD1D7C" w:rsidRPr="008C5FCA" w:rsidRDefault="00DD1D7C" w:rsidP="00DD1D7C">
      <w:pPr>
        <w:rPr>
          <w:rFonts w:ascii="Arial" w:hAnsi="Arial" w:cs="Arial"/>
          <w:b/>
          <w:bCs/>
          <w:color w:val="000000" w:themeColor="text1"/>
          <w:sz w:val="20"/>
          <w:szCs w:val="20"/>
        </w:rPr>
      </w:pPr>
      <w:r w:rsidRPr="008C5FCA">
        <w:rPr>
          <w:rFonts w:ascii="Arial" w:hAnsi="Arial" w:cs="Arial"/>
          <w:b/>
          <w:bCs/>
          <w:color w:val="000000" w:themeColor="text1"/>
          <w:sz w:val="20"/>
          <w:szCs w:val="20"/>
        </w:rPr>
        <w:t>Investigation</w:t>
      </w:r>
    </w:p>
    <w:p w14:paraId="7784ABF9" w14:textId="77777777" w:rsidR="00DD1D7C" w:rsidRPr="008C5FCA" w:rsidRDefault="00DD1D7C" w:rsidP="00DD1D7C">
      <w:pPr>
        <w:rPr>
          <w:rFonts w:ascii="Arial" w:hAnsi="Arial" w:cs="Arial"/>
          <w:b/>
          <w:bCs/>
          <w:color w:val="000000" w:themeColor="text1"/>
          <w:sz w:val="20"/>
          <w:szCs w:val="20"/>
        </w:rPr>
      </w:pPr>
    </w:p>
    <w:tbl>
      <w:tblPr>
        <w:tblW w:w="8250" w:type="dxa"/>
        <w:tblCellSpacing w:w="15" w:type="dxa"/>
        <w:tblCellMar>
          <w:top w:w="15" w:type="dxa"/>
          <w:left w:w="15" w:type="dxa"/>
          <w:bottom w:w="15" w:type="dxa"/>
          <w:right w:w="15" w:type="dxa"/>
        </w:tblCellMar>
        <w:tblLook w:val="04A0" w:firstRow="1" w:lastRow="0" w:firstColumn="1" w:lastColumn="0" w:noHBand="0" w:noVBand="1"/>
      </w:tblPr>
      <w:tblGrid>
        <w:gridCol w:w="1042"/>
        <w:gridCol w:w="1027"/>
        <w:gridCol w:w="1027"/>
        <w:gridCol w:w="1027"/>
        <w:gridCol w:w="1028"/>
        <w:gridCol w:w="1028"/>
        <w:gridCol w:w="1028"/>
        <w:gridCol w:w="1043"/>
      </w:tblGrid>
      <w:tr w:rsidR="008C5FCA" w:rsidRPr="008C5FCA" w14:paraId="4EDF645F" w14:textId="77777777" w:rsidTr="005E78E4">
        <w:trPr>
          <w:trHeight w:val="244"/>
          <w:tblHeader/>
          <w:tblCellSpacing w:w="15" w:type="dxa"/>
        </w:trPr>
        <w:tc>
          <w:tcPr>
            <w:tcW w:w="0" w:type="auto"/>
            <w:gridSpan w:val="8"/>
            <w:tcBorders>
              <w:top w:val="single" w:sz="4" w:space="0" w:color="auto"/>
              <w:bottom w:val="single" w:sz="4" w:space="0" w:color="auto"/>
            </w:tcBorders>
            <w:vAlign w:val="center"/>
          </w:tcPr>
          <w:p w14:paraId="37C65609" w14:textId="77777777" w:rsidR="00DD1D7C" w:rsidRPr="008C5FCA" w:rsidRDefault="00DD1D7C" w:rsidP="005E78E4">
            <w:pPr>
              <w:jc w:val="center"/>
              <w:rPr>
                <w:rFonts w:ascii="Arial" w:hAnsi="Arial" w:cs="Arial"/>
                <w:b/>
                <w:bCs/>
                <w:color w:val="000000" w:themeColor="text1"/>
                <w:sz w:val="20"/>
                <w:szCs w:val="20"/>
              </w:rPr>
            </w:pPr>
            <w:r w:rsidRPr="008C5FCA">
              <w:rPr>
                <w:rFonts w:ascii="Arial" w:hAnsi="Arial" w:cs="Arial"/>
                <w:b/>
                <w:bCs/>
                <w:color w:val="000000" w:themeColor="text1"/>
                <w:sz w:val="20"/>
                <w:szCs w:val="20"/>
              </w:rPr>
              <w:t>Test Genotypes*</w:t>
            </w:r>
          </w:p>
        </w:tc>
      </w:tr>
      <w:tr w:rsidR="008C5FCA" w:rsidRPr="008C5FCA" w14:paraId="3D1A6997" w14:textId="77777777" w:rsidTr="005E78E4">
        <w:trPr>
          <w:trHeight w:val="244"/>
          <w:tblHeader/>
          <w:tblCellSpacing w:w="15" w:type="dxa"/>
        </w:trPr>
        <w:tc>
          <w:tcPr>
            <w:tcW w:w="0" w:type="auto"/>
            <w:vAlign w:val="center"/>
            <w:hideMark/>
          </w:tcPr>
          <w:p w14:paraId="6B1A66D4" w14:textId="77777777" w:rsidR="00DD1D7C" w:rsidRPr="008C5FCA" w:rsidRDefault="00DD1D7C" w:rsidP="005E78E4">
            <w:pPr>
              <w:jc w:val="both"/>
              <w:rPr>
                <w:rFonts w:ascii="Arial" w:hAnsi="Arial" w:cs="Arial"/>
                <w:color w:val="000000" w:themeColor="text1"/>
                <w:sz w:val="20"/>
                <w:szCs w:val="20"/>
              </w:rPr>
            </w:pPr>
            <w:r w:rsidRPr="008C5FCA">
              <w:rPr>
                <w:rFonts w:ascii="Arial" w:hAnsi="Arial" w:cs="Arial"/>
                <w:color w:val="000000" w:themeColor="text1"/>
                <w:sz w:val="20"/>
                <w:szCs w:val="20"/>
              </w:rPr>
              <w:t>PSM-151</w:t>
            </w:r>
          </w:p>
        </w:tc>
        <w:tc>
          <w:tcPr>
            <w:tcW w:w="0" w:type="auto"/>
            <w:vAlign w:val="center"/>
            <w:hideMark/>
          </w:tcPr>
          <w:p w14:paraId="6EE7B671" w14:textId="77777777" w:rsidR="00DD1D7C" w:rsidRPr="008C5FCA" w:rsidRDefault="00DD1D7C" w:rsidP="005E78E4">
            <w:pPr>
              <w:jc w:val="both"/>
              <w:rPr>
                <w:rFonts w:ascii="Arial" w:hAnsi="Arial" w:cs="Arial"/>
                <w:color w:val="000000" w:themeColor="text1"/>
                <w:sz w:val="20"/>
                <w:szCs w:val="20"/>
              </w:rPr>
            </w:pPr>
            <w:r w:rsidRPr="008C5FCA">
              <w:rPr>
                <w:rFonts w:ascii="Arial" w:hAnsi="Arial" w:cs="Arial"/>
                <w:color w:val="000000" w:themeColor="text1"/>
                <w:sz w:val="20"/>
                <w:szCs w:val="20"/>
              </w:rPr>
              <w:t>PSM-152</w:t>
            </w:r>
          </w:p>
        </w:tc>
        <w:tc>
          <w:tcPr>
            <w:tcW w:w="0" w:type="auto"/>
            <w:vAlign w:val="center"/>
            <w:hideMark/>
          </w:tcPr>
          <w:p w14:paraId="4A4F0EC0" w14:textId="77777777" w:rsidR="00DD1D7C" w:rsidRPr="008C5FCA" w:rsidRDefault="00DD1D7C" w:rsidP="005E78E4">
            <w:pPr>
              <w:jc w:val="both"/>
              <w:rPr>
                <w:rFonts w:ascii="Arial" w:hAnsi="Arial" w:cs="Arial"/>
                <w:color w:val="000000" w:themeColor="text1"/>
                <w:sz w:val="20"/>
                <w:szCs w:val="20"/>
              </w:rPr>
            </w:pPr>
            <w:r w:rsidRPr="008C5FCA">
              <w:rPr>
                <w:rFonts w:ascii="Arial" w:hAnsi="Arial" w:cs="Arial"/>
                <w:color w:val="000000" w:themeColor="text1"/>
                <w:sz w:val="20"/>
                <w:szCs w:val="20"/>
              </w:rPr>
              <w:t>PSM-153</w:t>
            </w:r>
          </w:p>
        </w:tc>
        <w:tc>
          <w:tcPr>
            <w:tcW w:w="0" w:type="auto"/>
            <w:vAlign w:val="center"/>
            <w:hideMark/>
          </w:tcPr>
          <w:p w14:paraId="55F5C5C6" w14:textId="77777777" w:rsidR="00DD1D7C" w:rsidRPr="008C5FCA" w:rsidRDefault="00DD1D7C" w:rsidP="005E78E4">
            <w:pPr>
              <w:jc w:val="both"/>
              <w:rPr>
                <w:rFonts w:ascii="Arial" w:hAnsi="Arial" w:cs="Arial"/>
                <w:color w:val="000000" w:themeColor="text1"/>
                <w:sz w:val="20"/>
                <w:szCs w:val="20"/>
              </w:rPr>
            </w:pPr>
            <w:r w:rsidRPr="008C5FCA">
              <w:rPr>
                <w:rFonts w:ascii="Arial" w:hAnsi="Arial" w:cs="Arial"/>
                <w:color w:val="000000" w:themeColor="text1"/>
                <w:sz w:val="20"/>
                <w:szCs w:val="20"/>
              </w:rPr>
              <w:t>PSM-154</w:t>
            </w:r>
          </w:p>
        </w:tc>
        <w:tc>
          <w:tcPr>
            <w:tcW w:w="0" w:type="auto"/>
            <w:vAlign w:val="center"/>
            <w:hideMark/>
          </w:tcPr>
          <w:p w14:paraId="50B11798" w14:textId="77777777" w:rsidR="00DD1D7C" w:rsidRPr="008C5FCA" w:rsidRDefault="00DD1D7C" w:rsidP="005E78E4">
            <w:pPr>
              <w:jc w:val="both"/>
              <w:rPr>
                <w:rFonts w:ascii="Arial" w:hAnsi="Arial" w:cs="Arial"/>
                <w:color w:val="000000" w:themeColor="text1"/>
                <w:sz w:val="20"/>
                <w:szCs w:val="20"/>
              </w:rPr>
            </w:pPr>
            <w:r w:rsidRPr="008C5FCA">
              <w:rPr>
                <w:rFonts w:ascii="Arial" w:hAnsi="Arial" w:cs="Arial"/>
                <w:color w:val="000000" w:themeColor="text1"/>
                <w:sz w:val="20"/>
                <w:szCs w:val="20"/>
              </w:rPr>
              <w:t>PSM-155</w:t>
            </w:r>
          </w:p>
        </w:tc>
        <w:tc>
          <w:tcPr>
            <w:tcW w:w="0" w:type="auto"/>
            <w:vAlign w:val="center"/>
            <w:hideMark/>
          </w:tcPr>
          <w:p w14:paraId="34E2F3D1" w14:textId="77777777" w:rsidR="00DD1D7C" w:rsidRPr="008C5FCA" w:rsidRDefault="00DD1D7C" w:rsidP="005E78E4">
            <w:pPr>
              <w:jc w:val="both"/>
              <w:rPr>
                <w:rFonts w:ascii="Arial" w:hAnsi="Arial" w:cs="Arial"/>
                <w:color w:val="000000" w:themeColor="text1"/>
                <w:sz w:val="20"/>
                <w:szCs w:val="20"/>
              </w:rPr>
            </w:pPr>
            <w:r w:rsidRPr="008C5FCA">
              <w:rPr>
                <w:rFonts w:ascii="Arial" w:hAnsi="Arial" w:cs="Arial"/>
                <w:color w:val="000000" w:themeColor="text1"/>
                <w:sz w:val="20"/>
                <w:szCs w:val="20"/>
              </w:rPr>
              <w:t>PSM-156</w:t>
            </w:r>
          </w:p>
        </w:tc>
        <w:tc>
          <w:tcPr>
            <w:tcW w:w="0" w:type="auto"/>
            <w:vAlign w:val="center"/>
            <w:hideMark/>
          </w:tcPr>
          <w:p w14:paraId="01B06B5A" w14:textId="77777777" w:rsidR="00DD1D7C" w:rsidRPr="008C5FCA" w:rsidRDefault="00DD1D7C" w:rsidP="005E78E4">
            <w:pPr>
              <w:jc w:val="both"/>
              <w:rPr>
                <w:rFonts w:ascii="Arial" w:hAnsi="Arial" w:cs="Arial"/>
                <w:color w:val="000000" w:themeColor="text1"/>
                <w:sz w:val="20"/>
                <w:szCs w:val="20"/>
              </w:rPr>
            </w:pPr>
            <w:r w:rsidRPr="008C5FCA">
              <w:rPr>
                <w:rFonts w:ascii="Arial" w:hAnsi="Arial" w:cs="Arial"/>
                <w:color w:val="000000" w:themeColor="text1"/>
                <w:sz w:val="20"/>
                <w:szCs w:val="20"/>
              </w:rPr>
              <w:t>PSM-157</w:t>
            </w:r>
          </w:p>
        </w:tc>
        <w:tc>
          <w:tcPr>
            <w:tcW w:w="0" w:type="auto"/>
            <w:vAlign w:val="center"/>
            <w:hideMark/>
          </w:tcPr>
          <w:p w14:paraId="681307AD" w14:textId="77777777" w:rsidR="00DD1D7C" w:rsidRPr="008C5FCA" w:rsidRDefault="00DD1D7C" w:rsidP="005E78E4">
            <w:pPr>
              <w:jc w:val="both"/>
              <w:rPr>
                <w:rFonts w:ascii="Arial" w:hAnsi="Arial" w:cs="Arial"/>
                <w:color w:val="000000" w:themeColor="text1"/>
                <w:sz w:val="20"/>
                <w:szCs w:val="20"/>
              </w:rPr>
            </w:pPr>
            <w:r w:rsidRPr="008C5FCA">
              <w:rPr>
                <w:rFonts w:ascii="Arial" w:hAnsi="Arial" w:cs="Arial"/>
                <w:color w:val="000000" w:themeColor="text1"/>
                <w:sz w:val="20"/>
                <w:szCs w:val="20"/>
              </w:rPr>
              <w:t>PSM-158</w:t>
            </w:r>
          </w:p>
        </w:tc>
      </w:tr>
      <w:tr w:rsidR="008C5FCA" w:rsidRPr="008C5FCA" w14:paraId="01541735" w14:textId="77777777" w:rsidTr="005E78E4">
        <w:trPr>
          <w:trHeight w:val="229"/>
          <w:tblCellSpacing w:w="15" w:type="dxa"/>
        </w:trPr>
        <w:tc>
          <w:tcPr>
            <w:tcW w:w="0" w:type="auto"/>
            <w:vAlign w:val="center"/>
            <w:hideMark/>
          </w:tcPr>
          <w:p w14:paraId="3951AC5C"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PSM-159</w:t>
            </w:r>
          </w:p>
        </w:tc>
        <w:tc>
          <w:tcPr>
            <w:tcW w:w="0" w:type="auto"/>
            <w:vAlign w:val="center"/>
            <w:hideMark/>
          </w:tcPr>
          <w:p w14:paraId="0D4E0B7C"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PSM-160</w:t>
            </w:r>
          </w:p>
        </w:tc>
        <w:tc>
          <w:tcPr>
            <w:tcW w:w="0" w:type="auto"/>
            <w:vAlign w:val="center"/>
            <w:hideMark/>
          </w:tcPr>
          <w:p w14:paraId="061B4128"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PSM-161</w:t>
            </w:r>
          </w:p>
        </w:tc>
        <w:tc>
          <w:tcPr>
            <w:tcW w:w="0" w:type="auto"/>
            <w:vAlign w:val="center"/>
            <w:hideMark/>
          </w:tcPr>
          <w:p w14:paraId="5E9F5C58"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PSM-162</w:t>
            </w:r>
          </w:p>
        </w:tc>
        <w:tc>
          <w:tcPr>
            <w:tcW w:w="0" w:type="auto"/>
            <w:vAlign w:val="center"/>
            <w:hideMark/>
          </w:tcPr>
          <w:p w14:paraId="22A67A61"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PSM-163</w:t>
            </w:r>
          </w:p>
        </w:tc>
        <w:tc>
          <w:tcPr>
            <w:tcW w:w="0" w:type="auto"/>
            <w:vAlign w:val="center"/>
            <w:hideMark/>
          </w:tcPr>
          <w:p w14:paraId="67B1AFFB"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PSM-164</w:t>
            </w:r>
          </w:p>
        </w:tc>
        <w:tc>
          <w:tcPr>
            <w:tcW w:w="0" w:type="auto"/>
            <w:vAlign w:val="center"/>
            <w:hideMark/>
          </w:tcPr>
          <w:p w14:paraId="26B91ABC"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PSM-165</w:t>
            </w:r>
          </w:p>
        </w:tc>
        <w:tc>
          <w:tcPr>
            <w:tcW w:w="0" w:type="auto"/>
            <w:vAlign w:val="center"/>
            <w:hideMark/>
          </w:tcPr>
          <w:p w14:paraId="26435D04"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PSM-166</w:t>
            </w:r>
          </w:p>
        </w:tc>
      </w:tr>
      <w:tr w:rsidR="008C5FCA" w:rsidRPr="008C5FCA" w14:paraId="717BD1C1" w14:textId="77777777" w:rsidTr="005E78E4">
        <w:trPr>
          <w:trHeight w:val="244"/>
          <w:tblCellSpacing w:w="15" w:type="dxa"/>
        </w:trPr>
        <w:tc>
          <w:tcPr>
            <w:tcW w:w="0" w:type="auto"/>
            <w:vAlign w:val="center"/>
            <w:hideMark/>
          </w:tcPr>
          <w:p w14:paraId="120AFAF0"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PSM-167</w:t>
            </w:r>
          </w:p>
        </w:tc>
        <w:tc>
          <w:tcPr>
            <w:tcW w:w="0" w:type="auto"/>
            <w:vAlign w:val="center"/>
            <w:hideMark/>
          </w:tcPr>
          <w:p w14:paraId="4A4982E2"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PSM-168</w:t>
            </w:r>
          </w:p>
        </w:tc>
        <w:tc>
          <w:tcPr>
            <w:tcW w:w="0" w:type="auto"/>
            <w:vAlign w:val="center"/>
            <w:hideMark/>
          </w:tcPr>
          <w:p w14:paraId="012EF834"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PSM-169</w:t>
            </w:r>
          </w:p>
        </w:tc>
        <w:tc>
          <w:tcPr>
            <w:tcW w:w="0" w:type="auto"/>
            <w:vAlign w:val="center"/>
            <w:hideMark/>
          </w:tcPr>
          <w:p w14:paraId="01F48177"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PSM-170</w:t>
            </w:r>
          </w:p>
        </w:tc>
        <w:tc>
          <w:tcPr>
            <w:tcW w:w="0" w:type="auto"/>
            <w:vAlign w:val="center"/>
            <w:hideMark/>
          </w:tcPr>
          <w:p w14:paraId="1C1769E8"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PSM-171</w:t>
            </w:r>
          </w:p>
        </w:tc>
        <w:tc>
          <w:tcPr>
            <w:tcW w:w="0" w:type="auto"/>
            <w:vAlign w:val="center"/>
            <w:hideMark/>
          </w:tcPr>
          <w:p w14:paraId="4946A6AF"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PSM-172</w:t>
            </w:r>
          </w:p>
        </w:tc>
        <w:tc>
          <w:tcPr>
            <w:tcW w:w="0" w:type="auto"/>
            <w:vAlign w:val="center"/>
            <w:hideMark/>
          </w:tcPr>
          <w:p w14:paraId="36755803"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PSM-173</w:t>
            </w:r>
          </w:p>
        </w:tc>
        <w:tc>
          <w:tcPr>
            <w:tcW w:w="0" w:type="auto"/>
            <w:vAlign w:val="center"/>
            <w:hideMark/>
          </w:tcPr>
          <w:p w14:paraId="4EBE3172"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PSM-174</w:t>
            </w:r>
          </w:p>
        </w:tc>
      </w:tr>
      <w:tr w:rsidR="008C5FCA" w:rsidRPr="008C5FCA" w14:paraId="3C9B2BAC" w14:textId="77777777" w:rsidTr="005E78E4">
        <w:trPr>
          <w:trHeight w:val="229"/>
          <w:tblCellSpacing w:w="15" w:type="dxa"/>
        </w:trPr>
        <w:tc>
          <w:tcPr>
            <w:tcW w:w="0" w:type="auto"/>
            <w:vAlign w:val="center"/>
            <w:hideMark/>
          </w:tcPr>
          <w:p w14:paraId="362AD62B"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PSM-175</w:t>
            </w:r>
          </w:p>
        </w:tc>
        <w:tc>
          <w:tcPr>
            <w:tcW w:w="0" w:type="auto"/>
            <w:vAlign w:val="center"/>
            <w:hideMark/>
          </w:tcPr>
          <w:p w14:paraId="24670F9B"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PSM-176</w:t>
            </w:r>
          </w:p>
        </w:tc>
        <w:tc>
          <w:tcPr>
            <w:tcW w:w="0" w:type="auto"/>
            <w:vAlign w:val="center"/>
            <w:hideMark/>
          </w:tcPr>
          <w:p w14:paraId="20CE7AF0"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PSM-177</w:t>
            </w:r>
          </w:p>
        </w:tc>
        <w:tc>
          <w:tcPr>
            <w:tcW w:w="0" w:type="auto"/>
            <w:vAlign w:val="center"/>
            <w:hideMark/>
          </w:tcPr>
          <w:p w14:paraId="2C4F038F"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PSM-178</w:t>
            </w:r>
          </w:p>
        </w:tc>
        <w:tc>
          <w:tcPr>
            <w:tcW w:w="0" w:type="auto"/>
            <w:vAlign w:val="center"/>
            <w:hideMark/>
          </w:tcPr>
          <w:p w14:paraId="6E484B87"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PSM-179</w:t>
            </w:r>
          </w:p>
        </w:tc>
        <w:tc>
          <w:tcPr>
            <w:tcW w:w="0" w:type="auto"/>
            <w:vAlign w:val="center"/>
            <w:hideMark/>
          </w:tcPr>
          <w:p w14:paraId="66867E4A"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PSM-180</w:t>
            </w:r>
          </w:p>
        </w:tc>
        <w:tc>
          <w:tcPr>
            <w:tcW w:w="0" w:type="auto"/>
            <w:vAlign w:val="center"/>
            <w:hideMark/>
          </w:tcPr>
          <w:p w14:paraId="50A7CDA6"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PSM-181</w:t>
            </w:r>
          </w:p>
        </w:tc>
        <w:tc>
          <w:tcPr>
            <w:tcW w:w="0" w:type="auto"/>
            <w:vAlign w:val="center"/>
            <w:hideMark/>
          </w:tcPr>
          <w:p w14:paraId="5089414E"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PSM-182</w:t>
            </w:r>
          </w:p>
        </w:tc>
      </w:tr>
      <w:tr w:rsidR="008C5FCA" w:rsidRPr="008C5FCA" w14:paraId="509C8410" w14:textId="77777777" w:rsidTr="005E78E4">
        <w:trPr>
          <w:trHeight w:val="244"/>
          <w:tblCellSpacing w:w="15" w:type="dxa"/>
        </w:trPr>
        <w:tc>
          <w:tcPr>
            <w:tcW w:w="0" w:type="auto"/>
            <w:vAlign w:val="center"/>
            <w:hideMark/>
          </w:tcPr>
          <w:p w14:paraId="27E73343"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PSM-183</w:t>
            </w:r>
          </w:p>
        </w:tc>
        <w:tc>
          <w:tcPr>
            <w:tcW w:w="0" w:type="auto"/>
            <w:vAlign w:val="center"/>
            <w:hideMark/>
          </w:tcPr>
          <w:p w14:paraId="6BA659A5"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PSM-184</w:t>
            </w:r>
          </w:p>
        </w:tc>
        <w:tc>
          <w:tcPr>
            <w:tcW w:w="0" w:type="auto"/>
            <w:vAlign w:val="center"/>
            <w:hideMark/>
          </w:tcPr>
          <w:p w14:paraId="67C9F3A5"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PSM-185</w:t>
            </w:r>
          </w:p>
        </w:tc>
        <w:tc>
          <w:tcPr>
            <w:tcW w:w="0" w:type="auto"/>
            <w:vAlign w:val="center"/>
            <w:hideMark/>
          </w:tcPr>
          <w:p w14:paraId="4994DF93"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PSM-186</w:t>
            </w:r>
          </w:p>
        </w:tc>
        <w:tc>
          <w:tcPr>
            <w:tcW w:w="0" w:type="auto"/>
            <w:vAlign w:val="center"/>
            <w:hideMark/>
          </w:tcPr>
          <w:p w14:paraId="6F51F40C"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PSM-187</w:t>
            </w:r>
          </w:p>
        </w:tc>
        <w:tc>
          <w:tcPr>
            <w:tcW w:w="0" w:type="auto"/>
            <w:vAlign w:val="center"/>
            <w:hideMark/>
          </w:tcPr>
          <w:p w14:paraId="360C74E9"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PSM-188</w:t>
            </w:r>
          </w:p>
        </w:tc>
        <w:tc>
          <w:tcPr>
            <w:tcW w:w="0" w:type="auto"/>
            <w:vAlign w:val="center"/>
            <w:hideMark/>
          </w:tcPr>
          <w:p w14:paraId="16EDCE90"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PSM-189</w:t>
            </w:r>
          </w:p>
        </w:tc>
        <w:tc>
          <w:tcPr>
            <w:tcW w:w="0" w:type="auto"/>
            <w:vAlign w:val="center"/>
            <w:hideMark/>
          </w:tcPr>
          <w:p w14:paraId="3C1A1B77"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PSM-190</w:t>
            </w:r>
          </w:p>
        </w:tc>
      </w:tr>
      <w:tr w:rsidR="008C5FCA" w:rsidRPr="008C5FCA" w14:paraId="2E45A112" w14:textId="77777777" w:rsidTr="005E78E4">
        <w:trPr>
          <w:trHeight w:val="244"/>
          <w:tblCellSpacing w:w="15" w:type="dxa"/>
        </w:trPr>
        <w:tc>
          <w:tcPr>
            <w:tcW w:w="0" w:type="auto"/>
            <w:vAlign w:val="center"/>
            <w:hideMark/>
          </w:tcPr>
          <w:p w14:paraId="1F833FDE"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PSM-191</w:t>
            </w:r>
          </w:p>
        </w:tc>
        <w:tc>
          <w:tcPr>
            <w:tcW w:w="0" w:type="auto"/>
            <w:vAlign w:val="center"/>
            <w:hideMark/>
          </w:tcPr>
          <w:p w14:paraId="0935EA43"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PSM-192</w:t>
            </w:r>
          </w:p>
        </w:tc>
        <w:tc>
          <w:tcPr>
            <w:tcW w:w="0" w:type="auto"/>
            <w:vAlign w:val="center"/>
            <w:hideMark/>
          </w:tcPr>
          <w:p w14:paraId="7468D22C"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PSM-193</w:t>
            </w:r>
          </w:p>
        </w:tc>
        <w:tc>
          <w:tcPr>
            <w:tcW w:w="0" w:type="auto"/>
            <w:vAlign w:val="center"/>
            <w:hideMark/>
          </w:tcPr>
          <w:p w14:paraId="7453C6E9"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PSM-194</w:t>
            </w:r>
          </w:p>
        </w:tc>
        <w:tc>
          <w:tcPr>
            <w:tcW w:w="0" w:type="auto"/>
            <w:vAlign w:val="center"/>
            <w:hideMark/>
          </w:tcPr>
          <w:p w14:paraId="4D02CC42"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PSM-195</w:t>
            </w:r>
          </w:p>
        </w:tc>
        <w:tc>
          <w:tcPr>
            <w:tcW w:w="0" w:type="auto"/>
            <w:vAlign w:val="center"/>
            <w:hideMark/>
          </w:tcPr>
          <w:p w14:paraId="7F62E44D"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PSM-196</w:t>
            </w:r>
          </w:p>
        </w:tc>
        <w:tc>
          <w:tcPr>
            <w:tcW w:w="0" w:type="auto"/>
            <w:vAlign w:val="center"/>
            <w:hideMark/>
          </w:tcPr>
          <w:p w14:paraId="0FDD667F"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PSM-197</w:t>
            </w:r>
          </w:p>
        </w:tc>
        <w:tc>
          <w:tcPr>
            <w:tcW w:w="0" w:type="auto"/>
            <w:vAlign w:val="center"/>
            <w:hideMark/>
          </w:tcPr>
          <w:p w14:paraId="3BB1C7AA"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PSM-198</w:t>
            </w:r>
          </w:p>
        </w:tc>
      </w:tr>
      <w:tr w:rsidR="008C5FCA" w:rsidRPr="008C5FCA" w14:paraId="0FF2D8F2" w14:textId="77777777" w:rsidTr="005E78E4">
        <w:trPr>
          <w:trHeight w:val="229"/>
          <w:tblCellSpacing w:w="15" w:type="dxa"/>
        </w:trPr>
        <w:tc>
          <w:tcPr>
            <w:tcW w:w="0" w:type="auto"/>
            <w:vAlign w:val="center"/>
            <w:hideMark/>
          </w:tcPr>
          <w:p w14:paraId="404100FD"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PSM-199</w:t>
            </w:r>
          </w:p>
        </w:tc>
        <w:tc>
          <w:tcPr>
            <w:tcW w:w="0" w:type="auto"/>
            <w:vAlign w:val="center"/>
            <w:hideMark/>
          </w:tcPr>
          <w:p w14:paraId="18CFAE66"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PSM-200</w:t>
            </w:r>
          </w:p>
        </w:tc>
        <w:tc>
          <w:tcPr>
            <w:tcW w:w="0" w:type="auto"/>
            <w:vAlign w:val="center"/>
            <w:hideMark/>
          </w:tcPr>
          <w:p w14:paraId="72623347"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PSM-201</w:t>
            </w:r>
          </w:p>
        </w:tc>
        <w:tc>
          <w:tcPr>
            <w:tcW w:w="0" w:type="auto"/>
            <w:vAlign w:val="center"/>
            <w:hideMark/>
          </w:tcPr>
          <w:p w14:paraId="3C561BC9"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PSM-202</w:t>
            </w:r>
          </w:p>
        </w:tc>
        <w:tc>
          <w:tcPr>
            <w:tcW w:w="0" w:type="auto"/>
            <w:vAlign w:val="center"/>
            <w:hideMark/>
          </w:tcPr>
          <w:p w14:paraId="4E74C490"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PSM-203</w:t>
            </w:r>
          </w:p>
        </w:tc>
        <w:tc>
          <w:tcPr>
            <w:tcW w:w="0" w:type="auto"/>
            <w:vAlign w:val="center"/>
            <w:hideMark/>
          </w:tcPr>
          <w:p w14:paraId="70A59A48"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PSM-204</w:t>
            </w:r>
          </w:p>
        </w:tc>
        <w:tc>
          <w:tcPr>
            <w:tcW w:w="0" w:type="auto"/>
            <w:vAlign w:val="center"/>
            <w:hideMark/>
          </w:tcPr>
          <w:p w14:paraId="1C1CB16C"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PSM-205</w:t>
            </w:r>
          </w:p>
        </w:tc>
        <w:tc>
          <w:tcPr>
            <w:tcW w:w="0" w:type="auto"/>
            <w:vAlign w:val="center"/>
            <w:hideMark/>
          </w:tcPr>
          <w:p w14:paraId="13CF3A0E"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PSM-206</w:t>
            </w:r>
          </w:p>
        </w:tc>
      </w:tr>
      <w:tr w:rsidR="008C5FCA" w:rsidRPr="008C5FCA" w14:paraId="36A59955" w14:textId="77777777" w:rsidTr="005E78E4">
        <w:trPr>
          <w:trHeight w:val="244"/>
          <w:tblCellSpacing w:w="15" w:type="dxa"/>
        </w:trPr>
        <w:tc>
          <w:tcPr>
            <w:tcW w:w="0" w:type="auto"/>
            <w:vAlign w:val="center"/>
            <w:hideMark/>
          </w:tcPr>
          <w:p w14:paraId="727975AE"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PSM-207</w:t>
            </w:r>
          </w:p>
        </w:tc>
        <w:tc>
          <w:tcPr>
            <w:tcW w:w="0" w:type="auto"/>
            <w:vAlign w:val="center"/>
            <w:hideMark/>
          </w:tcPr>
          <w:p w14:paraId="38A49623"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PSM-208</w:t>
            </w:r>
          </w:p>
        </w:tc>
        <w:tc>
          <w:tcPr>
            <w:tcW w:w="0" w:type="auto"/>
            <w:vAlign w:val="center"/>
            <w:hideMark/>
          </w:tcPr>
          <w:p w14:paraId="1D209535"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PSM-209</w:t>
            </w:r>
          </w:p>
        </w:tc>
        <w:tc>
          <w:tcPr>
            <w:tcW w:w="0" w:type="auto"/>
            <w:vAlign w:val="center"/>
            <w:hideMark/>
          </w:tcPr>
          <w:p w14:paraId="0608D997"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PSM-210</w:t>
            </w:r>
          </w:p>
        </w:tc>
        <w:tc>
          <w:tcPr>
            <w:tcW w:w="0" w:type="auto"/>
            <w:vAlign w:val="center"/>
            <w:hideMark/>
          </w:tcPr>
          <w:p w14:paraId="1C902656"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PSM-211</w:t>
            </w:r>
          </w:p>
        </w:tc>
        <w:tc>
          <w:tcPr>
            <w:tcW w:w="0" w:type="auto"/>
            <w:vAlign w:val="center"/>
            <w:hideMark/>
          </w:tcPr>
          <w:p w14:paraId="611B78B9"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PSM-212</w:t>
            </w:r>
          </w:p>
        </w:tc>
        <w:tc>
          <w:tcPr>
            <w:tcW w:w="0" w:type="auto"/>
            <w:vAlign w:val="center"/>
            <w:hideMark/>
          </w:tcPr>
          <w:p w14:paraId="75F335FC"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PSM-213</w:t>
            </w:r>
          </w:p>
        </w:tc>
        <w:tc>
          <w:tcPr>
            <w:tcW w:w="0" w:type="auto"/>
            <w:vAlign w:val="center"/>
            <w:hideMark/>
          </w:tcPr>
          <w:p w14:paraId="0E6AEA27"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PSM-214</w:t>
            </w:r>
          </w:p>
        </w:tc>
      </w:tr>
      <w:tr w:rsidR="008C5FCA" w:rsidRPr="008C5FCA" w14:paraId="11D61069" w14:textId="77777777" w:rsidTr="005E78E4">
        <w:trPr>
          <w:trHeight w:val="229"/>
          <w:tblCellSpacing w:w="15" w:type="dxa"/>
        </w:trPr>
        <w:tc>
          <w:tcPr>
            <w:tcW w:w="0" w:type="auto"/>
            <w:tcBorders>
              <w:bottom w:val="single" w:sz="4" w:space="0" w:color="auto"/>
            </w:tcBorders>
            <w:vAlign w:val="center"/>
            <w:hideMark/>
          </w:tcPr>
          <w:p w14:paraId="09F83071"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PSM-215</w:t>
            </w:r>
          </w:p>
        </w:tc>
        <w:tc>
          <w:tcPr>
            <w:tcW w:w="0" w:type="auto"/>
            <w:tcBorders>
              <w:bottom w:val="single" w:sz="4" w:space="0" w:color="auto"/>
            </w:tcBorders>
            <w:vAlign w:val="center"/>
            <w:hideMark/>
          </w:tcPr>
          <w:p w14:paraId="11671B5F"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PSM-216</w:t>
            </w:r>
          </w:p>
        </w:tc>
        <w:tc>
          <w:tcPr>
            <w:tcW w:w="0" w:type="auto"/>
            <w:tcBorders>
              <w:bottom w:val="single" w:sz="4" w:space="0" w:color="auto"/>
            </w:tcBorders>
            <w:vAlign w:val="center"/>
            <w:hideMark/>
          </w:tcPr>
          <w:p w14:paraId="3B91C774"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PSM-217</w:t>
            </w:r>
          </w:p>
        </w:tc>
        <w:tc>
          <w:tcPr>
            <w:tcW w:w="0" w:type="auto"/>
            <w:tcBorders>
              <w:bottom w:val="single" w:sz="4" w:space="0" w:color="auto"/>
            </w:tcBorders>
            <w:vAlign w:val="center"/>
            <w:hideMark/>
          </w:tcPr>
          <w:p w14:paraId="629D92F7"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PSM-218</w:t>
            </w:r>
          </w:p>
        </w:tc>
        <w:tc>
          <w:tcPr>
            <w:tcW w:w="0" w:type="auto"/>
            <w:tcBorders>
              <w:bottom w:val="single" w:sz="4" w:space="0" w:color="auto"/>
            </w:tcBorders>
            <w:vAlign w:val="center"/>
            <w:hideMark/>
          </w:tcPr>
          <w:p w14:paraId="521C082A"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PSM-219</w:t>
            </w:r>
          </w:p>
        </w:tc>
        <w:tc>
          <w:tcPr>
            <w:tcW w:w="0" w:type="auto"/>
            <w:tcBorders>
              <w:bottom w:val="single" w:sz="4" w:space="0" w:color="auto"/>
            </w:tcBorders>
            <w:vAlign w:val="center"/>
            <w:hideMark/>
          </w:tcPr>
          <w:p w14:paraId="18720575"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PSM-220</w:t>
            </w:r>
          </w:p>
        </w:tc>
        <w:tc>
          <w:tcPr>
            <w:tcW w:w="0" w:type="auto"/>
            <w:tcBorders>
              <w:bottom w:val="single" w:sz="4" w:space="0" w:color="auto"/>
            </w:tcBorders>
            <w:vAlign w:val="center"/>
            <w:hideMark/>
          </w:tcPr>
          <w:p w14:paraId="694816F1"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PSM-221</w:t>
            </w:r>
          </w:p>
        </w:tc>
        <w:tc>
          <w:tcPr>
            <w:tcW w:w="0" w:type="auto"/>
            <w:tcBorders>
              <w:bottom w:val="single" w:sz="4" w:space="0" w:color="auto"/>
            </w:tcBorders>
            <w:vAlign w:val="center"/>
            <w:hideMark/>
          </w:tcPr>
          <w:p w14:paraId="0DA519A9" w14:textId="77777777" w:rsidR="00DD1D7C" w:rsidRPr="008C5FCA" w:rsidRDefault="00DD1D7C" w:rsidP="005E78E4">
            <w:pPr>
              <w:rPr>
                <w:rFonts w:ascii="Arial" w:hAnsi="Arial" w:cs="Arial"/>
                <w:color w:val="000000" w:themeColor="text1"/>
                <w:sz w:val="20"/>
                <w:szCs w:val="20"/>
              </w:rPr>
            </w:pPr>
            <w:r w:rsidRPr="008C5FCA">
              <w:rPr>
                <w:rFonts w:ascii="Arial" w:hAnsi="Arial" w:cs="Arial"/>
                <w:color w:val="000000" w:themeColor="text1"/>
                <w:sz w:val="20"/>
                <w:szCs w:val="20"/>
              </w:rPr>
              <w:t>PSM-222</w:t>
            </w:r>
          </w:p>
        </w:tc>
      </w:tr>
      <w:tr w:rsidR="008C5FCA" w:rsidRPr="008C5FCA" w14:paraId="27CFC8B2" w14:textId="77777777" w:rsidTr="005E78E4">
        <w:trPr>
          <w:trHeight w:val="229"/>
          <w:tblCellSpacing w:w="15" w:type="dxa"/>
        </w:trPr>
        <w:tc>
          <w:tcPr>
            <w:tcW w:w="0" w:type="auto"/>
            <w:gridSpan w:val="8"/>
            <w:tcBorders>
              <w:bottom w:val="single" w:sz="4" w:space="0" w:color="auto"/>
            </w:tcBorders>
            <w:vAlign w:val="center"/>
          </w:tcPr>
          <w:p w14:paraId="5C403F78" w14:textId="77777777" w:rsidR="00DD1D7C" w:rsidRPr="008C5FCA" w:rsidRDefault="00DD1D7C" w:rsidP="005E78E4">
            <w:pPr>
              <w:jc w:val="center"/>
              <w:rPr>
                <w:rFonts w:ascii="Arial" w:hAnsi="Arial" w:cs="Arial"/>
                <w:b/>
                <w:bCs/>
                <w:color w:val="000000" w:themeColor="text1"/>
                <w:sz w:val="20"/>
                <w:szCs w:val="20"/>
              </w:rPr>
            </w:pPr>
            <w:r w:rsidRPr="008C5FCA">
              <w:rPr>
                <w:rFonts w:ascii="Arial" w:hAnsi="Arial" w:cs="Arial"/>
                <w:b/>
                <w:bCs/>
                <w:color w:val="000000" w:themeColor="text1"/>
                <w:sz w:val="20"/>
                <w:szCs w:val="20"/>
              </w:rPr>
              <w:t>Check Cultivars</w:t>
            </w:r>
          </w:p>
        </w:tc>
      </w:tr>
      <w:tr w:rsidR="008C5FCA" w:rsidRPr="008C5FCA" w14:paraId="687F89C4" w14:textId="77777777" w:rsidTr="005E78E4">
        <w:trPr>
          <w:trHeight w:val="229"/>
          <w:tblCellSpacing w:w="15" w:type="dxa"/>
        </w:trPr>
        <w:tc>
          <w:tcPr>
            <w:tcW w:w="0" w:type="auto"/>
            <w:gridSpan w:val="4"/>
            <w:tcBorders>
              <w:bottom w:val="single" w:sz="4" w:space="0" w:color="auto"/>
            </w:tcBorders>
            <w:vAlign w:val="center"/>
          </w:tcPr>
          <w:p w14:paraId="69530FEE" w14:textId="77777777" w:rsidR="00DD1D7C" w:rsidRPr="008C5FCA" w:rsidRDefault="00DD1D7C" w:rsidP="005E78E4">
            <w:pPr>
              <w:jc w:val="center"/>
              <w:rPr>
                <w:rFonts w:ascii="Arial" w:hAnsi="Arial" w:cs="Arial"/>
                <w:color w:val="000000" w:themeColor="text1"/>
                <w:sz w:val="20"/>
                <w:szCs w:val="20"/>
              </w:rPr>
            </w:pPr>
            <w:r w:rsidRPr="008C5FCA">
              <w:rPr>
                <w:rFonts w:ascii="Arial" w:hAnsi="Arial" w:cs="Arial"/>
                <w:color w:val="000000" w:themeColor="text1"/>
                <w:sz w:val="20"/>
                <w:szCs w:val="20"/>
              </w:rPr>
              <w:t>PSM-3</w:t>
            </w:r>
          </w:p>
        </w:tc>
        <w:tc>
          <w:tcPr>
            <w:tcW w:w="0" w:type="auto"/>
            <w:gridSpan w:val="4"/>
            <w:tcBorders>
              <w:bottom w:val="single" w:sz="4" w:space="0" w:color="auto"/>
            </w:tcBorders>
            <w:vAlign w:val="center"/>
          </w:tcPr>
          <w:p w14:paraId="3297114D" w14:textId="77777777" w:rsidR="00DD1D7C" w:rsidRPr="008C5FCA" w:rsidRDefault="00DD1D7C" w:rsidP="005E78E4">
            <w:pPr>
              <w:jc w:val="center"/>
              <w:rPr>
                <w:rFonts w:ascii="Arial" w:hAnsi="Arial" w:cs="Arial"/>
                <w:color w:val="000000" w:themeColor="text1"/>
                <w:sz w:val="20"/>
                <w:szCs w:val="20"/>
              </w:rPr>
            </w:pPr>
            <w:r w:rsidRPr="008C5FCA">
              <w:rPr>
                <w:rFonts w:ascii="Arial" w:hAnsi="Arial" w:cs="Arial"/>
                <w:color w:val="000000" w:themeColor="text1"/>
                <w:sz w:val="20"/>
                <w:szCs w:val="20"/>
              </w:rPr>
              <w:t>PM-128</w:t>
            </w:r>
          </w:p>
        </w:tc>
      </w:tr>
    </w:tbl>
    <w:p w14:paraId="7FD51963" w14:textId="77777777" w:rsidR="00DD1D7C" w:rsidRPr="00087D75" w:rsidRDefault="00DD1D7C" w:rsidP="00DD1D7C">
      <w:pPr>
        <w:pStyle w:val="p1"/>
        <w:rPr>
          <w:rFonts w:ascii="Arial" w:hAnsi="Arial" w:cs="Arial"/>
          <w:i/>
          <w:iCs/>
          <w:color w:val="000000" w:themeColor="text1"/>
          <w:sz w:val="18"/>
          <w:szCs w:val="18"/>
        </w:rPr>
      </w:pPr>
      <w:r w:rsidRPr="00087D75">
        <w:rPr>
          <w:rFonts w:ascii="Arial" w:hAnsi="Arial" w:cs="Arial"/>
          <w:i/>
          <w:iCs/>
          <w:color w:val="000000" w:themeColor="text1"/>
          <w:sz w:val="18"/>
          <w:szCs w:val="18"/>
        </w:rPr>
        <w:t>*All test genotypes were sourced from GBPUA&amp;T, Pantnagar, Uttarakhand, India.</w:t>
      </w:r>
    </w:p>
    <w:p w14:paraId="2D3BEE77" w14:textId="77777777" w:rsidR="00DD1D7C" w:rsidRPr="00087D75" w:rsidRDefault="00DD1D7C" w:rsidP="00935837">
      <w:pPr>
        <w:pStyle w:val="Body"/>
        <w:spacing w:after="0"/>
        <w:rPr>
          <w:rFonts w:ascii="Arial" w:hAnsi="Arial" w:cs="Arial"/>
          <w:b/>
          <w:caps/>
          <w:color w:val="000000" w:themeColor="text1"/>
          <w:sz w:val="18"/>
          <w:szCs w:val="18"/>
        </w:rPr>
      </w:pPr>
    </w:p>
    <w:p w14:paraId="6F381CAD" w14:textId="77777777" w:rsidR="00B702CF" w:rsidRDefault="00B702CF" w:rsidP="00935837">
      <w:pPr>
        <w:pStyle w:val="Body"/>
        <w:spacing w:after="0"/>
        <w:rPr>
          <w:rFonts w:ascii="Arial" w:hAnsi="Arial" w:cs="Arial"/>
          <w:b/>
          <w:caps/>
          <w:color w:val="000000" w:themeColor="text1"/>
          <w:sz w:val="22"/>
          <w:szCs w:val="22"/>
        </w:rPr>
      </w:pPr>
    </w:p>
    <w:p w14:paraId="2FED7543" w14:textId="77777777" w:rsidR="00276972" w:rsidRDefault="00276972" w:rsidP="00935837">
      <w:pPr>
        <w:pStyle w:val="Body"/>
        <w:spacing w:after="0"/>
        <w:rPr>
          <w:rFonts w:ascii="Arial" w:hAnsi="Arial" w:cs="Arial"/>
          <w:b/>
          <w:caps/>
          <w:color w:val="000000" w:themeColor="text1"/>
          <w:sz w:val="22"/>
          <w:szCs w:val="22"/>
        </w:rPr>
      </w:pPr>
    </w:p>
    <w:p w14:paraId="56B103B2" w14:textId="43B8518C" w:rsidR="00673FB8" w:rsidRPr="004853AC" w:rsidRDefault="00673FB8" w:rsidP="00935837">
      <w:pPr>
        <w:pStyle w:val="Body"/>
        <w:spacing w:after="0"/>
        <w:rPr>
          <w:rFonts w:ascii="Arial" w:hAnsi="Arial" w:cs="Arial"/>
          <w:b/>
          <w:color w:val="000000" w:themeColor="text1"/>
          <w:sz w:val="22"/>
          <w:szCs w:val="22"/>
          <w:shd w:val="clear" w:color="auto" w:fill="FFFFFF"/>
        </w:rPr>
      </w:pPr>
      <w:r w:rsidRPr="004853AC">
        <w:rPr>
          <w:rFonts w:ascii="Arial" w:hAnsi="Arial" w:cs="Arial"/>
          <w:b/>
          <w:caps/>
          <w:color w:val="000000" w:themeColor="text1"/>
          <w:sz w:val="22"/>
          <w:szCs w:val="22"/>
        </w:rPr>
        <w:lastRenderedPageBreak/>
        <w:t>2.</w:t>
      </w:r>
      <w:r w:rsidR="00245114" w:rsidRPr="004853AC">
        <w:rPr>
          <w:rFonts w:ascii="Arial" w:hAnsi="Arial" w:cs="Arial"/>
          <w:b/>
          <w:caps/>
          <w:color w:val="000000" w:themeColor="text1"/>
          <w:sz w:val="22"/>
          <w:szCs w:val="22"/>
        </w:rPr>
        <w:t>3</w:t>
      </w:r>
      <w:r w:rsidRPr="004853AC">
        <w:rPr>
          <w:rFonts w:ascii="Arial" w:hAnsi="Arial" w:cs="Arial"/>
          <w:b/>
          <w:caps/>
          <w:color w:val="000000" w:themeColor="text1"/>
          <w:sz w:val="22"/>
          <w:szCs w:val="22"/>
        </w:rPr>
        <w:t xml:space="preserve"> </w:t>
      </w:r>
      <w:r w:rsidRPr="004853AC">
        <w:rPr>
          <w:rFonts w:ascii="Arial" w:hAnsi="Arial" w:cs="Arial"/>
          <w:b/>
          <w:color w:val="000000" w:themeColor="text1"/>
          <w:sz w:val="22"/>
          <w:szCs w:val="22"/>
          <w:shd w:val="clear" w:color="auto" w:fill="FFFFFF"/>
        </w:rPr>
        <w:t>Soil Characteristics</w:t>
      </w:r>
      <w:r w:rsidR="00F5247B" w:rsidRPr="004853AC">
        <w:rPr>
          <w:rFonts w:ascii="Arial" w:hAnsi="Arial" w:cs="Arial"/>
          <w:b/>
          <w:color w:val="000000" w:themeColor="text1"/>
          <w:sz w:val="22"/>
          <w:szCs w:val="22"/>
          <w:shd w:val="clear" w:color="auto" w:fill="FFFFFF"/>
        </w:rPr>
        <w:t xml:space="preserve"> and Field </w:t>
      </w:r>
      <w:r w:rsidR="00DD1D7C" w:rsidRPr="004853AC">
        <w:rPr>
          <w:rFonts w:ascii="Arial" w:hAnsi="Arial" w:cs="Arial"/>
          <w:b/>
          <w:color w:val="000000" w:themeColor="text1"/>
          <w:sz w:val="22"/>
          <w:szCs w:val="22"/>
          <w:shd w:val="clear" w:color="auto" w:fill="FFFFFF"/>
        </w:rPr>
        <w:t>Preparations</w:t>
      </w:r>
      <w:r w:rsidRPr="004853AC">
        <w:rPr>
          <w:rFonts w:ascii="Arial" w:hAnsi="Arial" w:cs="Arial"/>
          <w:b/>
          <w:color w:val="000000" w:themeColor="text1"/>
          <w:sz w:val="22"/>
          <w:szCs w:val="22"/>
          <w:shd w:val="clear" w:color="auto" w:fill="FFFFFF"/>
        </w:rPr>
        <w:t xml:space="preserve"> </w:t>
      </w:r>
    </w:p>
    <w:p w14:paraId="5FE79E40" w14:textId="77777777" w:rsidR="00673FB8" w:rsidRPr="008C5FCA" w:rsidRDefault="00673FB8" w:rsidP="00935837">
      <w:pPr>
        <w:pStyle w:val="Body"/>
        <w:spacing w:after="0"/>
        <w:rPr>
          <w:rFonts w:ascii="Arial" w:hAnsi="Arial" w:cs="Arial"/>
          <w:b/>
          <w:color w:val="000000" w:themeColor="text1"/>
          <w:shd w:val="clear" w:color="auto" w:fill="FFFFFF"/>
        </w:rPr>
      </w:pPr>
    </w:p>
    <w:p w14:paraId="53AEEE3E" w14:textId="53FAEF1A" w:rsidR="00342CEB" w:rsidRDefault="00673FB8" w:rsidP="00F5247B">
      <w:pPr>
        <w:jc w:val="both"/>
        <w:rPr>
          <w:rFonts w:ascii="Arial" w:hAnsi="Arial" w:cs="Arial"/>
          <w:color w:val="000000" w:themeColor="text1"/>
          <w:sz w:val="20"/>
          <w:szCs w:val="20"/>
        </w:rPr>
      </w:pPr>
      <w:r w:rsidRPr="008C5FCA">
        <w:rPr>
          <w:rFonts w:ascii="Arial" w:hAnsi="Arial" w:cs="Arial"/>
          <w:color w:val="000000" w:themeColor="text1"/>
          <w:sz w:val="20"/>
          <w:szCs w:val="20"/>
        </w:rPr>
        <w:t>The experimental soil was sandy loam in texture. The soil maintains a pH of 5.5–6.0 throughout the period of investigation which is favourable for the growth of the plant.</w:t>
      </w:r>
      <w:r w:rsidR="00F5247B" w:rsidRPr="008C5FCA">
        <w:rPr>
          <w:rFonts w:ascii="Arial" w:hAnsi="Arial" w:cs="Arial"/>
          <w:color w:val="000000" w:themeColor="text1"/>
          <w:sz w:val="20"/>
          <w:szCs w:val="20"/>
        </w:rPr>
        <w:t xml:space="preserve"> </w:t>
      </w:r>
    </w:p>
    <w:p w14:paraId="64A3105F" w14:textId="77777777" w:rsidR="00276972" w:rsidRDefault="00276972" w:rsidP="00F5247B">
      <w:pPr>
        <w:jc w:val="both"/>
        <w:rPr>
          <w:rFonts w:ascii="Arial" w:hAnsi="Arial" w:cs="Arial"/>
          <w:color w:val="000000" w:themeColor="text1"/>
          <w:sz w:val="20"/>
          <w:szCs w:val="20"/>
        </w:rPr>
      </w:pPr>
    </w:p>
    <w:p w14:paraId="78F69710" w14:textId="77777777" w:rsidR="00F5247B" w:rsidRPr="008C5FCA" w:rsidRDefault="00F5247B" w:rsidP="00F5247B">
      <w:pPr>
        <w:jc w:val="both"/>
        <w:rPr>
          <w:rFonts w:ascii="Arial" w:hAnsi="Arial" w:cs="Arial"/>
          <w:color w:val="000000" w:themeColor="text1"/>
          <w:sz w:val="20"/>
          <w:szCs w:val="20"/>
        </w:rPr>
      </w:pPr>
      <w:r w:rsidRPr="008C5FCA">
        <w:rPr>
          <w:rFonts w:ascii="Arial" w:hAnsi="Arial" w:cs="Arial"/>
          <w:color w:val="000000" w:themeColor="text1"/>
          <w:sz w:val="20"/>
          <w:szCs w:val="20"/>
        </w:rPr>
        <w:t>The field was ploughed and harrowed twice followed by planking to bring the soil to a fine tilth. All weeds and leftover crop residues were removed from the field. Whole plot was divided into four blocks as per the requirement. Standard recommended cultural practices were followed during the entire crop period.</w:t>
      </w:r>
    </w:p>
    <w:p w14:paraId="270E3926" w14:textId="77777777" w:rsidR="00F5247B" w:rsidRPr="008C5FCA" w:rsidRDefault="00F5247B" w:rsidP="00673FB8">
      <w:pPr>
        <w:jc w:val="both"/>
        <w:rPr>
          <w:rFonts w:ascii="Arial" w:hAnsi="Arial" w:cs="Arial"/>
          <w:color w:val="000000" w:themeColor="text1"/>
          <w:sz w:val="20"/>
          <w:szCs w:val="20"/>
        </w:rPr>
      </w:pPr>
    </w:p>
    <w:p w14:paraId="67B335B4" w14:textId="77777777" w:rsidR="00F5247B" w:rsidRPr="004853AC" w:rsidRDefault="00F5247B" w:rsidP="00673FB8">
      <w:pPr>
        <w:jc w:val="both"/>
        <w:rPr>
          <w:rFonts w:ascii="Arial" w:hAnsi="Arial" w:cs="Arial"/>
          <w:b/>
          <w:bCs/>
          <w:color w:val="000000" w:themeColor="text1"/>
          <w:sz w:val="22"/>
          <w:szCs w:val="22"/>
        </w:rPr>
      </w:pPr>
      <w:r w:rsidRPr="004853AC">
        <w:rPr>
          <w:rFonts w:ascii="Arial" w:hAnsi="Arial" w:cs="Arial"/>
          <w:b/>
          <w:bCs/>
          <w:color w:val="000000" w:themeColor="text1"/>
          <w:sz w:val="22"/>
          <w:szCs w:val="22"/>
        </w:rPr>
        <w:t>2.</w:t>
      </w:r>
      <w:r w:rsidR="00245114" w:rsidRPr="004853AC">
        <w:rPr>
          <w:rFonts w:ascii="Arial" w:hAnsi="Arial" w:cs="Arial"/>
          <w:b/>
          <w:bCs/>
          <w:color w:val="000000" w:themeColor="text1"/>
          <w:sz w:val="22"/>
          <w:szCs w:val="22"/>
        </w:rPr>
        <w:t>4</w:t>
      </w:r>
      <w:r w:rsidRPr="004853AC">
        <w:rPr>
          <w:rFonts w:ascii="Arial" w:hAnsi="Arial" w:cs="Arial"/>
          <w:b/>
          <w:bCs/>
          <w:color w:val="000000" w:themeColor="text1"/>
          <w:sz w:val="22"/>
          <w:szCs w:val="22"/>
        </w:rPr>
        <w:t xml:space="preserve"> </w:t>
      </w:r>
      <w:r w:rsidRPr="004853AC">
        <w:rPr>
          <w:rFonts w:ascii="Arial" w:hAnsi="Arial" w:cs="Arial"/>
          <w:b/>
          <w:bCs/>
          <w:color w:val="000000" w:themeColor="text1"/>
          <w:sz w:val="22"/>
          <w:szCs w:val="22"/>
          <w:shd w:val="clear" w:color="auto" w:fill="FFFFFF"/>
        </w:rPr>
        <w:t>Agronomic Practices and Fertilizer Application</w:t>
      </w:r>
    </w:p>
    <w:p w14:paraId="61201E7E" w14:textId="77777777" w:rsidR="00673FB8" w:rsidRPr="008C5FCA" w:rsidRDefault="00673FB8" w:rsidP="00673FB8">
      <w:pPr>
        <w:jc w:val="both"/>
        <w:rPr>
          <w:rFonts w:ascii="Arial" w:hAnsi="Arial" w:cs="Arial"/>
          <w:color w:val="000000" w:themeColor="text1"/>
          <w:sz w:val="20"/>
          <w:szCs w:val="20"/>
        </w:rPr>
      </w:pPr>
    </w:p>
    <w:p w14:paraId="283EBB64" w14:textId="77777777" w:rsidR="00673FB8" w:rsidRPr="008C5FCA" w:rsidRDefault="00673FB8" w:rsidP="00673FB8">
      <w:pPr>
        <w:jc w:val="both"/>
        <w:rPr>
          <w:rFonts w:ascii="Arial" w:hAnsi="Arial" w:cs="Arial"/>
          <w:color w:val="000000" w:themeColor="text1"/>
          <w:sz w:val="20"/>
          <w:szCs w:val="20"/>
        </w:rPr>
      </w:pPr>
      <w:r w:rsidRPr="008C5FCA">
        <w:rPr>
          <w:rFonts w:ascii="Arial" w:hAnsi="Arial" w:cs="Arial"/>
          <w:color w:val="000000" w:themeColor="text1"/>
          <w:sz w:val="20"/>
          <w:szCs w:val="20"/>
        </w:rPr>
        <w:t>The experimental site was kept weed-free throughout the cropping season by periodical hand weeding. Preventive plant care measures were taken to manage insect-pest and disease incidence at regular intervals. The experimental site was kept weed-free throughout the cropping season by periodical hand weeding. All recommended agronomic practices were applied uniformly throughout the growing period to ensure proper crop establishment and to reduce the influence of extraneous variability.</w:t>
      </w:r>
    </w:p>
    <w:p w14:paraId="09A7A939" w14:textId="77777777" w:rsidR="00673FB8" w:rsidRPr="008C5FCA" w:rsidRDefault="00673FB8" w:rsidP="00673FB8">
      <w:pPr>
        <w:ind w:firstLine="720"/>
        <w:jc w:val="both"/>
        <w:rPr>
          <w:rFonts w:ascii="Arial" w:hAnsi="Arial" w:cs="Arial"/>
          <w:color w:val="000000" w:themeColor="text1"/>
          <w:sz w:val="20"/>
          <w:szCs w:val="20"/>
        </w:rPr>
      </w:pPr>
    </w:p>
    <w:p w14:paraId="0013A489" w14:textId="6D54720B" w:rsidR="00673FB8" w:rsidRPr="008C5FCA" w:rsidRDefault="00673FB8" w:rsidP="00673FB8">
      <w:pPr>
        <w:jc w:val="both"/>
        <w:rPr>
          <w:rFonts w:ascii="Arial" w:hAnsi="Arial" w:cs="Arial"/>
          <w:color w:val="000000" w:themeColor="text1"/>
          <w:sz w:val="20"/>
          <w:szCs w:val="20"/>
        </w:rPr>
      </w:pPr>
      <w:bookmarkStart w:id="10" w:name="OLE_LINK18"/>
      <w:r w:rsidRPr="008C5FCA">
        <w:rPr>
          <w:rFonts w:ascii="Arial" w:hAnsi="Arial" w:cs="Arial"/>
          <w:color w:val="000000" w:themeColor="text1"/>
          <w:sz w:val="20"/>
          <w:szCs w:val="20"/>
        </w:rPr>
        <w:t xml:space="preserve">Well rotten farm yard manure and recommended dose of fertilizers (RDF), i.e., </w:t>
      </w:r>
      <w:r w:rsidR="00CD409A">
        <w:rPr>
          <w:rFonts w:ascii="Arial" w:hAnsi="Arial" w:cs="Arial"/>
          <w:color w:val="000000" w:themeColor="text1"/>
          <w:sz w:val="20"/>
          <w:szCs w:val="20"/>
        </w:rPr>
        <w:t>2</w:t>
      </w:r>
      <w:r w:rsidRPr="008C5FCA">
        <w:rPr>
          <w:rFonts w:ascii="Arial" w:hAnsi="Arial" w:cs="Arial"/>
          <w:color w:val="000000" w:themeColor="text1"/>
          <w:sz w:val="20"/>
          <w:szCs w:val="20"/>
        </w:rPr>
        <w:t>0:</w:t>
      </w:r>
      <w:r w:rsidR="00CD409A">
        <w:rPr>
          <w:rFonts w:ascii="Arial" w:hAnsi="Arial" w:cs="Arial"/>
          <w:color w:val="000000" w:themeColor="text1"/>
          <w:sz w:val="20"/>
          <w:szCs w:val="20"/>
        </w:rPr>
        <w:t>4</w:t>
      </w:r>
      <w:r w:rsidRPr="008C5FCA">
        <w:rPr>
          <w:rFonts w:ascii="Arial" w:hAnsi="Arial" w:cs="Arial"/>
          <w:color w:val="000000" w:themeColor="text1"/>
          <w:sz w:val="20"/>
          <w:szCs w:val="20"/>
        </w:rPr>
        <w:t>0:</w:t>
      </w:r>
      <w:r w:rsidR="00CD409A">
        <w:rPr>
          <w:rFonts w:ascii="Arial" w:hAnsi="Arial" w:cs="Arial"/>
          <w:color w:val="000000" w:themeColor="text1"/>
          <w:sz w:val="20"/>
          <w:szCs w:val="20"/>
        </w:rPr>
        <w:t>4</w:t>
      </w:r>
      <w:r w:rsidRPr="008C5FCA">
        <w:rPr>
          <w:rFonts w:ascii="Arial" w:hAnsi="Arial" w:cs="Arial"/>
          <w:color w:val="000000" w:themeColor="text1"/>
          <w:sz w:val="20"/>
          <w:szCs w:val="20"/>
        </w:rPr>
        <w:t xml:space="preserve">0 kg/ha NPK </w:t>
      </w:r>
      <w:bookmarkEnd w:id="10"/>
      <w:r w:rsidRPr="008C5FCA">
        <w:rPr>
          <w:rFonts w:ascii="Arial" w:hAnsi="Arial" w:cs="Arial"/>
          <w:color w:val="000000" w:themeColor="text1"/>
          <w:sz w:val="20"/>
          <w:szCs w:val="20"/>
        </w:rPr>
        <w:t xml:space="preserve">were applied at the time of land preparation. </w:t>
      </w:r>
      <w:r w:rsidR="00D02DB3">
        <w:rPr>
          <w:rFonts w:ascii="Arial" w:hAnsi="Arial" w:cs="Arial"/>
          <w:color w:val="000000" w:themeColor="text1"/>
          <w:sz w:val="20"/>
          <w:szCs w:val="20"/>
        </w:rPr>
        <w:t xml:space="preserve">Application of small quantity of N (10 kg/ha) as top dressing was applied after picking. The crop was watered after the </w:t>
      </w:r>
      <w:r w:rsidR="00337319">
        <w:rPr>
          <w:rFonts w:ascii="Arial" w:hAnsi="Arial" w:cs="Arial"/>
          <w:color w:val="000000" w:themeColor="text1"/>
          <w:sz w:val="20"/>
          <w:szCs w:val="20"/>
        </w:rPr>
        <w:t xml:space="preserve">top </w:t>
      </w:r>
      <w:r w:rsidR="00D02DB3">
        <w:rPr>
          <w:rFonts w:ascii="Arial" w:hAnsi="Arial" w:cs="Arial"/>
          <w:color w:val="000000" w:themeColor="text1"/>
          <w:sz w:val="20"/>
          <w:szCs w:val="20"/>
        </w:rPr>
        <w:t>dressing</w:t>
      </w:r>
      <w:r w:rsidR="000E2F4A">
        <w:rPr>
          <w:rFonts w:ascii="Arial" w:hAnsi="Arial" w:cs="Arial"/>
          <w:color w:val="000000" w:themeColor="text1"/>
          <w:sz w:val="20"/>
          <w:szCs w:val="20"/>
        </w:rPr>
        <w:t xml:space="preserve"> was applied</w:t>
      </w:r>
      <w:r w:rsidR="00D02DB3">
        <w:rPr>
          <w:rFonts w:ascii="Arial" w:hAnsi="Arial" w:cs="Arial"/>
          <w:color w:val="000000" w:themeColor="text1"/>
          <w:sz w:val="20"/>
          <w:szCs w:val="20"/>
        </w:rPr>
        <w:t>.</w:t>
      </w:r>
    </w:p>
    <w:p w14:paraId="0C9BD16C" w14:textId="77777777" w:rsidR="00673FB8" w:rsidRPr="008C5FCA" w:rsidRDefault="00673FB8" w:rsidP="00935837">
      <w:pPr>
        <w:pStyle w:val="Body"/>
        <w:spacing w:after="0"/>
        <w:rPr>
          <w:rFonts w:ascii="Arial" w:hAnsi="Arial" w:cs="Arial"/>
          <w:b/>
          <w:caps/>
          <w:color w:val="000000" w:themeColor="text1"/>
        </w:rPr>
      </w:pPr>
    </w:p>
    <w:p w14:paraId="50BDD1CF" w14:textId="77777777" w:rsidR="00F02502" w:rsidRPr="004853AC" w:rsidRDefault="00935837" w:rsidP="00935837">
      <w:pPr>
        <w:pStyle w:val="Body"/>
        <w:spacing w:after="0"/>
        <w:rPr>
          <w:rFonts w:ascii="Arial" w:hAnsi="Arial" w:cs="Arial"/>
          <w:b/>
          <w:color w:val="000000" w:themeColor="text1"/>
          <w:sz w:val="22"/>
          <w:szCs w:val="22"/>
        </w:rPr>
      </w:pPr>
      <w:bookmarkStart w:id="11" w:name="OLE_LINK13"/>
      <w:r w:rsidRPr="004853AC">
        <w:rPr>
          <w:rFonts w:ascii="Arial" w:hAnsi="Arial" w:cs="Arial"/>
          <w:b/>
          <w:caps/>
          <w:color w:val="000000" w:themeColor="text1"/>
          <w:sz w:val="22"/>
          <w:szCs w:val="22"/>
        </w:rPr>
        <w:t>2.</w:t>
      </w:r>
      <w:r w:rsidR="00245114" w:rsidRPr="004853AC">
        <w:rPr>
          <w:rFonts w:ascii="Arial" w:hAnsi="Arial" w:cs="Arial"/>
          <w:b/>
          <w:caps/>
          <w:color w:val="000000" w:themeColor="text1"/>
          <w:sz w:val="22"/>
          <w:szCs w:val="22"/>
        </w:rPr>
        <w:t>5</w:t>
      </w:r>
      <w:r w:rsidRPr="004853AC">
        <w:rPr>
          <w:rFonts w:ascii="Arial" w:hAnsi="Arial" w:cs="Arial"/>
          <w:b/>
          <w:caps/>
          <w:color w:val="000000" w:themeColor="text1"/>
          <w:sz w:val="22"/>
          <w:szCs w:val="22"/>
        </w:rPr>
        <w:t xml:space="preserve"> </w:t>
      </w:r>
      <w:r w:rsidRPr="004853AC">
        <w:rPr>
          <w:rFonts w:ascii="Arial" w:hAnsi="Arial" w:cs="Arial"/>
          <w:b/>
          <w:color w:val="000000" w:themeColor="text1"/>
          <w:sz w:val="22"/>
          <w:szCs w:val="22"/>
        </w:rPr>
        <w:t>Environmental Conditions and Thermal Screening</w:t>
      </w:r>
    </w:p>
    <w:bookmarkEnd w:id="8"/>
    <w:p w14:paraId="1D26D4D3" w14:textId="77777777" w:rsidR="00AB6CD2" w:rsidRPr="00AB6CD2" w:rsidRDefault="00AB6CD2" w:rsidP="00AB6CD2">
      <w:pPr>
        <w:pStyle w:val="NormalWeb"/>
        <w:jc w:val="both"/>
        <w:rPr>
          <w:rFonts w:ascii="Arial" w:hAnsi="Arial" w:cs="Arial"/>
          <w:sz w:val="20"/>
          <w:szCs w:val="20"/>
        </w:rPr>
      </w:pPr>
      <w:r w:rsidRPr="00AB6CD2">
        <w:rPr>
          <w:rFonts w:ascii="Arial" w:hAnsi="Arial" w:cs="Arial"/>
          <w:sz w:val="20"/>
          <w:szCs w:val="20"/>
        </w:rPr>
        <w:t xml:space="preserve">The crop season at the experimental site was characterized by pronounced temperature fluctuations, which facilitated the creation of distinct thermal regimes for stress evaluation. </w:t>
      </w:r>
      <w:r w:rsidRPr="00AB6CD2">
        <w:rPr>
          <w:rStyle w:val="Strong"/>
          <w:rFonts w:ascii="Arial" w:hAnsi="Arial" w:cs="Arial"/>
          <w:b w:val="0"/>
          <w:bCs w:val="0"/>
          <w:sz w:val="20"/>
          <w:szCs w:val="20"/>
        </w:rPr>
        <w:t>Three staggered sowing dates</w:t>
      </w:r>
      <w:r w:rsidRPr="00AB6CD2">
        <w:rPr>
          <w:rFonts w:ascii="Arial" w:hAnsi="Arial" w:cs="Arial"/>
          <w:sz w:val="20"/>
          <w:szCs w:val="20"/>
        </w:rPr>
        <w:t xml:space="preserve"> were used to expose the genotypes to contrasting thermal conditions.</w:t>
      </w:r>
    </w:p>
    <w:p w14:paraId="75BF761F" w14:textId="77777777" w:rsidR="00AB6CD2" w:rsidRDefault="00AB6CD2" w:rsidP="00AB6CD2">
      <w:pPr>
        <w:pStyle w:val="NormalWeb"/>
        <w:jc w:val="both"/>
        <w:rPr>
          <w:rFonts w:ascii="Arial" w:hAnsi="Arial" w:cs="Arial"/>
          <w:color w:val="000000" w:themeColor="text1"/>
          <w:sz w:val="20"/>
          <w:szCs w:val="20"/>
        </w:rPr>
      </w:pPr>
      <w:r w:rsidRPr="00AB6CD2">
        <w:rPr>
          <w:rStyle w:val="Strong"/>
          <w:rFonts w:ascii="Arial" w:hAnsi="Arial" w:cs="Arial"/>
          <w:b w:val="0"/>
          <w:bCs w:val="0"/>
          <w:sz w:val="20"/>
          <w:szCs w:val="20"/>
        </w:rPr>
        <w:t>Environment I</w:t>
      </w:r>
      <w:r w:rsidRPr="00AB6CD2">
        <w:rPr>
          <w:rFonts w:ascii="Arial" w:hAnsi="Arial" w:cs="Arial"/>
          <w:sz w:val="20"/>
          <w:szCs w:val="20"/>
        </w:rPr>
        <w:t xml:space="preserve">, sown on </w:t>
      </w:r>
      <w:r w:rsidRPr="00AB6CD2">
        <w:rPr>
          <w:rStyle w:val="Strong"/>
          <w:rFonts w:ascii="Arial" w:hAnsi="Arial" w:cs="Arial"/>
          <w:b w:val="0"/>
          <w:bCs w:val="0"/>
          <w:sz w:val="20"/>
          <w:szCs w:val="20"/>
        </w:rPr>
        <w:t>October 24, 2024</w:t>
      </w:r>
      <w:r w:rsidRPr="00AB6CD2">
        <w:rPr>
          <w:rFonts w:ascii="Arial" w:hAnsi="Arial" w:cs="Arial"/>
          <w:sz w:val="20"/>
          <w:szCs w:val="20"/>
        </w:rPr>
        <w:t xml:space="preserve">, experienced relatively high temperatures during early vegetative and pre-flowering stages. In October, daily temperatures ranged from a minimum of </w:t>
      </w:r>
      <w:r w:rsidRPr="00AB6CD2">
        <w:rPr>
          <w:rStyle w:val="Strong"/>
          <w:rFonts w:ascii="Arial" w:hAnsi="Arial" w:cs="Arial"/>
          <w:b w:val="0"/>
          <w:bCs w:val="0"/>
          <w:sz w:val="20"/>
          <w:szCs w:val="20"/>
        </w:rPr>
        <w:t>18.2°C</w:t>
      </w:r>
      <w:r w:rsidRPr="00AB6CD2">
        <w:rPr>
          <w:rFonts w:ascii="Arial" w:hAnsi="Arial" w:cs="Arial"/>
          <w:sz w:val="20"/>
          <w:szCs w:val="20"/>
        </w:rPr>
        <w:t xml:space="preserve"> to a maximum of </w:t>
      </w:r>
      <w:r w:rsidRPr="00AB6CD2">
        <w:rPr>
          <w:rStyle w:val="Strong"/>
          <w:rFonts w:ascii="Arial" w:hAnsi="Arial" w:cs="Arial"/>
          <w:b w:val="0"/>
          <w:bCs w:val="0"/>
          <w:sz w:val="20"/>
          <w:szCs w:val="20"/>
        </w:rPr>
        <w:t>34.2°C</w:t>
      </w:r>
      <w:r w:rsidRPr="00AB6CD2">
        <w:rPr>
          <w:rFonts w:ascii="Arial" w:hAnsi="Arial" w:cs="Arial"/>
          <w:sz w:val="20"/>
          <w:szCs w:val="20"/>
        </w:rPr>
        <w:t xml:space="preserve">, with an average of </w:t>
      </w:r>
      <w:r w:rsidRPr="00AB6CD2">
        <w:rPr>
          <w:rStyle w:val="Strong"/>
          <w:rFonts w:ascii="Arial" w:hAnsi="Arial" w:cs="Arial"/>
          <w:b w:val="0"/>
          <w:bCs w:val="0"/>
          <w:sz w:val="20"/>
          <w:szCs w:val="20"/>
        </w:rPr>
        <w:t>25.1°C</w:t>
      </w:r>
      <w:r w:rsidRPr="00AB6CD2">
        <w:rPr>
          <w:rFonts w:ascii="Arial" w:hAnsi="Arial" w:cs="Arial"/>
          <w:sz w:val="20"/>
          <w:szCs w:val="20"/>
        </w:rPr>
        <w:t>, exposing the crop to early-season heat stress.</w:t>
      </w:r>
      <w:r>
        <w:rPr>
          <w:rFonts w:ascii="Arial" w:hAnsi="Arial" w:cs="Arial"/>
          <w:sz w:val="20"/>
          <w:szCs w:val="20"/>
        </w:rPr>
        <w:t xml:space="preserve"> </w:t>
      </w:r>
      <w:r w:rsidRPr="00AB6CD2">
        <w:rPr>
          <w:rStyle w:val="Strong"/>
          <w:rFonts w:ascii="Arial" w:hAnsi="Arial" w:cs="Arial"/>
          <w:b w:val="0"/>
          <w:bCs w:val="0"/>
          <w:sz w:val="20"/>
          <w:szCs w:val="20"/>
        </w:rPr>
        <w:t>Environment II</w:t>
      </w:r>
      <w:r w:rsidRPr="00AB6CD2">
        <w:rPr>
          <w:rFonts w:ascii="Arial" w:hAnsi="Arial" w:cs="Arial"/>
          <w:sz w:val="20"/>
          <w:szCs w:val="20"/>
        </w:rPr>
        <w:t xml:space="preserve">, sown on </w:t>
      </w:r>
      <w:r w:rsidRPr="00AB6CD2">
        <w:rPr>
          <w:rStyle w:val="Strong"/>
          <w:rFonts w:ascii="Arial" w:hAnsi="Arial" w:cs="Arial"/>
          <w:b w:val="0"/>
          <w:bCs w:val="0"/>
          <w:sz w:val="20"/>
          <w:szCs w:val="20"/>
        </w:rPr>
        <w:t>November 15, 2024</w:t>
      </w:r>
      <w:r w:rsidRPr="00AB6CD2">
        <w:rPr>
          <w:rFonts w:ascii="Arial" w:hAnsi="Arial" w:cs="Arial"/>
          <w:sz w:val="20"/>
          <w:szCs w:val="20"/>
        </w:rPr>
        <w:t xml:space="preserve">, coincided with the normal growing season and served as the control. November–January temperatures gradually declined, with November minimums of </w:t>
      </w:r>
      <w:r w:rsidRPr="00AB6CD2">
        <w:rPr>
          <w:rStyle w:val="Strong"/>
          <w:rFonts w:ascii="Arial" w:hAnsi="Arial" w:cs="Arial"/>
          <w:b w:val="0"/>
          <w:bCs w:val="0"/>
          <w:sz w:val="20"/>
          <w:szCs w:val="20"/>
        </w:rPr>
        <w:t>11.9°C</w:t>
      </w:r>
      <w:r w:rsidRPr="00AB6CD2">
        <w:rPr>
          <w:rFonts w:ascii="Arial" w:hAnsi="Arial" w:cs="Arial"/>
          <w:sz w:val="20"/>
          <w:szCs w:val="20"/>
        </w:rPr>
        <w:t xml:space="preserve"> and maximums of </w:t>
      </w:r>
      <w:r w:rsidRPr="00AB6CD2">
        <w:rPr>
          <w:rStyle w:val="Strong"/>
          <w:rFonts w:ascii="Arial" w:hAnsi="Arial" w:cs="Arial"/>
          <w:b w:val="0"/>
          <w:bCs w:val="0"/>
          <w:sz w:val="20"/>
          <w:szCs w:val="20"/>
        </w:rPr>
        <w:t>32.6°C</w:t>
      </w:r>
      <w:r w:rsidRPr="00AB6CD2">
        <w:rPr>
          <w:rFonts w:ascii="Arial" w:hAnsi="Arial" w:cs="Arial"/>
          <w:sz w:val="20"/>
          <w:szCs w:val="20"/>
        </w:rPr>
        <w:t xml:space="preserve"> (average </w:t>
      </w:r>
      <w:r w:rsidRPr="00AB6CD2">
        <w:rPr>
          <w:rStyle w:val="Strong"/>
          <w:rFonts w:ascii="Arial" w:hAnsi="Arial" w:cs="Arial"/>
          <w:b w:val="0"/>
          <w:bCs w:val="0"/>
          <w:sz w:val="20"/>
          <w:szCs w:val="20"/>
        </w:rPr>
        <w:t>22.0°C</w:t>
      </w:r>
      <w:r w:rsidRPr="00AB6CD2">
        <w:rPr>
          <w:rFonts w:ascii="Arial" w:hAnsi="Arial" w:cs="Arial"/>
          <w:sz w:val="20"/>
          <w:szCs w:val="20"/>
        </w:rPr>
        <w:t xml:space="preserve">), December minimums of </w:t>
      </w:r>
      <w:r w:rsidRPr="00AB6CD2">
        <w:rPr>
          <w:rStyle w:val="Strong"/>
          <w:rFonts w:ascii="Arial" w:hAnsi="Arial" w:cs="Arial"/>
          <w:b w:val="0"/>
          <w:bCs w:val="0"/>
          <w:sz w:val="20"/>
          <w:szCs w:val="20"/>
        </w:rPr>
        <w:t>7.0°C</w:t>
      </w:r>
      <w:r w:rsidRPr="00AB6CD2">
        <w:rPr>
          <w:rFonts w:ascii="Arial" w:hAnsi="Arial" w:cs="Arial"/>
          <w:sz w:val="20"/>
          <w:szCs w:val="20"/>
        </w:rPr>
        <w:t xml:space="preserve"> to maximums of </w:t>
      </w:r>
      <w:r w:rsidRPr="00AB6CD2">
        <w:rPr>
          <w:rStyle w:val="Strong"/>
          <w:rFonts w:ascii="Arial" w:hAnsi="Arial" w:cs="Arial"/>
          <w:b w:val="0"/>
          <w:bCs w:val="0"/>
          <w:sz w:val="20"/>
          <w:szCs w:val="20"/>
        </w:rPr>
        <w:t>25.8°C</w:t>
      </w:r>
      <w:r w:rsidRPr="00AB6CD2">
        <w:rPr>
          <w:rFonts w:ascii="Arial" w:hAnsi="Arial" w:cs="Arial"/>
          <w:sz w:val="20"/>
          <w:szCs w:val="20"/>
        </w:rPr>
        <w:t xml:space="preserve"> (average </w:t>
      </w:r>
      <w:r w:rsidRPr="00AB6CD2">
        <w:rPr>
          <w:rStyle w:val="Strong"/>
          <w:rFonts w:ascii="Arial" w:hAnsi="Arial" w:cs="Arial"/>
          <w:b w:val="0"/>
          <w:bCs w:val="0"/>
          <w:sz w:val="20"/>
          <w:szCs w:val="20"/>
        </w:rPr>
        <w:t>16.0°C</w:t>
      </w:r>
      <w:r w:rsidRPr="00AB6CD2">
        <w:rPr>
          <w:rFonts w:ascii="Arial" w:hAnsi="Arial" w:cs="Arial"/>
          <w:sz w:val="20"/>
          <w:szCs w:val="20"/>
        </w:rPr>
        <w:t xml:space="preserve">), and January minimums of </w:t>
      </w:r>
      <w:r w:rsidRPr="00AB6CD2">
        <w:rPr>
          <w:rStyle w:val="Strong"/>
          <w:rFonts w:ascii="Arial" w:hAnsi="Arial" w:cs="Arial"/>
          <w:b w:val="0"/>
          <w:bCs w:val="0"/>
          <w:sz w:val="20"/>
          <w:szCs w:val="20"/>
        </w:rPr>
        <w:t>7.2°C</w:t>
      </w:r>
      <w:r w:rsidRPr="00AB6CD2">
        <w:rPr>
          <w:rFonts w:ascii="Arial" w:hAnsi="Arial" w:cs="Arial"/>
          <w:sz w:val="20"/>
          <w:szCs w:val="20"/>
        </w:rPr>
        <w:t xml:space="preserve"> to maximums of </w:t>
      </w:r>
      <w:r w:rsidRPr="00AB6CD2">
        <w:rPr>
          <w:rStyle w:val="Strong"/>
          <w:rFonts w:ascii="Arial" w:hAnsi="Arial" w:cs="Arial"/>
          <w:b w:val="0"/>
          <w:bCs w:val="0"/>
          <w:sz w:val="20"/>
          <w:szCs w:val="20"/>
        </w:rPr>
        <w:t>25.5°C</w:t>
      </w:r>
      <w:r w:rsidRPr="00AB6CD2">
        <w:rPr>
          <w:rFonts w:ascii="Arial" w:hAnsi="Arial" w:cs="Arial"/>
          <w:sz w:val="20"/>
          <w:szCs w:val="20"/>
        </w:rPr>
        <w:t xml:space="preserve"> (average </w:t>
      </w:r>
      <w:r w:rsidRPr="00AB6CD2">
        <w:rPr>
          <w:rStyle w:val="Strong"/>
          <w:rFonts w:ascii="Arial" w:hAnsi="Arial" w:cs="Arial"/>
          <w:b w:val="0"/>
          <w:bCs w:val="0"/>
          <w:sz w:val="20"/>
          <w:szCs w:val="20"/>
        </w:rPr>
        <w:t>16.8°C</w:t>
      </w:r>
      <w:r w:rsidRPr="00AB6CD2">
        <w:rPr>
          <w:rFonts w:ascii="Arial" w:hAnsi="Arial" w:cs="Arial"/>
          <w:sz w:val="20"/>
          <w:szCs w:val="20"/>
        </w:rPr>
        <w:t>), reflecting cool-season conditions favourable for optimal growth.</w:t>
      </w:r>
      <w:r>
        <w:rPr>
          <w:rFonts w:ascii="Arial" w:hAnsi="Arial" w:cs="Arial"/>
          <w:sz w:val="20"/>
          <w:szCs w:val="20"/>
        </w:rPr>
        <w:t xml:space="preserve"> </w:t>
      </w:r>
      <w:r w:rsidRPr="00AB6CD2">
        <w:rPr>
          <w:rStyle w:val="Strong"/>
          <w:rFonts w:ascii="Arial" w:hAnsi="Arial" w:cs="Arial"/>
          <w:b w:val="0"/>
          <w:bCs w:val="0"/>
          <w:sz w:val="20"/>
          <w:szCs w:val="20"/>
        </w:rPr>
        <w:t>Environment III</w:t>
      </w:r>
      <w:r w:rsidRPr="00AB6CD2">
        <w:rPr>
          <w:rFonts w:ascii="Arial" w:hAnsi="Arial" w:cs="Arial"/>
          <w:b/>
          <w:bCs/>
          <w:sz w:val="20"/>
          <w:szCs w:val="20"/>
        </w:rPr>
        <w:t>,</w:t>
      </w:r>
      <w:r w:rsidRPr="00AB6CD2">
        <w:rPr>
          <w:rFonts w:ascii="Arial" w:hAnsi="Arial" w:cs="Arial"/>
          <w:sz w:val="20"/>
          <w:szCs w:val="20"/>
        </w:rPr>
        <w:t xml:space="preserve"> sown on </w:t>
      </w:r>
      <w:r w:rsidRPr="00AB6CD2">
        <w:rPr>
          <w:rStyle w:val="Strong"/>
          <w:rFonts w:ascii="Arial" w:hAnsi="Arial" w:cs="Arial"/>
          <w:b w:val="0"/>
          <w:bCs w:val="0"/>
          <w:sz w:val="20"/>
          <w:szCs w:val="20"/>
        </w:rPr>
        <w:t>February 5, 2025</w:t>
      </w:r>
      <w:r w:rsidRPr="00AB6CD2">
        <w:rPr>
          <w:rFonts w:ascii="Arial" w:hAnsi="Arial" w:cs="Arial"/>
          <w:sz w:val="20"/>
          <w:szCs w:val="20"/>
        </w:rPr>
        <w:t xml:space="preserve">, was designed to subject the crop to terminal heat stress during reproductive and pod-filling stages. February temperatures ranged from </w:t>
      </w:r>
      <w:r w:rsidRPr="00AB6CD2">
        <w:rPr>
          <w:rStyle w:val="Strong"/>
          <w:rFonts w:ascii="Arial" w:hAnsi="Arial" w:cs="Arial"/>
          <w:b w:val="0"/>
          <w:bCs w:val="0"/>
          <w:sz w:val="20"/>
          <w:szCs w:val="20"/>
        </w:rPr>
        <w:t>7.0°C</w:t>
      </w:r>
      <w:r w:rsidRPr="00AB6CD2">
        <w:rPr>
          <w:rFonts w:ascii="Arial" w:hAnsi="Arial" w:cs="Arial"/>
          <w:sz w:val="20"/>
          <w:szCs w:val="20"/>
        </w:rPr>
        <w:t xml:space="preserve"> to </w:t>
      </w:r>
      <w:r w:rsidRPr="00AB6CD2">
        <w:rPr>
          <w:rStyle w:val="Strong"/>
          <w:rFonts w:ascii="Arial" w:hAnsi="Arial" w:cs="Arial"/>
          <w:b w:val="0"/>
          <w:bCs w:val="0"/>
          <w:sz w:val="20"/>
          <w:szCs w:val="20"/>
        </w:rPr>
        <w:t>27.0°C</w:t>
      </w:r>
      <w:r w:rsidRPr="00AB6CD2">
        <w:rPr>
          <w:rFonts w:ascii="Arial" w:hAnsi="Arial" w:cs="Arial"/>
          <w:sz w:val="20"/>
          <w:szCs w:val="20"/>
        </w:rPr>
        <w:t xml:space="preserve"> (average </w:t>
      </w:r>
      <w:r w:rsidRPr="00AB6CD2">
        <w:rPr>
          <w:rStyle w:val="Strong"/>
          <w:rFonts w:ascii="Arial" w:hAnsi="Arial" w:cs="Arial"/>
          <w:b w:val="0"/>
          <w:bCs w:val="0"/>
          <w:sz w:val="20"/>
          <w:szCs w:val="20"/>
        </w:rPr>
        <w:t>16.2°C</w:t>
      </w:r>
      <w:r w:rsidRPr="00AB6CD2">
        <w:rPr>
          <w:rFonts w:ascii="Arial" w:hAnsi="Arial" w:cs="Arial"/>
          <w:sz w:val="20"/>
          <w:szCs w:val="20"/>
        </w:rPr>
        <w:t xml:space="preserve">), gradually increasing toward the reproductive phase in March–April. March maximum temperatures reached </w:t>
      </w:r>
      <w:r w:rsidRPr="00AB6CD2">
        <w:rPr>
          <w:rStyle w:val="Strong"/>
          <w:rFonts w:ascii="Arial" w:hAnsi="Arial" w:cs="Arial"/>
          <w:b w:val="0"/>
          <w:bCs w:val="0"/>
          <w:sz w:val="20"/>
          <w:szCs w:val="20"/>
        </w:rPr>
        <w:t>36.5°C</w:t>
      </w:r>
      <w:r w:rsidRPr="00AB6CD2">
        <w:rPr>
          <w:rFonts w:ascii="Arial" w:hAnsi="Arial" w:cs="Arial"/>
          <w:sz w:val="20"/>
          <w:szCs w:val="20"/>
        </w:rPr>
        <w:t xml:space="preserve">, with average daily temperatures of </w:t>
      </w:r>
      <w:r w:rsidRPr="00AB6CD2">
        <w:rPr>
          <w:rStyle w:val="Strong"/>
          <w:rFonts w:ascii="Arial" w:hAnsi="Arial" w:cs="Arial"/>
          <w:b w:val="0"/>
          <w:bCs w:val="0"/>
          <w:sz w:val="20"/>
          <w:szCs w:val="20"/>
        </w:rPr>
        <w:t>22.5°C</w:t>
      </w:r>
      <w:r w:rsidRPr="00AB6CD2">
        <w:rPr>
          <w:rFonts w:ascii="Arial" w:hAnsi="Arial" w:cs="Arial"/>
          <w:b/>
          <w:bCs/>
          <w:sz w:val="20"/>
          <w:szCs w:val="20"/>
        </w:rPr>
        <w:t>,</w:t>
      </w:r>
      <w:r w:rsidRPr="00AB6CD2">
        <w:rPr>
          <w:rFonts w:ascii="Arial" w:hAnsi="Arial" w:cs="Arial"/>
          <w:sz w:val="20"/>
          <w:szCs w:val="20"/>
        </w:rPr>
        <w:t xml:space="preserve"> while April temperatures peaked near </w:t>
      </w:r>
      <w:r w:rsidRPr="00AB6CD2">
        <w:rPr>
          <w:rStyle w:val="Strong"/>
          <w:rFonts w:ascii="Arial" w:hAnsi="Arial" w:cs="Arial"/>
          <w:b w:val="0"/>
          <w:bCs w:val="0"/>
          <w:sz w:val="20"/>
          <w:szCs w:val="20"/>
        </w:rPr>
        <w:t>39.6°C</w:t>
      </w:r>
      <w:r w:rsidRPr="00AB6CD2">
        <w:rPr>
          <w:rFonts w:ascii="Arial" w:hAnsi="Arial" w:cs="Arial"/>
          <w:b/>
          <w:bCs/>
          <w:sz w:val="20"/>
          <w:szCs w:val="20"/>
        </w:rPr>
        <w:t>,</w:t>
      </w:r>
      <w:r w:rsidRPr="00AB6CD2">
        <w:rPr>
          <w:rFonts w:ascii="Arial" w:hAnsi="Arial" w:cs="Arial"/>
          <w:sz w:val="20"/>
          <w:szCs w:val="20"/>
        </w:rPr>
        <w:t xml:space="preserve"> exposing the crop to significant heat stress during pod development and seed maturation</w:t>
      </w:r>
      <w:r>
        <w:t xml:space="preserve">. </w:t>
      </w:r>
      <w:r w:rsidR="00F02502" w:rsidRPr="008C5FCA">
        <w:rPr>
          <w:rFonts w:ascii="Arial" w:hAnsi="Arial" w:cs="Arial"/>
          <w:color w:val="000000" w:themeColor="text1"/>
          <w:sz w:val="20"/>
          <w:szCs w:val="20"/>
        </w:rPr>
        <w:t xml:space="preserve">Temperature prevailing throughout the crop trial are presented in Fig. 1. </w:t>
      </w:r>
    </w:p>
    <w:p w14:paraId="4D236A70" w14:textId="77777777" w:rsidR="00F02502" w:rsidRPr="00AB6CD2" w:rsidRDefault="00F02502" w:rsidP="00AB6CD2">
      <w:pPr>
        <w:pStyle w:val="NormalWeb"/>
        <w:jc w:val="both"/>
        <w:rPr>
          <w:rFonts w:ascii="Arial" w:hAnsi="Arial" w:cs="Arial"/>
          <w:sz w:val="20"/>
          <w:szCs w:val="20"/>
        </w:rPr>
      </w:pPr>
      <w:r w:rsidRPr="008C5FCA">
        <w:rPr>
          <w:rFonts w:ascii="Arial" w:hAnsi="Arial" w:cs="Arial"/>
          <w:color w:val="000000" w:themeColor="text1"/>
          <w:sz w:val="20"/>
          <w:szCs w:val="20"/>
        </w:rPr>
        <w:t>These sequential changes in temperature effectively resulted in three distinct environmental conditions for screening the genotypes:</w:t>
      </w:r>
    </w:p>
    <w:p w14:paraId="62B7292C" w14:textId="77777777" w:rsidR="001778C1" w:rsidRPr="001778C1" w:rsidRDefault="00F02502" w:rsidP="00BD116E">
      <w:pPr>
        <w:numPr>
          <w:ilvl w:val="0"/>
          <w:numId w:val="31"/>
        </w:numPr>
        <w:spacing w:after="100" w:afterAutospacing="1"/>
        <w:jc w:val="both"/>
        <w:rPr>
          <w:rFonts w:ascii="Arial" w:hAnsi="Arial" w:cs="Arial"/>
          <w:color w:val="000000" w:themeColor="text1"/>
          <w:sz w:val="20"/>
          <w:szCs w:val="20"/>
        </w:rPr>
      </w:pPr>
      <w:bookmarkStart w:id="12" w:name="OLE_LINK9"/>
      <w:r w:rsidRPr="008C5FCA">
        <w:rPr>
          <w:rFonts w:ascii="Arial" w:hAnsi="Arial" w:cs="Arial"/>
          <w:b/>
          <w:bCs/>
          <w:color w:val="000000" w:themeColor="text1"/>
          <w:sz w:val="20"/>
          <w:szCs w:val="20"/>
        </w:rPr>
        <w:t>Environment I:</w:t>
      </w:r>
      <w:r w:rsidRPr="008C5FCA">
        <w:rPr>
          <w:rFonts w:ascii="Arial" w:hAnsi="Arial" w:cs="Arial"/>
          <w:color w:val="000000" w:themeColor="text1"/>
          <w:sz w:val="20"/>
          <w:szCs w:val="20"/>
        </w:rPr>
        <w:t xml:space="preserve"> High-temperature exposure during the early vegetative and pre-flowering stages. </w:t>
      </w:r>
    </w:p>
    <w:p w14:paraId="27B358B3" w14:textId="77777777" w:rsidR="00F02502" w:rsidRPr="008C5FCA" w:rsidRDefault="00F02502" w:rsidP="00BD116E">
      <w:pPr>
        <w:numPr>
          <w:ilvl w:val="0"/>
          <w:numId w:val="31"/>
        </w:numPr>
        <w:spacing w:after="100" w:afterAutospacing="1"/>
        <w:jc w:val="both"/>
        <w:rPr>
          <w:rFonts w:ascii="Arial" w:hAnsi="Arial" w:cs="Arial"/>
          <w:color w:val="000000" w:themeColor="text1"/>
          <w:sz w:val="20"/>
          <w:szCs w:val="20"/>
        </w:rPr>
      </w:pPr>
      <w:r w:rsidRPr="008C5FCA">
        <w:rPr>
          <w:rFonts w:ascii="Arial" w:hAnsi="Arial" w:cs="Arial"/>
          <w:b/>
          <w:bCs/>
          <w:color w:val="000000" w:themeColor="text1"/>
          <w:sz w:val="20"/>
          <w:szCs w:val="20"/>
        </w:rPr>
        <w:lastRenderedPageBreak/>
        <w:t>Environment II:</w:t>
      </w:r>
      <w:r w:rsidRPr="008C5FCA">
        <w:rPr>
          <w:rFonts w:ascii="Arial" w:hAnsi="Arial" w:cs="Arial"/>
          <w:color w:val="000000" w:themeColor="text1"/>
          <w:sz w:val="20"/>
          <w:szCs w:val="20"/>
        </w:rPr>
        <w:t xml:space="preserve"> Optimal cool-season conditions during critical growth stages. </w:t>
      </w:r>
    </w:p>
    <w:p w14:paraId="140AD6D0" w14:textId="5CA8A0B8" w:rsidR="00342CEB" w:rsidRPr="00276972" w:rsidRDefault="00F02502" w:rsidP="00342CEB">
      <w:pPr>
        <w:numPr>
          <w:ilvl w:val="0"/>
          <w:numId w:val="31"/>
        </w:numPr>
        <w:spacing w:after="100" w:afterAutospacing="1"/>
        <w:jc w:val="both"/>
        <w:rPr>
          <w:rFonts w:ascii="Arial" w:hAnsi="Arial" w:cs="Arial"/>
          <w:color w:val="000000" w:themeColor="text1"/>
          <w:sz w:val="20"/>
          <w:szCs w:val="20"/>
        </w:rPr>
      </w:pPr>
      <w:r w:rsidRPr="008C5FCA">
        <w:rPr>
          <w:rFonts w:ascii="Arial" w:hAnsi="Arial" w:cs="Arial"/>
          <w:b/>
          <w:bCs/>
          <w:color w:val="000000" w:themeColor="text1"/>
          <w:sz w:val="20"/>
          <w:szCs w:val="20"/>
        </w:rPr>
        <w:t>Environment III:</w:t>
      </w:r>
      <w:r w:rsidRPr="008C5FCA">
        <w:rPr>
          <w:rFonts w:ascii="Arial" w:hAnsi="Arial" w:cs="Arial"/>
          <w:color w:val="000000" w:themeColor="text1"/>
          <w:sz w:val="20"/>
          <w:szCs w:val="20"/>
        </w:rPr>
        <w:t xml:space="preserve"> Terminal heat stress (post-flowering) during pod development and seed maturation.</w:t>
      </w:r>
    </w:p>
    <w:bookmarkEnd w:id="11"/>
    <w:bookmarkEnd w:id="12"/>
    <w:p w14:paraId="7EDF9AC9" w14:textId="77777777" w:rsidR="00BD116E" w:rsidRPr="004853AC" w:rsidRDefault="00BD116E" w:rsidP="00BD116E">
      <w:pPr>
        <w:pStyle w:val="Body"/>
        <w:spacing w:after="0"/>
        <w:rPr>
          <w:rFonts w:ascii="Arial" w:hAnsi="Arial" w:cs="Arial"/>
          <w:b/>
          <w:caps/>
          <w:color w:val="000000" w:themeColor="text1"/>
          <w:sz w:val="22"/>
          <w:szCs w:val="22"/>
        </w:rPr>
      </w:pPr>
      <w:r w:rsidRPr="004853AC">
        <w:rPr>
          <w:rFonts w:ascii="Arial" w:hAnsi="Arial" w:cs="Arial"/>
          <w:b/>
          <w:caps/>
          <w:color w:val="000000" w:themeColor="text1"/>
          <w:sz w:val="22"/>
          <w:szCs w:val="22"/>
        </w:rPr>
        <w:t xml:space="preserve">2.6 </w:t>
      </w:r>
      <w:r w:rsidRPr="004853AC">
        <w:rPr>
          <w:rFonts w:ascii="Arial" w:hAnsi="Arial" w:cs="Arial"/>
          <w:b/>
          <w:bCs/>
          <w:color w:val="000000" w:themeColor="text1"/>
          <w:sz w:val="22"/>
          <w:szCs w:val="22"/>
        </w:rPr>
        <w:t>Data Collection and Observations</w:t>
      </w:r>
    </w:p>
    <w:p w14:paraId="63421E2F" w14:textId="77777777" w:rsidR="00BD116E" w:rsidRPr="008C5FCA" w:rsidRDefault="00BD116E" w:rsidP="00BD116E">
      <w:pPr>
        <w:pStyle w:val="NormalWeb"/>
        <w:jc w:val="both"/>
        <w:rPr>
          <w:rFonts w:ascii="Arial" w:hAnsi="Arial" w:cs="Arial"/>
          <w:color w:val="000000" w:themeColor="text1"/>
          <w:sz w:val="20"/>
          <w:szCs w:val="20"/>
        </w:rPr>
      </w:pPr>
      <w:r w:rsidRPr="00BD116E">
        <w:rPr>
          <w:rFonts w:ascii="Arial" w:hAnsi="Arial" w:cs="Arial"/>
          <w:color w:val="000000" w:themeColor="text1"/>
          <w:sz w:val="20"/>
          <w:szCs w:val="20"/>
        </w:rPr>
        <w:t>Observations on various growth and yield parameters were recorded from five randomly selected and tagged plants in each plot. Days to 50% flowering were recorded as the</w:t>
      </w:r>
      <w:r>
        <w:rPr>
          <w:rFonts w:ascii="Arial" w:hAnsi="Arial" w:cs="Arial"/>
          <w:color w:val="000000" w:themeColor="text1"/>
          <w:sz w:val="20"/>
          <w:szCs w:val="20"/>
        </w:rPr>
        <w:t xml:space="preserve"> </w:t>
      </w:r>
      <w:r w:rsidRPr="008C5FCA">
        <w:rPr>
          <w:rFonts w:ascii="Arial" w:hAnsi="Arial" w:cs="Arial"/>
          <w:color w:val="000000" w:themeColor="text1"/>
          <w:sz w:val="20"/>
          <w:szCs w:val="20"/>
        </w:rPr>
        <w:t>number of days taken from sowing to the stage when 50% of the plants in a plot exhibited flowering, and the mean value was expressed in days. Plant height was measured at 60 and</w:t>
      </w:r>
      <w:r>
        <w:rPr>
          <w:rFonts w:ascii="Arial" w:hAnsi="Arial" w:cs="Arial"/>
          <w:color w:val="000000" w:themeColor="text1"/>
          <w:sz w:val="20"/>
          <w:szCs w:val="20"/>
        </w:rPr>
        <w:t xml:space="preserve"> </w:t>
      </w:r>
      <w:r w:rsidRPr="008C5FCA">
        <w:rPr>
          <w:rFonts w:ascii="Arial" w:hAnsi="Arial" w:cs="Arial"/>
          <w:color w:val="000000" w:themeColor="text1"/>
          <w:sz w:val="20"/>
          <w:szCs w:val="20"/>
        </w:rPr>
        <w:t>90 DAS from the base of the plant to the apex using a standard meter scale, and the</w:t>
      </w:r>
      <w:r>
        <w:rPr>
          <w:rFonts w:ascii="Arial" w:hAnsi="Arial" w:cs="Arial"/>
          <w:color w:val="000000" w:themeColor="text1"/>
          <w:sz w:val="20"/>
          <w:szCs w:val="20"/>
        </w:rPr>
        <w:t xml:space="preserve"> </w:t>
      </w:r>
      <w:r w:rsidRPr="008C5FCA">
        <w:rPr>
          <w:rFonts w:ascii="Arial" w:hAnsi="Arial" w:cs="Arial"/>
          <w:color w:val="000000" w:themeColor="text1"/>
          <w:sz w:val="20"/>
          <w:szCs w:val="20"/>
        </w:rPr>
        <w:t>average height was calculated and expressed in centimetres.</w:t>
      </w:r>
    </w:p>
    <w:p w14:paraId="0787B6B7" w14:textId="0479D218" w:rsidR="000B19A7" w:rsidRPr="009E2E0E" w:rsidRDefault="00D10D1E" w:rsidP="00245114">
      <w:pPr>
        <w:spacing w:before="100" w:beforeAutospacing="1" w:after="100" w:afterAutospacing="1"/>
        <w:jc w:val="both"/>
        <w:rPr>
          <w:rFonts w:ascii="Arial" w:hAnsi="Arial" w:cs="Arial"/>
          <w:b/>
          <w:bCs/>
          <w:color w:val="000000" w:themeColor="text1"/>
          <w:sz w:val="20"/>
          <w:szCs w:val="20"/>
        </w:rPr>
      </w:pPr>
      <w:r w:rsidRPr="008C5FCA">
        <w:rPr>
          <w:rFonts w:ascii="Arial" w:hAnsi="Arial" w:cs="Arial"/>
          <w:noProof/>
          <w:color w:val="000000" w:themeColor="text1"/>
          <w:sz w:val="20"/>
          <w:szCs w:val="20"/>
        </w:rPr>
        <w:drawing>
          <wp:inline distT="0" distB="0" distL="0" distR="0" wp14:anchorId="174756A2" wp14:editId="2505C828">
            <wp:extent cx="5212080" cy="2535555"/>
            <wp:effectExtent l="0" t="0" r="0" b="0"/>
            <wp:docPr id="1546821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21087" name=""/>
                    <pic:cNvPicPr/>
                  </pic:nvPicPr>
                  <pic:blipFill>
                    <a:blip r:embed="rId14"/>
                    <a:stretch>
                      <a:fillRect/>
                    </a:stretch>
                  </pic:blipFill>
                  <pic:spPr>
                    <a:xfrm>
                      <a:off x="0" y="0"/>
                      <a:ext cx="5212080" cy="2535555"/>
                    </a:xfrm>
                    <a:prstGeom prst="rect">
                      <a:avLst/>
                    </a:prstGeom>
                  </pic:spPr>
                </pic:pic>
              </a:graphicData>
            </a:graphic>
          </wp:inline>
        </w:drawing>
      </w:r>
      <w:r w:rsidRPr="008C5FCA">
        <w:rPr>
          <w:rFonts w:ascii="Arial" w:hAnsi="Arial" w:cs="Arial"/>
          <w:b/>
          <w:bCs/>
          <w:color w:val="000000" w:themeColor="text1"/>
          <w:sz w:val="20"/>
          <w:szCs w:val="20"/>
        </w:rPr>
        <w:t>Fig. 1: Weather data prevailed during Environment - I, II, III garden pea production in the year 2024-25</w:t>
      </w:r>
      <w:r w:rsidR="00AE60CB" w:rsidRPr="008C5FCA">
        <w:rPr>
          <w:rFonts w:ascii="Arial" w:hAnsi="Arial" w:cs="Arial"/>
          <w:b/>
          <w:bCs/>
          <w:color w:val="000000" w:themeColor="text1"/>
          <w:sz w:val="20"/>
          <w:szCs w:val="20"/>
        </w:rPr>
        <w:t>.</w:t>
      </w:r>
    </w:p>
    <w:p w14:paraId="7C794CCA" w14:textId="77777777" w:rsidR="00181006" w:rsidRPr="008C5FCA" w:rsidRDefault="00181006" w:rsidP="00181006">
      <w:pPr>
        <w:pStyle w:val="NormalWeb"/>
        <w:jc w:val="both"/>
        <w:rPr>
          <w:rFonts w:ascii="Arial" w:hAnsi="Arial" w:cs="Arial"/>
          <w:color w:val="000000" w:themeColor="text1"/>
          <w:sz w:val="20"/>
          <w:szCs w:val="20"/>
        </w:rPr>
      </w:pPr>
      <w:r w:rsidRPr="008C5FCA">
        <w:rPr>
          <w:rFonts w:ascii="Arial" w:hAnsi="Arial" w:cs="Arial"/>
          <w:color w:val="000000" w:themeColor="text1"/>
          <w:sz w:val="20"/>
          <w:szCs w:val="20"/>
        </w:rPr>
        <w:t xml:space="preserve">For yield attributes, the number of pods per plant was recorded by counting the total number of pods harvested from each tagged plant across all pickings, and the mean value was computed at the end of the season. The number of seeds per pod was determined by counting seeds from randomly selected pods of each tagged plant and averaging the values. Pod length and pod diameter were measured from a representative sample of pods collected from the tagged plants using a scale/vernier </w:t>
      </w:r>
      <w:r w:rsidR="003007A5" w:rsidRPr="008C5FCA">
        <w:rPr>
          <w:rFonts w:ascii="Arial" w:hAnsi="Arial" w:cs="Arial"/>
          <w:color w:val="000000" w:themeColor="text1"/>
          <w:sz w:val="20"/>
          <w:szCs w:val="20"/>
        </w:rPr>
        <w:t>calliper</w:t>
      </w:r>
      <w:r w:rsidRPr="008C5FCA">
        <w:rPr>
          <w:rFonts w:ascii="Arial" w:hAnsi="Arial" w:cs="Arial"/>
          <w:color w:val="000000" w:themeColor="text1"/>
          <w:sz w:val="20"/>
          <w:szCs w:val="20"/>
        </w:rPr>
        <w:t>, and their mean values were expressed in centimetres. Average pod weight was calculated by recording the weight of pods harvested from the tagged plants at each picking and computing the mean, which was expressed in grams.</w:t>
      </w:r>
    </w:p>
    <w:p w14:paraId="5483D811" w14:textId="77777777" w:rsidR="00935837" w:rsidRPr="004E6E82" w:rsidRDefault="00935837" w:rsidP="00935837">
      <w:pPr>
        <w:pStyle w:val="Body"/>
        <w:spacing w:after="0"/>
        <w:rPr>
          <w:rFonts w:ascii="Arial" w:hAnsi="Arial" w:cs="Arial"/>
          <w:b/>
          <w:color w:val="000000" w:themeColor="text1"/>
          <w:sz w:val="22"/>
          <w:szCs w:val="22"/>
        </w:rPr>
      </w:pPr>
      <w:r w:rsidRPr="004E6E82">
        <w:rPr>
          <w:rFonts w:ascii="Arial" w:hAnsi="Arial" w:cs="Arial"/>
          <w:b/>
          <w:caps/>
          <w:color w:val="000000" w:themeColor="text1"/>
          <w:sz w:val="22"/>
          <w:szCs w:val="22"/>
        </w:rPr>
        <w:t>2.</w:t>
      </w:r>
      <w:r w:rsidR="00B367A0" w:rsidRPr="004E6E82">
        <w:rPr>
          <w:rFonts w:ascii="Arial" w:hAnsi="Arial" w:cs="Arial"/>
          <w:b/>
          <w:caps/>
          <w:color w:val="000000" w:themeColor="text1"/>
          <w:sz w:val="22"/>
          <w:szCs w:val="22"/>
        </w:rPr>
        <w:t>7</w:t>
      </w:r>
      <w:r w:rsidRPr="004E6E82">
        <w:rPr>
          <w:rFonts w:ascii="Arial" w:hAnsi="Arial" w:cs="Arial"/>
          <w:b/>
          <w:caps/>
          <w:color w:val="000000" w:themeColor="text1"/>
          <w:sz w:val="22"/>
          <w:szCs w:val="22"/>
        </w:rPr>
        <w:t xml:space="preserve"> </w:t>
      </w:r>
      <w:r w:rsidRPr="004E6E82">
        <w:rPr>
          <w:rFonts w:ascii="Arial" w:hAnsi="Arial" w:cs="Arial"/>
          <w:b/>
          <w:color w:val="000000" w:themeColor="text1"/>
          <w:sz w:val="22"/>
          <w:szCs w:val="22"/>
        </w:rPr>
        <w:t>Statistical Analysis</w:t>
      </w:r>
    </w:p>
    <w:p w14:paraId="6104F996" w14:textId="77777777" w:rsidR="00935837" w:rsidRPr="004853AC" w:rsidRDefault="00935837" w:rsidP="00935837">
      <w:pPr>
        <w:pStyle w:val="Body"/>
        <w:spacing w:after="0"/>
        <w:rPr>
          <w:rFonts w:ascii="Arial" w:hAnsi="Arial" w:cs="Arial"/>
          <w:b/>
          <w:color w:val="000000" w:themeColor="text1"/>
          <w:sz w:val="22"/>
          <w:szCs w:val="22"/>
        </w:rPr>
      </w:pPr>
    </w:p>
    <w:p w14:paraId="18FD756D" w14:textId="77777777" w:rsidR="00821FD9" w:rsidRDefault="00F02502" w:rsidP="00900116">
      <w:pPr>
        <w:pStyle w:val="Body"/>
        <w:spacing w:after="0"/>
        <w:rPr>
          <w:rFonts w:ascii="Arial" w:hAnsi="Arial" w:cs="Arial"/>
          <w:color w:val="000000" w:themeColor="text1"/>
        </w:rPr>
      </w:pPr>
      <w:r w:rsidRPr="008C5FCA">
        <w:rPr>
          <w:rFonts w:ascii="Arial" w:hAnsi="Arial" w:cs="Arial"/>
          <w:color w:val="000000" w:themeColor="text1"/>
        </w:rPr>
        <w:t>An independent Analysis of Variance (ANOVA) was performed for yield traits across each of the three thermal environments (I, II, and III) following the Augmented Block Design (ABD) proposed by Federer (1955). To ensure a valid comparison among the unreplicated test genotypes, adjusted means were calculated by utilizing the performance of the repeated check varieties to account for intra-block environmental heterogeneity. Differences between treatment means were tested for significance using the Critical Difference at a 5% level of probability (P = .05).</w:t>
      </w:r>
      <w:bookmarkStart w:id="13" w:name="OLE_LINK4"/>
      <w:bookmarkStart w:id="14" w:name="OLE_LINK106"/>
    </w:p>
    <w:p w14:paraId="73B7FC4B" w14:textId="1364B196" w:rsidR="00902823" w:rsidRPr="00821FD9" w:rsidRDefault="00900116" w:rsidP="00900116">
      <w:pPr>
        <w:pStyle w:val="Body"/>
        <w:spacing w:after="0"/>
        <w:rPr>
          <w:rFonts w:ascii="Arial" w:hAnsi="Arial" w:cs="Arial"/>
          <w:color w:val="000000" w:themeColor="text1"/>
        </w:rPr>
      </w:pPr>
      <w:r w:rsidRPr="00900116">
        <w:rPr>
          <w:rFonts w:ascii="Arial" w:hAnsi="Arial" w:cs="Arial"/>
          <w:b/>
          <w:bCs/>
          <w:color w:val="000000" w:themeColor="text1"/>
          <w:sz w:val="22"/>
          <w:szCs w:val="22"/>
        </w:rPr>
        <w:lastRenderedPageBreak/>
        <w:t>3. RESULTS AND DISCUSSION</w:t>
      </w:r>
    </w:p>
    <w:bookmarkEnd w:id="13"/>
    <w:p w14:paraId="7456C3C0" w14:textId="77777777" w:rsidR="00790ADA" w:rsidRPr="00EB2EE1" w:rsidRDefault="00790ADA" w:rsidP="00441B6F">
      <w:pPr>
        <w:pStyle w:val="Head1"/>
        <w:spacing w:after="0"/>
        <w:jc w:val="both"/>
        <w:rPr>
          <w:rFonts w:ascii="Arial" w:hAnsi="Arial" w:cs="Arial"/>
          <w:color w:val="000000" w:themeColor="text1"/>
          <w:szCs w:val="22"/>
        </w:rPr>
      </w:pPr>
    </w:p>
    <w:p w14:paraId="3FA09C5A" w14:textId="77777777" w:rsidR="00935837" w:rsidRPr="00EB2EE1" w:rsidRDefault="00935837" w:rsidP="00935837">
      <w:pPr>
        <w:pStyle w:val="Head1"/>
        <w:spacing w:after="0"/>
        <w:jc w:val="both"/>
        <w:rPr>
          <w:rFonts w:ascii="Arial" w:hAnsi="Arial" w:cs="Arial"/>
          <w:color w:val="000000" w:themeColor="text1"/>
          <w:szCs w:val="22"/>
        </w:rPr>
      </w:pPr>
      <w:r w:rsidRPr="00EB2EE1">
        <w:rPr>
          <w:rFonts w:ascii="Arial" w:hAnsi="Arial" w:cs="Arial"/>
          <w:color w:val="000000" w:themeColor="text1"/>
          <w:szCs w:val="22"/>
        </w:rPr>
        <w:t>3.1</w:t>
      </w:r>
      <w:r w:rsidR="00592A51" w:rsidRPr="00EB2EE1">
        <w:rPr>
          <w:rFonts w:ascii="Arial" w:hAnsi="Arial" w:cs="Arial"/>
          <w:color w:val="000000" w:themeColor="text1"/>
          <w:szCs w:val="22"/>
        </w:rPr>
        <w:t xml:space="preserve"> </w:t>
      </w:r>
      <w:r w:rsidRPr="00EB2EE1">
        <w:rPr>
          <w:rFonts w:ascii="Arial" w:hAnsi="Arial" w:cs="Arial"/>
          <w:caps w:val="0"/>
          <w:color w:val="000000" w:themeColor="text1"/>
          <w:szCs w:val="22"/>
        </w:rPr>
        <w:t>Survival and Phenological Progress of Genotypes Under Different Sowing Conditions</w:t>
      </w:r>
    </w:p>
    <w:p w14:paraId="0F9B0F6D" w14:textId="77777777" w:rsidR="00935837" w:rsidRPr="008C5FCA" w:rsidRDefault="00935837" w:rsidP="00441B6F">
      <w:pPr>
        <w:pStyle w:val="Head1"/>
        <w:spacing w:after="0"/>
        <w:jc w:val="both"/>
        <w:rPr>
          <w:rFonts w:ascii="Arial" w:hAnsi="Arial" w:cs="Arial"/>
          <w:color w:val="000000" w:themeColor="text1"/>
          <w:sz w:val="20"/>
        </w:rPr>
      </w:pPr>
    </w:p>
    <w:p w14:paraId="4AAB7D32" w14:textId="77777777" w:rsidR="00BA1A88" w:rsidRPr="00632F76" w:rsidRDefault="002547AB" w:rsidP="00632F76">
      <w:pPr>
        <w:jc w:val="both"/>
        <w:rPr>
          <w:rFonts w:ascii="Arial" w:hAnsi="Arial" w:cs="Arial"/>
          <w:color w:val="000000" w:themeColor="text1"/>
          <w:sz w:val="20"/>
          <w:szCs w:val="20"/>
        </w:rPr>
      </w:pPr>
      <w:r w:rsidRPr="008C5FCA">
        <w:rPr>
          <w:rFonts w:ascii="Arial" w:hAnsi="Arial" w:cs="Arial"/>
          <w:color w:val="000000" w:themeColor="text1"/>
          <w:sz w:val="20"/>
          <w:szCs w:val="20"/>
        </w:rPr>
        <w:t>Marked differences in survival and reproductive progression were observed across environments, indicating a strong influence of temperature regimes on crop establishment and reproductive success. In the pre-flowering heat stress environment (E1), only 41 genotypes reached 50% flowering, of which 39 completed seed set (Table 2). In contrast, all 74 genotypes successfully completed their life cycle under the optimal conditions of E2, reflecting the suitability of moderate temperatures for growth and reproduction.</w:t>
      </w:r>
      <w:r w:rsidR="00BA1A88" w:rsidRPr="008C5FCA">
        <w:rPr>
          <w:rFonts w:ascii="Arial" w:hAnsi="Arial" w:cs="Arial"/>
          <w:color w:val="000000" w:themeColor="text1"/>
          <w:sz w:val="20"/>
          <w:szCs w:val="20"/>
        </w:rPr>
        <w:t xml:space="preserve"> </w:t>
      </w:r>
      <w:r w:rsidRPr="008C5FCA">
        <w:rPr>
          <w:rFonts w:ascii="Arial" w:hAnsi="Arial" w:cs="Arial"/>
          <w:color w:val="000000" w:themeColor="text1"/>
          <w:sz w:val="20"/>
          <w:szCs w:val="20"/>
        </w:rPr>
        <w:t xml:space="preserve">Under terminal heat stress (E3), although germination was unaffected, only 38 genotypes reached flowering and just 22 completed reproductive development, indicating severe impairment during the reproductive phase. </w:t>
      </w:r>
      <w:r w:rsidR="00632F76" w:rsidRPr="00632F76">
        <w:rPr>
          <w:rFonts w:ascii="Arial" w:hAnsi="Arial" w:cs="Arial"/>
          <w:sz w:val="20"/>
          <w:szCs w:val="20"/>
        </w:rPr>
        <w:t xml:space="preserve">This severe loss reflects reproductive organ dysfunction driven by high temperature, where heat interferes with gamete development, pollen viability, fertilization, and pod set, leading to abortion of reproductive structures. Such reproductive failure under high temperatures has been widely documented in pea, where exposure to temperatures above ~30°C during critical reproductive windows reduces seed set and pod formation (Jeuffroy </w:t>
      </w:r>
      <w:r w:rsidR="00632F76" w:rsidRPr="00632F76">
        <w:rPr>
          <w:rFonts w:ascii="Arial" w:hAnsi="Arial" w:cs="Arial"/>
          <w:i/>
          <w:iCs/>
          <w:sz w:val="20"/>
          <w:szCs w:val="20"/>
        </w:rPr>
        <w:t>et al.,</w:t>
      </w:r>
      <w:r w:rsidR="00632F76" w:rsidRPr="00632F76">
        <w:rPr>
          <w:rFonts w:ascii="Arial" w:hAnsi="Arial" w:cs="Arial"/>
          <w:sz w:val="20"/>
          <w:szCs w:val="20"/>
        </w:rPr>
        <w:t xml:space="preserve"> 1990; Guilioni </w:t>
      </w:r>
      <w:r w:rsidR="00632F76" w:rsidRPr="00632F76">
        <w:rPr>
          <w:rFonts w:ascii="Arial" w:hAnsi="Arial" w:cs="Arial"/>
          <w:i/>
          <w:iCs/>
          <w:sz w:val="20"/>
          <w:szCs w:val="20"/>
        </w:rPr>
        <w:t>et al.,</w:t>
      </w:r>
      <w:r w:rsidR="00632F76" w:rsidRPr="00632F76">
        <w:rPr>
          <w:rFonts w:ascii="Arial" w:hAnsi="Arial" w:cs="Arial"/>
          <w:sz w:val="20"/>
          <w:szCs w:val="20"/>
        </w:rPr>
        <w:t xml:space="preserve"> 1997).</w:t>
      </w:r>
      <w:r w:rsidRPr="00632F76">
        <w:rPr>
          <w:rFonts w:ascii="Arial" w:hAnsi="Arial" w:cs="Arial"/>
          <w:color w:val="000000" w:themeColor="text1"/>
          <w:sz w:val="20"/>
          <w:szCs w:val="20"/>
        </w:rPr>
        <w:t xml:space="preserve"> </w:t>
      </w:r>
    </w:p>
    <w:p w14:paraId="2FEED4A3" w14:textId="77777777" w:rsidR="00BA1A88" w:rsidRPr="00632F76" w:rsidRDefault="00BA1A88" w:rsidP="00632F76">
      <w:pPr>
        <w:jc w:val="both"/>
        <w:rPr>
          <w:rFonts w:ascii="Arial" w:hAnsi="Arial" w:cs="Arial"/>
          <w:color w:val="000000" w:themeColor="text1"/>
          <w:sz w:val="20"/>
          <w:szCs w:val="20"/>
        </w:rPr>
      </w:pPr>
    </w:p>
    <w:p w14:paraId="78603326" w14:textId="77777777" w:rsidR="002547AB" w:rsidRDefault="002547AB" w:rsidP="002547AB">
      <w:pPr>
        <w:jc w:val="both"/>
        <w:rPr>
          <w:rFonts w:ascii="Arial" w:hAnsi="Arial" w:cs="Arial"/>
          <w:color w:val="000000" w:themeColor="text1"/>
          <w:sz w:val="20"/>
          <w:szCs w:val="20"/>
        </w:rPr>
      </w:pPr>
      <w:r w:rsidRPr="008C5FCA">
        <w:rPr>
          <w:rFonts w:ascii="Arial" w:hAnsi="Arial" w:cs="Arial"/>
          <w:color w:val="000000" w:themeColor="text1"/>
          <w:sz w:val="20"/>
          <w:szCs w:val="20"/>
        </w:rPr>
        <w:t>To ensure uniform comparison, only 22 genotypes</w:t>
      </w:r>
      <w:r w:rsidR="003007A5" w:rsidRPr="008C5FCA">
        <w:rPr>
          <w:rFonts w:ascii="Arial" w:hAnsi="Arial" w:cs="Arial"/>
          <w:color w:val="000000" w:themeColor="text1"/>
          <w:sz w:val="20"/>
          <w:szCs w:val="20"/>
        </w:rPr>
        <w:t xml:space="preserve"> (Table 3)</w:t>
      </w:r>
      <w:r w:rsidRPr="008C5FCA">
        <w:rPr>
          <w:rFonts w:ascii="Arial" w:hAnsi="Arial" w:cs="Arial"/>
          <w:color w:val="000000" w:themeColor="text1"/>
          <w:sz w:val="20"/>
          <w:szCs w:val="20"/>
        </w:rPr>
        <w:t xml:space="preserve"> that consistently completed their life cycle across all environments were considered for further analysis.</w:t>
      </w:r>
      <w:r w:rsidR="00275FFD" w:rsidRPr="008C5FCA">
        <w:rPr>
          <w:rFonts w:ascii="Arial" w:hAnsi="Arial" w:cs="Arial"/>
          <w:color w:val="000000" w:themeColor="text1"/>
          <w:sz w:val="20"/>
          <w:szCs w:val="20"/>
        </w:rPr>
        <w:t xml:space="preserve"> </w:t>
      </w:r>
      <w:r w:rsidRPr="008C5FCA">
        <w:rPr>
          <w:rFonts w:ascii="Arial" w:hAnsi="Arial" w:cs="Arial"/>
          <w:color w:val="000000" w:themeColor="text1"/>
          <w:sz w:val="20"/>
          <w:szCs w:val="20"/>
        </w:rPr>
        <w:t>Mean performance and variability of yield and its component traits under heat stress and normal conditions are provided in Table 4.</w:t>
      </w:r>
    </w:p>
    <w:p w14:paraId="1D973304" w14:textId="77777777" w:rsidR="009E2E0E" w:rsidRPr="008C5FCA" w:rsidRDefault="009E2E0E" w:rsidP="002547AB">
      <w:pPr>
        <w:jc w:val="both"/>
        <w:rPr>
          <w:rFonts w:ascii="Arial" w:hAnsi="Arial" w:cs="Arial"/>
          <w:color w:val="000000" w:themeColor="text1"/>
          <w:sz w:val="20"/>
          <w:szCs w:val="20"/>
        </w:rPr>
      </w:pPr>
    </w:p>
    <w:p w14:paraId="4C8CDDD2" w14:textId="77777777" w:rsidR="004853AC" w:rsidRDefault="004853AC" w:rsidP="00FB2615">
      <w:pPr>
        <w:pStyle w:val="Heading3"/>
        <w:spacing w:before="0"/>
        <w:rPr>
          <w:rStyle w:val="Strong"/>
          <w:rFonts w:ascii="Arial" w:hAnsi="Arial" w:cs="Arial"/>
          <w:color w:val="000000" w:themeColor="text1"/>
          <w:sz w:val="20"/>
          <w:szCs w:val="20"/>
        </w:rPr>
      </w:pPr>
    </w:p>
    <w:p w14:paraId="53269210" w14:textId="77777777" w:rsidR="00F02502" w:rsidRPr="008C5FCA" w:rsidRDefault="00F02502" w:rsidP="00FB2615">
      <w:pPr>
        <w:pStyle w:val="Heading3"/>
        <w:spacing w:before="0"/>
        <w:rPr>
          <w:rStyle w:val="Strong"/>
          <w:rFonts w:ascii="Arial" w:hAnsi="Arial" w:cs="Arial"/>
          <w:color w:val="000000" w:themeColor="text1"/>
          <w:sz w:val="20"/>
          <w:szCs w:val="20"/>
        </w:rPr>
      </w:pPr>
      <w:r w:rsidRPr="008C5FCA">
        <w:rPr>
          <w:rStyle w:val="Strong"/>
          <w:rFonts w:ascii="Arial" w:hAnsi="Arial" w:cs="Arial"/>
          <w:color w:val="000000" w:themeColor="text1"/>
          <w:sz w:val="20"/>
          <w:szCs w:val="20"/>
        </w:rPr>
        <w:t xml:space="preserve">Table </w:t>
      </w:r>
      <w:r w:rsidR="00D27150" w:rsidRPr="008C5FCA">
        <w:rPr>
          <w:rStyle w:val="Strong"/>
          <w:rFonts w:ascii="Arial" w:hAnsi="Arial" w:cs="Arial"/>
          <w:color w:val="000000" w:themeColor="text1"/>
          <w:sz w:val="20"/>
          <w:szCs w:val="20"/>
        </w:rPr>
        <w:t>2</w:t>
      </w:r>
      <w:r w:rsidRPr="008C5FCA">
        <w:rPr>
          <w:rStyle w:val="Strong"/>
          <w:rFonts w:ascii="Arial" w:hAnsi="Arial" w:cs="Arial"/>
          <w:color w:val="000000" w:themeColor="text1"/>
          <w:sz w:val="20"/>
          <w:szCs w:val="20"/>
        </w:rPr>
        <w:t>. List of garden pea genotypes reaching seed set stage under Environment I</w:t>
      </w:r>
    </w:p>
    <w:p w14:paraId="09BE4250" w14:textId="77777777" w:rsidR="00D10D1E" w:rsidRPr="008C5FCA" w:rsidRDefault="00D10D1E" w:rsidP="00D10D1E">
      <w:pPr>
        <w:rPr>
          <w:rFonts w:ascii="Arial" w:hAnsi="Arial" w:cs="Arial"/>
          <w:color w:val="000000" w:themeColor="text1"/>
          <w:sz w:val="20"/>
          <w:szCs w:val="20"/>
        </w:rPr>
      </w:pPr>
    </w:p>
    <w:tbl>
      <w:tblPr>
        <w:tblW w:w="8249" w:type="dxa"/>
        <w:tblCellSpacing w:w="15" w:type="dxa"/>
        <w:tblCellMar>
          <w:top w:w="15" w:type="dxa"/>
          <w:left w:w="15" w:type="dxa"/>
          <w:bottom w:w="15" w:type="dxa"/>
          <w:right w:w="15" w:type="dxa"/>
        </w:tblCellMar>
        <w:tblLook w:val="04A0" w:firstRow="1" w:lastRow="0" w:firstColumn="1" w:lastColumn="0" w:noHBand="0" w:noVBand="1"/>
      </w:tblPr>
      <w:tblGrid>
        <w:gridCol w:w="1190"/>
        <w:gridCol w:w="1174"/>
        <w:gridCol w:w="1174"/>
        <w:gridCol w:w="1174"/>
        <w:gridCol w:w="1174"/>
        <w:gridCol w:w="1174"/>
        <w:gridCol w:w="1189"/>
      </w:tblGrid>
      <w:tr w:rsidR="008C5FCA" w:rsidRPr="008C5FCA" w14:paraId="20A7568B" w14:textId="77777777" w:rsidTr="00D10D1E">
        <w:trPr>
          <w:trHeight w:val="237"/>
          <w:tblCellSpacing w:w="15" w:type="dxa"/>
        </w:trPr>
        <w:tc>
          <w:tcPr>
            <w:tcW w:w="0" w:type="auto"/>
            <w:tcBorders>
              <w:top w:val="single" w:sz="4" w:space="0" w:color="auto"/>
            </w:tcBorders>
            <w:vAlign w:val="center"/>
            <w:hideMark/>
          </w:tcPr>
          <w:p w14:paraId="6302AA03"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PSM-3*</w:t>
            </w:r>
          </w:p>
        </w:tc>
        <w:tc>
          <w:tcPr>
            <w:tcW w:w="0" w:type="auto"/>
            <w:tcBorders>
              <w:top w:val="single" w:sz="4" w:space="0" w:color="auto"/>
            </w:tcBorders>
            <w:vAlign w:val="center"/>
            <w:hideMark/>
          </w:tcPr>
          <w:p w14:paraId="784122B5"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PM-128*</w:t>
            </w:r>
          </w:p>
        </w:tc>
        <w:tc>
          <w:tcPr>
            <w:tcW w:w="0" w:type="auto"/>
            <w:tcBorders>
              <w:top w:val="single" w:sz="4" w:space="0" w:color="auto"/>
            </w:tcBorders>
            <w:vAlign w:val="center"/>
            <w:hideMark/>
          </w:tcPr>
          <w:p w14:paraId="75DD6FFD"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PSM-151</w:t>
            </w:r>
          </w:p>
        </w:tc>
        <w:tc>
          <w:tcPr>
            <w:tcW w:w="0" w:type="auto"/>
            <w:tcBorders>
              <w:top w:val="single" w:sz="4" w:space="0" w:color="auto"/>
            </w:tcBorders>
            <w:vAlign w:val="center"/>
            <w:hideMark/>
          </w:tcPr>
          <w:p w14:paraId="4B1E2EE0"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PSM-152</w:t>
            </w:r>
          </w:p>
        </w:tc>
        <w:tc>
          <w:tcPr>
            <w:tcW w:w="0" w:type="auto"/>
            <w:tcBorders>
              <w:top w:val="single" w:sz="4" w:space="0" w:color="auto"/>
            </w:tcBorders>
            <w:vAlign w:val="center"/>
            <w:hideMark/>
          </w:tcPr>
          <w:p w14:paraId="5FF92BDA"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PSM-153</w:t>
            </w:r>
          </w:p>
        </w:tc>
        <w:tc>
          <w:tcPr>
            <w:tcW w:w="0" w:type="auto"/>
            <w:tcBorders>
              <w:top w:val="single" w:sz="4" w:space="0" w:color="auto"/>
            </w:tcBorders>
            <w:vAlign w:val="center"/>
            <w:hideMark/>
          </w:tcPr>
          <w:p w14:paraId="75143A49"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PSM-154</w:t>
            </w:r>
          </w:p>
        </w:tc>
        <w:tc>
          <w:tcPr>
            <w:tcW w:w="0" w:type="auto"/>
            <w:tcBorders>
              <w:top w:val="single" w:sz="4" w:space="0" w:color="auto"/>
            </w:tcBorders>
            <w:vAlign w:val="center"/>
            <w:hideMark/>
          </w:tcPr>
          <w:p w14:paraId="240CF889"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PSM-157</w:t>
            </w:r>
          </w:p>
        </w:tc>
      </w:tr>
      <w:tr w:rsidR="008C5FCA" w:rsidRPr="008C5FCA" w14:paraId="6764A618" w14:textId="77777777" w:rsidTr="00EB2A64">
        <w:trPr>
          <w:trHeight w:val="252"/>
          <w:tblCellSpacing w:w="15" w:type="dxa"/>
        </w:trPr>
        <w:tc>
          <w:tcPr>
            <w:tcW w:w="0" w:type="auto"/>
            <w:vAlign w:val="center"/>
            <w:hideMark/>
          </w:tcPr>
          <w:p w14:paraId="4EAFE3DE"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PSM-159</w:t>
            </w:r>
          </w:p>
        </w:tc>
        <w:tc>
          <w:tcPr>
            <w:tcW w:w="0" w:type="auto"/>
            <w:vAlign w:val="center"/>
            <w:hideMark/>
          </w:tcPr>
          <w:p w14:paraId="4CC59F87"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PSM-160</w:t>
            </w:r>
          </w:p>
        </w:tc>
        <w:tc>
          <w:tcPr>
            <w:tcW w:w="0" w:type="auto"/>
            <w:vAlign w:val="center"/>
            <w:hideMark/>
          </w:tcPr>
          <w:p w14:paraId="5485DCC0"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PSM-162</w:t>
            </w:r>
          </w:p>
        </w:tc>
        <w:tc>
          <w:tcPr>
            <w:tcW w:w="0" w:type="auto"/>
            <w:vAlign w:val="center"/>
            <w:hideMark/>
          </w:tcPr>
          <w:p w14:paraId="2E72A25E"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PSM-164</w:t>
            </w:r>
          </w:p>
        </w:tc>
        <w:tc>
          <w:tcPr>
            <w:tcW w:w="0" w:type="auto"/>
            <w:vAlign w:val="center"/>
            <w:hideMark/>
          </w:tcPr>
          <w:p w14:paraId="7ECBCA35"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PSM-165</w:t>
            </w:r>
          </w:p>
        </w:tc>
        <w:tc>
          <w:tcPr>
            <w:tcW w:w="0" w:type="auto"/>
            <w:vAlign w:val="center"/>
            <w:hideMark/>
          </w:tcPr>
          <w:p w14:paraId="6B196031"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PSM-166</w:t>
            </w:r>
          </w:p>
        </w:tc>
        <w:tc>
          <w:tcPr>
            <w:tcW w:w="0" w:type="auto"/>
            <w:vAlign w:val="center"/>
            <w:hideMark/>
          </w:tcPr>
          <w:p w14:paraId="478C2B44"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PSM-167</w:t>
            </w:r>
          </w:p>
        </w:tc>
      </w:tr>
      <w:tr w:rsidR="008C5FCA" w:rsidRPr="008C5FCA" w14:paraId="49086224" w14:textId="77777777" w:rsidTr="00EB2A64">
        <w:trPr>
          <w:trHeight w:val="237"/>
          <w:tblCellSpacing w:w="15" w:type="dxa"/>
        </w:trPr>
        <w:tc>
          <w:tcPr>
            <w:tcW w:w="0" w:type="auto"/>
            <w:vAlign w:val="center"/>
            <w:hideMark/>
          </w:tcPr>
          <w:p w14:paraId="1B44D11F"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PSM-168</w:t>
            </w:r>
          </w:p>
        </w:tc>
        <w:tc>
          <w:tcPr>
            <w:tcW w:w="0" w:type="auto"/>
            <w:vAlign w:val="center"/>
            <w:hideMark/>
          </w:tcPr>
          <w:p w14:paraId="3A17430A"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PSM-169</w:t>
            </w:r>
          </w:p>
        </w:tc>
        <w:tc>
          <w:tcPr>
            <w:tcW w:w="0" w:type="auto"/>
            <w:vAlign w:val="center"/>
            <w:hideMark/>
          </w:tcPr>
          <w:p w14:paraId="2973B9FD"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PSM-170</w:t>
            </w:r>
          </w:p>
        </w:tc>
        <w:tc>
          <w:tcPr>
            <w:tcW w:w="0" w:type="auto"/>
            <w:vAlign w:val="center"/>
            <w:hideMark/>
          </w:tcPr>
          <w:p w14:paraId="57B2F334"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PSM-176</w:t>
            </w:r>
          </w:p>
        </w:tc>
        <w:tc>
          <w:tcPr>
            <w:tcW w:w="0" w:type="auto"/>
            <w:vAlign w:val="center"/>
            <w:hideMark/>
          </w:tcPr>
          <w:p w14:paraId="0728F8FF"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PSM-182</w:t>
            </w:r>
          </w:p>
        </w:tc>
        <w:tc>
          <w:tcPr>
            <w:tcW w:w="0" w:type="auto"/>
            <w:vAlign w:val="center"/>
            <w:hideMark/>
          </w:tcPr>
          <w:p w14:paraId="49E4FFB7"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PSM-183</w:t>
            </w:r>
          </w:p>
        </w:tc>
        <w:tc>
          <w:tcPr>
            <w:tcW w:w="0" w:type="auto"/>
            <w:vAlign w:val="center"/>
            <w:hideMark/>
          </w:tcPr>
          <w:p w14:paraId="7132E858"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PSM-194</w:t>
            </w:r>
          </w:p>
        </w:tc>
      </w:tr>
      <w:tr w:rsidR="008C5FCA" w:rsidRPr="008C5FCA" w14:paraId="6D6F3C75" w14:textId="77777777" w:rsidTr="00EB2A64">
        <w:trPr>
          <w:trHeight w:val="252"/>
          <w:tblCellSpacing w:w="15" w:type="dxa"/>
        </w:trPr>
        <w:tc>
          <w:tcPr>
            <w:tcW w:w="0" w:type="auto"/>
            <w:vAlign w:val="center"/>
            <w:hideMark/>
          </w:tcPr>
          <w:p w14:paraId="61A9E7C0"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PSM-197</w:t>
            </w:r>
          </w:p>
        </w:tc>
        <w:tc>
          <w:tcPr>
            <w:tcW w:w="0" w:type="auto"/>
            <w:vAlign w:val="center"/>
            <w:hideMark/>
          </w:tcPr>
          <w:p w14:paraId="4E2CA770"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PSM-198</w:t>
            </w:r>
          </w:p>
        </w:tc>
        <w:tc>
          <w:tcPr>
            <w:tcW w:w="0" w:type="auto"/>
            <w:vAlign w:val="center"/>
            <w:hideMark/>
          </w:tcPr>
          <w:p w14:paraId="222042BD"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PSM-199</w:t>
            </w:r>
          </w:p>
        </w:tc>
        <w:tc>
          <w:tcPr>
            <w:tcW w:w="0" w:type="auto"/>
            <w:vAlign w:val="center"/>
            <w:hideMark/>
          </w:tcPr>
          <w:p w14:paraId="4AAD1856"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PSM-201</w:t>
            </w:r>
          </w:p>
        </w:tc>
        <w:tc>
          <w:tcPr>
            <w:tcW w:w="0" w:type="auto"/>
            <w:vAlign w:val="center"/>
            <w:hideMark/>
          </w:tcPr>
          <w:p w14:paraId="6D8B869D"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PSM-202</w:t>
            </w:r>
          </w:p>
        </w:tc>
        <w:tc>
          <w:tcPr>
            <w:tcW w:w="0" w:type="auto"/>
            <w:vAlign w:val="center"/>
            <w:hideMark/>
          </w:tcPr>
          <w:p w14:paraId="1CB81A0A"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PSM-203</w:t>
            </w:r>
          </w:p>
        </w:tc>
        <w:tc>
          <w:tcPr>
            <w:tcW w:w="0" w:type="auto"/>
            <w:vAlign w:val="center"/>
            <w:hideMark/>
          </w:tcPr>
          <w:p w14:paraId="5DCBC5C7"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PSM-210</w:t>
            </w:r>
          </w:p>
        </w:tc>
      </w:tr>
      <w:tr w:rsidR="008C5FCA" w:rsidRPr="008C5FCA" w14:paraId="1B3792C9" w14:textId="77777777" w:rsidTr="00EB2A64">
        <w:trPr>
          <w:trHeight w:val="252"/>
          <w:tblCellSpacing w:w="15" w:type="dxa"/>
        </w:trPr>
        <w:tc>
          <w:tcPr>
            <w:tcW w:w="0" w:type="auto"/>
            <w:vAlign w:val="center"/>
            <w:hideMark/>
          </w:tcPr>
          <w:p w14:paraId="5F6F3430"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PSM-212</w:t>
            </w:r>
          </w:p>
        </w:tc>
        <w:tc>
          <w:tcPr>
            <w:tcW w:w="0" w:type="auto"/>
            <w:vAlign w:val="center"/>
            <w:hideMark/>
          </w:tcPr>
          <w:p w14:paraId="4831EDA1"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PSM-213</w:t>
            </w:r>
          </w:p>
        </w:tc>
        <w:tc>
          <w:tcPr>
            <w:tcW w:w="0" w:type="auto"/>
            <w:vAlign w:val="center"/>
            <w:hideMark/>
          </w:tcPr>
          <w:p w14:paraId="3E760B4F"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PSM-214</w:t>
            </w:r>
          </w:p>
        </w:tc>
        <w:tc>
          <w:tcPr>
            <w:tcW w:w="0" w:type="auto"/>
            <w:vAlign w:val="center"/>
            <w:hideMark/>
          </w:tcPr>
          <w:p w14:paraId="519CBD06"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PSM-215</w:t>
            </w:r>
          </w:p>
        </w:tc>
        <w:tc>
          <w:tcPr>
            <w:tcW w:w="0" w:type="auto"/>
            <w:vAlign w:val="center"/>
            <w:hideMark/>
          </w:tcPr>
          <w:p w14:paraId="050C7B88"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PSM-216</w:t>
            </w:r>
          </w:p>
        </w:tc>
        <w:tc>
          <w:tcPr>
            <w:tcW w:w="0" w:type="auto"/>
            <w:vAlign w:val="center"/>
            <w:hideMark/>
          </w:tcPr>
          <w:p w14:paraId="4AEBB68B"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PSM-217</w:t>
            </w:r>
          </w:p>
        </w:tc>
        <w:tc>
          <w:tcPr>
            <w:tcW w:w="0" w:type="auto"/>
            <w:vAlign w:val="center"/>
            <w:hideMark/>
          </w:tcPr>
          <w:p w14:paraId="4FC6DDCB"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PSM-218</w:t>
            </w:r>
          </w:p>
        </w:tc>
      </w:tr>
      <w:tr w:rsidR="008C5FCA" w:rsidRPr="008C5FCA" w14:paraId="7CC24570" w14:textId="77777777" w:rsidTr="00D10D1E">
        <w:trPr>
          <w:trHeight w:val="237"/>
          <w:tblCellSpacing w:w="15" w:type="dxa"/>
        </w:trPr>
        <w:tc>
          <w:tcPr>
            <w:tcW w:w="0" w:type="auto"/>
            <w:tcBorders>
              <w:bottom w:val="single" w:sz="4" w:space="0" w:color="auto"/>
            </w:tcBorders>
            <w:vAlign w:val="center"/>
            <w:hideMark/>
          </w:tcPr>
          <w:p w14:paraId="3E06DAEC"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PSM-219</w:t>
            </w:r>
          </w:p>
        </w:tc>
        <w:tc>
          <w:tcPr>
            <w:tcW w:w="0" w:type="auto"/>
            <w:tcBorders>
              <w:bottom w:val="single" w:sz="4" w:space="0" w:color="auto"/>
            </w:tcBorders>
            <w:vAlign w:val="center"/>
            <w:hideMark/>
          </w:tcPr>
          <w:p w14:paraId="28096887"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PSM-220</w:t>
            </w:r>
          </w:p>
        </w:tc>
        <w:tc>
          <w:tcPr>
            <w:tcW w:w="0" w:type="auto"/>
            <w:tcBorders>
              <w:bottom w:val="single" w:sz="4" w:space="0" w:color="auto"/>
            </w:tcBorders>
            <w:vAlign w:val="center"/>
            <w:hideMark/>
          </w:tcPr>
          <w:p w14:paraId="0BFBBFE3"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PSM-221</w:t>
            </w:r>
          </w:p>
        </w:tc>
        <w:tc>
          <w:tcPr>
            <w:tcW w:w="0" w:type="auto"/>
            <w:tcBorders>
              <w:bottom w:val="single" w:sz="4" w:space="0" w:color="auto"/>
            </w:tcBorders>
            <w:vAlign w:val="center"/>
            <w:hideMark/>
          </w:tcPr>
          <w:p w14:paraId="53FD2DD2" w14:textId="77777777" w:rsidR="00F02502" w:rsidRPr="008C5FCA" w:rsidRDefault="00F02502">
            <w:pPr>
              <w:rPr>
                <w:rFonts w:ascii="Arial" w:hAnsi="Arial" w:cs="Arial"/>
                <w:color w:val="000000" w:themeColor="text1"/>
                <w:sz w:val="20"/>
                <w:szCs w:val="20"/>
              </w:rPr>
            </w:pPr>
            <w:r w:rsidRPr="008C5FCA">
              <w:rPr>
                <w:rFonts w:ascii="Arial" w:hAnsi="Arial" w:cs="Arial"/>
                <w:color w:val="000000" w:themeColor="text1"/>
                <w:sz w:val="20"/>
                <w:szCs w:val="20"/>
              </w:rPr>
              <w:t>PSM-222</w:t>
            </w:r>
          </w:p>
        </w:tc>
        <w:tc>
          <w:tcPr>
            <w:tcW w:w="0" w:type="auto"/>
            <w:tcBorders>
              <w:bottom w:val="single" w:sz="4" w:space="0" w:color="auto"/>
            </w:tcBorders>
            <w:vAlign w:val="center"/>
            <w:hideMark/>
          </w:tcPr>
          <w:p w14:paraId="32D3C0A2" w14:textId="77777777" w:rsidR="00F02502" w:rsidRPr="008C5FCA" w:rsidRDefault="00F02502">
            <w:pPr>
              <w:rPr>
                <w:rFonts w:ascii="Arial" w:hAnsi="Arial" w:cs="Arial"/>
                <w:color w:val="000000" w:themeColor="text1"/>
                <w:sz w:val="20"/>
                <w:szCs w:val="20"/>
              </w:rPr>
            </w:pPr>
          </w:p>
        </w:tc>
        <w:tc>
          <w:tcPr>
            <w:tcW w:w="0" w:type="auto"/>
            <w:tcBorders>
              <w:bottom w:val="single" w:sz="4" w:space="0" w:color="auto"/>
            </w:tcBorders>
            <w:vAlign w:val="center"/>
            <w:hideMark/>
          </w:tcPr>
          <w:p w14:paraId="0091DD8C" w14:textId="77777777" w:rsidR="00F02502" w:rsidRPr="008C5FCA" w:rsidRDefault="00F02502">
            <w:pPr>
              <w:rPr>
                <w:rFonts w:ascii="Arial" w:hAnsi="Arial" w:cs="Arial"/>
                <w:color w:val="000000" w:themeColor="text1"/>
                <w:sz w:val="20"/>
                <w:szCs w:val="20"/>
              </w:rPr>
            </w:pPr>
          </w:p>
        </w:tc>
        <w:tc>
          <w:tcPr>
            <w:tcW w:w="0" w:type="auto"/>
            <w:tcBorders>
              <w:bottom w:val="single" w:sz="4" w:space="0" w:color="auto"/>
            </w:tcBorders>
            <w:vAlign w:val="center"/>
            <w:hideMark/>
          </w:tcPr>
          <w:p w14:paraId="76ECFD67" w14:textId="77777777" w:rsidR="00F02502" w:rsidRPr="008C5FCA" w:rsidRDefault="00F02502">
            <w:pPr>
              <w:rPr>
                <w:rFonts w:ascii="Arial" w:hAnsi="Arial" w:cs="Arial"/>
                <w:color w:val="000000" w:themeColor="text1"/>
                <w:sz w:val="20"/>
                <w:szCs w:val="20"/>
              </w:rPr>
            </w:pPr>
          </w:p>
        </w:tc>
      </w:tr>
    </w:tbl>
    <w:p w14:paraId="43EECA01" w14:textId="77777777" w:rsidR="00703A04" w:rsidRPr="00BD116E" w:rsidRDefault="00D27150" w:rsidP="00BD116E">
      <w:pPr>
        <w:pStyle w:val="NormalWeb"/>
        <w:spacing w:before="0" w:beforeAutospacing="0"/>
        <w:rPr>
          <w:rFonts w:ascii="Arial" w:hAnsi="Arial" w:cs="Arial"/>
          <w:i/>
          <w:iCs/>
          <w:color w:val="000000" w:themeColor="text1"/>
          <w:sz w:val="18"/>
          <w:szCs w:val="18"/>
        </w:rPr>
      </w:pPr>
      <w:r w:rsidRPr="004E6E82">
        <w:rPr>
          <w:rStyle w:val="Emphasis"/>
          <w:rFonts w:ascii="Arial" w:hAnsi="Arial" w:cs="Arial"/>
          <w:color w:val="000000" w:themeColor="text1"/>
          <w:sz w:val="18"/>
          <w:szCs w:val="18"/>
        </w:rPr>
        <w:t>*</w:t>
      </w:r>
      <w:r w:rsidR="00F02502" w:rsidRPr="004E6E82">
        <w:rPr>
          <w:rStyle w:val="Emphasis"/>
          <w:rFonts w:ascii="Arial" w:hAnsi="Arial" w:cs="Arial"/>
          <w:color w:val="000000" w:themeColor="text1"/>
          <w:sz w:val="18"/>
          <w:szCs w:val="18"/>
        </w:rPr>
        <w:t>PM-128 and PSM-3 are standard check cultivars.</w:t>
      </w:r>
    </w:p>
    <w:p w14:paraId="3AC86CFE" w14:textId="77777777" w:rsidR="009E2E0E" w:rsidRDefault="009E2E0E" w:rsidP="00AE3BED">
      <w:pPr>
        <w:rPr>
          <w:rFonts w:ascii="Arial" w:hAnsi="Arial" w:cs="Arial"/>
          <w:color w:val="000000" w:themeColor="text1"/>
          <w:sz w:val="20"/>
          <w:szCs w:val="20"/>
        </w:rPr>
      </w:pPr>
    </w:p>
    <w:p w14:paraId="360A23F1" w14:textId="77777777" w:rsidR="00CB0987" w:rsidRPr="008C5FCA" w:rsidRDefault="00CB0987" w:rsidP="00AE3BED">
      <w:pPr>
        <w:rPr>
          <w:rFonts w:ascii="Arial" w:hAnsi="Arial" w:cs="Arial"/>
          <w:color w:val="000000" w:themeColor="text1"/>
          <w:sz w:val="20"/>
          <w:szCs w:val="20"/>
        </w:rPr>
      </w:pPr>
    </w:p>
    <w:p w14:paraId="3E119BF5" w14:textId="77777777" w:rsidR="00F02502" w:rsidRPr="008C5FCA" w:rsidRDefault="00F02502" w:rsidP="00D10D1E">
      <w:pPr>
        <w:pStyle w:val="Heading3"/>
        <w:jc w:val="both"/>
        <w:rPr>
          <w:rStyle w:val="Strong"/>
          <w:rFonts w:ascii="Arial" w:hAnsi="Arial" w:cs="Arial"/>
          <w:color w:val="000000" w:themeColor="text1"/>
          <w:sz w:val="20"/>
          <w:szCs w:val="20"/>
        </w:rPr>
      </w:pPr>
      <w:r w:rsidRPr="008C5FCA">
        <w:rPr>
          <w:rStyle w:val="Strong"/>
          <w:rFonts w:ascii="Arial" w:hAnsi="Arial" w:cs="Arial"/>
          <w:color w:val="000000" w:themeColor="text1"/>
          <w:sz w:val="20"/>
          <w:szCs w:val="20"/>
        </w:rPr>
        <w:t xml:space="preserve">Table </w:t>
      </w:r>
      <w:r w:rsidR="00D27150" w:rsidRPr="008C5FCA">
        <w:rPr>
          <w:rStyle w:val="Strong"/>
          <w:rFonts w:ascii="Arial" w:hAnsi="Arial" w:cs="Arial"/>
          <w:color w:val="000000" w:themeColor="text1"/>
          <w:sz w:val="20"/>
          <w:szCs w:val="20"/>
        </w:rPr>
        <w:t>3</w:t>
      </w:r>
      <w:r w:rsidRPr="008C5FCA">
        <w:rPr>
          <w:rStyle w:val="Strong"/>
          <w:rFonts w:ascii="Arial" w:hAnsi="Arial" w:cs="Arial"/>
          <w:color w:val="000000" w:themeColor="text1"/>
          <w:sz w:val="20"/>
          <w:szCs w:val="20"/>
        </w:rPr>
        <w:t>. List of 22 common garden pea genotypes that successfully completed the reproductive cycle across all three thermal environments</w:t>
      </w:r>
    </w:p>
    <w:p w14:paraId="4498E3D0" w14:textId="77777777" w:rsidR="00D10D1E" w:rsidRPr="008C5FCA" w:rsidRDefault="00D10D1E" w:rsidP="00D10D1E">
      <w:pPr>
        <w:rPr>
          <w:rFonts w:ascii="Arial" w:hAnsi="Arial" w:cs="Arial"/>
          <w:color w:val="000000" w:themeColor="text1"/>
          <w:sz w:val="20"/>
          <w:szCs w:val="20"/>
        </w:rPr>
      </w:pPr>
    </w:p>
    <w:tbl>
      <w:tblPr>
        <w:tblW w:w="8384" w:type="dxa"/>
        <w:tblCellSpacing w:w="15" w:type="dxa"/>
        <w:tblCellMar>
          <w:top w:w="15" w:type="dxa"/>
          <w:left w:w="15" w:type="dxa"/>
          <w:bottom w:w="15" w:type="dxa"/>
          <w:right w:w="15" w:type="dxa"/>
        </w:tblCellMar>
        <w:tblLook w:val="04A0" w:firstRow="1" w:lastRow="0" w:firstColumn="1" w:lastColumn="0" w:noHBand="0" w:noVBand="1"/>
      </w:tblPr>
      <w:tblGrid>
        <w:gridCol w:w="1209"/>
        <w:gridCol w:w="1194"/>
        <w:gridCol w:w="1194"/>
        <w:gridCol w:w="1193"/>
        <w:gridCol w:w="1193"/>
        <w:gridCol w:w="1193"/>
        <w:gridCol w:w="1208"/>
      </w:tblGrid>
      <w:tr w:rsidR="008C5FCA" w:rsidRPr="008C5FCA" w14:paraId="14615EA2" w14:textId="77777777" w:rsidTr="00D10D1E">
        <w:trPr>
          <w:trHeight w:val="235"/>
          <w:tblCellSpacing w:w="15" w:type="dxa"/>
        </w:trPr>
        <w:tc>
          <w:tcPr>
            <w:tcW w:w="0" w:type="auto"/>
            <w:tcBorders>
              <w:top w:val="single" w:sz="4" w:space="0" w:color="auto"/>
            </w:tcBorders>
            <w:vAlign w:val="center"/>
            <w:hideMark/>
          </w:tcPr>
          <w:p w14:paraId="38688C49"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PSM-151</w:t>
            </w:r>
          </w:p>
        </w:tc>
        <w:tc>
          <w:tcPr>
            <w:tcW w:w="0" w:type="auto"/>
            <w:tcBorders>
              <w:top w:val="single" w:sz="4" w:space="0" w:color="auto"/>
            </w:tcBorders>
            <w:vAlign w:val="center"/>
            <w:hideMark/>
          </w:tcPr>
          <w:p w14:paraId="1DDAB1AD"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PSM-152</w:t>
            </w:r>
          </w:p>
        </w:tc>
        <w:tc>
          <w:tcPr>
            <w:tcW w:w="0" w:type="auto"/>
            <w:tcBorders>
              <w:top w:val="single" w:sz="4" w:space="0" w:color="auto"/>
            </w:tcBorders>
            <w:vAlign w:val="center"/>
            <w:hideMark/>
          </w:tcPr>
          <w:p w14:paraId="69DEF590"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PSM-153</w:t>
            </w:r>
          </w:p>
        </w:tc>
        <w:tc>
          <w:tcPr>
            <w:tcW w:w="0" w:type="auto"/>
            <w:tcBorders>
              <w:top w:val="single" w:sz="4" w:space="0" w:color="auto"/>
            </w:tcBorders>
            <w:vAlign w:val="center"/>
            <w:hideMark/>
          </w:tcPr>
          <w:p w14:paraId="297F8C9A"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PSM-154</w:t>
            </w:r>
          </w:p>
        </w:tc>
        <w:tc>
          <w:tcPr>
            <w:tcW w:w="0" w:type="auto"/>
            <w:tcBorders>
              <w:top w:val="single" w:sz="4" w:space="0" w:color="auto"/>
            </w:tcBorders>
            <w:vAlign w:val="center"/>
            <w:hideMark/>
          </w:tcPr>
          <w:p w14:paraId="1D41AA04"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PSM-160</w:t>
            </w:r>
          </w:p>
        </w:tc>
        <w:tc>
          <w:tcPr>
            <w:tcW w:w="0" w:type="auto"/>
            <w:tcBorders>
              <w:top w:val="single" w:sz="4" w:space="0" w:color="auto"/>
            </w:tcBorders>
            <w:vAlign w:val="center"/>
            <w:hideMark/>
          </w:tcPr>
          <w:p w14:paraId="7B242C86"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PSM-164</w:t>
            </w:r>
          </w:p>
        </w:tc>
        <w:tc>
          <w:tcPr>
            <w:tcW w:w="0" w:type="auto"/>
            <w:tcBorders>
              <w:top w:val="single" w:sz="4" w:space="0" w:color="auto"/>
            </w:tcBorders>
            <w:vAlign w:val="center"/>
            <w:hideMark/>
          </w:tcPr>
          <w:p w14:paraId="35CCFF0D"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PSM-165</w:t>
            </w:r>
          </w:p>
        </w:tc>
      </w:tr>
      <w:tr w:rsidR="008C5FCA" w:rsidRPr="008C5FCA" w14:paraId="7B87A9F3" w14:textId="77777777" w:rsidTr="00D10D1E">
        <w:trPr>
          <w:trHeight w:val="235"/>
          <w:tblCellSpacing w:w="15" w:type="dxa"/>
        </w:trPr>
        <w:tc>
          <w:tcPr>
            <w:tcW w:w="0" w:type="auto"/>
            <w:vAlign w:val="center"/>
            <w:hideMark/>
          </w:tcPr>
          <w:p w14:paraId="76781636"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PSM-166</w:t>
            </w:r>
          </w:p>
        </w:tc>
        <w:tc>
          <w:tcPr>
            <w:tcW w:w="0" w:type="auto"/>
            <w:vAlign w:val="center"/>
            <w:hideMark/>
          </w:tcPr>
          <w:p w14:paraId="77F8F9A5"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PSM-167</w:t>
            </w:r>
          </w:p>
        </w:tc>
        <w:tc>
          <w:tcPr>
            <w:tcW w:w="0" w:type="auto"/>
            <w:vAlign w:val="center"/>
            <w:hideMark/>
          </w:tcPr>
          <w:p w14:paraId="258E1BAA"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PSM-169</w:t>
            </w:r>
          </w:p>
        </w:tc>
        <w:tc>
          <w:tcPr>
            <w:tcW w:w="0" w:type="auto"/>
            <w:vAlign w:val="center"/>
            <w:hideMark/>
          </w:tcPr>
          <w:p w14:paraId="57C811D0"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PSM-170</w:t>
            </w:r>
          </w:p>
        </w:tc>
        <w:tc>
          <w:tcPr>
            <w:tcW w:w="0" w:type="auto"/>
            <w:vAlign w:val="center"/>
            <w:hideMark/>
          </w:tcPr>
          <w:p w14:paraId="31603639"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PSM-197</w:t>
            </w:r>
          </w:p>
        </w:tc>
        <w:tc>
          <w:tcPr>
            <w:tcW w:w="0" w:type="auto"/>
            <w:vAlign w:val="center"/>
            <w:hideMark/>
          </w:tcPr>
          <w:p w14:paraId="530D047E"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PSM-198</w:t>
            </w:r>
          </w:p>
        </w:tc>
        <w:tc>
          <w:tcPr>
            <w:tcW w:w="0" w:type="auto"/>
            <w:vAlign w:val="center"/>
            <w:hideMark/>
          </w:tcPr>
          <w:p w14:paraId="3572432B"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PSM-199</w:t>
            </w:r>
          </w:p>
        </w:tc>
      </w:tr>
      <w:tr w:rsidR="008C5FCA" w:rsidRPr="008C5FCA" w14:paraId="5C0794B2" w14:textId="77777777" w:rsidTr="00D10D1E">
        <w:trPr>
          <w:trHeight w:val="235"/>
          <w:tblCellSpacing w:w="15" w:type="dxa"/>
        </w:trPr>
        <w:tc>
          <w:tcPr>
            <w:tcW w:w="0" w:type="auto"/>
            <w:vAlign w:val="center"/>
            <w:hideMark/>
          </w:tcPr>
          <w:p w14:paraId="1E8FCD9C"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PSM-201</w:t>
            </w:r>
          </w:p>
        </w:tc>
        <w:tc>
          <w:tcPr>
            <w:tcW w:w="0" w:type="auto"/>
            <w:vAlign w:val="center"/>
            <w:hideMark/>
          </w:tcPr>
          <w:p w14:paraId="0DCF9698"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PSM-202</w:t>
            </w:r>
          </w:p>
        </w:tc>
        <w:tc>
          <w:tcPr>
            <w:tcW w:w="0" w:type="auto"/>
            <w:vAlign w:val="center"/>
            <w:hideMark/>
          </w:tcPr>
          <w:p w14:paraId="6FD0EC2E"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PSM-212</w:t>
            </w:r>
          </w:p>
        </w:tc>
        <w:tc>
          <w:tcPr>
            <w:tcW w:w="0" w:type="auto"/>
            <w:vAlign w:val="center"/>
            <w:hideMark/>
          </w:tcPr>
          <w:p w14:paraId="3D018BEF"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PSM-214</w:t>
            </w:r>
          </w:p>
        </w:tc>
        <w:tc>
          <w:tcPr>
            <w:tcW w:w="0" w:type="auto"/>
            <w:vAlign w:val="center"/>
            <w:hideMark/>
          </w:tcPr>
          <w:p w14:paraId="7F6226F6"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PSM-215</w:t>
            </w:r>
          </w:p>
        </w:tc>
        <w:tc>
          <w:tcPr>
            <w:tcW w:w="0" w:type="auto"/>
            <w:vAlign w:val="center"/>
            <w:hideMark/>
          </w:tcPr>
          <w:p w14:paraId="737DB515"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PSM-221</w:t>
            </w:r>
          </w:p>
        </w:tc>
        <w:tc>
          <w:tcPr>
            <w:tcW w:w="0" w:type="auto"/>
            <w:vAlign w:val="center"/>
            <w:hideMark/>
          </w:tcPr>
          <w:p w14:paraId="3898E14A"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PM-128*</w:t>
            </w:r>
          </w:p>
        </w:tc>
      </w:tr>
      <w:tr w:rsidR="008C5FCA" w:rsidRPr="008C5FCA" w14:paraId="4C904D4C" w14:textId="77777777" w:rsidTr="00D10D1E">
        <w:trPr>
          <w:trHeight w:val="235"/>
          <w:tblCellSpacing w:w="15" w:type="dxa"/>
        </w:trPr>
        <w:tc>
          <w:tcPr>
            <w:tcW w:w="0" w:type="auto"/>
            <w:tcBorders>
              <w:bottom w:val="single" w:sz="4" w:space="0" w:color="auto"/>
            </w:tcBorders>
            <w:vAlign w:val="center"/>
            <w:hideMark/>
          </w:tcPr>
          <w:p w14:paraId="29E04F13" w14:textId="77777777" w:rsidR="00F02502" w:rsidRPr="008C5FCA" w:rsidRDefault="00F02502" w:rsidP="00D10D1E">
            <w:pPr>
              <w:jc w:val="both"/>
              <w:rPr>
                <w:rFonts w:ascii="Arial" w:hAnsi="Arial" w:cs="Arial"/>
                <w:color w:val="000000" w:themeColor="text1"/>
                <w:sz w:val="20"/>
                <w:szCs w:val="20"/>
              </w:rPr>
            </w:pPr>
            <w:r w:rsidRPr="008C5FCA">
              <w:rPr>
                <w:rFonts w:ascii="Arial" w:hAnsi="Arial" w:cs="Arial"/>
                <w:color w:val="000000" w:themeColor="text1"/>
                <w:sz w:val="20"/>
                <w:szCs w:val="20"/>
              </w:rPr>
              <w:t>PSM-3*</w:t>
            </w:r>
          </w:p>
        </w:tc>
        <w:tc>
          <w:tcPr>
            <w:tcW w:w="0" w:type="auto"/>
            <w:tcBorders>
              <w:bottom w:val="single" w:sz="4" w:space="0" w:color="auto"/>
            </w:tcBorders>
            <w:vAlign w:val="center"/>
            <w:hideMark/>
          </w:tcPr>
          <w:p w14:paraId="1D4660A6" w14:textId="77777777" w:rsidR="00F02502" w:rsidRPr="008C5FCA" w:rsidRDefault="00F02502" w:rsidP="00D10D1E">
            <w:pPr>
              <w:jc w:val="both"/>
              <w:rPr>
                <w:rFonts w:ascii="Arial" w:hAnsi="Arial" w:cs="Arial"/>
                <w:color w:val="000000" w:themeColor="text1"/>
                <w:sz w:val="20"/>
                <w:szCs w:val="20"/>
              </w:rPr>
            </w:pPr>
          </w:p>
        </w:tc>
        <w:tc>
          <w:tcPr>
            <w:tcW w:w="0" w:type="auto"/>
            <w:tcBorders>
              <w:bottom w:val="single" w:sz="4" w:space="0" w:color="auto"/>
            </w:tcBorders>
            <w:vAlign w:val="center"/>
            <w:hideMark/>
          </w:tcPr>
          <w:p w14:paraId="2FF6847E" w14:textId="77777777" w:rsidR="00F02502" w:rsidRPr="008C5FCA" w:rsidRDefault="00F02502" w:rsidP="00D10D1E">
            <w:pPr>
              <w:jc w:val="both"/>
              <w:rPr>
                <w:rFonts w:ascii="Arial" w:hAnsi="Arial" w:cs="Arial"/>
                <w:color w:val="000000" w:themeColor="text1"/>
                <w:sz w:val="20"/>
                <w:szCs w:val="20"/>
              </w:rPr>
            </w:pPr>
          </w:p>
        </w:tc>
        <w:tc>
          <w:tcPr>
            <w:tcW w:w="0" w:type="auto"/>
            <w:tcBorders>
              <w:bottom w:val="single" w:sz="4" w:space="0" w:color="auto"/>
            </w:tcBorders>
            <w:vAlign w:val="center"/>
            <w:hideMark/>
          </w:tcPr>
          <w:p w14:paraId="1F45947E" w14:textId="77777777" w:rsidR="00F02502" w:rsidRPr="008C5FCA" w:rsidRDefault="00F02502" w:rsidP="00D10D1E">
            <w:pPr>
              <w:jc w:val="both"/>
              <w:rPr>
                <w:rFonts w:ascii="Arial" w:hAnsi="Arial" w:cs="Arial"/>
                <w:color w:val="000000" w:themeColor="text1"/>
                <w:sz w:val="20"/>
                <w:szCs w:val="20"/>
              </w:rPr>
            </w:pPr>
          </w:p>
        </w:tc>
        <w:tc>
          <w:tcPr>
            <w:tcW w:w="0" w:type="auto"/>
            <w:tcBorders>
              <w:bottom w:val="single" w:sz="4" w:space="0" w:color="auto"/>
            </w:tcBorders>
            <w:vAlign w:val="center"/>
            <w:hideMark/>
          </w:tcPr>
          <w:p w14:paraId="4B5E5A86" w14:textId="77777777" w:rsidR="00F02502" w:rsidRPr="008C5FCA" w:rsidRDefault="00F02502" w:rsidP="00D10D1E">
            <w:pPr>
              <w:jc w:val="both"/>
              <w:rPr>
                <w:rFonts w:ascii="Arial" w:hAnsi="Arial" w:cs="Arial"/>
                <w:color w:val="000000" w:themeColor="text1"/>
                <w:sz w:val="20"/>
                <w:szCs w:val="20"/>
              </w:rPr>
            </w:pPr>
          </w:p>
        </w:tc>
        <w:tc>
          <w:tcPr>
            <w:tcW w:w="0" w:type="auto"/>
            <w:tcBorders>
              <w:bottom w:val="single" w:sz="4" w:space="0" w:color="auto"/>
            </w:tcBorders>
            <w:vAlign w:val="center"/>
            <w:hideMark/>
          </w:tcPr>
          <w:p w14:paraId="7DC39BB8" w14:textId="77777777" w:rsidR="00F02502" w:rsidRPr="008C5FCA" w:rsidRDefault="00F02502" w:rsidP="00D10D1E">
            <w:pPr>
              <w:jc w:val="both"/>
              <w:rPr>
                <w:rFonts w:ascii="Arial" w:hAnsi="Arial" w:cs="Arial"/>
                <w:color w:val="000000" w:themeColor="text1"/>
                <w:sz w:val="20"/>
                <w:szCs w:val="20"/>
              </w:rPr>
            </w:pPr>
          </w:p>
        </w:tc>
        <w:tc>
          <w:tcPr>
            <w:tcW w:w="0" w:type="auto"/>
            <w:tcBorders>
              <w:bottom w:val="single" w:sz="4" w:space="0" w:color="auto"/>
            </w:tcBorders>
            <w:vAlign w:val="center"/>
            <w:hideMark/>
          </w:tcPr>
          <w:p w14:paraId="5439E844" w14:textId="77777777" w:rsidR="00F02502" w:rsidRPr="008C5FCA" w:rsidRDefault="00F02502" w:rsidP="00D10D1E">
            <w:pPr>
              <w:jc w:val="both"/>
              <w:rPr>
                <w:rFonts w:ascii="Arial" w:hAnsi="Arial" w:cs="Arial"/>
                <w:color w:val="000000" w:themeColor="text1"/>
                <w:sz w:val="20"/>
                <w:szCs w:val="20"/>
              </w:rPr>
            </w:pPr>
          </w:p>
        </w:tc>
      </w:tr>
    </w:tbl>
    <w:p w14:paraId="56F23938" w14:textId="77777777" w:rsidR="00BD116E" w:rsidRPr="00BD116E" w:rsidRDefault="006B7155" w:rsidP="00BD116E">
      <w:pPr>
        <w:pStyle w:val="NormalWeb"/>
        <w:spacing w:before="0" w:beforeAutospacing="0"/>
        <w:jc w:val="both"/>
        <w:rPr>
          <w:rFonts w:ascii="Arial" w:hAnsi="Arial" w:cs="Arial"/>
          <w:color w:val="000000" w:themeColor="text1"/>
          <w:sz w:val="18"/>
          <w:szCs w:val="18"/>
        </w:rPr>
      </w:pPr>
      <w:r w:rsidRPr="004E6E82">
        <w:rPr>
          <w:rStyle w:val="Emphasis"/>
          <w:rFonts w:ascii="Arial" w:hAnsi="Arial" w:cs="Arial"/>
          <w:color w:val="000000" w:themeColor="text1"/>
          <w:sz w:val="18"/>
          <w:szCs w:val="18"/>
        </w:rPr>
        <w:t>*</w:t>
      </w:r>
      <w:r w:rsidR="00F02502" w:rsidRPr="004E6E82">
        <w:rPr>
          <w:rStyle w:val="Emphasis"/>
          <w:rFonts w:ascii="Arial" w:hAnsi="Arial" w:cs="Arial"/>
          <w:color w:val="000000" w:themeColor="text1"/>
          <w:sz w:val="18"/>
          <w:szCs w:val="18"/>
        </w:rPr>
        <w:t>PM-128 and PSM-3 are standard check cultivars.</w:t>
      </w:r>
      <w:bookmarkStart w:id="15" w:name="OLE_LINK6"/>
    </w:p>
    <w:p w14:paraId="258A06AB" w14:textId="77777777" w:rsidR="009E2E0E" w:rsidRDefault="009E2E0E" w:rsidP="005C046D">
      <w:pPr>
        <w:rPr>
          <w:rFonts w:ascii="Arial" w:hAnsi="Arial" w:cs="Arial"/>
          <w:b/>
          <w:bCs/>
          <w:color w:val="000000" w:themeColor="text1"/>
          <w:sz w:val="20"/>
          <w:szCs w:val="20"/>
        </w:rPr>
      </w:pPr>
    </w:p>
    <w:p w14:paraId="3B2E821F" w14:textId="77777777" w:rsidR="00CB0987" w:rsidRPr="008C5FCA" w:rsidRDefault="00CB0987" w:rsidP="005C046D">
      <w:pPr>
        <w:rPr>
          <w:rFonts w:ascii="Arial" w:hAnsi="Arial" w:cs="Arial"/>
          <w:b/>
          <w:bCs/>
          <w:color w:val="000000" w:themeColor="text1"/>
          <w:sz w:val="20"/>
          <w:szCs w:val="20"/>
        </w:rPr>
      </w:pPr>
    </w:p>
    <w:p w14:paraId="0242BB5A" w14:textId="77777777" w:rsidR="00856AF7" w:rsidRPr="008C5FCA" w:rsidRDefault="00856AF7" w:rsidP="005C046D">
      <w:pPr>
        <w:rPr>
          <w:rStyle w:val="Strong"/>
          <w:rFonts w:ascii="Arial" w:hAnsi="Arial" w:cs="Arial"/>
          <w:color w:val="000000" w:themeColor="text1"/>
          <w:sz w:val="20"/>
          <w:szCs w:val="20"/>
        </w:rPr>
      </w:pPr>
      <w:r w:rsidRPr="008C5FCA">
        <w:rPr>
          <w:rFonts w:ascii="Arial" w:hAnsi="Arial" w:cs="Arial"/>
          <w:b/>
          <w:bCs/>
          <w:color w:val="000000" w:themeColor="text1"/>
          <w:sz w:val="20"/>
          <w:szCs w:val="20"/>
        </w:rPr>
        <w:lastRenderedPageBreak/>
        <w:t xml:space="preserve">Table 4: </w:t>
      </w:r>
      <w:r w:rsidR="00C60334" w:rsidRPr="008C5FCA">
        <w:rPr>
          <w:rFonts w:ascii="Arial" w:hAnsi="Arial" w:cs="Arial"/>
          <w:b/>
          <w:bCs/>
          <w:color w:val="000000" w:themeColor="text1"/>
          <w:sz w:val="20"/>
          <w:szCs w:val="20"/>
        </w:rPr>
        <w:t xml:space="preserve">Mean performance and variability of yield and its component traits </w:t>
      </w:r>
      <w:r w:rsidR="00C60334" w:rsidRPr="008C5FCA">
        <w:rPr>
          <w:rStyle w:val="Strong"/>
          <w:rFonts w:ascii="Arial" w:hAnsi="Arial" w:cs="Arial"/>
          <w:color w:val="000000" w:themeColor="text1"/>
          <w:sz w:val="20"/>
          <w:szCs w:val="20"/>
        </w:rPr>
        <w:t>across all three thermal environments</w:t>
      </w:r>
    </w:p>
    <w:p w14:paraId="551A283D" w14:textId="77777777" w:rsidR="002547AB" w:rsidRPr="008C5FCA" w:rsidRDefault="002547AB" w:rsidP="005C046D">
      <w:pPr>
        <w:rPr>
          <w:rFonts w:ascii="Arial" w:hAnsi="Arial" w:cs="Arial"/>
          <w:b/>
          <w:bCs/>
          <w:color w:val="000000" w:themeColor="text1"/>
          <w:sz w:val="20"/>
          <w:szCs w:val="20"/>
        </w:rPr>
      </w:pPr>
    </w:p>
    <w:tbl>
      <w:tblPr>
        <w:tblW w:w="8322" w:type="dxa"/>
        <w:tblCellSpacing w:w="15" w:type="dxa"/>
        <w:tblInd w:w="45" w:type="dxa"/>
        <w:tblCellMar>
          <w:top w:w="15" w:type="dxa"/>
          <w:left w:w="15" w:type="dxa"/>
          <w:bottom w:w="15" w:type="dxa"/>
          <w:right w:w="15" w:type="dxa"/>
        </w:tblCellMar>
        <w:tblLook w:val="04A0" w:firstRow="1" w:lastRow="0" w:firstColumn="1" w:lastColumn="0" w:noHBand="0" w:noVBand="1"/>
      </w:tblPr>
      <w:tblGrid>
        <w:gridCol w:w="881"/>
        <w:gridCol w:w="561"/>
        <w:gridCol w:w="611"/>
        <w:gridCol w:w="621"/>
        <w:gridCol w:w="625"/>
        <w:gridCol w:w="625"/>
        <w:gridCol w:w="635"/>
        <w:gridCol w:w="625"/>
        <w:gridCol w:w="625"/>
        <w:gridCol w:w="621"/>
        <w:gridCol w:w="611"/>
        <w:gridCol w:w="625"/>
        <w:gridCol w:w="611"/>
        <w:gridCol w:w="45"/>
      </w:tblGrid>
      <w:tr w:rsidR="008C5FCA" w:rsidRPr="008C5FCA" w14:paraId="44BD7D8F" w14:textId="77777777" w:rsidTr="00BD116E">
        <w:trPr>
          <w:trHeight w:val="160"/>
          <w:tblHeader/>
          <w:tblCellSpacing w:w="15" w:type="dxa"/>
        </w:trPr>
        <w:tc>
          <w:tcPr>
            <w:tcW w:w="835" w:type="dxa"/>
            <w:tcBorders>
              <w:top w:val="single" w:sz="4" w:space="0" w:color="auto"/>
              <w:bottom w:val="single" w:sz="4" w:space="0" w:color="auto"/>
            </w:tcBorders>
            <w:vAlign w:val="center"/>
            <w:hideMark/>
          </w:tcPr>
          <w:p w14:paraId="67867D02" w14:textId="77777777" w:rsidR="009733D9" w:rsidRPr="008C5FCA" w:rsidRDefault="009733D9" w:rsidP="005E78E4">
            <w:pPr>
              <w:jc w:val="center"/>
              <w:rPr>
                <w:rFonts w:ascii="Arial" w:hAnsi="Arial" w:cs="Arial"/>
                <w:b/>
                <w:bCs/>
                <w:color w:val="000000" w:themeColor="text1"/>
                <w:sz w:val="20"/>
                <w:szCs w:val="20"/>
              </w:rPr>
            </w:pPr>
          </w:p>
        </w:tc>
        <w:tc>
          <w:tcPr>
            <w:tcW w:w="1752" w:type="dxa"/>
            <w:gridSpan w:val="3"/>
            <w:tcBorders>
              <w:top w:val="single" w:sz="4" w:space="0" w:color="auto"/>
              <w:bottom w:val="single" w:sz="4" w:space="0" w:color="auto"/>
            </w:tcBorders>
            <w:vAlign w:val="center"/>
            <w:hideMark/>
          </w:tcPr>
          <w:p w14:paraId="2D76A632" w14:textId="77777777" w:rsidR="009733D9" w:rsidRPr="008C5FCA" w:rsidRDefault="009733D9" w:rsidP="005E78E4">
            <w:pPr>
              <w:jc w:val="center"/>
              <w:rPr>
                <w:rFonts w:ascii="Arial" w:hAnsi="Arial" w:cs="Arial"/>
                <w:b/>
                <w:bCs/>
                <w:color w:val="000000" w:themeColor="text1"/>
                <w:sz w:val="20"/>
                <w:szCs w:val="20"/>
              </w:rPr>
            </w:pPr>
            <w:r w:rsidRPr="008C5FCA">
              <w:rPr>
                <w:rFonts w:ascii="Arial" w:hAnsi="Arial" w:cs="Arial"/>
                <w:b/>
                <w:bCs/>
                <w:color w:val="000000" w:themeColor="text1"/>
                <w:sz w:val="20"/>
                <w:szCs w:val="20"/>
              </w:rPr>
              <w:t xml:space="preserve">APW </w:t>
            </w:r>
          </w:p>
          <w:p w14:paraId="3BD2984B" w14:textId="77777777" w:rsidR="009733D9" w:rsidRPr="008C5FCA" w:rsidRDefault="009733D9" w:rsidP="005E78E4">
            <w:pPr>
              <w:jc w:val="center"/>
              <w:rPr>
                <w:rFonts w:ascii="Arial" w:hAnsi="Arial" w:cs="Arial"/>
                <w:b/>
                <w:bCs/>
                <w:color w:val="000000" w:themeColor="text1"/>
                <w:sz w:val="20"/>
                <w:szCs w:val="20"/>
              </w:rPr>
            </w:pPr>
          </w:p>
        </w:tc>
        <w:tc>
          <w:tcPr>
            <w:tcW w:w="0" w:type="auto"/>
            <w:gridSpan w:val="3"/>
            <w:tcBorders>
              <w:top w:val="single" w:sz="4" w:space="0" w:color="auto"/>
              <w:bottom w:val="single" w:sz="4" w:space="0" w:color="auto"/>
            </w:tcBorders>
            <w:vAlign w:val="center"/>
            <w:hideMark/>
          </w:tcPr>
          <w:p w14:paraId="19293DB4" w14:textId="77777777" w:rsidR="009733D9" w:rsidRPr="008C5FCA" w:rsidRDefault="009733D9" w:rsidP="005E78E4">
            <w:pPr>
              <w:jc w:val="center"/>
              <w:rPr>
                <w:rFonts w:ascii="Arial" w:hAnsi="Arial" w:cs="Arial"/>
                <w:b/>
                <w:bCs/>
                <w:color w:val="000000" w:themeColor="text1"/>
                <w:sz w:val="20"/>
                <w:szCs w:val="20"/>
              </w:rPr>
            </w:pPr>
            <w:r w:rsidRPr="008C5FCA">
              <w:rPr>
                <w:rFonts w:ascii="Arial" w:hAnsi="Arial" w:cs="Arial"/>
                <w:b/>
                <w:bCs/>
                <w:color w:val="000000" w:themeColor="text1"/>
                <w:sz w:val="20"/>
                <w:szCs w:val="20"/>
              </w:rPr>
              <w:t xml:space="preserve">DFF </w:t>
            </w:r>
          </w:p>
          <w:p w14:paraId="5E30EEAB" w14:textId="77777777" w:rsidR="009733D9" w:rsidRPr="008C5FCA" w:rsidRDefault="009733D9" w:rsidP="005E78E4">
            <w:pPr>
              <w:jc w:val="center"/>
              <w:rPr>
                <w:rFonts w:ascii="Arial" w:hAnsi="Arial" w:cs="Arial"/>
                <w:b/>
                <w:bCs/>
                <w:color w:val="000000" w:themeColor="text1"/>
                <w:sz w:val="20"/>
                <w:szCs w:val="20"/>
              </w:rPr>
            </w:pPr>
          </w:p>
        </w:tc>
        <w:tc>
          <w:tcPr>
            <w:tcW w:w="0" w:type="auto"/>
            <w:gridSpan w:val="3"/>
            <w:tcBorders>
              <w:top w:val="single" w:sz="4" w:space="0" w:color="auto"/>
              <w:bottom w:val="single" w:sz="4" w:space="0" w:color="auto"/>
            </w:tcBorders>
            <w:vAlign w:val="center"/>
            <w:hideMark/>
          </w:tcPr>
          <w:p w14:paraId="1640EC84" w14:textId="77777777" w:rsidR="009733D9" w:rsidRPr="008C5FCA" w:rsidRDefault="009733D9" w:rsidP="005E78E4">
            <w:pPr>
              <w:jc w:val="center"/>
              <w:rPr>
                <w:rFonts w:ascii="Arial" w:hAnsi="Arial" w:cs="Arial"/>
                <w:b/>
                <w:bCs/>
                <w:color w:val="000000" w:themeColor="text1"/>
                <w:sz w:val="20"/>
                <w:szCs w:val="20"/>
              </w:rPr>
            </w:pPr>
            <w:r w:rsidRPr="008C5FCA">
              <w:rPr>
                <w:rFonts w:ascii="Arial" w:hAnsi="Arial" w:cs="Arial"/>
                <w:b/>
                <w:bCs/>
                <w:color w:val="000000" w:themeColor="text1"/>
                <w:sz w:val="20"/>
                <w:szCs w:val="20"/>
              </w:rPr>
              <w:t xml:space="preserve">NPP </w:t>
            </w:r>
          </w:p>
          <w:p w14:paraId="53BE47FD" w14:textId="77777777" w:rsidR="009733D9" w:rsidRPr="008C5FCA" w:rsidRDefault="009733D9" w:rsidP="005E78E4">
            <w:pPr>
              <w:jc w:val="center"/>
              <w:rPr>
                <w:rFonts w:ascii="Arial" w:hAnsi="Arial" w:cs="Arial"/>
                <w:b/>
                <w:bCs/>
                <w:color w:val="000000" w:themeColor="text1"/>
                <w:sz w:val="20"/>
                <w:szCs w:val="20"/>
              </w:rPr>
            </w:pPr>
          </w:p>
        </w:tc>
        <w:tc>
          <w:tcPr>
            <w:tcW w:w="0" w:type="auto"/>
            <w:gridSpan w:val="4"/>
            <w:tcBorders>
              <w:top w:val="single" w:sz="4" w:space="0" w:color="auto"/>
              <w:bottom w:val="single" w:sz="4" w:space="0" w:color="auto"/>
            </w:tcBorders>
            <w:vAlign w:val="center"/>
            <w:hideMark/>
          </w:tcPr>
          <w:p w14:paraId="45DC8C0D" w14:textId="77777777" w:rsidR="009733D9" w:rsidRPr="008C5FCA" w:rsidRDefault="009733D9" w:rsidP="005E78E4">
            <w:pPr>
              <w:jc w:val="center"/>
              <w:rPr>
                <w:rFonts w:ascii="Arial" w:hAnsi="Arial" w:cs="Arial"/>
                <w:b/>
                <w:bCs/>
                <w:color w:val="000000" w:themeColor="text1"/>
                <w:sz w:val="20"/>
                <w:szCs w:val="20"/>
              </w:rPr>
            </w:pPr>
            <w:r w:rsidRPr="008C5FCA">
              <w:rPr>
                <w:rFonts w:ascii="Arial" w:hAnsi="Arial" w:cs="Arial"/>
                <w:b/>
                <w:bCs/>
                <w:color w:val="000000" w:themeColor="text1"/>
                <w:sz w:val="20"/>
                <w:szCs w:val="20"/>
              </w:rPr>
              <w:t>NSP</w:t>
            </w:r>
          </w:p>
          <w:p w14:paraId="38F5B214" w14:textId="77777777" w:rsidR="009733D9" w:rsidRPr="008C5FCA" w:rsidRDefault="009733D9" w:rsidP="005E78E4">
            <w:pPr>
              <w:jc w:val="center"/>
              <w:rPr>
                <w:rFonts w:ascii="Arial" w:hAnsi="Arial" w:cs="Arial"/>
                <w:b/>
                <w:bCs/>
                <w:color w:val="000000" w:themeColor="text1"/>
                <w:sz w:val="20"/>
                <w:szCs w:val="20"/>
              </w:rPr>
            </w:pPr>
          </w:p>
        </w:tc>
      </w:tr>
      <w:tr w:rsidR="008C5FCA" w:rsidRPr="008C5FCA" w14:paraId="2230E9D7" w14:textId="77777777" w:rsidTr="00BD116E">
        <w:trPr>
          <w:gridAfter w:val="1"/>
          <w:trHeight w:val="171"/>
          <w:tblCellSpacing w:w="15" w:type="dxa"/>
        </w:trPr>
        <w:tc>
          <w:tcPr>
            <w:tcW w:w="835" w:type="dxa"/>
            <w:vAlign w:val="center"/>
          </w:tcPr>
          <w:p w14:paraId="3486BE0D" w14:textId="77777777" w:rsidR="009733D9" w:rsidRPr="008C5FCA" w:rsidRDefault="009733D9" w:rsidP="000845BC">
            <w:pPr>
              <w:rPr>
                <w:rStyle w:val="Strong"/>
                <w:rFonts w:ascii="Arial" w:hAnsi="Arial" w:cs="Arial"/>
                <w:color w:val="000000" w:themeColor="text1"/>
                <w:sz w:val="20"/>
                <w:szCs w:val="20"/>
              </w:rPr>
            </w:pPr>
          </w:p>
        </w:tc>
        <w:tc>
          <w:tcPr>
            <w:tcW w:w="519" w:type="dxa"/>
            <w:vAlign w:val="center"/>
          </w:tcPr>
          <w:p w14:paraId="3035D02A" w14:textId="77777777" w:rsidR="009733D9" w:rsidRPr="008C5FCA" w:rsidRDefault="009733D9" w:rsidP="000845BC">
            <w:pPr>
              <w:jc w:val="center"/>
              <w:rPr>
                <w:rFonts w:ascii="Arial" w:hAnsi="Arial" w:cs="Arial"/>
                <w:b/>
                <w:bCs/>
                <w:color w:val="000000" w:themeColor="text1"/>
                <w:sz w:val="20"/>
                <w:szCs w:val="20"/>
              </w:rPr>
            </w:pPr>
            <w:r w:rsidRPr="008C5FCA">
              <w:rPr>
                <w:rFonts w:ascii="Arial" w:hAnsi="Arial" w:cs="Arial"/>
                <w:b/>
                <w:bCs/>
                <w:color w:val="000000" w:themeColor="text1"/>
                <w:sz w:val="20"/>
                <w:szCs w:val="20"/>
              </w:rPr>
              <w:t>E1</w:t>
            </w:r>
          </w:p>
        </w:tc>
        <w:tc>
          <w:tcPr>
            <w:tcW w:w="0" w:type="auto"/>
            <w:vAlign w:val="center"/>
          </w:tcPr>
          <w:p w14:paraId="1B7FB420" w14:textId="77777777" w:rsidR="009733D9" w:rsidRPr="008C5FCA" w:rsidRDefault="009733D9" w:rsidP="000845BC">
            <w:pPr>
              <w:jc w:val="center"/>
              <w:rPr>
                <w:rFonts w:ascii="Arial" w:hAnsi="Arial" w:cs="Arial"/>
                <w:b/>
                <w:bCs/>
                <w:color w:val="000000" w:themeColor="text1"/>
                <w:sz w:val="20"/>
                <w:szCs w:val="20"/>
              </w:rPr>
            </w:pPr>
            <w:r w:rsidRPr="008C5FCA">
              <w:rPr>
                <w:rFonts w:ascii="Arial" w:hAnsi="Arial" w:cs="Arial"/>
                <w:b/>
                <w:bCs/>
                <w:color w:val="000000" w:themeColor="text1"/>
                <w:sz w:val="20"/>
                <w:szCs w:val="20"/>
              </w:rPr>
              <w:t>E2</w:t>
            </w:r>
          </w:p>
        </w:tc>
        <w:tc>
          <w:tcPr>
            <w:tcW w:w="0" w:type="auto"/>
            <w:vAlign w:val="center"/>
          </w:tcPr>
          <w:p w14:paraId="0D2DF370" w14:textId="77777777" w:rsidR="009733D9" w:rsidRPr="008C5FCA" w:rsidRDefault="009733D9" w:rsidP="000845BC">
            <w:pPr>
              <w:jc w:val="center"/>
              <w:rPr>
                <w:rFonts w:ascii="Arial" w:hAnsi="Arial" w:cs="Arial"/>
                <w:b/>
                <w:bCs/>
                <w:color w:val="000000" w:themeColor="text1"/>
                <w:sz w:val="20"/>
                <w:szCs w:val="20"/>
              </w:rPr>
            </w:pPr>
            <w:r w:rsidRPr="008C5FCA">
              <w:rPr>
                <w:rFonts w:ascii="Arial" w:hAnsi="Arial" w:cs="Arial"/>
                <w:b/>
                <w:bCs/>
                <w:color w:val="000000" w:themeColor="text1"/>
                <w:sz w:val="20"/>
                <w:szCs w:val="20"/>
              </w:rPr>
              <w:t>E3</w:t>
            </w:r>
          </w:p>
        </w:tc>
        <w:tc>
          <w:tcPr>
            <w:tcW w:w="0" w:type="auto"/>
            <w:vAlign w:val="center"/>
          </w:tcPr>
          <w:p w14:paraId="36E0D1ED" w14:textId="77777777" w:rsidR="009733D9" w:rsidRPr="008C5FCA" w:rsidRDefault="009733D9" w:rsidP="000845BC">
            <w:pPr>
              <w:jc w:val="center"/>
              <w:rPr>
                <w:rFonts w:ascii="Arial" w:hAnsi="Arial" w:cs="Arial"/>
                <w:b/>
                <w:bCs/>
                <w:color w:val="000000" w:themeColor="text1"/>
                <w:sz w:val="20"/>
                <w:szCs w:val="20"/>
              </w:rPr>
            </w:pPr>
            <w:r w:rsidRPr="008C5FCA">
              <w:rPr>
                <w:rFonts w:ascii="Arial" w:hAnsi="Arial" w:cs="Arial"/>
                <w:b/>
                <w:bCs/>
                <w:color w:val="000000" w:themeColor="text1"/>
                <w:sz w:val="20"/>
                <w:szCs w:val="20"/>
              </w:rPr>
              <w:t>E1</w:t>
            </w:r>
          </w:p>
        </w:tc>
        <w:tc>
          <w:tcPr>
            <w:tcW w:w="0" w:type="auto"/>
            <w:vAlign w:val="center"/>
          </w:tcPr>
          <w:p w14:paraId="69E23A73" w14:textId="77777777" w:rsidR="009733D9" w:rsidRPr="008C5FCA" w:rsidRDefault="009733D9" w:rsidP="000845BC">
            <w:pPr>
              <w:jc w:val="center"/>
              <w:rPr>
                <w:rFonts w:ascii="Arial" w:hAnsi="Arial" w:cs="Arial"/>
                <w:b/>
                <w:bCs/>
                <w:color w:val="000000" w:themeColor="text1"/>
                <w:sz w:val="20"/>
                <w:szCs w:val="20"/>
              </w:rPr>
            </w:pPr>
            <w:r w:rsidRPr="008C5FCA">
              <w:rPr>
                <w:rFonts w:ascii="Arial" w:hAnsi="Arial" w:cs="Arial"/>
                <w:b/>
                <w:bCs/>
                <w:color w:val="000000" w:themeColor="text1"/>
                <w:sz w:val="20"/>
                <w:szCs w:val="20"/>
              </w:rPr>
              <w:t>E2</w:t>
            </w:r>
          </w:p>
        </w:tc>
        <w:tc>
          <w:tcPr>
            <w:tcW w:w="0" w:type="auto"/>
            <w:vAlign w:val="center"/>
          </w:tcPr>
          <w:p w14:paraId="26E94750" w14:textId="77777777" w:rsidR="009733D9" w:rsidRPr="008C5FCA" w:rsidRDefault="009733D9" w:rsidP="000845BC">
            <w:pPr>
              <w:jc w:val="center"/>
              <w:rPr>
                <w:rFonts w:ascii="Arial" w:hAnsi="Arial" w:cs="Arial"/>
                <w:b/>
                <w:bCs/>
                <w:color w:val="000000" w:themeColor="text1"/>
                <w:sz w:val="20"/>
                <w:szCs w:val="20"/>
              </w:rPr>
            </w:pPr>
            <w:r w:rsidRPr="008C5FCA">
              <w:rPr>
                <w:rFonts w:ascii="Arial" w:hAnsi="Arial" w:cs="Arial"/>
                <w:b/>
                <w:bCs/>
                <w:color w:val="000000" w:themeColor="text1"/>
                <w:sz w:val="20"/>
                <w:szCs w:val="20"/>
              </w:rPr>
              <w:t>E3</w:t>
            </w:r>
          </w:p>
        </w:tc>
        <w:tc>
          <w:tcPr>
            <w:tcW w:w="0" w:type="auto"/>
            <w:vAlign w:val="center"/>
          </w:tcPr>
          <w:p w14:paraId="5E61935D" w14:textId="77777777" w:rsidR="009733D9" w:rsidRPr="008C5FCA" w:rsidRDefault="009733D9" w:rsidP="000845BC">
            <w:pPr>
              <w:jc w:val="center"/>
              <w:rPr>
                <w:rFonts w:ascii="Arial" w:hAnsi="Arial" w:cs="Arial"/>
                <w:b/>
                <w:bCs/>
                <w:color w:val="000000" w:themeColor="text1"/>
                <w:sz w:val="20"/>
                <w:szCs w:val="20"/>
              </w:rPr>
            </w:pPr>
            <w:r w:rsidRPr="008C5FCA">
              <w:rPr>
                <w:rFonts w:ascii="Arial" w:hAnsi="Arial" w:cs="Arial"/>
                <w:b/>
                <w:bCs/>
                <w:color w:val="000000" w:themeColor="text1"/>
                <w:sz w:val="20"/>
                <w:szCs w:val="20"/>
              </w:rPr>
              <w:t>E1</w:t>
            </w:r>
          </w:p>
        </w:tc>
        <w:tc>
          <w:tcPr>
            <w:tcW w:w="0" w:type="auto"/>
            <w:vAlign w:val="center"/>
          </w:tcPr>
          <w:p w14:paraId="605F45AD" w14:textId="77777777" w:rsidR="009733D9" w:rsidRPr="008C5FCA" w:rsidRDefault="009733D9" w:rsidP="000845BC">
            <w:pPr>
              <w:jc w:val="center"/>
              <w:rPr>
                <w:rFonts w:ascii="Arial" w:hAnsi="Arial" w:cs="Arial"/>
                <w:b/>
                <w:bCs/>
                <w:color w:val="000000" w:themeColor="text1"/>
                <w:sz w:val="20"/>
                <w:szCs w:val="20"/>
              </w:rPr>
            </w:pPr>
            <w:r w:rsidRPr="008C5FCA">
              <w:rPr>
                <w:rFonts w:ascii="Arial" w:hAnsi="Arial" w:cs="Arial"/>
                <w:b/>
                <w:bCs/>
                <w:color w:val="000000" w:themeColor="text1"/>
                <w:sz w:val="20"/>
                <w:szCs w:val="20"/>
              </w:rPr>
              <w:t>E2</w:t>
            </w:r>
          </w:p>
        </w:tc>
        <w:tc>
          <w:tcPr>
            <w:tcW w:w="0" w:type="auto"/>
            <w:vAlign w:val="center"/>
          </w:tcPr>
          <w:p w14:paraId="4200F775" w14:textId="77777777" w:rsidR="009733D9" w:rsidRPr="008C5FCA" w:rsidRDefault="009733D9" w:rsidP="000845BC">
            <w:pPr>
              <w:jc w:val="center"/>
              <w:rPr>
                <w:rFonts w:ascii="Arial" w:hAnsi="Arial" w:cs="Arial"/>
                <w:b/>
                <w:bCs/>
                <w:color w:val="000000" w:themeColor="text1"/>
                <w:sz w:val="20"/>
                <w:szCs w:val="20"/>
              </w:rPr>
            </w:pPr>
            <w:r w:rsidRPr="008C5FCA">
              <w:rPr>
                <w:rFonts w:ascii="Arial" w:hAnsi="Arial" w:cs="Arial"/>
                <w:b/>
                <w:bCs/>
                <w:color w:val="000000" w:themeColor="text1"/>
                <w:sz w:val="20"/>
                <w:szCs w:val="20"/>
              </w:rPr>
              <w:t>E3</w:t>
            </w:r>
          </w:p>
        </w:tc>
        <w:tc>
          <w:tcPr>
            <w:tcW w:w="0" w:type="auto"/>
            <w:vAlign w:val="center"/>
          </w:tcPr>
          <w:p w14:paraId="3A2215C7" w14:textId="77777777" w:rsidR="009733D9" w:rsidRPr="008C5FCA" w:rsidRDefault="009733D9" w:rsidP="000845BC">
            <w:pPr>
              <w:jc w:val="center"/>
              <w:rPr>
                <w:rFonts w:ascii="Arial" w:hAnsi="Arial" w:cs="Arial"/>
                <w:b/>
                <w:bCs/>
                <w:color w:val="000000" w:themeColor="text1"/>
                <w:sz w:val="20"/>
                <w:szCs w:val="20"/>
              </w:rPr>
            </w:pPr>
            <w:r w:rsidRPr="008C5FCA">
              <w:rPr>
                <w:rFonts w:ascii="Arial" w:hAnsi="Arial" w:cs="Arial"/>
                <w:b/>
                <w:bCs/>
                <w:color w:val="000000" w:themeColor="text1"/>
                <w:sz w:val="20"/>
                <w:szCs w:val="20"/>
              </w:rPr>
              <w:t>E1</w:t>
            </w:r>
          </w:p>
        </w:tc>
        <w:tc>
          <w:tcPr>
            <w:tcW w:w="0" w:type="auto"/>
            <w:vAlign w:val="center"/>
          </w:tcPr>
          <w:p w14:paraId="48AA37B4" w14:textId="77777777" w:rsidR="009733D9" w:rsidRPr="008C5FCA" w:rsidRDefault="009733D9" w:rsidP="000845BC">
            <w:pPr>
              <w:jc w:val="center"/>
              <w:rPr>
                <w:rFonts w:ascii="Arial" w:hAnsi="Arial" w:cs="Arial"/>
                <w:b/>
                <w:bCs/>
                <w:color w:val="000000" w:themeColor="text1"/>
                <w:sz w:val="20"/>
                <w:szCs w:val="20"/>
              </w:rPr>
            </w:pPr>
            <w:r w:rsidRPr="008C5FCA">
              <w:rPr>
                <w:rFonts w:ascii="Arial" w:hAnsi="Arial" w:cs="Arial"/>
                <w:b/>
                <w:bCs/>
                <w:color w:val="000000" w:themeColor="text1"/>
                <w:sz w:val="20"/>
                <w:szCs w:val="20"/>
              </w:rPr>
              <w:t>E2</w:t>
            </w:r>
          </w:p>
        </w:tc>
        <w:tc>
          <w:tcPr>
            <w:tcW w:w="0" w:type="auto"/>
            <w:vAlign w:val="center"/>
          </w:tcPr>
          <w:p w14:paraId="4527C803" w14:textId="77777777" w:rsidR="009733D9" w:rsidRPr="008C5FCA" w:rsidRDefault="009733D9" w:rsidP="000845BC">
            <w:pPr>
              <w:jc w:val="center"/>
              <w:rPr>
                <w:rFonts w:ascii="Arial" w:hAnsi="Arial" w:cs="Arial"/>
                <w:b/>
                <w:bCs/>
                <w:color w:val="000000" w:themeColor="text1"/>
                <w:sz w:val="20"/>
                <w:szCs w:val="20"/>
              </w:rPr>
            </w:pPr>
            <w:r w:rsidRPr="008C5FCA">
              <w:rPr>
                <w:rFonts w:ascii="Arial" w:hAnsi="Arial" w:cs="Arial"/>
                <w:b/>
                <w:bCs/>
                <w:color w:val="000000" w:themeColor="text1"/>
                <w:sz w:val="20"/>
                <w:szCs w:val="20"/>
              </w:rPr>
              <w:t>E3</w:t>
            </w:r>
          </w:p>
        </w:tc>
      </w:tr>
      <w:tr w:rsidR="008C5FCA" w:rsidRPr="008C5FCA" w14:paraId="6DFA5A6E" w14:textId="77777777" w:rsidTr="00BD116E">
        <w:trPr>
          <w:gridAfter w:val="1"/>
          <w:trHeight w:val="333"/>
          <w:tblCellSpacing w:w="15" w:type="dxa"/>
        </w:trPr>
        <w:tc>
          <w:tcPr>
            <w:tcW w:w="835" w:type="dxa"/>
            <w:tcBorders>
              <w:right w:val="single" w:sz="4" w:space="0" w:color="auto"/>
            </w:tcBorders>
            <w:vAlign w:val="center"/>
            <w:hideMark/>
          </w:tcPr>
          <w:p w14:paraId="4987B346" w14:textId="77777777" w:rsidR="009733D9" w:rsidRPr="008C5FCA" w:rsidRDefault="009733D9" w:rsidP="000845BC">
            <w:pPr>
              <w:rPr>
                <w:rFonts w:ascii="Arial" w:hAnsi="Arial" w:cs="Arial"/>
                <w:color w:val="000000" w:themeColor="text1"/>
                <w:sz w:val="20"/>
                <w:szCs w:val="20"/>
              </w:rPr>
            </w:pPr>
            <w:r w:rsidRPr="008C5FCA">
              <w:rPr>
                <w:rStyle w:val="Strong"/>
                <w:rFonts w:ascii="Arial" w:hAnsi="Arial" w:cs="Arial"/>
                <w:color w:val="000000" w:themeColor="text1"/>
                <w:sz w:val="20"/>
                <w:szCs w:val="20"/>
              </w:rPr>
              <w:t>Mean ± SE</w:t>
            </w:r>
          </w:p>
        </w:tc>
        <w:tc>
          <w:tcPr>
            <w:tcW w:w="519" w:type="dxa"/>
            <w:vAlign w:val="center"/>
            <w:hideMark/>
          </w:tcPr>
          <w:p w14:paraId="75F559EB"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8.52 ±0.14</w:t>
            </w:r>
          </w:p>
        </w:tc>
        <w:tc>
          <w:tcPr>
            <w:tcW w:w="0" w:type="auto"/>
            <w:vAlign w:val="center"/>
            <w:hideMark/>
          </w:tcPr>
          <w:p w14:paraId="6087963D"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9.93 ±0.15</w:t>
            </w:r>
          </w:p>
        </w:tc>
        <w:tc>
          <w:tcPr>
            <w:tcW w:w="0" w:type="auto"/>
            <w:tcBorders>
              <w:right w:val="single" w:sz="4" w:space="0" w:color="auto"/>
            </w:tcBorders>
            <w:vAlign w:val="center"/>
            <w:hideMark/>
          </w:tcPr>
          <w:p w14:paraId="4C9B8464"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3.39 ±0.14</w:t>
            </w:r>
          </w:p>
        </w:tc>
        <w:tc>
          <w:tcPr>
            <w:tcW w:w="0" w:type="auto"/>
            <w:vAlign w:val="center"/>
            <w:hideMark/>
          </w:tcPr>
          <w:p w14:paraId="0532CF31"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44.41 ±0.84</w:t>
            </w:r>
          </w:p>
        </w:tc>
        <w:tc>
          <w:tcPr>
            <w:tcW w:w="0" w:type="auto"/>
            <w:vAlign w:val="center"/>
            <w:hideMark/>
          </w:tcPr>
          <w:p w14:paraId="09433CA2"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56.68 ±1.07</w:t>
            </w:r>
          </w:p>
        </w:tc>
        <w:tc>
          <w:tcPr>
            <w:tcW w:w="0" w:type="auto"/>
            <w:tcBorders>
              <w:right w:val="single" w:sz="4" w:space="0" w:color="auto"/>
            </w:tcBorders>
            <w:vAlign w:val="center"/>
            <w:hideMark/>
          </w:tcPr>
          <w:p w14:paraId="7379BE4F"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48.18 ±0.96</w:t>
            </w:r>
          </w:p>
        </w:tc>
        <w:tc>
          <w:tcPr>
            <w:tcW w:w="0" w:type="auto"/>
            <w:vAlign w:val="center"/>
            <w:hideMark/>
          </w:tcPr>
          <w:p w14:paraId="2086C407"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14.27 ±0.27</w:t>
            </w:r>
          </w:p>
        </w:tc>
        <w:tc>
          <w:tcPr>
            <w:tcW w:w="0" w:type="auto"/>
            <w:vAlign w:val="center"/>
            <w:hideMark/>
          </w:tcPr>
          <w:p w14:paraId="6D1B0699"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17.11 ±0.37</w:t>
            </w:r>
          </w:p>
        </w:tc>
        <w:tc>
          <w:tcPr>
            <w:tcW w:w="0" w:type="auto"/>
            <w:tcBorders>
              <w:right w:val="single" w:sz="4" w:space="0" w:color="auto"/>
            </w:tcBorders>
            <w:vAlign w:val="center"/>
            <w:hideMark/>
          </w:tcPr>
          <w:p w14:paraId="40D9156A"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3.66 ±0.21</w:t>
            </w:r>
          </w:p>
        </w:tc>
        <w:tc>
          <w:tcPr>
            <w:tcW w:w="0" w:type="auto"/>
            <w:vAlign w:val="center"/>
            <w:hideMark/>
          </w:tcPr>
          <w:p w14:paraId="63176AAF"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8.56 ±0.16</w:t>
            </w:r>
          </w:p>
        </w:tc>
        <w:tc>
          <w:tcPr>
            <w:tcW w:w="0" w:type="auto"/>
            <w:vAlign w:val="center"/>
            <w:hideMark/>
          </w:tcPr>
          <w:p w14:paraId="146499FD"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10.39 ±0.14</w:t>
            </w:r>
          </w:p>
        </w:tc>
        <w:tc>
          <w:tcPr>
            <w:tcW w:w="0" w:type="auto"/>
            <w:vAlign w:val="center"/>
            <w:hideMark/>
          </w:tcPr>
          <w:p w14:paraId="72742D4A"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4.77 ±0.15</w:t>
            </w:r>
          </w:p>
        </w:tc>
      </w:tr>
      <w:tr w:rsidR="008C5FCA" w:rsidRPr="008C5FCA" w14:paraId="021A6A93" w14:textId="77777777" w:rsidTr="00BD116E">
        <w:trPr>
          <w:gridAfter w:val="1"/>
          <w:trHeight w:val="333"/>
          <w:tblCellSpacing w:w="15" w:type="dxa"/>
        </w:trPr>
        <w:tc>
          <w:tcPr>
            <w:tcW w:w="835" w:type="dxa"/>
            <w:tcBorders>
              <w:right w:val="single" w:sz="4" w:space="0" w:color="auto"/>
            </w:tcBorders>
            <w:vAlign w:val="center"/>
            <w:hideMark/>
          </w:tcPr>
          <w:p w14:paraId="386C130A" w14:textId="77777777" w:rsidR="009733D9" w:rsidRPr="008C5FCA" w:rsidRDefault="009733D9" w:rsidP="000845BC">
            <w:pPr>
              <w:rPr>
                <w:rFonts w:ascii="Arial" w:hAnsi="Arial" w:cs="Arial"/>
                <w:color w:val="000000" w:themeColor="text1"/>
                <w:sz w:val="20"/>
                <w:szCs w:val="20"/>
              </w:rPr>
            </w:pPr>
            <w:r w:rsidRPr="008C5FCA">
              <w:rPr>
                <w:rStyle w:val="Strong"/>
                <w:rFonts w:ascii="Arial" w:hAnsi="Arial" w:cs="Arial"/>
                <w:color w:val="000000" w:themeColor="text1"/>
                <w:sz w:val="20"/>
                <w:szCs w:val="20"/>
              </w:rPr>
              <w:t>CD (5%)</w:t>
            </w:r>
          </w:p>
        </w:tc>
        <w:tc>
          <w:tcPr>
            <w:tcW w:w="519" w:type="dxa"/>
            <w:vAlign w:val="center"/>
            <w:hideMark/>
          </w:tcPr>
          <w:p w14:paraId="252341D3"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1.03</w:t>
            </w:r>
          </w:p>
        </w:tc>
        <w:tc>
          <w:tcPr>
            <w:tcW w:w="0" w:type="auto"/>
            <w:vAlign w:val="center"/>
            <w:hideMark/>
          </w:tcPr>
          <w:p w14:paraId="54A0F14D"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0.53</w:t>
            </w:r>
          </w:p>
        </w:tc>
        <w:tc>
          <w:tcPr>
            <w:tcW w:w="0" w:type="auto"/>
            <w:tcBorders>
              <w:right w:val="single" w:sz="4" w:space="0" w:color="auto"/>
            </w:tcBorders>
            <w:vAlign w:val="center"/>
            <w:hideMark/>
          </w:tcPr>
          <w:p w14:paraId="3D55F2E9"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0.42</w:t>
            </w:r>
          </w:p>
        </w:tc>
        <w:tc>
          <w:tcPr>
            <w:tcW w:w="0" w:type="auto"/>
            <w:vAlign w:val="center"/>
            <w:hideMark/>
          </w:tcPr>
          <w:p w14:paraId="2554A99D"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4.49</w:t>
            </w:r>
          </w:p>
        </w:tc>
        <w:tc>
          <w:tcPr>
            <w:tcW w:w="0" w:type="auto"/>
            <w:vAlign w:val="center"/>
            <w:hideMark/>
          </w:tcPr>
          <w:p w14:paraId="3BFBC520"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3.5</w:t>
            </w:r>
          </w:p>
        </w:tc>
        <w:tc>
          <w:tcPr>
            <w:tcW w:w="0" w:type="auto"/>
            <w:tcBorders>
              <w:right w:val="single" w:sz="4" w:space="0" w:color="auto"/>
            </w:tcBorders>
            <w:vAlign w:val="center"/>
            <w:hideMark/>
          </w:tcPr>
          <w:p w14:paraId="44C63557"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4.66</w:t>
            </w:r>
          </w:p>
        </w:tc>
        <w:tc>
          <w:tcPr>
            <w:tcW w:w="0" w:type="auto"/>
            <w:vAlign w:val="center"/>
            <w:hideMark/>
          </w:tcPr>
          <w:p w14:paraId="02F926D9"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1.19</w:t>
            </w:r>
          </w:p>
        </w:tc>
        <w:tc>
          <w:tcPr>
            <w:tcW w:w="0" w:type="auto"/>
            <w:vAlign w:val="center"/>
            <w:hideMark/>
          </w:tcPr>
          <w:p w14:paraId="2B53F6F3"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0.5</w:t>
            </w:r>
          </w:p>
        </w:tc>
        <w:tc>
          <w:tcPr>
            <w:tcW w:w="0" w:type="auto"/>
            <w:tcBorders>
              <w:right w:val="single" w:sz="4" w:space="0" w:color="auto"/>
            </w:tcBorders>
            <w:vAlign w:val="center"/>
            <w:hideMark/>
          </w:tcPr>
          <w:p w14:paraId="4F3590E2"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0.4</w:t>
            </w:r>
          </w:p>
        </w:tc>
        <w:tc>
          <w:tcPr>
            <w:tcW w:w="0" w:type="auto"/>
            <w:vAlign w:val="center"/>
            <w:hideMark/>
          </w:tcPr>
          <w:p w14:paraId="55041F51"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1.05</w:t>
            </w:r>
          </w:p>
        </w:tc>
        <w:tc>
          <w:tcPr>
            <w:tcW w:w="0" w:type="auto"/>
            <w:vAlign w:val="center"/>
            <w:hideMark/>
          </w:tcPr>
          <w:p w14:paraId="1A3251E0"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0.64</w:t>
            </w:r>
          </w:p>
        </w:tc>
        <w:tc>
          <w:tcPr>
            <w:tcW w:w="0" w:type="auto"/>
            <w:vAlign w:val="center"/>
            <w:hideMark/>
          </w:tcPr>
          <w:p w14:paraId="177BC3FC"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0.39</w:t>
            </w:r>
          </w:p>
        </w:tc>
      </w:tr>
      <w:tr w:rsidR="008C5FCA" w:rsidRPr="008C5FCA" w14:paraId="3AD430B4" w14:textId="77777777" w:rsidTr="00BD116E">
        <w:trPr>
          <w:gridAfter w:val="1"/>
          <w:trHeight w:val="333"/>
          <w:tblCellSpacing w:w="15" w:type="dxa"/>
        </w:trPr>
        <w:tc>
          <w:tcPr>
            <w:tcW w:w="835" w:type="dxa"/>
            <w:tcBorders>
              <w:bottom w:val="single" w:sz="4" w:space="0" w:color="auto"/>
              <w:right w:val="single" w:sz="4" w:space="0" w:color="auto"/>
            </w:tcBorders>
            <w:vAlign w:val="center"/>
            <w:hideMark/>
          </w:tcPr>
          <w:p w14:paraId="4A773C94" w14:textId="77777777" w:rsidR="009733D9" w:rsidRPr="008C5FCA" w:rsidRDefault="009733D9" w:rsidP="000845BC">
            <w:pPr>
              <w:rPr>
                <w:rFonts w:ascii="Arial" w:hAnsi="Arial" w:cs="Arial"/>
                <w:color w:val="000000" w:themeColor="text1"/>
                <w:sz w:val="20"/>
                <w:szCs w:val="20"/>
              </w:rPr>
            </w:pPr>
            <w:r w:rsidRPr="008C5FCA">
              <w:rPr>
                <w:rStyle w:val="Strong"/>
                <w:rFonts w:ascii="Arial" w:hAnsi="Arial" w:cs="Arial"/>
                <w:color w:val="000000" w:themeColor="text1"/>
                <w:sz w:val="20"/>
                <w:szCs w:val="20"/>
              </w:rPr>
              <w:t>CV (%)</w:t>
            </w:r>
          </w:p>
        </w:tc>
        <w:tc>
          <w:tcPr>
            <w:tcW w:w="519" w:type="dxa"/>
            <w:tcBorders>
              <w:bottom w:val="single" w:sz="4" w:space="0" w:color="auto"/>
            </w:tcBorders>
            <w:vAlign w:val="center"/>
            <w:hideMark/>
          </w:tcPr>
          <w:p w14:paraId="5B5BD5EE"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2.7</w:t>
            </w:r>
          </w:p>
        </w:tc>
        <w:tc>
          <w:tcPr>
            <w:tcW w:w="0" w:type="auto"/>
            <w:tcBorders>
              <w:bottom w:val="single" w:sz="4" w:space="0" w:color="auto"/>
            </w:tcBorders>
            <w:vAlign w:val="center"/>
            <w:hideMark/>
          </w:tcPr>
          <w:p w14:paraId="6D2AE5F9"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1.19</w:t>
            </w:r>
          </w:p>
        </w:tc>
        <w:tc>
          <w:tcPr>
            <w:tcW w:w="0" w:type="auto"/>
            <w:tcBorders>
              <w:bottom w:val="single" w:sz="4" w:space="0" w:color="auto"/>
              <w:right w:val="single" w:sz="4" w:space="0" w:color="auto"/>
            </w:tcBorders>
            <w:vAlign w:val="center"/>
            <w:hideMark/>
          </w:tcPr>
          <w:p w14:paraId="21C56B7C"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2.53</w:t>
            </w:r>
          </w:p>
        </w:tc>
        <w:tc>
          <w:tcPr>
            <w:tcW w:w="0" w:type="auto"/>
            <w:tcBorders>
              <w:bottom w:val="single" w:sz="4" w:space="0" w:color="auto"/>
            </w:tcBorders>
            <w:vAlign w:val="center"/>
            <w:hideMark/>
          </w:tcPr>
          <w:p w14:paraId="2DB9286C"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2.35</w:t>
            </w:r>
          </w:p>
        </w:tc>
        <w:tc>
          <w:tcPr>
            <w:tcW w:w="0" w:type="auto"/>
            <w:tcBorders>
              <w:bottom w:val="single" w:sz="4" w:space="0" w:color="auto"/>
            </w:tcBorders>
            <w:vAlign w:val="center"/>
            <w:hideMark/>
          </w:tcPr>
          <w:p w14:paraId="33508FCD"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1.44</w:t>
            </w:r>
          </w:p>
        </w:tc>
        <w:tc>
          <w:tcPr>
            <w:tcW w:w="0" w:type="auto"/>
            <w:tcBorders>
              <w:bottom w:val="single" w:sz="4" w:space="0" w:color="auto"/>
              <w:right w:val="single" w:sz="4" w:space="0" w:color="auto"/>
            </w:tcBorders>
            <w:vAlign w:val="center"/>
            <w:hideMark/>
          </w:tcPr>
          <w:p w14:paraId="34A979C6"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2.18</w:t>
            </w:r>
          </w:p>
        </w:tc>
        <w:tc>
          <w:tcPr>
            <w:tcW w:w="0" w:type="auto"/>
            <w:tcBorders>
              <w:bottom w:val="single" w:sz="4" w:space="0" w:color="auto"/>
            </w:tcBorders>
            <w:vAlign w:val="center"/>
            <w:hideMark/>
          </w:tcPr>
          <w:p w14:paraId="64B173A6"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1.89</w:t>
            </w:r>
          </w:p>
        </w:tc>
        <w:tc>
          <w:tcPr>
            <w:tcW w:w="0" w:type="auto"/>
            <w:tcBorders>
              <w:bottom w:val="single" w:sz="4" w:space="0" w:color="auto"/>
            </w:tcBorders>
            <w:vAlign w:val="center"/>
            <w:hideMark/>
          </w:tcPr>
          <w:p w14:paraId="06AE9587"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0.66</w:t>
            </w:r>
          </w:p>
        </w:tc>
        <w:tc>
          <w:tcPr>
            <w:tcW w:w="0" w:type="auto"/>
            <w:tcBorders>
              <w:bottom w:val="single" w:sz="4" w:space="0" w:color="auto"/>
              <w:right w:val="single" w:sz="4" w:space="0" w:color="auto"/>
            </w:tcBorders>
            <w:vAlign w:val="center"/>
            <w:hideMark/>
          </w:tcPr>
          <w:p w14:paraId="72AB16EF"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2.2</w:t>
            </w:r>
          </w:p>
        </w:tc>
        <w:tc>
          <w:tcPr>
            <w:tcW w:w="0" w:type="auto"/>
            <w:tcBorders>
              <w:bottom w:val="single" w:sz="4" w:space="0" w:color="auto"/>
            </w:tcBorders>
            <w:vAlign w:val="center"/>
            <w:hideMark/>
          </w:tcPr>
          <w:p w14:paraId="289BC630"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2.77</w:t>
            </w:r>
          </w:p>
        </w:tc>
        <w:tc>
          <w:tcPr>
            <w:tcW w:w="0" w:type="auto"/>
            <w:tcBorders>
              <w:bottom w:val="single" w:sz="4" w:space="0" w:color="auto"/>
            </w:tcBorders>
            <w:vAlign w:val="center"/>
            <w:hideMark/>
          </w:tcPr>
          <w:p w14:paraId="7B0EE08C"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1.41</w:t>
            </w:r>
          </w:p>
        </w:tc>
        <w:tc>
          <w:tcPr>
            <w:tcW w:w="0" w:type="auto"/>
            <w:tcBorders>
              <w:bottom w:val="single" w:sz="4" w:space="0" w:color="auto"/>
            </w:tcBorders>
            <w:vAlign w:val="center"/>
            <w:hideMark/>
          </w:tcPr>
          <w:p w14:paraId="04C95525"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1.79</w:t>
            </w:r>
          </w:p>
        </w:tc>
      </w:tr>
    </w:tbl>
    <w:p w14:paraId="795D2F12" w14:textId="77777777" w:rsidR="00BD116E" w:rsidRDefault="00BD116E" w:rsidP="000845BC">
      <w:pPr>
        <w:rPr>
          <w:rFonts w:ascii="Arial" w:hAnsi="Arial" w:cs="Arial"/>
          <w:b/>
          <w:bCs/>
          <w:color w:val="000000" w:themeColor="text1"/>
          <w:sz w:val="20"/>
          <w:szCs w:val="20"/>
        </w:rPr>
      </w:pPr>
    </w:p>
    <w:p w14:paraId="06E3C2E6" w14:textId="77777777" w:rsidR="00342CEB" w:rsidRPr="008C5FCA" w:rsidRDefault="00342CEB" w:rsidP="000845BC">
      <w:pPr>
        <w:rPr>
          <w:rFonts w:ascii="Arial" w:hAnsi="Arial" w:cs="Arial"/>
          <w:b/>
          <w:bCs/>
          <w:color w:val="000000" w:themeColor="text1"/>
          <w:sz w:val="20"/>
          <w:szCs w:val="20"/>
        </w:rPr>
      </w:pPr>
    </w:p>
    <w:tbl>
      <w:tblPr>
        <w:tblW w:w="8282" w:type="dxa"/>
        <w:tblCellSpacing w:w="15" w:type="dxa"/>
        <w:tblCellMar>
          <w:top w:w="15" w:type="dxa"/>
          <w:left w:w="15" w:type="dxa"/>
          <w:bottom w:w="15" w:type="dxa"/>
          <w:right w:w="15" w:type="dxa"/>
        </w:tblCellMar>
        <w:tblLook w:val="04A0" w:firstRow="1" w:lastRow="0" w:firstColumn="1" w:lastColumn="0" w:noHBand="0" w:noVBand="1"/>
      </w:tblPr>
      <w:tblGrid>
        <w:gridCol w:w="891"/>
        <w:gridCol w:w="560"/>
        <w:gridCol w:w="585"/>
        <w:gridCol w:w="618"/>
        <w:gridCol w:w="618"/>
        <w:gridCol w:w="703"/>
        <w:gridCol w:w="598"/>
        <w:gridCol w:w="660"/>
        <w:gridCol w:w="592"/>
        <w:gridCol w:w="669"/>
        <w:gridCol w:w="561"/>
        <w:gridCol w:w="592"/>
        <w:gridCol w:w="585"/>
        <w:gridCol w:w="50"/>
      </w:tblGrid>
      <w:tr w:rsidR="008C5FCA" w:rsidRPr="008C5FCA" w14:paraId="71CF5601" w14:textId="77777777" w:rsidTr="00BD116E">
        <w:trPr>
          <w:trHeight w:val="235"/>
          <w:tblHeader/>
          <w:tblCellSpacing w:w="15" w:type="dxa"/>
        </w:trPr>
        <w:tc>
          <w:tcPr>
            <w:tcW w:w="847" w:type="dxa"/>
            <w:tcBorders>
              <w:top w:val="single" w:sz="4" w:space="0" w:color="auto"/>
              <w:bottom w:val="single" w:sz="4" w:space="0" w:color="auto"/>
            </w:tcBorders>
            <w:vAlign w:val="center"/>
            <w:hideMark/>
          </w:tcPr>
          <w:p w14:paraId="6AB8A0AF" w14:textId="77777777" w:rsidR="009733D9" w:rsidRPr="008C5FCA" w:rsidRDefault="009733D9" w:rsidP="000845BC">
            <w:pPr>
              <w:rPr>
                <w:rFonts w:ascii="Arial" w:hAnsi="Arial" w:cs="Arial"/>
                <w:b/>
                <w:bCs/>
                <w:color w:val="000000" w:themeColor="text1"/>
                <w:sz w:val="20"/>
                <w:szCs w:val="20"/>
              </w:rPr>
            </w:pPr>
          </w:p>
        </w:tc>
        <w:tc>
          <w:tcPr>
            <w:tcW w:w="1737" w:type="dxa"/>
            <w:gridSpan w:val="3"/>
            <w:tcBorders>
              <w:top w:val="single" w:sz="4" w:space="0" w:color="auto"/>
              <w:bottom w:val="single" w:sz="4" w:space="0" w:color="auto"/>
            </w:tcBorders>
            <w:vAlign w:val="center"/>
            <w:hideMark/>
          </w:tcPr>
          <w:p w14:paraId="47F93D14" w14:textId="77777777" w:rsidR="009733D9" w:rsidRPr="008C5FCA" w:rsidRDefault="009733D9" w:rsidP="000845BC">
            <w:pPr>
              <w:rPr>
                <w:rFonts w:ascii="Arial" w:hAnsi="Arial" w:cs="Arial"/>
                <w:b/>
                <w:bCs/>
                <w:color w:val="000000" w:themeColor="text1"/>
                <w:sz w:val="20"/>
                <w:szCs w:val="20"/>
              </w:rPr>
            </w:pPr>
            <w:r w:rsidRPr="008C5FCA">
              <w:rPr>
                <w:rFonts w:ascii="Arial" w:hAnsi="Arial" w:cs="Arial"/>
                <w:b/>
                <w:bCs/>
                <w:color w:val="000000" w:themeColor="text1"/>
                <w:sz w:val="20"/>
                <w:szCs w:val="20"/>
              </w:rPr>
              <w:t>PD</w:t>
            </w:r>
          </w:p>
          <w:p w14:paraId="3FA90A7F" w14:textId="77777777" w:rsidR="009733D9" w:rsidRPr="008C5FCA" w:rsidRDefault="009733D9" w:rsidP="000845BC">
            <w:pPr>
              <w:rPr>
                <w:rFonts w:ascii="Arial" w:hAnsi="Arial" w:cs="Arial"/>
                <w:b/>
                <w:bCs/>
                <w:color w:val="000000" w:themeColor="text1"/>
                <w:sz w:val="20"/>
                <w:szCs w:val="20"/>
              </w:rPr>
            </w:pPr>
          </w:p>
        </w:tc>
        <w:tc>
          <w:tcPr>
            <w:tcW w:w="1896" w:type="dxa"/>
            <w:gridSpan w:val="3"/>
            <w:tcBorders>
              <w:top w:val="single" w:sz="4" w:space="0" w:color="auto"/>
              <w:bottom w:val="single" w:sz="4" w:space="0" w:color="auto"/>
            </w:tcBorders>
            <w:vAlign w:val="center"/>
            <w:hideMark/>
          </w:tcPr>
          <w:p w14:paraId="530488FF" w14:textId="77777777" w:rsidR="009733D9" w:rsidRPr="008C5FCA" w:rsidRDefault="009733D9" w:rsidP="000845BC">
            <w:pPr>
              <w:rPr>
                <w:rFonts w:ascii="Arial" w:hAnsi="Arial" w:cs="Arial"/>
                <w:b/>
                <w:bCs/>
                <w:color w:val="000000" w:themeColor="text1"/>
                <w:sz w:val="20"/>
                <w:szCs w:val="20"/>
              </w:rPr>
            </w:pPr>
            <w:r w:rsidRPr="008C5FCA">
              <w:rPr>
                <w:rFonts w:ascii="Arial" w:hAnsi="Arial" w:cs="Arial"/>
                <w:b/>
                <w:bCs/>
                <w:color w:val="000000" w:themeColor="text1"/>
                <w:sz w:val="20"/>
                <w:szCs w:val="20"/>
              </w:rPr>
              <w:t>PH</w:t>
            </w:r>
          </w:p>
          <w:p w14:paraId="700876D3" w14:textId="77777777" w:rsidR="009733D9" w:rsidRPr="008C5FCA" w:rsidRDefault="009733D9" w:rsidP="000845BC">
            <w:pPr>
              <w:rPr>
                <w:rFonts w:ascii="Arial" w:hAnsi="Arial" w:cs="Arial"/>
                <w:b/>
                <w:bCs/>
                <w:color w:val="000000" w:themeColor="text1"/>
                <w:sz w:val="20"/>
                <w:szCs w:val="20"/>
              </w:rPr>
            </w:pPr>
          </w:p>
        </w:tc>
        <w:tc>
          <w:tcPr>
            <w:tcW w:w="1902" w:type="dxa"/>
            <w:gridSpan w:val="3"/>
            <w:tcBorders>
              <w:top w:val="single" w:sz="4" w:space="0" w:color="auto"/>
              <w:bottom w:val="single" w:sz="4" w:space="0" w:color="auto"/>
            </w:tcBorders>
            <w:vAlign w:val="center"/>
            <w:hideMark/>
          </w:tcPr>
          <w:p w14:paraId="0FC374D7" w14:textId="77777777" w:rsidR="009733D9" w:rsidRPr="008C5FCA" w:rsidRDefault="009733D9" w:rsidP="000845BC">
            <w:pPr>
              <w:rPr>
                <w:rFonts w:ascii="Arial" w:hAnsi="Arial" w:cs="Arial"/>
                <w:b/>
                <w:bCs/>
                <w:color w:val="000000" w:themeColor="text1"/>
                <w:sz w:val="20"/>
                <w:szCs w:val="20"/>
              </w:rPr>
            </w:pPr>
            <w:r w:rsidRPr="008C5FCA">
              <w:rPr>
                <w:rFonts w:ascii="Arial" w:hAnsi="Arial" w:cs="Arial"/>
                <w:b/>
                <w:bCs/>
                <w:color w:val="000000" w:themeColor="text1"/>
                <w:sz w:val="20"/>
                <w:szCs w:val="20"/>
              </w:rPr>
              <w:t>PL</w:t>
            </w:r>
          </w:p>
          <w:p w14:paraId="58661D11" w14:textId="77777777" w:rsidR="009733D9" w:rsidRPr="008C5FCA" w:rsidRDefault="009733D9" w:rsidP="000845BC">
            <w:pPr>
              <w:rPr>
                <w:rFonts w:ascii="Arial" w:hAnsi="Arial" w:cs="Arial"/>
                <w:b/>
                <w:bCs/>
                <w:color w:val="000000" w:themeColor="text1"/>
                <w:sz w:val="20"/>
                <w:szCs w:val="20"/>
              </w:rPr>
            </w:pPr>
          </w:p>
        </w:tc>
        <w:tc>
          <w:tcPr>
            <w:tcW w:w="1720" w:type="dxa"/>
            <w:gridSpan w:val="4"/>
            <w:tcBorders>
              <w:top w:val="single" w:sz="4" w:space="0" w:color="auto"/>
              <w:bottom w:val="single" w:sz="4" w:space="0" w:color="auto"/>
            </w:tcBorders>
            <w:vAlign w:val="center"/>
            <w:hideMark/>
          </w:tcPr>
          <w:p w14:paraId="60760185" w14:textId="77777777" w:rsidR="009733D9" w:rsidRPr="008C5FCA" w:rsidRDefault="009733D9" w:rsidP="000845BC">
            <w:pPr>
              <w:rPr>
                <w:rFonts w:ascii="Arial" w:hAnsi="Arial" w:cs="Arial"/>
                <w:b/>
                <w:bCs/>
                <w:color w:val="000000" w:themeColor="text1"/>
                <w:sz w:val="20"/>
                <w:szCs w:val="20"/>
              </w:rPr>
            </w:pPr>
            <w:r w:rsidRPr="008C5FCA">
              <w:rPr>
                <w:rFonts w:ascii="Arial" w:hAnsi="Arial" w:cs="Arial"/>
                <w:b/>
                <w:bCs/>
                <w:color w:val="000000" w:themeColor="text1"/>
                <w:sz w:val="20"/>
                <w:szCs w:val="20"/>
              </w:rPr>
              <w:t>PWP</w:t>
            </w:r>
          </w:p>
          <w:p w14:paraId="2A253E2F" w14:textId="77777777" w:rsidR="009733D9" w:rsidRPr="008C5FCA" w:rsidRDefault="009733D9" w:rsidP="000845BC">
            <w:pPr>
              <w:rPr>
                <w:rFonts w:ascii="Arial" w:hAnsi="Arial" w:cs="Arial"/>
                <w:b/>
                <w:bCs/>
                <w:color w:val="000000" w:themeColor="text1"/>
                <w:sz w:val="20"/>
                <w:szCs w:val="20"/>
              </w:rPr>
            </w:pPr>
          </w:p>
        </w:tc>
      </w:tr>
      <w:tr w:rsidR="008C5FCA" w:rsidRPr="008C5FCA" w14:paraId="030EF613" w14:textId="77777777" w:rsidTr="00BD116E">
        <w:trPr>
          <w:gridAfter w:val="1"/>
          <w:wAfter w:w="5" w:type="dxa"/>
          <w:trHeight w:val="251"/>
          <w:tblCellSpacing w:w="15" w:type="dxa"/>
        </w:trPr>
        <w:tc>
          <w:tcPr>
            <w:tcW w:w="847" w:type="dxa"/>
            <w:vAlign w:val="center"/>
          </w:tcPr>
          <w:p w14:paraId="3A2368C3" w14:textId="77777777" w:rsidR="009733D9" w:rsidRPr="008C5FCA" w:rsidRDefault="009733D9" w:rsidP="000845BC">
            <w:pPr>
              <w:rPr>
                <w:rStyle w:val="Strong"/>
                <w:rFonts w:ascii="Arial" w:hAnsi="Arial" w:cs="Arial"/>
                <w:color w:val="000000" w:themeColor="text1"/>
                <w:sz w:val="20"/>
                <w:szCs w:val="20"/>
              </w:rPr>
            </w:pPr>
          </w:p>
        </w:tc>
        <w:tc>
          <w:tcPr>
            <w:tcW w:w="529" w:type="dxa"/>
            <w:vAlign w:val="center"/>
          </w:tcPr>
          <w:p w14:paraId="7B76D92D" w14:textId="77777777" w:rsidR="009733D9" w:rsidRPr="008C5FCA" w:rsidRDefault="009733D9" w:rsidP="00BD116E">
            <w:pPr>
              <w:jc w:val="center"/>
              <w:rPr>
                <w:rFonts w:ascii="Arial" w:hAnsi="Arial" w:cs="Arial"/>
                <w:color w:val="000000" w:themeColor="text1"/>
                <w:sz w:val="20"/>
                <w:szCs w:val="20"/>
              </w:rPr>
            </w:pPr>
            <w:r w:rsidRPr="008C5FCA">
              <w:rPr>
                <w:rFonts w:ascii="Arial" w:hAnsi="Arial" w:cs="Arial"/>
                <w:b/>
                <w:bCs/>
                <w:color w:val="000000" w:themeColor="text1"/>
                <w:sz w:val="20"/>
                <w:szCs w:val="20"/>
              </w:rPr>
              <w:t>E1</w:t>
            </w:r>
          </w:p>
        </w:tc>
        <w:tc>
          <w:tcPr>
            <w:tcW w:w="0" w:type="auto"/>
            <w:vAlign w:val="center"/>
          </w:tcPr>
          <w:p w14:paraId="19769979" w14:textId="77777777" w:rsidR="009733D9" w:rsidRPr="008C5FCA" w:rsidRDefault="009733D9" w:rsidP="00BD116E">
            <w:pPr>
              <w:jc w:val="center"/>
              <w:rPr>
                <w:rFonts w:ascii="Arial" w:hAnsi="Arial" w:cs="Arial"/>
                <w:color w:val="000000" w:themeColor="text1"/>
                <w:sz w:val="20"/>
                <w:szCs w:val="20"/>
              </w:rPr>
            </w:pPr>
            <w:r w:rsidRPr="008C5FCA">
              <w:rPr>
                <w:rFonts w:ascii="Arial" w:hAnsi="Arial" w:cs="Arial"/>
                <w:b/>
                <w:bCs/>
                <w:color w:val="000000" w:themeColor="text1"/>
                <w:sz w:val="20"/>
                <w:szCs w:val="20"/>
              </w:rPr>
              <w:t>E2</w:t>
            </w:r>
          </w:p>
        </w:tc>
        <w:tc>
          <w:tcPr>
            <w:tcW w:w="588" w:type="dxa"/>
            <w:vAlign w:val="center"/>
          </w:tcPr>
          <w:p w14:paraId="75EA6FAD" w14:textId="77777777" w:rsidR="009733D9" w:rsidRPr="008C5FCA" w:rsidRDefault="009733D9" w:rsidP="00BD116E">
            <w:pPr>
              <w:jc w:val="center"/>
              <w:rPr>
                <w:rFonts w:ascii="Arial" w:hAnsi="Arial" w:cs="Arial"/>
                <w:color w:val="000000" w:themeColor="text1"/>
                <w:sz w:val="20"/>
                <w:szCs w:val="20"/>
              </w:rPr>
            </w:pPr>
            <w:r w:rsidRPr="008C5FCA">
              <w:rPr>
                <w:rFonts w:ascii="Arial" w:hAnsi="Arial" w:cs="Arial"/>
                <w:b/>
                <w:bCs/>
                <w:color w:val="000000" w:themeColor="text1"/>
                <w:sz w:val="20"/>
                <w:szCs w:val="20"/>
              </w:rPr>
              <w:t>E3</w:t>
            </w:r>
          </w:p>
        </w:tc>
        <w:tc>
          <w:tcPr>
            <w:tcW w:w="588" w:type="dxa"/>
            <w:vAlign w:val="center"/>
          </w:tcPr>
          <w:p w14:paraId="3DCB2CF2" w14:textId="77777777" w:rsidR="009733D9" w:rsidRPr="008C5FCA" w:rsidRDefault="009733D9" w:rsidP="00BD116E">
            <w:pPr>
              <w:jc w:val="center"/>
              <w:rPr>
                <w:rFonts w:ascii="Arial" w:hAnsi="Arial" w:cs="Arial"/>
                <w:color w:val="000000" w:themeColor="text1"/>
                <w:sz w:val="20"/>
                <w:szCs w:val="20"/>
              </w:rPr>
            </w:pPr>
            <w:r w:rsidRPr="008C5FCA">
              <w:rPr>
                <w:rFonts w:ascii="Arial" w:hAnsi="Arial" w:cs="Arial"/>
                <w:b/>
                <w:bCs/>
                <w:color w:val="000000" w:themeColor="text1"/>
                <w:sz w:val="20"/>
                <w:szCs w:val="20"/>
              </w:rPr>
              <w:t>E1</w:t>
            </w:r>
          </w:p>
        </w:tc>
        <w:tc>
          <w:tcPr>
            <w:tcW w:w="0" w:type="auto"/>
            <w:vAlign w:val="center"/>
          </w:tcPr>
          <w:p w14:paraId="36880560" w14:textId="77777777" w:rsidR="009733D9" w:rsidRPr="008C5FCA" w:rsidRDefault="009733D9" w:rsidP="00BD116E">
            <w:pPr>
              <w:jc w:val="center"/>
              <w:rPr>
                <w:rFonts w:ascii="Arial" w:hAnsi="Arial" w:cs="Arial"/>
                <w:color w:val="000000" w:themeColor="text1"/>
                <w:sz w:val="20"/>
                <w:szCs w:val="20"/>
              </w:rPr>
            </w:pPr>
            <w:r w:rsidRPr="008C5FCA">
              <w:rPr>
                <w:rFonts w:ascii="Arial" w:hAnsi="Arial" w:cs="Arial"/>
                <w:b/>
                <w:bCs/>
                <w:color w:val="000000" w:themeColor="text1"/>
                <w:sz w:val="20"/>
                <w:szCs w:val="20"/>
              </w:rPr>
              <w:t>E2</w:t>
            </w:r>
          </w:p>
        </w:tc>
        <w:tc>
          <w:tcPr>
            <w:tcW w:w="568" w:type="dxa"/>
            <w:vAlign w:val="center"/>
          </w:tcPr>
          <w:p w14:paraId="1B42F5F7" w14:textId="77777777" w:rsidR="009733D9" w:rsidRPr="008C5FCA" w:rsidRDefault="009733D9" w:rsidP="00BD116E">
            <w:pPr>
              <w:jc w:val="center"/>
              <w:rPr>
                <w:rFonts w:ascii="Arial" w:hAnsi="Arial" w:cs="Arial"/>
                <w:color w:val="000000" w:themeColor="text1"/>
                <w:sz w:val="20"/>
                <w:szCs w:val="20"/>
              </w:rPr>
            </w:pPr>
            <w:r w:rsidRPr="008C5FCA">
              <w:rPr>
                <w:rFonts w:ascii="Arial" w:hAnsi="Arial" w:cs="Arial"/>
                <w:b/>
                <w:bCs/>
                <w:color w:val="000000" w:themeColor="text1"/>
                <w:sz w:val="20"/>
                <w:szCs w:val="20"/>
              </w:rPr>
              <w:t>E3</w:t>
            </w:r>
          </w:p>
        </w:tc>
        <w:tc>
          <w:tcPr>
            <w:tcW w:w="630" w:type="dxa"/>
            <w:vAlign w:val="center"/>
          </w:tcPr>
          <w:p w14:paraId="72E2C025" w14:textId="77777777" w:rsidR="009733D9" w:rsidRPr="008C5FCA" w:rsidRDefault="009733D9" w:rsidP="00BD116E">
            <w:pPr>
              <w:jc w:val="center"/>
              <w:rPr>
                <w:rFonts w:ascii="Arial" w:hAnsi="Arial" w:cs="Arial"/>
                <w:color w:val="000000" w:themeColor="text1"/>
                <w:sz w:val="20"/>
                <w:szCs w:val="20"/>
              </w:rPr>
            </w:pPr>
            <w:r w:rsidRPr="008C5FCA">
              <w:rPr>
                <w:rFonts w:ascii="Arial" w:hAnsi="Arial" w:cs="Arial"/>
                <w:b/>
                <w:bCs/>
                <w:color w:val="000000" w:themeColor="text1"/>
                <w:sz w:val="20"/>
                <w:szCs w:val="20"/>
              </w:rPr>
              <w:t>E1</w:t>
            </w:r>
          </w:p>
        </w:tc>
        <w:tc>
          <w:tcPr>
            <w:tcW w:w="0" w:type="auto"/>
            <w:vAlign w:val="center"/>
          </w:tcPr>
          <w:p w14:paraId="7FF24D37" w14:textId="77777777" w:rsidR="009733D9" w:rsidRPr="008C5FCA" w:rsidRDefault="009733D9" w:rsidP="00BD116E">
            <w:pPr>
              <w:jc w:val="center"/>
              <w:rPr>
                <w:rFonts w:ascii="Arial" w:hAnsi="Arial" w:cs="Arial"/>
                <w:color w:val="000000" w:themeColor="text1"/>
                <w:sz w:val="20"/>
                <w:szCs w:val="20"/>
              </w:rPr>
            </w:pPr>
            <w:r w:rsidRPr="008C5FCA">
              <w:rPr>
                <w:rFonts w:ascii="Arial" w:hAnsi="Arial" w:cs="Arial"/>
                <w:b/>
                <w:bCs/>
                <w:color w:val="000000" w:themeColor="text1"/>
                <w:sz w:val="20"/>
                <w:szCs w:val="20"/>
              </w:rPr>
              <w:t>E2</w:t>
            </w:r>
          </w:p>
        </w:tc>
        <w:tc>
          <w:tcPr>
            <w:tcW w:w="639" w:type="dxa"/>
            <w:vAlign w:val="center"/>
          </w:tcPr>
          <w:p w14:paraId="0D8927E7" w14:textId="77777777" w:rsidR="009733D9" w:rsidRPr="008C5FCA" w:rsidRDefault="009733D9" w:rsidP="00BD116E">
            <w:pPr>
              <w:jc w:val="center"/>
              <w:rPr>
                <w:rFonts w:ascii="Arial" w:hAnsi="Arial" w:cs="Arial"/>
                <w:color w:val="000000" w:themeColor="text1"/>
                <w:sz w:val="20"/>
                <w:szCs w:val="20"/>
              </w:rPr>
            </w:pPr>
            <w:r w:rsidRPr="008C5FCA">
              <w:rPr>
                <w:rFonts w:ascii="Arial" w:hAnsi="Arial" w:cs="Arial"/>
                <w:b/>
                <w:bCs/>
                <w:color w:val="000000" w:themeColor="text1"/>
                <w:sz w:val="20"/>
                <w:szCs w:val="20"/>
              </w:rPr>
              <w:t>E3</w:t>
            </w:r>
          </w:p>
        </w:tc>
        <w:tc>
          <w:tcPr>
            <w:tcW w:w="529" w:type="dxa"/>
            <w:vAlign w:val="center"/>
          </w:tcPr>
          <w:p w14:paraId="61CC7234" w14:textId="77777777" w:rsidR="009733D9" w:rsidRPr="008C5FCA" w:rsidRDefault="009733D9" w:rsidP="00BD116E">
            <w:pPr>
              <w:jc w:val="center"/>
              <w:rPr>
                <w:rFonts w:ascii="Arial" w:hAnsi="Arial" w:cs="Arial"/>
                <w:color w:val="000000" w:themeColor="text1"/>
                <w:sz w:val="20"/>
                <w:szCs w:val="20"/>
              </w:rPr>
            </w:pPr>
            <w:r w:rsidRPr="008C5FCA">
              <w:rPr>
                <w:rFonts w:ascii="Arial" w:hAnsi="Arial" w:cs="Arial"/>
                <w:b/>
                <w:bCs/>
                <w:color w:val="000000" w:themeColor="text1"/>
                <w:sz w:val="20"/>
                <w:szCs w:val="20"/>
              </w:rPr>
              <w:t>E1</w:t>
            </w:r>
          </w:p>
        </w:tc>
        <w:tc>
          <w:tcPr>
            <w:tcW w:w="0" w:type="auto"/>
            <w:vAlign w:val="center"/>
          </w:tcPr>
          <w:p w14:paraId="7B4611F3" w14:textId="77777777" w:rsidR="009733D9" w:rsidRPr="008C5FCA" w:rsidRDefault="009733D9" w:rsidP="00BD116E">
            <w:pPr>
              <w:jc w:val="center"/>
              <w:rPr>
                <w:rFonts w:ascii="Arial" w:hAnsi="Arial" w:cs="Arial"/>
                <w:color w:val="000000" w:themeColor="text1"/>
                <w:sz w:val="20"/>
                <w:szCs w:val="20"/>
              </w:rPr>
            </w:pPr>
            <w:r w:rsidRPr="008C5FCA">
              <w:rPr>
                <w:rFonts w:ascii="Arial" w:hAnsi="Arial" w:cs="Arial"/>
                <w:b/>
                <w:bCs/>
                <w:color w:val="000000" w:themeColor="text1"/>
                <w:sz w:val="20"/>
                <w:szCs w:val="20"/>
              </w:rPr>
              <w:t>E2</w:t>
            </w:r>
          </w:p>
        </w:tc>
        <w:tc>
          <w:tcPr>
            <w:tcW w:w="0" w:type="auto"/>
            <w:vAlign w:val="center"/>
          </w:tcPr>
          <w:p w14:paraId="4A2B880B" w14:textId="77777777" w:rsidR="009733D9" w:rsidRPr="008C5FCA" w:rsidRDefault="009733D9" w:rsidP="00BD116E">
            <w:pPr>
              <w:jc w:val="center"/>
              <w:rPr>
                <w:rFonts w:ascii="Arial" w:hAnsi="Arial" w:cs="Arial"/>
                <w:color w:val="000000" w:themeColor="text1"/>
                <w:sz w:val="20"/>
                <w:szCs w:val="20"/>
              </w:rPr>
            </w:pPr>
            <w:r w:rsidRPr="008C5FCA">
              <w:rPr>
                <w:rFonts w:ascii="Arial" w:hAnsi="Arial" w:cs="Arial"/>
                <w:b/>
                <w:bCs/>
                <w:color w:val="000000" w:themeColor="text1"/>
                <w:sz w:val="20"/>
                <w:szCs w:val="20"/>
              </w:rPr>
              <w:t>E3</w:t>
            </w:r>
          </w:p>
        </w:tc>
      </w:tr>
      <w:tr w:rsidR="008C5FCA" w:rsidRPr="008C5FCA" w14:paraId="2BB24E83" w14:textId="77777777" w:rsidTr="00BD116E">
        <w:trPr>
          <w:gridAfter w:val="1"/>
          <w:wAfter w:w="5" w:type="dxa"/>
          <w:trHeight w:val="486"/>
          <w:tblCellSpacing w:w="15" w:type="dxa"/>
        </w:trPr>
        <w:tc>
          <w:tcPr>
            <w:tcW w:w="847" w:type="dxa"/>
            <w:vAlign w:val="center"/>
            <w:hideMark/>
          </w:tcPr>
          <w:p w14:paraId="7002F5D7" w14:textId="77777777" w:rsidR="009733D9" w:rsidRPr="008C5FCA" w:rsidRDefault="009733D9" w:rsidP="000845BC">
            <w:pPr>
              <w:rPr>
                <w:rFonts w:ascii="Arial" w:hAnsi="Arial" w:cs="Arial"/>
                <w:color w:val="000000" w:themeColor="text1"/>
                <w:sz w:val="20"/>
                <w:szCs w:val="20"/>
              </w:rPr>
            </w:pPr>
            <w:r w:rsidRPr="008C5FCA">
              <w:rPr>
                <w:rStyle w:val="Strong"/>
                <w:rFonts w:ascii="Arial" w:hAnsi="Arial" w:cs="Arial"/>
                <w:color w:val="000000" w:themeColor="text1"/>
                <w:sz w:val="20"/>
                <w:szCs w:val="20"/>
              </w:rPr>
              <w:t>Mean ± SE</w:t>
            </w:r>
          </w:p>
        </w:tc>
        <w:tc>
          <w:tcPr>
            <w:tcW w:w="529" w:type="dxa"/>
            <w:vAlign w:val="center"/>
            <w:hideMark/>
          </w:tcPr>
          <w:p w14:paraId="3C9E2920"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6.16 ±0.09</w:t>
            </w:r>
          </w:p>
        </w:tc>
        <w:tc>
          <w:tcPr>
            <w:tcW w:w="0" w:type="auto"/>
            <w:vAlign w:val="center"/>
            <w:hideMark/>
          </w:tcPr>
          <w:p w14:paraId="1A9C9050"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7.20 ±0.13</w:t>
            </w:r>
          </w:p>
        </w:tc>
        <w:tc>
          <w:tcPr>
            <w:tcW w:w="588" w:type="dxa"/>
            <w:tcBorders>
              <w:right w:val="single" w:sz="4" w:space="0" w:color="auto"/>
            </w:tcBorders>
            <w:vAlign w:val="center"/>
            <w:hideMark/>
          </w:tcPr>
          <w:p w14:paraId="0358FED2"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3.95 ±0.09</w:t>
            </w:r>
          </w:p>
        </w:tc>
        <w:tc>
          <w:tcPr>
            <w:tcW w:w="588" w:type="dxa"/>
            <w:vAlign w:val="center"/>
            <w:hideMark/>
          </w:tcPr>
          <w:p w14:paraId="083462C8"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72.79 ±1.34</w:t>
            </w:r>
          </w:p>
        </w:tc>
        <w:tc>
          <w:tcPr>
            <w:tcW w:w="0" w:type="auto"/>
            <w:vAlign w:val="center"/>
            <w:hideMark/>
          </w:tcPr>
          <w:p w14:paraId="5CBE57BD"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106.98 ±2.84</w:t>
            </w:r>
          </w:p>
        </w:tc>
        <w:tc>
          <w:tcPr>
            <w:tcW w:w="568" w:type="dxa"/>
            <w:tcBorders>
              <w:right w:val="single" w:sz="4" w:space="0" w:color="auto"/>
            </w:tcBorders>
            <w:vAlign w:val="center"/>
            <w:hideMark/>
          </w:tcPr>
          <w:p w14:paraId="0D38D9A3"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59.87 ±1.68</w:t>
            </w:r>
          </w:p>
        </w:tc>
        <w:tc>
          <w:tcPr>
            <w:tcW w:w="630" w:type="dxa"/>
            <w:vAlign w:val="center"/>
            <w:hideMark/>
          </w:tcPr>
          <w:p w14:paraId="5901EBE0"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9.83 ±0.12</w:t>
            </w:r>
          </w:p>
        </w:tc>
        <w:tc>
          <w:tcPr>
            <w:tcW w:w="0" w:type="auto"/>
            <w:vAlign w:val="center"/>
            <w:hideMark/>
          </w:tcPr>
          <w:p w14:paraId="39C2C9EA"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11.11 ±0.15</w:t>
            </w:r>
          </w:p>
        </w:tc>
        <w:tc>
          <w:tcPr>
            <w:tcW w:w="639" w:type="dxa"/>
            <w:tcBorders>
              <w:right w:val="single" w:sz="4" w:space="0" w:color="auto"/>
            </w:tcBorders>
            <w:vAlign w:val="center"/>
            <w:hideMark/>
          </w:tcPr>
          <w:p w14:paraId="00C8F22C"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6.51 ±0.09</w:t>
            </w:r>
          </w:p>
        </w:tc>
        <w:tc>
          <w:tcPr>
            <w:tcW w:w="529" w:type="dxa"/>
            <w:vAlign w:val="center"/>
            <w:hideMark/>
          </w:tcPr>
          <w:p w14:paraId="37FF457F"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61.78 ±0.67</w:t>
            </w:r>
          </w:p>
        </w:tc>
        <w:tc>
          <w:tcPr>
            <w:tcW w:w="0" w:type="auto"/>
            <w:vAlign w:val="center"/>
            <w:hideMark/>
          </w:tcPr>
          <w:p w14:paraId="5719E5DD"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68.88 ±0.66</w:t>
            </w:r>
          </w:p>
        </w:tc>
        <w:tc>
          <w:tcPr>
            <w:tcW w:w="0" w:type="auto"/>
            <w:vAlign w:val="center"/>
            <w:hideMark/>
          </w:tcPr>
          <w:p w14:paraId="17943497"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7.20 ±0.33</w:t>
            </w:r>
          </w:p>
        </w:tc>
      </w:tr>
      <w:tr w:rsidR="008C5FCA" w:rsidRPr="008C5FCA" w14:paraId="52F4B41F" w14:textId="77777777" w:rsidTr="00BD116E">
        <w:trPr>
          <w:gridAfter w:val="1"/>
          <w:wAfter w:w="5" w:type="dxa"/>
          <w:trHeight w:val="53"/>
          <w:tblCellSpacing w:w="15" w:type="dxa"/>
        </w:trPr>
        <w:tc>
          <w:tcPr>
            <w:tcW w:w="847" w:type="dxa"/>
            <w:vAlign w:val="center"/>
            <w:hideMark/>
          </w:tcPr>
          <w:p w14:paraId="727AC044" w14:textId="77777777" w:rsidR="009733D9" w:rsidRPr="008C5FCA" w:rsidRDefault="009733D9" w:rsidP="000845BC">
            <w:pPr>
              <w:rPr>
                <w:rFonts w:ascii="Arial" w:hAnsi="Arial" w:cs="Arial"/>
                <w:color w:val="000000" w:themeColor="text1"/>
                <w:sz w:val="20"/>
                <w:szCs w:val="20"/>
              </w:rPr>
            </w:pPr>
            <w:r w:rsidRPr="008C5FCA">
              <w:rPr>
                <w:rStyle w:val="Strong"/>
                <w:rFonts w:ascii="Arial" w:hAnsi="Arial" w:cs="Arial"/>
                <w:color w:val="000000" w:themeColor="text1"/>
                <w:sz w:val="20"/>
                <w:szCs w:val="20"/>
              </w:rPr>
              <w:t>CD (5%)</w:t>
            </w:r>
          </w:p>
        </w:tc>
        <w:tc>
          <w:tcPr>
            <w:tcW w:w="529" w:type="dxa"/>
            <w:vAlign w:val="center"/>
            <w:hideMark/>
          </w:tcPr>
          <w:p w14:paraId="6A2EF83F"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0.66</w:t>
            </w:r>
          </w:p>
        </w:tc>
        <w:tc>
          <w:tcPr>
            <w:tcW w:w="0" w:type="auto"/>
            <w:vAlign w:val="center"/>
            <w:hideMark/>
          </w:tcPr>
          <w:p w14:paraId="26F6795B"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0.5</w:t>
            </w:r>
          </w:p>
        </w:tc>
        <w:tc>
          <w:tcPr>
            <w:tcW w:w="588" w:type="dxa"/>
            <w:tcBorders>
              <w:right w:val="single" w:sz="4" w:space="0" w:color="auto"/>
            </w:tcBorders>
            <w:vAlign w:val="center"/>
            <w:hideMark/>
          </w:tcPr>
          <w:p w14:paraId="589A642F"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0.22</w:t>
            </w:r>
          </w:p>
        </w:tc>
        <w:tc>
          <w:tcPr>
            <w:tcW w:w="588" w:type="dxa"/>
            <w:vAlign w:val="center"/>
            <w:hideMark/>
          </w:tcPr>
          <w:p w14:paraId="36024DE5"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4.13</w:t>
            </w:r>
          </w:p>
        </w:tc>
        <w:tc>
          <w:tcPr>
            <w:tcW w:w="0" w:type="auto"/>
            <w:vAlign w:val="center"/>
            <w:hideMark/>
          </w:tcPr>
          <w:p w14:paraId="11731679"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5.1</w:t>
            </w:r>
          </w:p>
        </w:tc>
        <w:tc>
          <w:tcPr>
            <w:tcW w:w="568" w:type="dxa"/>
            <w:tcBorders>
              <w:right w:val="single" w:sz="4" w:space="0" w:color="auto"/>
            </w:tcBorders>
            <w:vAlign w:val="center"/>
            <w:hideMark/>
          </w:tcPr>
          <w:p w14:paraId="0731CFFD"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4.85</w:t>
            </w:r>
          </w:p>
        </w:tc>
        <w:tc>
          <w:tcPr>
            <w:tcW w:w="630" w:type="dxa"/>
            <w:vAlign w:val="center"/>
            <w:hideMark/>
          </w:tcPr>
          <w:p w14:paraId="1D04E0F3"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0.39</w:t>
            </w:r>
          </w:p>
        </w:tc>
        <w:tc>
          <w:tcPr>
            <w:tcW w:w="0" w:type="auto"/>
            <w:vAlign w:val="center"/>
            <w:hideMark/>
          </w:tcPr>
          <w:p w14:paraId="5F367B0E"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0.5</w:t>
            </w:r>
          </w:p>
        </w:tc>
        <w:tc>
          <w:tcPr>
            <w:tcW w:w="639" w:type="dxa"/>
            <w:tcBorders>
              <w:right w:val="single" w:sz="4" w:space="0" w:color="auto"/>
            </w:tcBorders>
            <w:vAlign w:val="center"/>
            <w:hideMark/>
          </w:tcPr>
          <w:p w14:paraId="481BAB71"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0.51</w:t>
            </w:r>
          </w:p>
        </w:tc>
        <w:tc>
          <w:tcPr>
            <w:tcW w:w="529" w:type="dxa"/>
            <w:vAlign w:val="center"/>
            <w:hideMark/>
          </w:tcPr>
          <w:p w14:paraId="688CE258"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2.54</w:t>
            </w:r>
          </w:p>
        </w:tc>
        <w:tc>
          <w:tcPr>
            <w:tcW w:w="0" w:type="auto"/>
            <w:vAlign w:val="center"/>
            <w:hideMark/>
          </w:tcPr>
          <w:p w14:paraId="7FD43111"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2.57</w:t>
            </w:r>
          </w:p>
        </w:tc>
        <w:tc>
          <w:tcPr>
            <w:tcW w:w="0" w:type="auto"/>
            <w:vAlign w:val="center"/>
            <w:hideMark/>
          </w:tcPr>
          <w:p w14:paraId="0A6B56FC"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1</w:t>
            </w:r>
          </w:p>
        </w:tc>
      </w:tr>
      <w:tr w:rsidR="008C5FCA" w:rsidRPr="008C5FCA" w14:paraId="7679DC35" w14:textId="77777777" w:rsidTr="00BD116E">
        <w:trPr>
          <w:gridAfter w:val="1"/>
          <w:wAfter w:w="5" w:type="dxa"/>
          <w:trHeight w:val="235"/>
          <w:tblCellSpacing w:w="15" w:type="dxa"/>
        </w:trPr>
        <w:tc>
          <w:tcPr>
            <w:tcW w:w="847" w:type="dxa"/>
            <w:tcBorders>
              <w:bottom w:val="single" w:sz="4" w:space="0" w:color="auto"/>
            </w:tcBorders>
            <w:vAlign w:val="center"/>
            <w:hideMark/>
          </w:tcPr>
          <w:p w14:paraId="10AEFA68" w14:textId="77777777" w:rsidR="009733D9" w:rsidRPr="008C5FCA" w:rsidRDefault="009733D9" w:rsidP="000845BC">
            <w:pPr>
              <w:rPr>
                <w:rFonts w:ascii="Arial" w:hAnsi="Arial" w:cs="Arial"/>
                <w:color w:val="000000" w:themeColor="text1"/>
                <w:sz w:val="20"/>
                <w:szCs w:val="20"/>
              </w:rPr>
            </w:pPr>
            <w:r w:rsidRPr="008C5FCA">
              <w:rPr>
                <w:rStyle w:val="Strong"/>
                <w:rFonts w:ascii="Arial" w:hAnsi="Arial" w:cs="Arial"/>
                <w:color w:val="000000" w:themeColor="text1"/>
                <w:sz w:val="20"/>
                <w:szCs w:val="20"/>
              </w:rPr>
              <w:t>CV (%)</w:t>
            </w:r>
          </w:p>
        </w:tc>
        <w:tc>
          <w:tcPr>
            <w:tcW w:w="529" w:type="dxa"/>
            <w:tcBorders>
              <w:bottom w:val="single" w:sz="4" w:space="0" w:color="auto"/>
            </w:tcBorders>
            <w:vAlign w:val="center"/>
            <w:hideMark/>
          </w:tcPr>
          <w:p w14:paraId="23C925E6"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2.44</w:t>
            </w:r>
          </w:p>
        </w:tc>
        <w:tc>
          <w:tcPr>
            <w:tcW w:w="0" w:type="auto"/>
            <w:tcBorders>
              <w:bottom w:val="single" w:sz="4" w:space="0" w:color="auto"/>
            </w:tcBorders>
            <w:vAlign w:val="center"/>
            <w:hideMark/>
          </w:tcPr>
          <w:p w14:paraId="76BFB248"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1.58</w:t>
            </w:r>
          </w:p>
        </w:tc>
        <w:tc>
          <w:tcPr>
            <w:tcW w:w="588" w:type="dxa"/>
            <w:tcBorders>
              <w:bottom w:val="single" w:sz="4" w:space="0" w:color="auto"/>
              <w:right w:val="single" w:sz="4" w:space="0" w:color="auto"/>
            </w:tcBorders>
            <w:vAlign w:val="center"/>
            <w:hideMark/>
          </w:tcPr>
          <w:p w14:paraId="33276A2B"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1.17</w:t>
            </w:r>
          </w:p>
        </w:tc>
        <w:tc>
          <w:tcPr>
            <w:tcW w:w="588" w:type="dxa"/>
            <w:tcBorders>
              <w:bottom w:val="single" w:sz="4" w:space="0" w:color="auto"/>
            </w:tcBorders>
            <w:vAlign w:val="center"/>
            <w:hideMark/>
          </w:tcPr>
          <w:p w14:paraId="0A20D0C3"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1.3</w:t>
            </w:r>
          </w:p>
        </w:tc>
        <w:tc>
          <w:tcPr>
            <w:tcW w:w="0" w:type="auto"/>
            <w:tcBorders>
              <w:bottom w:val="single" w:sz="4" w:space="0" w:color="auto"/>
            </w:tcBorders>
            <w:vAlign w:val="center"/>
            <w:hideMark/>
          </w:tcPr>
          <w:p w14:paraId="27F573DA"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1.1</w:t>
            </w:r>
          </w:p>
        </w:tc>
        <w:tc>
          <w:tcPr>
            <w:tcW w:w="568" w:type="dxa"/>
            <w:tcBorders>
              <w:bottom w:val="single" w:sz="4" w:space="0" w:color="auto"/>
              <w:right w:val="single" w:sz="4" w:space="0" w:color="auto"/>
            </w:tcBorders>
            <w:vAlign w:val="center"/>
            <w:hideMark/>
          </w:tcPr>
          <w:p w14:paraId="0E6A2FB7"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1.8</w:t>
            </w:r>
          </w:p>
        </w:tc>
        <w:tc>
          <w:tcPr>
            <w:tcW w:w="630" w:type="dxa"/>
            <w:tcBorders>
              <w:bottom w:val="single" w:sz="4" w:space="0" w:color="auto"/>
            </w:tcBorders>
            <w:vAlign w:val="center"/>
            <w:hideMark/>
          </w:tcPr>
          <w:p w14:paraId="1AB537D4"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0.92</w:t>
            </w:r>
          </w:p>
        </w:tc>
        <w:tc>
          <w:tcPr>
            <w:tcW w:w="0" w:type="auto"/>
            <w:tcBorders>
              <w:bottom w:val="single" w:sz="4" w:space="0" w:color="auto"/>
            </w:tcBorders>
            <w:vAlign w:val="center"/>
            <w:hideMark/>
          </w:tcPr>
          <w:p w14:paraId="352B8A45"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1.05</w:t>
            </w:r>
          </w:p>
        </w:tc>
        <w:tc>
          <w:tcPr>
            <w:tcW w:w="639" w:type="dxa"/>
            <w:tcBorders>
              <w:bottom w:val="single" w:sz="4" w:space="0" w:color="auto"/>
              <w:right w:val="single" w:sz="4" w:space="0" w:color="auto"/>
            </w:tcBorders>
            <w:vAlign w:val="center"/>
            <w:hideMark/>
          </w:tcPr>
          <w:p w14:paraId="62645321"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1.73</w:t>
            </w:r>
          </w:p>
        </w:tc>
        <w:tc>
          <w:tcPr>
            <w:tcW w:w="529" w:type="dxa"/>
            <w:tcBorders>
              <w:bottom w:val="single" w:sz="4" w:space="0" w:color="auto"/>
            </w:tcBorders>
            <w:vAlign w:val="center"/>
            <w:hideMark/>
          </w:tcPr>
          <w:p w14:paraId="3DD5FF91"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0.93</w:t>
            </w:r>
          </w:p>
        </w:tc>
        <w:tc>
          <w:tcPr>
            <w:tcW w:w="0" w:type="auto"/>
            <w:tcBorders>
              <w:bottom w:val="single" w:sz="4" w:space="0" w:color="auto"/>
            </w:tcBorders>
            <w:vAlign w:val="center"/>
            <w:hideMark/>
          </w:tcPr>
          <w:p w14:paraId="55BA2AB3"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0.84</w:t>
            </w:r>
          </w:p>
        </w:tc>
        <w:tc>
          <w:tcPr>
            <w:tcW w:w="0" w:type="auto"/>
            <w:tcBorders>
              <w:bottom w:val="single" w:sz="4" w:space="0" w:color="auto"/>
            </w:tcBorders>
            <w:vAlign w:val="center"/>
            <w:hideMark/>
          </w:tcPr>
          <w:p w14:paraId="62050ABD" w14:textId="77777777" w:rsidR="009733D9" w:rsidRPr="008C5FCA" w:rsidRDefault="009733D9" w:rsidP="000845BC">
            <w:pPr>
              <w:rPr>
                <w:rFonts w:ascii="Arial" w:hAnsi="Arial" w:cs="Arial"/>
                <w:color w:val="000000" w:themeColor="text1"/>
                <w:sz w:val="20"/>
                <w:szCs w:val="20"/>
              </w:rPr>
            </w:pPr>
            <w:r w:rsidRPr="008C5FCA">
              <w:rPr>
                <w:rFonts w:ascii="Arial" w:hAnsi="Arial" w:cs="Arial"/>
                <w:color w:val="000000" w:themeColor="text1"/>
                <w:sz w:val="20"/>
                <w:szCs w:val="20"/>
              </w:rPr>
              <w:t>2.83</w:t>
            </w:r>
          </w:p>
        </w:tc>
      </w:tr>
    </w:tbl>
    <w:p w14:paraId="3C01DE81" w14:textId="77777777" w:rsidR="009733D9" w:rsidRPr="00DB67E7" w:rsidRDefault="00AE3BED" w:rsidP="00D10D1E">
      <w:pPr>
        <w:pStyle w:val="Heading3"/>
        <w:jc w:val="both"/>
        <w:rPr>
          <w:rFonts w:ascii="Arial" w:hAnsi="Arial" w:cs="Arial"/>
          <w:i/>
          <w:iCs/>
          <w:color w:val="000000" w:themeColor="text1"/>
          <w:sz w:val="18"/>
          <w:szCs w:val="18"/>
        </w:rPr>
      </w:pPr>
      <w:r w:rsidRPr="00DB67E7">
        <w:rPr>
          <w:rFonts w:ascii="Arial" w:hAnsi="Arial" w:cs="Arial"/>
          <w:i/>
          <w:iCs/>
          <w:color w:val="000000" w:themeColor="text1"/>
          <w:sz w:val="18"/>
          <w:szCs w:val="18"/>
        </w:rPr>
        <w:t xml:space="preserve">APW: Average Pod Weight; DFF: Days to 50% Flowering; NPP: Number of Pods per Plant; NSP: Number of Seeds per Pod; PD: Pod Diameter; PH: Plant Height; PL: Pod Length; PWP: Pod </w:t>
      </w:r>
      <w:r w:rsidR="00786DEA" w:rsidRPr="00DB67E7">
        <w:rPr>
          <w:rFonts w:ascii="Arial" w:hAnsi="Arial" w:cs="Arial"/>
          <w:i/>
          <w:iCs/>
          <w:color w:val="000000" w:themeColor="text1"/>
          <w:sz w:val="18"/>
          <w:szCs w:val="18"/>
        </w:rPr>
        <w:t>W</w:t>
      </w:r>
      <w:r w:rsidRPr="00DB67E7">
        <w:rPr>
          <w:rFonts w:ascii="Arial" w:hAnsi="Arial" w:cs="Arial"/>
          <w:i/>
          <w:iCs/>
          <w:color w:val="000000" w:themeColor="text1"/>
          <w:sz w:val="18"/>
          <w:szCs w:val="18"/>
        </w:rPr>
        <w:t>eight per Plant; E1 (Environment I); E2 (Environment II); E3 (Environment III)</w:t>
      </w:r>
    </w:p>
    <w:p w14:paraId="2EC1E171" w14:textId="77777777" w:rsidR="00856AF7" w:rsidRPr="008C5FCA" w:rsidRDefault="00856AF7" w:rsidP="00856AF7">
      <w:pPr>
        <w:rPr>
          <w:rFonts w:ascii="Arial" w:hAnsi="Arial" w:cs="Arial"/>
          <w:color w:val="000000" w:themeColor="text1"/>
          <w:sz w:val="20"/>
          <w:szCs w:val="20"/>
          <w:lang w:val="en-US" w:eastAsia="en-US"/>
        </w:rPr>
      </w:pPr>
    </w:p>
    <w:p w14:paraId="5EF27913" w14:textId="77777777" w:rsidR="002547AB" w:rsidRPr="008C5FCA" w:rsidRDefault="002547AB" w:rsidP="002547AB">
      <w:pPr>
        <w:pStyle w:val="Body"/>
        <w:spacing w:after="0"/>
        <w:rPr>
          <w:rFonts w:ascii="Arial" w:hAnsi="Arial" w:cs="Arial"/>
          <w:b/>
          <w:caps/>
          <w:color w:val="000000" w:themeColor="text1"/>
        </w:rPr>
      </w:pPr>
    </w:p>
    <w:p w14:paraId="171BC39E" w14:textId="77777777" w:rsidR="002547AB" w:rsidRPr="00717993" w:rsidRDefault="002547AB" w:rsidP="002547AB">
      <w:pPr>
        <w:pStyle w:val="Body"/>
        <w:spacing w:after="0"/>
        <w:rPr>
          <w:rFonts w:ascii="Arial" w:hAnsi="Arial" w:cs="Arial"/>
          <w:b/>
          <w:caps/>
          <w:color w:val="000000" w:themeColor="text1"/>
          <w:sz w:val="22"/>
          <w:szCs w:val="22"/>
        </w:rPr>
      </w:pPr>
      <w:r w:rsidRPr="00717993">
        <w:rPr>
          <w:rFonts w:ascii="Arial" w:hAnsi="Arial" w:cs="Arial"/>
          <w:b/>
          <w:caps/>
          <w:color w:val="000000" w:themeColor="text1"/>
          <w:sz w:val="22"/>
          <w:szCs w:val="22"/>
        </w:rPr>
        <w:t xml:space="preserve">3.2 </w:t>
      </w:r>
      <w:r w:rsidRPr="00717993">
        <w:rPr>
          <w:rFonts w:ascii="Arial" w:hAnsi="Arial" w:cs="Arial"/>
          <w:b/>
          <w:color w:val="000000" w:themeColor="text1"/>
          <w:sz w:val="22"/>
          <w:szCs w:val="22"/>
        </w:rPr>
        <w:t>Days to 50% Flowering</w:t>
      </w:r>
    </w:p>
    <w:p w14:paraId="1F2C4597" w14:textId="77777777" w:rsidR="00B60FA3" w:rsidRPr="008C5FCA" w:rsidRDefault="00FB4F20" w:rsidP="00FB4F20">
      <w:pPr>
        <w:pStyle w:val="NormalWeb"/>
        <w:jc w:val="both"/>
        <w:rPr>
          <w:rFonts w:ascii="Arial" w:hAnsi="Arial" w:cs="Arial"/>
          <w:color w:val="000000" w:themeColor="text1"/>
          <w:sz w:val="20"/>
          <w:szCs w:val="20"/>
        </w:rPr>
      </w:pPr>
      <w:bookmarkStart w:id="16" w:name="OLE_LINK109"/>
      <w:r w:rsidRPr="008C5FCA">
        <w:rPr>
          <w:rFonts w:ascii="Arial" w:hAnsi="Arial" w:cs="Arial"/>
          <w:color w:val="000000" w:themeColor="text1"/>
          <w:sz w:val="20"/>
          <w:szCs w:val="20"/>
        </w:rPr>
        <w:t xml:space="preserve">Days to 50% flowering was significantly influenced by environmental conditions. The mean value was 44.41 days in E1, with 12 genotypes performing above the mean. A significant reduction in days to flowering was observed under pre-flowering heat stress compared to the control (E2), where the mean increased to 56.68 days and 11 genotypes recorded values above the mean, indicating prolonged vegetative growth under favourable conditions. Under terminal heat stress (E3), the mean was 48.18 days with 11 genotypes above the mean, showing an intermediate response. </w:t>
      </w:r>
      <w:r w:rsidR="00B60FA3" w:rsidRPr="008C5FCA">
        <w:rPr>
          <w:rFonts w:ascii="Arial" w:hAnsi="Arial" w:cs="Arial"/>
          <w:color w:val="000000" w:themeColor="text1"/>
          <w:sz w:val="20"/>
          <w:szCs w:val="20"/>
        </w:rPr>
        <w:t>The comparative response of genotypic stature to different heat stress timings is depicted in Fig. 2</w:t>
      </w:r>
      <w:bookmarkEnd w:id="16"/>
      <w:r w:rsidR="00B60FA3" w:rsidRPr="008C5FCA">
        <w:rPr>
          <w:rFonts w:ascii="Arial" w:hAnsi="Arial" w:cs="Arial"/>
          <w:color w:val="000000" w:themeColor="text1"/>
          <w:sz w:val="20"/>
          <w:szCs w:val="20"/>
        </w:rPr>
        <w:t>.</w:t>
      </w:r>
    </w:p>
    <w:p w14:paraId="00766662" w14:textId="77777777" w:rsidR="00342CEB" w:rsidRDefault="009825CA" w:rsidP="00342CEB">
      <w:pPr>
        <w:pStyle w:val="NormalWeb"/>
        <w:jc w:val="both"/>
        <w:rPr>
          <w:rFonts w:ascii="Arial" w:hAnsi="Arial" w:cs="Arial"/>
          <w:color w:val="000000" w:themeColor="text1"/>
          <w:sz w:val="20"/>
          <w:szCs w:val="20"/>
        </w:rPr>
      </w:pPr>
      <w:r w:rsidRPr="008C5FCA">
        <w:rPr>
          <w:rFonts w:ascii="Arial" w:hAnsi="Arial" w:cs="Arial"/>
          <w:color w:val="000000" w:themeColor="text1"/>
          <w:sz w:val="20"/>
          <w:szCs w:val="20"/>
        </w:rPr>
        <w:t xml:space="preserve">Days to 50% flowering decreased by approximately 21.65% in E1 and 15.00% in E3 compared to the control (E2), indicating accelerated phenological development under heat stress conditions. The greater reduction under pre-flowering stress suggests that elevated temperature during early growth stages hastens the transition from vegetative to reproductive phase, primarily due to faster accumulation of thermal units and increased metabolic activity. High temperature is known to shorten crop duration by accelerating physiological processes and reducing the time available for vegetative growth. Although the reduction was comparatively lower under terminal heat stress, the overall trend confirms that temperature stress induces earliness as a stress escape mechanism, which may ultimately compromise biomass accumulation and yield potential. These findings are consistent with earlier reports in pea by Susmita </w:t>
      </w:r>
      <w:r w:rsidRPr="008C5FCA">
        <w:rPr>
          <w:rFonts w:ascii="Arial" w:hAnsi="Arial" w:cs="Arial"/>
          <w:i/>
          <w:iCs/>
          <w:color w:val="000000" w:themeColor="text1"/>
          <w:sz w:val="20"/>
          <w:szCs w:val="20"/>
        </w:rPr>
        <w:t>et al.,</w:t>
      </w:r>
      <w:r w:rsidRPr="008C5FCA">
        <w:rPr>
          <w:rFonts w:ascii="Arial" w:hAnsi="Arial" w:cs="Arial"/>
          <w:color w:val="000000" w:themeColor="text1"/>
          <w:sz w:val="20"/>
          <w:szCs w:val="20"/>
        </w:rPr>
        <w:t xml:space="preserve"> (2020), Tafesse </w:t>
      </w:r>
      <w:r w:rsidRPr="008C5FCA">
        <w:rPr>
          <w:rFonts w:ascii="Arial" w:hAnsi="Arial" w:cs="Arial"/>
          <w:i/>
          <w:iCs/>
          <w:color w:val="000000" w:themeColor="text1"/>
          <w:sz w:val="20"/>
          <w:szCs w:val="20"/>
        </w:rPr>
        <w:t>et al.,</w:t>
      </w:r>
      <w:r w:rsidRPr="008C5FCA">
        <w:rPr>
          <w:rFonts w:ascii="Arial" w:hAnsi="Arial" w:cs="Arial"/>
          <w:color w:val="000000" w:themeColor="text1"/>
          <w:sz w:val="20"/>
          <w:szCs w:val="20"/>
        </w:rPr>
        <w:t xml:space="preserve"> (2019), Jiang </w:t>
      </w:r>
      <w:r w:rsidRPr="008C5FCA">
        <w:rPr>
          <w:rFonts w:ascii="Arial" w:hAnsi="Arial" w:cs="Arial"/>
          <w:i/>
          <w:iCs/>
          <w:color w:val="000000" w:themeColor="text1"/>
          <w:sz w:val="20"/>
          <w:szCs w:val="20"/>
        </w:rPr>
        <w:t>et al.,</w:t>
      </w:r>
      <w:r w:rsidRPr="008C5FCA">
        <w:rPr>
          <w:rFonts w:ascii="Arial" w:hAnsi="Arial" w:cs="Arial"/>
          <w:color w:val="000000" w:themeColor="text1"/>
          <w:sz w:val="20"/>
          <w:szCs w:val="20"/>
        </w:rPr>
        <w:t xml:space="preserve"> (2019), and Guilioni </w:t>
      </w:r>
      <w:r w:rsidRPr="008C5FCA">
        <w:rPr>
          <w:rFonts w:ascii="Arial" w:hAnsi="Arial" w:cs="Arial"/>
          <w:i/>
          <w:iCs/>
          <w:color w:val="000000" w:themeColor="text1"/>
          <w:sz w:val="20"/>
          <w:szCs w:val="20"/>
        </w:rPr>
        <w:t>et al.,</w:t>
      </w:r>
      <w:r w:rsidRPr="008C5FCA">
        <w:rPr>
          <w:rFonts w:ascii="Arial" w:hAnsi="Arial" w:cs="Arial"/>
          <w:color w:val="000000" w:themeColor="text1"/>
          <w:sz w:val="20"/>
          <w:szCs w:val="20"/>
        </w:rPr>
        <w:t xml:space="preserve"> (1997), who also observed shortened flowering time and crop duration under elevated temperature conditions.</w:t>
      </w:r>
    </w:p>
    <w:p w14:paraId="59427DBD" w14:textId="77777777" w:rsidR="00342CEB" w:rsidRDefault="00342CEB" w:rsidP="00342CEB">
      <w:pPr>
        <w:pStyle w:val="NormalWeb"/>
        <w:jc w:val="both"/>
        <w:rPr>
          <w:rFonts w:ascii="Arial" w:hAnsi="Arial" w:cs="Arial"/>
          <w:color w:val="000000" w:themeColor="text1"/>
          <w:sz w:val="20"/>
          <w:szCs w:val="20"/>
        </w:rPr>
      </w:pPr>
    </w:p>
    <w:p w14:paraId="66DEA815" w14:textId="77777777" w:rsidR="00342CEB" w:rsidRDefault="00342CEB" w:rsidP="00342CEB">
      <w:pPr>
        <w:pStyle w:val="NormalWeb"/>
        <w:jc w:val="both"/>
        <w:rPr>
          <w:rFonts w:ascii="Arial" w:hAnsi="Arial" w:cs="Arial"/>
          <w:b/>
          <w:bCs/>
          <w:color w:val="000000" w:themeColor="text1"/>
          <w:sz w:val="22"/>
          <w:szCs w:val="22"/>
        </w:rPr>
      </w:pPr>
      <w:r>
        <w:rPr>
          <w:rFonts w:ascii="Arial" w:hAnsi="Arial" w:cs="Arial"/>
          <w:noProof/>
          <w:color w:val="000000" w:themeColor="text1"/>
          <w:sz w:val="20"/>
          <w:szCs w:val="20"/>
          <w:lang w:val="en-US" w:eastAsia="en-US"/>
        </w:rPr>
        <w:lastRenderedPageBreak/>
        <w:drawing>
          <wp:inline distT="0" distB="0" distL="0" distR="0" wp14:anchorId="715996F3" wp14:editId="47482884">
            <wp:extent cx="5212080" cy="2416810"/>
            <wp:effectExtent l="0" t="0" r="0" b="0"/>
            <wp:docPr id="312068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68169" name="Picture 31206816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2416810"/>
                    </a:xfrm>
                    <a:prstGeom prst="rect">
                      <a:avLst/>
                    </a:prstGeom>
                  </pic:spPr>
                </pic:pic>
              </a:graphicData>
            </a:graphic>
          </wp:inline>
        </w:drawing>
      </w:r>
    </w:p>
    <w:p w14:paraId="06E30C91" w14:textId="77777777" w:rsidR="00342CEB" w:rsidRPr="008C5FCA" w:rsidRDefault="00342CEB" w:rsidP="00342CEB">
      <w:pPr>
        <w:pStyle w:val="p1"/>
        <w:rPr>
          <w:rFonts w:ascii="Arial" w:hAnsi="Arial" w:cs="Arial"/>
          <w:b/>
          <w:bCs/>
          <w:color w:val="000000" w:themeColor="text1"/>
          <w:sz w:val="20"/>
          <w:szCs w:val="20"/>
        </w:rPr>
      </w:pPr>
      <w:r w:rsidRPr="008C5FCA">
        <w:rPr>
          <w:rFonts w:ascii="Arial" w:hAnsi="Arial" w:cs="Arial"/>
          <w:b/>
          <w:bCs/>
          <w:color w:val="000000" w:themeColor="text1"/>
          <w:sz w:val="20"/>
          <w:szCs w:val="20"/>
        </w:rPr>
        <w:t>Fig. 2:</w:t>
      </w:r>
      <w:r w:rsidRPr="008C5FCA">
        <w:rPr>
          <w:rFonts w:ascii="Arial" w:hAnsi="Arial" w:cs="Arial"/>
          <w:color w:val="000000" w:themeColor="text1"/>
          <w:sz w:val="20"/>
          <w:szCs w:val="20"/>
        </w:rPr>
        <w:t xml:space="preserve"> </w:t>
      </w:r>
      <w:r w:rsidRPr="008C5FCA">
        <w:rPr>
          <w:rFonts w:ascii="Arial" w:hAnsi="Arial" w:cs="Arial"/>
          <w:b/>
          <w:bCs/>
          <w:color w:val="000000" w:themeColor="text1"/>
          <w:sz w:val="20"/>
          <w:szCs w:val="20"/>
        </w:rPr>
        <w:t>Adjusted mean performance of 22 garden pea genotypes for Days to 50%</w:t>
      </w:r>
    </w:p>
    <w:p w14:paraId="4F65CF79" w14:textId="77777777" w:rsidR="00342CEB" w:rsidRPr="00342CEB" w:rsidRDefault="00342CEB" w:rsidP="00342CEB">
      <w:pPr>
        <w:pStyle w:val="p1"/>
        <w:rPr>
          <w:rFonts w:ascii="Arial" w:hAnsi="Arial" w:cs="Arial"/>
          <w:b/>
          <w:bCs/>
          <w:color w:val="000000" w:themeColor="text1"/>
          <w:sz w:val="20"/>
          <w:szCs w:val="20"/>
        </w:rPr>
      </w:pPr>
      <w:r w:rsidRPr="008C5FCA">
        <w:rPr>
          <w:rFonts w:ascii="Arial" w:hAnsi="Arial" w:cs="Arial"/>
          <w:b/>
          <w:bCs/>
          <w:color w:val="000000" w:themeColor="text1"/>
          <w:sz w:val="20"/>
          <w:szCs w:val="20"/>
        </w:rPr>
        <w:t>flowering across Environment I (E1), Environment II (E2), and Environment III (E3)</w:t>
      </w:r>
      <w:r>
        <w:rPr>
          <w:rFonts w:ascii="Arial" w:hAnsi="Arial" w:cs="Arial"/>
          <w:b/>
          <w:bCs/>
          <w:color w:val="000000" w:themeColor="text1"/>
          <w:sz w:val="20"/>
          <w:szCs w:val="20"/>
        </w:rPr>
        <w:t xml:space="preserve">. </w:t>
      </w:r>
      <w:r w:rsidRPr="0089572B">
        <w:rPr>
          <w:rFonts w:ascii="Arial" w:hAnsi="Arial" w:cs="Arial"/>
          <w:b/>
          <w:bCs/>
          <w:sz w:val="20"/>
          <w:szCs w:val="20"/>
        </w:rPr>
        <w:t>Error bars represent ± Standard Error (SE).</w:t>
      </w:r>
    </w:p>
    <w:p w14:paraId="0FD522A9" w14:textId="77777777" w:rsidR="00BD116E" w:rsidRPr="00342CEB" w:rsidRDefault="00BD116E" w:rsidP="00342CEB">
      <w:pPr>
        <w:pStyle w:val="NormalWeb"/>
        <w:jc w:val="both"/>
        <w:rPr>
          <w:rFonts w:ascii="Arial" w:hAnsi="Arial" w:cs="Arial"/>
          <w:color w:val="000000" w:themeColor="text1"/>
          <w:sz w:val="20"/>
          <w:szCs w:val="20"/>
        </w:rPr>
      </w:pPr>
      <w:r w:rsidRPr="00717993">
        <w:rPr>
          <w:rFonts w:ascii="Arial" w:hAnsi="Arial" w:cs="Arial"/>
          <w:b/>
          <w:bCs/>
          <w:color w:val="000000" w:themeColor="text1"/>
          <w:sz w:val="22"/>
          <w:szCs w:val="22"/>
        </w:rPr>
        <w:t>3.3 Plant Height (cm)</w:t>
      </w:r>
    </w:p>
    <w:p w14:paraId="7E9F6EBA" w14:textId="77777777" w:rsidR="00BD116E" w:rsidRPr="00342CEB" w:rsidRDefault="00BD116E" w:rsidP="00BD116E">
      <w:pPr>
        <w:pStyle w:val="NormalWeb"/>
        <w:jc w:val="both"/>
        <w:rPr>
          <w:rFonts w:ascii="Arial" w:hAnsi="Arial" w:cs="Arial"/>
          <w:color w:val="000000" w:themeColor="text1"/>
          <w:sz w:val="20"/>
          <w:szCs w:val="20"/>
        </w:rPr>
      </w:pPr>
      <w:bookmarkStart w:id="17" w:name="OLE_LINK110"/>
      <w:r w:rsidRPr="00342CEB">
        <w:rPr>
          <w:rFonts w:ascii="Arial" w:hAnsi="Arial" w:cs="Arial"/>
          <w:color w:val="000000" w:themeColor="text1"/>
          <w:sz w:val="20"/>
          <w:szCs w:val="20"/>
        </w:rPr>
        <w:t xml:space="preserve">Plant height varied significantly across environments. The mean plant height was 72.79 cm in E1, with 10 genotypes exceeding the mean. Under optimal conditions (E2), the mean increased significantly to 106.98 cm, with 10 genotypes above the mean, reflecting enhanced vegetative growth. In E3, the mean decreased to 59.87 cm, with 13 genotypes above the mean, indicating a stronger inhibitory effect of terminal heat stress. </w:t>
      </w:r>
      <w:bookmarkStart w:id="18" w:name="OLE_LINK108"/>
      <w:r w:rsidRPr="00342CEB">
        <w:rPr>
          <w:rFonts w:ascii="Arial" w:hAnsi="Arial" w:cs="Arial"/>
          <w:color w:val="000000" w:themeColor="text1"/>
          <w:sz w:val="20"/>
          <w:szCs w:val="20"/>
        </w:rPr>
        <w:t xml:space="preserve">The comparative response of genotypic stature to different heat stress timings is depicted in Fig. 3. </w:t>
      </w:r>
    </w:p>
    <w:bookmarkEnd w:id="17"/>
    <w:bookmarkEnd w:id="18"/>
    <w:p w14:paraId="4567E4C2" w14:textId="77777777" w:rsidR="003F7D2C" w:rsidRPr="00342CEB" w:rsidRDefault="00BD116E" w:rsidP="003F7D2C">
      <w:pPr>
        <w:pStyle w:val="NormalWeb"/>
        <w:jc w:val="both"/>
        <w:rPr>
          <w:rFonts w:ascii="Arial" w:hAnsi="Arial" w:cs="Arial"/>
          <w:sz w:val="20"/>
          <w:szCs w:val="20"/>
        </w:rPr>
      </w:pPr>
      <w:r w:rsidRPr="00342CEB">
        <w:rPr>
          <w:rFonts w:ascii="Arial" w:hAnsi="Arial" w:cs="Arial"/>
          <w:color w:val="000000" w:themeColor="text1"/>
          <w:sz w:val="20"/>
          <w:szCs w:val="20"/>
        </w:rPr>
        <w:t xml:space="preserve">Compared to E2, plant height decreased by about 31.96% in E1 and 44.03% in E3, showing that the effect of heat stress was more severe under terminal conditions. </w:t>
      </w:r>
      <w:r w:rsidR="003F7D2C" w:rsidRPr="00342CEB">
        <w:rPr>
          <w:rFonts w:ascii="Arial" w:hAnsi="Arial" w:cs="Arial"/>
          <w:sz w:val="20"/>
          <w:szCs w:val="20"/>
        </w:rPr>
        <w:t xml:space="preserve">Heat stress impairs vegetative growth primarily through reductions in net photosynthesis, decreased stomatal conductance, and increased leaf senescence, limiting overall biomass accumulation. Furthermore, high temperature disrupts key enzymes and membrane stability, reducing carbon assimilation and plant vigor (Haldimann &amp; Feller, 2005; Vijaylaxmi, 2013; Devi </w:t>
      </w:r>
      <w:r w:rsidR="003F7D2C" w:rsidRPr="00342CEB">
        <w:rPr>
          <w:rFonts w:ascii="Arial" w:hAnsi="Arial" w:cs="Arial"/>
          <w:i/>
          <w:iCs/>
          <w:sz w:val="20"/>
          <w:szCs w:val="20"/>
        </w:rPr>
        <w:t>et al.,</w:t>
      </w:r>
      <w:r w:rsidR="003F7D2C" w:rsidRPr="00342CEB">
        <w:rPr>
          <w:rFonts w:ascii="Arial" w:hAnsi="Arial" w:cs="Arial"/>
          <w:sz w:val="20"/>
          <w:szCs w:val="20"/>
        </w:rPr>
        <w:t xml:space="preserve"> 2022).</w:t>
      </w:r>
      <w:r w:rsidR="003F7D2C" w:rsidRPr="00342CEB">
        <w:rPr>
          <w:sz w:val="20"/>
          <w:szCs w:val="20"/>
        </w:rPr>
        <w:t xml:space="preserve">  </w:t>
      </w:r>
      <w:r w:rsidR="003F7D2C" w:rsidRPr="00342CEB">
        <w:rPr>
          <w:rFonts w:ascii="Arial" w:hAnsi="Arial" w:cs="Arial"/>
          <w:sz w:val="20"/>
          <w:szCs w:val="20"/>
        </w:rPr>
        <w:t xml:space="preserve">The more pronounced reduction under terminal heat stress suggests that sustained high temperatures during later growth stages further restrict cell division and elongation. Similar reductions in plant height and biomass under heat stress in pea have also been documented by Vijaylaxmi (2013) and Tafesse </w:t>
      </w:r>
      <w:r w:rsidR="003F7D2C" w:rsidRPr="00342CEB">
        <w:rPr>
          <w:rFonts w:ascii="Arial" w:hAnsi="Arial" w:cs="Arial"/>
          <w:i/>
          <w:iCs/>
          <w:sz w:val="20"/>
          <w:szCs w:val="20"/>
        </w:rPr>
        <w:t>et al.,</w:t>
      </w:r>
      <w:r w:rsidR="003F7D2C" w:rsidRPr="00342CEB">
        <w:rPr>
          <w:rFonts w:ascii="Arial" w:hAnsi="Arial" w:cs="Arial"/>
          <w:sz w:val="20"/>
          <w:szCs w:val="20"/>
        </w:rPr>
        <w:t xml:space="preserve"> (2019).</w:t>
      </w:r>
    </w:p>
    <w:p w14:paraId="3DBFC4D0" w14:textId="77777777" w:rsidR="00342CEB" w:rsidRPr="00717993" w:rsidRDefault="00342CEB" w:rsidP="00342CEB">
      <w:pPr>
        <w:pStyle w:val="Heading3"/>
        <w:jc w:val="both"/>
        <w:rPr>
          <w:rFonts w:ascii="Arial" w:hAnsi="Arial" w:cs="Arial"/>
          <w:b/>
          <w:bCs/>
          <w:color w:val="000000" w:themeColor="text1"/>
          <w:sz w:val="22"/>
          <w:szCs w:val="22"/>
        </w:rPr>
      </w:pPr>
      <w:r w:rsidRPr="00717993">
        <w:rPr>
          <w:rFonts w:ascii="Arial" w:hAnsi="Arial" w:cs="Arial"/>
          <w:b/>
          <w:bCs/>
          <w:color w:val="000000" w:themeColor="text1"/>
          <w:sz w:val="22"/>
          <w:szCs w:val="22"/>
        </w:rPr>
        <w:t>3.4 Number of Pods per Plant</w:t>
      </w:r>
    </w:p>
    <w:p w14:paraId="00EE2D58" w14:textId="77777777" w:rsidR="00B16AF9" w:rsidRDefault="00342CEB" w:rsidP="00342CEB">
      <w:pPr>
        <w:pStyle w:val="NormalWeb"/>
        <w:jc w:val="both"/>
        <w:rPr>
          <w:rFonts w:ascii="Arial" w:hAnsi="Arial" w:cs="Arial"/>
          <w:color w:val="000000" w:themeColor="text1"/>
          <w:sz w:val="20"/>
          <w:szCs w:val="20"/>
        </w:rPr>
      </w:pPr>
      <w:r w:rsidRPr="008C5FCA">
        <w:rPr>
          <w:rFonts w:ascii="Arial" w:hAnsi="Arial" w:cs="Arial"/>
          <w:color w:val="000000" w:themeColor="text1"/>
          <w:sz w:val="20"/>
          <w:szCs w:val="20"/>
        </w:rPr>
        <w:t xml:space="preserve">Number of pods per plant was significantly affected by environmental conditions. The mean was 14.27 in E1, with 15 genotypes exceeding the mean. Under E2, the mean increased significantly to 17.11, with 11 genotypes above the mean. However, under terminal heat stress (E3), the mean sharply declined to 3.66, with 10 genotypes above the mean. The comparative response of genotypic stature to different heat stress timings is depicted in Fig. 4. </w:t>
      </w:r>
    </w:p>
    <w:p w14:paraId="4C4E2AE9" w14:textId="77777777" w:rsidR="00FB4F20" w:rsidRPr="00342CEB" w:rsidRDefault="00342CEB" w:rsidP="00342CEB">
      <w:pPr>
        <w:pStyle w:val="NormalWeb"/>
        <w:jc w:val="both"/>
        <w:rPr>
          <w:rFonts w:ascii="Arial" w:hAnsi="Arial" w:cs="Arial"/>
          <w:color w:val="000000" w:themeColor="text1"/>
          <w:sz w:val="20"/>
          <w:szCs w:val="20"/>
        </w:rPr>
      </w:pPr>
      <w:r w:rsidRPr="008C5FCA">
        <w:rPr>
          <w:rFonts w:ascii="Arial" w:hAnsi="Arial" w:cs="Arial"/>
          <w:color w:val="000000" w:themeColor="text1"/>
          <w:sz w:val="20"/>
          <w:szCs w:val="20"/>
        </w:rPr>
        <w:t xml:space="preserve">Number of pods per plant decreased by approximately 16.60% in E1 and 78.61% in E3 compared to the control (E2), clearly showing that terminal heat stress had a much stronger </w:t>
      </w:r>
    </w:p>
    <w:p w14:paraId="6DD11159" w14:textId="77777777" w:rsidR="005C046D" w:rsidRPr="008C5FCA" w:rsidRDefault="000461FA" w:rsidP="003F7D2C">
      <w:pPr>
        <w:pStyle w:val="NormalWeb"/>
        <w:jc w:val="both"/>
        <w:rPr>
          <w:rFonts w:ascii="Arial" w:hAnsi="Arial" w:cs="Arial"/>
          <w:b/>
          <w:bCs/>
          <w:color w:val="000000" w:themeColor="text1"/>
          <w:sz w:val="20"/>
          <w:szCs w:val="20"/>
        </w:rPr>
      </w:pPr>
      <w:r>
        <w:rPr>
          <w:rFonts w:ascii="Arial" w:hAnsi="Arial" w:cs="Arial"/>
          <w:b/>
          <w:bCs/>
          <w:noProof/>
          <w:color w:val="000000" w:themeColor="text1"/>
          <w:sz w:val="20"/>
          <w:szCs w:val="20"/>
        </w:rPr>
        <w:lastRenderedPageBreak/>
        <w:drawing>
          <wp:inline distT="0" distB="0" distL="0" distR="0" wp14:anchorId="2FD18E0C" wp14:editId="390C1E71">
            <wp:extent cx="5212080" cy="2416810"/>
            <wp:effectExtent l="0" t="0" r="0" b="0"/>
            <wp:docPr id="7526636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663668" name="Picture 75266366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2416810"/>
                    </a:xfrm>
                    <a:prstGeom prst="rect">
                      <a:avLst/>
                    </a:prstGeom>
                  </pic:spPr>
                </pic:pic>
              </a:graphicData>
            </a:graphic>
          </wp:inline>
        </w:drawing>
      </w:r>
    </w:p>
    <w:p w14:paraId="08936D6F" w14:textId="77777777" w:rsidR="0089572B" w:rsidRPr="0089572B" w:rsidRDefault="005C046D" w:rsidP="0089572B">
      <w:pPr>
        <w:pStyle w:val="p1"/>
        <w:rPr>
          <w:rFonts w:ascii="Arial" w:hAnsi="Arial" w:cs="Arial"/>
          <w:b/>
          <w:bCs/>
          <w:color w:val="000000" w:themeColor="text1"/>
          <w:sz w:val="20"/>
          <w:szCs w:val="20"/>
        </w:rPr>
      </w:pPr>
      <w:r w:rsidRPr="008C5FCA">
        <w:rPr>
          <w:rFonts w:ascii="Arial" w:hAnsi="Arial" w:cs="Arial"/>
          <w:b/>
          <w:bCs/>
          <w:color w:val="000000" w:themeColor="text1"/>
          <w:sz w:val="20"/>
          <w:szCs w:val="20"/>
        </w:rPr>
        <w:t>Fig. 3:</w:t>
      </w:r>
      <w:r w:rsidRPr="008C5FCA">
        <w:rPr>
          <w:rFonts w:ascii="Arial" w:hAnsi="Arial" w:cs="Arial"/>
          <w:color w:val="000000" w:themeColor="text1"/>
          <w:sz w:val="20"/>
          <w:szCs w:val="20"/>
        </w:rPr>
        <w:t xml:space="preserve"> </w:t>
      </w:r>
      <w:r w:rsidRPr="008C5FCA">
        <w:rPr>
          <w:rFonts w:ascii="Arial" w:hAnsi="Arial" w:cs="Arial"/>
          <w:b/>
          <w:bCs/>
          <w:color w:val="000000" w:themeColor="text1"/>
          <w:sz w:val="20"/>
          <w:szCs w:val="20"/>
        </w:rPr>
        <w:t>Adjusted mean performance of 22 garden pea genotypes for Plant Height across Environment I (E1), Environment II (E2), and Environment III (E3)</w:t>
      </w:r>
      <w:r w:rsidR="0089572B">
        <w:rPr>
          <w:rFonts w:ascii="Arial" w:hAnsi="Arial" w:cs="Arial"/>
          <w:b/>
          <w:bCs/>
          <w:color w:val="000000" w:themeColor="text1"/>
          <w:sz w:val="20"/>
          <w:szCs w:val="20"/>
        </w:rPr>
        <w:t xml:space="preserve">. </w:t>
      </w:r>
      <w:r w:rsidR="0089572B" w:rsidRPr="0089572B">
        <w:rPr>
          <w:rFonts w:ascii="Arial" w:hAnsi="Arial" w:cs="Arial"/>
          <w:b/>
          <w:bCs/>
          <w:sz w:val="20"/>
          <w:szCs w:val="20"/>
        </w:rPr>
        <w:t>Error bars represent ± Standard Error (SE).</w:t>
      </w:r>
    </w:p>
    <w:p w14:paraId="1AD9F698" w14:textId="77777777" w:rsidR="005C046D" w:rsidRPr="008C5FCA" w:rsidRDefault="005C046D" w:rsidP="005C046D">
      <w:pPr>
        <w:pStyle w:val="p1"/>
        <w:rPr>
          <w:rFonts w:ascii="Arial" w:hAnsi="Arial" w:cs="Arial"/>
          <w:b/>
          <w:bCs/>
          <w:color w:val="000000" w:themeColor="text1"/>
          <w:sz w:val="20"/>
          <w:szCs w:val="20"/>
        </w:rPr>
      </w:pPr>
    </w:p>
    <w:p w14:paraId="36D5F2B2" w14:textId="77777777" w:rsidR="00342CEB" w:rsidRPr="00FA32D2" w:rsidRDefault="00B16AF9" w:rsidP="003F7D2C">
      <w:pPr>
        <w:pStyle w:val="NormalWeb"/>
        <w:jc w:val="both"/>
      </w:pPr>
      <w:r w:rsidRPr="008C5FCA">
        <w:rPr>
          <w:rFonts w:ascii="Arial" w:hAnsi="Arial" w:cs="Arial"/>
          <w:color w:val="000000" w:themeColor="text1"/>
          <w:sz w:val="20"/>
          <w:szCs w:val="20"/>
        </w:rPr>
        <w:t xml:space="preserve">impact on reproductive performance. </w:t>
      </w:r>
      <w:r w:rsidRPr="003F7D2C">
        <w:rPr>
          <w:rFonts w:ascii="Arial" w:hAnsi="Arial" w:cs="Arial"/>
          <w:sz w:val="20"/>
          <w:szCs w:val="20"/>
        </w:rPr>
        <w:t xml:space="preserve">Heat stress during reproductive stages adversely affects </w:t>
      </w:r>
      <w:r>
        <w:rPr>
          <w:rFonts w:ascii="Arial" w:hAnsi="Arial" w:cs="Arial"/>
          <w:sz w:val="20"/>
          <w:szCs w:val="20"/>
        </w:rPr>
        <w:t>pollen</w:t>
      </w:r>
      <w:r w:rsidRPr="003F7D2C">
        <w:rPr>
          <w:rFonts w:ascii="Arial" w:hAnsi="Arial" w:cs="Arial"/>
          <w:sz w:val="20"/>
          <w:szCs w:val="20"/>
        </w:rPr>
        <w:t xml:space="preserve"> </w:t>
      </w:r>
      <w:r w:rsidR="00342CEB" w:rsidRPr="003F7D2C">
        <w:rPr>
          <w:rFonts w:ascii="Arial" w:hAnsi="Arial" w:cs="Arial"/>
          <w:sz w:val="20"/>
          <w:szCs w:val="20"/>
        </w:rPr>
        <w:t>viability, pollen germination</w:t>
      </w:r>
      <w:r w:rsidR="00342CEB">
        <w:rPr>
          <w:rFonts w:ascii="Arial" w:hAnsi="Arial" w:cs="Arial"/>
          <w:sz w:val="20"/>
          <w:szCs w:val="20"/>
        </w:rPr>
        <w:t xml:space="preserve"> </w:t>
      </w:r>
      <w:r w:rsidR="003F7D2C" w:rsidRPr="003F7D2C">
        <w:rPr>
          <w:rFonts w:ascii="Arial" w:hAnsi="Arial" w:cs="Arial"/>
          <w:sz w:val="20"/>
          <w:szCs w:val="20"/>
        </w:rPr>
        <w:t xml:space="preserve">and fertilization, leading to higher rates of flower and pod abortion (Mohapatra </w:t>
      </w:r>
      <w:r w:rsidR="003F7D2C" w:rsidRPr="00FA32D2">
        <w:rPr>
          <w:rFonts w:ascii="Arial" w:hAnsi="Arial" w:cs="Arial"/>
          <w:i/>
          <w:iCs/>
          <w:sz w:val="20"/>
          <w:szCs w:val="20"/>
        </w:rPr>
        <w:t>et al.,</w:t>
      </w:r>
      <w:r w:rsidR="003F7D2C" w:rsidRPr="003F7D2C">
        <w:rPr>
          <w:rFonts w:ascii="Arial" w:hAnsi="Arial" w:cs="Arial"/>
          <w:sz w:val="20"/>
          <w:szCs w:val="20"/>
        </w:rPr>
        <w:t xml:space="preserve"> 2020; Tafesse </w:t>
      </w:r>
      <w:r w:rsidR="003F7D2C" w:rsidRPr="00FA32D2">
        <w:rPr>
          <w:rFonts w:ascii="Arial" w:hAnsi="Arial" w:cs="Arial"/>
          <w:i/>
          <w:iCs/>
          <w:sz w:val="20"/>
          <w:szCs w:val="20"/>
        </w:rPr>
        <w:t>et al.,</w:t>
      </w:r>
      <w:r w:rsidR="003F7D2C" w:rsidRPr="003F7D2C">
        <w:rPr>
          <w:rFonts w:ascii="Arial" w:hAnsi="Arial" w:cs="Arial"/>
          <w:sz w:val="20"/>
          <w:szCs w:val="20"/>
        </w:rPr>
        <w:t xml:space="preserve"> 2019; Guilioni </w:t>
      </w:r>
      <w:r w:rsidR="003F7D2C" w:rsidRPr="00FA32D2">
        <w:rPr>
          <w:rFonts w:ascii="Arial" w:hAnsi="Arial" w:cs="Arial"/>
          <w:i/>
          <w:iCs/>
          <w:sz w:val="20"/>
          <w:szCs w:val="20"/>
        </w:rPr>
        <w:t>et al.,</w:t>
      </w:r>
      <w:r w:rsidR="003F7D2C" w:rsidRPr="003F7D2C">
        <w:rPr>
          <w:rFonts w:ascii="Arial" w:hAnsi="Arial" w:cs="Arial"/>
          <w:sz w:val="20"/>
          <w:szCs w:val="20"/>
        </w:rPr>
        <w:t xml:space="preserve"> 1997). Additionally, disruption of assimilate supply due to reduced photosynthetic capacity limits resources available for pod set. These mechanisms explain the much stronger reduction under terminal heat stress.</w:t>
      </w:r>
      <w:r w:rsidR="003F7D2C">
        <w:t xml:space="preserve"> </w:t>
      </w:r>
    </w:p>
    <w:p w14:paraId="48CC6976" w14:textId="77777777" w:rsidR="00BD42F6" w:rsidRPr="008C5FCA" w:rsidRDefault="000461FA" w:rsidP="003F7D2C">
      <w:pPr>
        <w:pStyle w:val="NormalWeb"/>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1EA29EA2" wp14:editId="092A5BB0">
            <wp:extent cx="5212080" cy="2606040"/>
            <wp:effectExtent l="0" t="0" r="0" b="0"/>
            <wp:docPr id="1028755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5527" name="Picture 10287552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2606040"/>
                    </a:xfrm>
                    <a:prstGeom prst="rect">
                      <a:avLst/>
                    </a:prstGeom>
                  </pic:spPr>
                </pic:pic>
              </a:graphicData>
            </a:graphic>
          </wp:inline>
        </w:drawing>
      </w:r>
    </w:p>
    <w:p w14:paraId="64F6A2B1" w14:textId="77777777" w:rsidR="00BD42F6" w:rsidRPr="008C5FCA" w:rsidRDefault="00BD42F6" w:rsidP="00626D03">
      <w:pPr>
        <w:pStyle w:val="p1"/>
        <w:jc w:val="both"/>
        <w:rPr>
          <w:rFonts w:ascii="Arial" w:hAnsi="Arial" w:cs="Arial"/>
          <w:color w:val="000000" w:themeColor="text1"/>
          <w:sz w:val="20"/>
          <w:szCs w:val="20"/>
        </w:rPr>
      </w:pPr>
    </w:p>
    <w:p w14:paraId="64CC3D6F" w14:textId="77777777" w:rsidR="00667D4A" w:rsidRDefault="00BD42F6" w:rsidP="00667D4A">
      <w:pPr>
        <w:pStyle w:val="p1"/>
        <w:rPr>
          <w:rFonts w:ascii="Arial" w:hAnsi="Arial" w:cs="Arial"/>
          <w:b/>
          <w:bCs/>
          <w:sz w:val="20"/>
          <w:szCs w:val="20"/>
        </w:rPr>
      </w:pPr>
      <w:bookmarkStart w:id="19" w:name="OLE_LINK11"/>
      <w:r w:rsidRPr="008C5FCA">
        <w:rPr>
          <w:rFonts w:ascii="Arial" w:hAnsi="Arial" w:cs="Arial"/>
          <w:b/>
          <w:bCs/>
          <w:color w:val="000000" w:themeColor="text1"/>
          <w:sz w:val="20"/>
          <w:szCs w:val="20"/>
        </w:rPr>
        <w:t>Fig. 4:</w:t>
      </w:r>
      <w:r w:rsidRPr="008C5FCA">
        <w:rPr>
          <w:rFonts w:ascii="Arial" w:hAnsi="Arial" w:cs="Arial"/>
          <w:color w:val="000000" w:themeColor="text1"/>
          <w:sz w:val="20"/>
          <w:szCs w:val="20"/>
        </w:rPr>
        <w:t xml:space="preserve"> </w:t>
      </w:r>
      <w:r w:rsidRPr="008C5FCA">
        <w:rPr>
          <w:rFonts w:ascii="Arial" w:hAnsi="Arial" w:cs="Arial"/>
          <w:b/>
          <w:bCs/>
          <w:color w:val="000000" w:themeColor="text1"/>
          <w:sz w:val="20"/>
          <w:szCs w:val="20"/>
        </w:rPr>
        <w:t>Adjusted mean performance of 22 garden pea genotypes for Number of pods per plant across Environment I (E1), Environment II (E2), and Environment III (E3)</w:t>
      </w:r>
      <w:bookmarkEnd w:id="19"/>
      <w:r w:rsidR="0089572B">
        <w:rPr>
          <w:rFonts w:ascii="Arial" w:hAnsi="Arial" w:cs="Arial"/>
          <w:b/>
          <w:bCs/>
          <w:color w:val="000000" w:themeColor="text1"/>
          <w:sz w:val="20"/>
          <w:szCs w:val="20"/>
        </w:rPr>
        <w:t xml:space="preserve">. </w:t>
      </w:r>
      <w:r w:rsidR="0089572B" w:rsidRPr="0089572B">
        <w:rPr>
          <w:rFonts w:ascii="Arial" w:hAnsi="Arial" w:cs="Arial"/>
          <w:b/>
          <w:bCs/>
          <w:sz w:val="20"/>
          <w:szCs w:val="20"/>
        </w:rPr>
        <w:t>Error bars represent ± Standard Error (SE).</w:t>
      </w:r>
    </w:p>
    <w:p w14:paraId="0A5DC310" w14:textId="77777777" w:rsidR="00EB2A64" w:rsidRPr="00667D4A" w:rsidRDefault="005C046D" w:rsidP="00667D4A">
      <w:pPr>
        <w:pStyle w:val="p1"/>
        <w:rPr>
          <w:rFonts w:ascii="Arial" w:hAnsi="Arial" w:cs="Arial"/>
          <w:b/>
          <w:bCs/>
          <w:color w:val="000000" w:themeColor="text1"/>
          <w:sz w:val="20"/>
          <w:szCs w:val="20"/>
        </w:rPr>
      </w:pPr>
      <w:r w:rsidRPr="00717993">
        <w:rPr>
          <w:rFonts w:ascii="Arial" w:hAnsi="Arial" w:cs="Arial"/>
          <w:b/>
          <w:bCs/>
          <w:color w:val="000000" w:themeColor="text1"/>
          <w:sz w:val="22"/>
          <w:szCs w:val="22"/>
        </w:rPr>
        <w:lastRenderedPageBreak/>
        <w:t>3.</w:t>
      </w:r>
      <w:r w:rsidR="00834031" w:rsidRPr="00717993">
        <w:rPr>
          <w:rFonts w:ascii="Arial" w:hAnsi="Arial" w:cs="Arial"/>
          <w:b/>
          <w:bCs/>
          <w:color w:val="000000" w:themeColor="text1"/>
          <w:sz w:val="22"/>
          <w:szCs w:val="22"/>
        </w:rPr>
        <w:t>5</w:t>
      </w:r>
      <w:r w:rsidRPr="00717993">
        <w:rPr>
          <w:rFonts w:ascii="Arial" w:hAnsi="Arial" w:cs="Arial"/>
          <w:b/>
          <w:bCs/>
          <w:color w:val="000000" w:themeColor="text1"/>
          <w:sz w:val="22"/>
          <w:szCs w:val="22"/>
        </w:rPr>
        <w:t xml:space="preserve"> </w:t>
      </w:r>
      <w:r w:rsidR="00EB2A64" w:rsidRPr="00717993">
        <w:rPr>
          <w:rFonts w:ascii="Arial" w:hAnsi="Arial" w:cs="Arial"/>
          <w:b/>
          <w:bCs/>
          <w:color w:val="000000" w:themeColor="text1"/>
          <w:sz w:val="22"/>
          <w:szCs w:val="22"/>
        </w:rPr>
        <w:t>Number of Seeds per Pod</w:t>
      </w:r>
    </w:p>
    <w:p w14:paraId="4A10FA54" w14:textId="77777777" w:rsidR="002A3E6C" w:rsidRPr="008C5FCA" w:rsidRDefault="003007A5" w:rsidP="002A3E6C">
      <w:pPr>
        <w:pStyle w:val="NormalWeb"/>
        <w:jc w:val="both"/>
        <w:rPr>
          <w:rFonts w:ascii="Arial" w:hAnsi="Arial" w:cs="Arial"/>
          <w:color w:val="000000" w:themeColor="text1"/>
          <w:sz w:val="20"/>
          <w:szCs w:val="20"/>
        </w:rPr>
      </w:pPr>
      <w:bookmarkStart w:id="20" w:name="OLE_LINK112"/>
      <w:r w:rsidRPr="008C5FCA">
        <w:rPr>
          <w:rFonts w:ascii="Arial" w:hAnsi="Arial" w:cs="Arial"/>
          <w:color w:val="000000" w:themeColor="text1"/>
          <w:sz w:val="20"/>
          <w:szCs w:val="20"/>
        </w:rPr>
        <w:t xml:space="preserve">Number of seeds per pod </w:t>
      </w:r>
      <w:bookmarkEnd w:id="20"/>
      <w:r w:rsidRPr="008C5FCA">
        <w:rPr>
          <w:rFonts w:ascii="Arial" w:hAnsi="Arial" w:cs="Arial"/>
          <w:color w:val="000000" w:themeColor="text1"/>
          <w:sz w:val="20"/>
          <w:szCs w:val="20"/>
        </w:rPr>
        <w:t>showed significant variation across environments. The mean was 8.56 in E1, with 10 genotypes performing above the mean. Under E2, the mean increased to 10.39, with 11 genotypes above the mean. In contrast, E3 recorded a significant reduction with a mean of 4.77 and 11 genotypes above the mean</w:t>
      </w:r>
      <w:r w:rsidR="001A508F" w:rsidRPr="008C5FCA">
        <w:rPr>
          <w:rFonts w:ascii="Arial" w:hAnsi="Arial" w:cs="Arial"/>
          <w:color w:val="000000" w:themeColor="text1"/>
          <w:sz w:val="20"/>
          <w:szCs w:val="20"/>
        </w:rPr>
        <w:t>.</w:t>
      </w:r>
      <w:r w:rsidR="002A3E6C" w:rsidRPr="008C5FCA">
        <w:rPr>
          <w:rFonts w:ascii="Arial" w:hAnsi="Arial" w:cs="Arial"/>
          <w:color w:val="000000" w:themeColor="text1"/>
          <w:sz w:val="20"/>
          <w:szCs w:val="20"/>
        </w:rPr>
        <w:t xml:space="preserve"> The comparative response of genotypic stature to different heat stress timings is depicted in Fig. 5. </w:t>
      </w:r>
    </w:p>
    <w:p w14:paraId="0860473B" w14:textId="77777777" w:rsidR="003F7D2C" w:rsidRPr="003F7D2C" w:rsidRDefault="001145E7" w:rsidP="003F7D2C">
      <w:pPr>
        <w:pStyle w:val="NormalWeb"/>
        <w:jc w:val="both"/>
        <w:rPr>
          <w:rFonts w:ascii="Arial" w:hAnsi="Arial" w:cs="Arial"/>
          <w:sz w:val="20"/>
          <w:szCs w:val="20"/>
        </w:rPr>
      </w:pPr>
      <w:r w:rsidRPr="008C5FCA">
        <w:rPr>
          <w:rFonts w:ascii="Arial" w:hAnsi="Arial" w:cs="Arial"/>
          <w:color w:val="000000" w:themeColor="text1"/>
          <w:sz w:val="20"/>
          <w:szCs w:val="20"/>
        </w:rPr>
        <w:t xml:space="preserve">Number of seeds per pod decreased by approximately 17.61% in E1 and 54.10% in E3 compared to the control (E2), indicating a much stronger impact of terminal heat stress on seed setting. </w:t>
      </w:r>
      <w:r w:rsidR="003F7D2C" w:rsidRPr="003F7D2C">
        <w:rPr>
          <w:rFonts w:ascii="Arial" w:hAnsi="Arial" w:cs="Arial"/>
          <w:sz w:val="20"/>
          <w:szCs w:val="20"/>
        </w:rPr>
        <w:t>Elevated temperatures are known to reduce pollen tube growth and ovule viability, impairing fertilization and leading to fewer seeds per pod — particularly when heat coincides with early seed developmental processes (</w:t>
      </w:r>
      <w:bookmarkStart w:id="21" w:name="OLE_LINK17"/>
      <w:r w:rsidR="003F7D2C" w:rsidRPr="003F7D2C">
        <w:rPr>
          <w:rFonts w:ascii="Arial" w:hAnsi="Arial" w:cs="Arial"/>
          <w:sz w:val="20"/>
          <w:szCs w:val="20"/>
        </w:rPr>
        <w:t>Jeuffroy</w:t>
      </w:r>
      <w:bookmarkEnd w:id="21"/>
      <w:r w:rsidR="003F7D2C" w:rsidRPr="003F7D2C">
        <w:rPr>
          <w:rFonts w:ascii="Arial" w:hAnsi="Arial" w:cs="Arial"/>
          <w:sz w:val="20"/>
          <w:szCs w:val="20"/>
        </w:rPr>
        <w:t xml:space="preserve"> </w:t>
      </w:r>
      <w:r w:rsidR="003F7D2C" w:rsidRPr="00667D4A">
        <w:rPr>
          <w:rFonts w:ascii="Arial" w:hAnsi="Arial" w:cs="Arial"/>
          <w:i/>
          <w:iCs/>
          <w:sz w:val="20"/>
          <w:szCs w:val="20"/>
        </w:rPr>
        <w:t>et al.,</w:t>
      </w:r>
      <w:r w:rsidR="003F7D2C" w:rsidRPr="003F7D2C">
        <w:rPr>
          <w:rFonts w:ascii="Arial" w:hAnsi="Arial" w:cs="Arial"/>
          <w:sz w:val="20"/>
          <w:szCs w:val="20"/>
        </w:rPr>
        <w:t xml:space="preserve"> 1990; Jiang </w:t>
      </w:r>
      <w:r w:rsidR="003F7D2C" w:rsidRPr="00667D4A">
        <w:rPr>
          <w:rFonts w:ascii="Arial" w:hAnsi="Arial" w:cs="Arial"/>
          <w:i/>
          <w:iCs/>
          <w:sz w:val="20"/>
          <w:szCs w:val="20"/>
        </w:rPr>
        <w:t>et al.,</w:t>
      </w:r>
      <w:r w:rsidR="003F7D2C" w:rsidRPr="003F7D2C">
        <w:rPr>
          <w:rFonts w:ascii="Arial" w:hAnsi="Arial" w:cs="Arial"/>
          <w:sz w:val="20"/>
          <w:szCs w:val="20"/>
        </w:rPr>
        <w:t xml:space="preserve"> 2015; Jiang </w:t>
      </w:r>
      <w:r w:rsidR="003F7D2C" w:rsidRPr="00667D4A">
        <w:rPr>
          <w:rFonts w:ascii="Arial" w:hAnsi="Arial" w:cs="Arial"/>
          <w:i/>
          <w:iCs/>
          <w:sz w:val="20"/>
          <w:szCs w:val="20"/>
        </w:rPr>
        <w:t>et al.,</w:t>
      </w:r>
      <w:r w:rsidR="003F7D2C" w:rsidRPr="003F7D2C">
        <w:rPr>
          <w:rFonts w:ascii="Arial" w:hAnsi="Arial" w:cs="Arial"/>
          <w:sz w:val="20"/>
          <w:szCs w:val="20"/>
        </w:rPr>
        <w:t xml:space="preserve"> 2017). Heat exposure also reduces assimilate remobilization to developing seeds, further limiting seed set (Larmure &amp; Munier</w:t>
      </w:r>
      <w:r w:rsidR="003F7D2C" w:rsidRPr="003F7D2C">
        <w:rPr>
          <w:rFonts w:ascii="Arial" w:hAnsi="Arial" w:cs="Arial"/>
          <w:sz w:val="20"/>
          <w:szCs w:val="20"/>
        </w:rPr>
        <w:noBreakHyphen/>
        <w:t xml:space="preserve">Jolain, 2019; Devi </w:t>
      </w:r>
      <w:r w:rsidR="003F7D2C" w:rsidRPr="00667D4A">
        <w:rPr>
          <w:rFonts w:ascii="Arial" w:hAnsi="Arial" w:cs="Arial"/>
          <w:i/>
          <w:iCs/>
          <w:sz w:val="20"/>
          <w:szCs w:val="20"/>
        </w:rPr>
        <w:t>et al.,</w:t>
      </w:r>
      <w:r w:rsidR="003F7D2C" w:rsidRPr="003F7D2C">
        <w:rPr>
          <w:rFonts w:ascii="Arial" w:hAnsi="Arial" w:cs="Arial"/>
          <w:sz w:val="20"/>
          <w:szCs w:val="20"/>
        </w:rPr>
        <w:t xml:space="preserve"> 2022).</w:t>
      </w:r>
    </w:p>
    <w:p w14:paraId="70994652" w14:textId="77777777" w:rsidR="00BD42F6" w:rsidRPr="008C5FCA" w:rsidRDefault="000461FA" w:rsidP="003F7D2C">
      <w:pPr>
        <w:pStyle w:val="NormalWeb"/>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2838896F" wp14:editId="33596FFF">
            <wp:extent cx="5212080" cy="2437130"/>
            <wp:effectExtent l="0" t="0" r="0" b="1270"/>
            <wp:docPr id="1288809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09577" name="Picture 12888095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2437130"/>
                    </a:xfrm>
                    <a:prstGeom prst="rect">
                      <a:avLst/>
                    </a:prstGeom>
                  </pic:spPr>
                </pic:pic>
              </a:graphicData>
            </a:graphic>
          </wp:inline>
        </w:drawing>
      </w:r>
    </w:p>
    <w:p w14:paraId="432BB837" w14:textId="77777777" w:rsidR="00BD42F6" w:rsidRPr="008C5FCA" w:rsidRDefault="00BD42F6" w:rsidP="00626D03">
      <w:pPr>
        <w:pStyle w:val="p1"/>
        <w:jc w:val="both"/>
        <w:rPr>
          <w:rFonts w:ascii="Arial" w:hAnsi="Arial" w:cs="Arial"/>
          <w:color w:val="000000" w:themeColor="text1"/>
          <w:sz w:val="20"/>
          <w:szCs w:val="20"/>
        </w:rPr>
      </w:pPr>
    </w:p>
    <w:p w14:paraId="7F46FC8E" w14:textId="77777777" w:rsidR="0089572B" w:rsidRPr="0089572B" w:rsidRDefault="00BD42F6" w:rsidP="0089572B">
      <w:pPr>
        <w:pStyle w:val="p1"/>
        <w:rPr>
          <w:rFonts w:ascii="Arial" w:hAnsi="Arial" w:cs="Arial"/>
          <w:b/>
          <w:bCs/>
          <w:color w:val="000000" w:themeColor="text1"/>
          <w:sz w:val="20"/>
          <w:szCs w:val="20"/>
        </w:rPr>
      </w:pPr>
      <w:r w:rsidRPr="008C5FCA">
        <w:rPr>
          <w:rFonts w:ascii="Arial" w:hAnsi="Arial" w:cs="Arial"/>
          <w:b/>
          <w:bCs/>
          <w:color w:val="000000" w:themeColor="text1"/>
          <w:sz w:val="20"/>
          <w:szCs w:val="20"/>
        </w:rPr>
        <w:t>Fig. 5:</w:t>
      </w:r>
      <w:r w:rsidRPr="008C5FCA">
        <w:rPr>
          <w:rFonts w:ascii="Arial" w:hAnsi="Arial" w:cs="Arial"/>
          <w:color w:val="000000" w:themeColor="text1"/>
          <w:sz w:val="20"/>
          <w:szCs w:val="20"/>
        </w:rPr>
        <w:t xml:space="preserve"> </w:t>
      </w:r>
      <w:r w:rsidRPr="008C5FCA">
        <w:rPr>
          <w:rFonts w:ascii="Arial" w:hAnsi="Arial" w:cs="Arial"/>
          <w:b/>
          <w:bCs/>
          <w:color w:val="000000" w:themeColor="text1"/>
          <w:sz w:val="20"/>
          <w:szCs w:val="20"/>
        </w:rPr>
        <w:t>Adjusted mean performance of 22 garden pea genotypes for Number of seeds per pod across Environment I (E1), Environment II (E2), and Environment III (E3)</w:t>
      </w:r>
      <w:r w:rsidR="0089572B">
        <w:rPr>
          <w:rFonts w:ascii="Arial" w:hAnsi="Arial" w:cs="Arial"/>
          <w:b/>
          <w:bCs/>
          <w:color w:val="000000" w:themeColor="text1"/>
          <w:sz w:val="20"/>
          <w:szCs w:val="20"/>
        </w:rPr>
        <w:t xml:space="preserve">. </w:t>
      </w:r>
      <w:r w:rsidR="0089572B" w:rsidRPr="0089572B">
        <w:rPr>
          <w:rFonts w:ascii="Arial" w:hAnsi="Arial" w:cs="Arial"/>
          <w:b/>
          <w:bCs/>
          <w:sz w:val="20"/>
          <w:szCs w:val="20"/>
        </w:rPr>
        <w:t>Error bars represent ± Standard Error (SE).</w:t>
      </w:r>
    </w:p>
    <w:p w14:paraId="6153C6F9" w14:textId="77777777" w:rsidR="00BD42F6" w:rsidRPr="008C5FCA" w:rsidRDefault="00BD42F6" w:rsidP="00BD42F6">
      <w:pPr>
        <w:pStyle w:val="p1"/>
        <w:rPr>
          <w:rFonts w:ascii="Arial" w:hAnsi="Arial" w:cs="Arial"/>
          <w:b/>
          <w:bCs/>
          <w:color w:val="000000" w:themeColor="text1"/>
          <w:sz w:val="20"/>
          <w:szCs w:val="20"/>
        </w:rPr>
      </w:pPr>
    </w:p>
    <w:p w14:paraId="6605342B" w14:textId="77777777" w:rsidR="0098568E" w:rsidRPr="00717993" w:rsidRDefault="005C046D" w:rsidP="00D10D1E">
      <w:pPr>
        <w:pStyle w:val="NormalWeb"/>
        <w:jc w:val="both"/>
        <w:rPr>
          <w:rFonts w:ascii="Arial" w:hAnsi="Arial" w:cs="Arial"/>
          <w:color w:val="000000" w:themeColor="text1"/>
          <w:sz w:val="22"/>
          <w:szCs w:val="22"/>
        </w:rPr>
      </w:pPr>
      <w:r w:rsidRPr="00717993">
        <w:rPr>
          <w:rFonts w:ascii="Arial" w:hAnsi="Arial" w:cs="Arial"/>
          <w:b/>
          <w:bCs/>
          <w:color w:val="000000" w:themeColor="text1"/>
          <w:sz w:val="22"/>
          <w:szCs w:val="22"/>
        </w:rPr>
        <w:t>3.</w:t>
      </w:r>
      <w:r w:rsidR="00834031" w:rsidRPr="00717993">
        <w:rPr>
          <w:rFonts w:ascii="Arial" w:hAnsi="Arial" w:cs="Arial"/>
          <w:b/>
          <w:bCs/>
          <w:color w:val="000000" w:themeColor="text1"/>
          <w:sz w:val="22"/>
          <w:szCs w:val="22"/>
        </w:rPr>
        <w:t>6</w:t>
      </w:r>
      <w:r w:rsidRPr="00717993">
        <w:rPr>
          <w:rFonts w:ascii="Arial" w:hAnsi="Arial" w:cs="Arial"/>
          <w:b/>
          <w:bCs/>
          <w:color w:val="000000" w:themeColor="text1"/>
          <w:sz w:val="22"/>
          <w:szCs w:val="22"/>
        </w:rPr>
        <w:t xml:space="preserve"> </w:t>
      </w:r>
      <w:r w:rsidR="00EB2A64" w:rsidRPr="00717993">
        <w:rPr>
          <w:rFonts w:ascii="Arial" w:hAnsi="Arial" w:cs="Arial"/>
          <w:b/>
          <w:bCs/>
          <w:color w:val="000000" w:themeColor="text1"/>
          <w:sz w:val="22"/>
          <w:szCs w:val="22"/>
        </w:rPr>
        <w:t>Pod Diameter</w:t>
      </w:r>
      <w:r w:rsidR="00626D03" w:rsidRPr="00717993">
        <w:rPr>
          <w:rFonts w:ascii="Arial" w:hAnsi="Arial" w:cs="Arial"/>
          <w:b/>
          <w:bCs/>
          <w:color w:val="000000" w:themeColor="text1"/>
          <w:sz w:val="22"/>
          <w:szCs w:val="22"/>
        </w:rPr>
        <w:t xml:space="preserve"> (mm)</w:t>
      </w:r>
    </w:p>
    <w:p w14:paraId="70AF3D2B" w14:textId="77777777" w:rsidR="002A3E6C" w:rsidRPr="008C5FCA" w:rsidRDefault="003007A5" w:rsidP="002A3E6C">
      <w:pPr>
        <w:pStyle w:val="NormalWeb"/>
        <w:jc w:val="both"/>
        <w:rPr>
          <w:rFonts w:ascii="Arial" w:hAnsi="Arial" w:cs="Arial"/>
          <w:color w:val="000000" w:themeColor="text1"/>
          <w:sz w:val="20"/>
          <w:szCs w:val="20"/>
        </w:rPr>
      </w:pPr>
      <w:r w:rsidRPr="008C5FCA">
        <w:rPr>
          <w:rFonts w:ascii="Arial" w:hAnsi="Arial" w:cs="Arial"/>
          <w:color w:val="000000" w:themeColor="text1"/>
          <w:sz w:val="20"/>
          <w:szCs w:val="20"/>
        </w:rPr>
        <w:t>Pod diameter was significantly influenced by environmental conditions. The mean value in E1 was 6.16 mm, with 14 genotypes above the mean. Under E2, the mean increased to 7.20 mm, with 11 genotypes exceeding the mean. In E3, the mean declined to 3.95 mm, with 12 genotypes above the mea</w:t>
      </w:r>
      <w:r w:rsidR="001A508F" w:rsidRPr="008C5FCA">
        <w:rPr>
          <w:rFonts w:ascii="Arial" w:hAnsi="Arial" w:cs="Arial"/>
          <w:color w:val="000000" w:themeColor="text1"/>
          <w:sz w:val="20"/>
          <w:szCs w:val="20"/>
        </w:rPr>
        <w:t>n</w:t>
      </w:r>
      <w:r w:rsidRPr="008C5FCA">
        <w:rPr>
          <w:rFonts w:ascii="Arial" w:hAnsi="Arial" w:cs="Arial"/>
          <w:color w:val="000000" w:themeColor="text1"/>
          <w:sz w:val="20"/>
          <w:szCs w:val="20"/>
        </w:rPr>
        <w:t xml:space="preserve">. </w:t>
      </w:r>
      <w:r w:rsidR="002A3E6C" w:rsidRPr="008C5FCA">
        <w:rPr>
          <w:rFonts w:ascii="Arial" w:hAnsi="Arial" w:cs="Arial"/>
          <w:color w:val="000000" w:themeColor="text1"/>
          <w:sz w:val="20"/>
          <w:szCs w:val="20"/>
        </w:rPr>
        <w:t xml:space="preserve">The comparative response of genotypic stature to different heat stress timings is depicted in Fig. 6. </w:t>
      </w:r>
    </w:p>
    <w:p w14:paraId="0DCA9BE0" w14:textId="77777777" w:rsidR="008B157F" w:rsidRDefault="008C5FCA" w:rsidP="008C5FCA">
      <w:pPr>
        <w:pStyle w:val="NormalWeb"/>
        <w:jc w:val="both"/>
        <w:rPr>
          <w:rFonts w:ascii="Arial" w:hAnsi="Arial" w:cs="Arial"/>
          <w:sz w:val="20"/>
          <w:szCs w:val="20"/>
        </w:rPr>
      </w:pPr>
      <w:r w:rsidRPr="008C5FCA">
        <w:rPr>
          <w:rFonts w:ascii="Arial" w:hAnsi="Arial" w:cs="Arial"/>
          <w:color w:val="000000" w:themeColor="text1"/>
          <w:sz w:val="20"/>
          <w:szCs w:val="20"/>
        </w:rPr>
        <w:t xml:space="preserve">Pod diameter decreased by approximately 14.44% in E1 and 45.14% in E3 compared to the control (E2), indicating that terminal heat stress had a much stronger effect on pod development. </w:t>
      </w:r>
      <w:r w:rsidR="003F7D2C" w:rsidRPr="003F7D2C">
        <w:rPr>
          <w:rFonts w:ascii="Arial" w:hAnsi="Arial" w:cs="Arial"/>
          <w:sz w:val="20"/>
          <w:szCs w:val="20"/>
        </w:rPr>
        <w:t>Reduced pod diameter under heat stress is attributable to reduced assimilate availability and impaired pod filling, as high temperature limits photosynthetic carbon fixation</w:t>
      </w:r>
    </w:p>
    <w:p w14:paraId="30CAA097" w14:textId="77777777" w:rsidR="008C5FCA" w:rsidRDefault="003F7D2C" w:rsidP="008C5FCA">
      <w:pPr>
        <w:pStyle w:val="NormalWeb"/>
        <w:jc w:val="both"/>
        <w:rPr>
          <w:rFonts w:ascii="Arial" w:hAnsi="Arial" w:cs="Arial"/>
          <w:sz w:val="20"/>
          <w:szCs w:val="20"/>
        </w:rPr>
      </w:pPr>
      <w:r w:rsidRPr="003F7D2C">
        <w:rPr>
          <w:rFonts w:ascii="Arial" w:hAnsi="Arial" w:cs="Arial"/>
          <w:sz w:val="20"/>
          <w:szCs w:val="20"/>
        </w:rPr>
        <w:lastRenderedPageBreak/>
        <w:t xml:space="preserve">and disrupts source–sink relationships (Guilioni </w:t>
      </w:r>
      <w:r w:rsidRPr="008B157F">
        <w:rPr>
          <w:rFonts w:ascii="Arial" w:hAnsi="Arial" w:cs="Arial"/>
          <w:i/>
          <w:iCs/>
          <w:sz w:val="20"/>
          <w:szCs w:val="20"/>
        </w:rPr>
        <w:t>et al.,</w:t>
      </w:r>
      <w:r w:rsidRPr="003F7D2C">
        <w:rPr>
          <w:rFonts w:ascii="Arial" w:hAnsi="Arial" w:cs="Arial"/>
          <w:sz w:val="20"/>
          <w:szCs w:val="20"/>
        </w:rPr>
        <w:t xml:space="preserve"> 2003; Haldimann &amp; Feller, 2005; Devi </w:t>
      </w:r>
      <w:r w:rsidRPr="008B157F">
        <w:rPr>
          <w:rFonts w:ascii="Arial" w:hAnsi="Arial" w:cs="Arial"/>
          <w:i/>
          <w:iCs/>
          <w:sz w:val="20"/>
          <w:szCs w:val="20"/>
        </w:rPr>
        <w:t>et al.,</w:t>
      </w:r>
      <w:r w:rsidRPr="003F7D2C">
        <w:rPr>
          <w:rFonts w:ascii="Arial" w:hAnsi="Arial" w:cs="Arial"/>
          <w:sz w:val="20"/>
          <w:szCs w:val="20"/>
        </w:rPr>
        <w:t xml:space="preserve"> 2022). The much greater decline under terminal stress indicates that reproductive heat stress more severely compromises assimilate partitioning into developing pods.</w:t>
      </w:r>
    </w:p>
    <w:p w14:paraId="687F8DE1" w14:textId="77777777" w:rsidR="008B157F" w:rsidRDefault="008B157F" w:rsidP="008C5FCA">
      <w:pPr>
        <w:pStyle w:val="NormalWeb"/>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391E87E4" wp14:editId="3462DAE4">
            <wp:extent cx="5212080" cy="2491105"/>
            <wp:effectExtent l="0" t="0" r="0" b="0"/>
            <wp:docPr id="16527056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05607" name="Picture 165270560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2491105"/>
                    </a:xfrm>
                    <a:prstGeom prst="rect">
                      <a:avLst/>
                    </a:prstGeom>
                  </pic:spPr>
                </pic:pic>
              </a:graphicData>
            </a:graphic>
          </wp:inline>
        </w:drawing>
      </w:r>
    </w:p>
    <w:p w14:paraId="0072E674" w14:textId="77777777" w:rsidR="008B157F" w:rsidRDefault="008B157F" w:rsidP="008B157F">
      <w:pPr>
        <w:pStyle w:val="p1"/>
        <w:rPr>
          <w:rFonts w:ascii="Arial" w:hAnsi="Arial" w:cs="Arial"/>
          <w:b/>
          <w:bCs/>
          <w:sz w:val="20"/>
          <w:szCs w:val="20"/>
        </w:rPr>
      </w:pPr>
      <w:r w:rsidRPr="008C5FCA">
        <w:rPr>
          <w:rFonts w:ascii="Arial" w:hAnsi="Arial" w:cs="Arial"/>
          <w:b/>
          <w:bCs/>
          <w:color w:val="000000" w:themeColor="text1"/>
          <w:sz w:val="20"/>
          <w:szCs w:val="20"/>
        </w:rPr>
        <w:t>Fig. 6:</w:t>
      </w:r>
      <w:r w:rsidRPr="008C5FCA">
        <w:rPr>
          <w:rFonts w:ascii="Arial" w:hAnsi="Arial" w:cs="Arial"/>
          <w:color w:val="000000" w:themeColor="text1"/>
          <w:sz w:val="20"/>
          <w:szCs w:val="20"/>
        </w:rPr>
        <w:t xml:space="preserve"> </w:t>
      </w:r>
      <w:r w:rsidRPr="008C5FCA">
        <w:rPr>
          <w:rFonts w:ascii="Arial" w:hAnsi="Arial" w:cs="Arial"/>
          <w:b/>
          <w:bCs/>
          <w:color w:val="000000" w:themeColor="text1"/>
          <w:sz w:val="20"/>
          <w:szCs w:val="20"/>
        </w:rPr>
        <w:t>Adjusted mean performance of 22 garden pea genotypes for Pod Diameter across Environment I (E1), Environment II (E2), and Environment III (E3)</w:t>
      </w:r>
      <w:r>
        <w:rPr>
          <w:rFonts w:ascii="Arial" w:hAnsi="Arial" w:cs="Arial"/>
          <w:b/>
          <w:bCs/>
          <w:color w:val="000000" w:themeColor="text1"/>
          <w:sz w:val="20"/>
          <w:szCs w:val="20"/>
        </w:rPr>
        <w:t xml:space="preserve">. </w:t>
      </w:r>
      <w:r w:rsidRPr="0089572B">
        <w:rPr>
          <w:rFonts w:ascii="Arial" w:hAnsi="Arial" w:cs="Arial"/>
          <w:b/>
          <w:bCs/>
          <w:sz w:val="20"/>
          <w:szCs w:val="20"/>
        </w:rPr>
        <w:t>Error bars represent ± Standard Error (SE).</w:t>
      </w:r>
    </w:p>
    <w:p w14:paraId="52FFB154" w14:textId="77777777" w:rsidR="008B157F" w:rsidRPr="008B157F" w:rsidRDefault="008B157F" w:rsidP="008B157F">
      <w:pPr>
        <w:pStyle w:val="p1"/>
        <w:rPr>
          <w:rFonts w:ascii="Arial" w:hAnsi="Arial" w:cs="Arial"/>
          <w:b/>
          <w:bCs/>
          <w:color w:val="000000" w:themeColor="text1"/>
          <w:sz w:val="20"/>
          <w:szCs w:val="20"/>
        </w:rPr>
      </w:pPr>
    </w:p>
    <w:p w14:paraId="3642BE68" w14:textId="77777777" w:rsidR="00717993" w:rsidRPr="008B157F" w:rsidRDefault="00717993" w:rsidP="00717993">
      <w:pPr>
        <w:pStyle w:val="Heading3"/>
        <w:jc w:val="both"/>
        <w:rPr>
          <w:rFonts w:ascii="Arial" w:hAnsi="Arial" w:cs="Arial"/>
          <w:b/>
          <w:bCs/>
          <w:color w:val="000000" w:themeColor="text1"/>
          <w:sz w:val="22"/>
          <w:szCs w:val="22"/>
        </w:rPr>
      </w:pPr>
      <w:r w:rsidRPr="008B157F">
        <w:rPr>
          <w:rFonts w:ascii="Arial" w:hAnsi="Arial" w:cs="Arial"/>
          <w:b/>
          <w:bCs/>
          <w:color w:val="000000" w:themeColor="text1"/>
          <w:sz w:val="22"/>
          <w:szCs w:val="22"/>
        </w:rPr>
        <w:t>3.7 Pod Length (cm)</w:t>
      </w:r>
    </w:p>
    <w:p w14:paraId="398F6762" w14:textId="77777777" w:rsidR="00717993" w:rsidRPr="008B157F" w:rsidRDefault="00717993" w:rsidP="00717993">
      <w:pPr>
        <w:pStyle w:val="NormalWeb"/>
        <w:jc w:val="both"/>
        <w:rPr>
          <w:rFonts w:ascii="Arial" w:hAnsi="Arial" w:cs="Arial"/>
          <w:color w:val="000000" w:themeColor="text1"/>
          <w:sz w:val="20"/>
          <w:szCs w:val="20"/>
        </w:rPr>
      </w:pPr>
      <w:r w:rsidRPr="008B157F">
        <w:rPr>
          <w:rFonts w:ascii="Arial" w:hAnsi="Arial" w:cs="Arial"/>
          <w:color w:val="000000" w:themeColor="text1"/>
          <w:sz w:val="20"/>
          <w:szCs w:val="20"/>
        </w:rPr>
        <w:t xml:space="preserve">Pod length differed significantly across environments. The mean was 9.83 cm in E1, with 7 genotypes above the mean. Under E2, the mean increased to 11.11 cm, with 9 genotypes exceeding the mean. In E3, the mean decreased to 6.51 cm, with 11 genotypes above the mean. The comparative response of genotypic stature to different heat stress timings is depicted in Fig. 7. </w:t>
      </w:r>
    </w:p>
    <w:p w14:paraId="4D7DFF01" w14:textId="77777777" w:rsidR="00717993" w:rsidRPr="008B157F" w:rsidRDefault="00717993" w:rsidP="008C5FCA">
      <w:pPr>
        <w:pStyle w:val="NormalWeb"/>
        <w:jc w:val="both"/>
        <w:rPr>
          <w:rFonts w:ascii="Arial" w:hAnsi="Arial" w:cs="Arial"/>
          <w:color w:val="000000" w:themeColor="text1"/>
          <w:sz w:val="20"/>
          <w:szCs w:val="20"/>
        </w:rPr>
      </w:pPr>
      <w:r w:rsidRPr="008B157F">
        <w:rPr>
          <w:rFonts w:ascii="Arial" w:hAnsi="Arial" w:cs="Arial"/>
          <w:color w:val="000000" w:themeColor="text1"/>
          <w:sz w:val="20"/>
          <w:szCs w:val="20"/>
        </w:rPr>
        <w:t xml:space="preserve">Pod length decreased by approximately 11.53% in E1 and 41.40% in E3 compared to the control (E2), indicating that terminal heat stress had a more pronounced effect on pod growth. </w:t>
      </w:r>
      <w:r w:rsidR="003F7D2C" w:rsidRPr="008B157F">
        <w:rPr>
          <w:rFonts w:ascii="Arial" w:hAnsi="Arial" w:cs="Arial"/>
          <w:sz w:val="20"/>
          <w:szCs w:val="20"/>
        </w:rPr>
        <w:t xml:space="preserve">High temperature reduces cell expansion and division during pod development through impaired carbon availability and disrupted internal hormonal signalling, resulting in shorter pods (Jiang </w:t>
      </w:r>
      <w:r w:rsidR="003F7D2C" w:rsidRPr="008B157F">
        <w:rPr>
          <w:rFonts w:ascii="Arial" w:hAnsi="Arial" w:cs="Arial"/>
          <w:i/>
          <w:iCs/>
          <w:sz w:val="20"/>
          <w:szCs w:val="20"/>
        </w:rPr>
        <w:t>et al.,</w:t>
      </w:r>
      <w:r w:rsidR="003F7D2C" w:rsidRPr="008B157F">
        <w:rPr>
          <w:rFonts w:ascii="Arial" w:hAnsi="Arial" w:cs="Arial"/>
          <w:sz w:val="20"/>
          <w:szCs w:val="20"/>
        </w:rPr>
        <w:t xml:space="preserve"> 2015; Jiang </w:t>
      </w:r>
      <w:r w:rsidR="003F7D2C" w:rsidRPr="008B157F">
        <w:rPr>
          <w:rFonts w:ascii="Arial" w:hAnsi="Arial" w:cs="Arial"/>
          <w:i/>
          <w:iCs/>
          <w:sz w:val="20"/>
          <w:szCs w:val="20"/>
        </w:rPr>
        <w:t>et al.,</w:t>
      </w:r>
      <w:r w:rsidR="003F7D2C" w:rsidRPr="008B157F">
        <w:rPr>
          <w:rFonts w:ascii="Arial" w:hAnsi="Arial" w:cs="Arial"/>
          <w:sz w:val="20"/>
          <w:szCs w:val="20"/>
        </w:rPr>
        <w:t xml:space="preserve"> 2017; Devi </w:t>
      </w:r>
      <w:r w:rsidR="003F7D2C" w:rsidRPr="008B157F">
        <w:rPr>
          <w:rFonts w:ascii="Arial" w:hAnsi="Arial" w:cs="Arial"/>
          <w:i/>
          <w:iCs/>
          <w:sz w:val="20"/>
          <w:szCs w:val="20"/>
        </w:rPr>
        <w:t>et al.,</w:t>
      </w:r>
      <w:r w:rsidR="003F7D2C" w:rsidRPr="008B157F">
        <w:rPr>
          <w:rFonts w:ascii="Arial" w:hAnsi="Arial" w:cs="Arial"/>
          <w:sz w:val="20"/>
          <w:szCs w:val="20"/>
        </w:rPr>
        <w:t xml:space="preserve"> 2022). Again, the larger reduction under terminal stress reinforces the sensitivity of pod elongation processes to reproductive stage heat. </w:t>
      </w:r>
      <w:r w:rsidRPr="008B157F">
        <w:rPr>
          <w:rFonts w:ascii="Arial" w:hAnsi="Arial" w:cs="Arial"/>
          <w:color w:val="000000" w:themeColor="text1"/>
          <w:sz w:val="20"/>
          <w:szCs w:val="20"/>
        </w:rPr>
        <w:t xml:space="preserve">In contrast, the relatively smaller reduction under pre-flowering stress indicates that plants are able to recover to some extent before pod formation begins. </w:t>
      </w:r>
    </w:p>
    <w:p w14:paraId="75ACB27C" w14:textId="77777777" w:rsidR="00C24D50" w:rsidRPr="00A15A1A" w:rsidRDefault="00C24D50" w:rsidP="00C24D50">
      <w:pPr>
        <w:spacing w:before="100" w:beforeAutospacing="1" w:after="100" w:afterAutospacing="1"/>
        <w:jc w:val="both"/>
        <w:outlineLvl w:val="2"/>
        <w:rPr>
          <w:rFonts w:ascii="Arial" w:hAnsi="Arial" w:cs="Arial"/>
          <w:b/>
          <w:bCs/>
          <w:color w:val="000000" w:themeColor="text1"/>
          <w:sz w:val="22"/>
          <w:szCs w:val="22"/>
        </w:rPr>
      </w:pPr>
      <w:r w:rsidRPr="00A15A1A">
        <w:rPr>
          <w:rFonts w:ascii="Arial" w:hAnsi="Arial" w:cs="Arial"/>
          <w:b/>
          <w:bCs/>
          <w:color w:val="000000" w:themeColor="text1"/>
          <w:sz w:val="22"/>
          <w:szCs w:val="22"/>
        </w:rPr>
        <w:t>3.8 Average Pod Weight (g)</w:t>
      </w:r>
    </w:p>
    <w:p w14:paraId="7D48392D" w14:textId="77777777" w:rsidR="00BD42F6" w:rsidRPr="008C5FCA" w:rsidRDefault="00C24D50" w:rsidP="00C24D50">
      <w:pPr>
        <w:pStyle w:val="NormalWeb"/>
        <w:jc w:val="both"/>
        <w:rPr>
          <w:rFonts w:ascii="Arial" w:hAnsi="Arial" w:cs="Arial"/>
          <w:color w:val="000000" w:themeColor="text1"/>
          <w:sz w:val="20"/>
          <w:szCs w:val="20"/>
        </w:rPr>
      </w:pPr>
      <w:r w:rsidRPr="008C5FCA">
        <w:rPr>
          <w:rFonts w:ascii="Arial" w:hAnsi="Arial" w:cs="Arial"/>
          <w:color w:val="000000" w:themeColor="text1"/>
          <w:sz w:val="20"/>
          <w:szCs w:val="20"/>
        </w:rPr>
        <w:t xml:space="preserve">Average pod weight was significantly affected by environmental conditions. The mean value was 8.52 g in E1, with 9 genotypes above the mean. Under E2, the mean increased to 9.93 g, with 10 genotypes exceeding the mean. In E3, the mean declined sharply to 3.39 g, with 13 genotypes above the mean. The comparative response of genotypic stature to different heat </w:t>
      </w:r>
      <w:r w:rsidRPr="003F7D2C">
        <w:rPr>
          <w:rFonts w:ascii="Arial" w:hAnsi="Arial" w:cs="Arial"/>
          <w:color w:val="000000" w:themeColor="text1"/>
          <w:sz w:val="20"/>
          <w:szCs w:val="20"/>
        </w:rPr>
        <w:t xml:space="preserve">stress timings is depicted in Fig. 8. </w:t>
      </w:r>
      <w:bookmarkStart w:id="22" w:name="OLE_LINK119"/>
    </w:p>
    <w:bookmarkEnd w:id="22"/>
    <w:p w14:paraId="56C67665" w14:textId="77777777" w:rsidR="00BD42F6" w:rsidRPr="008C5FCA" w:rsidRDefault="000461FA" w:rsidP="00834031">
      <w:pPr>
        <w:pStyle w:val="p1"/>
        <w:jc w:val="both"/>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14:anchorId="549DD736" wp14:editId="3B2B1C35">
            <wp:extent cx="5212080" cy="2422525"/>
            <wp:effectExtent l="0" t="0" r="0" b="3175"/>
            <wp:docPr id="8652649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64948" name="Picture 86526494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2080" cy="2422525"/>
                    </a:xfrm>
                    <a:prstGeom prst="rect">
                      <a:avLst/>
                    </a:prstGeom>
                  </pic:spPr>
                </pic:pic>
              </a:graphicData>
            </a:graphic>
          </wp:inline>
        </w:drawing>
      </w:r>
    </w:p>
    <w:p w14:paraId="16B8F50F" w14:textId="77777777" w:rsidR="00371EF7" w:rsidRDefault="00371EF7" w:rsidP="00BD42F6">
      <w:pPr>
        <w:pStyle w:val="p1"/>
        <w:rPr>
          <w:rFonts w:ascii="Arial" w:hAnsi="Arial" w:cs="Arial"/>
          <w:b/>
          <w:bCs/>
          <w:color w:val="000000" w:themeColor="text1"/>
          <w:sz w:val="20"/>
          <w:szCs w:val="20"/>
        </w:rPr>
      </w:pPr>
      <w:bookmarkStart w:id="23" w:name="OLE_LINK12"/>
    </w:p>
    <w:p w14:paraId="509DF74C" w14:textId="77777777" w:rsidR="0089572B" w:rsidRPr="0089572B" w:rsidRDefault="00BD42F6" w:rsidP="0089572B">
      <w:pPr>
        <w:pStyle w:val="p1"/>
        <w:rPr>
          <w:rFonts w:ascii="Arial" w:hAnsi="Arial" w:cs="Arial"/>
          <w:b/>
          <w:bCs/>
          <w:color w:val="000000" w:themeColor="text1"/>
          <w:sz w:val="20"/>
          <w:szCs w:val="20"/>
        </w:rPr>
      </w:pPr>
      <w:r w:rsidRPr="008C5FCA">
        <w:rPr>
          <w:rFonts w:ascii="Arial" w:hAnsi="Arial" w:cs="Arial"/>
          <w:b/>
          <w:bCs/>
          <w:color w:val="000000" w:themeColor="text1"/>
          <w:sz w:val="20"/>
          <w:szCs w:val="20"/>
        </w:rPr>
        <w:t>Fig. 7:</w:t>
      </w:r>
      <w:r w:rsidRPr="008C5FCA">
        <w:rPr>
          <w:rFonts w:ascii="Arial" w:hAnsi="Arial" w:cs="Arial"/>
          <w:color w:val="000000" w:themeColor="text1"/>
          <w:sz w:val="20"/>
          <w:szCs w:val="20"/>
        </w:rPr>
        <w:t xml:space="preserve"> </w:t>
      </w:r>
      <w:r w:rsidRPr="008C5FCA">
        <w:rPr>
          <w:rFonts w:ascii="Arial" w:hAnsi="Arial" w:cs="Arial"/>
          <w:b/>
          <w:bCs/>
          <w:color w:val="000000" w:themeColor="text1"/>
          <w:sz w:val="20"/>
          <w:szCs w:val="20"/>
        </w:rPr>
        <w:t>Adjusted mean performance of 22 garden pea genotypes for Pod Length across Environment I (E1), Environment II (E2), and Environment III (E3)</w:t>
      </w:r>
      <w:bookmarkEnd w:id="23"/>
      <w:r w:rsidR="0089572B">
        <w:rPr>
          <w:rFonts w:ascii="Arial" w:hAnsi="Arial" w:cs="Arial"/>
          <w:b/>
          <w:bCs/>
          <w:color w:val="000000" w:themeColor="text1"/>
          <w:sz w:val="20"/>
          <w:szCs w:val="20"/>
        </w:rPr>
        <w:t xml:space="preserve">. </w:t>
      </w:r>
      <w:r w:rsidR="0089572B" w:rsidRPr="0089572B">
        <w:rPr>
          <w:rFonts w:ascii="Arial" w:hAnsi="Arial" w:cs="Arial"/>
          <w:b/>
          <w:bCs/>
          <w:sz w:val="20"/>
          <w:szCs w:val="20"/>
        </w:rPr>
        <w:t>Error bars represent ± Standard Error (SE).</w:t>
      </w:r>
    </w:p>
    <w:p w14:paraId="5724F6F3" w14:textId="77777777" w:rsidR="00BD42F6" w:rsidRPr="008C5FCA" w:rsidRDefault="00BD42F6" w:rsidP="00BD42F6">
      <w:pPr>
        <w:pStyle w:val="p1"/>
        <w:rPr>
          <w:rFonts w:ascii="Arial" w:hAnsi="Arial" w:cs="Arial"/>
          <w:b/>
          <w:bCs/>
          <w:color w:val="000000" w:themeColor="text1"/>
          <w:sz w:val="20"/>
          <w:szCs w:val="20"/>
        </w:rPr>
      </w:pPr>
    </w:p>
    <w:p w14:paraId="4022A809" w14:textId="77777777" w:rsidR="008C5FCA" w:rsidRPr="003F7D2C" w:rsidRDefault="008C5FCA" w:rsidP="008C5FCA">
      <w:pPr>
        <w:pStyle w:val="NormalWeb"/>
        <w:jc w:val="both"/>
        <w:rPr>
          <w:rFonts w:ascii="Arial" w:hAnsi="Arial" w:cs="Arial"/>
          <w:color w:val="000000" w:themeColor="text1"/>
          <w:sz w:val="20"/>
          <w:szCs w:val="20"/>
        </w:rPr>
      </w:pPr>
      <w:bookmarkStart w:id="24" w:name="OLE_LINK126"/>
      <w:bookmarkStart w:id="25" w:name="OLE_LINK125"/>
      <w:r w:rsidRPr="003F7D2C">
        <w:rPr>
          <w:rFonts w:ascii="Arial" w:hAnsi="Arial" w:cs="Arial"/>
          <w:color w:val="000000" w:themeColor="text1"/>
          <w:sz w:val="20"/>
          <w:szCs w:val="20"/>
        </w:rPr>
        <w:t>Average pod weight decreased by approximately 14.20% in E1 and 65.86% in E3 compared to the control (E2), showing that terminal heat stress had a much stronger effect on pod filling and weight</w:t>
      </w:r>
      <w:r w:rsidR="003F7D2C" w:rsidRPr="003F7D2C">
        <w:rPr>
          <w:rFonts w:ascii="Arial" w:hAnsi="Arial" w:cs="Arial"/>
          <w:color w:val="000000" w:themeColor="text1"/>
          <w:sz w:val="20"/>
          <w:szCs w:val="20"/>
        </w:rPr>
        <w:t>.</w:t>
      </w:r>
      <w:r w:rsidR="003F7D2C" w:rsidRPr="003F7D2C">
        <w:rPr>
          <w:rFonts w:ascii="Arial" w:hAnsi="Arial" w:cs="Arial"/>
          <w:sz w:val="20"/>
          <w:szCs w:val="20"/>
        </w:rPr>
        <w:t xml:space="preserve"> High temperature reduces net photosynthetic rate and increases photorespiration, leading to lower carbohydrate production and partitioning to pods. Heat stress also triggers altered membrane integrity and enzyme activity, further limiting assimilate flow to reproductive sinks (Haldimann &amp; Feller, 2005; Guilioni </w:t>
      </w:r>
      <w:r w:rsidR="003F7D2C" w:rsidRPr="00C24D50">
        <w:rPr>
          <w:rFonts w:ascii="Arial" w:hAnsi="Arial" w:cs="Arial"/>
          <w:i/>
          <w:iCs/>
          <w:sz w:val="20"/>
          <w:szCs w:val="20"/>
        </w:rPr>
        <w:t>et al.,</w:t>
      </w:r>
      <w:r w:rsidR="003F7D2C" w:rsidRPr="003F7D2C">
        <w:rPr>
          <w:rFonts w:ascii="Arial" w:hAnsi="Arial" w:cs="Arial"/>
          <w:sz w:val="20"/>
          <w:szCs w:val="20"/>
        </w:rPr>
        <w:t xml:space="preserve"> 2003; Devi </w:t>
      </w:r>
      <w:r w:rsidR="003F7D2C" w:rsidRPr="00C24D50">
        <w:rPr>
          <w:rFonts w:ascii="Arial" w:hAnsi="Arial" w:cs="Arial"/>
          <w:i/>
          <w:iCs/>
          <w:sz w:val="20"/>
          <w:szCs w:val="20"/>
        </w:rPr>
        <w:t>et al.,</w:t>
      </w:r>
      <w:r w:rsidR="003F7D2C" w:rsidRPr="003F7D2C">
        <w:rPr>
          <w:rFonts w:ascii="Arial" w:hAnsi="Arial" w:cs="Arial"/>
          <w:sz w:val="20"/>
          <w:szCs w:val="20"/>
        </w:rPr>
        <w:t xml:space="preserve"> 2022). This explains the larger decline under terminal stress.</w:t>
      </w:r>
      <w:r w:rsidRPr="003F7D2C">
        <w:rPr>
          <w:rFonts w:ascii="Arial" w:hAnsi="Arial" w:cs="Arial"/>
          <w:color w:val="000000" w:themeColor="text1"/>
          <w:sz w:val="20"/>
          <w:szCs w:val="20"/>
        </w:rPr>
        <w:t xml:space="preserve"> In contrast, the relatively smaller reduction under pre-flowering stress suggests some recovery before the onset of pod development. </w:t>
      </w:r>
    </w:p>
    <w:bookmarkEnd w:id="24"/>
    <w:bookmarkEnd w:id="25"/>
    <w:p w14:paraId="0C95405B" w14:textId="77777777" w:rsidR="00D27150" w:rsidRPr="008C5FCA" w:rsidRDefault="000461FA" w:rsidP="0098568E">
      <w:pPr>
        <w:spacing w:before="100" w:beforeAutospacing="1" w:after="100" w:afterAutospacing="1"/>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7C6AE845" wp14:editId="604B132A">
            <wp:extent cx="5212080" cy="2440940"/>
            <wp:effectExtent l="0" t="0" r="0" b="0"/>
            <wp:docPr id="20289444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44473" name="Picture 202894447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2440940"/>
                    </a:xfrm>
                    <a:prstGeom prst="rect">
                      <a:avLst/>
                    </a:prstGeom>
                  </pic:spPr>
                </pic:pic>
              </a:graphicData>
            </a:graphic>
          </wp:inline>
        </w:drawing>
      </w:r>
    </w:p>
    <w:p w14:paraId="54D2A9CA" w14:textId="77777777" w:rsidR="00D27150" w:rsidRPr="0089572B" w:rsidRDefault="00D27150" w:rsidP="00D27150">
      <w:pPr>
        <w:pStyle w:val="p1"/>
        <w:rPr>
          <w:rFonts w:ascii="Arial" w:hAnsi="Arial" w:cs="Arial"/>
          <w:b/>
          <w:bCs/>
          <w:color w:val="000000" w:themeColor="text1"/>
          <w:sz w:val="20"/>
          <w:szCs w:val="20"/>
        </w:rPr>
      </w:pPr>
      <w:r w:rsidRPr="008C5FCA">
        <w:rPr>
          <w:rFonts w:ascii="Arial" w:hAnsi="Arial" w:cs="Arial"/>
          <w:b/>
          <w:bCs/>
          <w:color w:val="000000" w:themeColor="text1"/>
          <w:sz w:val="20"/>
          <w:szCs w:val="20"/>
        </w:rPr>
        <w:t>Fig. 8:</w:t>
      </w:r>
      <w:r w:rsidRPr="008C5FCA">
        <w:rPr>
          <w:rFonts w:ascii="Arial" w:hAnsi="Arial" w:cs="Arial"/>
          <w:color w:val="000000" w:themeColor="text1"/>
          <w:sz w:val="20"/>
          <w:szCs w:val="20"/>
        </w:rPr>
        <w:t xml:space="preserve"> </w:t>
      </w:r>
      <w:r w:rsidRPr="008C5FCA">
        <w:rPr>
          <w:rFonts w:ascii="Arial" w:hAnsi="Arial" w:cs="Arial"/>
          <w:b/>
          <w:bCs/>
          <w:color w:val="000000" w:themeColor="text1"/>
          <w:sz w:val="20"/>
          <w:szCs w:val="20"/>
        </w:rPr>
        <w:t xml:space="preserve">Adjusted mean performance of 22 garden pea genotypes for </w:t>
      </w:r>
      <w:r w:rsidR="0086347A" w:rsidRPr="008C5FCA">
        <w:rPr>
          <w:rFonts w:ascii="Arial" w:hAnsi="Arial" w:cs="Arial"/>
          <w:b/>
          <w:bCs/>
          <w:color w:val="000000" w:themeColor="text1"/>
          <w:sz w:val="20"/>
          <w:szCs w:val="20"/>
        </w:rPr>
        <w:t>Average Pod Weight</w:t>
      </w:r>
      <w:r w:rsidRPr="008C5FCA">
        <w:rPr>
          <w:rFonts w:ascii="Arial" w:hAnsi="Arial" w:cs="Arial"/>
          <w:b/>
          <w:bCs/>
          <w:color w:val="000000" w:themeColor="text1"/>
          <w:sz w:val="20"/>
          <w:szCs w:val="20"/>
        </w:rPr>
        <w:t xml:space="preserve"> across Environment I (E1), Environment II (E2), and Environment III (E3)</w:t>
      </w:r>
      <w:r w:rsidR="0089572B">
        <w:rPr>
          <w:rFonts w:ascii="Arial" w:hAnsi="Arial" w:cs="Arial"/>
          <w:b/>
          <w:bCs/>
          <w:color w:val="000000" w:themeColor="text1"/>
          <w:sz w:val="20"/>
          <w:szCs w:val="20"/>
        </w:rPr>
        <w:t xml:space="preserve">. </w:t>
      </w:r>
      <w:bookmarkStart w:id="26" w:name="OLE_LINK1"/>
      <w:r w:rsidR="0089572B" w:rsidRPr="0089572B">
        <w:rPr>
          <w:rFonts w:ascii="Arial" w:hAnsi="Arial" w:cs="Arial"/>
          <w:b/>
          <w:bCs/>
          <w:sz w:val="20"/>
          <w:szCs w:val="20"/>
        </w:rPr>
        <w:t>Error bars represent ± Standard Error (SE).</w:t>
      </w:r>
    </w:p>
    <w:bookmarkEnd w:id="26"/>
    <w:p w14:paraId="30C89635" w14:textId="77777777" w:rsidR="0098568E" w:rsidRPr="00A15A1A" w:rsidRDefault="0098568E" w:rsidP="0098568E">
      <w:pPr>
        <w:spacing w:before="100" w:beforeAutospacing="1" w:after="100" w:afterAutospacing="1"/>
        <w:jc w:val="both"/>
        <w:outlineLvl w:val="2"/>
        <w:rPr>
          <w:rFonts w:ascii="Arial" w:hAnsi="Arial" w:cs="Arial"/>
          <w:b/>
          <w:bCs/>
          <w:color w:val="000000" w:themeColor="text1"/>
          <w:sz w:val="22"/>
          <w:szCs w:val="22"/>
        </w:rPr>
      </w:pPr>
      <w:r w:rsidRPr="00A15A1A">
        <w:rPr>
          <w:rFonts w:ascii="Arial" w:hAnsi="Arial" w:cs="Arial"/>
          <w:b/>
          <w:bCs/>
          <w:color w:val="000000" w:themeColor="text1"/>
          <w:sz w:val="22"/>
          <w:szCs w:val="22"/>
        </w:rPr>
        <w:lastRenderedPageBreak/>
        <w:t>3.</w:t>
      </w:r>
      <w:r w:rsidR="00974C4C" w:rsidRPr="00A15A1A">
        <w:rPr>
          <w:rFonts w:ascii="Arial" w:hAnsi="Arial" w:cs="Arial"/>
          <w:b/>
          <w:bCs/>
          <w:color w:val="000000" w:themeColor="text1"/>
          <w:sz w:val="22"/>
          <w:szCs w:val="22"/>
        </w:rPr>
        <w:t>9</w:t>
      </w:r>
      <w:r w:rsidRPr="00A15A1A">
        <w:rPr>
          <w:rFonts w:ascii="Arial" w:hAnsi="Arial" w:cs="Arial"/>
          <w:b/>
          <w:bCs/>
          <w:color w:val="000000" w:themeColor="text1"/>
          <w:sz w:val="22"/>
          <w:szCs w:val="22"/>
        </w:rPr>
        <w:t xml:space="preserve"> Pod Weight per Plant</w:t>
      </w:r>
      <w:r w:rsidR="00A77CFA" w:rsidRPr="00A15A1A">
        <w:rPr>
          <w:rFonts w:ascii="Arial" w:hAnsi="Arial" w:cs="Arial"/>
          <w:b/>
          <w:bCs/>
          <w:color w:val="000000" w:themeColor="text1"/>
          <w:sz w:val="22"/>
          <w:szCs w:val="22"/>
        </w:rPr>
        <w:t xml:space="preserve"> (g)</w:t>
      </w:r>
    </w:p>
    <w:p w14:paraId="1A373158" w14:textId="77777777" w:rsidR="00A15A1A" w:rsidRPr="00A15A1A" w:rsidRDefault="00A15A1A" w:rsidP="00A15A1A">
      <w:pPr>
        <w:pStyle w:val="NormalWeb"/>
        <w:jc w:val="both"/>
        <w:rPr>
          <w:rFonts w:ascii="Arial" w:hAnsi="Arial" w:cs="Arial"/>
          <w:color w:val="000000" w:themeColor="text1"/>
          <w:sz w:val="20"/>
          <w:szCs w:val="20"/>
        </w:rPr>
      </w:pPr>
      <w:r w:rsidRPr="00A15A1A">
        <w:rPr>
          <w:rFonts w:ascii="Arial" w:hAnsi="Arial" w:cs="Arial"/>
          <w:color w:val="000000" w:themeColor="text1"/>
          <w:sz w:val="20"/>
          <w:szCs w:val="20"/>
        </w:rPr>
        <w:t>Pod weight per plant was significantly influenced by environmental conditions. The mean value was 63.36 g in E1, with 9 genotypes exceeding the mean. Under favourable conditions (E2), the mean increased to 69.11 g, with improved biomass partitioning towards pods. In contrast, under terminal heat stress (E3), the mean declined sharply to 7.19 g, with 10 genotypes performing above the mean. The comparative response</w:t>
      </w:r>
      <w:r>
        <w:rPr>
          <w:rFonts w:ascii="Arial" w:hAnsi="Arial" w:cs="Arial"/>
          <w:color w:val="000000" w:themeColor="text1"/>
          <w:sz w:val="20"/>
          <w:szCs w:val="20"/>
        </w:rPr>
        <w:t xml:space="preserve"> </w:t>
      </w:r>
      <w:r w:rsidRPr="00A15A1A">
        <w:rPr>
          <w:rFonts w:ascii="Arial" w:hAnsi="Arial" w:cs="Arial"/>
          <w:color w:val="000000" w:themeColor="text1"/>
          <w:sz w:val="20"/>
          <w:szCs w:val="20"/>
        </w:rPr>
        <w:t>of genotypic performance under different heat stress regimes is depicted in Fig. 9.</w:t>
      </w:r>
    </w:p>
    <w:p w14:paraId="526CB863" w14:textId="77777777" w:rsidR="00A15A1A" w:rsidRPr="00A15A1A" w:rsidRDefault="00A15A1A" w:rsidP="00A15A1A">
      <w:pPr>
        <w:pStyle w:val="NormalWeb"/>
        <w:jc w:val="both"/>
        <w:rPr>
          <w:rFonts w:ascii="Arial" w:hAnsi="Arial" w:cs="Arial"/>
          <w:color w:val="000000" w:themeColor="text1"/>
          <w:sz w:val="20"/>
          <w:szCs w:val="20"/>
        </w:rPr>
      </w:pPr>
      <w:r w:rsidRPr="00A15A1A">
        <w:rPr>
          <w:rFonts w:ascii="Arial" w:hAnsi="Arial" w:cs="Arial"/>
          <w:color w:val="000000" w:themeColor="text1"/>
          <w:sz w:val="20"/>
          <w:szCs w:val="20"/>
        </w:rPr>
        <w:t>Pod weight per plant decreased by approximately 8.32% in E1 and 89.60% in E3 compared to the control (E2), clearly indicating that terminal heat stress had a drastic impact on overall productivity.</w:t>
      </w:r>
      <w:r w:rsidRPr="003F7D2C">
        <w:rPr>
          <w:rFonts w:ascii="Arial" w:hAnsi="Arial" w:cs="Arial"/>
          <w:color w:val="000000" w:themeColor="text1"/>
          <w:sz w:val="20"/>
          <w:szCs w:val="20"/>
        </w:rPr>
        <w:t xml:space="preserve"> </w:t>
      </w:r>
      <w:r w:rsidR="003F7D2C" w:rsidRPr="003F7D2C">
        <w:rPr>
          <w:rFonts w:ascii="Arial" w:hAnsi="Arial" w:cs="Arial"/>
          <w:sz w:val="20"/>
          <w:szCs w:val="20"/>
        </w:rPr>
        <w:t xml:space="preserve">The dramatic reduction under terminal heat stress reflects compounding effects of reduced pod set, lower seed numbers, and impaired assimilate translocation under high temperatures. These processes are known to be particularly sensitive during reproductive development due to disrupted pollination, reduced seed filling, and metabolic depression (Mohapatra </w:t>
      </w:r>
      <w:r w:rsidR="003F7D2C" w:rsidRPr="00C24D50">
        <w:rPr>
          <w:rFonts w:ascii="Arial" w:hAnsi="Arial" w:cs="Arial"/>
          <w:i/>
          <w:iCs/>
          <w:sz w:val="20"/>
          <w:szCs w:val="20"/>
        </w:rPr>
        <w:t>et al.,</w:t>
      </w:r>
      <w:r w:rsidR="003F7D2C" w:rsidRPr="003F7D2C">
        <w:rPr>
          <w:rFonts w:ascii="Arial" w:hAnsi="Arial" w:cs="Arial"/>
          <w:sz w:val="20"/>
          <w:szCs w:val="20"/>
        </w:rPr>
        <w:t xml:space="preserve"> 2020; Lamichaney </w:t>
      </w:r>
      <w:r w:rsidR="003F7D2C" w:rsidRPr="00C24D50">
        <w:rPr>
          <w:rFonts w:ascii="Arial" w:hAnsi="Arial" w:cs="Arial"/>
          <w:i/>
          <w:iCs/>
          <w:sz w:val="20"/>
          <w:szCs w:val="20"/>
        </w:rPr>
        <w:t>et al.,</w:t>
      </w:r>
      <w:r w:rsidR="003F7D2C" w:rsidRPr="003F7D2C">
        <w:rPr>
          <w:rFonts w:ascii="Arial" w:hAnsi="Arial" w:cs="Arial"/>
          <w:sz w:val="20"/>
          <w:szCs w:val="20"/>
        </w:rPr>
        <w:t xml:space="preserve"> 2021; Devi </w:t>
      </w:r>
      <w:r w:rsidR="003F7D2C" w:rsidRPr="00C24D50">
        <w:rPr>
          <w:rFonts w:ascii="Arial" w:hAnsi="Arial" w:cs="Arial"/>
          <w:i/>
          <w:iCs/>
          <w:sz w:val="20"/>
          <w:szCs w:val="20"/>
        </w:rPr>
        <w:t>et al.,</w:t>
      </w:r>
      <w:r w:rsidR="003F7D2C" w:rsidRPr="003F7D2C">
        <w:rPr>
          <w:rFonts w:ascii="Arial" w:hAnsi="Arial" w:cs="Arial"/>
          <w:sz w:val="20"/>
          <w:szCs w:val="20"/>
        </w:rPr>
        <w:t xml:space="preserve"> 2022). </w:t>
      </w:r>
      <w:r w:rsidRPr="00A15A1A">
        <w:rPr>
          <w:rFonts w:ascii="Arial" w:hAnsi="Arial" w:cs="Arial"/>
          <w:color w:val="000000" w:themeColor="text1"/>
          <w:sz w:val="20"/>
          <w:szCs w:val="20"/>
        </w:rPr>
        <w:t xml:space="preserve">In contrast, the relatively smaller reduction under pre-flowering stress indicates that plants are able to partially recover before the onset of reproductive development. </w:t>
      </w:r>
    </w:p>
    <w:p w14:paraId="2FEA8961" w14:textId="77777777" w:rsidR="00D27150" w:rsidRPr="008C5FCA" w:rsidRDefault="003F7D2C" w:rsidP="0098568E">
      <w:pPr>
        <w:spacing w:before="100" w:beforeAutospacing="1" w:after="100" w:afterAutospacing="1"/>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454135FD" wp14:editId="0369EE6A">
            <wp:extent cx="5212080" cy="2440940"/>
            <wp:effectExtent l="0" t="0" r="0" b="0"/>
            <wp:docPr id="2058091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09195" name="Picture 20580919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2440940"/>
                    </a:xfrm>
                    <a:prstGeom prst="rect">
                      <a:avLst/>
                    </a:prstGeom>
                  </pic:spPr>
                </pic:pic>
              </a:graphicData>
            </a:graphic>
          </wp:inline>
        </w:drawing>
      </w:r>
    </w:p>
    <w:p w14:paraId="53A518CB" w14:textId="77777777" w:rsidR="00D27150" w:rsidRPr="008C5FCA" w:rsidRDefault="00D27150" w:rsidP="00D27150">
      <w:pPr>
        <w:pStyle w:val="p1"/>
        <w:rPr>
          <w:rFonts w:ascii="Arial" w:hAnsi="Arial" w:cs="Arial"/>
          <w:b/>
          <w:bCs/>
          <w:color w:val="000000" w:themeColor="text1"/>
          <w:sz w:val="20"/>
          <w:szCs w:val="20"/>
        </w:rPr>
      </w:pPr>
      <w:r w:rsidRPr="008C5FCA">
        <w:rPr>
          <w:rFonts w:ascii="Arial" w:hAnsi="Arial" w:cs="Arial"/>
          <w:b/>
          <w:bCs/>
          <w:color w:val="000000" w:themeColor="text1"/>
          <w:sz w:val="20"/>
          <w:szCs w:val="20"/>
        </w:rPr>
        <w:t>Fig. 9:</w:t>
      </w:r>
      <w:r w:rsidRPr="008C5FCA">
        <w:rPr>
          <w:rFonts w:ascii="Arial" w:hAnsi="Arial" w:cs="Arial"/>
          <w:color w:val="000000" w:themeColor="text1"/>
          <w:sz w:val="20"/>
          <w:szCs w:val="20"/>
        </w:rPr>
        <w:t xml:space="preserve"> </w:t>
      </w:r>
      <w:r w:rsidRPr="008C5FCA">
        <w:rPr>
          <w:rFonts w:ascii="Arial" w:hAnsi="Arial" w:cs="Arial"/>
          <w:b/>
          <w:bCs/>
          <w:color w:val="000000" w:themeColor="text1"/>
          <w:sz w:val="20"/>
          <w:szCs w:val="20"/>
        </w:rPr>
        <w:t xml:space="preserve">Adjusted mean performance of 22 garden pea genotypes for Pod </w:t>
      </w:r>
      <w:r w:rsidR="006B7155" w:rsidRPr="008C5FCA">
        <w:rPr>
          <w:rFonts w:ascii="Arial" w:hAnsi="Arial" w:cs="Arial"/>
          <w:b/>
          <w:bCs/>
          <w:color w:val="000000" w:themeColor="text1"/>
          <w:sz w:val="20"/>
          <w:szCs w:val="20"/>
        </w:rPr>
        <w:t xml:space="preserve">weight per plant </w:t>
      </w:r>
      <w:r w:rsidRPr="008C5FCA">
        <w:rPr>
          <w:rFonts w:ascii="Arial" w:hAnsi="Arial" w:cs="Arial"/>
          <w:b/>
          <w:bCs/>
          <w:color w:val="000000" w:themeColor="text1"/>
          <w:sz w:val="20"/>
          <w:szCs w:val="20"/>
        </w:rPr>
        <w:t>across Environment I (E1), Environment II (E2), and Environment III (E3)</w:t>
      </w:r>
      <w:r w:rsidR="0089572B">
        <w:rPr>
          <w:rFonts w:ascii="Arial" w:hAnsi="Arial" w:cs="Arial"/>
          <w:b/>
          <w:bCs/>
          <w:color w:val="000000" w:themeColor="text1"/>
          <w:sz w:val="20"/>
          <w:szCs w:val="20"/>
        </w:rPr>
        <w:t xml:space="preserve">. </w:t>
      </w:r>
      <w:r w:rsidR="0089572B" w:rsidRPr="0089572B">
        <w:rPr>
          <w:rFonts w:ascii="Arial" w:hAnsi="Arial" w:cs="Arial"/>
          <w:b/>
          <w:bCs/>
          <w:sz w:val="20"/>
          <w:szCs w:val="20"/>
        </w:rPr>
        <w:t>Error bars represent ± Standard Error (SE).</w:t>
      </w:r>
    </w:p>
    <w:p w14:paraId="7FB4F351" w14:textId="77777777" w:rsidR="006B7155" w:rsidRPr="008C5FCA" w:rsidRDefault="006B7155" w:rsidP="006B7155">
      <w:pPr>
        <w:pStyle w:val="Heading3"/>
        <w:jc w:val="both"/>
        <w:rPr>
          <w:rFonts w:ascii="Arial" w:hAnsi="Arial" w:cs="Arial"/>
          <w:b/>
          <w:bCs/>
          <w:color w:val="000000" w:themeColor="text1"/>
          <w:sz w:val="20"/>
          <w:szCs w:val="20"/>
        </w:rPr>
      </w:pPr>
    </w:p>
    <w:bookmarkEnd w:id="14"/>
    <w:p w14:paraId="5BE766E1" w14:textId="77777777" w:rsidR="00EB2A64" w:rsidRPr="008C5FCA" w:rsidRDefault="0016044F" w:rsidP="004A0A2B">
      <w:pPr>
        <w:pStyle w:val="Heading3"/>
        <w:jc w:val="both"/>
        <w:rPr>
          <w:rFonts w:ascii="Arial" w:hAnsi="Arial" w:cs="Arial"/>
          <w:b/>
          <w:bCs/>
          <w:color w:val="000000" w:themeColor="text1"/>
          <w:sz w:val="20"/>
          <w:szCs w:val="20"/>
        </w:rPr>
      </w:pPr>
      <w:r w:rsidRPr="008C5FCA">
        <w:rPr>
          <w:rFonts w:ascii="Arial" w:hAnsi="Arial" w:cs="Arial"/>
          <w:b/>
          <w:bCs/>
          <w:color w:val="000000" w:themeColor="text1"/>
          <w:sz w:val="20"/>
          <w:szCs w:val="20"/>
        </w:rPr>
        <w:t xml:space="preserve">4. </w:t>
      </w:r>
      <w:bookmarkStart w:id="27" w:name="OLE_LINK8"/>
      <w:r w:rsidR="00EB2A64" w:rsidRPr="008C5FCA">
        <w:rPr>
          <w:rFonts w:ascii="Arial" w:hAnsi="Arial" w:cs="Arial"/>
          <w:b/>
          <w:bCs/>
          <w:color w:val="000000" w:themeColor="text1"/>
          <w:sz w:val="20"/>
          <w:szCs w:val="20"/>
        </w:rPr>
        <w:t>C</w:t>
      </w:r>
      <w:r w:rsidR="00D27150" w:rsidRPr="008C5FCA">
        <w:rPr>
          <w:rFonts w:ascii="Arial" w:hAnsi="Arial" w:cs="Arial"/>
          <w:b/>
          <w:bCs/>
          <w:color w:val="000000" w:themeColor="text1"/>
          <w:sz w:val="20"/>
          <w:szCs w:val="20"/>
        </w:rPr>
        <w:t>ONCLUSIONS</w:t>
      </w:r>
    </w:p>
    <w:bookmarkEnd w:id="15"/>
    <w:bookmarkEnd w:id="27"/>
    <w:p w14:paraId="5762BAB3" w14:textId="77777777" w:rsidR="00B17619" w:rsidRPr="00B17619" w:rsidRDefault="00B17619" w:rsidP="00B17619">
      <w:pPr>
        <w:pStyle w:val="NormalWeb"/>
        <w:jc w:val="both"/>
        <w:rPr>
          <w:rFonts w:ascii="Arial" w:hAnsi="Arial" w:cs="Arial"/>
          <w:sz w:val="20"/>
          <w:szCs w:val="20"/>
        </w:rPr>
      </w:pPr>
      <w:r w:rsidRPr="00B17619">
        <w:rPr>
          <w:rFonts w:ascii="Arial" w:hAnsi="Arial" w:cs="Arial"/>
          <w:sz w:val="20"/>
          <w:szCs w:val="20"/>
        </w:rPr>
        <w:t xml:space="preserve">The study clearly demonstrated that the timing of heat stress plays a decisive role in determining the performance of garden pea genotypes. </w:t>
      </w:r>
      <w:r w:rsidRPr="00B17619">
        <w:rPr>
          <w:rStyle w:val="Strong"/>
          <w:rFonts w:ascii="Arial" w:hAnsi="Arial" w:cs="Arial"/>
          <w:b w:val="0"/>
          <w:bCs w:val="0"/>
          <w:sz w:val="20"/>
          <w:szCs w:val="20"/>
        </w:rPr>
        <w:t>Pre-flowering heat stress (E1)</w:t>
      </w:r>
      <w:r w:rsidRPr="00B17619">
        <w:rPr>
          <w:rFonts w:ascii="Arial" w:hAnsi="Arial" w:cs="Arial"/>
          <w:sz w:val="20"/>
          <w:szCs w:val="20"/>
        </w:rPr>
        <w:t xml:space="preserve"> primarily accelerated phenological development, leading to a reduction in days to 50% flowering and moderate decreases in vegetative growth and yield-related traits. In contrast, </w:t>
      </w:r>
      <w:r w:rsidRPr="00B17619">
        <w:rPr>
          <w:rStyle w:val="Strong"/>
          <w:rFonts w:ascii="Arial" w:hAnsi="Arial" w:cs="Arial"/>
          <w:b w:val="0"/>
          <w:bCs w:val="0"/>
          <w:sz w:val="20"/>
          <w:szCs w:val="20"/>
        </w:rPr>
        <w:t>terminal heat stress (E3)</w:t>
      </w:r>
      <w:r w:rsidRPr="00B17619">
        <w:rPr>
          <w:rFonts w:ascii="Arial" w:hAnsi="Arial" w:cs="Arial"/>
          <w:sz w:val="20"/>
          <w:szCs w:val="20"/>
        </w:rPr>
        <w:t xml:space="preserve"> during pod development and seed maturation caused severe reductions across all reproductive traits, including number of pods per plant, number of seeds per pod, pod size, average pod weight, and overall pod yield per plant, highlighting the reproductive stage as the most sensitive phase to elevated temperatures.</w:t>
      </w:r>
    </w:p>
    <w:p w14:paraId="01A153A0" w14:textId="77777777" w:rsidR="00B17619" w:rsidRPr="00B17619" w:rsidRDefault="00B17619" w:rsidP="00B17619">
      <w:pPr>
        <w:pStyle w:val="NormalWeb"/>
        <w:jc w:val="both"/>
        <w:rPr>
          <w:rFonts w:ascii="Arial" w:hAnsi="Arial" w:cs="Arial"/>
          <w:sz w:val="20"/>
          <w:szCs w:val="20"/>
        </w:rPr>
      </w:pPr>
      <w:r w:rsidRPr="00B17619">
        <w:rPr>
          <w:rFonts w:ascii="Arial" w:hAnsi="Arial" w:cs="Arial"/>
          <w:sz w:val="20"/>
          <w:szCs w:val="20"/>
        </w:rPr>
        <w:lastRenderedPageBreak/>
        <w:t xml:space="preserve">Among the 22 genotypes that successfully completed their life cycle across all three environments, </w:t>
      </w:r>
      <w:r w:rsidRPr="00B17619">
        <w:rPr>
          <w:rStyle w:val="Strong"/>
          <w:rFonts w:ascii="Arial" w:hAnsi="Arial" w:cs="Arial"/>
          <w:b w:val="0"/>
          <w:bCs w:val="0"/>
          <w:sz w:val="20"/>
          <w:szCs w:val="20"/>
        </w:rPr>
        <w:t>PSM-151, PM-128, PSM-3, PSM-166, and PSM-221</w:t>
      </w:r>
      <w:r w:rsidRPr="00B17619">
        <w:rPr>
          <w:rFonts w:ascii="Arial" w:hAnsi="Arial" w:cs="Arial"/>
          <w:sz w:val="20"/>
          <w:szCs w:val="20"/>
        </w:rPr>
        <w:t xml:space="preserve"> consistently exhibited superior performance and stability under both early vegetative/pre-flowering and terminal heat stress conditions. These genotypes maintained relatively higher reproductive efficiency and yield components under stress, indicating their potential for use in heat-tolerant breeding programs aimed at improving climate resilience in garden pea.</w:t>
      </w:r>
    </w:p>
    <w:p w14:paraId="2511D880" w14:textId="77777777" w:rsidR="00B17619" w:rsidRPr="00B17619" w:rsidRDefault="00B17619" w:rsidP="00B17619">
      <w:pPr>
        <w:pStyle w:val="NormalWeb"/>
        <w:jc w:val="both"/>
        <w:rPr>
          <w:rFonts w:ascii="Arial" w:hAnsi="Arial" w:cs="Arial"/>
          <w:sz w:val="20"/>
          <w:szCs w:val="20"/>
        </w:rPr>
      </w:pPr>
      <w:r w:rsidRPr="00B17619">
        <w:rPr>
          <w:rFonts w:ascii="Arial" w:hAnsi="Arial" w:cs="Arial"/>
          <w:sz w:val="20"/>
          <w:szCs w:val="20"/>
        </w:rPr>
        <w:t xml:space="preserve">The findings underscore that </w:t>
      </w:r>
      <w:r w:rsidRPr="00B17619">
        <w:rPr>
          <w:rStyle w:val="Strong"/>
          <w:rFonts w:ascii="Arial" w:hAnsi="Arial" w:cs="Arial"/>
          <w:b w:val="0"/>
          <w:bCs w:val="0"/>
          <w:sz w:val="20"/>
          <w:szCs w:val="20"/>
        </w:rPr>
        <w:t>terminal heat stress is the most critical factor limiting productivity</w:t>
      </w:r>
      <w:r w:rsidRPr="00B17619">
        <w:rPr>
          <w:rFonts w:ascii="Arial" w:hAnsi="Arial" w:cs="Arial"/>
          <w:sz w:val="20"/>
          <w:szCs w:val="20"/>
        </w:rPr>
        <w:t>, while early vegetative and pre-flowering stress has moderate but still significant effects on plant development. Therefore, selection of genotypes capable of sustaining reproductive efficiency under high temperature conditions is essential for enhancing yield stability under changing climatic scenarios.</w:t>
      </w:r>
    </w:p>
    <w:p w14:paraId="38AB62E5" w14:textId="77777777" w:rsidR="00B17619" w:rsidRPr="00B17619" w:rsidRDefault="00B17619" w:rsidP="00B17619">
      <w:pPr>
        <w:pStyle w:val="NormalWeb"/>
        <w:jc w:val="both"/>
        <w:rPr>
          <w:rFonts w:ascii="Arial" w:hAnsi="Arial" w:cs="Arial"/>
          <w:sz w:val="20"/>
          <w:szCs w:val="20"/>
        </w:rPr>
      </w:pPr>
      <w:r w:rsidRPr="00B17619">
        <w:rPr>
          <w:rFonts w:ascii="Arial" w:hAnsi="Arial" w:cs="Arial"/>
          <w:sz w:val="20"/>
          <w:szCs w:val="20"/>
        </w:rPr>
        <w:t xml:space="preserve">Future research should focus on </w:t>
      </w:r>
      <w:r w:rsidRPr="00B17619">
        <w:rPr>
          <w:rStyle w:val="Strong"/>
          <w:rFonts w:ascii="Arial" w:hAnsi="Arial" w:cs="Arial"/>
          <w:b w:val="0"/>
          <w:bCs w:val="0"/>
          <w:sz w:val="20"/>
          <w:szCs w:val="20"/>
        </w:rPr>
        <w:t>multi-location evaluation</w:t>
      </w:r>
      <w:r w:rsidRPr="00B17619">
        <w:rPr>
          <w:rFonts w:ascii="Arial" w:hAnsi="Arial" w:cs="Arial"/>
          <w:sz w:val="20"/>
          <w:szCs w:val="20"/>
        </w:rPr>
        <w:t xml:space="preserve"> of these genotypes to capture broader environmental variability and confirm adaptability. Incorporating </w:t>
      </w:r>
      <w:r w:rsidRPr="00B17619">
        <w:rPr>
          <w:rStyle w:val="Strong"/>
          <w:rFonts w:ascii="Arial" w:hAnsi="Arial" w:cs="Arial"/>
          <w:b w:val="0"/>
          <w:bCs w:val="0"/>
          <w:sz w:val="20"/>
          <w:szCs w:val="20"/>
        </w:rPr>
        <w:t>genotype × environment interaction analysis using AMMI models</w:t>
      </w:r>
      <w:r w:rsidRPr="00B17619">
        <w:rPr>
          <w:rFonts w:ascii="Arial" w:hAnsi="Arial" w:cs="Arial"/>
          <w:sz w:val="20"/>
          <w:szCs w:val="20"/>
        </w:rPr>
        <w:t xml:space="preserve"> will allow for more reliable identification of stable and high-yielding genotypes. Additionally, </w:t>
      </w:r>
      <w:r w:rsidRPr="00B17619">
        <w:rPr>
          <w:rStyle w:val="Strong"/>
          <w:rFonts w:ascii="Arial" w:hAnsi="Arial" w:cs="Arial"/>
          <w:b w:val="0"/>
          <w:bCs w:val="0"/>
          <w:sz w:val="20"/>
          <w:szCs w:val="20"/>
        </w:rPr>
        <w:t>molecular and genomic studies</w:t>
      </w:r>
      <w:r w:rsidRPr="00B17619">
        <w:rPr>
          <w:rFonts w:ascii="Arial" w:hAnsi="Arial" w:cs="Arial"/>
          <w:sz w:val="20"/>
          <w:szCs w:val="20"/>
        </w:rPr>
        <w:t xml:space="preserve"> are warranted to elucidate the underlying physiological and genetic mechanisms of heat tolerance, supporting the development of improved breeding lines for climate-resilient pea cultivars.</w:t>
      </w:r>
    </w:p>
    <w:p w14:paraId="21FDB99B" w14:textId="77777777" w:rsidR="00382C07" w:rsidRPr="008C5FCA" w:rsidRDefault="00382C07" w:rsidP="00D27150">
      <w:pPr>
        <w:jc w:val="both"/>
        <w:rPr>
          <w:rFonts w:ascii="Arial" w:hAnsi="Arial" w:cs="Arial"/>
          <w:color w:val="000000" w:themeColor="text1"/>
          <w:sz w:val="20"/>
          <w:szCs w:val="20"/>
        </w:rPr>
      </w:pPr>
    </w:p>
    <w:p w14:paraId="1DC63957" w14:textId="77777777" w:rsidR="007318D2" w:rsidRPr="00440D72" w:rsidRDefault="007318D2" w:rsidP="007318D2">
      <w:pPr>
        <w:pStyle w:val="NoSpacing"/>
        <w:rPr>
          <w:rFonts w:ascii="Arial" w:hAnsi="Arial" w:cs="Arial"/>
          <w:b/>
          <w:bCs/>
          <w:color w:val="000000" w:themeColor="text1"/>
        </w:rPr>
      </w:pPr>
      <w:bookmarkStart w:id="28" w:name="_Hlk219284361"/>
      <w:bookmarkStart w:id="29" w:name="_Hlk225937769"/>
      <w:bookmarkStart w:id="30" w:name="_Hlk198031404"/>
      <w:r w:rsidRPr="00440D72">
        <w:rPr>
          <w:rFonts w:ascii="Arial" w:hAnsi="Arial" w:cs="Arial"/>
          <w:b/>
          <w:bCs/>
          <w:color w:val="000000" w:themeColor="text1"/>
        </w:rPr>
        <w:t>Disclaimer (Artificial intelligence)</w:t>
      </w:r>
    </w:p>
    <w:p w14:paraId="589283C3" w14:textId="77777777" w:rsidR="007318D2" w:rsidRPr="00B33670" w:rsidRDefault="007318D2" w:rsidP="007318D2">
      <w:pPr>
        <w:pStyle w:val="NoSpacing"/>
        <w:rPr>
          <w:rFonts w:ascii="Arial" w:hAnsi="Arial" w:cs="Arial"/>
          <w:b/>
          <w:bCs/>
          <w:color w:val="000000" w:themeColor="text1"/>
          <w:sz w:val="20"/>
          <w:szCs w:val="20"/>
        </w:rPr>
      </w:pPr>
    </w:p>
    <w:p w14:paraId="07D5C2C9" w14:textId="77777777" w:rsidR="007318D2" w:rsidRPr="008C5FCA" w:rsidRDefault="007318D2" w:rsidP="00482534">
      <w:pPr>
        <w:pStyle w:val="NoSpacing"/>
        <w:jc w:val="both"/>
        <w:rPr>
          <w:rFonts w:ascii="Arial" w:hAnsi="Arial" w:cs="Arial"/>
          <w:color w:val="000000" w:themeColor="text1"/>
          <w:sz w:val="20"/>
          <w:szCs w:val="20"/>
          <w:highlight w:val="yellow"/>
        </w:rPr>
      </w:pPr>
      <w:r w:rsidRPr="00B33670">
        <w:rPr>
          <w:rFonts w:ascii="Arial" w:hAnsi="Arial" w:cs="Arial"/>
          <w:color w:val="000000" w:themeColor="text1"/>
          <w:sz w:val="20"/>
          <w:szCs w:val="20"/>
        </w:rPr>
        <w:t>Author(s) hereby declare that NO generative AI technologies such as Large Language Models (ChatGPT, COPILOT, etc.) and text-to-image generators have been used during the writing or editing of this manuscript</w:t>
      </w:r>
      <w:bookmarkEnd w:id="28"/>
      <w:r w:rsidRPr="00B33670">
        <w:rPr>
          <w:rFonts w:ascii="Arial" w:hAnsi="Arial" w:cs="Arial"/>
          <w:color w:val="000000" w:themeColor="text1"/>
          <w:sz w:val="20"/>
          <w:szCs w:val="20"/>
        </w:rPr>
        <w:t xml:space="preserve">. </w:t>
      </w:r>
      <w:bookmarkEnd w:id="29"/>
    </w:p>
    <w:bookmarkEnd w:id="30"/>
    <w:p w14:paraId="2E9E3E8F" w14:textId="77777777" w:rsidR="00860000" w:rsidRPr="008C5FCA" w:rsidRDefault="00860000" w:rsidP="00441B6F">
      <w:pPr>
        <w:pStyle w:val="ReferHead"/>
        <w:spacing w:after="0"/>
        <w:jc w:val="both"/>
        <w:rPr>
          <w:rFonts w:ascii="Arial" w:hAnsi="Arial" w:cs="Arial"/>
          <w:b w:val="0"/>
          <w:caps w:val="0"/>
          <w:color w:val="000000" w:themeColor="text1"/>
          <w:sz w:val="20"/>
        </w:rPr>
      </w:pPr>
    </w:p>
    <w:p w14:paraId="07D2CDDE" w14:textId="77777777" w:rsidR="004A0A2B" w:rsidRPr="008C5FCA" w:rsidRDefault="004A0A2B" w:rsidP="00441B6F">
      <w:pPr>
        <w:pStyle w:val="ReferHead"/>
        <w:spacing w:after="0"/>
        <w:jc w:val="both"/>
        <w:rPr>
          <w:rFonts w:ascii="Arial" w:hAnsi="Arial" w:cs="Arial"/>
          <w:color w:val="000000" w:themeColor="text1"/>
          <w:sz w:val="20"/>
        </w:rPr>
      </w:pPr>
    </w:p>
    <w:p w14:paraId="3D306FED" w14:textId="77777777" w:rsidR="00790ADA" w:rsidRPr="008C5FCA" w:rsidRDefault="00B01FCD" w:rsidP="00E215D1">
      <w:pPr>
        <w:pStyle w:val="ReferHead"/>
        <w:spacing w:after="0"/>
        <w:jc w:val="both"/>
        <w:rPr>
          <w:rFonts w:ascii="Arial" w:hAnsi="Arial" w:cs="Arial"/>
          <w:color w:val="000000" w:themeColor="text1"/>
          <w:sz w:val="20"/>
        </w:rPr>
      </w:pPr>
      <w:bookmarkStart w:id="31" w:name="OLE_LINK16"/>
      <w:r w:rsidRPr="008C5FCA">
        <w:rPr>
          <w:rFonts w:ascii="Arial" w:hAnsi="Arial" w:cs="Arial"/>
          <w:color w:val="000000" w:themeColor="text1"/>
          <w:sz w:val="20"/>
        </w:rPr>
        <w:t>References</w:t>
      </w:r>
    </w:p>
    <w:p w14:paraId="0642AC5F" w14:textId="77777777" w:rsidR="00785225" w:rsidRPr="008C5FCA" w:rsidRDefault="00785225" w:rsidP="00E215D1">
      <w:pPr>
        <w:pStyle w:val="ReferHead"/>
        <w:spacing w:after="0"/>
        <w:jc w:val="both"/>
        <w:rPr>
          <w:rFonts w:ascii="Arial" w:hAnsi="Arial" w:cs="Arial"/>
          <w:color w:val="000000" w:themeColor="text1"/>
          <w:sz w:val="20"/>
        </w:rPr>
      </w:pPr>
    </w:p>
    <w:p w14:paraId="46DB60C0" w14:textId="77777777" w:rsidR="00E215D1" w:rsidRPr="008C5FCA" w:rsidRDefault="00E215D1"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 xml:space="preserve">Bueckert, R. A., Wagenhoffer, S., Hnatowich, G., and Warkentin, T. D. (2015). Effect of heat and precipitation on pea yield and reproductive performance in the field. </w:t>
      </w:r>
      <w:r w:rsidRPr="008C5FCA">
        <w:rPr>
          <w:rFonts w:ascii="Arial" w:hAnsi="Arial" w:cs="Arial"/>
          <w:i/>
          <w:iCs/>
          <w:color w:val="000000" w:themeColor="text1"/>
          <w:sz w:val="20"/>
          <w:szCs w:val="20"/>
        </w:rPr>
        <w:t>Canadian Journal of Plant Science</w:t>
      </w:r>
      <w:r w:rsidRPr="008C5FCA">
        <w:rPr>
          <w:rFonts w:ascii="Arial" w:hAnsi="Arial" w:cs="Arial"/>
          <w:color w:val="000000" w:themeColor="text1"/>
          <w:sz w:val="20"/>
          <w:szCs w:val="20"/>
        </w:rPr>
        <w:t>, 95(4), 629–639.</w:t>
      </w:r>
    </w:p>
    <w:p w14:paraId="691B6DFB" w14:textId="77777777" w:rsidR="00E215D1" w:rsidRPr="008C5FCA" w:rsidRDefault="00E215D1" w:rsidP="000770C4">
      <w:pPr>
        <w:jc w:val="both"/>
        <w:rPr>
          <w:rFonts w:ascii="Arial" w:hAnsi="Arial" w:cs="Arial"/>
          <w:color w:val="000000" w:themeColor="text1"/>
          <w:sz w:val="20"/>
          <w:szCs w:val="20"/>
        </w:rPr>
      </w:pPr>
      <w:r w:rsidRPr="008C5FCA">
        <w:rPr>
          <w:rFonts w:ascii="Arial" w:hAnsi="Arial" w:cs="Arial"/>
          <w:color w:val="000000" w:themeColor="text1"/>
          <w:sz w:val="20"/>
          <w:szCs w:val="20"/>
        </w:rPr>
        <w:t>Devi, M. J., Sinclair, T. R., and Jain, M. (2022). Heat stress effects on pea (</w:t>
      </w:r>
      <w:r w:rsidRPr="008C5FCA">
        <w:rPr>
          <w:rFonts w:ascii="Arial" w:hAnsi="Arial" w:cs="Arial"/>
          <w:i/>
          <w:iCs/>
          <w:color w:val="000000" w:themeColor="text1"/>
          <w:sz w:val="20"/>
          <w:szCs w:val="20"/>
        </w:rPr>
        <w:t>Pisum sativum</w:t>
      </w:r>
      <w:r w:rsidRPr="008C5FCA">
        <w:rPr>
          <w:rFonts w:ascii="Arial" w:hAnsi="Arial" w:cs="Arial"/>
          <w:color w:val="000000" w:themeColor="text1"/>
          <w:sz w:val="20"/>
          <w:szCs w:val="20"/>
        </w:rPr>
        <w:t xml:space="preserve"> L.) and its mitigation strategies: A review. </w:t>
      </w:r>
      <w:r w:rsidRPr="008C5FCA">
        <w:rPr>
          <w:rFonts w:ascii="Arial" w:hAnsi="Arial" w:cs="Arial"/>
          <w:i/>
          <w:iCs/>
          <w:color w:val="000000" w:themeColor="text1"/>
          <w:sz w:val="20"/>
          <w:szCs w:val="20"/>
        </w:rPr>
        <w:t>Frontiers in Plant Science</w:t>
      </w:r>
      <w:r w:rsidRPr="008C5FCA">
        <w:rPr>
          <w:rFonts w:ascii="Arial" w:hAnsi="Arial" w:cs="Arial"/>
          <w:color w:val="000000" w:themeColor="text1"/>
          <w:sz w:val="20"/>
          <w:szCs w:val="20"/>
        </w:rPr>
        <w:t xml:space="preserve">, 13, 1108276. </w:t>
      </w:r>
      <w:hyperlink r:id="rId22" w:tgtFrame="_new" w:history="1">
        <w:r w:rsidRPr="008C5FCA">
          <w:rPr>
            <w:rFonts w:ascii="Arial" w:hAnsi="Arial" w:cs="Arial"/>
            <w:color w:val="000000" w:themeColor="text1"/>
            <w:sz w:val="20"/>
            <w:szCs w:val="20"/>
            <w:u w:val="single"/>
          </w:rPr>
          <w:t>https://doi.org/10.3389/fpls.2022.1108276</w:t>
        </w:r>
      </w:hyperlink>
    </w:p>
    <w:p w14:paraId="5C5713EB" w14:textId="77777777" w:rsidR="00DD3976" w:rsidRPr="008C5FCA" w:rsidRDefault="00DD3976" w:rsidP="000770C4">
      <w:pPr>
        <w:jc w:val="both"/>
        <w:rPr>
          <w:rFonts w:ascii="Arial" w:hAnsi="Arial" w:cs="Arial"/>
          <w:color w:val="000000" w:themeColor="text1"/>
          <w:sz w:val="20"/>
          <w:szCs w:val="20"/>
        </w:rPr>
      </w:pPr>
    </w:p>
    <w:p w14:paraId="13A40121" w14:textId="77777777" w:rsidR="00E215D1" w:rsidRPr="008C5FCA" w:rsidRDefault="00E215D1"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 xml:space="preserve">FAOSTAT (2019). </w:t>
      </w:r>
      <w:r w:rsidRPr="008C5FCA">
        <w:rPr>
          <w:rFonts w:ascii="Arial" w:hAnsi="Arial" w:cs="Arial"/>
          <w:i/>
          <w:iCs/>
          <w:color w:val="000000" w:themeColor="text1"/>
          <w:sz w:val="20"/>
          <w:szCs w:val="20"/>
        </w:rPr>
        <w:t>2018 Food and Agriculture Data</w:t>
      </w:r>
      <w:r w:rsidRPr="008C5FCA">
        <w:rPr>
          <w:rFonts w:ascii="Arial" w:hAnsi="Arial" w:cs="Arial"/>
          <w:color w:val="000000" w:themeColor="text1"/>
          <w:sz w:val="20"/>
          <w:szCs w:val="20"/>
        </w:rPr>
        <w:t xml:space="preserve">. Retrieved from </w:t>
      </w:r>
      <w:hyperlink r:id="rId23" w:anchor="home" w:tgtFrame="_new" w:history="1">
        <w:r w:rsidRPr="008C5FCA">
          <w:rPr>
            <w:rFonts w:ascii="Arial" w:hAnsi="Arial" w:cs="Arial"/>
            <w:color w:val="000000" w:themeColor="text1"/>
            <w:sz w:val="20"/>
            <w:szCs w:val="20"/>
            <w:u w:val="single"/>
          </w:rPr>
          <w:t>http://www.fao.org/faostat/en/#home</w:t>
        </w:r>
      </w:hyperlink>
    </w:p>
    <w:p w14:paraId="15CC11E7" w14:textId="77777777" w:rsidR="00E215D1" w:rsidRPr="008C5FCA" w:rsidRDefault="00E215D1"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 xml:space="preserve">Federer, W. T. (1955). </w:t>
      </w:r>
      <w:r w:rsidRPr="008C5FCA">
        <w:rPr>
          <w:rFonts w:ascii="Arial" w:hAnsi="Arial" w:cs="Arial"/>
          <w:i/>
          <w:iCs/>
          <w:color w:val="000000" w:themeColor="text1"/>
          <w:sz w:val="20"/>
          <w:szCs w:val="20"/>
        </w:rPr>
        <w:t>Experimental Design: Theory and Application</w:t>
      </w:r>
      <w:r w:rsidRPr="008C5FCA">
        <w:rPr>
          <w:rFonts w:ascii="Arial" w:hAnsi="Arial" w:cs="Arial"/>
          <w:color w:val="000000" w:themeColor="text1"/>
          <w:sz w:val="20"/>
          <w:szCs w:val="20"/>
        </w:rPr>
        <w:t>. Macmillan.</w:t>
      </w:r>
    </w:p>
    <w:p w14:paraId="50D78643" w14:textId="77777777" w:rsidR="004C7B57" w:rsidRPr="008C5FCA" w:rsidRDefault="004C7B57"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 xml:space="preserve">Guilioni, L., Wery, J., and Lecoeur, J. (2003). High temperature and water deficit may reduce seed number in field pea purely by decreasing plant growth rate. </w:t>
      </w:r>
      <w:r w:rsidRPr="008C5FCA">
        <w:rPr>
          <w:rFonts w:ascii="Arial" w:hAnsi="Arial" w:cs="Arial"/>
          <w:i/>
          <w:iCs/>
          <w:color w:val="000000" w:themeColor="text1"/>
          <w:sz w:val="20"/>
          <w:szCs w:val="20"/>
        </w:rPr>
        <w:t>Functional Plant Biology</w:t>
      </w:r>
      <w:r w:rsidRPr="008C5FCA">
        <w:rPr>
          <w:rFonts w:ascii="Arial" w:hAnsi="Arial" w:cs="Arial"/>
          <w:color w:val="000000" w:themeColor="text1"/>
          <w:sz w:val="20"/>
          <w:szCs w:val="20"/>
        </w:rPr>
        <w:t>, 30(11), 1151–1164.</w:t>
      </w:r>
    </w:p>
    <w:p w14:paraId="77468CC8" w14:textId="77777777" w:rsidR="00E215D1" w:rsidRDefault="00E215D1"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 xml:space="preserve">Guilioni, L., Wery, J., and Tardieu, F. (1997). Heat stress-induced abortion of buds and flowers in pea: Is sensitivity linked to organ age or to relations between reproductive organs? </w:t>
      </w:r>
      <w:r w:rsidRPr="008C5FCA">
        <w:rPr>
          <w:rFonts w:ascii="Arial" w:hAnsi="Arial" w:cs="Arial"/>
          <w:i/>
          <w:iCs/>
          <w:color w:val="000000" w:themeColor="text1"/>
          <w:sz w:val="20"/>
          <w:szCs w:val="20"/>
        </w:rPr>
        <w:t>Annals of Botany</w:t>
      </w:r>
      <w:r w:rsidRPr="008C5FCA">
        <w:rPr>
          <w:rFonts w:ascii="Arial" w:hAnsi="Arial" w:cs="Arial"/>
          <w:color w:val="000000" w:themeColor="text1"/>
          <w:sz w:val="20"/>
          <w:szCs w:val="20"/>
        </w:rPr>
        <w:t>, 80(2), 159–168.</w:t>
      </w:r>
    </w:p>
    <w:p w14:paraId="6893C9B1" w14:textId="77777777" w:rsidR="00527917" w:rsidRPr="00527917" w:rsidRDefault="00527917" w:rsidP="000770C4">
      <w:pPr>
        <w:spacing w:after="100" w:afterAutospacing="1"/>
        <w:jc w:val="both"/>
        <w:rPr>
          <w:rFonts w:ascii="Arial" w:hAnsi="Arial" w:cs="Arial"/>
          <w:color w:val="000000" w:themeColor="text1"/>
          <w:sz w:val="20"/>
          <w:szCs w:val="20"/>
        </w:rPr>
      </w:pPr>
      <w:r w:rsidRPr="00527917">
        <w:rPr>
          <w:rFonts w:ascii="Arial" w:hAnsi="Arial" w:cs="Arial"/>
          <w:sz w:val="20"/>
          <w:szCs w:val="20"/>
        </w:rPr>
        <w:lastRenderedPageBreak/>
        <w:t>Haldimann, P., and Feller, U. (2005). Growth at moderately elevated temperature alters the physiological response of the photosynthetic apparatus to heat stress in pea (Pisum sativum L.) leaves. Plant, Cell and Environment, 28, 302–317. https://doi.org/10.1111/j.1365-3040.2005.01289.x</w:t>
      </w:r>
    </w:p>
    <w:p w14:paraId="08AD80DE" w14:textId="77777777" w:rsidR="00E215D1" w:rsidRPr="008C5FCA" w:rsidRDefault="00E215D1"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 xml:space="preserve">IPCC (2014). </w:t>
      </w:r>
      <w:r w:rsidRPr="008C5FCA">
        <w:rPr>
          <w:rFonts w:ascii="Arial" w:hAnsi="Arial" w:cs="Arial"/>
          <w:i/>
          <w:iCs/>
          <w:color w:val="000000" w:themeColor="text1"/>
          <w:sz w:val="20"/>
          <w:szCs w:val="20"/>
        </w:rPr>
        <w:t>Climate Change 2014: Synthesis Report</w:t>
      </w:r>
      <w:r w:rsidRPr="008C5FCA">
        <w:rPr>
          <w:rFonts w:ascii="Arial" w:hAnsi="Arial" w:cs="Arial"/>
          <w:color w:val="000000" w:themeColor="text1"/>
          <w:sz w:val="20"/>
          <w:szCs w:val="20"/>
        </w:rPr>
        <w:t>. Intergovernmental Panel on Climate Change.</w:t>
      </w:r>
    </w:p>
    <w:p w14:paraId="033577E7" w14:textId="77777777" w:rsidR="00E215D1" w:rsidRPr="008C5FCA" w:rsidRDefault="00E215D1"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Jeuffroy, M. H., Duthion, C., and Meynard, J. M. (1990). Effect of a short period of high day temperatures during flowering on the seed number per pod of pea (</w:t>
      </w:r>
      <w:r w:rsidRPr="008C5FCA">
        <w:rPr>
          <w:rFonts w:ascii="Arial" w:hAnsi="Arial" w:cs="Arial"/>
          <w:i/>
          <w:iCs/>
          <w:color w:val="000000" w:themeColor="text1"/>
          <w:sz w:val="20"/>
          <w:szCs w:val="20"/>
        </w:rPr>
        <w:t>Pisum sativum</w:t>
      </w:r>
      <w:r w:rsidRPr="008C5FCA">
        <w:rPr>
          <w:rFonts w:ascii="Arial" w:hAnsi="Arial" w:cs="Arial"/>
          <w:color w:val="000000" w:themeColor="text1"/>
          <w:sz w:val="20"/>
          <w:szCs w:val="20"/>
        </w:rPr>
        <w:t xml:space="preserve"> L.). </w:t>
      </w:r>
      <w:r w:rsidRPr="008C5FCA">
        <w:rPr>
          <w:rFonts w:ascii="Arial" w:hAnsi="Arial" w:cs="Arial"/>
          <w:i/>
          <w:iCs/>
          <w:color w:val="000000" w:themeColor="text1"/>
          <w:sz w:val="20"/>
          <w:szCs w:val="20"/>
        </w:rPr>
        <w:t>Agronomie</w:t>
      </w:r>
      <w:r w:rsidRPr="008C5FCA">
        <w:rPr>
          <w:rFonts w:ascii="Arial" w:hAnsi="Arial" w:cs="Arial"/>
          <w:color w:val="000000" w:themeColor="text1"/>
          <w:sz w:val="20"/>
          <w:szCs w:val="20"/>
        </w:rPr>
        <w:t>, 10, 139–145.</w:t>
      </w:r>
    </w:p>
    <w:p w14:paraId="354595B0" w14:textId="77777777" w:rsidR="004C7B57" w:rsidRPr="008C5FCA" w:rsidRDefault="004C7B57"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 xml:space="preserve">Jiang, Y., Bueckert, R., Warkentin, T., and Davis, A. (2017). High temperature effects on in vitro pollen germination and seed set in field pea. </w:t>
      </w:r>
      <w:r w:rsidRPr="008C5FCA">
        <w:rPr>
          <w:rFonts w:ascii="Arial" w:hAnsi="Arial" w:cs="Arial"/>
          <w:i/>
          <w:iCs/>
          <w:color w:val="000000" w:themeColor="text1"/>
          <w:sz w:val="20"/>
          <w:szCs w:val="20"/>
        </w:rPr>
        <w:t>Canadian Journal of Plant Science</w:t>
      </w:r>
      <w:r w:rsidRPr="008C5FCA">
        <w:rPr>
          <w:rFonts w:ascii="Arial" w:hAnsi="Arial" w:cs="Arial"/>
          <w:color w:val="000000" w:themeColor="text1"/>
          <w:sz w:val="20"/>
          <w:szCs w:val="20"/>
        </w:rPr>
        <w:t xml:space="preserve">, 98, 71–80. </w:t>
      </w:r>
      <w:hyperlink r:id="rId24" w:tgtFrame="_new" w:history="1">
        <w:r w:rsidRPr="008C5FCA">
          <w:rPr>
            <w:rFonts w:ascii="Arial" w:hAnsi="Arial" w:cs="Arial"/>
            <w:color w:val="000000" w:themeColor="text1"/>
            <w:sz w:val="20"/>
            <w:szCs w:val="20"/>
            <w:u w:val="single"/>
          </w:rPr>
          <w:t>https://doi.org/10.1139/CJPS-2017-0073</w:t>
        </w:r>
      </w:hyperlink>
    </w:p>
    <w:p w14:paraId="498C4054" w14:textId="77777777" w:rsidR="004C7B57" w:rsidRPr="008C5FCA" w:rsidRDefault="004C7B57"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 xml:space="preserve">Jiang, Y. F., Davis, A. R., Vujanovic, V., and Bueckert, R. A. (2019). Reproductive development response to high daytime temperature in field pea. </w:t>
      </w:r>
      <w:r w:rsidRPr="008C5FCA">
        <w:rPr>
          <w:rFonts w:ascii="Arial" w:hAnsi="Arial" w:cs="Arial"/>
          <w:i/>
          <w:iCs/>
          <w:color w:val="000000" w:themeColor="text1"/>
          <w:sz w:val="20"/>
          <w:szCs w:val="20"/>
        </w:rPr>
        <w:t>Journal of Agronomy and Crop Science</w:t>
      </w:r>
      <w:r w:rsidRPr="008C5FCA">
        <w:rPr>
          <w:rFonts w:ascii="Arial" w:hAnsi="Arial" w:cs="Arial"/>
          <w:color w:val="000000" w:themeColor="text1"/>
          <w:sz w:val="20"/>
          <w:szCs w:val="20"/>
        </w:rPr>
        <w:t>, 205(4), 324–333.</w:t>
      </w:r>
    </w:p>
    <w:p w14:paraId="248CBA9F" w14:textId="77777777" w:rsidR="00E215D1" w:rsidRPr="008C5FCA" w:rsidRDefault="00E215D1"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 xml:space="preserve">Jiang, Y., Lahlali, R., Karunakaran, C., Kumar, S., Davis, A. R., and Bueckert, R. A. (2015). Seed set, pollen morphology and pollen surface composition response to heat stress in field pea. </w:t>
      </w:r>
      <w:r w:rsidRPr="008C5FCA">
        <w:rPr>
          <w:rFonts w:ascii="Arial" w:hAnsi="Arial" w:cs="Arial"/>
          <w:i/>
          <w:iCs/>
          <w:color w:val="000000" w:themeColor="text1"/>
          <w:sz w:val="20"/>
          <w:szCs w:val="20"/>
        </w:rPr>
        <w:t>Plant, Cell and Environment</w:t>
      </w:r>
      <w:r w:rsidRPr="008C5FCA">
        <w:rPr>
          <w:rFonts w:ascii="Arial" w:hAnsi="Arial" w:cs="Arial"/>
          <w:color w:val="000000" w:themeColor="text1"/>
          <w:sz w:val="20"/>
          <w:szCs w:val="20"/>
        </w:rPr>
        <w:t xml:space="preserve">, 38, 2387–2397. </w:t>
      </w:r>
      <w:hyperlink r:id="rId25" w:tgtFrame="_new" w:history="1">
        <w:r w:rsidRPr="008C5FCA">
          <w:rPr>
            <w:rFonts w:ascii="Arial" w:hAnsi="Arial" w:cs="Arial"/>
            <w:color w:val="000000" w:themeColor="text1"/>
            <w:sz w:val="20"/>
            <w:szCs w:val="20"/>
            <w:u w:val="single"/>
          </w:rPr>
          <w:t>https://doi.org/10.1111/pce.12589</w:t>
        </w:r>
      </w:hyperlink>
    </w:p>
    <w:p w14:paraId="45E03303" w14:textId="77777777" w:rsidR="00483FFF" w:rsidRPr="008C5FCA" w:rsidRDefault="00E215D1"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Jiang, Y., Lindsay, D. L., Davis, A. R., Wang, Z., MacLean, D. E., and Warkentin, T. D. (2020). Impact of heat stress on pod-based yield components in field pea (</w:t>
      </w:r>
      <w:r w:rsidRPr="008C5FCA">
        <w:rPr>
          <w:rFonts w:ascii="Arial" w:hAnsi="Arial" w:cs="Arial"/>
          <w:i/>
          <w:iCs/>
          <w:color w:val="000000" w:themeColor="text1"/>
          <w:sz w:val="20"/>
          <w:szCs w:val="20"/>
        </w:rPr>
        <w:t>Pisum sativum</w:t>
      </w:r>
      <w:r w:rsidRPr="008C5FCA">
        <w:rPr>
          <w:rFonts w:ascii="Arial" w:hAnsi="Arial" w:cs="Arial"/>
          <w:color w:val="000000" w:themeColor="text1"/>
          <w:sz w:val="20"/>
          <w:szCs w:val="20"/>
        </w:rPr>
        <w:t xml:space="preserve"> L.). </w:t>
      </w:r>
      <w:r w:rsidRPr="008C5FCA">
        <w:rPr>
          <w:rFonts w:ascii="Arial" w:hAnsi="Arial" w:cs="Arial"/>
          <w:i/>
          <w:iCs/>
          <w:color w:val="000000" w:themeColor="text1"/>
          <w:sz w:val="20"/>
          <w:szCs w:val="20"/>
        </w:rPr>
        <w:t>Journal of Agronomy and Crop Science</w:t>
      </w:r>
      <w:r w:rsidRPr="008C5FCA">
        <w:rPr>
          <w:rFonts w:ascii="Arial" w:hAnsi="Arial" w:cs="Arial"/>
          <w:color w:val="000000" w:themeColor="text1"/>
          <w:sz w:val="20"/>
          <w:szCs w:val="20"/>
        </w:rPr>
        <w:t xml:space="preserve">, 206, 76–89. </w:t>
      </w:r>
      <w:hyperlink r:id="rId26" w:tgtFrame="_new" w:history="1">
        <w:r w:rsidRPr="008C5FCA">
          <w:rPr>
            <w:rFonts w:ascii="Arial" w:hAnsi="Arial" w:cs="Arial"/>
            <w:color w:val="000000" w:themeColor="text1"/>
            <w:sz w:val="20"/>
            <w:szCs w:val="20"/>
            <w:u w:val="single"/>
          </w:rPr>
          <w:t>https://doi.org/10.1111/jac.12365</w:t>
        </w:r>
      </w:hyperlink>
    </w:p>
    <w:p w14:paraId="4511DE58" w14:textId="77777777" w:rsidR="00483FFF" w:rsidRPr="008C5FCA" w:rsidRDefault="00483FFF" w:rsidP="000770C4">
      <w:pPr>
        <w:spacing w:after="100" w:afterAutospacing="1"/>
        <w:jc w:val="both"/>
        <w:rPr>
          <w:rFonts w:ascii="Arial" w:hAnsi="Arial" w:cs="Arial"/>
          <w:color w:val="000000" w:themeColor="text1"/>
          <w:sz w:val="20"/>
          <w:szCs w:val="20"/>
        </w:rPr>
      </w:pPr>
      <w:r w:rsidRPr="008C5FCA">
        <w:rPr>
          <w:rStyle w:val="Strong"/>
          <w:rFonts w:ascii="Arial" w:hAnsi="Arial" w:cs="Arial"/>
          <w:b w:val="0"/>
          <w:bCs w:val="0"/>
          <w:color w:val="000000" w:themeColor="text1"/>
          <w:sz w:val="20"/>
          <w:szCs w:val="20"/>
        </w:rPr>
        <w:t>Kumar, A. and Choudhary, A. (2014)</w:t>
      </w:r>
      <w:r w:rsidRPr="008C5FCA">
        <w:rPr>
          <w:rFonts w:ascii="Arial" w:hAnsi="Arial" w:cs="Arial"/>
          <w:color w:val="000000" w:themeColor="text1"/>
          <w:sz w:val="20"/>
          <w:szCs w:val="20"/>
        </w:rPr>
        <w:t xml:space="preserve"> Scientific cultivation of vegetable pea. In: </w:t>
      </w:r>
      <w:r w:rsidRPr="008C5FCA">
        <w:rPr>
          <w:rStyle w:val="Emphasis"/>
          <w:rFonts w:ascii="Arial" w:hAnsi="Arial" w:cs="Arial"/>
          <w:color w:val="000000" w:themeColor="text1"/>
          <w:sz w:val="20"/>
          <w:szCs w:val="20"/>
        </w:rPr>
        <w:t>Scientific Cultivation of Vegetable Pea</w:t>
      </w:r>
      <w:r w:rsidRPr="008C5FCA">
        <w:rPr>
          <w:rFonts w:ascii="Arial" w:hAnsi="Arial" w:cs="Arial"/>
          <w:color w:val="000000" w:themeColor="text1"/>
          <w:sz w:val="20"/>
          <w:szCs w:val="20"/>
        </w:rPr>
        <w:t>, pp. 45–51. ISBN: 978-93-83168-17-0.</w:t>
      </w:r>
    </w:p>
    <w:p w14:paraId="598BB128" w14:textId="77777777" w:rsidR="00E215D1" w:rsidRPr="008C5FCA" w:rsidRDefault="00E215D1"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 xml:space="preserve">Kumar, J., Sen Gupta, D., and Djalovic, I. (2020). Breeding, genetics, and genomics for tolerance against terminal heat in lentil: Current status and future directions. </w:t>
      </w:r>
      <w:r w:rsidRPr="008C5FCA">
        <w:rPr>
          <w:rFonts w:ascii="Arial" w:hAnsi="Arial" w:cs="Arial"/>
          <w:i/>
          <w:iCs/>
          <w:color w:val="000000" w:themeColor="text1"/>
          <w:sz w:val="20"/>
          <w:szCs w:val="20"/>
        </w:rPr>
        <w:t>Legume Science</w:t>
      </w:r>
      <w:r w:rsidRPr="008C5FCA">
        <w:rPr>
          <w:rFonts w:ascii="Arial" w:hAnsi="Arial" w:cs="Arial"/>
          <w:color w:val="000000" w:themeColor="text1"/>
          <w:sz w:val="20"/>
          <w:szCs w:val="20"/>
        </w:rPr>
        <w:t>, 2(3), 38.</w:t>
      </w:r>
    </w:p>
    <w:p w14:paraId="5F18278B" w14:textId="77777777" w:rsidR="00E215D1" w:rsidRDefault="00E215D1"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Lamichaney, A., Parihar, A. K., Hazra, K. K., Dixit, G. P., Katiyar, P. K., Singh, D., et al. (2021). Untangling the influence of heat stress on crop phenology, seed set, seed weight, and germination in field pea (</w:t>
      </w:r>
      <w:r w:rsidRPr="008C5FCA">
        <w:rPr>
          <w:rFonts w:ascii="Arial" w:hAnsi="Arial" w:cs="Arial"/>
          <w:i/>
          <w:iCs/>
          <w:color w:val="000000" w:themeColor="text1"/>
          <w:sz w:val="20"/>
          <w:szCs w:val="20"/>
        </w:rPr>
        <w:t>Pisum sativum</w:t>
      </w:r>
      <w:r w:rsidRPr="008C5FCA">
        <w:rPr>
          <w:rFonts w:ascii="Arial" w:hAnsi="Arial" w:cs="Arial"/>
          <w:color w:val="000000" w:themeColor="text1"/>
          <w:sz w:val="20"/>
          <w:szCs w:val="20"/>
        </w:rPr>
        <w:t xml:space="preserve"> L.). </w:t>
      </w:r>
      <w:r w:rsidRPr="008C5FCA">
        <w:rPr>
          <w:rFonts w:ascii="Arial" w:hAnsi="Arial" w:cs="Arial"/>
          <w:i/>
          <w:iCs/>
          <w:color w:val="000000" w:themeColor="text1"/>
          <w:sz w:val="20"/>
          <w:szCs w:val="20"/>
        </w:rPr>
        <w:t>Frontiers in Plant Science</w:t>
      </w:r>
      <w:r w:rsidRPr="008C5FCA">
        <w:rPr>
          <w:rFonts w:ascii="Arial" w:hAnsi="Arial" w:cs="Arial"/>
          <w:color w:val="000000" w:themeColor="text1"/>
          <w:sz w:val="20"/>
          <w:szCs w:val="20"/>
        </w:rPr>
        <w:t>, 12, 635868.</w:t>
      </w:r>
    </w:p>
    <w:p w14:paraId="3CB1DB6F" w14:textId="77777777" w:rsidR="002421CE" w:rsidRPr="002421CE" w:rsidRDefault="002421CE" w:rsidP="002421CE">
      <w:pPr>
        <w:spacing w:after="100" w:afterAutospacing="1"/>
        <w:jc w:val="both"/>
        <w:rPr>
          <w:rFonts w:ascii="Arial" w:hAnsi="Arial" w:cs="Arial"/>
          <w:color w:val="000000" w:themeColor="text1"/>
          <w:sz w:val="20"/>
          <w:szCs w:val="20"/>
        </w:rPr>
      </w:pPr>
      <w:r w:rsidRPr="002421CE">
        <w:rPr>
          <w:rFonts w:ascii="Arial" w:hAnsi="Arial" w:cs="Arial"/>
          <w:sz w:val="20"/>
          <w:szCs w:val="20"/>
        </w:rPr>
        <w:t>Larmure, A., and Munier-Jolain, N. G. (2019). High temperatures during the seed-filling period decrease seed nitrogen amount in pea (Pisum sativum L.): evidence for a sink limitation. Frontiers in Plant Science, 10, 1608. https://doi.org/10.3389/fpls.2019.01608</w:t>
      </w:r>
    </w:p>
    <w:p w14:paraId="0E3C064C" w14:textId="77777777" w:rsidR="00E215D1" w:rsidRPr="008C5FCA" w:rsidRDefault="00E215D1"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Mohapatra, C., Chand, R., Tiwari, J. K., and Singh, A. K. (2020). Effect of heat stress during flowering and pod formation in pea (</w:t>
      </w:r>
      <w:r w:rsidRPr="008C5FCA">
        <w:rPr>
          <w:rFonts w:ascii="Arial" w:hAnsi="Arial" w:cs="Arial"/>
          <w:i/>
          <w:iCs/>
          <w:color w:val="000000" w:themeColor="text1"/>
          <w:sz w:val="20"/>
          <w:szCs w:val="20"/>
        </w:rPr>
        <w:t>Pisum sativum</w:t>
      </w:r>
      <w:r w:rsidRPr="008C5FCA">
        <w:rPr>
          <w:rFonts w:ascii="Arial" w:hAnsi="Arial" w:cs="Arial"/>
          <w:color w:val="000000" w:themeColor="text1"/>
          <w:sz w:val="20"/>
          <w:szCs w:val="20"/>
        </w:rPr>
        <w:t xml:space="preserve"> L.). </w:t>
      </w:r>
      <w:r w:rsidRPr="008C5FCA">
        <w:rPr>
          <w:rFonts w:ascii="Arial" w:hAnsi="Arial" w:cs="Arial"/>
          <w:i/>
          <w:iCs/>
          <w:color w:val="000000" w:themeColor="text1"/>
          <w:sz w:val="20"/>
          <w:szCs w:val="20"/>
        </w:rPr>
        <w:t>Physiology and Molecular Biology of Plants</w:t>
      </w:r>
      <w:r w:rsidRPr="008C5FCA">
        <w:rPr>
          <w:rFonts w:ascii="Arial" w:hAnsi="Arial" w:cs="Arial"/>
          <w:color w:val="000000" w:themeColor="text1"/>
          <w:sz w:val="20"/>
          <w:szCs w:val="20"/>
        </w:rPr>
        <w:t xml:space="preserve">, 26, 1119–1125. </w:t>
      </w:r>
      <w:hyperlink r:id="rId27" w:tgtFrame="_new" w:history="1">
        <w:r w:rsidRPr="008C5FCA">
          <w:rPr>
            <w:rFonts w:ascii="Arial" w:hAnsi="Arial" w:cs="Arial"/>
            <w:color w:val="000000" w:themeColor="text1"/>
            <w:sz w:val="20"/>
            <w:szCs w:val="20"/>
            <w:u w:val="single"/>
          </w:rPr>
          <w:t>https://doi.org/10.1007/s12298-020-00803-4</w:t>
        </w:r>
      </w:hyperlink>
    </w:p>
    <w:p w14:paraId="2FCA4456" w14:textId="77777777" w:rsidR="00E215D1" w:rsidRPr="008C5FCA" w:rsidRDefault="00E215D1"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Parihar, A. K., Kumar, J., Gupta, D. S., Lamichaney, A., Naik, S. J. S., Singh, A. K., et al. (2022). Genomics enabled breeding strategies for major biotic stresses in pea (</w:t>
      </w:r>
      <w:r w:rsidRPr="008C5FCA">
        <w:rPr>
          <w:rFonts w:ascii="Arial" w:hAnsi="Arial" w:cs="Arial"/>
          <w:i/>
          <w:iCs/>
          <w:color w:val="000000" w:themeColor="text1"/>
          <w:sz w:val="20"/>
          <w:szCs w:val="20"/>
        </w:rPr>
        <w:t>Pisum sativum</w:t>
      </w:r>
      <w:r w:rsidRPr="008C5FCA">
        <w:rPr>
          <w:rFonts w:ascii="Arial" w:hAnsi="Arial" w:cs="Arial"/>
          <w:color w:val="000000" w:themeColor="text1"/>
          <w:sz w:val="20"/>
          <w:szCs w:val="20"/>
        </w:rPr>
        <w:t xml:space="preserve"> L.). </w:t>
      </w:r>
      <w:r w:rsidRPr="008C5FCA">
        <w:rPr>
          <w:rFonts w:ascii="Arial" w:hAnsi="Arial" w:cs="Arial"/>
          <w:i/>
          <w:iCs/>
          <w:color w:val="000000" w:themeColor="text1"/>
          <w:sz w:val="20"/>
          <w:szCs w:val="20"/>
        </w:rPr>
        <w:t>Frontiers in Plant Science</w:t>
      </w:r>
      <w:r w:rsidRPr="008C5FCA">
        <w:rPr>
          <w:rFonts w:ascii="Arial" w:hAnsi="Arial" w:cs="Arial"/>
          <w:color w:val="000000" w:themeColor="text1"/>
          <w:sz w:val="20"/>
          <w:szCs w:val="20"/>
        </w:rPr>
        <w:t>, 13, 861191.</w:t>
      </w:r>
    </w:p>
    <w:p w14:paraId="7DAC6FF4" w14:textId="77777777" w:rsidR="00E215D1" w:rsidRPr="008C5FCA" w:rsidRDefault="00E215D1"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lastRenderedPageBreak/>
        <w:t>Rawat, N., Raghav, M., Singh, D., Verma, A., Pareek, N., Kuriyal, H., and Shah, I. (2024). Effect of integrated weed management practices on growth parameters in vegetable pea (</w:t>
      </w:r>
      <w:r w:rsidRPr="008C5FCA">
        <w:rPr>
          <w:rFonts w:ascii="Arial" w:hAnsi="Arial" w:cs="Arial"/>
          <w:i/>
          <w:iCs/>
          <w:color w:val="000000" w:themeColor="text1"/>
          <w:sz w:val="20"/>
          <w:szCs w:val="20"/>
        </w:rPr>
        <w:t>Pisum sativum</w:t>
      </w:r>
      <w:r w:rsidRPr="008C5FCA">
        <w:rPr>
          <w:rFonts w:ascii="Arial" w:hAnsi="Arial" w:cs="Arial"/>
          <w:color w:val="000000" w:themeColor="text1"/>
          <w:sz w:val="20"/>
          <w:szCs w:val="20"/>
        </w:rPr>
        <w:t xml:space="preserve"> L.). </w:t>
      </w:r>
      <w:r w:rsidRPr="008C5FCA">
        <w:rPr>
          <w:rFonts w:ascii="Arial" w:hAnsi="Arial" w:cs="Arial"/>
          <w:i/>
          <w:iCs/>
          <w:color w:val="000000" w:themeColor="text1"/>
          <w:sz w:val="20"/>
          <w:szCs w:val="20"/>
        </w:rPr>
        <w:t>Journal name to be confirmed</w:t>
      </w:r>
      <w:r w:rsidRPr="008C5FCA">
        <w:rPr>
          <w:rFonts w:ascii="Arial" w:hAnsi="Arial" w:cs="Arial"/>
          <w:color w:val="000000" w:themeColor="text1"/>
          <w:sz w:val="20"/>
          <w:szCs w:val="20"/>
        </w:rPr>
        <w:t>, 22.</w:t>
      </w:r>
    </w:p>
    <w:p w14:paraId="5B4FE63D" w14:textId="77777777" w:rsidR="00E215D1" w:rsidRPr="008C5FCA" w:rsidRDefault="00E215D1"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 xml:space="preserve">Sadras, V. O., Lake, L., Leonforte, A., McMurray, L. S., and Paull, J. G. (2013). Screening field pea for adaptation to water and heat stress: Associations between yield, crop growth rate and seed abortion. </w:t>
      </w:r>
      <w:r w:rsidRPr="008C5FCA">
        <w:rPr>
          <w:rFonts w:ascii="Arial" w:hAnsi="Arial" w:cs="Arial"/>
          <w:i/>
          <w:iCs/>
          <w:color w:val="000000" w:themeColor="text1"/>
          <w:sz w:val="20"/>
          <w:szCs w:val="20"/>
        </w:rPr>
        <w:t>Field Crops Research</w:t>
      </w:r>
      <w:r w:rsidRPr="008C5FCA">
        <w:rPr>
          <w:rFonts w:ascii="Arial" w:hAnsi="Arial" w:cs="Arial"/>
          <w:color w:val="000000" w:themeColor="text1"/>
          <w:sz w:val="20"/>
          <w:szCs w:val="20"/>
        </w:rPr>
        <w:t>, 150, 63–73.</w:t>
      </w:r>
    </w:p>
    <w:p w14:paraId="2340A314" w14:textId="77777777" w:rsidR="00E215D1" w:rsidRPr="008C5FCA" w:rsidRDefault="00E215D1"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 xml:space="preserve">Singh, J. P., Singh, D., and Tewari, A. (2012). A comparative study on yield and contributing traits of vegetable pea varieties under Tarai region of Uttarakhand. </w:t>
      </w:r>
      <w:r w:rsidRPr="008C5FCA">
        <w:rPr>
          <w:rFonts w:ascii="Arial" w:hAnsi="Arial" w:cs="Arial"/>
          <w:i/>
          <w:iCs/>
          <w:color w:val="000000" w:themeColor="text1"/>
          <w:sz w:val="20"/>
          <w:szCs w:val="20"/>
        </w:rPr>
        <w:t>Pantnagar Journal of Research</w:t>
      </w:r>
      <w:r w:rsidRPr="008C5FCA">
        <w:rPr>
          <w:rFonts w:ascii="Arial" w:hAnsi="Arial" w:cs="Arial"/>
          <w:color w:val="000000" w:themeColor="text1"/>
          <w:sz w:val="20"/>
          <w:szCs w:val="20"/>
        </w:rPr>
        <w:t>, 10(2), 259–260.</w:t>
      </w:r>
    </w:p>
    <w:p w14:paraId="01BD05D8" w14:textId="77777777" w:rsidR="00E215D1" w:rsidRPr="008C5FCA" w:rsidRDefault="00E215D1"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 xml:space="preserve">Sita, K., Sehgal, A., Hanumantha Rao, B., Nair, R. M., Vara Prasad, P. V., Kumar, S., et al. (2017). Food legumes and rising temperatures: Effects, adaptive functional mechanisms specific to reproductive growth stage and strategies to improve heat tolerance. </w:t>
      </w:r>
      <w:r w:rsidRPr="008C5FCA">
        <w:rPr>
          <w:rFonts w:ascii="Arial" w:hAnsi="Arial" w:cs="Arial"/>
          <w:i/>
          <w:iCs/>
          <w:color w:val="000000" w:themeColor="text1"/>
          <w:sz w:val="20"/>
          <w:szCs w:val="20"/>
        </w:rPr>
        <w:t>Frontiers in Plant Science</w:t>
      </w:r>
      <w:r w:rsidRPr="008C5FCA">
        <w:rPr>
          <w:rFonts w:ascii="Arial" w:hAnsi="Arial" w:cs="Arial"/>
          <w:color w:val="000000" w:themeColor="text1"/>
          <w:sz w:val="20"/>
          <w:szCs w:val="20"/>
        </w:rPr>
        <w:t>, 8, 1658.</w:t>
      </w:r>
    </w:p>
    <w:p w14:paraId="4B95DF33" w14:textId="77777777" w:rsidR="00E215D1" w:rsidRPr="008C5FCA" w:rsidRDefault="00E215D1"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Susmita, C., Aghora, T. S., and Mohanty, N. B. R. (2020). Breeding for improvement of high temperature tolerance in garden pea (</w:t>
      </w:r>
      <w:r w:rsidRPr="008C5FCA">
        <w:rPr>
          <w:rFonts w:ascii="Arial" w:hAnsi="Arial" w:cs="Arial"/>
          <w:i/>
          <w:iCs/>
          <w:color w:val="000000" w:themeColor="text1"/>
          <w:sz w:val="20"/>
          <w:szCs w:val="20"/>
        </w:rPr>
        <w:t>Pisum sativum</w:t>
      </w:r>
      <w:r w:rsidRPr="008C5FCA">
        <w:rPr>
          <w:rFonts w:ascii="Arial" w:hAnsi="Arial" w:cs="Arial"/>
          <w:color w:val="000000" w:themeColor="text1"/>
          <w:sz w:val="20"/>
          <w:szCs w:val="20"/>
        </w:rPr>
        <w:t xml:space="preserve"> L.) for off-season cultivation. </w:t>
      </w:r>
      <w:r w:rsidRPr="008C5FCA">
        <w:rPr>
          <w:rFonts w:ascii="Arial" w:hAnsi="Arial" w:cs="Arial"/>
          <w:i/>
          <w:iCs/>
          <w:color w:val="000000" w:themeColor="text1"/>
          <w:sz w:val="20"/>
          <w:szCs w:val="20"/>
        </w:rPr>
        <w:t>Journal of Horticultural Science</w:t>
      </w:r>
      <w:r w:rsidRPr="008C5FCA">
        <w:rPr>
          <w:rFonts w:ascii="Arial" w:hAnsi="Arial" w:cs="Arial"/>
          <w:color w:val="000000" w:themeColor="text1"/>
          <w:sz w:val="20"/>
          <w:szCs w:val="20"/>
        </w:rPr>
        <w:t xml:space="preserve">, 15, 62–66. </w:t>
      </w:r>
      <w:hyperlink r:id="rId28" w:tgtFrame="_new" w:history="1">
        <w:r w:rsidRPr="008C5FCA">
          <w:rPr>
            <w:rFonts w:ascii="Arial" w:hAnsi="Arial" w:cs="Arial"/>
            <w:color w:val="000000" w:themeColor="text1"/>
            <w:sz w:val="20"/>
            <w:szCs w:val="20"/>
            <w:u w:val="single"/>
          </w:rPr>
          <w:t>https://doi.org/10.24154/JHS.2020.v15i01.008</w:t>
        </w:r>
      </w:hyperlink>
    </w:p>
    <w:p w14:paraId="4FA0760E" w14:textId="77777777" w:rsidR="00E215D1" w:rsidRPr="008C5FCA" w:rsidRDefault="00E215D1"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 xml:space="preserve">Tafesse, E. G., Warkentin, T. D., and Bueckert, R. A. (2019). Canopy architecture and leaf type as traits of heat resistance in pea. </w:t>
      </w:r>
      <w:r w:rsidRPr="008C5FCA">
        <w:rPr>
          <w:rFonts w:ascii="Arial" w:hAnsi="Arial" w:cs="Arial"/>
          <w:i/>
          <w:iCs/>
          <w:color w:val="000000" w:themeColor="text1"/>
          <w:sz w:val="20"/>
          <w:szCs w:val="20"/>
        </w:rPr>
        <w:t>Field Crops Research</w:t>
      </w:r>
      <w:r w:rsidRPr="008C5FCA">
        <w:rPr>
          <w:rFonts w:ascii="Arial" w:hAnsi="Arial" w:cs="Arial"/>
          <w:color w:val="000000" w:themeColor="text1"/>
          <w:sz w:val="20"/>
          <w:szCs w:val="20"/>
        </w:rPr>
        <w:t xml:space="preserve">, 241, 107561. </w:t>
      </w:r>
      <w:hyperlink r:id="rId29" w:tgtFrame="_new" w:history="1">
        <w:r w:rsidRPr="008C5FCA">
          <w:rPr>
            <w:rFonts w:ascii="Arial" w:hAnsi="Arial" w:cs="Arial"/>
            <w:color w:val="000000" w:themeColor="text1"/>
            <w:sz w:val="20"/>
            <w:szCs w:val="20"/>
            <w:u w:val="single"/>
          </w:rPr>
          <w:t>https://doi.org/10.1016/j.fcr.2019.107561</w:t>
        </w:r>
      </w:hyperlink>
    </w:p>
    <w:p w14:paraId="59DDCF5A" w14:textId="77777777" w:rsidR="00E215D1" w:rsidRPr="008C5FCA" w:rsidRDefault="00E215D1"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 xml:space="preserve">Vijaylaxmi (2013). Effect of high temperature on growth, biomass and yield of field pea. </w:t>
      </w:r>
      <w:r w:rsidRPr="008C5FCA">
        <w:rPr>
          <w:rFonts w:ascii="Arial" w:hAnsi="Arial" w:cs="Arial"/>
          <w:i/>
          <w:iCs/>
          <w:color w:val="000000" w:themeColor="text1"/>
          <w:sz w:val="20"/>
          <w:szCs w:val="20"/>
        </w:rPr>
        <w:t>Legume Research</w:t>
      </w:r>
      <w:r w:rsidRPr="008C5FCA">
        <w:rPr>
          <w:rFonts w:ascii="Arial" w:hAnsi="Arial" w:cs="Arial"/>
          <w:color w:val="000000" w:themeColor="text1"/>
          <w:sz w:val="20"/>
          <w:szCs w:val="20"/>
        </w:rPr>
        <w:t>, 36(3), 250–254.</w:t>
      </w:r>
    </w:p>
    <w:p w14:paraId="2D68887D" w14:textId="77777777" w:rsidR="00E215D1" w:rsidRPr="008C5FCA" w:rsidRDefault="00E215D1"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Wang, D., Yang, T., Liu, R., Li, N., Ahmad, N., Li, G., et al. (2022). Large-scale heat-tolerance screening and genetic diversity of pea (</w:t>
      </w:r>
      <w:r w:rsidRPr="008C5FCA">
        <w:rPr>
          <w:rFonts w:ascii="Arial" w:hAnsi="Arial" w:cs="Arial"/>
          <w:i/>
          <w:iCs/>
          <w:color w:val="000000" w:themeColor="text1"/>
          <w:sz w:val="20"/>
          <w:szCs w:val="20"/>
        </w:rPr>
        <w:t>Pisum sativum</w:t>
      </w:r>
      <w:r w:rsidRPr="008C5FCA">
        <w:rPr>
          <w:rFonts w:ascii="Arial" w:hAnsi="Arial" w:cs="Arial"/>
          <w:color w:val="000000" w:themeColor="text1"/>
          <w:sz w:val="20"/>
          <w:szCs w:val="20"/>
        </w:rPr>
        <w:t xml:space="preserve"> L.) germplasms. </w:t>
      </w:r>
      <w:r w:rsidRPr="008C5FCA">
        <w:rPr>
          <w:rFonts w:ascii="Arial" w:hAnsi="Arial" w:cs="Arial"/>
          <w:i/>
          <w:iCs/>
          <w:color w:val="000000" w:themeColor="text1"/>
          <w:sz w:val="20"/>
          <w:szCs w:val="20"/>
        </w:rPr>
        <w:t>Plants</w:t>
      </w:r>
      <w:r w:rsidRPr="008C5FCA">
        <w:rPr>
          <w:rFonts w:ascii="Arial" w:hAnsi="Arial" w:cs="Arial"/>
          <w:color w:val="000000" w:themeColor="text1"/>
          <w:sz w:val="20"/>
          <w:szCs w:val="20"/>
        </w:rPr>
        <w:t>, 11(19), 2473.</w:t>
      </w:r>
    </w:p>
    <w:p w14:paraId="1E48E041" w14:textId="77777777" w:rsidR="00E215D1" w:rsidRPr="008C5FCA" w:rsidRDefault="00E215D1" w:rsidP="000770C4">
      <w:pPr>
        <w:spacing w:after="100" w:afterAutospacing="1"/>
        <w:jc w:val="both"/>
        <w:rPr>
          <w:rFonts w:ascii="Arial" w:hAnsi="Arial" w:cs="Arial"/>
          <w:color w:val="000000" w:themeColor="text1"/>
          <w:sz w:val="20"/>
          <w:szCs w:val="20"/>
        </w:rPr>
      </w:pPr>
      <w:r w:rsidRPr="008C5FCA">
        <w:rPr>
          <w:rFonts w:ascii="Arial" w:hAnsi="Arial" w:cs="Arial"/>
          <w:color w:val="000000" w:themeColor="text1"/>
          <w:sz w:val="20"/>
          <w:szCs w:val="20"/>
        </w:rPr>
        <w:t xml:space="preserve">Yan, W., Kang, M. S., Ma, B., Woods, S., and Cornelius, P. L. (2007). GGE biplot vs. AMMI analysis of genotype-by-environment data. </w:t>
      </w:r>
      <w:r w:rsidRPr="008C5FCA">
        <w:rPr>
          <w:rFonts w:ascii="Arial" w:hAnsi="Arial" w:cs="Arial"/>
          <w:i/>
          <w:iCs/>
          <w:color w:val="000000" w:themeColor="text1"/>
          <w:sz w:val="20"/>
          <w:szCs w:val="20"/>
        </w:rPr>
        <w:t>Crop Science</w:t>
      </w:r>
      <w:r w:rsidRPr="008C5FCA">
        <w:rPr>
          <w:rFonts w:ascii="Arial" w:hAnsi="Arial" w:cs="Arial"/>
          <w:color w:val="000000" w:themeColor="text1"/>
          <w:sz w:val="20"/>
          <w:szCs w:val="20"/>
        </w:rPr>
        <w:t>, 47(3), 641–653.</w:t>
      </w:r>
    </w:p>
    <w:p w14:paraId="6CCFE3F8" w14:textId="77777777" w:rsidR="004D4277" w:rsidRPr="008C5FCA" w:rsidRDefault="004D4277" w:rsidP="004C7B57">
      <w:pPr>
        <w:pStyle w:val="Body"/>
        <w:spacing w:after="0"/>
        <w:rPr>
          <w:rFonts w:ascii="Arial" w:hAnsi="Arial" w:cs="Arial"/>
          <w:b/>
          <w:color w:val="000000" w:themeColor="text1"/>
        </w:rPr>
        <w:sectPr w:rsidR="004D4277" w:rsidRPr="008C5FCA" w:rsidSect="00C506AE">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bookmarkEnd w:id="0"/>
    <w:p w14:paraId="7E69906F" w14:textId="77777777" w:rsidR="00B01FCD" w:rsidRPr="008C5FCA" w:rsidRDefault="00B01FCD" w:rsidP="004C7B57">
      <w:pPr>
        <w:pStyle w:val="Appendix"/>
        <w:spacing w:after="0"/>
        <w:jc w:val="both"/>
        <w:rPr>
          <w:rFonts w:ascii="Arial" w:hAnsi="Arial" w:cs="Arial"/>
          <w:b w:val="0"/>
          <w:color w:val="000000" w:themeColor="text1"/>
          <w:sz w:val="20"/>
        </w:rPr>
      </w:pPr>
    </w:p>
    <w:bookmarkEnd w:id="1"/>
    <w:bookmarkEnd w:id="31"/>
    <w:p w14:paraId="32D6EF61" w14:textId="77777777" w:rsidR="009733D9" w:rsidRPr="008C5FCA" w:rsidRDefault="009733D9" w:rsidP="004C7B57">
      <w:pPr>
        <w:pStyle w:val="Appendix"/>
        <w:spacing w:after="0"/>
        <w:jc w:val="both"/>
        <w:rPr>
          <w:rFonts w:ascii="Arial" w:hAnsi="Arial" w:cs="Arial"/>
          <w:b w:val="0"/>
          <w:color w:val="000000" w:themeColor="text1"/>
          <w:sz w:val="20"/>
        </w:rPr>
      </w:pPr>
    </w:p>
    <w:sectPr w:rsidR="009733D9" w:rsidRPr="008C5FCA" w:rsidSect="00C506A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8F1F1" w14:textId="77777777" w:rsidR="00DB68A1" w:rsidRDefault="00DB68A1" w:rsidP="00C37E61">
      <w:r>
        <w:separator/>
      </w:r>
    </w:p>
  </w:endnote>
  <w:endnote w:type="continuationSeparator" w:id="0">
    <w:p w14:paraId="691C9997" w14:textId="77777777" w:rsidR="00DB68A1" w:rsidRDefault="00DB68A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D4F9" w14:textId="77777777" w:rsidR="00C225FA" w:rsidRDefault="00C225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B6464" w14:textId="77777777" w:rsidR="00C225FA" w:rsidRDefault="00C225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E4437" w14:textId="77777777" w:rsidR="009E048A" w:rsidRDefault="009E048A">
    <w:pPr>
      <w:pStyle w:val="Footer"/>
      <w:rPr>
        <w:rFonts w:ascii="Arial" w:hAnsi="Arial" w:cs="Arial"/>
        <w:sz w:val="16"/>
      </w:rPr>
    </w:pPr>
  </w:p>
  <w:p w14:paraId="24CBB68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626ADB1" w14:textId="77777777" w:rsidR="009E048A" w:rsidRDefault="009E048A">
    <w:pPr>
      <w:pStyle w:val="Footer"/>
      <w:rPr>
        <w:rFonts w:ascii="Arial" w:hAnsi="Arial" w:cs="Arial"/>
        <w:sz w:val="16"/>
      </w:rPr>
    </w:pPr>
  </w:p>
  <w:p w14:paraId="04E225D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E851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9A28A" w14:textId="77777777" w:rsidR="00DB68A1" w:rsidRDefault="00DB68A1" w:rsidP="00C37E61">
      <w:r>
        <w:separator/>
      </w:r>
    </w:p>
  </w:footnote>
  <w:footnote w:type="continuationSeparator" w:id="0">
    <w:p w14:paraId="421702A5" w14:textId="77777777" w:rsidR="00DB68A1" w:rsidRDefault="00DB68A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AA48A" w14:textId="77777777" w:rsidR="00C225FA" w:rsidRDefault="00DB68A1">
    <w:pPr>
      <w:pStyle w:val="Header"/>
    </w:pPr>
    <w:r>
      <w:rPr>
        <w:noProof/>
      </w:rPr>
      <w:pict w14:anchorId="56C0B8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8313" o:spid="_x0000_s1030" type="#_x0000_t136" alt="" style="position:absolute;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0B2F" w14:textId="77777777" w:rsidR="00C225FA" w:rsidRDefault="00DB68A1">
    <w:pPr>
      <w:pStyle w:val="Header"/>
    </w:pPr>
    <w:r>
      <w:rPr>
        <w:noProof/>
      </w:rPr>
      <w:pict w14:anchorId="50D83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8314" o:spid="_x0000_s1029" type="#_x0000_t136" alt="" style="position:absolute;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D8F94" w14:textId="77777777" w:rsidR="00296529" w:rsidRPr="00296529" w:rsidRDefault="00DB68A1" w:rsidP="00296529">
    <w:pPr>
      <w:ind w:left="2160"/>
      <w:jc w:val="center"/>
      <w:rPr>
        <w:rFonts w:eastAsia="Calibri"/>
        <w:i/>
        <w:sz w:val="18"/>
        <w:szCs w:val="22"/>
      </w:rPr>
    </w:pPr>
    <w:r>
      <w:rPr>
        <w:noProof/>
      </w:rPr>
      <w:pict w14:anchorId="42CAA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8312" o:spid="_x0000_s1028" type="#_x0000_t136" alt="" style="position:absolute;left:0;text-align:left;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p w14:paraId="32FA2564" w14:textId="77777777" w:rsidR="00296529" w:rsidRPr="00296529" w:rsidRDefault="00754C9A" w:rsidP="00296529">
    <w:pPr>
      <w:ind w:left="4320"/>
      <w:rPr>
        <w:rFonts w:eastAsia="Calibri"/>
        <w:i/>
        <w:sz w:val="18"/>
        <w:szCs w:val="22"/>
      </w:rPr>
    </w:pPr>
    <w:r>
      <w:rPr>
        <w:rFonts w:eastAsia="Calibri"/>
        <w:i/>
        <w:sz w:val="18"/>
        <w:szCs w:val="22"/>
      </w:rPr>
      <w:t>.</w:t>
    </w:r>
    <w:r w:rsidR="00296529" w:rsidRPr="00296529">
      <w:rPr>
        <w:rFonts w:eastAsia="Calibri"/>
        <w:i/>
        <w:sz w:val="18"/>
        <w:szCs w:val="22"/>
      </w:rPr>
      <w:t xml:space="preserve">     </w:t>
    </w:r>
  </w:p>
  <w:p w14:paraId="41793423" w14:textId="77777777" w:rsidR="00296529" w:rsidRPr="00296529" w:rsidRDefault="00754C9A" w:rsidP="00296529">
    <w:pPr>
      <w:jc w:val="center"/>
      <w:rPr>
        <w:rFonts w:eastAsia="Calibri"/>
        <w:i/>
        <w:sz w:val="18"/>
        <w:szCs w:val="22"/>
      </w:rPr>
    </w:pPr>
    <w:r>
      <w:rPr>
        <w:rFonts w:eastAsia="Calibri"/>
        <w:i/>
        <w:sz w:val="18"/>
        <w:szCs w:val="22"/>
      </w:rPr>
      <w:t>.</w:t>
    </w:r>
  </w:p>
  <w:p w14:paraId="61D1EF24" w14:textId="77777777" w:rsidR="00296529" w:rsidRPr="00296529" w:rsidRDefault="00296529" w:rsidP="00296529">
    <w:pPr>
      <w:spacing w:after="200"/>
      <w:jc w:val="center"/>
      <w:rPr>
        <w:rFonts w:eastAsia="Calibri"/>
        <w:b/>
        <w:i/>
        <w:sz w:val="32"/>
        <w:szCs w:val="22"/>
      </w:rPr>
    </w:pPr>
    <w:r w:rsidRPr="00296529">
      <w:rPr>
        <w:rFonts w:eastAsia="Calibri"/>
        <w:b/>
        <w:i/>
        <w:sz w:val="32"/>
        <w:szCs w:val="22"/>
      </w:rPr>
      <w:t xml:space="preserve">              </w:t>
    </w:r>
    <w:r w:rsidR="00754C9A">
      <w:rPr>
        <w:rFonts w:eastAsia="Calibri"/>
        <w:b/>
        <w:i/>
        <w:sz w:val="32"/>
        <w:szCs w:val="22"/>
      </w:rPr>
      <w:t>.</w:t>
    </w:r>
    <w:r w:rsidRPr="00296529">
      <w:rPr>
        <w:rFonts w:eastAsia="Calibri"/>
        <w:b/>
        <w:i/>
        <w:sz w:val="32"/>
        <w:szCs w:val="22"/>
      </w:rPr>
      <w:t xml:space="preserve"> </w:t>
    </w:r>
  </w:p>
  <w:p w14:paraId="4DD01C68" w14:textId="77777777" w:rsidR="00296529" w:rsidRDefault="00296529" w:rsidP="00296529">
    <w:pPr>
      <w:jc w:val="center"/>
      <w:rPr>
        <w:rFonts w:eastAsia="Calibri"/>
        <w:i/>
        <w:sz w:val="18"/>
        <w:szCs w:val="22"/>
      </w:rPr>
    </w:pPr>
    <w:r w:rsidRPr="00296529">
      <w:rPr>
        <w:rFonts w:eastAsia="Calibri"/>
        <w:i/>
        <w:sz w:val="18"/>
        <w:szCs w:val="22"/>
      </w:rPr>
      <w:t xml:space="preserve">                     </w:t>
    </w:r>
  </w:p>
  <w:p w14:paraId="43DEA3F0" w14:textId="77777777" w:rsidR="00296529" w:rsidRDefault="00296529" w:rsidP="00296529">
    <w:pPr>
      <w:tabs>
        <w:tab w:val="left" w:pos="2145"/>
      </w:tabs>
      <w:rPr>
        <w:rFonts w:eastAsia="Calibri"/>
        <w:i/>
        <w:sz w:val="18"/>
        <w:szCs w:val="22"/>
      </w:rPr>
    </w:pPr>
    <w:r>
      <w:rPr>
        <w:rFonts w:eastAsia="Calibri"/>
        <w:i/>
        <w:sz w:val="18"/>
        <w:szCs w:val="22"/>
      </w:rPr>
      <w:tab/>
    </w:r>
    <w:r w:rsidR="00754C9A">
      <w:rPr>
        <w:rFonts w:eastAsia="Calibri"/>
        <w:i/>
        <w:sz w:val="18"/>
        <w:szCs w:val="22"/>
      </w:rPr>
      <w:t>.</w:t>
    </w:r>
  </w:p>
  <w:p w14:paraId="4F44061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84659" w14:textId="77777777" w:rsidR="00C225FA" w:rsidRDefault="00DB68A1">
    <w:pPr>
      <w:pStyle w:val="Header"/>
    </w:pPr>
    <w:r>
      <w:rPr>
        <w:noProof/>
      </w:rPr>
      <w:pict w14:anchorId="21F2CE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8316" o:spid="_x0000_s1027" type="#_x0000_t136" alt="" style="position:absolute;margin-left:0;margin-top:0;width:519.9pt;height:58.6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C43C3" w14:textId="77777777" w:rsidR="00C225FA" w:rsidRDefault="00DB68A1">
    <w:pPr>
      <w:pStyle w:val="Header"/>
    </w:pPr>
    <w:r>
      <w:rPr>
        <w:noProof/>
      </w:rPr>
      <w:pict w14:anchorId="7CC39F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8317" o:spid="_x0000_s1026" type="#_x0000_t136" alt="" style="position:absolute;margin-left:0;margin-top:0;width:519.9pt;height:58.6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1BF21" w14:textId="77777777" w:rsidR="00C225FA" w:rsidRDefault="00DB68A1">
    <w:pPr>
      <w:pStyle w:val="Header"/>
    </w:pPr>
    <w:r>
      <w:rPr>
        <w:noProof/>
      </w:rPr>
      <w:pict w14:anchorId="48741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98315" o:spid="_x0000_s1025" type="#_x0000_t136" alt="" style="position:absolute;margin-left:0;margin-top:0;width:519.9pt;height:58.6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D324592"/>
    <w:multiLevelType w:val="hybridMultilevel"/>
    <w:tmpl w:val="CA166BC2"/>
    <w:lvl w:ilvl="0" w:tplc="94C487D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3596046"/>
    <w:multiLevelType w:val="hybridMultilevel"/>
    <w:tmpl w:val="B5E6BD9C"/>
    <w:lvl w:ilvl="0" w:tplc="13143DD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807B07"/>
    <w:multiLevelType w:val="hybridMultilevel"/>
    <w:tmpl w:val="5EDC8C6A"/>
    <w:lvl w:ilvl="0" w:tplc="18D4CDF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0294B11"/>
    <w:multiLevelType w:val="multilevel"/>
    <w:tmpl w:val="09D0C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5472B76"/>
    <w:multiLevelType w:val="hybridMultilevel"/>
    <w:tmpl w:val="AFDC2210"/>
    <w:lvl w:ilvl="0" w:tplc="4A1EF07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6788939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34029020">
    <w:abstractNumId w:val="17"/>
  </w:num>
  <w:num w:numId="3" w16cid:durableId="449860530">
    <w:abstractNumId w:val="28"/>
  </w:num>
  <w:num w:numId="4" w16cid:durableId="214677253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18384066">
    <w:abstractNumId w:val="7"/>
  </w:num>
  <w:num w:numId="6" w16cid:durableId="1384720041">
    <w:abstractNumId w:val="6"/>
  </w:num>
  <w:num w:numId="7" w16cid:durableId="1097749238">
    <w:abstractNumId w:val="1"/>
  </w:num>
  <w:num w:numId="8" w16cid:durableId="2100445004">
    <w:abstractNumId w:val="13"/>
  </w:num>
  <w:num w:numId="9" w16cid:durableId="1821000323">
    <w:abstractNumId w:val="30"/>
  </w:num>
  <w:num w:numId="10" w16cid:durableId="1195969271">
    <w:abstractNumId w:val="2"/>
  </w:num>
  <w:num w:numId="11" w16cid:durableId="133837696">
    <w:abstractNumId w:val="23"/>
  </w:num>
  <w:num w:numId="12" w16cid:durableId="1708261825">
    <w:abstractNumId w:val="3"/>
  </w:num>
  <w:num w:numId="13" w16cid:durableId="1781990251">
    <w:abstractNumId w:val="20"/>
  </w:num>
  <w:num w:numId="14" w16cid:durableId="424153758">
    <w:abstractNumId w:val="8"/>
  </w:num>
  <w:num w:numId="15" w16cid:durableId="1412852238">
    <w:abstractNumId w:val="26"/>
  </w:num>
  <w:num w:numId="16" w16cid:durableId="1508246284">
    <w:abstractNumId w:val="5"/>
  </w:num>
  <w:num w:numId="17" w16cid:durableId="74980244">
    <w:abstractNumId w:val="27"/>
  </w:num>
  <w:num w:numId="18" w16cid:durableId="118106254">
    <w:abstractNumId w:val="15"/>
  </w:num>
  <w:num w:numId="19" w16cid:durableId="2073504110">
    <w:abstractNumId w:val="33"/>
  </w:num>
  <w:num w:numId="20" w16cid:durableId="515273728">
    <w:abstractNumId w:val="12"/>
  </w:num>
  <w:num w:numId="21" w16cid:durableId="1822237736">
    <w:abstractNumId w:val="10"/>
  </w:num>
  <w:num w:numId="22" w16cid:durableId="2014648662">
    <w:abstractNumId w:val="14"/>
  </w:num>
  <w:num w:numId="23" w16cid:durableId="2025277925">
    <w:abstractNumId w:val="24"/>
  </w:num>
  <w:num w:numId="24" w16cid:durableId="877160598">
    <w:abstractNumId w:val="31"/>
  </w:num>
  <w:num w:numId="25" w16cid:durableId="807745351">
    <w:abstractNumId w:val="4"/>
  </w:num>
  <w:num w:numId="26" w16cid:durableId="795484626">
    <w:abstractNumId w:val="18"/>
  </w:num>
  <w:num w:numId="27" w16cid:durableId="416950252">
    <w:abstractNumId w:val="25"/>
  </w:num>
  <w:num w:numId="28" w16cid:durableId="2093817621">
    <w:abstractNumId w:val="32"/>
  </w:num>
  <w:num w:numId="29" w16cid:durableId="2020504139">
    <w:abstractNumId w:val="29"/>
  </w:num>
  <w:num w:numId="30" w16cid:durableId="1121071648">
    <w:abstractNumId w:val="11"/>
  </w:num>
  <w:num w:numId="31" w16cid:durableId="946739603">
    <w:abstractNumId w:val="21"/>
  </w:num>
  <w:num w:numId="32" w16cid:durableId="16010754">
    <w:abstractNumId w:val="16"/>
  </w:num>
  <w:num w:numId="33" w16cid:durableId="1074398565">
    <w:abstractNumId w:val="19"/>
  </w:num>
  <w:num w:numId="34" w16cid:durableId="2026133474">
    <w:abstractNumId w:val="9"/>
  </w:num>
  <w:num w:numId="35" w16cid:durableId="84621757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2F32"/>
    <w:rsid w:val="00030174"/>
    <w:rsid w:val="00031FAD"/>
    <w:rsid w:val="00033AD4"/>
    <w:rsid w:val="000449B7"/>
    <w:rsid w:val="0004579C"/>
    <w:rsid w:val="000461FA"/>
    <w:rsid w:val="0005126A"/>
    <w:rsid w:val="000759F1"/>
    <w:rsid w:val="000770C4"/>
    <w:rsid w:val="000845BC"/>
    <w:rsid w:val="00087D75"/>
    <w:rsid w:val="000974E6"/>
    <w:rsid w:val="000A47FA"/>
    <w:rsid w:val="000A65D3"/>
    <w:rsid w:val="000B19A7"/>
    <w:rsid w:val="000B1E33"/>
    <w:rsid w:val="000C6D8B"/>
    <w:rsid w:val="000D689F"/>
    <w:rsid w:val="000E28BA"/>
    <w:rsid w:val="000E2F4A"/>
    <w:rsid w:val="000E7B7B"/>
    <w:rsid w:val="000E7D62"/>
    <w:rsid w:val="000F2716"/>
    <w:rsid w:val="00103357"/>
    <w:rsid w:val="001145E7"/>
    <w:rsid w:val="00123C9F"/>
    <w:rsid w:val="001244D4"/>
    <w:rsid w:val="00126190"/>
    <w:rsid w:val="00130F17"/>
    <w:rsid w:val="001320BF"/>
    <w:rsid w:val="001519DB"/>
    <w:rsid w:val="00157BD3"/>
    <w:rsid w:val="0016044F"/>
    <w:rsid w:val="00160E1D"/>
    <w:rsid w:val="00163A5A"/>
    <w:rsid w:val="00163BC4"/>
    <w:rsid w:val="00167036"/>
    <w:rsid w:val="00171FF1"/>
    <w:rsid w:val="001777CA"/>
    <w:rsid w:val="001778C1"/>
    <w:rsid w:val="00181006"/>
    <w:rsid w:val="0018320A"/>
    <w:rsid w:val="00185CE6"/>
    <w:rsid w:val="00191062"/>
    <w:rsid w:val="001922A7"/>
    <w:rsid w:val="00192B72"/>
    <w:rsid w:val="001A29D8"/>
    <w:rsid w:val="001A508F"/>
    <w:rsid w:val="001A5CAA"/>
    <w:rsid w:val="001B0427"/>
    <w:rsid w:val="001B2521"/>
    <w:rsid w:val="001D3A51"/>
    <w:rsid w:val="001E10D2"/>
    <w:rsid w:val="001E25B4"/>
    <w:rsid w:val="001E44FE"/>
    <w:rsid w:val="001F4988"/>
    <w:rsid w:val="00200595"/>
    <w:rsid w:val="00204835"/>
    <w:rsid w:val="00206B6C"/>
    <w:rsid w:val="00215B5E"/>
    <w:rsid w:val="00224330"/>
    <w:rsid w:val="00231920"/>
    <w:rsid w:val="0023195C"/>
    <w:rsid w:val="002421CE"/>
    <w:rsid w:val="0024282C"/>
    <w:rsid w:val="00245114"/>
    <w:rsid w:val="002460DC"/>
    <w:rsid w:val="00250985"/>
    <w:rsid w:val="002547AB"/>
    <w:rsid w:val="002556F6"/>
    <w:rsid w:val="00275FFD"/>
    <w:rsid w:val="00276972"/>
    <w:rsid w:val="00283105"/>
    <w:rsid w:val="00284C4C"/>
    <w:rsid w:val="00287D91"/>
    <w:rsid w:val="00287E68"/>
    <w:rsid w:val="00296529"/>
    <w:rsid w:val="002A3E6C"/>
    <w:rsid w:val="002A3EEB"/>
    <w:rsid w:val="002B27FB"/>
    <w:rsid w:val="002B43C5"/>
    <w:rsid w:val="002B685A"/>
    <w:rsid w:val="002C57D2"/>
    <w:rsid w:val="002D65CC"/>
    <w:rsid w:val="002D6F84"/>
    <w:rsid w:val="002E0D56"/>
    <w:rsid w:val="003007A5"/>
    <w:rsid w:val="00315186"/>
    <w:rsid w:val="0033343E"/>
    <w:rsid w:val="00337319"/>
    <w:rsid w:val="00342CEB"/>
    <w:rsid w:val="003512C2"/>
    <w:rsid w:val="00371EF7"/>
    <w:rsid w:val="00371FB6"/>
    <w:rsid w:val="00372E86"/>
    <w:rsid w:val="003763C1"/>
    <w:rsid w:val="00376BBE"/>
    <w:rsid w:val="00382C07"/>
    <w:rsid w:val="0039224F"/>
    <w:rsid w:val="003A43A4"/>
    <w:rsid w:val="003A773D"/>
    <w:rsid w:val="003A7E18"/>
    <w:rsid w:val="003B7877"/>
    <w:rsid w:val="003C4C86"/>
    <w:rsid w:val="003C6258"/>
    <w:rsid w:val="003E2904"/>
    <w:rsid w:val="003F7D2C"/>
    <w:rsid w:val="00401927"/>
    <w:rsid w:val="0041027F"/>
    <w:rsid w:val="00412475"/>
    <w:rsid w:val="00423789"/>
    <w:rsid w:val="00440D72"/>
    <w:rsid w:val="00440F43"/>
    <w:rsid w:val="00441B6F"/>
    <w:rsid w:val="00446221"/>
    <w:rsid w:val="00450E62"/>
    <w:rsid w:val="004539DB"/>
    <w:rsid w:val="00463B2E"/>
    <w:rsid w:val="00471A80"/>
    <w:rsid w:val="004814BD"/>
    <w:rsid w:val="00482534"/>
    <w:rsid w:val="00483FFF"/>
    <w:rsid w:val="004853AC"/>
    <w:rsid w:val="004A0A2B"/>
    <w:rsid w:val="004A0B8A"/>
    <w:rsid w:val="004C03F7"/>
    <w:rsid w:val="004C7B57"/>
    <w:rsid w:val="004D305E"/>
    <w:rsid w:val="004D4277"/>
    <w:rsid w:val="004E6E82"/>
    <w:rsid w:val="004F5785"/>
    <w:rsid w:val="00502516"/>
    <w:rsid w:val="00505F06"/>
    <w:rsid w:val="00506828"/>
    <w:rsid w:val="00527917"/>
    <w:rsid w:val="0053056E"/>
    <w:rsid w:val="00554FDA"/>
    <w:rsid w:val="00564241"/>
    <w:rsid w:val="00567B75"/>
    <w:rsid w:val="00592A12"/>
    <w:rsid w:val="00592A51"/>
    <w:rsid w:val="005A6CF7"/>
    <w:rsid w:val="005C046D"/>
    <w:rsid w:val="005C784C"/>
    <w:rsid w:val="005D17F6"/>
    <w:rsid w:val="005D75B3"/>
    <w:rsid w:val="005E5539"/>
    <w:rsid w:val="00602BF5"/>
    <w:rsid w:val="00617FDD"/>
    <w:rsid w:val="00626D03"/>
    <w:rsid w:val="00632F76"/>
    <w:rsid w:val="00633614"/>
    <w:rsid w:val="00633F68"/>
    <w:rsid w:val="00636EB2"/>
    <w:rsid w:val="006375B8"/>
    <w:rsid w:val="0066510A"/>
    <w:rsid w:val="00667D4A"/>
    <w:rsid w:val="00673F9F"/>
    <w:rsid w:val="00673FB8"/>
    <w:rsid w:val="006752A7"/>
    <w:rsid w:val="00686953"/>
    <w:rsid w:val="00687DEA"/>
    <w:rsid w:val="00687E67"/>
    <w:rsid w:val="0069282C"/>
    <w:rsid w:val="00696643"/>
    <w:rsid w:val="006967F7"/>
    <w:rsid w:val="006A250C"/>
    <w:rsid w:val="006A37F1"/>
    <w:rsid w:val="006B21D3"/>
    <w:rsid w:val="006B3891"/>
    <w:rsid w:val="006B57D0"/>
    <w:rsid w:val="006B7155"/>
    <w:rsid w:val="006C3AB5"/>
    <w:rsid w:val="006D30FF"/>
    <w:rsid w:val="006D4A91"/>
    <w:rsid w:val="006D6940"/>
    <w:rsid w:val="006E7C6F"/>
    <w:rsid w:val="006F11EC"/>
    <w:rsid w:val="006F60D8"/>
    <w:rsid w:val="0070082C"/>
    <w:rsid w:val="00703A04"/>
    <w:rsid w:val="00717993"/>
    <w:rsid w:val="007318D2"/>
    <w:rsid w:val="007364A2"/>
    <w:rsid w:val="007369E6"/>
    <w:rsid w:val="00746E59"/>
    <w:rsid w:val="00754C9A"/>
    <w:rsid w:val="0075599A"/>
    <w:rsid w:val="007607A8"/>
    <w:rsid w:val="00761D52"/>
    <w:rsid w:val="00766A84"/>
    <w:rsid w:val="007727D4"/>
    <w:rsid w:val="0077749E"/>
    <w:rsid w:val="00785225"/>
    <w:rsid w:val="00785DE1"/>
    <w:rsid w:val="00786DEA"/>
    <w:rsid w:val="00790ADA"/>
    <w:rsid w:val="007C6B53"/>
    <w:rsid w:val="007D2288"/>
    <w:rsid w:val="007E088F"/>
    <w:rsid w:val="007F2AFE"/>
    <w:rsid w:val="007F5DCA"/>
    <w:rsid w:val="007F6A03"/>
    <w:rsid w:val="007F7B32"/>
    <w:rsid w:val="00804BC2"/>
    <w:rsid w:val="0081431A"/>
    <w:rsid w:val="00817841"/>
    <w:rsid w:val="00821FD9"/>
    <w:rsid w:val="008222E4"/>
    <w:rsid w:val="008308B6"/>
    <w:rsid w:val="0083216F"/>
    <w:rsid w:val="00834031"/>
    <w:rsid w:val="008547E1"/>
    <w:rsid w:val="00856AF7"/>
    <w:rsid w:val="00856FAE"/>
    <w:rsid w:val="00860000"/>
    <w:rsid w:val="0086347A"/>
    <w:rsid w:val="00863BD3"/>
    <w:rsid w:val="008641ED"/>
    <w:rsid w:val="00866D66"/>
    <w:rsid w:val="008671C6"/>
    <w:rsid w:val="00870CCF"/>
    <w:rsid w:val="00875803"/>
    <w:rsid w:val="0089572B"/>
    <w:rsid w:val="008A30CC"/>
    <w:rsid w:val="008B157F"/>
    <w:rsid w:val="008B459E"/>
    <w:rsid w:val="008B4918"/>
    <w:rsid w:val="008C14ED"/>
    <w:rsid w:val="008C5FCA"/>
    <w:rsid w:val="008E0A9D"/>
    <w:rsid w:val="008E13AE"/>
    <w:rsid w:val="008E1506"/>
    <w:rsid w:val="008E497D"/>
    <w:rsid w:val="008E710C"/>
    <w:rsid w:val="008F69D6"/>
    <w:rsid w:val="00900116"/>
    <w:rsid w:val="00902823"/>
    <w:rsid w:val="00915CA6"/>
    <w:rsid w:val="00927834"/>
    <w:rsid w:val="00935837"/>
    <w:rsid w:val="0094278B"/>
    <w:rsid w:val="009500A6"/>
    <w:rsid w:val="00957C18"/>
    <w:rsid w:val="009659BA"/>
    <w:rsid w:val="009733D9"/>
    <w:rsid w:val="00974508"/>
    <w:rsid w:val="00974C4C"/>
    <w:rsid w:val="009825CA"/>
    <w:rsid w:val="00983040"/>
    <w:rsid w:val="0098568E"/>
    <w:rsid w:val="0099474F"/>
    <w:rsid w:val="009B3FB9"/>
    <w:rsid w:val="009C2465"/>
    <w:rsid w:val="009D2D4C"/>
    <w:rsid w:val="009D35A0"/>
    <w:rsid w:val="009D7EB7"/>
    <w:rsid w:val="009E048A"/>
    <w:rsid w:val="009E08E9"/>
    <w:rsid w:val="009E2E0E"/>
    <w:rsid w:val="009E393C"/>
    <w:rsid w:val="009E3DB9"/>
    <w:rsid w:val="009E52F2"/>
    <w:rsid w:val="009E6E35"/>
    <w:rsid w:val="009F0EDA"/>
    <w:rsid w:val="00A020AF"/>
    <w:rsid w:val="00A03B96"/>
    <w:rsid w:val="00A05B19"/>
    <w:rsid w:val="00A1134E"/>
    <w:rsid w:val="00A15A1A"/>
    <w:rsid w:val="00A24E7E"/>
    <w:rsid w:val="00A258C3"/>
    <w:rsid w:val="00A27861"/>
    <w:rsid w:val="00A347C0"/>
    <w:rsid w:val="00A4632F"/>
    <w:rsid w:val="00A51431"/>
    <w:rsid w:val="00A539AD"/>
    <w:rsid w:val="00A63C62"/>
    <w:rsid w:val="00A77CFA"/>
    <w:rsid w:val="00A94063"/>
    <w:rsid w:val="00AA6219"/>
    <w:rsid w:val="00AA74E0"/>
    <w:rsid w:val="00AB6CD2"/>
    <w:rsid w:val="00AB703F"/>
    <w:rsid w:val="00AC6BB8"/>
    <w:rsid w:val="00AE008F"/>
    <w:rsid w:val="00AE3BED"/>
    <w:rsid w:val="00AE60CB"/>
    <w:rsid w:val="00B01FCD"/>
    <w:rsid w:val="00B16AF9"/>
    <w:rsid w:val="00B17619"/>
    <w:rsid w:val="00B1776C"/>
    <w:rsid w:val="00B2184D"/>
    <w:rsid w:val="00B33670"/>
    <w:rsid w:val="00B367A0"/>
    <w:rsid w:val="00B37351"/>
    <w:rsid w:val="00B52583"/>
    <w:rsid w:val="00B52896"/>
    <w:rsid w:val="00B57328"/>
    <w:rsid w:val="00B579C2"/>
    <w:rsid w:val="00B60FA3"/>
    <w:rsid w:val="00B702CF"/>
    <w:rsid w:val="00B73DB9"/>
    <w:rsid w:val="00B856F2"/>
    <w:rsid w:val="00B95236"/>
    <w:rsid w:val="00B96BD9"/>
    <w:rsid w:val="00BA0C06"/>
    <w:rsid w:val="00BA1A88"/>
    <w:rsid w:val="00BA1B01"/>
    <w:rsid w:val="00BA2641"/>
    <w:rsid w:val="00BB37AA"/>
    <w:rsid w:val="00BC495A"/>
    <w:rsid w:val="00BC53A0"/>
    <w:rsid w:val="00BD116E"/>
    <w:rsid w:val="00BD42F6"/>
    <w:rsid w:val="00BE62AD"/>
    <w:rsid w:val="00BF0E0A"/>
    <w:rsid w:val="00BF121F"/>
    <w:rsid w:val="00BF1F80"/>
    <w:rsid w:val="00C166EF"/>
    <w:rsid w:val="00C17EB0"/>
    <w:rsid w:val="00C225FA"/>
    <w:rsid w:val="00C24D50"/>
    <w:rsid w:val="00C27F5F"/>
    <w:rsid w:val="00C30A0F"/>
    <w:rsid w:val="00C37E61"/>
    <w:rsid w:val="00C506AE"/>
    <w:rsid w:val="00C60334"/>
    <w:rsid w:val="00C70F1B"/>
    <w:rsid w:val="00C71A47"/>
    <w:rsid w:val="00C7464C"/>
    <w:rsid w:val="00C773CD"/>
    <w:rsid w:val="00C85588"/>
    <w:rsid w:val="00C95A00"/>
    <w:rsid w:val="00CB0987"/>
    <w:rsid w:val="00CD409A"/>
    <w:rsid w:val="00CD43C8"/>
    <w:rsid w:val="00CD6755"/>
    <w:rsid w:val="00CD6856"/>
    <w:rsid w:val="00CE0089"/>
    <w:rsid w:val="00CE793C"/>
    <w:rsid w:val="00CF193C"/>
    <w:rsid w:val="00D02042"/>
    <w:rsid w:val="00D02DB3"/>
    <w:rsid w:val="00D10D1E"/>
    <w:rsid w:val="00D173F1"/>
    <w:rsid w:val="00D27150"/>
    <w:rsid w:val="00D441E0"/>
    <w:rsid w:val="00D648AA"/>
    <w:rsid w:val="00D72B47"/>
    <w:rsid w:val="00D74CB0"/>
    <w:rsid w:val="00D8295D"/>
    <w:rsid w:val="00D85BB8"/>
    <w:rsid w:val="00D9274F"/>
    <w:rsid w:val="00D97D1B"/>
    <w:rsid w:val="00DA1B0F"/>
    <w:rsid w:val="00DA3990"/>
    <w:rsid w:val="00DB67E7"/>
    <w:rsid w:val="00DB68A1"/>
    <w:rsid w:val="00DC2A65"/>
    <w:rsid w:val="00DD1D7C"/>
    <w:rsid w:val="00DD3976"/>
    <w:rsid w:val="00DE15F0"/>
    <w:rsid w:val="00DE5663"/>
    <w:rsid w:val="00DE78AA"/>
    <w:rsid w:val="00E03558"/>
    <w:rsid w:val="00E053D0"/>
    <w:rsid w:val="00E06166"/>
    <w:rsid w:val="00E15994"/>
    <w:rsid w:val="00E215D1"/>
    <w:rsid w:val="00E3114E"/>
    <w:rsid w:val="00E31A70"/>
    <w:rsid w:val="00E35861"/>
    <w:rsid w:val="00E35B02"/>
    <w:rsid w:val="00E66496"/>
    <w:rsid w:val="00E66B35"/>
    <w:rsid w:val="00E66E10"/>
    <w:rsid w:val="00E769F6"/>
    <w:rsid w:val="00E8407C"/>
    <w:rsid w:val="00E84F3C"/>
    <w:rsid w:val="00EA012C"/>
    <w:rsid w:val="00EB2A64"/>
    <w:rsid w:val="00EB2EE1"/>
    <w:rsid w:val="00EC4477"/>
    <w:rsid w:val="00EC6A55"/>
    <w:rsid w:val="00ED0288"/>
    <w:rsid w:val="00ED3488"/>
    <w:rsid w:val="00ED3E53"/>
    <w:rsid w:val="00EE52CB"/>
    <w:rsid w:val="00EF581D"/>
    <w:rsid w:val="00EF79D5"/>
    <w:rsid w:val="00EF7FD8"/>
    <w:rsid w:val="00F02502"/>
    <w:rsid w:val="00F06F59"/>
    <w:rsid w:val="00F153BD"/>
    <w:rsid w:val="00F17988"/>
    <w:rsid w:val="00F17A7A"/>
    <w:rsid w:val="00F469F0"/>
    <w:rsid w:val="00F50F57"/>
    <w:rsid w:val="00F5247B"/>
    <w:rsid w:val="00F53273"/>
    <w:rsid w:val="00F70E1E"/>
    <w:rsid w:val="00F755E4"/>
    <w:rsid w:val="00F77D02"/>
    <w:rsid w:val="00F90883"/>
    <w:rsid w:val="00FA32D2"/>
    <w:rsid w:val="00FB2615"/>
    <w:rsid w:val="00FB3A86"/>
    <w:rsid w:val="00FB4F20"/>
    <w:rsid w:val="00FD36C8"/>
    <w:rsid w:val="00FF032C"/>
    <w:rsid w:val="00FF7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48EBB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568E"/>
    <w:rPr>
      <w:sz w:val="24"/>
      <w:szCs w:val="24"/>
      <w:lang w:val="en-IN" w:eastAsia="en-GB"/>
    </w:rPr>
  </w:style>
  <w:style w:type="paragraph" w:styleId="Heading1">
    <w:name w:val="heading 1"/>
    <w:basedOn w:val="Normal"/>
    <w:next w:val="Normal"/>
    <w:qFormat/>
    <w:rsid w:val="00423789"/>
    <w:pPr>
      <w:keepNext/>
      <w:spacing w:before="240" w:after="60"/>
      <w:outlineLvl w:val="0"/>
    </w:pPr>
    <w:rPr>
      <w:rFonts w:ascii="Arial" w:hAnsi="Arial"/>
      <w:b/>
      <w:kern w:val="28"/>
      <w:sz w:val="28"/>
      <w:szCs w:val="20"/>
      <w:lang w:val="en-US" w:eastAsia="en-US"/>
    </w:rPr>
  </w:style>
  <w:style w:type="paragraph" w:styleId="Heading3">
    <w:name w:val="heading 3"/>
    <w:basedOn w:val="Normal"/>
    <w:next w:val="Normal"/>
    <w:link w:val="Heading3Char"/>
    <w:uiPriority w:val="9"/>
    <w:unhideWhenUsed/>
    <w:qFormat/>
    <w:rsid w:val="00F02502"/>
    <w:pPr>
      <w:keepNext/>
      <w:keepLines/>
      <w:spacing w:before="40"/>
      <w:outlineLvl w:val="2"/>
    </w:pPr>
    <w:rPr>
      <w:rFonts w:asciiTheme="majorHAnsi" w:eastAsiaTheme="majorEastAsia" w:hAnsiTheme="majorHAnsi" w:cstheme="majorBidi"/>
      <w:color w:val="243F60" w:themeColor="accent1" w:themeShade="7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rFonts w:ascii="Helvetica" w:hAnsi="Helvetica"/>
      <w:b/>
      <w:szCs w:val="20"/>
      <w:lang w:val="en-US" w:eastAsia="en-US"/>
    </w:rPr>
  </w:style>
  <w:style w:type="paragraph" w:customStyle="1" w:styleId="Affiliation">
    <w:name w:val="Affiliation"/>
    <w:basedOn w:val="Normal"/>
    <w:rsid w:val="00423789"/>
    <w:pPr>
      <w:spacing w:after="240" w:line="240" w:lineRule="exact"/>
      <w:jc w:val="right"/>
    </w:pPr>
    <w:rPr>
      <w:rFonts w:ascii="Helvetica" w:hAnsi="Helvetica"/>
      <w:sz w:val="20"/>
      <w:szCs w:val="20"/>
      <w:lang w:val="en-US" w:eastAsia="en-US"/>
    </w:rPr>
  </w:style>
  <w:style w:type="paragraph" w:customStyle="1" w:styleId="Body">
    <w:name w:val="Body"/>
    <w:basedOn w:val="Normal"/>
    <w:rsid w:val="00423789"/>
    <w:pPr>
      <w:spacing w:after="240"/>
      <w:jc w:val="both"/>
    </w:pPr>
    <w:rPr>
      <w:rFonts w:ascii="Helvetica" w:hAnsi="Helvetica"/>
      <w:sz w:val="20"/>
      <w:szCs w:val="20"/>
      <w:lang w:val="en-US" w:eastAsia="en-US"/>
    </w:r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rFonts w:ascii="Helvetica" w:hAnsi="Helvetica"/>
      <w:b/>
      <w:sz w:val="28"/>
      <w:szCs w:val="20"/>
      <w:lang w:val="en-US" w:eastAsia="en-US"/>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rFonts w:ascii="Helvetica" w:hAnsi="Helvetica"/>
      <w:sz w:val="16"/>
      <w:szCs w:val="20"/>
      <w:lang w:val="en-US" w:eastAsia="en-US"/>
    </w:rPr>
  </w:style>
  <w:style w:type="paragraph" w:styleId="Title">
    <w:name w:val="Title"/>
    <w:basedOn w:val="Normal"/>
    <w:qFormat/>
    <w:rsid w:val="00423789"/>
    <w:pPr>
      <w:spacing w:after="360"/>
      <w:jc w:val="right"/>
    </w:pPr>
    <w:rPr>
      <w:rFonts w:ascii="Helvetica" w:hAnsi="Helvetica"/>
      <w:b/>
      <w:kern w:val="28"/>
      <w:sz w:val="36"/>
      <w:szCs w:val="20"/>
      <w:lang w:val="en-US" w:eastAsia="en-US"/>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rFonts w:ascii="Helvetica" w:hAnsi="Helvetica"/>
      <w:caps/>
      <w:sz w:val="20"/>
      <w:szCs w:val="20"/>
      <w:lang w:val="en-US" w:eastAsia="en-U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rFonts w:ascii="Helvetica" w:hAnsi="Helvetica"/>
      <w:b/>
      <w:caps/>
      <w:sz w:val="20"/>
      <w:szCs w:val="20"/>
      <w:lang w:val="en-US" w:eastAsia="en-U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rPr>
      <w:rFonts w:ascii="Helvetica" w:hAnsi="Helvetica"/>
      <w:sz w:val="20"/>
      <w:szCs w:val="20"/>
      <w:lang w:val="en-US" w:eastAsia="en-US"/>
    </w:r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rPr>
      <w:rFonts w:ascii="Helvetica" w:hAnsi="Helvetica"/>
      <w:sz w:val="20"/>
      <w:szCs w:val="20"/>
      <w:lang w:val="en-US" w:eastAsia="en-US"/>
    </w:rPr>
  </w:style>
  <w:style w:type="paragraph" w:customStyle="1" w:styleId="Paper">
    <w:name w:val="Paper"/>
    <w:basedOn w:val="Normal"/>
    <w:rsid w:val="00423789"/>
    <w:pPr>
      <w:spacing w:after="360" w:line="440" w:lineRule="exact"/>
      <w:jc w:val="right"/>
    </w:pPr>
    <w:rPr>
      <w:rFonts w:ascii="Helvetica" w:hAnsi="Helvetica"/>
      <w:b/>
      <w:sz w:val="36"/>
      <w:szCs w:val="20"/>
      <w:lang w:val="en-US" w:eastAsia="en-US"/>
    </w:rPr>
  </w:style>
  <w:style w:type="paragraph" w:styleId="Signature">
    <w:name w:val="Signature"/>
    <w:basedOn w:val="Normal"/>
    <w:rsid w:val="00423789"/>
    <w:pPr>
      <w:ind w:left="4320"/>
    </w:pPr>
    <w:rPr>
      <w:rFonts w:ascii="Helvetica" w:hAnsi="Helvetica"/>
      <w:sz w:val="20"/>
      <w:szCs w:val="20"/>
      <w:lang w:val="en-US" w:eastAsia="en-US"/>
    </w:r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rPr>
      <w:rFonts w:ascii="Helvetica" w:hAnsi="Helvetica"/>
      <w:sz w:val="20"/>
      <w:szCs w:val="20"/>
      <w:lang w:val="en-US" w:eastAsia="en-US"/>
    </w:r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sz w:val="20"/>
      <w:szCs w:val="20"/>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lang w:val="en-US" w:eastAsia="en-US"/>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rFonts w:ascii="Helvetica" w:hAnsi="Helvetica"/>
      <w:sz w:val="16"/>
      <w:szCs w:val="16"/>
      <w:lang w:val="en-US" w:eastAsia="en-US"/>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p1">
    <w:name w:val="p1"/>
    <w:basedOn w:val="Normal"/>
    <w:rsid w:val="00C506AE"/>
    <w:rPr>
      <w:rFonts w:ascii="Helvetica" w:hAnsi="Helvetica"/>
      <w:color w:val="000000"/>
      <w:sz w:val="14"/>
      <w:szCs w:val="14"/>
    </w:rPr>
  </w:style>
  <w:style w:type="character" w:customStyle="1" w:styleId="s1">
    <w:name w:val="s1"/>
    <w:basedOn w:val="DefaultParagraphFont"/>
    <w:rsid w:val="0069282C"/>
    <w:rPr>
      <w:rFonts w:ascii="Helvetica" w:hAnsi="Helvetica" w:hint="default"/>
      <w:sz w:val="9"/>
      <w:szCs w:val="9"/>
    </w:rPr>
  </w:style>
  <w:style w:type="paragraph" w:styleId="NormalWeb">
    <w:name w:val="Normal (Web)"/>
    <w:basedOn w:val="Normal"/>
    <w:uiPriority w:val="99"/>
    <w:unhideWhenUsed/>
    <w:rsid w:val="00E215D1"/>
    <w:pPr>
      <w:spacing w:before="100" w:beforeAutospacing="1" w:after="100" w:afterAutospacing="1"/>
    </w:pPr>
  </w:style>
  <w:style w:type="character" w:styleId="Strong">
    <w:name w:val="Strong"/>
    <w:basedOn w:val="DefaultParagraphFont"/>
    <w:uiPriority w:val="22"/>
    <w:qFormat/>
    <w:rsid w:val="00F02502"/>
    <w:rPr>
      <w:b/>
      <w:bCs/>
    </w:rPr>
  </w:style>
  <w:style w:type="character" w:customStyle="1" w:styleId="Heading3Char">
    <w:name w:val="Heading 3 Char"/>
    <w:basedOn w:val="DefaultParagraphFont"/>
    <w:link w:val="Heading3"/>
    <w:uiPriority w:val="9"/>
    <w:rsid w:val="00F02502"/>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DefaultParagraphFont"/>
    <w:rsid w:val="00AE60CB"/>
  </w:style>
  <w:style w:type="table" w:styleId="TableGridLight">
    <w:name w:val="Grid Table Light"/>
    <w:basedOn w:val="TableNormal"/>
    <w:uiPriority w:val="40"/>
    <w:rsid w:val="0094278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4278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7318D2"/>
    <w:rPr>
      <w:rFonts w:asciiTheme="minorHAnsi" w:eastAsiaTheme="minorHAnsi" w:hAnsiTheme="minorHAnsi" w:cstheme="minorBidi"/>
      <w:sz w:val="22"/>
      <w:szCs w:val="22"/>
      <w:lang w:val="en-GB"/>
    </w:rPr>
  </w:style>
  <w:style w:type="paragraph" w:styleId="ListParagraph">
    <w:name w:val="List Paragraph"/>
    <w:basedOn w:val="Normal"/>
    <w:uiPriority w:val="34"/>
    <w:qFormat/>
    <w:rsid w:val="00BD11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111/jac.12365"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111/pce.12589"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doi.org/10.1016/j.fcr.2019.1075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39/CJPS-2017-0073"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fao.org/faostat/en/" TargetMode="External"/><Relationship Id="rId28" Type="http://schemas.openxmlformats.org/officeDocument/2006/relationships/hyperlink" Target="https://doi.org/10.24154/JHS.2020.v15i01.008"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389/fpls.2022.1108276" TargetMode="External"/><Relationship Id="rId27" Type="http://schemas.openxmlformats.org/officeDocument/2006/relationships/hyperlink" Target="https://doi.org/10.1007/s12298-020-00803-4" TargetMode="Externa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CEDCD-F800-44C9-BB9E-E55E8A0D4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556</TotalTime>
  <Pages>16</Pages>
  <Words>5918</Words>
  <Characters>33204</Characters>
  <Application>Microsoft Office Word</Application>
  <DocSecurity>0</DocSecurity>
  <Lines>3018</Lines>
  <Paragraphs>2301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36821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SHASHANK DIWAKAR</cp:lastModifiedBy>
  <cp:revision>160</cp:revision>
  <cp:lastPrinted>1999-07-06T11:00:00Z</cp:lastPrinted>
  <dcterms:created xsi:type="dcterms:W3CDTF">2014-10-25T14:34:00Z</dcterms:created>
  <dcterms:modified xsi:type="dcterms:W3CDTF">2026-04-08T14:20:00Z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c2ea69-e800-424d-84c8-69e13a7857ad_Enabled">
    <vt:lpwstr>true</vt:lpwstr>
  </property>
  <property fmtid="{D5CDD505-2E9C-101B-9397-08002B2CF9AE}" pid="3" name="MSIP_Label_3cc2ea69-e800-424d-84c8-69e13a7857ad_SetDate">
    <vt:lpwstr>2026-04-02T18:03:30Z</vt:lpwstr>
  </property>
  <property fmtid="{D5CDD505-2E9C-101B-9397-08002B2CF9AE}" pid="4" name="MSIP_Label_3cc2ea69-e800-424d-84c8-69e13a7857ad_Method">
    <vt:lpwstr>Privileged</vt:lpwstr>
  </property>
  <property fmtid="{D5CDD505-2E9C-101B-9397-08002B2CF9AE}" pid="5" name="MSIP_Label_3cc2ea69-e800-424d-84c8-69e13a7857ad_Name">
    <vt:lpwstr>Public</vt:lpwstr>
  </property>
  <property fmtid="{D5CDD505-2E9C-101B-9397-08002B2CF9AE}" pid="6" name="MSIP_Label_3cc2ea69-e800-424d-84c8-69e13a7857ad_SiteId">
    <vt:lpwstr>46701b23-cd77-488a-b5cd-723b90824131</vt:lpwstr>
  </property>
  <property fmtid="{D5CDD505-2E9C-101B-9397-08002B2CF9AE}" pid="7" name="MSIP_Label_3cc2ea69-e800-424d-84c8-69e13a7857ad_ActionId">
    <vt:lpwstr>6dc1e1b9-87fd-4b9d-a292-dc67a767b978</vt:lpwstr>
  </property>
  <property fmtid="{D5CDD505-2E9C-101B-9397-08002B2CF9AE}" pid="8" name="MSIP_Label_3cc2ea69-e800-424d-84c8-69e13a7857ad_ContentBits">
    <vt:lpwstr>2</vt:lpwstr>
  </property>
  <property fmtid="{D5CDD505-2E9C-101B-9397-08002B2CF9AE}" pid="9" name="MSIP_Label_3cc2ea69-e800-424d-84c8-69e13a7857ad_Tag">
    <vt:lpwstr>50, 0, 1, 1</vt:lpwstr>
  </property>
</Properties>
</file>