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D52" w:rsidRDefault="004D14CF">
      <w:pPr>
        <w:spacing w:after="0"/>
        <w:ind w:left="426" w:right="403"/>
        <w:jc w:val="center"/>
        <w:rPr>
          <w:b/>
          <w:bCs/>
          <w:color w:val="000000"/>
          <w:u w:val="single"/>
        </w:rPr>
      </w:pPr>
      <w:r>
        <w:rPr>
          <w:b/>
          <w:bCs/>
          <w:color w:val="000000"/>
          <w:u w:val="single"/>
        </w:rPr>
        <w:t>Review Article</w:t>
      </w:r>
    </w:p>
    <w:p w:rsidR="00040D52" w:rsidRDefault="004D14CF">
      <w:pPr>
        <w:spacing w:after="0"/>
        <w:ind w:left="426" w:right="403"/>
        <w:jc w:val="center"/>
        <w:rPr>
          <w:b/>
          <w:bCs/>
          <w:color w:val="000000"/>
        </w:rPr>
      </w:pPr>
      <w:r>
        <w:rPr>
          <w:b/>
          <w:bCs/>
          <w:color w:val="000000"/>
        </w:rPr>
        <w:t>“Salinity Stress in Millets: Implications for Food Security and Climate Resilience”</w:t>
      </w:r>
    </w:p>
    <w:p w:rsidR="00040D52" w:rsidRDefault="00040D52">
      <w:pPr>
        <w:pBdr>
          <w:bottom w:val="single" w:sz="4" w:space="1" w:color="000000"/>
        </w:pBdr>
        <w:tabs>
          <w:tab w:val="left" w:pos="8364"/>
        </w:tabs>
        <w:spacing w:line="240" w:lineRule="auto"/>
        <w:ind w:left="426" w:right="403"/>
        <w:jc w:val="center"/>
        <w:rPr>
          <w:b/>
          <w:bCs/>
          <w:color w:val="000000"/>
        </w:rPr>
      </w:pPr>
    </w:p>
    <w:p w:rsidR="00040D52" w:rsidRDefault="004D14CF">
      <w:pPr>
        <w:pBdr>
          <w:bottom w:val="single" w:sz="4" w:space="1" w:color="000000"/>
        </w:pBdr>
        <w:tabs>
          <w:tab w:val="left" w:pos="8364"/>
        </w:tabs>
        <w:spacing w:line="240" w:lineRule="auto"/>
        <w:ind w:left="426" w:right="403"/>
        <w:jc w:val="center"/>
        <w:rPr>
          <w:b/>
          <w:bCs/>
          <w:color w:val="000000"/>
        </w:rPr>
      </w:pPr>
      <w:r>
        <w:rPr>
          <w:b/>
          <w:bCs/>
          <w:color w:val="000000"/>
        </w:rPr>
        <w:t>ABSTRACT</w:t>
      </w:r>
    </w:p>
    <w:p w:rsidR="00040D52" w:rsidRDefault="004D14CF">
      <w:pPr>
        <w:spacing w:line="360" w:lineRule="auto"/>
        <w:ind w:left="426" w:right="-46" w:firstLine="426"/>
        <w:rPr>
          <w:color w:val="000000"/>
        </w:rPr>
      </w:pPr>
      <w:r>
        <w:rPr>
          <w:color w:val="000000"/>
        </w:rPr>
        <w:t>Salinity stress is a major abiotic constraint limiting crop productivity, particularly in arid and semi-arid regions where altered precipitation patterns and high evapotranspira</w:t>
      </w:r>
      <w:r>
        <w:rPr>
          <w:color w:val="000000"/>
        </w:rPr>
        <w:t>tion accelerate soil salinization. Millets, including pearl millet, finger millet, and foxtail millet, are recognized as climate-resilient crops with remarkable adaptability to marginal environments. Despite their inherent tolerance, salinity adversely aff</w:t>
      </w:r>
      <w:r>
        <w:rPr>
          <w:color w:val="000000"/>
        </w:rPr>
        <w:t>ects their growth, germination, physiological functions, and yield through osmotic stress, ionic toxicity, and oxidative damage. This review synthesizes current knowledge on the physiological, biochemical, and molecular mechanisms underlying salinity toler</w:t>
      </w:r>
      <w:r>
        <w:rPr>
          <w:color w:val="000000"/>
        </w:rPr>
        <w:t>ance in millets, highlighting the role of osmolyte accumulation, antioxidant defense systems, ion homeostasis, and stress-responsive signalling pathways such as the SOS pathway. Recent advances in genomics, transcriptomics, and molecular breeding have faci</w:t>
      </w:r>
      <w:r>
        <w:rPr>
          <w:color w:val="000000"/>
        </w:rPr>
        <w:t>litated the identification of key genes and quantitative trait loci associated with salinity tolerance. Biotechnological approaches, including transgenic strategies, gene pyramiding, and CRISPR/Cas-mediated genome editing, offer promising avenues for enhan</w:t>
      </w:r>
      <w:r>
        <w:rPr>
          <w:color w:val="000000"/>
        </w:rPr>
        <w:t>cing stress tolerance in millet crops. However, challenges such as limited genomic resources and transformation efficiency, particularly in finger millet, restrict the widespread application of these technologies. In addition to genetic improvement, agrono</w:t>
      </w:r>
      <w:r>
        <w:rPr>
          <w:color w:val="000000"/>
        </w:rPr>
        <w:t>mic interventions such as efficient irrigation, nutrient management, and the application of organic amendments (e.g., biochar, compost, and manure) play a crucial role in mitigating salinity stress and improving soil health. The integration of conventional</w:t>
      </w:r>
      <w:r>
        <w:rPr>
          <w:color w:val="000000"/>
        </w:rPr>
        <w:t xml:space="preserve"> breeding, modern biotechnological tools, and sustainable agronomic practices is essential for developing salinity-resilient millet cultivars. Overall, millets hold significant potential for ensuring food and nutritional security under saline and climate-s</w:t>
      </w:r>
      <w:r>
        <w:rPr>
          <w:color w:val="000000"/>
        </w:rPr>
        <w:t>tressed environments. Future research should focus on multi-disciplinary approaches, including high-throughput phenotyping, genome sequencing, and precision breeding, to accelerate the development of stress-tolerant and high-yielding millet varieties.</w:t>
      </w:r>
    </w:p>
    <w:p w:rsidR="00040D52" w:rsidRDefault="004D14CF">
      <w:pPr>
        <w:spacing w:line="360" w:lineRule="auto"/>
        <w:ind w:left="426" w:right="403"/>
        <w:rPr>
          <w:color w:val="000000"/>
        </w:rPr>
      </w:pPr>
      <w:r>
        <w:rPr>
          <w:b/>
          <w:bCs/>
          <w:color w:val="000000"/>
        </w:rPr>
        <w:t>Keyw</w:t>
      </w:r>
      <w:r>
        <w:rPr>
          <w:b/>
          <w:bCs/>
          <w:color w:val="000000"/>
        </w:rPr>
        <w:t xml:space="preserve">ords: </w:t>
      </w:r>
      <w:r>
        <w:rPr>
          <w:color w:val="000000"/>
        </w:rPr>
        <w:t>Salinity stress, Millets, Abiotic stress tolerance and CRISPR/Cas genome editing.</w:t>
      </w:r>
      <w:r>
        <w:rPr>
          <w:noProof/>
        </w:rPr>
        <mc:AlternateContent>
          <mc:Choice Requires="wps">
            <w:drawing>
              <wp:anchor distT="0" distB="0" distL="114300" distR="114300" simplePos="0" relativeHeight="251658240" behindDoc="0" locked="0" layoutInCell="1" hidden="0" allowOverlap="1">
                <wp:simplePos x="0" y="0"/>
                <wp:positionH relativeFrom="column">
                  <wp:posOffset>-104774</wp:posOffset>
                </wp:positionH>
                <wp:positionV relativeFrom="paragraph">
                  <wp:posOffset>481552</wp:posOffset>
                </wp:positionV>
                <wp:extent cx="59531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953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-104774</wp:posOffset>
                </wp:positionH>
                <wp:positionV relativeFrom="paragraph">
                  <wp:posOffset>481552</wp:posOffset>
                </wp:positionV>
                <wp:extent cx="5981700" cy="3810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81700" cy="38100"/>
                        </a:xfrm>
                        <a:prstGeom prst="rect"/>
                        <a:ln/>
                      </pic:spPr>
                    </pic:pic>
                  </a:graphicData>
                </a:graphic>
              </wp:anchor>
            </w:drawing>
          </mc:Fallback>
        </mc:AlternateContent>
      </w:r>
    </w:p>
    <w:p w:rsidR="00040D52" w:rsidRDefault="00040D52">
      <w:pPr>
        <w:tabs>
          <w:tab w:val="left" w:pos="8364"/>
        </w:tabs>
        <w:spacing w:line="360" w:lineRule="auto"/>
        <w:ind w:left="426" w:right="403"/>
        <w:rPr>
          <w:b/>
          <w:bCs/>
          <w:color w:val="000000"/>
        </w:rPr>
      </w:pPr>
    </w:p>
    <w:p w:rsidR="00040D52" w:rsidRDefault="004D14CF">
      <w:pPr>
        <w:ind w:left="426" w:right="403"/>
        <w:rPr>
          <w:color w:val="000000"/>
        </w:rPr>
      </w:pPr>
      <w:r>
        <w:rPr>
          <w:b/>
          <w:bCs/>
          <w:color w:val="000000"/>
          <w:sz w:val="32"/>
          <w:szCs w:val="32"/>
        </w:rPr>
        <w:lastRenderedPageBreak/>
        <w:t>P</w:t>
      </w:r>
      <w:r>
        <w:rPr>
          <w:color w:val="000000"/>
        </w:rPr>
        <w:t>rojected climate change scenarios predominantly indicate alterations in precipitation distribution patterns rather than total rainfall volume, resulting in prolonged drought episodes interspersed with periods of waterlogging and progressive soil salinizati</w:t>
      </w:r>
      <w:r>
        <w:rPr>
          <w:color w:val="000000"/>
        </w:rPr>
        <w:t>on. Among abiotic stresses, salinity stands as a principal constraint affecting plant growth, germination, and yield performance (</w:t>
      </w:r>
      <w:r>
        <w:rPr>
          <w:b/>
          <w:bCs/>
          <w:color w:val="000000"/>
        </w:rPr>
        <w:t xml:space="preserve">Sairam </w:t>
      </w:r>
      <w:r>
        <w:rPr>
          <w:b/>
          <w:bCs/>
          <w:i/>
          <w:iCs/>
          <w:color w:val="000000"/>
        </w:rPr>
        <w:t>et al.</w:t>
      </w:r>
      <w:r>
        <w:rPr>
          <w:b/>
          <w:bCs/>
          <w:color w:val="000000"/>
        </w:rPr>
        <w:t>, 2002</w:t>
      </w:r>
      <w:r>
        <w:rPr>
          <w:color w:val="000000"/>
        </w:rPr>
        <w:t>). It refers to the gradual accumulation of soluble salts within the soil profile, a phenomenon particularl</w:t>
      </w:r>
      <w:r>
        <w:rPr>
          <w:color w:val="000000"/>
        </w:rPr>
        <w:t>y prevalent in arid and semi-arid ecosystems where elevated evapotranspiration rates and insufficient rainfall hinder effective salt leaching from the rhizosphere (</w:t>
      </w:r>
      <w:r>
        <w:rPr>
          <w:b/>
          <w:bCs/>
          <w:color w:val="000000"/>
        </w:rPr>
        <w:t>Al-Hilal, 1999</w:t>
      </w:r>
      <w:r>
        <w:rPr>
          <w:color w:val="000000"/>
        </w:rPr>
        <w:t>). Millets, cultivated since antiquity, have recently garnered renewed scienti</w:t>
      </w:r>
      <w:r>
        <w:rPr>
          <w:color w:val="000000"/>
        </w:rPr>
        <w:t>fic and agricultural interest owing to their exceptional nutritional profile and remarkable ecological adaptability. Among them, pearl millet (</w:t>
      </w:r>
      <w:r>
        <w:rPr>
          <w:i/>
          <w:iCs/>
          <w:color w:val="000000"/>
        </w:rPr>
        <w:t>Pennisetum glaucum</w:t>
      </w:r>
      <w:r>
        <w:rPr>
          <w:color w:val="000000"/>
        </w:rPr>
        <w:t xml:space="preserve"> L.) is distinguished by its robust tolerance to multiple environmental stresses, notably its c</w:t>
      </w:r>
      <w:r>
        <w:rPr>
          <w:color w:val="000000"/>
        </w:rPr>
        <w:t>apacity to withstand high salinity levels. It is recognized as a strategically important crop for climate resilience and food security enhancement. Its agronomic advantages include dual-purpose utility (grain and fodder), rapid growth cycle, and short matu</w:t>
      </w:r>
      <w:r>
        <w:rPr>
          <w:color w:val="000000"/>
        </w:rPr>
        <w:t>rity duration, making it particularly suitable for marginal environments.</w:t>
      </w:r>
    </w:p>
    <w:p w:rsidR="00040D52" w:rsidRDefault="004D14CF">
      <w:pPr>
        <w:ind w:left="426" w:right="403"/>
        <w:rPr>
          <w:color w:val="000000"/>
        </w:rPr>
      </w:pPr>
      <w:r>
        <w:rPr>
          <w:color w:val="000000"/>
        </w:rPr>
        <w:t>Salinity constitutes a pervasive environmental stressor in arid and coastal agroecosystems. Globally, approximately 40 million hectares of irrigated land and over 3% of total land ar</w:t>
      </w:r>
      <w:r>
        <w:rPr>
          <w:color w:val="000000"/>
        </w:rPr>
        <w:t>ea are adversely impacted by salinity, resulting in substantial yield limitations (</w:t>
      </w:r>
      <w:r>
        <w:rPr>
          <w:b/>
          <w:bCs/>
          <w:color w:val="000000"/>
        </w:rPr>
        <w:t xml:space="preserve">FAO, 2019; Norlyn &amp; Epstein, 1984; Pons </w:t>
      </w:r>
      <w:r>
        <w:rPr>
          <w:b/>
          <w:bCs/>
          <w:i/>
          <w:iCs/>
          <w:color w:val="000000"/>
        </w:rPr>
        <w:t>et al.</w:t>
      </w:r>
      <w:r>
        <w:rPr>
          <w:b/>
          <w:bCs/>
          <w:color w:val="000000"/>
        </w:rPr>
        <w:t>, 2011</w:t>
      </w:r>
      <w:r>
        <w:rPr>
          <w:color w:val="000000"/>
        </w:rPr>
        <w:t>). In India, salinity has degraded nearly 5.95 million hectares of land, contributing to an estimated 6.2 million tons of</w:t>
      </w:r>
      <w:r>
        <w:rPr>
          <w:color w:val="000000"/>
        </w:rPr>
        <w:t xml:space="preserve"> productivity loss. Notably, 48% of salt-affected soils are concentrated in Haryana, Punjab, Rajasthan, Gujarat, and Andhra Pradesh (</w:t>
      </w:r>
      <w:r>
        <w:rPr>
          <w:b/>
          <w:bCs/>
          <w:color w:val="000000"/>
        </w:rPr>
        <w:t xml:space="preserve">Singh </w:t>
      </w:r>
      <w:r>
        <w:rPr>
          <w:b/>
          <w:bCs/>
          <w:i/>
          <w:iCs/>
          <w:color w:val="000000"/>
        </w:rPr>
        <w:t>et al.</w:t>
      </w:r>
      <w:r>
        <w:rPr>
          <w:b/>
          <w:bCs/>
          <w:color w:val="000000"/>
        </w:rPr>
        <w:t xml:space="preserve">, 2020; Mandal </w:t>
      </w:r>
      <w:r>
        <w:rPr>
          <w:b/>
          <w:bCs/>
          <w:i/>
          <w:iCs/>
          <w:color w:val="000000"/>
        </w:rPr>
        <w:t>et al.</w:t>
      </w:r>
      <w:r>
        <w:rPr>
          <w:b/>
          <w:bCs/>
          <w:color w:val="000000"/>
        </w:rPr>
        <w:t>, 2010</w:t>
      </w:r>
      <w:r>
        <w:rPr>
          <w:color w:val="000000"/>
        </w:rPr>
        <w:t>).</w:t>
      </w:r>
    </w:p>
    <w:p w:rsidR="00040D52" w:rsidRDefault="004D14CF">
      <w:pPr>
        <w:ind w:left="426" w:right="403"/>
        <w:rPr>
          <w:color w:val="000000"/>
        </w:rPr>
      </w:pPr>
      <w:r>
        <w:rPr>
          <w:color w:val="000000"/>
        </w:rPr>
        <w:t>The deleterious effects of salinity on plant systems arise primarily through osmotic stress and ionic toxicity. Elevated salt concentrations increase the osmotic potential of the soil solution, inducing initial osmotic stress, followed by ionic toxicity du</w:t>
      </w:r>
      <w:r>
        <w:rPr>
          <w:color w:val="000000"/>
        </w:rPr>
        <w:t>e to the accumulation of harmful ions in photosynthetic tissues (</w:t>
      </w:r>
      <w:r>
        <w:rPr>
          <w:b/>
          <w:bCs/>
          <w:color w:val="000000"/>
        </w:rPr>
        <w:t xml:space="preserve">Hanin </w:t>
      </w:r>
      <w:r>
        <w:rPr>
          <w:b/>
          <w:bCs/>
          <w:i/>
          <w:iCs/>
          <w:color w:val="000000"/>
        </w:rPr>
        <w:t>et al.</w:t>
      </w:r>
      <w:r>
        <w:rPr>
          <w:b/>
          <w:bCs/>
          <w:color w:val="000000"/>
        </w:rPr>
        <w:t>, 2016</w:t>
      </w:r>
      <w:r>
        <w:rPr>
          <w:color w:val="000000"/>
        </w:rPr>
        <w:t>). Roots, being the primary interface with saline environments, are the first to perceive and respond to salt stress. This stress disrupts water and nutrient uptake, leading</w:t>
      </w:r>
      <w:r>
        <w:rPr>
          <w:color w:val="000000"/>
        </w:rPr>
        <w:t xml:space="preserve"> to cellular imbalance, reduced root elongation, impaired development, and diminished plant vigor (</w:t>
      </w:r>
      <w:r>
        <w:rPr>
          <w:b/>
          <w:bCs/>
          <w:color w:val="000000"/>
        </w:rPr>
        <w:t>Munns &amp; Tester, 2008</w:t>
      </w:r>
      <w:r>
        <w:rPr>
          <w:color w:val="000000"/>
        </w:rPr>
        <w:t>).</w:t>
      </w:r>
    </w:p>
    <w:p w:rsidR="00040D52" w:rsidRDefault="004D14CF">
      <w:pPr>
        <w:ind w:left="426" w:right="403"/>
        <w:rPr>
          <w:color w:val="000000"/>
        </w:rPr>
      </w:pPr>
      <w:r>
        <w:rPr>
          <w:color w:val="000000"/>
        </w:rPr>
        <w:t>Furthermore, saline conditions induce hyperosmotic stress, adversely influencing root physiology and associated microbial interactions</w:t>
      </w:r>
      <w:r>
        <w:rPr>
          <w:color w:val="000000"/>
        </w:rPr>
        <w:t xml:space="preserve"> (</w:t>
      </w:r>
      <w:r>
        <w:rPr>
          <w:b/>
          <w:bCs/>
          <w:color w:val="000000"/>
        </w:rPr>
        <w:t xml:space="preserve">Abbas </w:t>
      </w:r>
      <w:r>
        <w:rPr>
          <w:b/>
          <w:bCs/>
          <w:i/>
          <w:iCs/>
          <w:color w:val="000000"/>
        </w:rPr>
        <w:t>et al.</w:t>
      </w:r>
      <w:r>
        <w:rPr>
          <w:b/>
          <w:bCs/>
          <w:color w:val="000000"/>
        </w:rPr>
        <w:t>, 2019</w:t>
      </w:r>
      <w:r>
        <w:rPr>
          <w:color w:val="000000"/>
        </w:rPr>
        <w:t xml:space="preserve">). Irrigation with saline water, particularly in coastal regions, has been reported to cause irreversible </w:t>
      </w:r>
      <w:r>
        <w:rPr>
          <w:color w:val="000000"/>
        </w:rPr>
        <w:lastRenderedPageBreak/>
        <w:t>physiological damage (</w:t>
      </w:r>
      <w:r>
        <w:rPr>
          <w:b/>
          <w:bCs/>
          <w:color w:val="000000"/>
        </w:rPr>
        <w:t xml:space="preserve">Zuazao </w:t>
      </w:r>
      <w:r>
        <w:rPr>
          <w:b/>
          <w:bCs/>
          <w:i/>
          <w:iCs/>
          <w:color w:val="000000"/>
        </w:rPr>
        <w:t>et al.</w:t>
      </w:r>
      <w:r>
        <w:rPr>
          <w:b/>
          <w:bCs/>
          <w:color w:val="000000"/>
        </w:rPr>
        <w:t>, 2004</w:t>
      </w:r>
      <w:r>
        <w:rPr>
          <w:color w:val="000000"/>
        </w:rPr>
        <w:t xml:space="preserve">). At the cellular level, salt stress elevates caspase activity, reactive oxygen species </w:t>
      </w:r>
      <w:r>
        <w:rPr>
          <w:color w:val="000000"/>
        </w:rPr>
        <w:t>(ROS), hydrogen peroxide, and lipid peroxidation, all of which contribute to oxidative damage (</w:t>
      </w:r>
      <w:r>
        <w:rPr>
          <w:b/>
          <w:bCs/>
          <w:color w:val="000000"/>
        </w:rPr>
        <w:t xml:space="preserve">Striker </w:t>
      </w:r>
      <w:r>
        <w:rPr>
          <w:b/>
          <w:bCs/>
          <w:i/>
          <w:iCs/>
          <w:color w:val="000000"/>
        </w:rPr>
        <w:t>et al.</w:t>
      </w:r>
      <w:r>
        <w:rPr>
          <w:b/>
          <w:bCs/>
          <w:color w:val="000000"/>
        </w:rPr>
        <w:t>, 2015</w:t>
      </w:r>
      <w:r>
        <w:rPr>
          <w:color w:val="000000"/>
        </w:rPr>
        <w:t>).</w:t>
      </w:r>
    </w:p>
    <w:p w:rsidR="00040D52" w:rsidRDefault="004D14CF">
      <w:pPr>
        <w:ind w:left="426" w:right="403"/>
        <w:rPr>
          <w:color w:val="000000"/>
        </w:rPr>
      </w:pPr>
      <w:r>
        <w:rPr>
          <w:color w:val="000000"/>
        </w:rPr>
        <w:t>A reduction in osmotic potential under saline conditions hampers efficient nutrient translocation within plant tissues. Two prominent phys</w:t>
      </w:r>
      <w:r>
        <w:rPr>
          <w:color w:val="000000"/>
        </w:rPr>
        <w:t>iological manifestations include:</w:t>
      </w:r>
    </w:p>
    <w:p w:rsidR="00040D52" w:rsidRDefault="004D14CF">
      <w:pPr>
        <w:numPr>
          <w:ilvl w:val="0"/>
          <w:numId w:val="1"/>
        </w:numPr>
        <w:pBdr>
          <w:top w:val="nil"/>
          <w:left w:val="nil"/>
          <w:bottom w:val="nil"/>
          <w:right w:val="nil"/>
          <w:between w:val="nil"/>
        </w:pBdr>
        <w:spacing w:after="0" w:line="358" w:lineRule="auto"/>
        <w:ind w:right="403"/>
        <w:rPr>
          <w:color w:val="000000"/>
        </w:rPr>
      </w:pPr>
      <w:r>
        <w:rPr>
          <w:color w:val="000000"/>
        </w:rPr>
        <w:t>reduced leaf emergence rate, and</w:t>
      </w:r>
    </w:p>
    <w:p w:rsidR="00040D52" w:rsidRDefault="004D14CF">
      <w:pPr>
        <w:numPr>
          <w:ilvl w:val="0"/>
          <w:numId w:val="1"/>
        </w:numPr>
        <w:pBdr>
          <w:top w:val="nil"/>
          <w:left w:val="nil"/>
          <w:bottom w:val="nil"/>
          <w:right w:val="nil"/>
          <w:between w:val="nil"/>
        </w:pBdr>
        <w:spacing w:line="358" w:lineRule="auto"/>
        <w:ind w:right="403"/>
        <w:rPr>
          <w:color w:val="000000"/>
        </w:rPr>
      </w:pPr>
      <w:r>
        <w:rPr>
          <w:color w:val="000000"/>
        </w:rPr>
        <w:t xml:space="preserve">visible toxicity symptoms such as chlorosis and necrosis in mature leaves (Rahaman </w:t>
      </w:r>
      <w:r>
        <w:rPr>
          <w:i/>
          <w:iCs/>
          <w:color w:val="000000"/>
        </w:rPr>
        <w:t>et al.</w:t>
      </w:r>
      <w:r>
        <w:rPr>
          <w:color w:val="000000"/>
        </w:rPr>
        <w:t>, 2014).</w:t>
      </w:r>
    </w:p>
    <w:p w:rsidR="00040D52" w:rsidRDefault="004D14CF">
      <w:pPr>
        <w:ind w:left="426" w:right="403"/>
        <w:rPr>
          <w:color w:val="000000"/>
        </w:rPr>
      </w:pPr>
      <w:r>
        <w:rPr>
          <w:color w:val="000000"/>
        </w:rPr>
        <w:t>Plant growth and productivity are intrinsically linked to successful seed germination (</w:t>
      </w:r>
      <w:r>
        <w:rPr>
          <w:b/>
          <w:bCs/>
          <w:color w:val="000000"/>
        </w:rPr>
        <w:t>Tlig</w:t>
      </w:r>
      <w:r>
        <w:rPr>
          <w:b/>
          <w:bCs/>
          <w:color w:val="000000"/>
        </w:rPr>
        <w:t xml:space="preserve"> </w:t>
      </w:r>
      <w:r>
        <w:rPr>
          <w:b/>
          <w:bCs/>
          <w:i/>
          <w:iCs/>
          <w:color w:val="000000"/>
        </w:rPr>
        <w:t>et al.</w:t>
      </w:r>
      <w:r>
        <w:rPr>
          <w:b/>
          <w:bCs/>
          <w:color w:val="000000"/>
        </w:rPr>
        <w:t>, 2008</w:t>
      </w:r>
      <w:r>
        <w:rPr>
          <w:color w:val="000000"/>
        </w:rPr>
        <w:t>). Early developmental stages of millets, particularly finger millet, exhibit heightened sensitivity to salinity and drought stresses (</w:t>
      </w:r>
      <w:r>
        <w:rPr>
          <w:b/>
          <w:bCs/>
          <w:color w:val="000000"/>
        </w:rPr>
        <w:t xml:space="preserve">Hema </w:t>
      </w:r>
      <w:r>
        <w:rPr>
          <w:b/>
          <w:bCs/>
          <w:i/>
          <w:iCs/>
          <w:color w:val="000000"/>
        </w:rPr>
        <w:t>et al.</w:t>
      </w:r>
      <w:r>
        <w:rPr>
          <w:b/>
          <w:bCs/>
          <w:color w:val="000000"/>
        </w:rPr>
        <w:t>, 2014</w:t>
      </w:r>
      <w:r>
        <w:rPr>
          <w:color w:val="000000"/>
        </w:rPr>
        <w:t>). Comparative studies reveal that finger millet is more susceptible to salinity stress tha</w:t>
      </w:r>
      <w:r>
        <w:rPr>
          <w:color w:val="000000"/>
        </w:rPr>
        <w:t>n other cereals such as barley, sorghum, oats, and wheat (</w:t>
      </w:r>
      <w:r>
        <w:rPr>
          <w:b/>
          <w:bCs/>
          <w:color w:val="000000"/>
        </w:rPr>
        <w:t xml:space="preserve">Bray </w:t>
      </w:r>
      <w:r>
        <w:rPr>
          <w:b/>
          <w:bCs/>
          <w:i/>
          <w:iCs/>
          <w:color w:val="000000"/>
        </w:rPr>
        <w:t>et al.</w:t>
      </w:r>
      <w:r>
        <w:rPr>
          <w:b/>
          <w:bCs/>
          <w:color w:val="000000"/>
        </w:rPr>
        <w:t>, 2000</w:t>
      </w:r>
      <w:r>
        <w:rPr>
          <w:color w:val="000000"/>
        </w:rPr>
        <w:t>). Even short-term exposure to salinity can significantly impair germination, root and shoot elongation, relative water content, photosynthetic pigment levels, protein synthesis, pr</w:t>
      </w:r>
      <w:r>
        <w:rPr>
          <w:color w:val="000000"/>
        </w:rPr>
        <w:t>oline accumulation, and reducing sugar content in finger millet (</w:t>
      </w:r>
      <w:r>
        <w:rPr>
          <w:b/>
          <w:bCs/>
          <w:color w:val="000000"/>
        </w:rPr>
        <w:t xml:space="preserve">Dugasa </w:t>
      </w:r>
      <w:r>
        <w:rPr>
          <w:b/>
          <w:bCs/>
          <w:i/>
          <w:iCs/>
          <w:color w:val="000000"/>
        </w:rPr>
        <w:t>et al.</w:t>
      </w:r>
      <w:r>
        <w:rPr>
          <w:b/>
          <w:bCs/>
          <w:color w:val="000000"/>
        </w:rPr>
        <w:t>, 2019; Kumar &amp; Khare, 2016</w:t>
      </w:r>
      <w:r>
        <w:rPr>
          <w:color w:val="000000"/>
        </w:rPr>
        <w:t>). Salinity stress is particularly detrimental in arid and semi-arid regions, where soluble salts reduce soil water availability by increasing water-bi</w:t>
      </w:r>
      <w:r>
        <w:rPr>
          <w:color w:val="000000"/>
        </w:rPr>
        <w:t>nding strength, thereby limiting plant uptake. Crop responses to salinity vary, but most species exhibit reduced growth rates, decreased tillering and branching, and impaired reproductive development over time.</w:t>
      </w:r>
    </w:p>
    <w:p w:rsidR="00040D52" w:rsidRDefault="004D14CF">
      <w:pPr>
        <w:ind w:left="426" w:right="403"/>
        <w:rPr>
          <w:color w:val="000000"/>
        </w:rPr>
      </w:pPr>
      <w:r>
        <w:rPr>
          <w:color w:val="000000"/>
        </w:rPr>
        <w:t>India faces extensive salinity challenges, wi</w:t>
      </w:r>
      <w:r>
        <w:rPr>
          <w:color w:val="000000"/>
        </w:rPr>
        <w:t>th over 6.7 million hectares affected, including saline, alkaline, and coastal soils. States such as Gujarat and Uttar Pradesh are disproportionately impacted, while the Indo-Gangetic plains and several peninsular regions face escalating ecological concern</w:t>
      </w:r>
      <w:r>
        <w:rPr>
          <w:color w:val="000000"/>
        </w:rPr>
        <w:t>s due to soil salinization. Millets, often termed “Nutri-Cereals,” are nutritionally superior crops offering significant health benefits. Pearl millet is particularly rich in iron (4–8 mg/100 g), making it effective in combating anemia (</w:t>
      </w:r>
      <w:r>
        <w:rPr>
          <w:b/>
          <w:bCs/>
          <w:color w:val="000000"/>
        </w:rPr>
        <w:t xml:space="preserve">Thrupthi </w:t>
      </w:r>
      <w:r>
        <w:rPr>
          <w:b/>
          <w:bCs/>
          <w:i/>
          <w:iCs/>
          <w:color w:val="000000"/>
        </w:rPr>
        <w:t>et al.</w:t>
      </w:r>
      <w:r>
        <w:rPr>
          <w:b/>
          <w:bCs/>
          <w:color w:val="000000"/>
        </w:rPr>
        <w:t>, 20</w:t>
      </w:r>
      <w:r>
        <w:rPr>
          <w:b/>
          <w:bCs/>
          <w:color w:val="000000"/>
        </w:rPr>
        <w:t>23</w:t>
      </w:r>
      <w:r>
        <w:rPr>
          <w:color w:val="000000"/>
        </w:rPr>
        <w:t>). Millets possess high protein content—approximately double that of milk—while finger millet (ragi) is exceptionally rich in calcium (364 mg/100 g), nearly three times that of milk. Their high dietary fiber content enhances digestion, prevents constipatio</w:t>
      </w:r>
      <w:r>
        <w:rPr>
          <w:color w:val="000000"/>
        </w:rPr>
        <w:t xml:space="preserve">n, and supports gut health through prebiotic functions. India ranks among the leading global producers of millets, with major production centers in Madhya Pradesh, Tamil Nadu, Andhra </w:t>
      </w:r>
      <w:r>
        <w:rPr>
          <w:color w:val="000000"/>
        </w:rPr>
        <w:lastRenderedPageBreak/>
        <w:t>Pradesh, and Uttarakhand, underscoring their significance in the national</w:t>
      </w:r>
      <w:r>
        <w:rPr>
          <w:color w:val="000000"/>
        </w:rPr>
        <w:t xml:space="preserve"> agricultural framework.</w:t>
      </w:r>
    </w:p>
    <w:p w:rsidR="00040D52" w:rsidRDefault="004D14CF">
      <w:pPr>
        <w:ind w:left="426" w:right="403"/>
        <w:rPr>
          <w:b/>
          <w:bCs/>
          <w:color w:val="000000"/>
          <w:sz w:val="28"/>
          <w:szCs w:val="28"/>
        </w:rPr>
      </w:pPr>
      <w:r>
        <w:rPr>
          <w:b/>
          <w:bCs/>
          <w:color w:val="000000"/>
          <w:sz w:val="28"/>
          <w:szCs w:val="28"/>
        </w:rPr>
        <w:t>Salinity Management and Biomass Potential</w:t>
      </w:r>
    </w:p>
    <w:p w:rsidR="00040D52" w:rsidRDefault="004D14CF">
      <w:pPr>
        <w:ind w:left="426" w:right="403"/>
        <w:rPr>
          <w:color w:val="000000"/>
        </w:rPr>
      </w:pPr>
      <w:r>
        <w:rPr>
          <w:color w:val="000000"/>
        </w:rPr>
        <w:t>In dryland and semi-arid regions, conventional salinity management practices such as soil reclamation and improved irrigation systems are often economically unviable, particularly in develo</w:t>
      </w:r>
      <w:r>
        <w:rPr>
          <w:color w:val="000000"/>
        </w:rPr>
        <w:t>ping countries. Consequently, crop improvement strategies emerge as sustainable and cost-effective long-term solutions. Pearl millet, widely cultivated in arid zones, demonstrates significant potential for enhanced productivity under saline conditions. Sim</w:t>
      </w:r>
      <w:r>
        <w:rPr>
          <w:color w:val="000000"/>
        </w:rPr>
        <w:t>ultaneously, rising global energy demands and environmental concerns associated with fossil fuels have intensified interest in renewable energy sources. Biomass represents a viable alternative, and millets—especially pearl millet—are increasingly recognize</w:t>
      </w:r>
      <w:r>
        <w:rPr>
          <w:color w:val="000000"/>
        </w:rPr>
        <w:t>d for their biofuel potential due to high cellulose and hemicellulose content (</w:t>
      </w:r>
      <w:r>
        <w:rPr>
          <w:b/>
          <w:bCs/>
          <w:color w:val="000000"/>
        </w:rPr>
        <w:t xml:space="preserve">Mallikarjuna </w:t>
      </w:r>
      <w:r>
        <w:rPr>
          <w:b/>
          <w:bCs/>
          <w:i/>
          <w:iCs/>
          <w:color w:val="000000"/>
        </w:rPr>
        <w:t>et al.</w:t>
      </w:r>
      <w:r>
        <w:rPr>
          <w:b/>
          <w:bCs/>
          <w:color w:val="000000"/>
        </w:rPr>
        <w:t>, 2023</w:t>
      </w:r>
      <w:r>
        <w:rPr>
          <w:color w:val="000000"/>
        </w:rPr>
        <w:t>).</w:t>
      </w:r>
    </w:p>
    <w:p w:rsidR="00040D52" w:rsidRDefault="004D14CF">
      <w:pPr>
        <w:ind w:left="426" w:right="403"/>
        <w:rPr>
          <w:b/>
          <w:bCs/>
          <w:color w:val="000000"/>
          <w:sz w:val="28"/>
          <w:szCs w:val="28"/>
        </w:rPr>
      </w:pPr>
      <w:r>
        <w:rPr>
          <w:b/>
          <w:bCs/>
          <w:color w:val="000000"/>
          <w:sz w:val="28"/>
          <w:szCs w:val="28"/>
        </w:rPr>
        <w:t>Stress-Tolerant Millets and Their Diversity</w:t>
      </w:r>
    </w:p>
    <w:p w:rsidR="00040D52" w:rsidRDefault="004D14CF">
      <w:pPr>
        <w:ind w:left="426" w:right="403"/>
        <w:rPr>
          <w:color w:val="000000"/>
        </w:rPr>
      </w:pPr>
      <w:r>
        <w:rPr>
          <w:color w:val="000000"/>
        </w:rPr>
        <w:t>Millets are increasingly recognized as climate-resilient, stress-tolerant cereal crops that possess remar</w:t>
      </w:r>
      <w:r>
        <w:rPr>
          <w:color w:val="000000"/>
        </w:rPr>
        <w:t>kable adaptability to harsh agroecological conditions, including drought, salinity, and nutrient-deficient soils. Their intrinsic resilience, coupled with superior nutritional attributes, positions them as strategic crops for ensuring global food and nutri</w:t>
      </w:r>
      <w:r>
        <w:rPr>
          <w:color w:val="000000"/>
        </w:rPr>
        <w:t>tional security under changing climatic scenarios. Unlike major cereals such as rice, wheat, and maize, millets exhibit enhanced tolerance to multiple abiotic stresses, making them highly suitable for cultivation in marginal and degraded lands (</w:t>
      </w:r>
      <w:r>
        <w:rPr>
          <w:b/>
          <w:bCs/>
          <w:color w:val="000000"/>
        </w:rPr>
        <w:t>Muthamilara</w:t>
      </w:r>
      <w:r>
        <w:rPr>
          <w:b/>
          <w:bCs/>
          <w:color w:val="000000"/>
        </w:rPr>
        <w:t xml:space="preserve">san </w:t>
      </w:r>
      <w:r>
        <w:rPr>
          <w:b/>
          <w:bCs/>
          <w:i/>
          <w:iCs/>
          <w:color w:val="000000"/>
        </w:rPr>
        <w:t>et al.</w:t>
      </w:r>
      <w:r>
        <w:rPr>
          <w:b/>
          <w:bCs/>
          <w:color w:val="000000"/>
        </w:rPr>
        <w:t>, 2015</w:t>
      </w:r>
      <w:r>
        <w:rPr>
          <w:color w:val="000000"/>
        </w:rPr>
        <w:t>).</w:t>
      </w:r>
    </w:p>
    <w:p w:rsidR="00040D52" w:rsidRDefault="004D14CF">
      <w:pPr>
        <w:ind w:left="426" w:right="403"/>
        <w:rPr>
          <w:color w:val="000000"/>
        </w:rPr>
      </w:pPr>
      <w:r>
        <w:rPr>
          <w:color w:val="000000"/>
        </w:rPr>
        <w:t>Among the diverse millet species, foxtail millet (</w:t>
      </w:r>
      <w:r>
        <w:rPr>
          <w:i/>
          <w:iCs/>
          <w:color w:val="000000"/>
        </w:rPr>
        <w:t>Setaria italica</w:t>
      </w:r>
      <w:r>
        <w:rPr>
          <w:color w:val="000000"/>
        </w:rPr>
        <w:t xml:space="preserve">), belonging to the genus </w:t>
      </w:r>
      <w:r>
        <w:rPr>
          <w:i/>
          <w:iCs/>
          <w:color w:val="000000"/>
        </w:rPr>
        <w:t>Setaria</w:t>
      </w:r>
      <w:r>
        <w:rPr>
          <w:color w:val="000000"/>
        </w:rPr>
        <w:t xml:space="preserve"> under the Panicoideae subfamily, is a prominent C-4 photosynthetic crop known for its efficient carbon assimilation and stress endurance (</w:t>
      </w:r>
      <w:r>
        <w:rPr>
          <w:b/>
          <w:bCs/>
          <w:color w:val="000000"/>
        </w:rPr>
        <w:t xml:space="preserve">Chemisquy </w:t>
      </w:r>
      <w:r>
        <w:rPr>
          <w:b/>
          <w:bCs/>
          <w:i/>
          <w:iCs/>
          <w:color w:val="000000"/>
        </w:rPr>
        <w:t>et al.</w:t>
      </w:r>
      <w:r>
        <w:rPr>
          <w:b/>
          <w:bCs/>
          <w:color w:val="000000"/>
        </w:rPr>
        <w:t>, 2010</w:t>
      </w:r>
      <w:r>
        <w:rPr>
          <w:color w:val="000000"/>
        </w:rPr>
        <w:t>). It is one of the earliest domesticated millets and continues to be widely cultivated, particularly in Asia, with China contributing significantly to global production (</w:t>
      </w:r>
      <w:r>
        <w:rPr>
          <w:b/>
          <w:bCs/>
          <w:color w:val="000000"/>
        </w:rPr>
        <w:t xml:space="preserve">Hu </w:t>
      </w:r>
      <w:r>
        <w:rPr>
          <w:b/>
          <w:bCs/>
          <w:i/>
          <w:iCs/>
          <w:color w:val="000000"/>
        </w:rPr>
        <w:t>et al.</w:t>
      </w:r>
      <w:r>
        <w:rPr>
          <w:b/>
          <w:bCs/>
          <w:color w:val="000000"/>
        </w:rPr>
        <w:t xml:space="preserve">, 2018; Yang </w:t>
      </w:r>
      <w:r>
        <w:rPr>
          <w:b/>
          <w:bCs/>
          <w:i/>
          <w:iCs/>
          <w:color w:val="000000"/>
        </w:rPr>
        <w:t>et al.</w:t>
      </w:r>
      <w:r>
        <w:rPr>
          <w:b/>
          <w:bCs/>
          <w:color w:val="000000"/>
        </w:rPr>
        <w:t>, 2012</w:t>
      </w:r>
      <w:r>
        <w:rPr>
          <w:color w:val="000000"/>
        </w:rPr>
        <w:t>). Foxtail millet is well ada</w:t>
      </w:r>
      <w:r>
        <w:rPr>
          <w:color w:val="000000"/>
        </w:rPr>
        <w:t>pted to saline, drought-prone, and hilly environments, and is nutritionally superior due to its rich composition of proteins, essential amino acids, unsaturated fatty acids, dietary fibre, vitamins, minerals, and antioxidants (</w:t>
      </w:r>
      <w:r>
        <w:rPr>
          <w:b/>
          <w:bCs/>
          <w:color w:val="000000"/>
        </w:rPr>
        <w:t xml:space="preserve">Muthamilarasan </w:t>
      </w:r>
      <w:r>
        <w:rPr>
          <w:b/>
          <w:bCs/>
          <w:i/>
          <w:iCs/>
          <w:color w:val="000000"/>
        </w:rPr>
        <w:t>et al.</w:t>
      </w:r>
      <w:r>
        <w:rPr>
          <w:b/>
          <w:bCs/>
          <w:color w:val="000000"/>
        </w:rPr>
        <w:t>, 2015</w:t>
      </w:r>
      <w:r>
        <w:rPr>
          <w:color w:val="000000"/>
        </w:rPr>
        <w:t>).</w:t>
      </w:r>
      <w:r>
        <w:rPr>
          <w:color w:val="000000"/>
        </w:rPr>
        <w:t xml:space="preserve"> Additionally, </w:t>
      </w:r>
      <w:r>
        <w:rPr>
          <w:i/>
          <w:iCs/>
          <w:color w:val="000000"/>
        </w:rPr>
        <w:t xml:space="preserve">Setaria </w:t>
      </w:r>
      <w:r>
        <w:rPr>
          <w:color w:val="000000"/>
        </w:rPr>
        <w:t>species have emerged as model systems for studying grass genetics and biofuel production, owing to their short life cycle, compact genome, and ease of genetic manipulation (</w:t>
      </w:r>
      <w:r>
        <w:rPr>
          <w:b/>
          <w:bCs/>
          <w:color w:val="000000"/>
        </w:rPr>
        <w:t xml:space="preserve">Brutnell </w:t>
      </w:r>
      <w:r>
        <w:rPr>
          <w:b/>
          <w:bCs/>
          <w:i/>
          <w:iCs/>
          <w:color w:val="000000"/>
        </w:rPr>
        <w:t>et al.</w:t>
      </w:r>
      <w:r>
        <w:rPr>
          <w:b/>
          <w:bCs/>
          <w:color w:val="000000"/>
        </w:rPr>
        <w:t xml:space="preserve">, 2010; Panchal </w:t>
      </w:r>
      <w:r>
        <w:rPr>
          <w:b/>
          <w:bCs/>
          <w:i/>
          <w:iCs/>
          <w:color w:val="000000"/>
        </w:rPr>
        <w:t>et al.</w:t>
      </w:r>
      <w:r>
        <w:rPr>
          <w:b/>
          <w:bCs/>
          <w:color w:val="000000"/>
        </w:rPr>
        <w:t>, 2023</w:t>
      </w:r>
      <w:r>
        <w:rPr>
          <w:color w:val="000000"/>
        </w:rPr>
        <w:t>).</w:t>
      </w:r>
    </w:p>
    <w:p w:rsidR="00040D52" w:rsidRDefault="004D14CF">
      <w:pPr>
        <w:ind w:left="426" w:right="403"/>
        <w:rPr>
          <w:color w:val="000000"/>
        </w:rPr>
      </w:pPr>
      <w:r>
        <w:rPr>
          <w:color w:val="000000"/>
        </w:rPr>
        <w:lastRenderedPageBreak/>
        <w:t>Another nutrit</w:t>
      </w:r>
      <w:r>
        <w:rPr>
          <w:color w:val="000000"/>
        </w:rPr>
        <w:t>ionally and agronomically important millet is finger millet (</w:t>
      </w:r>
      <w:r>
        <w:rPr>
          <w:i/>
          <w:iCs/>
          <w:color w:val="000000"/>
        </w:rPr>
        <w:t>Eleusine coracana</w:t>
      </w:r>
      <w:r>
        <w:rPr>
          <w:color w:val="000000"/>
        </w:rPr>
        <w:t xml:space="preserve"> (L.) Gaertn.), which serves as a staple food for populations in sub-Saharan Africa and South Asia, particularly in marginal environments (</w:t>
      </w:r>
      <w:r>
        <w:rPr>
          <w:b/>
          <w:bCs/>
          <w:color w:val="000000"/>
        </w:rPr>
        <w:t xml:space="preserve">Chivenge </w:t>
      </w:r>
      <w:r>
        <w:rPr>
          <w:b/>
          <w:bCs/>
          <w:i/>
          <w:iCs/>
          <w:color w:val="000000"/>
        </w:rPr>
        <w:t>et al.</w:t>
      </w:r>
      <w:r>
        <w:rPr>
          <w:b/>
          <w:bCs/>
          <w:color w:val="000000"/>
        </w:rPr>
        <w:t>, 2015</w:t>
      </w:r>
      <w:r>
        <w:rPr>
          <w:color w:val="000000"/>
        </w:rPr>
        <w:t xml:space="preserve">). It ranks third </w:t>
      </w:r>
      <w:r>
        <w:rPr>
          <w:color w:val="000000"/>
        </w:rPr>
        <w:t>among cereals cultivated in semi-arid regions after sorghum and pearl millet (</w:t>
      </w:r>
      <w:r>
        <w:rPr>
          <w:b/>
          <w:bCs/>
          <w:color w:val="000000"/>
        </w:rPr>
        <w:t>Thilakarathna &amp; Raizada, 2015</w:t>
      </w:r>
      <w:r>
        <w:rPr>
          <w:color w:val="000000"/>
        </w:rPr>
        <w:t>). Finger millet grains are exceptionally rich in essential amino acids such as methionine and tryptophan, along with high levels of calcium, iron, a</w:t>
      </w:r>
      <w:r>
        <w:rPr>
          <w:color w:val="000000"/>
        </w:rPr>
        <w:t>nd phosphorus, making them a nutritionally superior alternative to conventional cereals (</w:t>
      </w:r>
      <w:r>
        <w:rPr>
          <w:b/>
          <w:bCs/>
          <w:color w:val="000000"/>
        </w:rPr>
        <w:t xml:space="preserve">Gupta </w:t>
      </w:r>
      <w:r>
        <w:rPr>
          <w:b/>
          <w:bCs/>
          <w:i/>
          <w:iCs/>
          <w:color w:val="000000"/>
        </w:rPr>
        <w:t>et al.</w:t>
      </w:r>
      <w:r>
        <w:rPr>
          <w:b/>
          <w:bCs/>
          <w:color w:val="000000"/>
        </w:rPr>
        <w:t>, 2017</w:t>
      </w:r>
      <w:r>
        <w:rPr>
          <w:color w:val="000000"/>
        </w:rPr>
        <w:t>). Its ability to thrive in resource-poor and ecologically fragile environments, coupled with its long shelf life, enhances its significance as a foo</w:t>
      </w:r>
      <w:r>
        <w:rPr>
          <w:color w:val="000000"/>
        </w:rPr>
        <w:t>d security crop (</w:t>
      </w:r>
      <w:r>
        <w:rPr>
          <w:b/>
          <w:bCs/>
          <w:color w:val="000000"/>
        </w:rPr>
        <w:t>Onyango, 2016</w:t>
      </w:r>
      <w:r>
        <w:rPr>
          <w:color w:val="000000"/>
        </w:rPr>
        <w:t>). Furthermore, its increasing utilization in value-added food products and bioethanol production has amplified its economic importance (</w:t>
      </w:r>
      <w:r>
        <w:rPr>
          <w:b/>
          <w:bCs/>
          <w:color w:val="000000"/>
        </w:rPr>
        <w:t xml:space="preserve">Tekaligne </w:t>
      </w:r>
      <w:r>
        <w:rPr>
          <w:b/>
          <w:bCs/>
          <w:i/>
          <w:iCs/>
          <w:color w:val="000000"/>
        </w:rPr>
        <w:t>et al.</w:t>
      </w:r>
      <w:r>
        <w:rPr>
          <w:b/>
          <w:bCs/>
          <w:color w:val="000000"/>
        </w:rPr>
        <w:t xml:space="preserve">, 2015; Sakamma </w:t>
      </w:r>
      <w:r>
        <w:rPr>
          <w:b/>
          <w:bCs/>
          <w:i/>
          <w:iCs/>
          <w:color w:val="000000"/>
        </w:rPr>
        <w:t>et al.</w:t>
      </w:r>
      <w:r>
        <w:rPr>
          <w:b/>
          <w:bCs/>
          <w:color w:val="000000"/>
        </w:rPr>
        <w:t>, 2018</w:t>
      </w:r>
      <w:r>
        <w:rPr>
          <w:color w:val="000000"/>
        </w:rPr>
        <w:t>).</w:t>
      </w:r>
    </w:p>
    <w:p w:rsidR="00040D52" w:rsidRDefault="004D14CF">
      <w:pPr>
        <w:ind w:left="426" w:right="403"/>
        <w:rPr>
          <w:color w:val="000000"/>
        </w:rPr>
      </w:pPr>
      <w:r>
        <w:rPr>
          <w:color w:val="000000"/>
        </w:rPr>
        <w:t>Despite its resilience, finger millet productivity is significantly constrained by abiotic stresses such as salinity, which induces osmotic imbalance, ionic toxicity, and oxidative stress, thereby impairing physiological and metabolic processes (</w:t>
      </w:r>
      <w:r>
        <w:rPr>
          <w:b/>
          <w:bCs/>
          <w:color w:val="000000"/>
        </w:rPr>
        <w:t xml:space="preserve">Hema </w:t>
      </w:r>
      <w:r>
        <w:rPr>
          <w:b/>
          <w:bCs/>
          <w:i/>
          <w:iCs/>
          <w:color w:val="000000"/>
        </w:rPr>
        <w:t>et al.</w:t>
      </w:r>
      <w:r>
        <w:rPr>
          <w:b/>
          <w:bCs/>
          <w:color w:val="000000"/>
        </w:rPr>
        <w:t xml:space="preserve">, 2014; Rahnama </w:t>
      </w:r>
      <w:r>
        <w:rPr>
          <w:b/>
          <w:bCs/>
          <w:i/>
          <w:iCs/>
          <w:color w:val="000000"/>
        </w:rPr>
        <w:t>et al.</w:t>
      </w:r>
      <w:r>
        <w:rPr>
          <w:b/>
          <w:bCs/>
          <w:color w:val="000000"/>
        </w:rPr>
        <w:t xml:space="preserve">, 2010; Shahzad </w:t>
      </w:r>
      <w:r>
        <w:rPr>
          <w:b/>
          <w:bCs/>
          <w:i/>
          <w:iCs/>
          <w:color w:val="000000"/>
        </w:rPr>
        <w:t>et al.</w:t>
      </w:r>
      <w:r>
        <w:rPr>
          <w:b/>
          <w:bCs/>
          <w:color w:val="000000"/>
        </w:rPr>
        <w:t>, 2021</w:t>
      </w:r>
      <w:r>
        <w:rPr>
          <w:color w:val="000000"/>
        </w:rPr>
        <w:t>). Excess accumulation of sodium (Na⁺) and chloride (Cl⁻) ions disrupts nutrient homeostasis, particularly potassium uptake, leading to reduced growth and productivity (</w:t>
      </w:r>
      <w:r>
        <w:rPr>
          <w:b/>
          <w:bCs/>
          <w:color w:val="000000"/>
        </w:rPr>
        <w:t xml:space="preserve">James </w:t>
      </w:r>
      <w:r>
        <w:rPr>
          <w:b/>
          <w:bCs/>
          <w:i/>
          <w:iCs/>
          <w:color w:val="000000"/>
        </w:rPr>
        <w:t>et al.</w:t>
      </w:r>
      <w:r>
        <w:rPr>
          <w:b/>
          <w:bCs/>
          <w:color w:val="000000"/>
        </w:rPr>
        <w:t xml:space="preserve">, 2011; Shah </w:t>
      </w:r>
      <w:r>
        <w:rPr>
          <w:b/>
          <w:bCs/>
          <w:i/>
          <w:iCs/>
          <w:color w:val="000000"/>
        </w:rPr>
        <w:t>et al.</w:t>
      </w:r>
      <w:r>
        <w:rPr>
          <w:b/>
          <w:bCs/>
          <w:color w:val="000000"/>
        </w:rPr>
        <w:t>, 2021</w:t>
      </w:r>
      <w:r>
        <w:rPr>
          <w:color w:val="000000"/>
        </w:rPr>
        <w:t>). Salinity stress is especially detrimental during seed germination and early seedling establishment stages, adversely affecting root and shoot growth, photosynthetic efficiency, osmolyte accumulation, and membrane stability (</w:t>
      </w:r>
      <w:r>
        <w:rPr>
          <w:b/>
          <w:bCs/>
          <w:color w:val="000000"/>
        </w:rPr>
        <w:t>Kumar &amp; Khare, 2016; Sa</w:t>
      </w:r>
      <w:r>
        <w:rPr>
          <w:b/>
          <w:bCs/>
          <w:color w:val="000000"/>
        </w:rPr>
        <w:t xml:space="preserve">rabi </w:t>
      </w:r>
      <w:r>
        <w:rPr>
          <w:b/>
          <w:bCs/>
          <w:i/>
          <w:iCs/>
          <w:color w:val="000000"/>
        </w:rPr>
        <w:t>et al.</w:t>
      </w:r>
      <w:r>
        <w:rPr>
          <w:b/>
          <w:bCs/>
          <w:color w:val="000000"/>
        </w:rPr>
        <w:t xml:space="preserve">, 2017; Dugasa </w:t>
      </w:r>
      <w:r>
        <w:rPr>
          <w:b/>
          <w:bCs/>
          <w:i/>
          <w:iCs/>
          <w:color w:val="000000"/>
        </w:rPr>
        <w:t>et al.</w:t>
      </w:r>
      <w:r>
        <w:rPr>
          <w:b/>
          <w:bCs/>
          <w:color w:val="000000"/>
        </w:rPr>
        <w:t xml:space="preserve">, 2020; Mukami </w:t>
      </w:r>
      <w:r>
        <w:rPr>
          <w:b/>
          <w:bCs/>
          <w:i/>
          <w:iCs/>
          <w:color w:val="000000"/>
        </w:rPr>
        <w:t>et al.</w:t>
      </w:r>
      <w:r>
        <w:rPr>
          <w:b/>
          <w:bCs/>
          <w:color w:val="000000"/>
        </w:rPr>
        <w:t>, 2020</w:t>
      </w:r>
      <w:r>
        <w:rPr>
          <w:color w:val="000000"/>
        </w:rPr>
        <w:t>).</w:t>
      </w:r>
    </w:p>
    <w:p w:rsidR="00040D52" w:rsidRDefault="004D14CF">
      <w:pPr>
        <w:ind w:left="426" w:right="403"/>
        <w:rPr>
          <w:color w:val="000000"/>
        </w:rPr>
      </w:pPr>
      <w:r>
        <w:rPr>
          <w:color w:val="000000"/>
        </w:rPr>
        <w:t>Pearl millet (</w:t>
      </w:r>
      <w:r>
        <w:rPr>
          <w:i/>
          <w:iCs/>
          <w:color w:val="000000"/>
        </w:rPr>
        <w:t>Pennisetum glaucum</w:t>
      </w:r>
      <w:r>
        <w:rPr>
          <w:color w:val="000000"/>
        </w:rPr>
        <w:t xml:space="preserve"> (L.) R. Br.) is another major millet crop extensively cultivated for both grain and fodder purposes, particularly in the arid and semi-arid regions of Asia and A</w:t>
      </w:r>
      <w:r>
        <w:rPr>
          <w:color w:val="000000"/>
        </w:rPr>
        <w:t>frica. It serves as a staple food for over 90 million people, especially smallholder farmers in resource-limited environments (</w:t>
      </w:r>
      <w:r>
        <w:rPr>
          <w:b/>
          <w:bCs/>
          <w:color w:val="000000"/>
        </w:rPr>
        <w:t>Srivastava &amp; Kumar, 2015</w:t>
      </w:r>
      <w:r>
        <w:rPr>
          <w:color w:val="000000"/>
        </w:rPr>
        <w:t>). Pearl millet exhibits exceptional adaptability to extreme climatic conditions, including high temperat</w:t>
      </w:r>
      <w:r>
        <w:rPr>
          <w:color w:val="000000"/>
        </w:rPr>
        <w:t>ures, drought, and poor soil fertility, making it a vital crop where other cereals fail to produce economic yields. However, soil salinity is emerging as a major constraint, particularly in rainfed and irrigated marginal lands (</w:t>
      </w:r>
      <w:r>
        <w:rPr>
          <w:b/>
          <w:bCs/>
          <w:color w:val="000000"/>
        </w:rPr>
        <w:t>Litalien &amp; Zeeb, 2019</w:t>
      </w:r>
      <w:r>
        <w:rPr>
          <w:color w:val="000000"/>
        </w:rPr>
        <w:t>).</w:t>
      </w:r>
    </w:p>
    <w:p w:rsidR="00040D52" w:rsidRDefault="004D14CF">
      <w:pPr>
        <w:ind w:left="426" w:right="403"/>
        <w:rPr>
          <w:color w:val="000000"/>
        </w:rPr>
      </w:pPr>
      <w:r>
        <w:rPr>
          <w:color w:val="000000"/>
        </w:rPr>
        <w:t>Glob</w:t>
      </w:r>
      <w:r>
        <w:rPr>
          <w:color w:val="000000"/>
        </w:rPr>
        <w:t>ally, salinity affects vast tracts of agricultural land and is projected to intensify, with over 833 million hectares already impacted and expected to expand further by 2050, posing a serious threat to food production systems (</w:t>
      </w:r>
      <w:r>
        <w:rPr>
          <w:b/>
          <w:bCs/>
          <w:color w:val="000000"/>
        </w:rPr>
        <w:t>FAO, 2021</w:t>
      </w:r>
      <w:r>
        <w:rPr>
          <w:color w:val="000000"/>
        </w:rPr>
        <w:t>). Salinity stress l</w:t>
      </w:r>
      <w:r>
        <w:rPr>
          <w:color w:val="000000"/>
        </w:rPr>
        <w:t xml:space="preserve">eads to cellular dehydration, ionic imbalance, osmotic stress, and oxidative damage, </w:t>
      </w:r>
      <w:r>
        <w:rPr>
          <w:color w:val="000000"/>
        </w:rPr>
        <w:lastRenderedPageBreak/>
        <w:t>ultimately restricting plant growth and productivity (</w:t>
      </w:r>
      <w:r>
        <w:rPr>
          <w:b/>
          <w:bCs/>
          <w:color w:val="000000"/>
        </w:rPr>
        <w:t>Zhu, 2002</w:t>
      </w:r>
      <w:r>
        <w:rPr>
          <w:color w:val="000000"/>
        </w:rPr>
        <w:t>). Given these challenges, millets are increasingly viewed as climate-smart crops capable of sustaining prod</w:t>
      </w:r>
      <w:r>
        <w:rPr>
          <w:color w:val="000000"/>
        </w:rPr>
        <w:t>uctivity in degraded and saline-prone soils. Advancements in breeding, molecular biology, and genomic tools have facilitated the identification of key traits associated with stress tolerance in millets, particularly pearl millet. Strategies such as germpla</w:t>
      </w:r>
      <w:r>
        <w:rPr>
          <w:color w:val="000000"/>
        </w:rPr>
        <w:t>sm improvement, heterosis exploitation, marker-assisted selection, and genomic interventions are being employed to enhance salinity tolerance and yield stability under adverse conditions. These approaches hold significant promise for sustainable agricultur</w:t>
      </w:r>
      <w:r>
        <w:rPr>
          <w:color w:val="000000"/>
        </w:rPr>
        <w:t>al development and efficient utilization of marginal lands, thereby reinforcing the role of millets in future food systems.</w:t>
      </w:r>
    </w:p>
    <w:p w:rsidR="00040D52" w:rsidRDefault="004D14CF">
      <w:pPr>
        <w:ind w:left="426" w:right="403"/>
        <w:rPr>
          <w:b/>
          <w:bCs/>
          <w:color w:val="000000"/>
          <w:sz w:val="28"/>
          <w:szCs w:val="28"/>
        </w:rPr>
      </w:pPr>
      <w:r>
        <w:rPr>
          <w:b/>
          <w:bCs/>
          <w:color w:val="000000"/>
          <w:sz w:val="28"/>
          <w:szCs w:val="28"/>
        </w:rPr>
        <w:t>Physiological Basis of Salt Stress Tolerance in Millets</w:t>
      </w:r>
    </w:p>
    <w:p w:rsidR="00040D52" w:rsidRDefault="004D14CF">
      <w:pPr>
        <w:ind w:left="426" w:right="403"/>
        <w:rPr>
          <w:color w:val="000000"/>
        </w:rPr>
      </w:pPr>
      <w:r>
        <w:rPr>
          <w:color w:val="000000"/>
        </w:rPr>
        <w:t>Millets are inherently climate-resilient crops adapted to arid and semi-arid</w:t>
      </w:r>
      <w:r>
        <w:rPr>
          <w:color w:val="000000"/>
        </w:rPr>
        <w:t xml:space="preserve"> regions, capable of thriving under low rainfall and nutrient-poor soils while exhibiting substantial tolerance to abiotic stresses such as salinity. Pearl millet, predominantly cultivated in South Asia and West Africa, demonstrates notable salinity tolera</w:t>
      </w:r>
      <w:r>
        <w:rPr>
          <w:color w:val="000000"/>
        </w:rPr>
        <w:t>nce, partly attributed to its C4 photosynthetic pathway subtypes (PEP-CK, NAD-ME, and NADP-ME) (</w:t>
      </w:r>
      <w:r>
        <w:rPr>
          <w:b/>
          <w:bCs/>
          <w:color w:val="000000"/>
        </w:rPr>
        <w:t xml:space="preserve">Blummel </w:t>
      </w:r>
      <w:r>
        <w:rPr>
          <w:b/>
          <w:bCs/>
          <w:i/>
          <w:iCs/>
          <w:color w:val="000000"/>
        </w:rPr>
        <w:t>et al.</w:t>
      </w:r>
      <w:r>
        <w:rPr>
          <w:b/>
          <w:bCs/>
          <w:color w:val="000000"/>
        </w:rPr>
        <w:t>, 2003; Wang &amp; Shangguan, 2010</w:t>
      </w:r>
      <w:r>
        <w:rPr>
          <w:color w:val="000000"/>
        </w:rPr>
        <w:t>). The C4 mechanism, supported by Kranz anatomy, enhances CO</w:t>
      </w:r>
      <w:r>
        <w:rPr>
          <w:color w:val="000000"/>
          <w:vertAlign w:val="subscript"/>
        </w:rPr>
        <w:t>2</w:t>
      </w:r>
      <w:r>
        <w:rPr>
          <w:color w:val="000000"/>
        </w:rPr>
        <w:t xml:space="preserve"> concentration in bundle sheath cells, minimizes photor</w:t>
      </w:r>
      <w:r>
        <w:rPr>
          <w:color w:val="000000"/>
        </w:rPr>
        <w:t>espiration, and improves water and nutrient use efficiency, thereby conferring resilience under stress conditions (</w:t>
      </w:r>
      <w:r>
        <w:rPr>
          <w:b/>
          <w:bCs/>
          <w:color w:val="000000"/>
        </w:rPr>
        <w:t>Sage &amp; Zhu, 2011</w:t>
      </w:r>
      <w:r>
        <w:rPr>
          <w:color w:val="000000"/>
        </w:rPr>
        <w:t>).</w:t>
      </w:r>
    </w:p>
    <w:p w:rsidR="00040D52" w:rsidRDefault="004D14CF">
      <w:pPr>
        <w:ind w:left="426" w:right="403"/>
        <w:rPr>
          <w:color w:val="000000"/>
        </w:rPr>
      </w:pPr>
      <w:r>
        <w:rPr>
          <w:color w:val="000000"/>
        </w:rPr>
        <w:t>Physiological adaptations such as low CO</w:t>
      </w:r>
      <w:r>
        <w:rPr>
          <w:color w:val="000000"/>
          <w:vertAlign w:val="subscript"/>
        </w:rPr>
        <w:t>2</w:t>
      </w:r>
      <w:r>
        <w:rPr>
          <w:color w:val="000000"/>
        </w:rPr>
        <w:t xml:space="preserve"> compensation point, efficient transpiration, deep root systems, and dense leaf v</w:t>
      </w:r>
      <w:r>
        <w:rPr>
          <w:color w:val="000000"/>
        </w:rPr>
        <w:t>enation further strengthen stress tolerance. The intricate venation network facilitates efficient photosynthate transport and water distribution, enhancing overall physiological efficiency (</w:t>
      </w:r>
      <w:r>
        <w:rPr>
          <w:b/>
          <w:bCs/>
          <w:color w:val="000000"/>
        </w:rPr>
        <w:t xml:space="preserve">Govinda </w:t>
      </w:r>
      <w:r>
        <w:rPr>
          <w:b/>
          <w:bCs/>
          <w:i/>
          <w:iCs/>
          <w:color w:val="000000"/>
        </w:rPr>
        <w:t>et al.</w:t>
      </w:r>
      <w:r>
        <w:rPr>
          <w:b/>
          <w:bCs/>
          <w:color w:val="000000"/>
        </w:rPr>
        <w:t>, 2012; Altus &amp; Canny, 1982</w:t>
      </w:r>
      <w:r>
        <w:rPr>
          <w:color w:val="000000"/>
        </w:rPr>
        <w:t>). Despite being glycophy</w:t>
      </w:r>
      <w:r>
        <w:rPr>
          <w:color w:val="000000"/>
        </w:rPr>
        <w:t>tes, pearl millet exhibits moderate salinity tolerance (~6 dS/m), making it a valuable candidate for breeding programs targeting saline environments (</w:t>
      </w:r>
      <w:r>
        <w:rPr>
          <w:b/>
          <w:bCs/>
          <w:color w:val="000000"/>
        </w:rPr>
        <w:t xml:space="preserve">Ashraf &amp; McNeilly, 1987, 1992; Dua, 1989; Muscolo </w:t>
      </w:r>
      <w:r>
        <w:rPr>
          <w:b/>
          <w:bCs/>
          <w:i/>
          <w:iCs/>
          <w:color w:val="000000"/>
        </w:rPr>
        <w:t>et al.</w:t>
      </w:r>
      <w:r>
        <w:rPr>
          <w:b/>
          <w:bCs/>
          <w:color w:val="000000"/>
        </w:rPr>
        <w:t>, 2003</w:t>
      </w:r>
      <w:r>
        <w:rPr>
          <w:color w:val="000000"/>
        </w:rPr>
        <w:t xml:space="preserve">). Under salinity stress, plants experience </w:t>
      </w:r>
      <w:r>
        <w:rPr>
          <w:color w:val="000000"/>
        </w:rPr>
        <w:t>oxidative damage due to reactive oxygen species (ROS) generated during metabolic processes (</w:t>
      </w:r>
      <w:r>
        <w:rPr>
          <w:b/>
          <w:bCs/>
          <w:color w:val="000000"/>
        </w:rPr>
        <w:t xml:space="preserve">Sharma </w:t>
      </w:r>
      <w:r>
        <w:rPr>
          <w:b/>
          <w:bCs/>
          <w:i/>
          <w:iCs/>
          <w:color w:val="000000"/>
        </w:rPr>
        <w:t>et al.</w:t>
      </w:r>
      <w:r>
        <w:rPr>
          <w:b/>
          <w:bCs/>
          <w:color w:val="000000"/>
        </w:rPr>
        <w:t xml:space="preserve">, 2013; Wang </w:t>
      </w:r>
      <w:r>
        <w:rPr>
          <w:b/>
          <w:bCs/>
          <w:i/>
          <w:iCs/>
          <w:color w:val="000000"/>
        </w:rPr>
        <w:t>et al.</w:t>
      </w:r>
      <w:r>
        <w:rPr>
          <w:b/>
          <w:bCs/>
          <w:color w:val="000000"/>
        </w:rPr>
        <w:t>, 2012</w:t>
      </w:r>
      <w:r>
        <w:rPr>
          <w:color w:val="000000"/>
        </w:rPr>
        <w:t>). To mitigate this, millets employ both enzymatic (e.g., catalase, superoxide dismutase, peroxidases) and non-enzymatic defen</w:t>
      </w:r>
      <w:r>
        <w:rPr>
          <w:color w:val="000000"/>
        </w:rPr>
        <w:t>se mechanisms, including osmotic adjustment and ion compartmentalization (</w:t>
      </w:r>
      <w:r>
        <w:rPr>
          <w:b/>
          <w:bCs/>
          <w:color w:val="000000"/>
        </w:rPr>
        <w:t>Misra &amp; Gupta, 2005; Ashraf &amp; Foolad, 2007</w:t>
      </w:r>
      <w:r>
        <w:rPr>
          <w:color w:val="000000"/>
        </w:rPr>
        <w:t>). Accumulation of compatible solutes such as proline, carbohydrates, and glycine betaine stabilizes cellular structures, scavenges ROS, and</w:t>
      </w:r>
      <w:r>
        <w:rPr>
          <w:color w:val="000000"/>
        </w:rPr>
        <w:t xml:space="preserve"> maintains osmotic balance (</w:t>
      </w:r>
      <w:r>
        <w:rPr>
          <w:b/>
          <w:bCs/>
          <w:color w:val="000000"/>
        </w:rPr>
        <w:t xml:space="preserve">Crowe </w:t>
      </w:r>
      <w:r>
        <w:rPr>
          <w:b/>
          <w:bCs/>
          <w:i/>
          <w:iCs/>
          <w:color w:val="000000"/>
        </w:rPr>
        <w:t>et al.</w:t>
      </w:r>
      <w:r>
        <w:rPr>
          <w:b/>
          <w:bCs/>
          <w:color w:val="000000"/>
        </w:rPr>
        <w:t xml:space="preserve">, 1987; Berjak </w:t>
      </w:r>
      <w:r>
        <w:rPr>
          <w:b/>
          <w:bCs/>
          <w:i/>
          <w:iCs/>
          <w:color w:val="000000"/>
        </w:rPr>
        <w:t>et al.</w:t>
      </w:r>
      <w:r>
        <w:rPr>
          <w:b/>
          <w:bCs/>
          <w:color w:val="000000"/>
        </w:rPr>
        <w:t>, 2007; Munns, 2002</w:t>
      </w:r>
      <w:r>
        <w:rPr>
          <w:color w:val="000000"/>
        </w:rPr>
        <w:t>).</w:t>
      </w:r>
    </w:p>
    <w:p w:rsidR="00040D52" w:rsidRDefault="004D14CF">
      <w:pPr>
        <w:ind w:left="426" w:right="403"/>
        <w:rPr>
          <w:color w:val="000000"/>
        </w:rPr>
      </w:pPr>
      <w:r>
        <w:rPr>
          <w:color w:val="000000"/>
        </w:rPr>
        <w:lastRenderedPageBreak/>
        <w:t>In finger millet, salinity tolerance is reflected through minimal reductions in germination, growth, biomass, chlorophyll content, and ion homeostasis in tolerant cultivars compared to sensitive ones (</w:t>
      </w:r>
      <w:r>
        <w:rPr>
          <w:b/>
          <w:bCs/>
          <w:color w:val="000000"/>
        </w:rPr>
        <w:t xml:space="preserve">Rahman </w:t>
      </w:r>
      <w:r>
        <w:rPr>
          <w:b/>
          <w:bCs/>
          <w:i/>
          <w:iCs/>
          <w:color w:val="000000"/>
        </w:rPr>
        <w:t>et al.</w:t>
      </w:r>
      <w:r>
        <w:rPr>
          <w:b/>
          <w:bCs/>
          <w:color w:val="000000"/>
        </w:rPr>
        <w:t xml:space="preserve">, 2014; Taïbi </w:t>
      </w:r>
      <w:r>
        <w:rPr>
          <w:b/>
          <w:bCs/>
          <w:i/>
          <w:iCs/>
          <w:color w:val="000000"/>
        </w:rPr>
        <w:t>et al.</w:t>
      </w:r>
      <w:r>
        <w:rPr>
          <w:b/>
          <w:bCs/>
          <w:color w:val="000000"/>
        </w:rPr>
        <w:t>, 2016; Ishikawa &amp; Sha</w:t>
      </w:r>
      <w:r>
        <w:rPr>
          <w:b/>
          <w:bCs/>
          <w:color w:val="000000"/>
        </w:rPr>
        <w:t xml:space="preserve">bala, 2019; Mukami </w:t>
      </w:r>
      <w:r>
        <w:rPr>
          <w:b/>
          <w:bCs/>
          <w:i/>
          <w:iCs/>
          <w:color w:val="000000"/>
        </w:rPr>
        <w:t>et al.</w:t>
      </w:r>
      <w:r>
        <w:rPr>
          <w:b/>
          <w:bCs/>
          <w:color w:val="000000"/>
        </w:rPr>
        <w:t>, 2020</w:t>
      </w:r>
      <w:r>
        <w:rPr>
          <w:color w:val="000000"/>
        </w:rPr>
        <w:t>). Enhanced chlorophyll retention and higher soluble sugar accumulation serve as key biochemical indicators of tolerance (</w:t>
      </w:r>
      <w:r>
        <w:rPr>
          <w:b/>
          <w:bCs/>
          <w:color w:val="000000"/>
        </w:rPr>
        <w:t xml:space="preserve">Hema </w:t>
      </w:r>
      <w:r>
        <w:rPr>
          <w:b/>
          <w:bCs/>
          <w:i/>
          <w:iCs/>
          <w:color w:val="000000"/>
        </w:rPr>
        <w:t>et al.</w:t>
      </w:r>
      <w:r>
        <w:rPr>
          <w:b/>
          <w:bCs/>
          <w:color w:val="000000"/>
        </w:rPr>
        <w:t>, 2014; Mahadik &amp; Kumudini, 2020</w:t>
      </w:r>
      <w:r>
        <w:rPr>
          <w:color w:val="000000"/>
        </w:rPr>
        <w:t>). Additionally, proline accumulation acts as a critical Osm</w:t>
      </w:r>
      <w:r>
        <w:rPr>
          <w:color w:val="000000"/>
        </w:rPr>
        <w:t>o protectant, preserving membrane integrity and reducing oxidative stress (</w:t>
      </w:r>
      <w:r>
        <w:rPr>
          <w:b/>
          <w:bCs/>
          <w:color w:val="000000"/>
        </w:rPr>
        <w:t xml:space="preserve">Rao </w:t>
      </w:r>
      <w:r>
        <w:rPr>
          <w:b/>
          <w:bCs/>
          <w:i/>
          <w:iCs/>
          <w:color w:val="000000"/>
        </w:rPr>
        <w:t>et al.</w:t>
      </w:r>
      <w:r>
        <w:rPr>
          <w:b/>
          <w:bCs/>
          <w:color w:val="000000"/>
        </w:rPr>
        <w:t xml:space="preserve">, 2013; Rasool </w:t>
      </w:r>
      <w:r>
        <w:rPr>
          <w:b/>
          <w:bCs/>
          <w:i/>
          <w:iCs/>
          <w:color w:val="000000"/>
        </w:rPr>
        <w:t>et al.</w:t>
      </w:r>
      <w:r>
        <w:rPr>
          <w:b/>
          <w:bCs/>
          <w:color w:val="000000"/>
        </w:rPr>
        <w:t>, 2013</w:t>
      </w:r>
      <w:r>
        <w:rPr>
          <w:color w:val="000000"/>
        </w:rPr>
        <w:t xml:space="preserve">). Salinity-induced osmotic stress also triggers the accumulation of osmolytes such as sugars, amino acids, and proteins, which function as ROS </w:t>
      </w:r>
      <w:r>
        <w:rPr>
          <w:color w:val="000000"/>
        </w:rPr>
        <w:t>scavengers and structural stabilizers (</w:t>
      </w:r>
      <w:r>
        <w:rPr>
          <w:b/>
          <w:bCs/>
          <w:color w:val="000000"/>
        </w:rPr>
        <w:t xml:space="preserve">Chapman </w:t>
      </w:r>
      <w:r>
        <w:rPr>
          <w:b/>
          <w:bCs/>
          <w:i/>
          <w:iCs/>
          <w:color w:val="000000"/>
        </w:rPr>
        <w:t>et al.</w:t>
      </w:r>
      <w:r>
        <w:rPr>
          <w:b/>
          <w:bCs/>
          <w:color w:val="000000"/>
        </w:rPr>
        <w:t xml:space="preserve">, 2019; Singh </w:t>
      </w:r>
      <w:r>
        <w:rPr>
          <w:b/>
          <w:bCs/>
          <w:i/>
          <w:iCs/>
          <w:color w:val="000000"/>
        </w:rPr>
        <w:t>et al.</w:t>
      </w:r>
      <w:r>
        <w:rPr>
          <w:b/>
          <w:bCs/>
          <w:color w:val="000000"/>
        </w:rPr>
        <w:t>, 2022</w:t>
      </w:r>
      <w:r>
        <w:rPr>
          <w:color w:val="000000"/>
        </w:rPr>
        <w:t>). In foxtail millet, compounds like putrescine and spermidine reduce oxidative damage, while increased proline levels enhance stress tolerance (</w:t>
      </w:r>
      <w:r>
        <w:rPr>
          <w:b/>
          <w:bCs/>
          <w:color w:val="000000"/>
        </w:rPr>
        <w:t xml:space="preserve">Rathinapriya </w:t>
      </w:r>
      <w:r>
        <w:rPr>
          <w:b/>
          <w:bCs/>
          <w:i/>
          <w:iCs/>
          <w:color w:val="000000"/>
        </w:rPr>
        <w:t>et al.</w:t>
      </w:r>
      <w:r>
        <w:rPr>
          <w:b/>
          <w:bCs/>
          <w:color w:val="000000"/>
        </w:rPr>
        <w:t>, 2020; Sudha</w:t>
      </w:r>
      <w:r>
        <w:rPr>
          <w:b/>
          <w:bCs/>
          <w:color w:val="000000"/>
        </w:rPr>
        <w:t xml:space="preserve">kar </w:t>
      </w:r>
      <w:r>
        <w:rPr>
          <w:b/>
          <w:bCs/>
          <w:i/>
          <w:iCs/>
          <w:color w:val="000000"/>
        </w:rPr>
        <w:t>et al.</w:t>
      </w:r>
      <w:r>
        <w:rPr>
          <w:b/>
          <w:bCs/>
          <w:color w:val="000000"/>
        </w:rPr>
        <w:t xml:space="preserve">, 2015; Qin </w:t>
      </w:r>
      <w:r>
        <w:rPr>
          <w:b/>
          <w:bCs/>
          <w:i/>
          <w:iCs/>
          <w:color w:val="000000"/>
        </w:rPr>
        <w:t>et al.</w:t>
      </w:r>
      <w:r>
        <w:rPr>
          <w:b/>
          <w:bCs/>
          <w:color w:val="000000"/>
        </w:rPr>
        <w:t>, 2020</w:t>
      </w:r>
      <w:r>
        <w:rPr>
          <w:color w:val="000000"/>
        </w:rPr>
        <w:t>). Salt-tolerant cultivars further exhibit elevated levels of organic acids, phenolics, carbohydrates, and amino acids, contributing to improved stress adaptation (Figure 1).</w:t>
      </w:r>
    </w:p>
    <w:p w:rsidR="00040D52" w:rsidRDefault="004D14CF">
      <w:pPr>
        <w:ind w:left="426" w:right="403"/>
        <w:rPr>
          <w:b/>
          <w:bCs/>
          <w:color w:val="000000"/>
          <w:sz w:val="28"/>
          <w:szCs w:val="28"/>
        </w:rPr>
      </w:pPr>
      <w:r>
        <w:rPr>
          <w:b/>
          <w:bCs/>
          <w:color w:val="000000"/>
          <w:sz w:val="28"/>
          <w:szCs w:val="28"/>
        </w:rPr>
        <w:t>Molecular Response to Salinity Stress</w:t>
      </w:r>
    </w:p>
    <w:p w:rsidR="00040D52" w:rsidRDefault="004D14CF">
      <w:pPr>
        <w:ind w:left="426" w:right="403"/>
        <w:rPr>
          <w:color w:val="000000"/>
        </w:rPr>
        <w:sectPr w:rsidR="00040D52">
          <w:footerReference w:type="default" r:id="rId8"/>
          <w:pgSz w:w="11906" w:h="16838"/>
          <w:pgMar w:top="1276" w:right="1440" w:bottom="1134" w:left="1440" w:header="709" w:footer="709" w:gutter="0"/>
          <w:pgNumType w:start="1"/>
          <w:cols w:space="720"/>
        </w:sectPr>
      </w:pPr>
      <w:r>
        <w:rPr>
          <w:color w:val="000000"/>
        </w:rPr>
        <w:t>Plants mitigate salinity-induced cellular perturbations through specialized sensors and intricate signalling cascades. The initial perception of salt stress occurs via transm</w:t>
      </w:r>
      <w:r>
        <w:rPr>
          <w:color w:val="000000"/>
        </w:rPr>
        <w:t>embrane sensors, where elevated Na⁺ levels disrupt ionic homeostasis, particularly affecting K⁺ and Ca²⁺ balance (</w:t>
      </w:r>
      <w:r>
        <w:rPr>
          <w:b/>
          <w:bCs/>
          <w:color w:val="000000"/>
        </w:rPr>
        <w:t>Julkowska &amp; Testerink, 2015</w:t>
      </w:r>
      <w:r>
        <w:rPr>
          <w:color w:val="000000"/>
        </w:rPr>
        <w:t>). A rapid increase in cytosolic Ca²⁺ concentration is observed within seconds of salt exposure, functioning as a p</w:t>
      </w:r>
      <w:r>
        <w:rPr>
          <w:color w:val="000000"/>
        </w:rPr>
        <w:t>rimary secondary messenger in early stress signalling events (</w:t>
      </w:r>
      <w:r>
        <w:rPr>
          <w:b/>
          <w:bCs/>
          <w:color w:val="000000"/>
        </w:rPr>
        <w:t xml:space="preserve">Lynch </w:t>
      </w:r>
      <w:r>
        <w:rPr>
          <w:b/>
          <w:bCs/>
          <w:i/>
          <w:iCs/>
          <w:color w:val="000000"/>
        </w:rPr>
        <w:t>et al.</w:t>
      </w:r>
      <w:r>
        <w:rPr>
          <w:b/>
          <w:bCs/>
          <w:color w:val="000000"/>
        </w:rPr>
        <w:t>, 1989</w:t>
      </w:r>
      <w:r>
        <w:rPr>
          <w:color w:val="000000"/>
        </w:rPr>
        <w:t xml:space="preserve">). Despite limited identification of salt sensors, key components include ROS-mediated signals and Na⁺/Ca²⁺ transport systems (Wu </w:t>
      </w:r>
      <w:r>
        <w:rPr>
          <w:i/>
          <w:iCs/>
          <w:color w:val="000000"/>
        </w:rPr>
        <w:t>et al.</w:t>
      </w:r>
      <w:r>
        <w:rPr>
          <w:color w:val="000000"/>
        </w:rPr>
        <w:t>, 2021). Plants regulate excess sodium t</w:t>
      </w:r>
      <w:r>
        <w:rPr>
          <w:color w:val="000000"/>
        </w:rPr>
        <w:t>hrough Na⁺/H⁺ antiporters located at the plasma membrane and tonoplast, facilitating either Na⁺ extrusion or vacuolar sequestration. Central to this process is the well-characterized Salt Overly Sensitive (SOS) signalling pathway, which translates Ca²⁺ sig</w:t>
      </w:r>
      <w:r>
        <w:rPr>
          <w:color w:val="000000"/>
        </w:rPr>
        <w:t>nals into adaptive responses under saline conditions (</w:t>
      </w:r>
      <w:r>
        <w:rPr>
          <w:b/>
          <w:bCs/>
          <w:color w:val="000000"/>
        </w:rPr>
        <w:t xml:space="preserve">Ishitani </w:t>
      </w:r>
      <w:r>
        <w:rPr>
          <w:b/>
          <w:bCs/>
          <w:i/>
          <w:iCs/>
          <w:color w:val="000000"/>
        </w:rPr>
        <w:t>et al.</w:t>
      </w:r>
      <w:r>
        <w:rPr>
          <w:b/>
          <w:bCs/>
          <w:color w:val="000000"/>
        </w:rPr>
        <w:t>, 2000</w:t>
      </w:r>
      <w:r>
        <w:rPr>
          <w:color w:val="000000"/>
        </w:rPr>
        <w:t>). The SOS pathway comprises three core components—SOS3 (Ca²⁺ sensor), SOS2 (protein kinase), and SOS1 (Na⁺/H⁺ antiporter)—that collectively maintain ionic homeostasis. Elevated cyt</w:t>
      </w:r>
      <w:r>
        <w:rPr>
          <w:color w:val="000000"/>
        </w:rPr>
        <w:t xml:space="preserve">osolic Ca²⁺ activates the SOS3–SOS2 </w:t>
      </w:r>
    </w:p>
    <w:p w:rsidR="00040D52" w:rsidRDefault="00040D52">
      <w:pPr>
        <w:widowControl w:val="0"/>
        <w:pBdr>
          <w:top w:val="nil"/>
          <w:left w:val="nil"/>
          <w:bottom w:val="nil"/>
          <w:right w:val="nil"/>
          <w:between w:val="nil"/>
        </w:pBdr>
        <w:spacing w:after="0" w:line="276" w:lineRule="auto"/>
        <w:ind w:left="0" w:right="0"/>
        <w:jc w:val="left"/>
        <w:rPr>
          <w:color w:val="000000"/>
        </w:rPr>
      </w:pPr>
    </w:p>
    <w:tbl>
      <w:tblPr>
        <w:tblStyle w:val="a"/>
        <w:tblW w:w="860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8600"/>
      </w:tblGrid>
      <w:tr w:rsidR="00040D52">
        <w:tc>
          <w:tcPr>
            <w:tcW w:w="8600" w:type="dxa"/>
          </w:tcPr>
          <w:p w:rsidR="00040D52" w:rsidRDefault="004D14CF">
            <w:pPr>
              <w:ind w:left="0" w:right="403"/>
              <w:rPr>
                <w:color w:val="000000"/>
              </w:rPr>
            </w:pPr>
            <w:r>
              <w:rPr>
                <w:b/>
                <w:bCs/>
                <w:color w:val="000000"/>
              </w:rPr>
              <w:t>Figure 1: Summary of events that take place under salt stress in plants to confer salt tolerance</w:t>
            </w:r>
            <w:r>
              <w:rPr>
                <w:color w:val="000000"/>
              </w:rPr>
              <w:t xml:space="preserve"> </w:t>
            </w:r>
            <w:r>
              <w:rPr>
                <w:noProof/>
              </w:rPr>
              <w:drawing>
                <wp:anchor distT="0" distB="0" distL="114300" distR="114300" simplePos="0" relativeHeight="251659264" behindDoc="0" locked="0" layoutInCell="1" hidden="0" allowOverlap="1">
                  <wp:simplePos x="0" y="0"/>
                  <wp:positionH relativeFrom="column">
                    <wp:posOffset>31781</wp:posOffset>
                  </wp:positionH>
                  <wp:positionV relativeFrom="paragraph">
                    <wp:posOffset>64280</wp:posOffset>
                  </wp:positionV>
                  <wp:extent cx="5210175" cy="736981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7469"/>
                          <a:stretch>
                            <a:fillRect/>
                          </a:stretch>
                        </pic:blipFill>
                        <pic:spPr>
                          <a:xfrm>
                            <a:off x="0" y="0"/>
                            <a:ext cx="5210175" cy="7369810"/>
                          </a:xfrm>
                          <a:prstGeom prst="rect">
                            <a:avLst/>
                          </a:prstGeom>
                          <a:ln/>
                        </pic:spPr>
                      </pic:pic>
                    </a:graphicData>
                  </a:graphic>
                </wp:anchor>
              </w:drawing>
            </w:r>
          </w:p>
        </w:tc>
      </w:tr>
    </w:tbl>
    <w:p w:rsidR="00040D52" w:rsidRDefault="00040D52">
      <w:pPr>
        <w:ind w:left="426" w:right="403"/>
        <w:rPr>
          <w:color w:val="000000"/>
        </w:rPr>
        <w:sectPr w:rsidR="00040D52">
          <w:pgSz w:w="11906" w:h="16838"/>
          <w:pgMar w:top="1276" w:right="1440" w:bottom="1134" w:left="1440" w:header="709" w:footer="709" w:gutter="0"/>
          <w:cols w:space="720"/>
        </w:sectPr>
      </w:pPr>
    </w:p>
    <w:p w:rsidR="00040D52" w:rsidRDefault="004D14CF">
      <w:pPr>
        <w:ind w:left="426" w:right="403"/>
        <w:rPr>
          <w:color w:val="000000"/>
        </w:rPr>
      </w:pPr>
      <w:r>
        <w:rPr>
          <w:color w:val="000000"/>
        </w:rPr>
        <w:lastRenderedPageBreak/>
        <w:t>complex, which phosphorylates and stimulates SOS1 activity, thereby promoting Na⁺ efflux and reducing cytotoxicity (</w:t>
      </w:r>
      <w:r>
        <w:rPr>
          <w:b/>
          <w:bCs/>
          <w:color w:val="000000"/>
        </w:rPr>
        <w:t xml:space="preserve">Guo </w:t>
      </w:r>
      <w:r>
        <w:rPr>
          <w:b/>
          <w:bCs/>
          <w:i/>
          <w:iCs/>
          <w:color w:val="000000"/>
        </w:rPr>
        <w:t>et al.</w:t>
      </w:r>
      <w:r>
        <w:rPr>
          <w:b/>
          <w:bCs/>
          <w:color w:val="000000"/>
        </w:rPr>
        <w:t>, 2009</w:t>
      </w:r>
      <w:r>
        <w:rPr>
          <w:color w:val="000000"/>
        </w:rPr>
        <w:t>). Additionally, this complex regulates vacuolar Na⁺ sequestration via NHX transporters (</w:t>
      </w:r>
      <w:r>
        <w:rPr>
          <w:b/>
          <w:bCs/>
          <w:color w:val="000000"/>
        </w:rPr>
        <w:t xml:space="preserve">Qiu </w:t>
      </w:r>
      <w:r>
        <w:rPr>
          <w:b/>
          <w:bCs/>
          <w:i/>
          <w:iCs/>
          <w:color w:val="000000"/>
        </w:rPr>
        <w:t>et al.</w:t>
      </w:r>
      <w:r>
        <w:rPr>
          <w:b/>
          <w:bCs/>
          <w:color w:val="000000"/>
        </w:rPr>
        <w:t>, 2004</w:t>
      </w:r>
      <w:r>
        <w:rPr>
          <w:color w:val="000000"/>
        </w:rPr>
        <w:t>). The conservation</w:t>
      </w:r>
      <w:r>
        <w:rPr>
          <w:color w:val="000000"/>
        </w:rPr>
        <w:t xml:space="preserve"> of SOS genes across species highlights their fundamental role in salinity tolerance (</w:t>
      </w:r>
      <w:r>
        <w:rPr>
          <w:b/>
          <w:bCs/>
          <w:color w:val="000000"/>
        </w:rPr>
        <w:t xml:space="preserve">Zhu </w:t>
      </w:r>
      <w:r>
        <w:rPr>
          <w:b/>
          <w:bCs/>
          <w:i/>
          <w:iCs/>
          <w:color w:val="000000"/>
        </w:rPr>
        <w:t>et al.</w:t>
      </w:r>
      <w:r>
        <w:rPr>
          <w:b/>
          <w:bCs/>
          <w:color w:val="000000"/>
        </w:rPr>
        <w:t>, 1998</w:t>
      </w:r>
      <w:r>
        <w:rPr>
          <w:color w:val="000000"/>
        </w:rPr>
        <w:t>).</w:t>
      </w:r>
    </w:p>
    <w:p w:rsidR="00040D52" w:rsidRDefault="004D14CF">
      <w:pPr>
        <w:ind w:left="426" w:right="403"/>
        <w:rPr>
          <w:color w:val="000000"/>
        </w:rPr>
      </w:pPr>
      <w:r>
        <w:rPr>
          <w:color w:val="000000"/>
        </w:rPr>
        <w:t>Salinity stress further induces osmotic imbalance, dehydration, and oxidative stress, severely impairing physiological processes such as stomatal condu</w:t>
      </w:r>
      <w:r>
        <w:rPr>
          <w:color w:val="000000"/>
        </w:rPr>
        <w:t>ctance, photosynthesis, and chlorophyll stability (</w:t>
      </w:r>
      <w:r>
        <w:rPr>
          <w:b/>
          <w:bCs/>
          <w:color w:val="000000"/>
        </w:rPr>
        <w:t xml:space="preserve">Chaudhry </w:t>
      </w:r>
      <w:r>
        <w:rPr>
          <w:b/>
          <w:bCs/>
          <w:i/>
          <w:iCs/>
          <w:color w:val="000000"/>
        </w:rPr>
        <w:t>et al.</w:t>
      </w:r>
      <w:r>
        <w:rPr>
          <w:b/>
          <w:bCs/>
          <w:color w:val="000000"/>
        </w:rPr>
        <w:t>, 2020, 2021</w:t>
      </w:r>
      <w:r>
        <w:rPr>
          <w:color w:val="000000"/>
        </w:rPr>
        <w:t>). At the molecular level, high salt conditions restrict water and nutrient uptake, leading to extensive cellular reprogramming (</w:t>
      </w:r>
      <w:r>
        <w:rPr>
          <w:b/>
          <w:bCs/>
          <w:color w:val="000000"/>
        </w:rPr>
        <w:t xml:space="preserve">Ali </w:t>
      </w:r>
      <w:r>
        <w:rPr>
          <w:b/>
          <w:bCs/>
          <w:i/>
          <w:iCs/>
          <w:color w:val="000000"/>
        </w:rPr>
        <w:t>et al.</w:t>
      </w:r>
      <w:r>
        <w:rPr>
          <w:b/>
          <w:bCs/>
          <w:color w:val="000000"/>
        </w:rPr>
        <w:t>, 2021</w:t>
      </w:r>
      <w:r>
        <w:rPr>
          <w:color w:val="000000"/>
        </w:rPr>
        <w:t>). Concurrently, enhanced product</w:t>
      </w:r>
      <w:r>
        <w:rPr>
          <w:color w:val="000000"/>
        </w:rPr>
        <w:t>ion of reactive oxygen species (ROS) serves dual roles as both damaging agents and signalling molecules, triggering adaptive transcriptional and post-transcriptional responses (table 1). Plants counteract oxidative damage through activation of stress-respo</w:t>
      </w:r>
      <w:r>
        <w:rPr>
          <w:color w:val="000000"/>
        </w:rPr>
        <w:t>nsive gene networks, including those encoding ion transporters, Osmo protectants, transcription factors, and signalling molecules (</w:t>
      </w:r>
      <w:r>
        <w:rPr>
          <w:b/>
          <w:bCs/>
          <w:color w:val="000000"/>
        </w:rPr>
        <w:t xml:space="preserve">Rahman </w:t>
      </w:r>
      <w:r>
        <w:rPr>
          <w:b/>
          <w:bCs/>
          <w:i/>
          <w:iCs/>
          <w:color w:val="000000"/>
        </w:rPr>
        <w:t>et al.</w:t>
      </w:r>
      <w:r>
        <w:rPr>
          <w:b/>
          <w:bCs/>
          <w:color w:val="000000"/>
        </w:rPr>
        <w:t>, 2014</w:t>
      </w:r>
      <w:r>
        <w:rPr>
          <w:color w:val="000000"/>
        </w:rPr>
        <w:t>). ABC transporters contribute to ion homeostasis (</w:t>
      </w:r>
      <w:r>
        <w:rPr>
          <w:b/>
          <w:bCs/>
          <w:color w:val="000000"/>
        </w:rPr>
        <w:t xml:space="preserve">Kim </w:t>
      </w:r>
      <w:r>
        <w:rPr>
          <w:b/>
          <w:bCs/>
          <w:i/>
          <w:iCs/>
          <w:color w:val="000000"/>
        </w:rPr>
        <w:t>et al.</w:t>
      </w:r>
      <w:r>
        <w:rPr>
          <w:b/>
          <w:bCs/>
          <w:color w:val="000000"/>
        </w:rPr>
        <w:t xml:space="preserve">, 2010; Jiang </w:t>
      </w:r>
      <w:r>
        <w:rPr>
          <w:b/>
          <w:bCs/>
          <w:i/>
          <w:iCs/>
          <w:color w:val="000000"/>
        </w:rPr>
        <w:t>et al.</w:t>
      </w:r>
      <w:r>
        <w:rPr>
          <w:b/>
          <w:bCs/>
          <w:color w:val="000000"/>
        </w:rPr>
        <w:t>, 2010</w:t>
      </w:r>
      <w:r>
        <w:rPr>
          <w:color w:val="000000"/>
        </w:rPr>
        <w:t>), while aquaporins</w:t>
      </w:r>
      <w:r>
        <w:rPr>
          <w:color w:val="000000"/>
        </w:rPr>
        <w:t xml:space="preserve"> regulate cellular water balance under osmotic stress (</w:t>
      </w:r>
      <w:r>
        <w:rPr>
          <w:b/>
          <w:bCs/>
          <w:color w:val="000000"/>
        </w:rPr>
        <w:t xml:space="preserve">Horie </w:t>
      </w:r>
      <w:r>
        <w:rPr>
          <w:b/>
          <w:bCs/>
          <w:i/>
          <w:iCs/>
          <w:color w:val="000000"/>
        </w:rPr>
        <w:t>et al.</w:t>
      </w:r>
      <w:r>
        <w:rPr>
          <w:b/>
          <w:bCs/>
          <w:color w:val="000000"/>
        </w:rPr>
        <w:t xml:space="preserve">, 2011; Sun </w:t>
      </w:r>
      <w:r>
        <w:rPr>
          <w:b/>
          <w:bCs/>
          <w:i/>
          <w:iCs/>
          <w:color w:val="000000"/>
        </w:rPr>
        <w:t>et al.</w:t>
      </w:r>
      <w:r>
        <w:rPr>
          <w:b/>
          <w:bCs/>
          <w:color w:val="000000"/>
        </w:rPr>
        <w:t xml:space="preserve">, 2017; Yepes-Molina </w:t>
      </w:r>
      <w:r>
        <w:rPr>
          <w:b/>
          <w:bCs/>
          <w:i/>
          <w:iCs/>
          <w:color w:val="000000"/>
        </w:rPr>
        <w:t>et al.</w:t>
      </w:r>
      <w:r>
        <w:rPr>
          <w:b/>
          <w:bCs/>
          <w:color w:val="000000"/>
        </w:rPr>
        <w:t>, 2020</w:t>
      </w:r>
      <w:r>
        <w:rPr>
          <w:color w:val="000000"/>
        </w:rPr>
        <w:t>). Signal amplification via kinases and receptor proteins further refines stress responses through phosphorylation-mediated regulation (</w:t>
      </w:r>
      <w:r>
        <w:rPr>
          <w:b/>
          <w:bCs/>
          <w:color w:val="000000"/>
        </w:rPr>
        <w:t>De</w:t>
      </w:r>
      <w:r>
        <w:rPr>
          <w:b/>
          <w:bCs/>
          <w:color w:val="000000"/>
        </w:rPr>
        <w:t>okar &amp; Tar’an, 2016</w:t>
      </w:r>
      <w:r>
        <w:rPr>
          <w:color w:val="000000"/>
        </w:rPr>
        <w:t>). Moreover, transcription factors orchestrate downstream gene expression, ensuring coordinated stress adaptation, while phytohormones such as brassinosteroids modulate growth and enhance tolerance mechanisms (</w:t>
      </w:r>
      <w:r>
        <w:rPr>
          <w:b/>
          <w:bCs/>
          <w:color w:val="000000"/>
        </w:rPr>
        <w:t>Bishop, 2003</w:t>
      </w:r>
      <w:r>
        <w:rPr>
          <w:color w:val="000000"/>
        </w:rPr>
        <w:t>).</w:t>
      </w:r>
    </w:p>
    <w:p w:rsidR="00040D52" w:rsidRDefault="004D14CF">
      <w:pPr>
        <w:ind w:left="426" w:right="403"/>
        <w:rPr>
          <w:b/>
          <w:bCs/>
          <w:color w:val="000000"/>
          <w:sz w:val="32"/>
          <w:szCs w:val="32"/>
        </w:rPr>
      </w:pPr>
      <w:r>
        <w:rPr>
          <w:b/>
          <w:bCs/>
          <w:color w:val="000000"/>
          <w:sz w:val="32"/>
          <w:szCs w:val="32"/>
        </w:rPr>
        <w:t xml:space="preserve">Improvement </w:t>
      </w:r>
      <w:r>
        <w:rPr>
          <w:b/>
          <w:bCs/>
          <w:color w:val="000000"/>
          <w:sz w:val="32"/>
          <w:szCs w:val="32"/>
        </w:rPr>
        <w:t>for Salinity Tolerance in Millets</w:t>
      </w:r>
    </w:p>
    <w:p w:rsidR="00040D52" w:rsidRDefault="004D14CF">
      <w:pPr>
        <w:ind w:left="426" w:right="403"/>
        <w:rPr>
          <w:color w:val="000000"/>
        </w:rPr>
      </w:pPr>
      <w:r>
        <w:rPr>
          <w:color w:val="000000"/>
        </w:rPr>
        <w:t>Salinity stress poses a significant constraint to finger millet productivity, necessitating the development of advanced and sustainable improvement strategies to ensure food security, particularly in sub-Saharan Africa and</w:t>
      </w:r>
      <w:r>
        <w:rPr>
          <w:color w:val="000000"/>
        </w:rPr>
        <w:t xml:space="preserve"> Asia (</w:t>
      </w:r>
      <w:r>
        <w:rPr>
          <w:b/>
          <w:bCs/>
          <w:color w:val="000000"/>
        </w:rPr>
        <w:t xml:space="preserve">Chivenge </w:t>
      </w:r>
      <w:r>
        <w:rPr>
          <w:b/>
          <w:bCs/>
          <w:i/>
          <w:iCs/>
          <w:color w:val="000000"/>
        </w:rPr>
        <w:t>et al.</w:t>
      </w:r>
      <w:r>
        <w:rPr>
          <w:b/>
          <w:bCs/>
          <w:color w:val="000000"/>
        </w:rPr>
        <w:t>, 2015</w:t>
      </w:r>
      <w:r>
        <w:rPr>
          <w:color w:val="000000"/>
        </w:rPr>
        <w:t>). Conventional breeding approaches, although previously employed, have shown limited success due to the complex, polygenic nature of salinity tolerance, which involves intricate genetic regulation and environmental interactions</w:t>
      </w:r>
      <w:r>
        <w:rPr>
          <w:color w:val="000000"/>
        </w:rPr>
        <w:t xml:space="preserve"> (</w:t>
      </w:r>
      <w:r>
        <w:rPr>
          <w:b/>
          <w:bCs/>
          <w:color w:val="000000"/>
        </w:rPr>
        <w:t xml:space="preserve">Manavalan </w:t>
      </w:r>
      <w:r>
        <w:rPr>
          <w:b/>
          <w:bCs/>
          <w:i/>
          <w:iCs/>
          <w:color w:val="000000"/>
        </w:rPr>
        <w:t>et al.</w:t>
      </w:r>
      <w:r>
        <w:rPr>
          <w:b/>
          <w:bCs/>
          <w:color w:val="000000"/>
        </w:rPr>
        <w:t>, 2009</w:t>
      </w:r>
      <w:r>
        <w:rPr>
          <w:color w:val="000000"/>
        </w:rPr>
        <w:t>). Modern omics-based approaches, including genomics, transcriptomics, proteomics, and metabolomics, have emerged as powerful tools for elucidating salinity tolerance mechanisms. These approaches have enabled the identification of k</w:t>
      </w:r>
      <w:r>
        <w:rPr>
          <w:color w:val="000000"/>
        </w:rPr>
        <w:t>ey stress-responsive genes across crops such as soybean, rice, chickpea, cowpea, and pea (</w:t>
      </w:r>
      <w:r>
        <w:rPr>
          <w:b/>
          <w:bCs/>
          <w:color w:val="000000"/>
        </w:rPr>
        <w:t xml:space="preserve">Wang </w:t>
      </w:r>
      <w:r>
        <w:rPr>
          <w:b/>
          <w:bCs/>
          <w:i/>
          <w:iCs/>
          <w:color w:val="000000"/>
        </w:rPr>
        <w:t>et al.</w:t>
      </w:r>
      <w:r>
        <w:rPr>
          <w:b/>
          <w:bCs/>
          <w:color w:val="000000"/>
        </w:rPr>
        <w:t>, 2018;</w:t>
      </w:r>
      <w:r>
        <w:rPr>
          <w:color w:val="000000"/>
        </w:rPr>
        <w:t xml:space="preserve"> </w:t>
      </w:r>
      <w:r>
        <w:rPr>
          <w:b/>
          <w:bCs/>
          <w:color w:val="000000"/>
        </w:rPr>
        <w:t xml:space="preserve">Das </w:t>
      </w:r>
      <w:r>
        <w:rPr>
          <w:b/>
          <w:bCs/>
          <w:i/>
          <w:iCs/>
          <w:color w:val="000000"/>
        </w:rPr>
        <w:t>et al.</w:t>
      </w:r>
      <w:r>
        <w:rPr>
          <w:b/>
          <w:bCs/>
          <w:color w:val="000000"/>
        </w:rPr>
        <w:t xml:space="preserve">, 2015; Vadez </w:t>
      </w:r>
      <w:r>
        <w:rPr>
          <w:b/>
          <w:bCs/>
          <w:i/>
          <w:iCs/>
          <w:color w:val="000000"/>
        </w:rPr>
        <w:t>et al.</w:t>
      </w:r>
      <w:r>
        <w:rPr>
          <w:b/>
          <w:bCs/>
          <w:color w:val="000000"/>
        </w:rPr>
        <w:t xml:space="preserve">, 2012; Chankaew </w:t>
      </w:r>
      <w:r>
        <w:rPr>
          <w:b/>
          <w:bCs/>
          <w:i/>
          <w:iCs/>
          <w:color w:val="000000"/>
        </w:rPr>
        <w:t>et al.</w:t>
      </w:r>
      <w:r>
        <w:rPr>
          <w:b/>
          <w:bCs/>
          <w:color w:val="000000"/>
        </w:rPr>
        <w:t xml:space="preserve">, 2014; </w:t>
      </w:r>
      <w:r>
        <w:rPr>
          <w:b/>
          <w:bCs/>
          <w:color w:val="000000"/>
        </w:rPr>
        <w:lastRenderedPageBreak/>
        <w:t xml:space="preserve">Leonforte </w:t>
      </w:r>
      <w:r>
        <w:rPr>
          <w:b/>
          <w:bCs/>
          <w:i/>
          <w:iCs/>
          <w:color w:val="000000"/>
        </w:rPr>
        <w:t>et al.</w:t>
      </w:r>
      <w:r>
        <w:rPr>
          <w:b/>
          <w:bCs/>
          <w:color w:val="000000"/>
        </w:rPr>
        <w:t>, 2013</w:t>
      </w:r>
      <w:r>
        <w:rPr>
          <w:color w:val="000000"/>
        </w:rPr>
        <w:t>). Transgenic strategies further facilitate the targeted expression of candidate genes, enhancing plant performance under saline conditions. Several genes associated with salinity tolerance, including UGT76E12, PtDRS1, MdY3IP1, AtHDG11, codA, NHX1, rstB, a</w:t>
      </w:r>
      <w:r>
        <w:rPr>
          <w:color w:val="000000"/>
        </w:rPr>
        <w:t>nd GsZFP1, have been identified and functionally characterized (</w:t>
      </w:r>
      <w:r>
        <w:rPr>
          <w:b/>
          <w:bCs/>
          <w:color w:val="000000"/>
        </w:rPr>
        <w:t xml:space="preserve">Chen </w:t>
      </w:r>
      <w:r>
        <w:rPr>
          <w:b/>
          <w:bCs/>
          <w:i/>
          <w:iCs/>
          <w:color w:val="000000"/>
        </w:rPr>
        <w:t>et al.</w:t>
      </w:r>
      <w:r>
        <w:rPr>
          <w:b/>
          <w:bCs/>
          <w:color w:val="000000"/>
        </w:rPr>
        <w:t xml:space="preserve">, 2019; Mohammadi </w:t>
      </w:r>
      <w:r>
        <w:rPr>
          <w:b/>
          <w:bCs/>
          <w:i/>
          <w:iCs/>
          <w:color w:val="000000"/>
        </w:rPr>
        <w:t>et al.</w:t>
      </w:r>
      <w:r>
        <w:rPr>
          <w:b/>
          <w:bCs/>
          <w:color w:val="000000"/>
        </w:rPr>
        <w:t xml:space="preserve">, 2018; Yu </w:t>
      </w:r>
      <w:r>
        <w:rPr>
          <w:b/>
          <w:bCs/>
          <w:i/>
          <w:iCs/>
          <w:color w:val="000000"/>
        </w:rPr>
        <w:t>et al.</w:t>
      </w:r>
      <w:r>
        <w:rPr>
          <w:b/>
          <w:bCs/>
          <w:color w:val="000000"/>
        </w:rPr>
        <w:t xml:space="preserve">, 2018; Zheng </w:t>
      </w:r>
      <w:r>
        <w:rPr>
          <w:b/>
          <w:bCs/>
          <w:i/>
          <w:iCs/>
          <w:color w:val="000000"/>
        </w:rPr>
        <w:t>et al.</w:t>
      </w:r>
      <w:r>
        <w:rPr>
          <w:b/>
          <w:bCs/>
          <w:color w:val="000000"/>
        </w:rPr>
        <w:t xml:space="preserve">, 2018; Banavath </w:t>
      </w:r>
      <w:r>
        <w:rPr>
          <w:b/>
          <w:bCs/>
          <w:i/>
          <w:iCs/>
          <w:color w:val="000000"/>
        </w:rPr>
        <w:t>et al.</w:t>
      </w:r>
      <w:r>
        <w:rPr>
          <w:b/>
          <w:bCs/>
          <w:color w:val="000000"/>
        </w:rPr>
        <w:t xml:space="preserve">, 2018; Baloda </w:t>
      </w:r>
      <w:r>
        <w:rPr>
          <w:b/>
          <w:bCs/>
          <w:i/>
          <w:iCs/>
          <w:color w:val="000000"/>
        </w:rPr>
        <w:t>et al.</w:t>
      </w:r>
      <w:r>
        <w:rPr>
          <w:b/>
          <w:bCs/>
          <w:color w:val="000000"/>
        </w:rPr>
        <w:t>, 2017</w:t>
      </w:r>
      <w:r>
        <w:rPr>
          <w:color w:val="000000"/>
        </w:rPr>
        <w:t>).</w:t>
      </w:r>
    </w:p>
    <w:p w:rsidR="00040D52" w:rsidRDefault="004D14CF">
      <w:pPr>
        <w:ind w:left="426" w:right="403"/>
        <w:rPr>
          <w:color w:val="000000"/>
        </w:rPr>
      </w:pPr>
      <w:r>
        <w:rPr>
          <w:color w:val="000000"/>
        </w:rPr>
        <w:t>Genetic engineering approaches have demonstrated promising outcomes</w:t>
      </w:r>
      <w:r>
        <w:rPr>
          <w:color w:val="000000"/>
        </w:rPr>
        <w:t xml:space="preserve"> in improving salinity tolerance in finger millet (table 1). Expression of genes such as mtlD has been shown to enhance growth and stress tolerance under saline conditions (Hema </w:t>
      </w:r>
      <w:r>
        <w:rPr>
          <w:i/>
          <w:iCs/>
          <w:color w:val="000000"/>
        </w:rPr>
        <w:t>et al.</w:t>
      </w:r>
      <w:r>
        <w:rPr>
          <w:color w:val="000000"/>
        </w:rPr>
        <w:t>, 2014), while overexpression of stress-responsive genes improves physio</w:t>
      </w:r>
      <w:r>
        <w:rPr>
          <w:color w:val="000000"/>
        </w:rPr>
        <w:t>logical attributes including proline accumulation, chlorophyll stability, and reduced oxidative damage (</w:t>
      </w:r>
      <w:r>
        <w:rPr>
          <w:b/>
          <w:bCs/>
          <w:color w:val="000000"/>
        </w:rPr>
        <w:t xml:space="preserve">Anjaneyulu </w:t>
      </w:r>
      <w:r>
        <w:rPr>
          <w:b/>
          <w:bCs/>
          <w:i/>
          <w:iCs/>
          <w:color w:val="000000"/>
        </w:rPr>
        <w:t>et al.</w:t>
      </w:r>
      <w:r>
        <w:rPr>
          <w:b/>
          <w:bCs/>
          <w:color w:val="000000"/>
        </w:rPr>
        <w:t>, 2014</w:t>
      </w:r>
      <w:r>
        <w:rPr>
          <w:color w:val="000000"/>
        </w:rPr>
        <w:t>). The availability of efficient regeneration systems and diverse stress-responsive genes further strengthens the potential for c</w:t>
      </w:r>
      <w:r>
        <w:rPr>
          <w:color w:val="000000"/>
        </w:rPr>
        <w:t>rop improvement (</w:t>
      </w:r>
      <w:r>
        <w:rPr>
          <w:b/>
          <w:bCs/>
          <w:color w:val="000000"/>
        </w:rPr>
        <w:t xml:space="preserve">Mukami </w:t>
      </w:r>
      <w:r>
        <w:rPr>
          <w:b/>
          <w:bCs/>
          <w:i/>
          <w:iCs/>
          <w:color w:val="000000"/>
        </w:rPr>
        <w:t>et al.</w:t>
      </w:r>
      <w:r>
        <w:rPr>
          <w:b/>
          <w:bCs/>
          <w:color w:val="000000"/>
        </w:rPr>
        <w:t xml:space="preserve">, 2018; Ngetich </w:t>
      </w:r>
      <w:r>
        <w:rPr>
          <w:b/>
          <w:bCs/>
          <w:i/>
          <w:iCs/>
          <w:color w:val="000000"/>
        </w:rPr>
        <w:t>et al.</w:t>
      </w:r>
      <w:r>
        <w:rPr>
          <w:b/>
          <w:bCs/>
          <w:color w:val="000000"/>
        </w:rPr>
        <w:t>, 2018;</w:t>
      </w:r>
      <w:r>
        <w:rPr>
          <w:color w:val="000000"/>
        </w:rPr>
        <w:t xml:space="preserve"> </w:t>
      </w:r>
      <w:r>
        <w:rPr>
          <w:b/>
          <w:bCs/>
          <w:color w:val="000000"/>
        </w:rPr>
        <w:t xml:space="preserve">Zheng </w:t>
      </w:r>
      <w:r>
        <w:rPr>
          <w:b/>
          <w:bCs/>
          <w:i/>
          <w:iCs/>
          <w:color w:val="000000"/>
        </w:rPr>
        <w:t>et al.</w:t>
      </w:r>
      <w:r>
        <w:rPr>
          <w:b/>
          <w:bCs/>
          <w:color w:val="000000"/>
        </w:rPr>
        <w:t xml:space="preserve">, 2018; Chen </w:t>
      </w:r>
      <w:r>
        <w:rPr>
          <w:b/>
          <w:bCs/>
          <w:i/>
          <w:iCs/>
          <w:color w:val="000000"/>
        </w:rPr>
        <w:t>et al.</w:t>
      </w:r>
      <w:r>
        <w:rPr>
          <w:b/>
          <w:bCs/>
          <w:color w:val="000000"/>
        </w:rPr>
        <w:t>, 2019</w:t>
      </w:r>
      <w:r>
        <w:rPr>
          <w:color w:val="000000"/>
        </w:rPr>
        <w:t>). Advances in plant genomics have enabled the identification of key regulatory pathways associated with salinity tolerance, including improved ion homeostasis</w:t>
      </w:r>
      <w:r>
        <w:rPr>
          <w:color w:val="000000"/>
        </w:rPr>
        <w:t xml:space="preserve"> mechanisms and stress-responsive gene networks (</w:t>
      </w:r>
      <w:r>
        <w:rPr>
          <w:b/>
          <w:bCs/>
          <w:color w:val="000000"/>
        </w:rPr>
        <w:t xml:space="preserve">Chakraborty </w:t>
      </w:r>
      <w:r>
        <w:rPr>
          <w:b/>
          <w:bCs/>
          <w:i/>
          <w:iCs/>
          <w:color w:val="000000"/>
        </w:rPr>
        <w:t>et al.</w:t>
      </w:r>
      <w:r>
        <w:rPr>
          <w:b/>
          <w:bCs/>
          <w:color w:val="000000"/>
        </w:rPr>
        <w:t>, 2012</w:t>
      </w:r>
      <w:r>
        <w:rPr>
          <w:color w:val="000000"/>
        </w:rPr>
        <w:t>). Transgenic studies have further demonstrated enhanced tolerance through improved germination, reduced oxidative stress, and increased osmolyte accumulation.</w:t>
      </w:r>
    </w:p>
    <w:p w:rsidR="00040D52" w:rsidRDefault="004D14CF">
      <w:pPr>
        <w:ind w:left="426" w:right="403"/>
        <w:rPr>
          <w:color w:val="000000"/>
        </w:rPr>
        <w:sectPr w:rsidR="00040D52">
          <w:pgSz w:w="11906" w:h="16838"/>
          <w:pgMar w:top="1276" w:right="1440" w:bottom="1134" w:left="1440" w:header="709" w:footer="709" w:gutter="0"/>
          <w:cols w:space="720"/>
        </w:sectPr>
      </w:pPr>
      <w:r>
        <w:rPr>
          <w:color w:val="000000"/>
        </w:rPr>
        <w:t xml:space="preserve">Given the </w:t>
      </w:r>
      <w:r>
        <w:rPr>
          <w:color w:val="000000"/>
        </w:rPr>
        <w:t>multigenic nature of salinity tolerance, reliance on single-gene strategies is often insufficient for achieving stable and durable tolerance (</w:t>
      </w:r>
      <w:r>
        <w:rPr>
          <w:b/>
          <w:bCs/>
          <w:color w:val="000000"/>
        </w:rPr>
        <w:t xml:space="preserve">Ashraf </w:t>
      </w:r>
      <w:r>
        <w:rPr>
          <w:b/>
          <w:bCs/>
          <w:i/>
          <w:iCs/>
          <w:color w:val="000000"/>
        </w:rPr>
        <w:t>et al.</w:t>
      </w:r>
      <w:r>
        <w:rPr>
          <w:b/>
          <w:bCs/>
          <w:color w:val="000000"/>
        </w:rPr>
        <w:t>, 2018</w:t>
      </w:r>
      <w:r>
        <w:rPr>
          <w:color w:val="000000"/>
        </w:rPr>
        <w:t xml:space="preserve">). Therefore, multigene pyramiding and co-expression strategies are increasingly emphasized to </w:t>
      </w:r>
      <w:r>
        <w:rPr>
          <w:color w:val="000000"/>
        </w:rPr>
        <w:t>integrate multiple stress-responsive traits within a single genotype (</w:t>
      </w:r>
      <w:r>
        <w:rPr>
          <w:b/>
          <w:bCs/>
          <w:color w:val="000000"/>
        </w:rPr>
        <w:t xml:space="preserve">Biradar </w:t>
      </w:r>
      <w:r>
        <w:rPr>
          <w:b/>
          <w:bCs/>
          <w:i/>
          <w:iCs/>
          <w:color w:val="000000"/>
        </w:rPr>
        <w:t>et al.</w:t>
      </w:r>
      <w:r>
        <w:rPr>
          <w:b/>
          <w:bCs/>
          <w:color w:val="000000"/>
        </w:rPr>
        <w:t>, 2018</w:t>
      </w:r>
      <w:r>
        <w:rPr>
          <w:color w:val="000000"/>
        </w:rPr>
        <w:t>). Although gene transfer techniques such as Agrobacterium-mediated transformation and biolistic methods enable multigene integration, they present challenges includi</w:t>
      </w:r>
      <w:r>
        <w:rPr>
          <w:color w:val="000000"/>
        </w:rPr>
        <w:t>ng gene silencing, insertional complexity, and instability of inheritance (</w:t>
      </w:r>
      <w:r>
        <w:rPr>
          <w:b/>
          <w:bCs/>
          <w:color w:val="000000"/>
        </w:rPr>
        <w:t xml:space="preserve">Liu </w:t>
      </w:r>
      <w:r>
        <w:rPr>
          <w:b/>
          <w:bCs/>
          <w:i/>
          <w:iCs/>
          <w:color w:val="000000"/>
        </w:rPr>
        <w:t>et al.</w:t>
      </w:r>
      <w:r>
        <w:rPr>
          <w:b/>
          <w:bCs/>
          <w:color w:val="000000"/>
        </w:rPr>
        <w:t>, 2018</w:t>
      </w:r>
      <w:r>
        <w:rPr>
          <w:color w:val="000000"/>
        </w:rPr>
        <w:t>). Empirical evidence indicates that co-expression of multiple genes enhances salinity tolerance across several crop species (</w:t>
      </w:r>
      <w:r>
        <w:rPr>
          <w:b/>
          <w:bCs/>
          <w:color w:val="000000"/>
        </w:rPr>
        <w:t xml:space="preserve">Gupta </w:t>
      </w:r>
      <w:r>
        <w:rPr>
          <w:b/>
          <w:bCs/>
          <w:i/>
          <w:iCs/>
          <w:color w:val="000000"/>
        </w:rPr>
        <w:t>et al.</w:t>
      </w:r>
      <w:r>
        <w:rPr>
          <w:b/>
          <w:bCs/>
          <w:color w:val="000000"/>
        </w:rPr>
        <w:t xml:space="preserve">, 2018; Shafi </w:t>
      </w:r>
      <w:r>
        <w:rPr>
          <w:b/>
          <w:bCs/>
          <w:i/>
          <w:iCs/>
          <w:color w:val="000000"/>
        </w:rPr>
        <w:t>et al.</w:t>
      </w:r>
      <w:r>
        <w:rPr>
          <w:b/>
          <w:bCs/>
          <w:color w:val="000000"/>
        </w:rPr>
        <w:t>, 2017;</w:t>
      </w:r>
      <w:r>
        <w:rPr>
          <w:b/>
          <w:bCs/>
          <w:color w:val="000000"/>
        </w:rPr>
        <w:t xml:space="preserve"> Pehlivan </w:t>
      </w:r>
      <w:r>
        <w:rPr>
          <w:b/>
          <w:bCs/>
          <w:i/>
          <w:iCs/>
          <w:color w:val="000000"/>
        </w:rPr>
        <w:t>et al.</w:t>
      </w:r>
      <w:r>
        <w:rPr>
          <w:b/>
          <w:bCs/>
          <w:color w:val="000000"/>
        </w:rPr>
        <w:t xml:space="preserve">, 2016; Yan </w:t>
      </w:r>
      <w:r>
        <w:rPr>
          <w:b/>
          <w:bCs/>
          <w:i/>
          <w:iCs/>
          <w:color w:val="000000"/>
        </w:rPr>
        <w:t>et al.</w:t>
      </w:r>
      <w:r>
        <w:rPr>
          <w:b/>
          <w:bCs/>
          <w:color w:val="000000"/>
        </w:rPr>
        <w:t>, 2016</w:t>
      </w:r>
      <w:r>
        <w:rPr>
          <w:color w:val="000000"/>
        </w:rPr>
        <w:t>). In finger millet, gene stacking approaches have demonstrated improved tolerance compared to wild-type plants, highlighting their potential for long-term stress resilience (</w:t>
      </w:r>
      <w:r>
        <w:rPr>
          <w:b/>
          <w:bCs/>
          <w:color w:val="000000"/>
        </w:rPr>
        <w:t xml:space="preserve">Jayasudha </w:t>
      </w:r>
      <w:r>
        <w:rPr>
          <w:b/>
          <w:bCs/>
          <w:i/>
          <w:iCs/>
          <w:color w:val="000000"/>
        </w:rPr>
        <w:t>et al.</w:t>
      </w:r>
      <w:r>
        <w:rPr>
          <w:b/>
          <w:bCs/>
          <w:color w:val="000000"/>
        </w:rPr>
        <w:t>, 2014)</w:t>
      </w:r>
      <w:r>
        <w:rPr>
          <w:color w:val="000000"/>
        </w:rPr>
        <w:t>.</w:t>
      </w:r>
    </w:p>
    <w:p w:rsidR="00040D52" w:rsidRDefault="004D14CF">
      <w:pPr>
        <w:ind w:left="426" w:right="403"/>
        <w:jc w:val="center"/>
        <w:rPr>
          <w:b/>
          <w:bCs/>
          <w:color w:val="000000"/>
        </w:rPr>
      </w:pPr>
      <w:r>
        <w:rPr>
          <w:b/>
          <w:bCs/>
          <w:color w:val="000000"/>
          <w:sz w:val="28"/>
          <w:szCs w:val="28"/>
        </w:rPr>
        <w:lastRenderedPageBreak/>
        <w:t xml:space="preserve">Table 1: Salinity response genes identified in finger millet (Rahman </w:t>
      </w:r>
      <w:r>
        <w:rPr>
          <w:b/>
          <w:bCs/>
          <w:i/>
          <w:iCs/>
          <w:color w:val="000000"/>
          <w:sz w:val="28"/>
          <w:szCs w:val="28"/>
        </w:rPr>
        <w:t>et al.,</w:t>
      </w:r>
      <w:r>
        <w:rPr>
          <w:b/>
          <w:bCs/>
          <w:color w:val="000000"/>
          <w:sz w:val="28"/>
          <w:szCs w:val="28"/>
        </w:rPr>
        <w:t xml:space="preserve"> 2014)</w:t>
      </w:r>
    </w:p>
    <w:tbl>
      <w:tblPr>
        <w:tblStyle w:val="a0"/>
        <w:tblW w:w="144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3"/>
        <w:gridCol w:w="4169"/>
        <w:gridCol w:w="7566"/>
      </w:tblGrid>
      <w:tr w:rsidR="00040D52">
        <w:tc>
          <w:tcPr>
            <w:tcW w:w="2683" w:type="dxa"/>
          </w:tcPr>
          <w:p w:rsidR="00040D52" w:rsidRDefault="004D14CF">
            <w:pPr>
              <w:ind w:right="403"/>
              <w:rPr>
                <w:b/>
                <w:bCs/>
                <w:color w:val="000000"/>
              </w:rPr>
            </w:pPr>
            <w:r>
              <w:rPr>
                <w:b/>
                <w:bCs/>
                <w:color w:val="000000"/>
              </w:rPr>
              <w:t>Category</w:t>
            </w:r>
          </w:p>
        </w:tc>
        <w:tc>
          <w:tcPr>
            <w:tcW w:w="4169" w:type="dxa"/>
          </w:tcPr>
          <w:p w:rsidR="00040D52" w:rsidRDefault="004D14CF">
            <w:pPr>
              <w:ind w:right="403"/>
              <w:rPr>
                <w:b/>
                <w:bCs/>
                <w:color w:val="000000"/>
              </w:rPr>
            </w:pPr>
            <w:r>
              <w:rPr>
                <w:b/>
                <w:bCs/>
                <w:color w:val="000000"/>
              </w:rPr>
              <w:t>Gene IDs (LOC_Os)</w:t>
            </w:r>
          </w:p>
        </w:tc>
        <w:tc>
          <w:tcPr>
            <w:tcW w:w="7566" w:type="dxa"/>
          </w:tcPr>
          <w:p w:rsidR="00040D52" w:rsidRDefault="004D14CF">
            <w:pPr>
              <w:ind w:right="403"/>
              <w:rPr>
                <w:b/>
                <w:bCs/>
                <w:color w:val="000000"/>
              </w:rPr>
            </w:pPr>
            <w:r>
              <w:rPr>
                <w:b/>
                <w:bCs/>
                <w:color w:val="000000"/>
              </w:rPr>
              <w:t>Function / Description</w:t>
            </w:r>
          </w:p>
        </w:tc>
      </w:tr>
      <w:tr w:rsidR="00040D52">
        <w:tc>
          <w:tcPr>
            <w:tcW w:w="2683" w:type="dxa"/>
          </w:tcPr>
          <w:p w:rsidR="00040D52" w:rsidRDefault="004D14CF">
            <w:pPr>
              <w:ind w:right="403"/>
              <w:rPr>
                <w:color w:val="000000"/>
              </w:rPr>
            </w:pPr>
            <w:r>
              <w:rPr>
                <w:b/>
                <w:bCs/>
                <w:color w:val="000000"/>
              </w:rPr>
              <w:t>Transporters</w:t>
            </w:r>
          </w:p>
        </w:tc>
        <w:tc>
          <w:tcPr>
            <w:tcW w:w="4169" w:type="dxa"/>
          </w:tcPr>
          <w:p w:rsidR="00040D52" w:rsidRDefault="004D14CF">
            <w:pPr>
              <w:ind w:left="0" w:right="403"/>
              <w:rPr>
                <w:color w:val="000000"/>
              </w:rPr>
            </w:pPr>
            <w:r>
              <w:rPr>
                <w:color w:val="000000"/>
              </w:rPr>
              <w:t>Os11g39020, Os02g32690, Os01g24010</w:t>
            </w:r>
          </w:p>
        </w:tc>
        <w:tc>
          <w:tcPr>
            <w:tcW w:w="7566" w:type="dxa"/>
          </w:tcPr>
          <w:p w:rsidR="00040D52" w:rsidRDefault="004D14CF">
            <w:pPr>
              <w:ind w:right="403"/>
              <w:rPr>
                <w:color w:val="000000"/>
              </w:rPr>
            </w:pPr>
            <w:r>
              <w:rPr>
                <w:color w:val="000000"/>
              </w:rPr>
              <w:t>ATP-binding cassette (ABC) transporters</w:t>
            </w:r>
          </w:p>
        </w:tc>
      </w:tr>
      <w:tr w:rsidR="00040D52">
        <w:tc>
          <w:tcPr>
            <w:tcW w:w="2683" w:type="dxa"/>
          </w:tcPr>
          <w:p w:rsidR="00040D52" w:rsidRDefault="004D14CF">
            <w:pPr>
              <w:ind w:right="403"/>
              <w:rPr>
                <w:color w:val="000000"/>
              </w:rPr>
            </w:pPr>
            <w:r>
              <w:rPr>
                <w:b/>
                <w:bCs/>
                <w:color w:val="000000"/>
              </w:rPr>
              <w:t>ATP Synthase</w:t>
            </w:r>
          </w:p>
        </w:tc>
        <w:tc>
          <w:tcPr>
            <w:tcW w:w="4169" w:type="dxa"/>
          </w:tcPr>
          <w:p w:rsidR="00040D52" w:rsidRDefault="004D14CF">
            <w:pPr>
              <w:ind w:right="403"/>
              <w:rPr>
                <w:color w:val="000000"/>
              </w:rPr>
            </w:pPr>
            <w:r>
              <w:rPr>
                <w:color w:val="000000"/>
              </w:rPr>
              <w:t>Os03g14690, Os10g10500, Os04g55040</w:t>
            </w:r>
          </w:p>
        </w:tc>
        <w:tc>
          <w:tcPr>
            <w:tcW w:w="7566" w:type="dxa"/>
          </w:tcPr>
          <w:p w:rsidR="00040D52" w:rsidRDefault="004D14CF">
            <w:pPr>
              <w:ind w:right="403"/>
              <w:rPr>
                <w:color w:val="000000"/>
              </w:rPr>
            </w:pPr>
            <w:r>
              <w:rPr>
                <w:color w:val="000000"/>
              </w:rPr>
              <w:t>Vacuolar ATP synthase</w:t>
            </w:r>
          </w:p>
        </w:tc>
      </w:tr>
      <w:tr w:rsidR="00040D52">
        <w:tc>
          <w:tcPr>
            <w:tcW w:w="2683" w:type="dxa"/>
          </w:tcPr>
          <w:p w:rsidR="00040D52" w:rsidRDefault="004D14CF">
            <w:pPr>
              <w:ind w:right="403"/>
              <w:rPr>
                <w:color w:val="000000"/>
              </w:rPr>
            </w:pPr>
            <w:r>
              <w:rPr>
                <w:b/>
                <w:bCs/>
                <w:color w:val="000000"/>
              </w:rPr>
              <w:t>Proteins</w:t>
            </w:r>
          </w:p>
        </w:tc>
        <w:tc>
          <w:tcPr>
            <w:tcW w:w="4169" w:type="dxa"/>
          </w:tcPr>
          <w:p w:rsidR="00040D52" w:rsidRDefault="004D14CF">
            <w:pPr>
              <w:ind w:right="403"/>
              <w:rPr>
                <w:color w:val="000000"/>
              </w:rPr>
            </w:pPr>
            <w:r>
              <w:rPr>
                <w:color w:val="000000"/>
              </w:rPr>
              <w:t>Os02g57720, Os03g05290, Os07g26630, Os07g26690</w:t>
            </w:r>
          </w:p>
        </w:tc>
        <w:tc>
          <w:tcPr>
            <w:tcW w:w="7566" w:type="dxa"/>
          </w:tcPr>
          <w:p w:rsidR="00040D52" w:rsidRDefault="004D14CF">
            <w:pPr>
              <w:ind w:right="403"/>
              <w:rPr>
                <w:color w:val="000000"/>
              </w:rPr>
            </w:pPr>
            <w:r>
              <w:rPr>
                <w:color w:val="000000"/>
              </w:rPr>
              <w:t>Aquaporin proteins (water transport)</w:t>
            </w:r>
          </w:p>
        </w:tc>
      </w:tr>
      <w:tr w:rsidR="00040D52">
        <w:tc>
          <w:tcPr>
            <w:tcW w:w="2683" w:type="dxa"/>
          </w:tcPr>
          <w:p w:rsidR="00040D52" w:rsidRDefault="004D14CF">
            <w:pPr>
              <w:ind w:right="403"/>
              <w:rPr>
                <w:color w:val="000000"/>
              </w:rPr>
            </w:pPr>
            <w:r>
              <w:rPr>
                <w:b/>
                <w:bCs/>
                <w:color w:val="000000"/>
              </w:rPr>
              <w:t>Signalling Molecules</w:t>
            </w:r>
          </w:p>
        </w:tc>
        <w:tc>
          <w:tcPr>
            <w:tcW w:w="4169" w:type="dxa"/>
          </w:tcPr>
          <w:p w:rsidR="00040D52" w:rsidRDefault="004D14CF">
            <w:pPr>
              <w:ind w:right="403"/>
              <w:rPr>
                <w:color w:val="000000"/>
              </w:rPr>
            </w:pPr>
            <w:r>
              <w:rPr>
                <w:color w:val="000000"/>
              </w:rPr>
              <w:t>Os03g42130, Os06g04880, Os02g41580, Os03g46770, Os03g62180, Os07g03810, Os03g56270, Os07g35140, Os02g09740, Os01g26390</w:t>
            </w:r>
          </w:p>
        </w:tc>
        <w:tc>
          <w:tcPr>
            <w:tcW w:w="7566" w:type="dxa"/>
          </w:tcPr>
          <w:p w:rsidR="00040D52" w:rsidRDefault="004D14CF">
            <w:pPr>
              <w:ind w:right="403"/>
              <w:rPr>
                <w:color w:val="000000"/>
              </w:rPr>
            </w:pPr>
            <w:r>
              <w:rPr>
                <w:color w:val="000000"/>
              </w:rPr>
              <w:t>Gibberellin 20-oxidase 2; Serine/threonine kinase; Calcium/calmodulin-dependent protein kinases; RNA recognition motif protein; Lectin pr</w:t>
            </w:r>
            <w:r>
              <w:rPr>
                <w:color w:val="000000"/>
              </w:rPr>
              <w:t>otein kinase; Lectin-like receptor kinase; Receptor protein kinase; Receptor-like serine/threonine kinase; STRUBBELIG receptor family; DUF26 kinases</w:t>
            </w:r>
          </w:p>
        </w:tc>
      </w:tr>
      <w:tr w:rsidR="00040D52">
        <w:tc>
          <w:tcPr>
            <w:tcW w:w="2683" w:type="dxa"/>
          </w:tcPr>
          <w:p w:rsidR="00040D52" w:rsidRDefault="004D14CF">
            <w:pPr>
              <w:ind w:right="403"/>
              <w:rPr>
                <w:color w:val="000000"/>
              </w:rPr>
            </w:pPr>
            <w:r>
              <w:rPr>
                <w:b/>
                <w:bCs/>
                <w:color w:val="000000"/>
              </w:rPr>
              <w:t>Transcription Factors (TFs)</w:t>
            </w:r>
          </w:p>
        </w:tc>
        <w:tc>
          <w:tcPr>
            <w:tcW w:w="4169" w:type="dxa"/>
          </w:tcPr>
          <w:p w:rsidR="00040D52" w:rsidRDefault="004D14CF">
            <w:pPr>
              <w:ind w:right="403"/>
              <w:rPr>
                <w:color w:val="000000"/>
              </w:rPr>
            </w:pPr>
            <w:r>
              <w:rPr>
                <w:color w:val="000000"/>
              </w:rPr>
              <w:t>Os03g60080, Os08g36790, Os07g02060</w:t>
            </w:r>
          </w:p>
        </w:tc>
        <w:tc>
          <w:tcPr>
            <w:tcW w:w="7566" w:type="dxa"/>
          </w:tcPr>
          <w:p w:rsidR="00040D52" w:rsidRDefault="004D14CF">
            <w:pPr>
              <w:ind w:left="0" w:right="403"/>
              <w:rPr>
                <w:color w:val="000000"/>
              </w:rPr>
            </w:pPr>
            <w:r>
              <w:rPr>
                <w:color w:val="000000"/>
              </w:rPr>
              <w:t>NAC domain, bZIP, WRKY29</w:t>
            </w:r>
          </w:p>
        </w:tc>
      </w:tr>
      <w:tr w:rsidR="00040D52">
        <w:tc>
          <w:tcPr>
            <w:tcW w:w="2683" w:type="dxa"/>
          </w:tcPr>
          <w:p w:rsidR="00040D52" w:rsidRDefault="004D14CF">
            <w:pPr>
              <w:ind w:right="403"/>
              <w:rPr>
                <w:color w:val="000000"/>
              </w:rPr>
            </w:pPr>
            <w:r>
              <w:rPr>
                <w:b/>
                <w:bCs/>
                <w:color w:val="000000"/>
              </w:rPr>
              <w:t>Phytohormones</w:t>
            </w:r>
          </w:p>
        </w:tc>
        <w:tc>
          <w:tcPr>
            <w:tcW w:w="4169" w:type="dxa"/>
          </w:tcPr>
          <w:p w:rsidR="00040D52" w:rsidRDefault="004D14CF">
            <w:pPr>
              <w:ind w:right="403"/>
              <w:rPr>
                <w:color w:val="000000"/>
              </w:rPr>
            </w:pPr>
            <w:r>
              <w:rPr>
                <w:color w:val="000000"/>
              </w:rPr>
              <w:t>Os0</w:t>
            </w:r>
            <w:r>
              <w:rPr>
                <w:color w:val="000000"/>
              </w:rPr>
              <w:t>3g16980, Os07g47700</w:t>
            </w:r>
          </w:p>
        </w:tc>
        <w:tc>
          <w:tcPr>
            <w:tcW w:w="7566" w:type="dxa"/>
          </w:tcPr>
          <w:p w:rsidR="00040D52" w:rsidRDefault="004D14CF">
            <w:pPr>
              <w:ind w:right="403"/>
              <w:rPr>
                <w:color w:val="000000"/>
              </w:rPr>
            </w:pPr>
            <w:r>
              <w:rPr>
                <w:color w:val="000000"/>
              </w:rPr>
              <w:t>Brassinosteroid biosynthesis</w:t>
            </w:r>
          </w:p>
        </w:tc>
      </w:tr>
      <w:tr w:rsidR="00040D52">
        <w:tc>
          <w:tcPr>
            <w:tcW w:w="2683" w:type="dxa"/>
          </w:tcPr>
          <w:p w:rsidR="00040D52" w:rsidRDefault="004D14CF">
            <w:pPr>
              <w:ind w:right="403"/>
              <w:rPr>
                <w:color w:val="000000"/>
              </w:rPr>
            </w:pPr>
            <w:r>
              <w:rPr>
                <w:b/>
                <w:bCs/>
                <w:color w:val="000000"/>
              </w:rPr>
              <w:t>Osmo protectants</w:t>
            </w:r>
          </w:p>
        </w:tc>
        <w:tc>
          <w:tcPr>
            <w:tcW w:w="4169" w:type="dxa"/>
          </w:tcPr>
          <w:p w:rsidR="00040D52" w:rsidRDefault="004D14CF">
            <w:pPr>
              <w:ind w:left="0" w:right="403"/>
              <w:rPr>
                <w:color w:val="000000"/>
              </w:rPr>
            </w:pPr>
            <w:r>
              <w:rPr>
                <w:color w:val="000000"/>
              </w:rPr>
              <w:t>Os11g26790, Os08g32870, Os01g62900</w:t>
            </w:r>
          </w:p>
        </w:tc>
        <w:tc>
          <w:tcPr>
            <w:tcW w:w="7566" w:type="dxa"/>
          </w:tcPr>
          <w:p w:rsidR="00040D52" w:rsidRDefault="004D14CF">
            <w:pPr>
              <w:ind w:right="403"/>
              <w:rPr>
                <w:color w:val="000000"/>
              </w:rPr>
            </w:pPr>
            <w:r>
              <w:rPr>
                <w:color w:val="000000"/>
              </w:rPr>
              <w:t>Dehydrins; Betaine aldehyde dehydrogenase; Pyrroline-5-carboxylate synthetase (proline biosynthesis)</w:t>
            </w:r>
          </w:p>
        </w:tc>
      </w:tr>
      <w:tr w:rsidR="00040D52">
        <w:tc>
          <w:tcPr>
            <w:tcW w:w="2683" w:type="dxa"/>
          </w:tcPr>
          <w:p w:rsidR="00040D52" w:rsidRDefault="004D14CF">
            <w:pPr>
              <w:ind w:right="403"/>
              <w:rPr>
                <w:color w:val="000000"/>
              </w:rPr>
            </w:pPr>
            <w:r>
              <w:rPr>
                <w:b/>
                <w:bCs/>
                <w:color w:val="000000"/>
              </w:rPr>
              <w:t>Carbohydrate &amp; Osmolyte Metabolism</w:t>
            </w:r>
          </w:p>
        </w:tc>
        <w:tc>
          <w:tcPr>
            <w:tcW w:w="4169" w:type="dxa"/>
          </w:tcPr>
          <w:p w:rsidR="00040D52" w:rsidRDefault="004D14CF">
            <w:pPr>
              <w:ind w:right="403"/>
              <w:rPr>
                <w:color w:val="000000"/>
              </w:rPr>
            </w:pPr>
            <w:r>
              <w:rPr>
                <w:color w:val="000000"/>
              </w:rPr>
              <w:t>Os03g20120, Os01g</w:t>
            </w:r>
            <w:r>
              <w:rPr>
                <w:color w:val="000000"/>
              </w:rPr>
              <w:t>07530, Os07g10840, Os03g59430, Os06g46340, Os08g20660</w:t>
            </w:r>
          </w:p>
        </w:tc>
        <w:tc>
          <w:tcPr>
            <w:tcW w:w="7566" w:type="dxa"/>
          </w:tcPr>
          <w:p w:rsidR="00040D52" w:rsidRDefault="004D14CF">
            <w:pPr>
              <w:ind w:right="403"/>
              <w:rPr>
                <w:color w:val="000000"/>
              </w:rPr>
            </w:pPr>
            <w:r>
              <w:rPr>
                <w:color w:val="000000"/>
              </w:rPr>
              <w:t>Glycosyl transferases (raffinose synthesis); Glycosyl hydrolase family 31 (melibiose hydrolysis); Sucrose phosphate synthase 1 (photosynthetic sucrose synthesis)</w:t>
            </w:r>
          </w:p>
        </w:tc>
      </w:tr>
    </w:tbl>
    <w:p w:rsidR="00040D52" w:rsidRDefault="00040D52">
      <w:pPr>
        <w:ind w:left="426" w:right="403"/>
        <w:rPr>
          <w:color w:val="000000"/>
        </w:rPr>
        <w:sectPr w:rsidR="00040D52">
          <w:pgSz w:w="16838" w:h="11906" w:orient="landscape"/>
          <w:pgMar w:top="1440" w:right="1276" w:bottom="1440" w:left="1134" w:header="709" w:footer="709" w:gutter="0"/>
          <w:cols w:space="720"/>
        </w:sectPr>
      </w:pPr>
    </w:p>
    <w:p w:rsidR="00040D52" w:rsidRDefault="004D14CF">
      <w:pPr>
        <w:numPr>
          <w:ilvl w:val="0"/>
          <w:numId w:val="2"/>
        </w:numPr>
        <w:pBdr>
          <w:top w:val="nil"/>
          <w:left w:val="nil"/>
          <w:bottom w:val="nil"/>
          <w:right w:val="nil"/>
          <w:between w:val="nil"/>
        </w:pBdr>
        <w:spacing w:after="111" w:line="360" w:lineRule="auto"/>
        <w:ind w:right="403"/>
        <w:rPr>
          <w:b/>
          <w:bCs/>
          <w:color w:val="000000"/>
          <w:sz w:val="28"/>
          <w:szCs w:val="28"/>
        </w:rPr>
      </w:pPr>
      <w:r>
        <w:rPr>
          <w:b/>
          <w:bCs/>
          <w:color w:val="000000"/>
          <w:sz w:val="28"/>
          <w:szCs w:val="28"/>
        </w:rPr>
        <w:lastRenderedPageBreak/>
        <w:t>Breeding Strategies for Salt Stress Tolerance in Pearl Millets</w:t>
      </w:r>
    </w:p>
    <w:p w:rsidR="00040D52" w:rsidRDefault="004D14CF">
      <w:pPr>
        <w:spacing w:after="111" w:line="360" w:lineRule="auto"/>
        <w:ind w:left="426" w:right="403"/>
        <w:rPr>
          <w:color w:val="000000"/>
        </w:rPr>
      </w:pPr>
      <w:r>
        <w:rPr>
          <w:color w:val="000000"/>
        </w:rPr>
        <w:t>Pearl millet and its wild relatives exhibit inherent tolerance to salinity stress, making them suitable candidates for cultivation in saline environments (</w:t>
      </w:r>
      <w:r>
        <w:rPr>
          <w:b/>
          <w:bCs/>
          <w:color w:val="000000"/>
        </w:rPr>
        <w:t>Ashraf &amp; McNeilly, 1987</w:t>
      </w:r>
      <w:r>
        <w:rPr>
          <w:color w:val="000000"/>
        </w:rPr>
        <w:t xml:space="preserve">). Substantial </w:t>
      </w:r>
      <w:r>
        <w:rPr>
          <w:color w:val="000000"/>
        </w:rPr>
        <w:t>genotypic variability has been documented in pearl millet with respect to salinity response at the whole-plant level, providing opportunities for selection and genetic improvement. Additionally, the presence of high tolerance in other Pennisetum species fu</w:t>
      </w:r>
      <w:r>
        <w:rPr>
          <w:color w:val="000000"/>
        </w:rPr>
        <w:t>rther expands the genetic reservoir for improving salinity tolerance through breeding and management strategies (</w:t>
      </w:r>
      <w:r>
        <w:rPr>
          <w:b/>
          <w:bCs/>
          <w:color w:val="000000"/>
        </w:rPr>
        <w:t xml:space="preserve">Muscolo </w:t>
      </w:r>
      <w:r>
        <w:rPr>
          <w:b/>
          <w:bCs/>
          <w:i/>
          <w:iCs/>
          <w:color w:val="000000"/>
        </w:rPr>
        <w:t>et al.</w:t>
      </w:r>
      <w:r>
        <w:rPr>
          <w:b/>
          <w:bCs/>
          <w:color w:val="000000"/>
        </w:rPr>
        <w:t>, 2003</w:t>
      </w:r>
      <w:r>
        <w:rPr>
          <w:color w:val="000000"/>
        </w:rPr>
        <w:t>). Salinity tolerance is a genotype-dependent trait influenced by environmental interactions, necessitating extensive germp</w:t>
      </w:r>
      <w:r>
        <w:rPr>
          <w:color w:val="000000"/>
        </w:rPr>
        <w:t>lasm screening to identify superior stress-tolerant lines. These elite genotypes serve as valuable sources for candidate gene identification and introgression into sensitive crops via conventional or transgenic approaches (</w:t>
      </w:r>
      <w:r>
        <w:rPr>
          <w:b/>
          <w:bCs/>
          <w:color w:val="000000"/>
        </w:rPr>
        <w:t>Jha, 2019</w:t>
      </w:r>
      <w:r>
        <w:rPr>
          <w:color w:val="000000"/>
        </w:rPr>
        <w:t>). Although germplasm sc</w:t>
      </w:r>
      <w:r>
        <w:rPr>
          <w:color w:val="000000"/>
        </w:rPr>
        <w:t>reening has been widely conducted in major cereals, the identification of salinity-responsive genes remains limited due to the complex and multigenic nature of the trait (</w:t>
      </w:r>
      <w:r>
        <w:rPr>
          <w:b/>
          <w:bCs/>
          <w:color w:val="000000"/>
        </w:rPr>
        <w:t xml:space="preserve">Morton </w:t>
      </w:r>
      <w:r>
        <w:rPr>
          <w:b/>
          <w:bCs/>
          <w:i/>
          <w:iCs/>
          <w:color w:val="000000"/>
        </w:rPr>
        <w:t>et al.</w:t>
      </w:r>
      <w:r>
        <w:rPr>
          <w:b/>
          <w:bCs/>
          <w:color w:val="000000"/>
        </w:rPr>
        <w:t xml:space="preserve">, 2019; Jha, 2018; Lakra </w:t>
      </w:r>
      <w:r>
        <w:rPr>
          <w:b/>
          <w:bCs/>
          <w:i/>
          <w:iCs/>
          <w:color w:val="000000"/>
        </w:rPr>
        <w:t>et al.</w:t>
      </w:r>
      <w:r>
        <w:rPr>
          <w:b/>
          <w:bCs/>
          <w:color w:val="000000"/>
        </w:rPr>
        <w:t>, 2018</w:t>
      </w:r>
      <w:r>
        <w:rPr>
          <w:color w:val="000000"/>
        </w:rPr>
        <w:t>).</w:t>
      </w:r>
    </w:p>
    <w:p w:rsidR="00040D52" w:rsidRDefault="004D14CF">
      <w:pPr>
        <w:spacing w:after="111" w:line="360" w:lineRule="auto"/>
        <w:ind w:left="426" w:right="403"/>
        <w:rPr>
          <w:color w:val="000000"/>
        </w:rPr>
      </w:pPr>
      <w:r>
        <w:rPr>
          <w:color w:val="000000"/>
        </w:rPr>
        <w:t>Extensive evaluation of pearl mi</w:t>
      </w:r>
      <w:r>
        <w:rPr>
          <w:color w:val="000000"/>
        </w:rPr>
        <w:t>llet germplasm has revealed significant genetic diversity for salinity tolerance, particularly among landraces and wild relatives, which harbour adaptive traits and novel alleles (</w:t>
      </w:r>
      <w:r>
        <w:rPr>
          <w:b/>
          <w:bCs/>
          <w:color w:val="000000"/>
        </w:rPr>
        <w:t xml:space="preserve">Krishnamurthy </w:t>
      </w:r>
      <w:r>
        <w:rPr>
          <w:b/>
          <w:bCs/>
          <w:i/>
          <w:iCs/>
          <w:color w:val="000000"/>
        </w:rPr>
        <w:t>et al.</w:t>
      </w:r>
      <w:r>
        <w:rPr>
          <w:b/>
          <w:bCs/>
          <w:color w:val="000000"/>
        </w:rPr>
        <w:t xml:space="preserve">, 2007a, b; Toderich </w:t>
      </w:r>
      <w:r>
        <w:rPr>
          <w:b/>
          <w:bCs/>
          <w:i/>
          <w:iCs/>
          <w:color w:val="000000"/>
        </w:rPr>
        <w:t>et al.</w:t>
      </w:r>
      <w:r>
        <w:rPr>
          <w:b/>
          <w:bCs/>
          <w:color w:val="000000"/>
        </w:rPr>
        <w:t xml:space="preserve">, 2018; Hoang </w:t>
      </w:r>
      <w:r>
        <w:rPr>
          <w:b/>
          <w:bCs/>
          <w:i/>
          <w:iCs/>
          <w:color w:val="000000"/>
        </w:rPr>
        <w:t>et al.</w:t>
      </w:r>
      <w:r>
        <w:rPr>
          <w:b/>
          <w:bCs/>
          <w:color w:val="000000"/>
        </w:rPr>
        <w:t>, 2016; Q</w:t>
      </w:r>
      <w:r>
        <w:rPr>
          <w:b/>
          <w:bCs/>
          <w:color w:val="000000"/>
        </w:rPr>
        <w:t xml:space="preserve">uan </w:t>
      </w:r>
      <w:r>
        <w:rPr>
          <w:b/>
          <w:bCs/>
          <w:i/>
          <w:iCs/>
          <w:color w:val="000000"/>
        </w:rPr>
        <w:t>et al.</w:t>
      </w:r>
      <w:r>
        <w:rPr>
          <w:b/>
          <w:bCs/>
          <w:color w:val="000000"/>
        </w:rPr>
        <w:t>, 2018)</w:t>
      </w:r>
      <w:r>
        <w:rPr>
          <w:color w:val="000000"/>
        </w:rPr>
        <w:t>. However, despite the availability of large germplasm collections, systematic identification and utilization of superior genotypes remain limited (</w:t>
      </w:r>
      <w:r>
        <w:rPr>
          <w:b/>
          <w:bCs/>
          <w:color w:val="000000"/>
        </w:rPr>
        <w:t>Shivhare &amp; Lata, 2017</w:t>
      </w:r>
      <w:r>
        <w:rPr>
          <w:color w:val="000000"/>
        </w:rPr>
        <w:t>). Recent advancements in genomics and high-throughput phenotyping (HT</w:t>
      </w:r>
      <w:r>
        <w:rPr>
          <w:color w:val="000000"/>
        </w:rPr>
        <w:t>P) have enhanced the ability to dissect stress tolerance traits and accelerate breeding programs. Modern breeding strategies, including marker-assisted breeding, mutation breeding, exploration of wild relatives, doubled haploids, GWAS, and CRISPR-Cas9 tech</w:t>
      </w:r>
      <w:r>
        <w:rPr>
          <w:color w:val="000000"/>
        </w:rPr>
        <w:t>nologies, have significantly contributed to the development of salinity-tolerant millet varieties. In pearl millet, extensive molecular marker resources such as AFLP, RFLP, RAPD, SSRs, DArTs, and SNPs have facilitated the identification of quantitative tra</w:t>
      </w:r>
      <w:r>
        <w:rPr>
          <w:color w:val="000000"/>
        </w:rPr>
        <w:t>it loci (QTLs) associated with salinity tolerance and yield improvement (</w:t>
      </w:r>
      <w:r>
        <w:rPr>
          <w:b/>
          <w:bCs/>
          <w:color w:val="000000"/>
        </w:rPr>
        <w:t xml:space="preserve">Vadez </w:t>
      </w:r>
      <w:r>
        <w:rPr>
          <w:b/>
          <w:bCs/>
          <w:i/>
          <w:iCs/>
          <w:color w:val="000000"/>
        </w:rPr>
        <w:t>et al.</w:t>
      </w:r>
      <w:r>
        <w:rPr>
          <w:b/>
          <w:bCs/>
          <w:color w:val="000000"/>
        </w:rPr>
        <w:t xml:space="preserve">, 2012; Singh </w:t>
      </w:r>
      <w:r>
        <w:rPr>
          <w:b/>
          <w:bCs/>
          <w:i/>
          <w:iCs/>
          <w:color w:val="000000"/>
        </w:rPr>
        <w:t>et al.</w:t>
      </w:r>
      <w:r>
        <w:rPr>
          <w:b/>
          <w:bCs/>
          <w:color w:val="000000"/>
        </w:rPr>
        <w:t xml:space="preserve">, 2016; Sharma </w:t>
      </w:r>
      <w:r>
        <w:rPr>
          <w:b/>
          <w:bCs/>
          <w:i/>
          <w:iCs/>
          <w:color w:val="000000"/>
        </w:rPr>
        <w:t>et al.</w:t>
      </w:r>
      <w:r>
        <w:rPr>
          <w:b/>
          <w:bCs/>
          <w:color w:val="000000"/>
        </w:rPr>
        <w:t>, 2014</w:t>
      </w:r>
      <w:r>
        <w:rPr>
          <w:color w:val="000000"/>
        </w:rPr>
        <w:t>). Linkage maps spanning approximately 700–716 cM have been constructed, enabling precise genetic dissection of stress toler</w:t>
      </w:r>
      <w:r>
        <w:rPr>
          <w:color w:val="000000"/>
        </w:rPr>
        <w:t>ance traits (</w:t>
      </w:r>
      <w:r>
        <w:rPr>
          <w:b/>
          <w:bCs/>
          <w:color w:val="000000"/>
        </w:rPr>
        <w:t xml:space="preserve">Vadez </w:t>
      </w:r>
      <w:r>
        <w:rPr>
          <w:b/>
          <w:bCs/>
          <w:i/>
          <w:iCs/>
          <w:color w:val="000000"/>
        </w:rPr>
        <w:t>et al.</w:t>
      </w:r>
      <w:r>
        <w:rPr>
          <w:b/>
          <w:bCs/>
          <w:color w:val="000000"/>
        </w:rPr>
        <w:t>, 2012</w:t>
      </w:r>
      <w:r>
        <w:rPr>
          <w:color w:val="000000"/>
        </w:rPr>
        <w:t>).</w:t>
      </w:r>
    </w:p>
    <w:p w:rsidR="00040D52" w:rsidRDefault="004D14CF">
      <w:pPr>
        <w:spacing w:after="111" w:line="360" w:lineRule="auto"/>
        <w:ind w:left="426" w:right="403"/>
        <w:rPr>
          <w:color w:val="000000"/>
        </w:rPr>
      </w:pPr>
      <w:r>
        <w:rPr>
          <w:color w:val="000000"/>
        </w:rPr>
        <w:t xml:space="preserve">Germplasm screening efforts have led to the development of improved breeding materials, including OPVs, hybrids, and elite parental lines with enhanced salinity </w:t>
      </w:r>
      <w:r>
        <w:rPr>
          <w:color w:val="000000"/>
        </w:rPr>
        <w:lastRenderedPageBreak/>
        <w:t>tolerance (</w:t>
      </w:r>
      <w:r>
        <w:rPr>
          <w:b/>
          <w:bCs/>
          <w:color w:val="000000"/>
        </w:rPr>
        <w:t>Shivhare &amp; Lata, 2017</w:t>
      </w:r>
      <w:r>
        <w:rPr>
          <w:color w:val="000000"/>
        </w:rPr>
        <w:t>). Several promising genotype</w:t>
      </w:r>
      <w:r>
        <w:rPr>
          <w:color w:val="000000"/>
        </w:rPr>
        <w:t>s, such as ICMB series, IP lines, and region-specific accessions, have been identified and recommended for further evaluation and deployment (Sudan, Namibia, and India accessions). Notably, the variety “Hashaki I”, developed in Uzbekistan, has demonstrated</w:t>
      </w:r>
      <w:r>
        <w:rPr>
          <w:color w:val="000000"/>
        </w:rPr>
        <w:t xml:space="preserve"> high forage yield under saline conditions, highlighting the potential of targeted breeding efforts (</w:t>
      </w:r>
      <w:r>
        <w:rPr>
          <w:b/>
          <w:bCs/>
          <w:color w:val="000000"/>
        </w:rPr>
        <w:t xml:space="preserve">Yadav </w:t>
      </w:r>
      <w:r>
        <w:rPr>
          <w:b/>
          <w:bCs/>
          <w:i/>
          <w:iCs/>
          <w:color w:val="000000"/>
        </w:rPr>
        <w:t>et al.</w:t>
      </w:r>
      <w:r>
        <w:rPr>
          <w:b/>
          <w:bCs/>
          <w:color w:val="000000"/>
        </w:rPr>
        <w:t>, 2012</w:t>
      </w:r>
      <w:r>
        <w:rPr>
          <w:color w:val="000000"/>
        </w:rPr>
        <w:t>). At the molecular level, functional validation of key genes and QTLs—such as VDAC, LEA genes, PgNHX1, and DT-QTLs—has provided insights</w:t>
      </w:r>
      <w:r>
        <w:rPr>
          <w:color w:val="000000"/>
        </w:rPr>
        <w:t xml:space="preserve"> into mechanisms underlying salinity tolerance (</w:t>
      </w:r>
      <w:r>
        <w:rPr>
          <w:b/>
          <w:bCs/>
          <w:color w:val="000000"/>
        </w:rPr>
        <w:t xml:space="preserve">Reddy </w:t>
      </w:r>
      <w:r>
        <w:rPr>
          <w:b/>
          <w:bCs/>
          <w:i/>
          <w:iCs/>
          <w:color w:val="000000"/>
        </w:rPr>
        <w:t>et al.</w:t>
      </w:r>
      <w:r>
        <w:rPr>
          <w:b/>
          <w:bCs/>
          <w:color w:val="000000"/>
        </w:rPr>
        <w:t xml:space="preserve">, 2012; Verma </w:t>
      </w:r>
      <w:r>
        <w:rPr>
          <w:b/>
          <w:bCs/>
          <w:i/>
          <w:iCs/>
          <w:color w:val="000000"/>
        </w:rPr>
        <w:t>et al.</w:t>
      </w:r>
      <w:r>
        <w:rPr>
          <w:b/>
          <w:bCs/>
          <w:color w:val="000000"/>
        </w:rPr>
        <w:t xml:space="preserve">, 2007; Sharma </w:t>
      </w:r>
      <w:r>
        <w:rPr>
          <w:b/>
          <w:bCs/>
          <w:i/>
          <w:iCs/>
          <w:color w:val="000000"/>
        </w:rPr>
        <w:t>et al.</w:t>
      </w:r>
      <w:r>
        <w:rPr>
          <w:b/>
          <w:bCs/>
          <w:color w:val="000000"/>
        </w:rPr>
        <w:t>, 2011, 2014</w:t>
      </w:r>
      <w:r>
        <w:rPr>
          <w:color w:val="000000"/>
        </w:rPr>
        <w:t>). However, transcriptomic and transgenic studies in pearl millet remain limited, indicating a significant research gap (</w:t>
      </w:r>
      <w:r>
        <w:rPr>
          <w:b/>
          <w:bCs/>
          <w:color w:val="000000"/>
        </w:rPr>
        <w:t xml:space="preserve">Choudhary </w:t>
      </w:r>
      <w:r>
        <w:rPr>
          <w:b/>
          <w:bCs/>
          <w:i/>
          <w:iCs/>
          <w:color w:val="000000"/>
        </w:rPr>
        <w:t>et al.</w:t>
      </w:r>
      <w:r>
        <w:rPr>
          <w:b/>
          <w:bCs/>
          <w:color w:val="000000"/>
        </w:rPr>
        <w:t>, 2021</w:t>
      </w:r>
      <w:r>
        <w:rPr>
          <w:color w:val="000000"/>
        </w:rPr>
        <w:t>). Therefore, intensified efforts toward genome sequencing, gene discovery, and transgenic validation are essential for advancing salinity tolerance breeding.</w:t>
      </w:r>
    </w:p>
    <w:p w:rsidR="00040D52" w:rsidRDefault="004D14CF">
      <w:pPr>
        <w:spacing w:after="111" w:line="360" w:lineRule="auto"/>
        <w:ind w:left="426" w:right="403"/>
        <w:rPr>
          <w:b/>
          <w:bCs/>
          <w:color w:val="000000"/>
        </w:rPr>
      </w:pPr>
      <w:r>
        <w:rPr>
          <w:b/>
          <w:bCs/>
          <w:color w:val="000000"/>
        </w:rPr>
        <w:t>High-Throughput Approaches for Phenotyping Salt Stress Tolerance in Pearl Millet</w:t>
      </w:r>
    </w:p>
    <w:p w:rsidR="00040D52" w:rsidRDefault="004D14CF">
      <w:pPr>
        <w:spacing w:after="111" w:line="360" w:lineRule="auto"/>
        <w:ind w:left="426" w:right="403"/>
        <w:rPr>
          <w:color w:val="000000"/>
        </w:rPr>
      </w:pPr>
      <w:r>
        <w:rPr>
          <w:color w:val="000000"/>
        </w:rPr>
        <w:t>The development of quantitative high-throughput phenotyping (HTP) systems is essential to overcome existing constraints in accurately capturing genetic gains and expediting breeding programs. HTP integrates aerial and ground-based platforms to monitor crop</w:t>
      </w:r>
      <w:r>
        <w:rPr>
          <w:color w:val="000000"/>
        </w:rPr>
        <w:t xml:space="preserve"> traits dynamically across growth stages under both abiotic and biotic stress conditions. These platforms employ advanced imaging technologies—including satellite imagery, high-resolution mobile cameras, drones, and robotic systems—along with light sensors</w:t>
      </w:r>
      <w:r>
        <w:rPr>
          <w:color w:val="000000"/>
        </w:rPr>
        <w:t>, remote sensing tools, and mobile applications, enabling non-destructive and non-invasive data acquisition with varying degrees of automation. HTP technologies offer significant advantages, such as high-resolution data collection over extensive spatial sc</w:t>
      </w:r>
      <w:r>
        <w:rPr>
          <w:color w:val="000000"/>
        </w:rPr>
        <w:t>ales, portability, operational efficiency, and reduced labor costs. However, limitations such as battery constraints, high initial investment, environmental interference, and challenges in data interpretation and image quality persist. Therefore, a compreh</w:t>
      </w:r>
      <w:r>
        <w:rPr>
          <w:color w:val="000000"/>
        </w:rPr>
        <w:t>ensive understanding of plant stress responses is critical for ensuring yield stability and sustainable agricultural productivity (</w:t>
      </w:r>
      <w:r>
        <w:rPr>
          <w:b/>
          <w:bCs/>
          <w:color w:val="000000"/>
        </w:rPr>
        <w:t>Pessarakli, 2019</w:t>
      </w:r>
      <w:r>
        <w:rPr>
          <w:color w:val="000000"/>
        </w:rPr>
        <w:t>). Plant phenotyping serves as a cornerstone for crop improvement by facilitating precise trait measurement a</w:t>
      </w:r>
      <w:r>
        <w:rPr>
          <w:color w:val="000000"/>
        </w:rPr>
        <w:t>nd effective utilization of genetic resources. It encompasses the comprehensive evaluation of complex plant attributes, including growth, development, physiology, architecture, stress tolerance, and yield, alongside the quantification of individual paramet</w:t>
      </w:r>
      <w:r>
        <w:rPr>
          <w:color w:val="000000"/>
        </w:rPr>
        <w:t>ers underlying these traits (</w:t>
      </w:r>
      <w:r>
        <w:rPr>
          <w:b/>
          <w:bCs/>
          <w:color w:val="000000"/>
        </w:rPr>
        <w:t xml:space="preserve">Li </w:t>
      </w:r>
      <w:r>
        <w:rPr>
          <w:b/>
          <w:bCs/>
          <w:i/>
          <w:iCs/>
          <w:color w:val="000000"/>
        </w:rPr>
        <w:t>et al.</w:t>
      </w:r>
      <w:r>
        <w:rPr>
          <w:b/>
          <w:bCs/>
          <w:color w:val="000000"/>
        </w:rPr>
        <w:t>, 2014</w:t>
      </w:r>
      <w:r>
        <w:rPr>
          <w:color w:val="000000"/>
        </w:rPr>
        <w:t xml:space="preserve">). Modern breeding programs require the phenotyping of large populations across </w:t>
      </w:r>
      <w:r>
        <w:rPr>
          <w:color w:val="000000"/>
        </w:rPr>
        <w:lastRenderedPageBreak/>
        <w:t>multiple traits and growth stages, which is often impractical using conventional low-throughput methods due to their labour-intensiv</w:t>
      </w:r>
      <w:r>
        <w:rPr>
          <w:color w:val="000000"/>
        </w:rPr>
        <w:t>e, destructive, and low-resolution nature (</w:t>
      </w:r>
      <w:r>
        <w:rPr>
          <w:b/>
          <w:bCs/>
          <w:color w:val="000000"/>
        </w:rPr>
        <w:t xml:space="preserve">Sandhu </w:t>
      </w:r>
      <w:r>
        <w:rPr>
          <w:b/>
          <w:bCs/>
          <w:i/>
          <w:iCs/>
          <w:color w:val="000000"/>
        </w:rPr>
        <w:t>et al.</w:t>
      </w:r>
      <w:r>
        <w:rPr>
          <w:b/>
          <w:bCs/>
          <w:color w:val="000000"/>
        </w:rPr>
        <w:t>, 2021</w:t>
      </w:r>
      <w:r>
        <w:rPr>
          <w:color w:val="000000"/>
        </w:rPr>
        <w:t>).</w:t>
      </w:r>
    </w:p>
    <w:p w:rsidR="00040D52" w:rsidRDefault="004D14CF">
      <w:pPr>
        <w:spacing w:after="111" w:line="360" w:lineRule="auto"/>
        <w:ind w:left="426" w:right="403"/>
        <w:rPr>
          <w:color w:val="000000"/>
        </w:rPr>
      </w:pPr>
      <w:r>
        <w:rPr>
          <w:color w:val="000000"/>
        </w:rPr>
        <w:t>The advent of HTP has significantly addressed these limitations through the integration of automation, imaging technologies, and artificial intelligence, enabling efficient and non-destructiv</w:t>
      </w:r>
      <w:r>
        <w:rPr>
          <w:color w:val="000000"/>
        </w:rPr>
        <w:t>e field-based phenotyping. HTP systems—ranging from manual to fully autonomous platforms equipped with diverse sensors—facilitate the collection of spatiotemporal data, resulting in large datasets for advanced analysis (</w:t>
      </w:r>
      <w:r>
        <w:rPr>
          <w:b/>
          <w:bCs/>
          <w:color w:val="000000"/>
        </w:rPr>
        <w:t xml:space="preserve">Kaur </w:t>
      </w:r>
      <w:r>
        <w:rPr>
          <w:b/>
          <w:bCs/>
          <w:i/>
          <w:iCs/>
          <w:color w:val="000000"/>
        </w:rPr>
        <w:t>et al.</w:t>
      </w:r>
      <w:r>
        <w:rPr>
          <w:b/>
          <w:bCs/>
          <w:color w:val="000000"/>
        </w:rPr>
        <w:t xml:space="preserve">, 2021; Sandhu </w:t>
      </w:r>
      <w:r>
        <w:rPr>
          <w:b/>
          <w:bCs/>
          <w:i/>
          <w:iCs/>
          <w:color w:val="000000"/>
        </w:rPr>
        <w:t>et al.</w:t>
      </w:r>
      <w:r>
        <w:rPr>
          <w:b/>
          <w:bCs/>
          <w:color w:val="000000"/>
        </w:rPr>
        <w:t>, 20</w:t>
      </w:r>
      <w:r>
        <w:rPr>
          <w:b/>
          <w:bCs/>
          <w:color w:val="000000"/>
        </w:rPr>
        <w:t>21</w:t>
      </w:r>
      <w:r>
        <w:rPr>
          <w:color w:val="000000"/>
        </w:rPr>
        <w:t>). These platforms utilize a combination of imaging techniques, sensor-based measurements, and analytical indices such as NDVI, green leaf index, chlorophyll index, and stress tolerance indices to evaluate plant performance. The resulting phenotypic data</w:t>
      </w:r>
      <w:r>
        <w:rPr>
          <w:color w:val="000000"/>
        </w:rPr>
        <w:t>sets encompass extensive physiological, morphological, and biochemical information, aiding in the identification of stress-resilient genotypes across diverse environments. Nonetheless, major challenges remain, including data integration across platforms, i</w:t>
      </w:r>
      <w:r>
        <w:rPr>
          <w:color w:val="000000"/>
        </w:rPr>
        <w:t>nterpretation of spectral information, environmental variability, and cost-effective data management. Additionally, the reliability of these approaches depends on their validation under multi-locational field conditions to ensure robust and scalable crop i</w:t>
      </w:r>
      <w:r>
        <w:rPr>
          <w:color w:val="000000"/>
        </w:rPr>
        <w:t>mprovement outcomes.</w:t>
      </w:r>
    </w:p>
    <w:p w:rsidR="00040D52" w:rsidRDefault="004D14CF">
      <w:pPr>
        <w:spacing w:after="111" w:line="360" w:lineRule="auto"/>
        <w:ind w:left="426" w:right="403"/>
        <w:rPr>
          <w:color w:val="000000"/>
        </w:rPr>
      </w:pPr>
      <w:r>
        <w:rPr>
          <w:b/>
          <w:bCs/>
          <w:color w:val="000000"/>
        </w:rPr>
        <w:t>2.</w:t>
      </w:r>
      <w:r>
        <w:rPr>
          <w:color w:val="000000"/>
        </w:rPr>
        <w:t xml:space="preserve"> </w:t>
      </w:r>
      <w:r>
        <w:rPr>
          <w:b/>
          <w:bCs/>
          <w:color w:val="000000"/>
        </w:rPr>
        <w:t>CRISPR/CAS genome editing and precision breeding for salinity stress tolerance in finger millet</w:t>
      </w:r>
    </w:p>
    <w:p w:rsidR="00040D52" w:rsidRDefault="004D14CF">
      <w:pPr>
        <w:spacing w:after="111" w:line="360" w:lineRule="auto"/>
        <w:ind w:left="426" w:right="403"/>
        <w:rPr>
          <w:color w:val="000000"/>
        </w:rPr>
        <w:sectPr w:rsidR="00040D52">
          <w:pgSz w:w="11906" w:h="16838"/>
          <w:pgMar w:top="1276" w:right="1440" w:bottom="1134" w:left="1440" w:header="709" w:footer="709" w:gutter="0"/>
          <w:cols w:space="720"/>
        </w:sectPr>
      </w:pPr>
      <w:r>
        <w:rPr>
          <w:color w:val="000000"/>
        </w:rPr>
        <w:t>The CRISPR/Cas genome editing system has emerged as a highly precise, efficient, and cost-effective tool for targeted mutagenesis and genetic improvement in plants. Its widespread application has enabled the development of crop varieties with enhanced resi</w:t>
      </w:r>
      <w:r>
        <w:rPr>
          <w:color w:val="000000"/>
        </w:rPr>
        <w:t>stance to both biotic and abiotic stresses in species such as foxtail millet, sorghum, rice, and wheat (</w:t>
      </w:r>
      <w:r>
        <w:rPr>
          <w:b/>
          <w:bCs/>
          <w:color w:val="000000"/>
        </w:rPr>
        <w:t xml:space="preserve">Cheng </w:t>
      </w:r>
      <w:r>
        <w:rPr>
          <w:b/>
          <w:bCs/>
          <w:i/>
          <w:iCs/>
          <w:color w:val="000000"/>
        </w:rPr>
        <w:t>et al.</w:t>
      </w:r>
      <w:r>
        <w:rPr>
          <w:b/>
          <w:bCs/>
          <w:color w:val="000000"/>
        </w:rPr>
        <w:t xml:space="preserve">, 2021; Zhang </w:t>
      </w:r>
      <w:r>
        <w:rPr>
          <w:b/>
          <w:bCs/>
          <w:i/>
          <w:iCs/>
          <w:color w:val="000000"/>
        </w:rPr>
        <w:t>et al.</w:t>
      </w:r>
      <w:r>
        <w:rPr>
          <w:b/>
          <w:bCs/>
          <w:color w:val="000000"/>
        </w:rPr>
        <w:t xml:space="preserve">, 2021; Liu </w:t>
      </w:r>
      <w:r>
        <w:rPr>
          <w:b/>
          <w:bCs/>
          <w:i/>
          <w:iCs/>
          <w:color w:val="000000"/>
        </w:rPr>
        <w:t>et al.</w:t>
      </w:r>
      <w:r>
        <w:rPr>
          <w:b/>
          <w:bCs/>
          <w:color w:val="000000"/>
        </w:rPr>
        <w:t xml:space="preserve">, 2019; Char </w:t>
      </w:r>
      <w:r>
        <w:rPr>
          <w:b/>
          <w:bCs/>
          <w:i/>
          <w:iCs/>
          <w:color w:val="000000"/>
        </w:rPr>
        <w:t>et al.</w:t>
      </w:r>
      <w:r>
        <w:rPr>
          <w:b/>
          <w:bCs/>
          <w:color w:val="000000"/>
        </w:rPr>
        <w:t xml:space="preserve">, 2020; Tang </w:t>
      </w:r>
      <w:r>
        <w:rPr>
          <w:b/>
          <w:bCs/>
          <w:i/>
          <w:iCs/>
          <w:color w:val="000000"/>
        </w:rPr>
        <w:t>et al.</w:t>
      </w:r>
      <w:r>
        <w:rPr>
          <w:b/>
          <w:bCs/>
          <w:color w:val="000000"/>
        </w:rPr>
        <w:t xml:space="preserve">, 2017; Wang </w:t>
      </w:r>
      <w:r>
        <w:rPr>
          <w:b/>
          <w:bCs/>
          <w:i/>
          <w:iCs/>
          <w:color w:val="000000"/>
        </w:rPr>
        <w:t>et al.</w:t>
      </w:r>
      <w:r>
        <w:rPr>
          <w:b/>
          <w:bCs/>
          <w:color w:val="000000"/>
        </w:rPr>
        <w:t xml:space="preserve">, 2017; Dong </w:t>
      </w:r>
      <w:r>
        <w:rPr>
          <w:b/>
          <w:bCs/>
          <w:i/>
          <w:iCs/>
          <w:color w:val="000000"/>
        </w:rPr>
        <w:t>et al.</w:t>
      </w:r>
      <w:r>
        <w:rPr>
          <w:b/>
          <w:bCs/>
          <w:color w:val="000000"/>
        </w:rPr>
        <w:t xml:space="preserve">, 2020; Liang </w:t>
      </w:r>
      <w:r>
        <w:rPr>
          <w:b/>
          <w:bCs/>
          <w:i/>
          <w:iCs/>
          <w:color w:val="000000"/>
        </w:rPr>
        <w:t>et al.</w:t>
      </w:r>
      <w:r>
        <w:rPr>
          <w:b/>
          <w:bCs/>
          <w:color w:val="000000"/>
        </w:rPr>
        <w:t>, 2017</w:t>
      </w:r>
      <w:r>
        <w:rPr>
          <w:b/>
          <w:bCs/>
          <w:color w:val="000000"/>
        </w:rPr>
        <w:t xml:space="preserve">; Sánchez-León </w:t>
      </w:r>
      <w:r>
        <w:rPr>
          <w:b/>
          <w:bCs/>
          <w:i/>
          <w:iCs/>
          <w:color w:val="000000"/>
        </w:rPr>
        <w:t>et al.</w:t>
      </w:r>
      <w:r>
        <w:rPr>
          <w:b/>
          <w:bCs/>
          <w:color w:val="000000"/>
        </w:rPr>
        <w:t>, 2018</w:t>
      </w:r>
      <w:r>
        <w:rPr>
          <w:color w:val="000000"/>
        </w:rPr>
        <w:t>). Specifically, CRISPR/Cas-mediated editing has demonstrated significant potential in improving salinity tolerance, as evidenced by targeted modification of the OsRR22 gene in rice, resulting in enhanced tolerance in mutant line</w:t>
      </w:r>
      <w:r>
        <w:rPr>
          <w:color w:val="000000"/>
        </w:rPr>
        <w:t>s (</w:t>
      </w:r>
      <w:r>
        <w:rPr>
          <w:b/>
          <w:bCs/>
          <w:color w:val="000000"/>
        </w:rPr>
        <w:t xml:space="preserve">Zhang </w:t>
      </w:r>
      <w:r>
        <w:rPr>
          <w:b/>
          <w:bCs/>
          <w:i/>
          <w:iCs/>
          <w:color w:val="000000"/>
        </w:rPr>
        <w:t>et al.</w:t>
      </w:r>
      <w:r>
        <w:rPr>
          <w:b/>
          <w:bCs/>
          <w:color w:val="000000"/>
        </w:rPr>
        <w:t>, 2019</w:t>
      </w:r>
      <w:r>
        <w:rPr>
          <w:color w:val="000000"/>
        </w:rPr>
        <w:t>). Similarly, manipulation of the SlARF4 gene in tomato has revealed improved physiological responses under salinity and osmotic stress (</w:t>
      </w:r>
      <w:r>
        <w:rPr>
          <w:b/>
          <w:bCs/>
          <w:color w:val="000000"/>
        </w:rPr>
        <w:t xml:space="preserve">Bouzroud </w:t>
      </w:r>
      <w:r>
        <w:rPr>
          <w:b/>
          <w:bCs/>
          <w:i/>
          <w:iCs/>
          <w:color w:val="000000"/>
        </w:rPr>
        <w:t>et al.</w:t>
      </w:r>
      <w:r>
        <w:rPr>
          <w:b/>
          <w:bCs/>
          <w:color w:val="000000"/>
        </w:rPr>
        <w:t>, 2020</w:t>
      </w:r>
      <w:r>
        <w:rPr>
          <w:color w:val="000000"/>
        </w:rPr>
        <w:t>). The CRISPR/Cas mechanism operates through RNA-guided nuclease activity, in</w:t>
      </w:r>
      <w:r>
        <w:rPr>
          <w:color w:val="000000"/>
        </w:rPr>
        <w:t xml:space="preserve">ducing site-specific double-strand breaks (DSBs), which </w:t>
      </w:r>
    </w:p>
    <w:p w:rsidR="00040D52" w:rsidRDefault="004D14CF">
      <w:pPr>
        <w:spacing w:after="111" w:line="360" w:lineRule="auto"/>
        <w:ind w:left="426" w:right="403"/>
        <w:jc w:val="center"/>
        <w:rPr>
          <w:b/>
          <w:bCs/>
          <w:color w:val="000000"/>
        </w:rPr>
      </w:pPr>
      <w:r>
        <w:rPr>
          <w:b/>
          <w:bCs/>
          <w:color w:val="000000"/>
        </w:rPr>
        <w:lastRenderedPageBreak/>
        <w:t xml:space="preserve">Table </w:t>
      </w:r>
      <w:r>
        <w:rPr>
          <w:b/>
          <w:bCs/>
          <w:color w:val="000000"/>
        </w:rPr>
        <w:t xml:space="preserve">.2 HTPs platforms available for phenotyping salt tolerance in pearl millet that has been utilized in other crops under abiotic stress (adapted and modified from Gill </w:t>
      </w:r>
      <w:r>
        <w:rPr>
          <w:b/>
          <w:bCs/>
          <w:i/>
          <w:iCs/>
          <w:color w:val="000000"/>
        </w:rPr>
        <w:t>et al.</w:t>
      </w:r>
      <w:r>
        <w:rPr>
          <w:b/>
          <w:bCs/>
          <w:color w:val="000000"/>
        </w:rPr>
        <w:t xml:space="preserve"> 2022)</w:t>
      </w:r>
    </w:p>
    <w:tbl>
      <w:tblPr>
        <w:tblStyle w:val="a1"/>
        <w:tblW w:w="144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4"/>
        <w:gridCol w:w="2791"/>
        <w:gridCol w:w="5500"/>
        <w:gridCol w:w="2353"/>
      </w:tblGrid>
      <w:tr w:rsidR="00040D52">
        <w:tc>
          <w:tcPr>
            <w:tcW w:w="3774" w:type="dxa"/>
          </w:tcPr>
          <w:p w:rsidR="00040D52" w:rsidRDefault="004D14CF">
            <w:pPr>
              <w:spacing w:after="111" w:line="360" w:lineRule="auto"/>
              <w:ind w:right="403"/>
              <w:rPr>
                <w:b/>
                <w:bCs/>
                <w:color w:val="000000"/>
              </w:rPr>
            </w:pPr>
            <w:r>
              <w:rPr>
                <w:b/>
                <w:bCs/>
                <w:color w:val="000000"/>
              </w:rPr>
              <w:t>HTP Platform</w:t>
            </w:r>
          </w:p>
        </w:tc>
        <w:tc>
          <w:tcPr>
            <w:tcW w:w="2791" w:type="dxa"/>
          </w:tcPr>
          <w:p w:rsidR="00040D52" w:rsidRDefault="004D14CF">
            <w:pPr>
              <w:spacing w:after="111" w:line="360" w:lineRule="auto"/>
              <w:ind w:right="403"/>
              <w:rPr>
                <w:b/>
                <w:bCs/>
                <w:color w:val="000000"/>
              </w:rPr>
            </w:pPr>
            <w:r>
              <w:rPr>
                <w:b/>
                <w:bCs/>
                <w:color w:val="000000"/>
              </w:rPr>
              <w:t>Crop(s)</w:t>
            </w:r>
          </w:p>
        </w:tc>
        <w:tc>
          <w:tcPr>
            <w:tcW w:w="5500" w:type="dxa"/>
          </w:tcPr>
          <w:p w:rsidR="00040D52" w:rsidRDefault="004D14CF">
            <w:pPr>
              <w:spacing w:after="111" w:line="360" w:lineRule="auto"/>
              <w:ind w:right="403"/>
              <w:rPr>
                <w:b/>
                <w:bCs/>
                <w:color w:val="000000"/>
              </w:rPr>
            </w:pPr>
            <w:r>
              <w:rPr>
                <w:b/>
                <w:bCs/>
                <w:color w:val="000000"/>
              </w:rPr>
              <w:t>Morpho-physiological Traits Studied</w:t>
            </w:r>
          </w:p>
        </w:tc>
        <w:tc>
          <w:tcPr>
            <w:tcW w:w="2353" w:type="dxa"/>
          </w:tcPr>
          <w:p w:rsidR="00040D52" w:rsidRDefault="004D14CF">
            <w:pPr>
              <w:spacing w:after="111" w:line="360" w:lineRule="auto"/>
              <w:ind w:right="403"/>
              <w:rPr>
                <w:b/>
                <w:bCs/>
                <w:color w:val="000000"/>
              </w:rPr>
            </w:pPr>
            <w:r>
              <w:rPr>
                <w:b/>
                <w:bCs/>
                <w:color w:val="000000"/>
              </w:rPr>
              <w:t>Reference</w:t>
            </w:r>
          </w:p>
        </w:tc>
      </w:tr>
      <w:tr w:rsidR="00040D52">
        <w:tc>
          <w:tcPr>
            <w:tcW w:w="3774" w:type="dxa"/>
          </w:tcPr>
          <w:p w:rsidR="00040D52" w:rsidRDefault="004D14CF">
            <w:pPr>
              <w:spacing w:after="111" w:line="360" w:lineRule="auto"/>
              <w:ind w:left="0" w:right="403"/>
              <w:rPr>
                <w:color w:val="000000"/>
              </w:rPr>
            </w:pPr>
            <w:r>
              <w:rPr>
                <w:color w:val="000000"/>
              </w:rPr>
              <w:t>LemnaTec 3D Scanalyzer System</w:t>
            </w:r>
          </w:p>
        </w:tc>
        <w:tc>
          <w:tcPr>
            <w:tcW w:w="2791" w:type="dxa"/>
          </w:tcPr>
          <w:p w:rsidR="00040D52" w:rsidRDefault="004D14CF">
            <w:pPr>
              <w:spacing w:after="111" w:line="360" w:lineRule="auto"/>
              <w:ind w:right="403"/>
              <w:rPr>
                <w:color w:val="000000"/>
              </w:rPr>
            </w:pPr>
            <w:r>
              <w:rPr>
                <w:color w:val="000000"/>
              </w:rPr>
              <w:t>Rice</w:t>
            </w:r>
          </w:p>
        </w:tc>
        <w:tc>
          <w:tcPr>
            <w:tcW w:w="5500" w:type="dxa"/>
          </w:tcPr>
          <w:p w:rsidR="00040D52" w:rsidRDefault="004D14CF">
            <w:pPr>
              <w:spacing w:after="111" w:line="360" w:lineRule="auto"/>
              <w:ind w:right="403"/>
              <w:rPr>
                <w:color w:val="000000"/>
              </w:rPr>
            </w:pPr>
            <w:r>
              <w:rPr>
                <w:color w:val="000000"/>
              </w:rPr>
              <w:t>Salt tolerance traits</w:t>
            </w:r>
          </w:p>
        </w:tc>
        <w:tc>
          <w:tcPr>
            <w:tcW w:w="2353" w:type="dxa"/>
          </w:tcPr>
          <w:p w:rsidR="00040D52" w:rsidRDefault="004D14CF">
            <w:pPr>
              <w:spacing w:after="111" w:line="360" w:lineRule="auto"/>
              <w:ind w:right="403"/>
              <w:rPr>
                <w:color w:val="000000"/>
              </w:rPr>
            </w:pPr>
            <w:r>
              <w:rPr>
                <w:color w:val="000000"/>
              </w:rPr>
              <w:t xml:space="preserve">Hairmansis </w:t>
            </w:r>
            <w:r>
              <w:rPr>
                <w:i/>
                <w:iCs/>
                <w:color w:val="000000"/>
              </w:rPr>
              <w:t>et al.</w:t>
            </w:r>
            <w:r>
              <w:rPr>
                <w:color w:val="000000"/>
              </w:rPr>
              <w:t xml:space="preserve"> (2014)</w:t>
            </w:r>
          </w:p>
        </w:tc>
      </w:tr>
      <w:tr w:rsidR="00040D52">
        <w:tc>
          <w:tcPr>
            <w:tcW w:w="3774" w:type="dxa"/>
          </w:tcPr>
          <w:p w:rsidR="00040D52" w:rsidRDefault="004D14CF">
            <w:pPr>
              <w:spacing w:after="111" w:line="360" w:lineRule="auto"/>
              <w:ind w:right="403"/>
              <w:rPr>
                <w:color w:val="000000"/>
              </w:rPr>
            </w:pPr>
            <w:r>
              <w:rPr>
                <w:color w:val="000000"/>
              </w:rPr>
              <w:t>PHENOPSIS</w:t>
            </w:r>
          </w:p>
        </w:tc>
        <w:tc>
          <w:tcPr>
            <w:tcW w:w="2791" w:type="dxa"/>
          </w:tcPr>
          <w:p w:rsidR="00040D52" w:rsidRDefault="004D14CF">
            <w:pPr>
              <w:spacing w:after="111" w:line="360" w:lineRule="auto"/>
              <w:ind w:right="403"/>
              <w:rPr>
                <w:color w:val="000000"/>
              </w:rPr>
            </w:pPr>
            <w:r>
              <w:rPr>
                <w:color w:val="000000"/>
              </w:rPr>
              <w:t>Arabidopsis</w:t>
            </w:r>
          </w:p>
        </w:tc>
        <w:tc>
          <w:tcPr>
            <w:tcW w:w="5500" w:type="dxa"/>
          </w:tcPr>
          <w:p w:rsidR="00040D52" w:rsidRDefault="004D14CF">
            <w:pPr>
              <w:spacing w:after="111" w:line="360" w:lineRule="auto"/>
              <w:ind w:right="403"/>
              <w:rPr>
                <w:color w:val="000000"/>
              </w:rPr>
            </w:pPr>
            <w:r>
              <w:rPr>
                <w:color w:val="000000"/>
              </w:rPr>
              <w:t>Plant responses to water stress</w:t>
            </w:r>
          </w:p>
        </w:tc>
        <w:tc>
          <w:tcPr>
            <w:tcW w:w="2353" w:type="dxa"/>
          </w:tcPr>
          <w:p w:rsidR="00040D52" w:rsidRDefault="004D14CF">
            <w:pPr>
              <w:spacing w:after="111" w:line="360" w:lineRule="auto"/>
              <w:ind w:right="403"/>
              <w:rPr>
                <w:color w:val="000000"/>
              </w:rPr>
            </w:pPr>
            <w:r>
              <w:rPr>
                <w:color w:val="000000"/>
              </w:rPr>
              <w:t xml:space="preserve">Granier </w:t>
            </w:r>
            <w:r>
              <w:rPr>
                <w:i/>
                <w:iCs/>
                <w:color w:val="000000"/>
              </w:rPr>
              <w:t>et al.</w:t>
            </w:r>
            <w:r>
              <w:rPr>
                <w:color w:val="000000"/>
              </w:rPr>
              <w:t xml:space="preserve"> (2006)</w:t>
            </w:r>
          </w:p>
        </w:tc>
      </w:tr>
      <w:tr w:rsidR="00040D52">
        <w:tc>
          <w:tcPr>
            <w:tcW w:w="3774" w:type="dxa"/>
          </w:tcPr>
          <w:p w:rsidR="00040D52" w:rsidRDefault="004D14CF">
            <w:pPr>
              <w:spacing w:after="111" w:line="360" w:lineRule="auto"/>
              <w:ind w:right="403"/>
              <w:rPr>
                <w:color w:val="000000"/>
              </w:rPr>
            </w:pPr>
            <w:r>
              <w:rPr>
                <w:color w:val="000000"/>
              </w:rPr>
              <w:t>PHENODYN</w:t>
            </w:r>
          </w:p>
        </w:tc>
        <w:tc>
          <w:tcPr>
            <w:tcW w:w="2791" w:type="dxa"/>
          </w:tcPr>
          <w:p w:rsidR="00040D52" w:rsidRDefault="004D14CF">
            <w:pPr>
              <w:spacing w:after="111" w:line="360" w:lineRule="auto"/>
              <w:ind w:right="403"/>
              <w:rPr>
                <w:color w:val="000000"/>
              </w:rPr>
            </w:pPr>
            <w:r>
              <w:rPr>
                <w:color w:val="000000"/>
              </w:rPr>
              <w:t>Rice, Maize</w:t>
            </w:r>
          </w:p>
        </w:tc>
        <w:tc>
          <w:tcPr>
            <w:tcW w:w="5500" w:type="dxa"/>
          </w:tcPr>
          <w:p w:rsidR="00040D52" w:rsidRDefault="004D14CF">
            <w:pPr>
              <w:spacing w:after="111" w:line="360" w:lineRule="auto"/>
              <w:ind w:right="403"/>
              <w:rPr>
                <w:color w:val="000000"/>
              </w:rPr>
            </w:pPr>
            <w:r>
              <w:rPr>
                <w:color w:val="000000"/>
              </w:rPr>
              <w:t>Soil water status (drought), leaf elongation rate, micrometeorological variables</w:t>
            </w:r>
          </w:p>
        </w:tc>
        <w:tc>
          <w:tcPr>
            <w:tcW w:w="2353" w:type="dxa"/>
          </w:tcPr>
          <w:p w:rsidR="00040D52" w:rsidRDefault="004D14CF">
            <w:pPr>
              <w:spacing w:after="111" w:line="360" w:lineRule="auto"/>
              <w:ind w:right="403"/>
              <w:rPr>
                <w:color w:val="000000"/>
              </w:rPr>
            </w:pPr>
            <w:r>
              <w:rPr>
                <w:color w:val="000000"/>
              </w:rPr>
              <w:t xml:space="preserve">Sadok </w:t>
            </w:r>
            <w:r>
              <w:rPr>
                <w:i/>
                <w:iCs/>
                <w:color w:val="000000"/>
              </w:rPr>
              <w:t>et al.</w:t>
            </w:r>
            <w:r>
              <w:rPr>
                <w:color w:val="000000"/>
              </w:rPr>
              <w:t xml:space="preserve"> (2007)</w:t>
            </w:r>
          </w:p>
        </w:tc>
      </w:tr>
      <w:tr w:rsidR="00040D52">
        <w:tc>
          <w:tcPr>
            <w:tcW w:w="3774" w:type="dxa"/>
          </w:tcPr>
          <w:p w:rsidR="00040D52" w:rsidRDefault="004D14CF">
            <w:pPr>
              <w:spacing w:after="111" w:line="360" w:lineRule="auto"/>
              <w:ind w:left="0" w:right="403"/>
              <w:rPr>
                <w:color w:val="000000"/>
              </w:rPr>
            </w:pPr>
            <w:r>
              <w:rPr>
                <w:color w:val="000000"/>
              </w:rPr>
              <w:t>GROWSCREENFLUORO</w:t>
            </w:r>
          </w:p>
        </w:tc>
        <w:tc>
          <w:tcPr>
            <w:tcW w:w="2791" w:type="dxa"/>
          </w:tcPr>
          <w:p w:rsidR="00040D52" w:rsidRDefault="004D14CF">
            <w:pPr>
              <w:spacing w:after="111" w:line="360" w:lineRule="auto"/>
              <w:ind w:right="403"/>
              <w:rPr>
                <w:color w:val="000000"/>
              </w:rPr>
            </w:pPr>
            <w:r>
              <w:rPr>
                <w:color w:val="000000"/>
              </w:rPr>
              <w:t>Arabidopsis</w:t>
            </w:r>
          </w:p>
        </w:tc>
        <w:tc>
          <w:tcPr>
            <w:tcW w:w="5500" w:type="dxa"/>
          </w:tcPr>
          <w:p w:rsidR="00040D52" w:rsidRDefault="004D14CF">
            <w:pPr>
              <w:spacing w:after="111" w:line="360" w:lineRule="auto"/>
              <w:ind w:right="403"/>
              <w:rPr>
                <w:color w:val="000000"/>
              </w:rPr>
            </w:pPr>
            <w:r>
              <w:rPr>
                <w:color w:val="000000"/>
              </w:rPr>
              <w:t>Leaf growth and chlorophyll fluorescence (stress detection)</w:t>
            </w:r>
          </w:p>
        </w:tc>
        <w:tc>
          <w:tcPr>
            <w:tcW w:w="2353" w:type="dxa"/>
          </w:tcPr>
          <w:p w:rsidR="00040D52" w:rsidRDefault="004D14CF">
            <w:pPr>
              <w:spacing w:after="111" w:line="360" w:lineRule="auto"/>
              <w:ind w:right="403"/>
              <w:rPr>
                <w:color w:val="000000"/>
              </w:rPr>
            </w:pPr>
            <w:r>
              <w:rPr>
                <w:color w:val="000000"/>
              </w:rPr>
              <w:t xml:space="preserve">Jansen </w:t>
            </w:r>
            <w:r>
              <w:rPr>
                <w:i/>
                <w:iCs/>
                <w:color w:val="000000"/>
              </w:rPr>
              <w:t>et al.</w:t>
            </w:r>
            <w:r>
              <w:rPr>
                <w:color w:val="000000"/>
              </w:rPr>
              <w:t xml:space="preserve"> (2009)</w:t>
            </w:r>
          </w:p>
        </w:tc>
      </w:tr>
      <w:tr w:rsidR="00040D52">
        <w:tc>
          <w:tcPr>
            <w:tcW w:w="3774" w:type="dxa"/>
          </w:tcPr>
          <w:p w:rsidR="00040D52" w:rsidRDefault="004D14CF">
            <w:pPr>
              <w:spacing w:after="111" w:line="360" w:lineRule="auto"/>
              <w:ind w:left="0" w:right="403"/>
              <w:rPr>
                <w:color w:val="000000"/>
              </w:rPr>
            </w:pPr>
            <w:r>
              <w:rPr>
                <w:color w:val="000000"/>
              </w:rPr>
              <w:t>BreedVision</w:t>
            </w:r>
          </w:p>
        </w:tc>
        <w:tc>
          <w:tcPr>
            <w:tcW w:w="2791" w:type="dxa"/>
          </w:tcPr>
          <w:p w:rsidR="00040D52" w:rsidRDefault="004D14CF">
            <w:pPr>
              <w:spacing w:after="111" w:line="360" w:lineRule="auto"/>
              <w:ind w:right="403"/>
              <w:rPr>
                <w:color w:val="000000"/>
              </w:rPr>
            </w:pPr>
            <w:r>
              <w:rPr>
                <w:color w:val="000000"/>
              </w:rPr>
              <w:t>Wheat</w:t>
            </w:r>
          </w:p>
        </w:tc>
        <w:tc>
          <w:tcPr>
            <w:tcW w:w="5500" w:type="dxa"/>
          </w:tcPr>
          <w:p w:rsidR="00040D52" w:rsidRDefault="004D14CF">
            <w:pPr>
              <w:spacing w:after="111" w:line="360" w:lineRule="auto"/>
              <w:ind w:right="403"/>
              <w:rPr>
                <w:color w:val="000000"/>
              </w:rPr>
            </w:pPr>
            <w:r>
              <w:rPr>
                <w:color w:val="000000"/>
              </w:rPr>
              <w:t>Lodging, plant moisture c</w:t>
            </w:r>
            <w:r>
              <w:rPr>
                <w:color w:val="000000"/>
              </w:rPr>
              <w:t>ontent, biomass yield, tiller density</w:t>
            </w:r>
          </w:p>
        </w:tc>
        <w:tc>
          <w:tcPr>
            <w:tcW w:w="2353" w:type="dxa"/>
          </w:tcPr>
          <w:p w:rsidR="00040D52" w:rsidRDefault="004D14CF">
            <w:pPr>
              <w:spacing w:after="111" w:line="360" w:lineRule="auto"/>
              <w:ind w:right="403"/>
              <w:rPr>
                <w:color w:val="000000"/>
              </w:rPr>
            </w:pPr>
            <w:r>
              <w:rPr>
                <w:color w:val="000000"/>
              </w:rPr>
              <w:t xml:space="preserve">Busemeyer </w:t>
            </w:r>
            <w:r>
              <w:rPr>
                <w:i/>
                <w:iCs/>
                <w:color w:val="000000"/>
              </w:rPr>
              <w:t>et al.</w:t>
            </w:r>
            <w:r>
              <w:rPr>
                <w:color w:val="000000"/>
              </w:rPr>
              <w:t xml:space="preserve"> (2013)</w:t>
            </w:r>
          </w:p>
        </w:tc>
      </w:tr>
      <w:tr w:rsidR="00040D52">
        <w:tc>
          <w:tcPr>
            <w:tcW w:w="3774" w:type="dxa"/>
          </w:tcPr>
          <w:p w:rsidR="00040D52" w:rsidRDefault="004D14CF">
            <w:pPr>
              <w:spacing w:after="111" w:line="360" w:lineRule="auto"/>
              <w:ind w:left="0" w:right="403"/>
              <w:rPr>
                <w:color w:val="000000"/>
              </w:rPr>
            </w:pPr>
            <w:r>
              <w:rPr>
                <w:color w:val="000000"/>
              </w:rPr>
              <w:t>RhizoTubes; RADIX</w:t>
            </w:r>
          </w:p>
        </w:tc>
        <w:tc>
          <w:tcPr>
            <w:tcW w:w="2791" w:type="dxa"/>
          </w:tcPr>
          <w:p w:rsidR="00040D52" w:rsidRDefault="004D14CF">
            <w:pPr>
              <w:spacing w:after="111" w:line="360" w:lineRule="auto"/>
              <w:ind w:left="0" w:right="403"/>
              <w:rPr>
                <w:color w:val="000000"/>
              </w:rPr>
            </w:pPr>
            <w:r>
              <w:rPr>
                <w:color w:val="000000"/>
              </w:rPr>
              <w:t>Wheat, Maize</w:t>
            </w:r>
          </w:p>
        </w:tc>
        <w:tc>
          <w:tcPr>
            <w:tcW w:w="5500" w:type="dxa"/>
          </w:tcPr>
          <w:p w:rsidR="00040D52" w:rsidRDefault="004D14CF">
            <w:pPr>
              <w:spacing w:after="111" w:line="360" w:lineRule="auto"/>
              <w:ind w:right="403"/>
              <w:rPr>
                <w:color w:val="000000"/>
              </w:rPr>
            </w:pPr>
            <w:r>
              <w:rPr>
                <w:color w:val="000000"/>
              </w:rPr>
              <w:t>Root traits under stressed and non-stressed conditions</w:t>
            </w:r>
          </w:p>
        </w:tc>
        <w:tc>
          <w:tcPr>
            <w:tcW w:w="2353" w:type="dxa"/>
          </w:tcPr>
          <w:p w:rsidR="00040D52" w:rsidRDefault="004D14CF">
            <w:pPr>
              <w:spacing w:after="111" w:line="360" w:lineRule="auto"/>
              <w:ind w:right="403"/>
              <w:rPr>
                <w:color w:val="000000"/>
              </w:rPr>
            </w:pPr>
            <w:r>
              <w:rPr>
                <w:color w:val="000000"/>
              </w:rPr>
              <w:t xml:space="preserve">Jeudy </w:t>
            </w:r>
            <w:r>
              <w:rPr>
                <w:i/>
                <w:iCs/>
                <w:color w:val="000000"/>
              </w:rPr>
              <w:t>et al.</w:t>
            </w:r>
            <w:r>
              <w:rPr>
                <w:color w:val="000000"/>
              </w:rPr>
              <w:t xml:space="preserve"> (2016)</w:t>
            </w:r>
          </w:p>
        </w:tc>
      </w:tr>
      <w:tr w:rsidR="00040D52">
        <w:tc>
          <w:tcPr>
            <w:tcW w:w="3774" w:type="dxa"/>
          </w:tcPr>
          <w:p w:rsidR="00040D52" w:rsidRDefault="004D14CF">
            <w:pPr>
              <w:spacing w:after="111" w:line="360" w:lineRule="auto"/>
              <w:ind w:left="0" w:right="403"/>
              <w:rPr>
                <w:color w:val="000000"/>
              </w:rPr>
            </w:pPr>
            <w:r>
              <w:rPr>
                <w:color w:val="000000"/>
              </w:rPr>
              <w:t>PHENOVISION</w:t>
            </w:r>
          </w:p>
        </w:tc>
        <w:tc>
          <w:tcPr>
            <w:tcW w:w="2791" w:type="dxa"/>
          </w:tcPr>
          <w:p w:rsidR="00040D52" w:rsidRDefault="004D14CF">
            <w:pPr>
              <w:spacing w:after="111" w:line="360" w:lineRule="auto"/>
              <w:ind w:left="0" w:right="403"/>
              <w:rPr>
                <w:color w:val="000000"/>
              </w:rPr>
            </w:pPr>
            <w:r>
              <w:rPr>
                <w:color w:val="000000"/>
              </w:rPr>
              <w:t>Maize</w:t>
            </w:r>
          </w:p>
        </w:tc>
        <w:tc>
          <w:tcPr>
            <w:tcW w:w="5500" w:type="dxa"/>
          </w:tcPr>
          <w:p w:rsidR="00040D52" w:rsidRDefault="004D14CF">
            <w:pPr>
              <w:spacing w:after="111" w:line="360" w:lineRule="auto"/>
              <w:ind w:left="0" w:right="403"/>
              <w:rPr>
                <w:color w:val="000000"/>
              </w:rPr>
            </w:pPr>
            <w:r>
              <w:rPr>
                <w:color w:val="000000"/>
              </w:rPr>
              <w:t>Detection of drought stress and recovery</w:t>
            </w:r>
          </w:p>
        </w:tc>
        <w:tc>
          <w:tcPr>
            <w:tcW w:w="2353" w:type="dxa"/>
          </w:tcPr>
          <w:p w:rsidR="00040D52" w:rsidRDefault="004D14CF">
            <w:pPr>
              <w:spacing w:after="111" w:line="360" w:lineRule="auto"/>
              <w:ind w:right="403"/>
              <w:rPr>
                <w:color w:val="000000"/>
              </w:rPr>
            </w:pPr>
            <w:r>
              <w:rPr>
                <w:color w:val="000000"/>
              </w:rPr>
              <w:t xml:space="preserve">Asaari </w:t>
            </w:r>
            <w:r>
              <w:rPr>
                <w:i/>
                <w:iCs/>
                <w:color w:val="000000"/>
              </w:rPr>
              <w:t>et al.</w:t>
            </w:r>
            <w:r>
              <w:rPr>
                <w:color w:val="000000"/>
              </w:rPr>
              <w:t xml:space="preserve"> (2019)</w:t>
            </w:r>
          </w:p>
        </w:tc>
      </w:tr>
      <w:tr w:rsidR="00040D52">
        <w:tc>
          <w:tcPr>
            <w:tcW w:w="3774" w:type="dxa"/>
          </w:tcPr>
          <w:p w:rsidR="00040D52" w:rsidRDefault="004D14CF">
            <w:pPr>
              <w:spacing w:after="111" w:line="360" w:lineRule="auto"/>
              <w:ind w:left="0" w:right="403"/>
              <w:rPr>
                <w:color w:val="000000"/>
              </w:rPr>
            </w:pPr>
            <w:r>
              <w:rPr>
                <w:color w:val="000000"/>
              </w:rPr>
              <w:lastRenderedPageBreak/>
              <w:t>PhénoField</w:t>
            </w:r>
          </w:p>
        </w:tc>
        <w:tc>
          <w:tcPr>
            <w:tcW w:w="2791" w:type="dxa"/>
          </w:tcPr>
          <w:p w:rsidR="00040D52" w:rsidRDefault="004D14CF">
            <w:pPr>
              <w:spacing w:after="111" w:line="360" w:lineRule="auto"/>
              <w:ind w:left="0" w:right="403"/>
              <w:rPr>
                <w:color w:val="000000"/>
              </w:rPr>
            </w:pPr>
            <w:r>
              <w:rPr>
                <w:color w:val="000000"/>
              </w:rPr>
              <w:t>Wheat</w:t>
            </w:r>
          </w:p>
        </w:tc>
        <w:tc>
          <w:tcPr>
            <w:tcW w:w="5500" w:type="dxa"/>
          </w:tcPr>
          <w:p w:rsidR="00040D52" w:rsidRDefault="004D14CF">
            <w:pPr>
              <w:spacing w:after="111" w:line="360" w:lineRule="auto"/>
              <w:ind w:right="403"/>
              <w:rPr>
                <w:color w:val="000000"/>
              </w:rPr>
            </w:pPr>
            <w:r>
              <w:rPr>
                <w:color w:val="000000"/>
              </w:rPr>
              <w:t>Characterization of multiple abiotic stresses</w:t>
            </w:r>
          </w:p>
        </w:tc>
        <w:tc>
          <w:tcPr>
            <w:tcW w:w="2353" w:type="dxa"/>
          </w:tcPr>
          <w:p w:rsidR="00040D52" w:rsidRDefault="004D14CF">
            <w:pPr>
              <w:spacing w:after="111" w:line="360" w:lineRule="auto"/>
              <w:ind w:right="403"/>
              <w:rPr>
                <w:color w:val="000000"/>
              </w:rPr>
            </w:pPr>
            <w:r>
              <w:rPr>
                <w:color w:val="000000"/>
              </w:rPr>
              <w:t xml:space="preserve">Beauchêne </w:t>
            </w:r>
            <w:r>
              <w:rPr>
                <w:i/>
                <w:iCs/>
                <w:color w:val="000000"/>
              </w:rPr>
              <w:t>et al.</w:t>
            </w:r>
            <w:r>
              <w:rPr>
                <w:color w:val="000000"/>
              </w:rPr>
              <w:t xml:space="preserve"> (2019)</w:t>
            </w:r>
          </w:p>
        </w:tc>
      </w:tr>
      <w:tr w:rsidR="00040D52">
        <w:tc>
          <w:tcPr>
            <w:tcW w:w="3774" w:type="dxa"/>
          </w:tcPr>
          <w:p w:rsidR="00040D52" w:rsidRDefault="004D14CF">
            <w:pPr>
              <w:spacing w:after="111" w:line="360" w:lineRule="auto"/>
              <w:ind w:right="403"/>
              <w:rPr>
                <w:color w:val="000000"/>
              </w:rPr>
            </w:pPr>
            <w:r>
              <w:rPr>
                <w:color w:val="000000"/>
              </w:rPr>
              <w:t>PhenoImage</w:t>
            </w:r>
          </w:p>
        </w:tc>
        <w:tc>
          <w:tcPr>
            <w:tcW w:w="2791" w:type="dxa"/>
          </w:tcPr>
          <w:p w:rsidR="00040D52" w:rsidRDefault="004D14CF">
            <w:pPr>
              <w:spacing w:after="111" w:line="360" w:lineRule="auto"/>
              <w:ind w:right="403"/>
              <w:rPr>
                <w:color w:val="000000"/>
              </w:rPr>
            </w:pPr>
            <w:r>
              <w:rPr>
                <w:color w:val="000000"/>
              </w:rPr>
              <w:t>Wheat, Sorghum</w:t>
            </w:r>
          </w:p>
        </w:tc>
        <w:tc>
          <w:tcPr>
            <w:tcW w:w="5500" w:type="dxa"/>
          </w:tcPr>
          <w:p w:rsidR="00040D52" w:rsidRDefault="004D14CF">
            <w:pPr>
              <w:spacing w:after="111" w:line="360" w:lineRule="auto"/>
              <w:ind w:left="0" w:right="403"/>
              <w:rPr>
                <w:color w:val="000000"/>
              </w:rPr>
            </w:pPr>
            <w:r>
              <w:rPr>
                <w:color w:val="000000"/>
              </w:rPr>
              <w:t>Plant responses to water stress</w:t>
            </w:r>
          </w:p>
        </w:tc>
        <w:tc>
          <w:tcPr>
            <w:tcW w:w="2353" w:type="dxa"/>
          </w:tcPr>
          <w:p w:rsidR="00040D52" w:rsidRDefault="004D14CF">
            <w:pPr>
              <w:spacing w:after="111" w:line="360" w:lineRule="auto"/>
              <w:ind w:right="403"/>
              <w:rPr>
                <w:color w:val="000000"/>
              </w:rPr>
            </w:pPr>
            <w:r>
              <w:rPr>
                <w:color w:val="000000"/>
              </w:rPr>
              <w:t xml:space="preserve">Zhu </w:t>
            </w:r>
            <w:r>
              <w:rPr>
                <w:i/>
                <w:iCs/>
                <w:color w:val="000000"/>
              </w:rPr>
              <w:t>et al.</w:t>
            </w:r>
            <w:r>
              <w:rPr>
                <w:color w:val="000000"/>
              </w:rPr>
              <w:t xml:space="preserve"> (2021)</w:t>
            </w:r>
          </w:p>
        </w:tc>
      </w:tr>
      <w:tr w:rsidR="00040D52">
        <w:tc>
          <w:tcPr>
            <w:tcW w:w="3774" w:type="dxa"/>
          </w:tcPr>
          <w:p w:rsidR="00040D52" w:rsidRDefault="004D14CF">
            <w:pPr>
              <w:spacing w:after="111" w:line="360" w:lineRule="auto"/>
              <w:ind w:left="0" w:right="403"/>
              <w:rPr>
                <w:color w:val="000000"/>
              </w:rPr>
            </w:pPr>
            <w:r>
              <w:rPr>
                <w:color w:val="000000"/>
              </w:rPr>
              <w:t>Field Scanalyzer</w:t>
            </w:r>
          </w:p>
        </w:tc>
        <w:tc>
          <w:tcPr>
            <w:tcW w:w="2791" w:type="dxa"/>
          </w:tcPr>
          <w:p w:rsidR="00040D52" w:rsidRDefault="004D14CF">
            <w:pPr>
              <w:spacing w:after="111" w:line="360" w:lineRule="auto"/>
              <w:ind w:left="0" w:right="403"/>
              <w:rPr>
                <w:color w:val="000000"/>
              </w:rPr>
            </w:pPr>
            <w:r>
              <w:rPr>
                <w:color w:val="000000"/>
              </w:rPr>
              <w:t>Wheat</w:t>
            </w:r>
          </w:p>
        </w:tc>
        <w:tc>
          <w:tcPr>
            <w:tcW w:w="5500" w:type="dxa"/>
          </w:tcPr>
          <w:p w:rsidR="00040D52" w:rsidRDefault="004D14CF">
            <w:pPr>
              <w:spacing w:after="111" w:line="360" w:lineRule="auto"/>
              <w:ind w:right="403"/>
              <w:rPr>
                <w:color w:val="000000"/>
              </w:rPr>
            </w:pPr>
            <w:r>
              <w:rPr>
                <w:color w:val="000000"/>
              </w:rPr>
              <w:t>Morphological traits</w:t>
            </w:r>
          </w:p>
        </w:tc>
        <w:tc>
          <w:tcPr>
            <w:tcW w:w="2353" w:type="dxa"/>
          </w:tcPr>
          <w:p w:rsidR="00040D52" w:rsidRDefault="004D14CF">
            <w:pPr>
              <w:spacing w:after="111" w:line="360" w:lineRule="auto"/>
              <w:ind w:right="403"/>
              <w:rPr>
                <w:color w:val="000000"/>
              </w:rPr>
            </w:pPr>
            <w:r>
              <w:rPr>
                <w:color w:val="000000"/>
              </w:rPr>
              <w:t xml:space="preserve">Virlet </w:t>
            </w:r>
            <w:r>
              <w:rPr>
                <w:i/>
                <w:iCs/>
                <w:color w:val="000000"/>
              </w:rPr>
              <w:t>et al.</w:t>
            </w:r>
            <w:r>
              <w:rPr>
                <w:color w:val="000000"/>
              </w:rPr>
              <w:t xml:space="preserve"> (2016)</w:t>
            </w:r>
          </w:p>
        </w:tc>
      </w:tr>
      <w:tr w:rsidR="00040D52">
        <w:tc>
          <w:tcPr>
            <w:tcW w:w="3774" w:type="dxa"/>
          </w:tcPr>
          <w:p w:rsidR="00040D52" w:rsidRDefault="004D14CF">
            <w:pPr>
              <w:spacing w:after="111" w:line="360" w:lineRule="auto"/>
              <w:ind w:left="0" w:right="403"/>
              <w:rPr>
                <w:color w:val="000000"/>
              </w:rPr>
            </w:pPr>
            <w:r>
              <w:rPr>
                <w:color w:val="000000"/>
              </w:rPr>
              <w:t>CropQuant</w:t>
            </w:r>
          </w:p>
        </w:tc>
        <w:tc>
          <w:tcPr>
            <w:tcW w:w="2791" w:type="dxa"/>
          </w:tcPr>
          <w:p w:rsidR="00040D52" w:rsidRDefault="004D14CF">
            <w:pPr>
              <w:spacing w:after="111" w:line="360" w:lineRule="auto"/>
              <w:ind w:left="0" w:right="403"/>
              <w:rPr>
                <w:color w:val="000000"/>
              </w:rPr>
            </w:pPr>
            <w:r>
              <w:rPr>
                <w:color w:val="000000"/>
              </w:rPr>
              <w:t>Wheat</w:t>
            </w:r>
          </w:p>
        </w:tc>
        <w:tc>
          <w:tcPr>
            <w:tcW w:w="5500" w:type="dxa"/>
          </w:tcPr>
          <w:p w:rsidR="00040D52" w:rsidRDefault="004D14CF">
            <w:pPr>
              <w:spacing w:after="111" w:line="360" w:lineRule="auto"/>
              <w:ind w:left="0" w:right="403"/>
              <w:rPr>
                <w:color w:val="000000"/>
              </w:rPr>
            </w:pPr>
            <w:r>
              <w:rPr>
                <w:color w:val="000000"/>
              </w:rPr>
              <w:t>Performance-related traits</w:t>
            </w:r>
          </w:p>
        </w:tc>
        <w:tc>
          <w:tcPr>
            <w:tcW w:w="2353" w:type="dxa"/>
          </w:tcPr>
          <w:p w:rsidR="00040D52" w:rsidRDefault="004D14CF">
            <w:pPr>
              <w:spacing w:after="111" w:line="360" w:lineRule="auto"/>
              <w:ind w:right="403"/>
              <w:rPr>
                <w:color w:val="000000"/>
              </w:rPr>
            </w:pPr>
            <w:r>
              <w:rPr>
                <w:color w:val="000000"/>
              </w:rPr>
              <w:t xml:space="preserve">Zhou </w:t>
            </w:r>
            <w:r>
              <w:rPr>
                <w:i/>
                <w:iCs/>
                <w:color w:val="000000"/>
              </w:rPr>
              <w:t>et al.</w:t>
            </w:r>
            <w:r>
              <w:rPr>
                <w:color w:val="000000"/>
              </w:rPr>
              <w:t xml:space="preserve"> (2017)</w:t>
            </w:r>
          </w:p>
        </w:tc>
      </w:tr>
      <w:tr w:rsidR="00040D52">
        <w:tc>
          <w:tcPr>
            <w:tcW w:w="3774" w:type="dxa"/>
          </w:tcPr>
          <w:p w:rsidR="00040D52" w:rsidRDefault="004D14CF">
            <w:pPr>
              <w:spacing w:after="111" w:line="360" w:lineRule="auto"/>
              <w:ind w:left="0" w:right="403"/>
              <w:rPr>
                <w:color w:val="000000"/>
              </w:rPr>
            </w:pPr>
            <w:r>
              <w:rPr>
                <w:color w:val="000000"/>
              </w:rPr>
              <w:t>PhenoRoots</w:t>
            </w:r>
          </w:p>
        </w:tc>
        <w:tc>
          <w:tcPr>
            <w:tcW w:w="2791" w:type="dxa"/>
          </w:tcPr>
          <w:p w:rsidR="00040D52" w:rsidRDefault="004D14CF">
            <w:pPr>
              <w:spacing w:after="111" w:line="360" w:lineRule="auto"/>
              <w:ind w:right="403"/>
              <w:rPr>
                <w:color w:val="000000"/>
              </w:rPr>
            </w:pPr>
            <w:r>
              <w:rPr>
                <w:color w:val="000000"/>
              </w:rPr>
              <w:t>Cotton (</w:t>
            </w:r>
            <w:r>
              <w:rPr>
                <w:i/>
                <w:iCs/>
                <w:color w:val="000000"/>
              </w:rPr>
              <w:t>Gossypium hirsutum</w:t>
            </w:r>
            <w:r>
              <w:rPr>
                <w:color w:val="000000"/>
              </w:rPr>
              <w:t xml:space="preserve"> L.)</w:t>
            </w:r>
          </w:p>
        </w:tc>
        <w:tc>
          <w:tcPr>
            <w:tcW w:w="5500" w:type="dxa"/>
          </w:tcPr>
          <w:p w:rsidR="00040D52" w:rsidRDefault="004D14CF">
            <w:pPr>
              <w:spacing w:after="111" w:line="360" w:lineRule="auto"/>
              <w:ind w:left="0" w:right="403"/>
              <w:rPr>
                <w:color w:val="000000"/>
              </w:rPr>
            </w:pPr>
            <w:r>
              <w:rPr>
                <w:color w:val="000000"/>
              </w:rPr>
              <w:t>Root-related traits</w:t>
            </w:r>
          </w:p>
        </w:tc>
        <w:tc>
          <w:tcPr>
            <w:tcW w:w="2353" w:type="dxa"/>
          </w:tcPr>
          <w:p w:rsidR="00040D52" w:rsidRDefault="004D14CF">
            <w:pPr>
              <w:spacing w:after="111" w:line="360" w:lineRule="auto"/>
              <w:ind w:right="403"/>
              <w:rPr>
                <w:color w:val="000000"/>
              </w:rPr>
            </w:pPr>
            <w:r>
              <w:rPr>
                <w:color w:val="000000"/>
              </w:rPr>
              <w:t xml:space="preserve">Martins </w:t>
            </w:r>
            <w:r>
              <w:rPr>
                <w:i/>
                <w:iCs/>
                <w:color w:val="000000"/>
              </w:rPr>
              <w:t>et al.</w:t>
            </w:r>
            <w:r>
              <w:rPr>
                <w:color w:val="000000"/>
              </w:rPr>
              <w:t xml:space="preserve"> (2020)</w:t>
            </w:r>
          </w:p>
        </w:tc>
      </w:tr>
      <w:tr w:rsidR="00040D52">
        <w:tc>
          <w:tcPr>
            <w:tcW w:w="3774" w:type="dxa"/>
          </w:tcPr>
          <w:p w:rsidR="00040D52" w:rsidRDefault="004D14CF">
            <w:pPr>
              <w:spacing w:after="111" w:line="360" w:lineRule="auto"/>
              <w:ind w:right="403"/>
              <w:rPr>
                <w:color w:val="000000"/>
              </w:rPr>
            </w:pPr>
            <w:r>
              <w:rPr>
                <w:color w:val="000000"/>
              </w:rPr>
              <w:t>Self-propelled electric HTPP platform</w:t>
            </w:r>
          </w:p>
        </w:tc>
        <w:tc>
          <w:tcPr>
            <w:tcW w:w="2791" w:type="dxa"/>
          </w:tcPr>
          <w:p w:rsidR="00040D52" w:rsidRDefault="004D14CF">
            <w:pPr>
              <w:spacing w:after="111" w:line="360" w:lineRule="auto"/>
              <w:ind w:right="403"/>
              <w:rPr>
                <w:color w:val="000000"/>
              </w:rPr>
            </w:pPr>
            <w:r>
              <w:rPr>
                <w:color w:val="000000"/>
              </w:rPr>
              <w:t>Wheat (</w:t>
            </w:r>
            <w:r>
              <w:rPr>
                <w:i/>
                <w:iCs/>
                <w:color w:val="000000"/>
              </w:rPr>
              <w:t>Triticum aestivum</w:t>
            </w:r>
            <w:r>
              <w:rPr>
                <w:color w:val="000000"/>
              </w:rPr>
              <w:t>)</w:t>
            </w:r>
          </w:p>
        </w:tc>
        <w:tc>
          <w:tcPr>
            <w:tcW w:w="5500" w:type="dxa"/>
          </w:tcPr>
          <w:p w:rsidR="00040D52" w:rsidRDefault="004D14CF">
            <w:pPr>
              <w:spacing w:after="111" w:line="360" w:lineRule="auto"/>
              <w:ind w:left="0" w:right="403"/>
              <w:rPr>
                <w:color w:val="000000"/>
              </w:rPr>
            </w:pPr>
            <w:r>
              <w:rPr>
                <w:color w:val="000000"/>
              </w:rPr>
              <w:t>Plant height</w:t>
            </w:r>
          </w:p>
        </w:tc>
        <w:tc>
          <w:tcPr>
            <w:tcW w:w="2353" w:type="dxa"/>
          </w:tcPr>
          <w:p w:rsidR="00040D52" w:rsidRDefault="004D14CF">
            <w:pPr>
              <w:spacing w:after="111" w:line="360" w:lineRule="auto"/>
              <w:ind w:right="403"/>
              <w:rPr>
                <w:color w:val="000000"/>
              </w:rPr>
            </w:pPr>
            <w:r>
              <w:rPr>
                <w:color w:val="000000"/>
              </w:rPr>
              <w:t xml:space="preserve">Pérez-Ruiz </w:t>
            </w:r>
            <w:r>
              <w:rPr>
                <w:i/>
                <w:iCs/>
                <w:color w:val="000000"/>
              </w:rPr>
              <w:t>et al.</w:t>
            </w:r>
            <w:r>
              <w:rPr>
                <w:color w:val="000000"/>
              </w:rPr>
              <w:t xml:space="preserve"> (2020)</w:t>
            </w:r>
          </w:p>
        </w:tc>
      </w:tr>
    </w:tbl>
    <w:p w:rsidR="00040D52" w:rsidRDefault="00040D52">
      <w:pPr>
        <w:spacing w:after="111" w:line="360" w:lineRule="auto"/>
        <w:ind w:left="426" w:right="403"/>
        <w:rPr>
          <w:color w:val="000000"/>
        </w:rPr>
        <w:sectPr w:rsidR="00040D52">
          <w:pgSz w:w="16838" w:h="11906" w:orient="landscape"/>
          <w:pgMar w:top="1440" w:right="1134" w:bottom="1440" w:left="1276" w:header="709" w:footer="709" w:gutter="0"/>
          <w:cols w:space="720"/>
        </w:sectPr>
      </w:pPr>
    </w:p>
    <w:p w:rsidR="00040D52" w:rsidRDefault="004D14CF">
      <w:pPr>
        <w:spacing w:after="111" w:line="360" w:lineRule="auto"/>
        <w:ind w:left="426" w:right="403"/>
        <w:rPr>
          <w:color w:val="000000"/>
        </w:rPr>
      </w:pPr>
      <w:r>
        <w:rPr>
          <w:color w:val="000000"/>
        </w:rPr>
        <w:lastRenderedPageBreak/>
        <w:t>are subsequently repaired via non-homologous end joining (NHEJ) or homology-directed repair (HDR) pathways, leading to targeted genetic modifications (</w:t>
      </w:r>
      <w:r>
        <w:rPr>
          <w:b/>
          <w:bCs/>
          <w:color w:val="000000"/>
        </w:rPr>
        <w:t xml:space="preserve">Schmidt </w:t>
      </w:r>
      <w:r>
        <w:rPr>
          <w:b/>
          <w:bCs/>
          <w:i/>
          <w:iCs/>
          <w:color w:val="000000"/>
        </w:rPr>
        <w:t>et al.</w:t>
      </w:r>
      <w:r>
        <w:rPr>
          <w:b/>
          <w:bCs/>
          <w:color w:val="000000"/>
        </w:rPr>
        <w:t>, 2019</w:t>
      </w:r>
      <w:r>
        <w:rPr>
          <w:color w:val="000000"/>
        </w:rPr>
        <w:t>). Compared to earlier genome-editing tools such as mega nucleases, zinc-finger nucle</w:t>
      </w:r>
      <w:r>
        <w:rPr>
          <w:color w:val="000000"/>
        </w:rPr>
        <w:t>ases, and TALENs, CRISPR/Cas offers superior simplicity, precision, and scalability, as it eliminates the need for complex protein engineering.</w:t>
      </w:r>
    </w:p>
    <w:p w:rsidR="00040D52" w:rsidRDefault="004D14CF">
      <w:pPr>
        <w:spacing w:after="111" w:line="360" w:lineRule="auto"/>
        <w:ind w:left="426" w:right="403"/>
        <w:rPr>
          <w:color w:val="000000"/>
        </w:rPr>
      </w:pPr>
      <w:r>
        <w:rPr>
          <w:color w:val="000000"/>
        </w:rPr>
        <w:t>Despite its transformative potential, the application of CRISPR/Cas technology in finger millet remains limited.</w:t>
      </w:r>
      <w:r>
        <w:rPr>
          <w:color w:val="000000"/>
        </w:rPr>
        <w:t xml:space="preserve"> The absence of a fully assembled and annotated reference genome has significantly constrained the design of guide RNAs (gRNAs), thereby impeding precise genome editing (</w:t>
      </w:r>
      <w:r>
        <w:rPr>
          <w:b/>
          <w:bCs/>
          <w:color w:val="000000"/>
        </w:rPr>
        <w:t xml:space="preserve">Hittalmani </w:t>
      </w:r>
      <w:r>
        <w:rPr>
          <w:b/>
          <w:bCs/>
          <w:i/>
          <w:iCs/>
          <w:color w:val="000000"/>
        </w:rPr>
        <w:t>et al.</w:t>
      </w:r>
      <w:r>
        <w:rPr>
          <w:b/>
          <w:bCs/>
          <w:color w:val="000000"/>
        </w:rPr>
        <w:t xml:space="preserve">, 2017; Hatakeyama </w:t>
      </w:r>
      <w:r>
        <w:rPr>
          <w:b/>
          <w:bCs/>
          <w:i/>
          <w:iCs/>
          <w:color w:val="000000"/>
        </w:rPr>
        <w:t>et al.</w:t>
      </w:r>
      <w:r>
        <w:rPr>
          <w:b/>
          <w:bCs/>
          <w:color w:val="000000"/>
        </w:rPr>
        <w:t>, 2018</w:t>
      </w:r>
      <w:r>
        <w:rPr>
          <w:color w:val="000000"/>
        </w:rPr>
        <w:t>). Furthermore, challenges such as low</w:t>
      </w:r>
      <w:r>
        <w:rPr>
          <w:color w:val="000000"/>
        </w:rPr>
        <w:t xml:space="preserve"> transformation efficiency and genotype-dependent regeneration protocols restrict its practical implementation (</w:t>
      </w:r>
      <w:r>
        <w:rPr>
          <w:b/>
          <w:bCs/>
          <w:color w:val="000000"/>
        </w:rPr>
        <w:t xml:space="preserve">Kothari </w:t>
      </w:r>
      <w:r>
        <w:rPr>
          <w:b/>
          <w:bCs/>
          <w:i/>
          <w:iCs/>
          <w:color w:val="000000"/>
        </w:rPr>
        <w:t>et al.</w:t>
      </w:r>
      <w:r>
        <w:rPr>
          <w:b/>
          <w:bCs/>
          <w:color w:val="000000"/>
        </w:rPr>
        <w:t xml:space="preserve">, 2004; Ignacimuthu &amp; Ceasar, 2012; Satish </w:t>
      </w:r>
      <w:r>
        <w:rPr>
          <w:b/>
          <w:bCs/>
          <w:i/>
          <w:iCs/>
          <w:color w:val="000000"/>
        </w:rPr>
        <w:t>et al.</w:t>
      </w:r>
      <w:r>
        <w:rPr>
          <w:b/>
          <w:bCs/>
          <w:color w:val="000000"/>
        </w:rPr>
        <w:t xml:space="preserve">, 2017; Ngetich </w:t>
      </w:r>
      <w:r>
        <w:rPr>
          <w:b/>
          <w:bCs/>
          <w:i/>
          <w:iCs/>
          <w:color w:val="000000"/>
        </w:rPr>
        <w:t>et al.</w:t>
      </w:r>
      <w:r>
        <w:rPr>
          <w:b/>
          <w:bCs/>
          <w:color w:val="000000"/>
        </w:rPr>
        <w:t>, 2018</w:t>
      </w:r>
      <w:r>
        <w:rPr>
          <w:color w:val="000000"/>
        </w:rPr>
        <w:t>). Although off-target effects are relatively rare in</w:t>
      </w:r>
      <w:r>
        <w:rPr>
          <w:color w:val="000000"/>
        </w:rPr>
        <w:t xml:space="preserve"> plants, careful gRNA design and selection of appropriate Cas variants are essential to ensure editing accuracy (</w:t>
      </w:r>
      <w:r>
        <w:rPr>
          <w:b/>
          <w:bCs/>
          <w:color w:val="000000"/>
        </w:rPr>
        <w:t xml:space="preserve">Peterson </w:t>
      </w:r>
      <w:r>
        <w:rPr>
          <w:b/>
          <w:bCs/>
          <w:i/>
          <w:iCs/>
          <w:color w:val="000000"/>
        </w:rPr>
        <w:t>et al.</w:t>
      </w:r>
      <w:r>
        <w:rPr>
          <w:b/>
          <w:bCs/>
          <w:color w:val="000000"/>
        </w:rPr>
        <w:t>, 2016</w:t>
      </w:r>
      <w:r>
        <w:rPr>
          <w:color w:val="000000"/>
        </w:rPr>
        <w:t>). Overall, CRISPR/Cas technology holds immense promise for precision breeding and development of salinity-tolerant millet</w:t>
      </w:r>
      <w:r>
        <w:rPr>
          <w:color w:val="000000"/>
        </w:rPr>
        <w:t xml:space="preserve"> cultivars, but its full potential can only be realized through advancements in genomic resources and efficient transformation systems.</w:t>
      </w:r>
    </w:p>
    <w:p w:rsidR="00040D52" w:rsidRDefault="004D14CF">
      <w:pPr>
        <w:spacing w:after="111" w:line="360" w:lineRule="auto"/>
        <w:ind w:left="426" w:right="403"/>
        <w:rPr>
          <w:b/>
          <w:bCs/>
          <w:color w:val="000000"/>
          <w:sz w:val="28"/>
          <w:szCs w:val="28"/>
        </w:rPr>
      </w:pPr>
      <w:r>
        <w:rPr>
          <w:b/>
          <w:bCs/>
          <w:color w:val="000000"/>
          <w:sz w:val="28"/>
          <w:szCs w:val="28"/>
        </w:rPr>
        <w:t>3. Agronomic approaches for salinity stress mitigation</w:t>
      </w:r>
    </w:p>
    <w:p w:rsidR="00040D52" w:rsidRDefault="004D14CF">
      <w:pPr>
        <w:spacing w:after="111" w:line="360" w:lineRule="auto"/>
        <w:ind w:left="426" w:right="403"/>
        <w:rPr>
          <w:color w:val="000000"/>
        </w:rPr>
      </w:pPr>
      <w:r>
        <w:rPr>
          <w:color w:val="000000"/>
        </w:rPr>
        <w:t xml:space="preserve">Agronomic strategies aimed at alleviating salinity stress can be implemented at both soil and crop levels. One of the most fundamental approaches involves increasing soil moisture through efficient irrigation practices, which dilutes salt concentration to </w:t>
      </w:r>
      <w:r>
        <w:rPr>
          <w:color w:val="000000"/>
        </w:rPr>
        <w:t>tolerable levels. However, such interventions are often economically and logistically impractical for smallholder farmers, particularly in arid and semi-arid regions where finger millet is predominantly cultivated. During critical dry periods, salinity str</w:t>
      </w:r>
      <w:r>
        <w:rPr>
          <w:color w:val="000000"/>
        </w:rPr>
        <w:t>ess intensifies, necessitating alternative management strategies. Application of calcium-based salts (e.g., calcium nitrate or calcium chloride) has been shown to enhance crop survival under saline conditions by facilitating the displacement of Na⁺ ions fr</w:t>
      </w:r>
      <w:r>
        <w:rPr>
          <w:color w:val="000000"/>
        </w:rPr>
        <w:t>om soil colloids, thereby promoting their leaching (</w:t>
      </w:r>
      <w:r>
        <w:rPr>
          <w:b/>
          <w:bCs/>
          <w:color w:val="000000"/>
        </w:rPr>
        <w:t>Mariani &amp; Ferrante, 2017</w:t>
      </w:r>
      <w:r>
        <w:rPr>
          <w:color w:val="000000"/>
        </w:rPr>
        <w:t>). Similarly, magnesium supplementation contributes to improved soil structure and root growth. At the physiological level, chloride ions regulate sodium transport by inhibiting me</w:t>
      </w:r>
      <w:r>
        <w:rPr>
          <w:color w:val="000000"/>
        </w:rPr>
        <w:t>mbrane Na⁺ channels, thus reducing cytosolic Na⁺ accumulation. Additionally, nitrate forms of calcium may competitively limit Na⁺ uptake, although further validation is required. The use of soil amendments—both chemical and organic—</w:t>
      </w:r>
      <w:r>
        <w:rPr>
          <w:color w:val="000000"/>
        </w:rPr>
        <w:lastRenderedPageBreak/>
        <w:t xml:space="preserve">plays a pivotal role in </w:t>
      </w:r>
      <w:r>
        <w:rPr>
          <w:color w:val="000000"/>
        </w:rPr>
        <w:t xml:space="preserve">reclaiming saline soils and improving crop performance. In pearl millet, supplementation with nutrients such as potassium, phosphorus, gypsum, silicon, and boron, along with organic inputs like manure, compost, crop residues, and biochar, has demonstrated </w:t>
      </w:r>
      <w:r>
        <w:rPr>
          <w:color w:val="000000"/>
        </w:rPr>
        <w:t>significant improvements in growth under saline conditions. Elevated Na⁺ levels in saline soils disrupt nutrient balance by reducing Ca²⁺ and K⁺ availability; however, potassium fertilization mitigates these effects by enhancing stomatal regulation, osmoti</w:t>
      </w:r>
      <w:r>
        <w:rPr>
          <w:color w:val="000000"/>
        </w:rPr>
        <w:t>c balance, protein synthesis, and energy metabolism. Consequently, potassium application increases grain yield while reducing Na⁺ accumulation in plant tissues (</w:t>
      </w:r>
      <w:r>
        <w:rPr>
          <w:b/>
          <w:bCs/>
          <w:color w:val="000000"/>
        </w:rPr>
        <w:t>Heidari &amp; Jamshidi, 2011</w:t>
      </w:r>
      <w:r>
        <w:rPr>
          <w:color w:val="000000"/>
        </w:rPr>
        <w:t>).</w:t>
      </w:r>
    </w:p>
    <w:p w:rsidR="00040D52" w:rsidRDefault="004D14CF">
      <w:pPr>
        <w:spacing w:after="111" w:line="360" w:lineRule="auto"/>
        <w:ind w:left="426" w:right="403"/>
        <w:rPr>
          <w:color w:val="000000"/>
        </w:rPr>
      </w:pPr>
      <w:r>
        <w:rPr>
          <w:color w:val="000000"/>
        </w:rPr>
        <w:t xml:space="preserve">Similarly, the combined application of silicon and potassium humate </w:t>
      </w:r>
      <w:r>
        <w:rPr>
          <w:color w:val="000000"/>
        </w:rPr>
        <w:t>enhances physiological and biochemical performance under salinity stress (</w:t>
      </w:r>
      <w:r>
        <w:rPr>
          <w:b/>
          <w:bCs/>
          <w:color w:val="000000"/>
        </w:rPr>
        <w:t xml:space="preserve">Hassanein </w:t>
      </w:r>
      <w:r>
        <w:rPr>
          <w:b/>
          <w:bCs/>
          <w:i/>
          <w:iCs/>
          <w:color w:val="000000"/>
        </w:rPr>
        <w:t>et al.</w:t>
      </w:r>
      <w:r>
        <w:rPr>
          <w:b/>
          <w:bCs/>
          <w:color w:val="000000"/>
        </w:rPr>
        <w:t>, 2017</w:t>
      </w:r>
      <w:r>
        <w:rPr>
          <w:color w:val="000000"/>
        </w:rPr>
        <w:t>). Boron, an essential micronutrient, further alleviates salinity-induced damage by maintaining membrane integrity, enhancing potassium uptake, and regulating a</w:t>
      </w:r>
      <w:r>
        <w:rPr>
          <w:color w:val="000000"/>
        </w:rPr>
        <w:t>ntioxidant activity, thereby improving yield (</w:t>
      </w:r>
      <w:r>
        <w:rPr>
          <w:b/>
          <w:bCs/>
          <w:color w:val="000000"/>
        </w:rPr>
        <w:t xml:space="preserve">Sezer, 2014; Salem, 2020; Riaz </w:t>
      </w:r>
      <w:r>
        <w:rPr>
          <w:b/>
          <w:bCs/>
          <w:i/>
          <w:iCs/>
          <w:color w:val="000000"/>
        </w:rPr>
        <w:t>et al.</w:t>
      </w:r>
      <w:r>
        <w:rPr>
          <w:b/>
          <w:bCs/>
          <w:color w:val="000000"/>
        </w:rPr>
        <w:t>, 2018</w:t>
      </w:r>
      <w:r>
        <w:rPr>
          <w:color w:val="000000"/>
        </w:rPr>
        <w:t>). Organic amendments represent a sustainable and effective approach to salinity management, as they improve soil physicochemical properties and nutrient dynamics. Inp</w:t>
      </w:r>
      <w:r>
        <w:rPr>
          <w:color w:val="000000"/>
        </w:rPr>
        <w:t>uts such as vermicompost, farmyard manure, and plant residues enhance soil structure, reduce salinity effects, and promote plant growth (</w:t>
      </w:r>
      <w:r>
        <w:rPr>
          <w:b/>
          <w:bCs/>
          <w:color w:val="000000"/>
        </w:rPr>
        <w:t xml:space="preserve">Diatta, 2016; Araújo </w:t>
      </w:r>
      <w:r>
        <w:rPr>
          <w:b/>
          <w:bCs/>
          <w:i/>
          <w:iCs/>
          <w:color w:val="000000"/>
        </w:rPr>
        <w:t>et al.</w:t>
      </w:r>
      <w:r>
        <w:rPr>
          <w:b/>
          <w:bCs/>
          <w:color w:val="000000"/>
        </w:rPr>
        <w:t>, 2022</w:t>
      </w:r>
      <w:r>
        <w:rPr>
          <w:color w:val="000000"/>
        </w:rPr>
        <w:t>). Among these, biochar has gained considerable attention due to its ability to improv</w:t>
      </w:r>
      <w:r>
        <w:rPr>
          <w:color w:val="000000"/>
        </w:rPr>
        <w:t>e cation exchange capacity, water retention, soil structure, and nutrient availability. It also reduces Na⁺ and Cl⁻ uptake while enhancing potassium availability and chlorophyll synthesis (</w:t>
      </w:r>
      <w:r>
        <w:rPr>
          <w:b/>
          <w:bCs/>
          <w:color w:val="000000"/>
        </w:rPr>
        <w:t xml:space="preserve">Bamminger </w:t>
      </w:r>
      <w:r>
        <w:rPr>
          <w:b/>
          <w:bCs/>
          <w:i/>
          <w:iCs/>
          <w:color w:val="000000"/>
        </w:rPr>
        <w:t>et al.</w:t>
      </w:r>
      <w:r>
        <w:rPr>
          <w:b/>
          <w:bCs/>
          <w:color w:val="000000"/>
        </w:rPr>
        <w:t xml:space="preserve">, 2016; Ding </w:t>
      </w:r>
      <w:r>
        <w:rPr>
          <w:b/>
          <w:bCs/>
          <w:i/>
          <w:iCs/>
          <w:color w:val="000000"/>
        </w:rPr>
        <w:t>et al.</w:t>
      </w:r>
      <w:r>
        <w:rPr>
          <w:b/>
          <w:bCs/>
          <w:color w:val="000000"/>
        </w:rPr>
        <w:t>, 2022</w:t>
      </w:r>
      <w:r>
        <w:rPr>
          <w:color w:val="000000"/>
        </w:rPr>
        <w:t>). Overall, the incorporat</w:t>
      </w:r>
      <w:r>
        <w:rPr>
          <w:color w:val="000000"/>
        </w:rPr>
        <w:t>ion of organic materials derived from agricultural and municipal by-products offers a cost-effective and environmentally sustainable strategy for mitigating salinity stress and improving soil health (</w:t>
      </w:r>
      <w:r>
        <w:rPr>
          <w:b/>
          <w:bCs/>
          <w:color w:val="000000"/>
        </w:rPr>
        <w:t xml:space="preserve">Meena </w:t>
      </w:r>
      <w:r>
        <w:rPr>
          <w:b/>
          <w:bCs/>
          <w:i/>
          <w:iCs/>
          <w:color w:val="000000"/>
        </w:rPr>
        <w:t>et al.</w:t>
      </w:r>
      <w:r>
        <w:rPr>
          <w:b/>
          <w:bCs/>
          <w:color w:val="000000"/>
        </w:rPr>
        <w:t>, 2018</w:t>
      </w:r>
      <w:r>
        <w:rPr>
          <w:color w:val="000000"/>
        </w:rPr>
        <w:t>).</w:t>
      </w:r>
    </w:p>
    <w:p w:rsidR="00040D52" w:rsidRDefault="004D14CF">
      <w:pPr>
        <w:spacing w:after="111" w:line="360" w:lineRule="auto"/>
        <w:ind w:left="426" w:right="403"/>
        <w:rPr>
          <w:b/>
          <w:bCs/>
          <w:color w:val="000000"/>
          <w:sz w:val="32"/>
          <w:szCs w:val="32"/>
        </w:rPr>
      </w:pPr>
      <w:r>
        <w:rPr>
          <w:b/>
          <w:bCs/>
          <w:color w:val="000000"/>
          <w:sz w:val="32"/>
          <w:szCs w:val="32"/>
        </w:rPr>
        <w:t>Conclusion and Future Perspectives</w:t>
      </w:r>
    </w:p>
    <w:p w:rsidR="00040D52" w:rsidRDefault="004D14CF">
      <w:pPr>
        <w:spacing w:after="111" w:line="360" w:lineRule="auto"/>
        <w:ind w:left="426" w:right="403"/>
        <w:rPr>
          <w:color w:val="000000"/>
        </w:rPr>
      </w:pPr>
      <w:r>
        <w:rPr>
          <w:color w:val="000000"/>
        </w:rPr>
        <w:t>Millets, particularly pearl millet and finger millet, are inherently climate-resilient crops with a remarkable capacity to thrive under harsh environmental conditions, including salinity. However, despite their adaptive potential, salinity stress remains a</w:t>
      </w:r>
      <w:r>
        <w:rPr>
          <w:color w:val="000000"/>
        </w:rPr>
        <w:t xml:space="preserve"> critical constraint, significantly impairing plant growth, physiological efficiency, and yield stability, thereby limiting overall productivity in affected regions. Compared to major cereals, the underexplored nature of salinity responses in millets highl</w:t>
      </w:r>
      <w:r>
        <w:rPr>
          <w:color w:val="000000"/>
        </w:rPr>
        <w:t xml:space="preserve">ights a substantial knowledge gap that warrants intensified research efforts. Future strategies should prioritize the systematic collection, characterization, and utilization of diverse </w:t>
      </w:r>
      <w:r>
        <w:rPr>
          <w:color w:val="000000"/>
        </w:rPr>
        <w:lastRenderedPageBreak/>
        <w:t>germplasm resources to identify novel genetic variability associated w</w:t>
      </w:r>
      <w:r>
        <w:rPr>
          <w:color w:val="000000"/>
        </w:rPr>
        <w:t>ith salinity tolerance. The development of robust and high-throughput phenotyping platforms, coupled with precise screening methodologies, will be essential for accurately dissecting stress-adaptive traits. Furthermore, whole-genome sequencing and function</w:t>
      </w:r>
      <w:r>
        <w:rPr>
          <w:color w:val="000000"/>
        </w:rPr>
        <w:t>al genomics approaches are pivotal for elucidating the complex genetic architecture underlying salinity tolerance and for facilitating ideotype-based crop improvement.</w:t>
      </w:r>
    </w:p>
    <w:p w:rsidR="00040D52" w:rsidRDefault="004D14CF">
      <w:pPr>
        <w:spacing w:after="111" w:line="360" w:lineRule="auto"/>
        <w:ind w:left="426" w:right="403"/>
        <w:rPr>
          <w:color w:val="000000"/>
        </w:rPr>
      </w:pPr>
      <w:r>
        <w:rPr>
          <w:color w:val="000000"/>
        </w:rPr>
        <w:t>Given the escalating global demand for food production, alongside the expanding prevalen</w:t>
      </w:r>
      <w:r>
        <w:rPr>
          <w:color w:val="000000"/>
        </w:rPr>
        <w:t xml:space="preserve">ce of soil salinity due to climate change and unsustainable agricultural practices, enhancing salinity tolerance in millets has become an urgent priority. The polygenic nature of salinity tolerance, often compounded by concurrent stresses such as drought, </w:t>
      </w:r>
      <w:r>
        <w:rPr>
          <w:color w:val="000000"/>
        </w:rPr>
        <w:t>heat, and nutrient imbalances, necessitates integrated and multidisciplinary approaches for effective crop improvement. Recent advancements in biotechnological and breeding tools, including genomic selection, high-throughput phenotyping, CRISPR/Cas-mediate</w:t>
      </w:r>
      <w:r>
        <w:rPr>
          <w:color w:val="000000"/>
        </w:rPr>
        <w:t>d genome editing, speed breeding, and synthetic biology, offer transformative potential for accelerating the development of salt-tolerant millet cultivars. The integration of these modern approaches with conventional breeding and agronomic management pract</w:t>
      </w:r>
      <w:r>
        <w:rPr>
          <w:color w:val="000000"/>
        </w:rPr>
        <w:t>ices will enable the development of resilient, high-yielding, and nutritionally superior varieties. In conclusion, a holistic and synergistic framework combining genetic, physiological, and technological innovations is imperative to unlock the full potenti</w:t>
      </w:r>
      <w:r>
        <w:rPr>
          <w:color w:val="000000"/>
        </w:rPr>
        <w:t xml:space="preserve">al of millets as sustainable crops for saline environments, thereby contributing to global food security and climate-resilient agriculture. </w:t>
      </w:r>
    </w:p>
    <w:p w:rsidR="00775449" w:rsidRDefault="00775449" w:rsidP="00775449">
      <w:pPr>
        <w:rPr>
          <w:highlight w:val="yellow"/>
        </w:rPr>
      </w:pPr>
      <w:r>
        <w:rPr>
          <w:highlight w:val="yellow"/>
        </w:rPr>
        <w:t>Disclaimer (Artificial intelligence)</w:t>
      </w:r>
    </w:p>
    <w:p w:rsidR="00775449" w:rsidRDefault="00775449" w:rsidP="00775449">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775449" w:rsidRDefault="00775449" w:rsidP="00775449"/>
    <w:p w:rsidR="00775449" w:rsidRDefault="00775449">
      <w:pPr>
        <w:spacing w:after="111" w:line="360" w:lineRule="auto"/>
        <w:ind w:left="426" w:right="403"/>
        <w:rPr>
          <w:color w:val="000000"/>
        </w:rPr>
      </w:pPr>
      <w:bookmarkStart w:id="0" w:name="_GoBack"/>
      <w:bookmarkEnd w:id="0"/>
    </w:p>
    <w:p w:rsidR="00040D52" w:rsidRDefault="004D14CF">
      <w:pPr>
        <w:spacing w:line="480" w:lineRule="auto"/>
        <w:ind w:left="993" w:right="545" w:hanging="720"/>
        <w:rPr>
          <w:b/>
          <w:bCs/>
          <w:color w:val="000000"/>
        </w:rPr>
      </w:pPr>
      <w:r>
        <w:rPr>
          <w:b/>
          <w:bCs/>
          <w:color w:val="000000"/>
        </w:rPr>
        <w:t>ACKNOWLEDGMENTS</w:t>
      </w:r>
    </w:p>
    <w:p w:rsidR="00040D52" w:rsidRDefault="004D14CF">
      <w:pPr>
        <w:spacing w:line="480" w:lineRule="auto"/>
        <w:ind w:left="426" w:right="545"/>
        <w:rPr>
          <w:color w:val="000000"/>
        </w:rPr>
      </w:pPr>
      <w:r>
        <w:rPr>
          <w:color w:val="000000"/>
        </w:rPr>
        <w:t>We gratefully acknowledge the faculties of genetics and plant breeding of Lovely Professional Unive</w:t>
      </w:r>
      <w:r>
        <w:rPr>
          <w:color w:val="000000"/>
        </w:rPr>
        <w:t>rsity, Phagwara, Kapurthala, Punjab, India.</w:t>
      </w:r>
    </w:p>
    <w:p w:rsidR="00040D52" w:rsidRDefault="004D14CF">
      <w:pPr>
        <w:pStyle w:val="Heading1"/>
        <w:spacing w:line="360" w:lineRule="auto"/>
        <w:ind w:left="2" w:firstLine="1"/>
        <w:sectPr w:rsidR="00040D52">
          <w:pgSz w:w="11906" w:h="16838"/>
          <w:pgMar w:top="1276" w:right="1440" w:bottom="1134" w:left="1440" w:header="709" w:footer="709" w:gutter="0"/>
          <w:cols w:space="720"/>
        </w:sectPr>
      </w:pPr>
      <w:r>
        <w:t>LITERATURE CITED</w:t>
      </w:r>
    </w:p>
    <w:p w:rsidR="00040D52" w:rsidRDefault="004D14CF">
      <w:pPr>
        <w:spacing w:line="480" w:lineRule="auto"/>
        <w:ind w:left="993" w:right="545" w:hanging="720"/>
        <w:rPr>
          <w:color w:val="000000"/>
        </w:rPr>
      </w:pPr>
      <w:r>
        <w:rPr>
          <w:color w:val="000000"/>
        </w:rPr>
        <w:lastRenderedPageBreak/>
        <w:t>Abbas, R., Rasul, S., Aslam, K., Baber, M., Shahid, M., Mubeen, F., et al. (2019). Halotolerant PGPR: A hope for cultivation of saline soils. Journal of King Saud University – Scienc</w:t>
      </w:r>
      <w:r>
        <w:rPr>
          <w:color w:val="000000"/>
        </w:rPr>
        <w:t>e, 31(4), 1195–1201.</w:t>
      </w:r>
    </w:p>
    <w:p w:rsidR="00040D52" w:rsidRDefault="004D14CF">
      <w:pPr>
        <w:spacing w:line="480" w:lineRule="auto"/>
        <w:ind w:left="993" w:right="545" w:hanging="720"/>
        <w:rPr>
          <w:color w:val="000000"/>
        </w:rPr>
      </w:pPr>
      <w:r>
        <w:rPr>
          <w:color w:val="000000"/>
        </w:rPr>
        <w:t>Al-Hilal, A. A. (1999). Plant physiology under drought and salinity stress. King Saud University, Library Affairs.</w:t>
      </w:r>
    </w:p>
    <w:p w:rsidR="00040D52" w:rsidRDefault="004D14CF">
      <w:pPr>
        <w:spacing w:line="480" w:lineRule="auto"/>
        <w:ind w:left="993" w:right="545" w:hanging="720"/>
        <w:rPr>
          <w:color w:val="000000"/>
        </w:rPr>
      </w:pPr>
      <w:r>
        <w:rPr>
          <w:color w:val="000000"/>
        </w:rPr>
        <w:t>Ahmad, M., Zahir, Z. A., Khalid, M., Nazli, F., &amp; Arshad, M. (2013). Efficacy of Rhizobium and Pseudomonas strains to im</w:t>
      </w:r>
      <w:r>
        <w:rPr>
          <w:color w:val="000000"/>
        </w:rPr>
        <w:t>prove physiology, ionic balance and quality of mung bean under salt-affected conditions on farmer’s fields. Plant Physiology and Biochemistry, 63, 170–176. https://doi.org/10.1016/j.plaphy.2012.11.024</w:t>
      </w:r>
    </w:p>
    <w:p w:rsidR="00040D52" w:rsidRDefault="004D14CF">
      <w:pPr>
        <w:spacing w:line="480" w:lineRule="auto"/>
        <w:ind w:left="993" w:right="545" w:hanging="720"/>
        <w:rPr>
          <w:color w:val="000000"/>
        </w:rPr>
      </w:pPr>
      <w:r>
        <w:rPr>
          <w:color w:val="000000"/>
        </w:rPr>
        <w:t>Ahmed, F., Baloch, D. M., Hassan, M. J., &amp; Ahmed, N. (2</w:t>
      </w:r>
      <w:r>
        <w:rPr>
          <w:color w:val="000000"/>
        </w:rPr>
        <w:t>013). Role of plant growth regulators in improving oil quantity and quality of sunflower hybrids under drought stress. Biologia, 59, 315–322.</w:t>
      </w:r>
    </w:p>
    <w:p w:rsidR="00040D52" w:rsidRDefault="004D14CF">
      <w:pPr>
        <w:spacing w:line="480" w:lineRule="auto"/>
        <w:ind w:left="993" w:right="545" w:hanging="720"/>
        <w:rPr>
          <w:color w:val="000000"/>
        </w:rPr>
      </w:pPr>
      <w:r>
        <w:rPr>
          <w:color w:val="000000"/>
        </w:rPr>
        <w:t>Al Hassan, M., Morosan, M., López-Gresa, M. D. P., Prohens, J., Vicente, O., &amp; Boscaiu, M. (2016). Salinity-induce</w:t>
      </w:r>
      <w:r>
        <w:rPr>
          <w:color w:val="000000"/>
        </w:rPr>
        <w:t>d variation in biochemical markers provides insight into salt tolerance mechanisms in Phaseolus species. International Journal of Molecular Sciences, 17(9), 1582. https://doi.org/10.3390/ijms17091582</w:t>
      </w:r>
    </w:p>
    <w:p w:rsidR="00040D52" w:rsidRDefault="004D14CF">
      <w:pPr>
        <w:spacing w:line="480" w:lineRule="auto"/>
        <w:ind w:left="993" w:right="545" w:hanging="720"/>
        <w:rPr>
          <w:color w:val="000000"/>
        </w:rPr>
      </w:pPr>
      <w:r>
        <w:rPr>
          <w:color w:val="000000"/>
        </w:rPr>
        <w:t xml:space="preserve">Ambavane, A. R., Sawardekar, S. V., Sawantdesai, S. A., </w:t>
      </w:r>
      <w:r>
        <w:rPr>
          <w:color w:val="000000"/>
        </w:rPr>
        <w:t>&amp; Gokhale, N. B. (2015). Mutagenic effectiveness of gamma rays and its impact on quantitative traits in finger millet (Eleusine coracana). Journal of Radiation Research and Applied Sciences, 8, 120–125. https://doi.org/10.1016/j.jrras.2014.12.004</w:t>
      </w:r>
    </w:p>
    <w:p w:rsidR="00040D52" w:rsidRDefault="004D14CF">
      <w:pPr>
        <w:spacing w:line="480" w:lineRule="auto"/>
        <w:ind w:left="993" w:right="545" w:hanging="720"/>
        <w:rPr>
          <w:color w:val="000000"/>
        </w:rPr>
      </w:pPr>
      <w:r>
        <w:rPr>
          <w:color w:val="000000"/>
        </w:rPr>
        <w:t>Anjaneyulu, E., Reddy, P. S., Sunita, M. S., Kishor, P. B. K., &amp; Meriga, B. (2014). Salt tolerance and antioxidative enzyme activity in transgenic finger millet overexpressing SbVPPase. Journal of Plant Physiology, 171, 789–798. https://doi.org/10.1016/j.j</w:t>
      </w:r>
      <w:r>
        <w:rPr>
          <w:color w:val="000000"/>
        </w:rPr>
        <w:t>plph.2014.02.001</w:t>
      </w:r>
    </w:p>
    <w:p w:rsidR="00040D52" w:rsidRDefault="004D14CF">
      <w:pPr>
        <w:spacing w:line="480" w:lineRule="auto"/>
        <w:ind w:left="993" w:right="545" w:hanging="720"/>
        <w:rPr>
          <w:color w:val="000000"/>
        </w:rPr>
      </w:pPr>
      <w:r>
        <w:rPr>
          <w:color w:val="000000"/>
        </w:rPr>
        <w:lastRenderedPageBreak/>
        <w:t>Ashraf, M. A., Iqbal, M., Rasheed, R., Hussain, I., Riaz, M., &amp; Arif, M. S. (2018). Environmental stress and secondary metabolites in plants: An overview. In Plant Metabolites and Regulation Under Environmental Stress (pp. 153–167). Elsevi</w:t>
      </w:r>
      <w:r>
        <w:rPr>
          <w:color w:val="000000"/>
        </w:rPr>
        <w:t>er. https://doi.org/10.1016/B978-0-12-812689-9.00008-X</w:t>
      </w:r>
    </w:p>
    <w:p w:rsidR="00040D52" w:rsidRDefault="004D14CF">
      <w:pPr>
        <w:spacing w:line="480" w:lineRule="auto"/>
        <w:ind w:left="993" w:right="545" w:hanging="720"/>
        <w:rPr>
          <w:color w:val="000000"/>
        </w:rPr>
      </w:pPr>
      <w:r>
        <w:rPr>
          <w:color w:val="000000"/>
        </w:rPr>
        <w:t xml:space="preserve">Ashraf, M. F. M. R., &amp; Foolad, M. (2007). Roles of glycine betaine and proline in improving plant abiotic stress resistance. Environmental and Experimental Botany, 59, 206–216. </w:t>
      </w:r>
      <w:hyperlink r:id="rId10">
        <w:r>
          <w:rPr>
            <w:color w:val="0563C1"/>
            <w:u w:val="single"/>
          </w:rPr>
          <w:t>https://doi.org/10.1016/j.envexpbot.2005.12.006</w:t>
        </w:r>
      </w:hyperlink>
      <w:r>
        <w:rPr>
          <w:color w:val="000000"/>
        </w:rPr>
        <w:t>.</w:t>
      </w:r>
    </w:p>
    <w:p w:rsidR="00040D52" w:rsidRDefault="004D14CF">
      <w:pPr>
        <w:spacing w:line="480" w:lineRule="auto"/>
        <w:ind w:left="993" w:right="545" w:hanging="720"/>
        <w:rPr>
          <w:color w:val="000000"/>
        </w:rPr>
      </w:pPr>
      <w:r>
        <w:rPr>
          <w:color w:val="000000"/>
        </w:rPr>
        <w:t>Asaari, M. S. M., Mertens, S., Dhondt, S., et al. (2019). Analysis of hyperspectral images for detection of drought stress and recovery in maize plants in a high-th</w:t>
      </w:r>
      <w:r>
        <w:rPr>
          <w:color w:val="000000"/>
        </w:rPr>
        <w:t>roughput phenotyping platform. Computers and Electronics in Agriculture, 162, 749–758.</w:t>
      </w:r>
    </w:p>
    <w:p w:rsidR="00040D52" w:rsidRDefault="004D14CF">
      <w:pPr>
        <w:spacing w:line="480" w:lineRule="auto"/>
        <w:ind w:left="993" w:right="545" w:hanging="720"/>
        <w:rPr>
          <w:color w:val="000000"/>
        </w:rPr>
      </w:pPr>
      <w:r>
        <w:rPr>
          <w:color w:val="000000"/>
        </w:rPr>
        <w:t>Baloda, A., Madanpotra, S. S., &amp; Jaiwa, P. K. (2017). Genetic transformation of mungbean for enhanced salt and drought tolerance via glycine betaine synthesis. Journal o</w:t>
      </w:r>
      <w:r>
        <w:rPr>
          <w:color w:val="000000"/>
        </w:rPr>
        <w:t>f Plant Stress Physiology, 3, 5.</w:t>
      </w:r>
    </w:p>
    <w:p w:rsidR="00040D52" w:rsidRDefault="004D14CF">
      <w:pPr>
        <w:spacing w:line="480" w:lineRule="auto"/>
        <w:ind w:left="993" w:right="545" w:hanging="720"/>
        <w:rPr>
          <w:color w:val="000000"/>
        </w:rPr>
      </w:pPr>
      <w:r>
        <w:rPr>
          <w:color w:val="000000"/>
        </w:rPr>
        <w:t xml:space="preserve">Banavath, J. N., Chakradhar, T., Pandit, V., Konduru, S., Guduru, K. K., Akila, C. S., et al. (2018). Overexpression of AtHDG11 improves drought and salinity tolerance in peanut. Frontiers in Chemistry, 6, 34. </w:t>
      </w:r>
      <w:hyperlink r:id="rId11">
        <w:r>
          <w:rPr>
            <w:color w:val="0563C1"/>
            <w:u w:val="single"/>
          </w:rPr>
          <w:t>https://doi.org/10.3389/fchem.2018.00034</w:t>
        </w:r>
      </w:hyperlink>
    </w:p>
    <w:p w:rsidR="00040D52" w:rsidRDefault="004D14CF">
      <w:pPr>
        <w:spacing w:line="480" w:lineRule="auto"/>
        <w:ind w:left="993" w:right="545" w:hanging="720"/>
        <w:rPr>
          <w:color w:val="000000"/>
        </w:rPr>
      </w:pPr>
      <w:r>
        <w:rPr>
          <w:color w:val="000000"/>
        </w:rPr>
        <w:t xml:space="preserve">Beauchêne, K., Leroy, F., Fournier, A., et al. (2019). Management and characterization of abiotic stress via PhénoField®, a high-throughput field phenotyping platform. </w:t>
      </w:r>
      <w:r>
        <w:rPr>
          <w:color w:val="000000"/>
        </w:rPr>
        <w:t>Frontiers in Plant Science, 10, 904.</w:t>
      </w:r>
    </w:p>
    <w:p w:rsidR="00040D52" w:rsidRDefault="004D14CF">
      <w:pPr>
        <w:spacing w:line="480" w:lineRule="auto"/>
        <w:ind w:left="993" w:right="545" w:hanging="720"/>
        <w:rPr>
          <w:color w:val="000000"/>
        </w:rPr>
      </w:pPr>
      <w:r>
        <w:rPr>
          <w:color w:val="000000"/>
        </w:rPr>
        <w:t>Biradar, H., Karan, R., &amp; Subudhi, P. K. (2018). Transgene pyramiding enhances salt tolerance in rice. Frontiers in Plant Science, 9, 1304. https://doi.org/10.3389/fpls.2018.01304</w:t>
      </w:r>
    </w:p>
    <w:p w:rsidR="00040D52" w:rsidRDefault="004D14CF">
      <w:pPr>
        <w:spacing w:line="480" w:lineRule="auto"/>
        <w:ind w:left="993" w:right="545" w:hanging="720"/>
        <w:rPr>
          <w:color w:val="000000"/>
        </w:rPr>
      </w:pPr>
      <w:r>
        <w:rPr>
          <w:color w:val="000000"/>
        </w:rPr>
        <w:t>Bouzroud, S., Gasparini, K., Hu, G., Ba</w:t>
      </w:r>
      <w:r>
        <w:rPr>
          <w:color w:val="000000"/>
        </w:rPr>
        <w:t>rbosa, M. A. M., Rosa, B. L., Fahr, M., et al. (2020). CRISPR/Cas9-mediated modification of SlARF4 enhances salinity tolerance in tomato. Genes, 11(3), 272. https://doi.org/10.3390/genes11030272</w:t>
      </w:r>
    </w:p>
    <w:p w:rsidR="00040D52" w:rsidRDefault="004D14CF">
      <w:pPr>
        <w:spacing w:line="480" w:lineRule="auto"/>
        <w:ind w:left="993" w:right="545" w:hanging="720"/>
        <w:rPr>
          <w:color w:val="000000"/>
        </w:rPr>
      </w:pPr>
      <w:r>
        <w:rPr>
          <w:color w:val="000000"/>
        </w:rPr>
        <w:lastRenderedPageBreak/>
        <w:t>Bray, E. A., Bailey-Serres, J., &amp; Weretilnyk, E. (2000). Resp</w:t>
      </w:r>
      <w:r>
        <w:rPr>
          <w:color w:val="000000"/>
        </w:rPr>
        <w:t>onses to abiotic stresses. In B. Buchanan, W. Gruissem, &amp; R. Jones (Eds.), Biochemistry and molecular biology of plants.</w:t>
      </w:r>
    </w:p>
    <w:p w:rsidR="00040D52" w:rsidRDefault="004D14CF">
      <w:pPr>
        <w:spacing w:line="480" w:lineRule="auto"/>
        <w:ind w:left="993" w:right="545" w:hanging="720"/>
        <w:rPr>
          <w:color w:val="000000"/>
        </w:rPr>
      </w:pPr>
      <w:r>
        <w:rPr>
          <w:color w:val="000000"/>
        </w:rPr>
        <w:t>Brutnell, T. P., Bennetzen, J. L., &amp; Vogel, J. P. (2015). Brachypodium distachyon and Setaria viridis: Model genetic systems for the gr</w:t>
      </w:r>
      <w:r>
        <w:rPr>
          <w:color w:val="000000"/>
        </w:rPr>
        <w:t>asses. Annual Review of Plant Biology, 66, 465–485.</w:t>
      </w:r>
    </w:p>
    <w:p w:rsidR="00040D52" w:rsidRDefault="004D14CF">
      <w:pPr>
        <w:spacing w:line="480" w:lineRule="auto"/>
        <w:ind w:left="993" w:right="545" w:hanging="720"/>
        <w:rPr>
          <w:color w:val="000000"/>
        </w:rPr>
      </w:pPr>
      <w:r>
        <w:rPr>
          <w:color w:val="000000"/>
        </w:rPr>
        <w:t>Brutnell, T. P., Wang, L., Swartwood, K., Goldschmidt, A., Jackson, D., Zhu, X., Kellogg, E., &amp; van Eck, J. (2010). Setaria viridis: A model for C4 photosynthesis. The Plant Cell, 22, 2537–2544.</w:t>
      </w:r>
    </w:p>
    <w:p w:rsidR="00040D52" w:rsidRDefault="004D14CF">
      <w:pPr>
        <w:spacing w:line="480" w:lineRule="auto"/>
        <w:ind w:left="993" w:right="545" w:hanging="720"/>
        <w:rPr>
          <w:color w:val="000000"/>
        </w:rPr>
      </w:pPr>
      <w:r>
        <w:rPr>
          <w:color w:val="000000"/>
        </w:rPr>
        <w:t>Busemeyer, L., Mentrup, D., Möller, K., Wunder, E., Alheit, K., Hahn, V., et al. (2013). BreedVision—a multi-sensor platform for non-destructive field-based phenotyping in plant breeding. Sensors, 13(3), 2830–2847.</w:t>
      </w:r>
    </w:p>
    <w:p w:rsidR="00040D52" w:rsidRDefault="004D14CF">
      <w:pPr>
        <w:spacing w:line="480" w:lineRule="auto"/>
        <w:ind w:left="993" w:right="545" w:hanging="720"/>
        <w:rPr>
          <w:color w:val="000000"/>
        </w:rPr>
      </w:pPr>
      <w:r>
        <w:rPr>
          <w:color w:val="000000"/>
        </w:rPr>
        <w:t>Chapman, J. M., Muhlemann, J. K., Gayomba</w:t>
      </w:r>
      <w:r>
        <w:rPr>
          <w:color w:val="000000"/>
        </w:rPr>
        <w:t>, S. R., &amp; Muday, G. K. (2019). RBOH-dependent ROS synthesis and ROS scavenging by plant specialized metabolites to modulate plant development and stress responses. Chemical Research in Toxicology, 32(3), 370–396.</w:t>
      </w:r>
    </w:p>
    <w:p w:rsidR="00040D52" w:rsidRDefault="004D14CF">
      <w:pPr>
        <w:spacing w:line="480" w:lineRule="auto"/>
        <w:ind w:left="993" w:right="545" w:hanging="720"/>
        <w:rPr>
          <w:color w:val="000000"/>
        </w:rPr>
      </w:pPr>
      <w:r>
        <w:rPr>
          <w:color w:val="000000"/>
        </w:rPr>
        <w:t>Chakraborty, K., Sairam, R. K., &amp; Bhattach</w:t>
      </w:r>
      <w:r>
        <w:rPr>
          <w:color w:val="000000"/>
        </w:rPr>
        <w:t>arya, R. C. (2012). Differential expression of SOS pathway genes determines salinity tolerance in Brassica. Plant Physiology and Biochemistry, 51, 90–101. https://doi.org/10.1016/j.plaphy.2011.10.001</w:t>
      </w:r>
    </w:p>
    <w:p w:rsidR="00040D52" w:rsidRDefault="004D14CF">
      <w:pPr>
        <w:spacing w:line="480" w:lineRule="auto"/>
        <w:ind w:left="993" w:right="545" w:hanging="720"/>
        <w:rPr>
          <w:color w:val="000000"/>
        </w:rPr>
      </w:pPr>
      <w:r>
        <w:rPr>
          <w:color w:val="000000"/>
        </w:rPr>
        <w:t xml:space="preserve">Chankaew, S., Isemura, T., Naito, K., Ogiso-Tanaka, E., </w:t>
      </w:r>
      <w:r>
        <w:rPr>
          <w:color w:val="000000"/>
        </w:rPr>
        <w:t>Tomooka, N., Somta, P., et al. (2014). QTL mapping for salinity tolerance in Vigna marina. Theoretical and Applied Genetics, 127, 691–702. https://doi.org/10.1007/s00122-013-2251-1</w:t>
      </w:r>
    </w:p>
    <w:p w:rsidR="00040D52" w:rsidRDefault="004D14CF">
      <w:pPr>
        <w:spacing w:line="480" w:lineRule="auto"/>
        <w:ind w:left="993" w:right="545" w:hanging="720"/>
        <w:rPr>
          <w:color w:val="000000"/>
        </w:rPr>
      </w:pPr>
      <w:r>
        <w:rPr>
          <w:color w:val="000000"/>
        </w:rPr>
        <w:lastRenderedPageBreak/>
        <w:t xml:space="preserve">Char, S. N., Wei, J., Mu, Q., Li, X., Zhang, Z. J., Yu, J., et al. (2020). </w:t>
      </w:r>
      <w:r>
        <w:rPr>
          <w:color w:val="000000"/>
        </w:rPr>
        <w:t>CRISPR/Cas9-mediated targeted mutagenesis in sorghum. Plant Biotechnology Journal, 18, 319. https://doi.org/10.1111/pbi.13229</w:t>
      </w:r>
    </w:p>
    <w:p w:rsidR="00040D52" w:rsidRDefault="004D14CF">
      <w:pPr>
        <w:spacing w:line="480" w:lineRule="auto"/>
        <w:ind w:left="993" w:right="545" w:hanging="720"/>
        <w:rPr>
          <w:color w:val="000000"/>
        </w:rPr>
      </w:pPr>
      <w:r>
        <w:rPr>
          <w:color w:val="000000"/>
        </w:rPr>
        <w:t>Chen, L., Wang, W. S., Liu, Q., Dong, R. R., Li, Y. J., Chen, T. T., et al. (2019). Overexpression of UGT76E12 enhances stress tol</w:t>
      </w:r>
      <w:r>
        <w:rPr>
          <w:color w:val="000000"/>
        </w:rPr>
        <w:t>erance in plants. Biologia Plantarum, 63, 328–334. https://doi.org/10.32615/bp.2019.038</w:t>
      </w:r>
    </w:p>
    <w:p w:rsidR="00040D52" w:rsidRDefault="004D14CF">
      <w:pPr>
        <w:spacing w:line="480" w:lineRule="auto"/>
        <w:ind w:left="993" w:right="545" w:hanging="720"/>
        <w:rPr>
          <w:color w:val="000000"/>
        </w:rPr>
      </w:pPr>
      <w:r>
        <w:rPr>
          <w:color w:val="000000"/>
        </w:rPr>
        <w:t>Cheng, Z., Sun, Y., Yang, S., Zhi, H., Yin, T., Ma, X., et al. (2021). CRISPR-based haploid inducer development in foxtail millet. Plant Biotechnology Journal, 19, 1089</w:t>
      </w:r>
      <w:r>
        <w:rPr>
          <w:color w:val="000000"/>
        </w:rPr>
        <w:t>.</w:t>
      </w:r>
    </w:p>
    <w:p w:rsidR="00040D52" w:rsidRDefault="004D14CF">
      <w:pPr>
        <w:spacing w:line="480" w:lineRule="auto"/>
        <w:ind w:left="993" w:right="545" w:hanging="720"/>
        <w:rPr>
          <w:color w:val="000000"/>
        </w:rPr>
      </w:pPr>
      <w:r>
        <w:rPr>
          <w:color w:val="000000"/>
        </w:rPr>
        <w:t xml:space="preserve">Chemisquy, M. A., Giussani, L. M., Scataglini, M. A., Kellogg, E. A., &amp; Morrone, O. (2010). Phylogenetic studies favour the unification of Pennisetum, Cenchrus and Odontelytrum (Poaceae): A combined nuclear, plastid and morphological analysis. Annals of </w:t>
      </w:r>
      <w:r>
        <w:rPr>
          <w:color w:val="000000"/>
        </w:rPr>
        <w:t>Botany, 106, 107–130.</w:t>
      </w:r>
    </w:p>
    <w:p w:rsidR="00040D52" w:rsidRDefault="004D14CF">
      <w:pPr>
        <w:spacing w:line="480" w:lineRule="auto"/>
        <w:ind w:left="993" w:right="545" w:hanging="720"/>
        <w:rPr>
          <w:color w:val="000000"/>
        </w:rPr>
      </w:pPr>
      <w:r>
        <w:rPr>
          <w:color w:val="000000"/>
        </w:rPr>
        <w:t xml:space="preserve">Chivenge, P., Mabhaudhi, T., Modi, A. T., &amp; Mafongoya, P. (2015). The potential role of neglected and underutilised crop species under water-scarce conditions in Sub-Saharan Africa. International Journal of Environmental Research and </w:t>
      </w:r>
      <w:r>
        <w:rPr>
          <w:color w:val="000000"/>
        </w:rPr>
        <w:t>Public Health, 12, 5685–5711.</w:t>
      </w:r>
    </w:p>
    <w:p w:rsidR="00040D52" w:rsidRDefault="004D14CF">
      <w:pPr>
        <w:spacing w:line="480" w:lineRule="auto"/>
        <w:ind w:left="993" w:right="545" w:hanging="720"/>
        <w:rPr>
          <w:color w:val="000000"/>
        </w:rPr>
      </w:pPr>
      <w:r>
        <w:rPr>
          <w:color w:val="000000"/>
        </w:rPr>
        <w:t>Christian, M., Cermak, T., Doyle, E. L., Schmidt, C., Zhang, F., Hummel, A., et al. (2010). Targeting DNA double-strand breaks with TAL effector nucleases. Genetics, 186, 757–761. https://doi.org/10.1534/genetics.110.120717</w:t>
      </w:r>
    </w:p>
    <w:p w:rsidR="00040D52" w:rsidRDefault="004D14CF">
      <w:pPr>
        <w:spacing w:line="480" w:lineRule="auto"/>
        <w:ind w:left="993" w:right="545" w:hanging="720"/>
        <w:rPr>
          <w:color w:val="000000"/>
        </w:rPr>
      </w:pPr>
      <w:r>
        <w:rPr>
          <w:color w:val="000000"/>
        </w:rPr>
        <w:t>Cr</w:t>
      </w:r>
      <w:r>
        <w:rPr>
          <w:color w:val="000000"/>
        </w:rPr>
        <w:t>owe, J. H., Crowe, L. M., Carpenter, J. F., &amp; Aurell Wistrom, C. (1987). Stabilization of dry phospholipid bilayers and proteins by sugars. Biochemical Journal, 242, 1–10. https://doi.org/10.1042/bj2420001</w:t>
      </w:r>
    </w:p>
    <w:p w:rsidR="00040D52" w:rsidRDefault="004D14CF">
      <w:pPr>
        <w:spacing w:line="480" w:lineRule="auto"/>
        <w:ind w:left="993" w:right="545" w:hanging="720"/>
        <w:rPr>
          <w:color w:val="000000"/>
        </w:rPr>
      </w:pPr>
      <w:r>
        <w:rPr>
          <w:color w:val="000000"/>
        </w:rPr>
        <w:t>Daneshmand, F., Arvin, M. J., &amp; Kalantari, K. M. (</w:t>
      </w:r>
      <w:r>
        <w:rPr>
          <w:color w:val="000000"/>
        </w:rPr>
        <w:t>2010). Physiological responses to NaCl stress in wild potato species in vitro. Acta Physiologiae Plantarum, 32, 91–101. https://doi.org/10.1007/s11738-009-0384-2</w:t>
      </w:r>
    </w:p>
    <w:p w:rsidR="00040D52" w:rsidRDefault="004D14CF">
      <w:pPr>
        <w:spacing w:line="480" w:lineRule="auto"/>
        <w:ind w:left="993" w:right="545" w:hanging="720"/>
        <w:rPr>
          <w:color w:val="000000"/>
        </w:rPr>
      </w:pPr>
      <w:r>
        <w:rPr>
          <w:color w:val="000000"/>
        </w:rPr>
        <w:lastRenderedPageBreak/>
        <w:t>Das, P., Nutan, K. K., Singla-Pareek, S. L., &amp; Pareek, A. (2015). Omics-based approaches for d</w:t>
      </w:r>
      <w:r>
        <w:rPr>
          <w:color w:val="000000"/>
        </w:rPr>
        <w:t>eveloping salinity-tolerant rice cultivars. Frontiers in Plant Science, 6, 712. https://doi.org/10.3389/fpls.2015.00712</w:t>
      </w:r>
    </w:p>
    <w:p w:rsidR="00040D52" w:rsidRDefault="004D14CF">
      <w:pPr>
        <w:spacing w:line="480" w:lineRule="auto"/>
        <w:ind w:left="993" w:right="545" w:hanging="720"/>
        <w:rPr>
          <w:color w:val="000000"/>
        </w:rPr>
      </w:pPr>
      <w:r>
        <w:rPr>
          <w:color w:val="000000"/>
        </w:rPr>
        <w:t>Dell’Aversana, E., Cirillo, V., Van Oosten, M. J., Di Stasio, E., Saiano, K., Woodrow, P., et al. (2021). Ascophyllum nodosum extracts m</w:t>
      </w:r>
      <w:r>
        <w:rPr>
          <w:color w:val="000000"/>
        </w:rPr>
        <w:t>itigate salinity stress in tomato via nitrogen metabolism modulation. Plants, 10, 1044. https://doi.org/10.3390/plants10061044</w:t>
      </w:r>
    </w:p>
    <w:p w:rsidR="00040D52" w:rsidRDefault="004D14CF">
      <w:pPr>
        <w:spacing w:line="480" w:lineRule="auto"/>
        <w:ind w:left="993" w:right="545" w:hanging="720"/>
        <w:rPr>
          <w:color w:val="000000"/>
        </w:rPr>
      </w:pPr>
      <w:r>
        <w:rPr>
          <w:color w:val="000000"/>
        </w:rPr>
        <w:t xml:space="preserve">Deokar, A. A., &amp; Tar’an, B. (2016). Genome-wide analysis of aquaporin genes in chickpea (Cicer arietinum L.). Frontiers in Plant </w:t>
      </w:r>
      <w:r>
        <w:rPr>
          <w:color w:val="000000"/>
        </w:rPr>
        <w:t>Science, 7, 1802. https://doi.org/10.3389/fpls.2016.01802</w:t>
      </w:r>
    </w:p>
    <w:p w:rsidR="00040D52" w:rsidRDefault="004D14CF">
      <w:pPr>
        <w:spacing w:line="480" w:lineRule="auto"/>
        <w:ind w:left="993" w:right="545" w:hanging="720"/>
        <w:rPr>
          <w:color w:val="000000"/>
        </w:rPr>
      </w:pPr>
      <w:r>
        <w:rPr>
          <w:color w:val="000000"/>
        </w:rPr>
        <w:t>Desoky, E. S. M., Merwad, A. R. M., &amp; Rady, M. M. (2018). Natural biostimulants improve saline soil properties and sorghum performance. Communications in Soil Science and Plant Analysis, 49, 967–983</w:t>
      </w:r>
      <w:r>
        <w:rPr>
          <w:color w:val="000000"/>
        </w:rPr>
        <w:t>. https://doi.org/10.1080/00103624.2018.1448861</w:t>
      </w:r>
    </w:p>
    <w:p w:rsidR="00040D52" w:rsidRDefault="004D14CF">
      <w:pPr>
        <w:spacing w:line="480" w:lineRule="auto"/>
        <w:ind w:left="993" w:right="545" w:hanging="720"/>
        <w:rPr>
          <w:color w:val="000000"/>
        </w:rPr>
      </w:pPr>
      <w:r>
        <w:rPr>
          <w:color w:val="000000"/>
        </w:rPr>
        <w:t>Deinlein, U., Stephan, A. B., Horie, T., Luo, W., Xu, G., &amp; Schroeder, J. I. (2014). Plant salt-tolerance mechanisms. Trends in Plant Science, 19, 371–379.</w:t>
      </w:r>
    </w:p>
    <w:p w:rsidR="00040D52" w:rsidRDefault="004D14CF">
      <w:pPr>
        <w:spacing w:line="480" w:lineRule="auto"/>
        <w:ind w:left="993" w:right="545" w:hanging="720"/>
        <w:rPr>
          <w:color w:val="000000"/>
        </w:rPr>
      </w:pPr>
      <w:r>
        <w:rPr>
          <w:color w:val="000000"/>
        </w:rPr>
        <w:t>Dolferus, R., Ji, X., &amp; Richards, R. A. (2011). Abio</w:t>
      </w:r>
      <w:r>
        <w:rPr>
          <w:color w:val="000000"/>
        </w:rPr>
        <w:t>tic stress regulation of grain number in cereals. Plant Science, 181, 331–341. https://doi.org/10.1016/j.plantsci.2011.05.015</w:t>
      </w:r>
    </w:p>
    <w:p w:rsidR="00040D52" w:rsidRDefault="004D14CF">
      <w:pPr>
        <w:spacing w:line="480" w:lineRule="auto"/>
        <w:ind w:left="993" w:right="545" w:hanging="720"/>
        <w:rPr>
          <w:color w:val="000000"/>
        </w:rPr>
      </w:pPr>
      <w:r>
        <w:rPr>
          <w:color w:val="000000"/>
        </w:rPr>
        <w:t>Dong, O. X., Yu, S., Jain, R., Zhang, N., Duong, P. Q., Butler, C., et al. (2020). Marker-free carotenoid-enriched rice via CRISPR</w:t>
      </w:r>
      <w:r>
        <w:rPr>
          <w:color w:val="000000"/>
        </w:rPr>
        <w:t>-Cas9 gene insertion. Nature Communications, 11, 1178. https://doi.org/10.1038/s41467-020-14981-y</w:t>
      </w:r>
    </w:p>
    <w:p w:rsidR="00040D52" w:rsidRDefault="004D14CF">
      <w:pPr>
        <w:spacing w:line="480" w:lineRule="auto"/>
        <w:ind w:left="993" w:right="545" w:hanging="720"/>
        <w:rPr>
          <w:color w:val="000000"/>
        </w:rPr>
      </w:pPr>
      <w:r>
        <w:rPr>
          <w:color w:val="000000"/>
        </w:rPr>
        <w:t xml:space="preserve">Dugasa, M. T., Cao, F., Ibrahim, W., &amp; Wu, F. (2020). Physiological and biochemical responses to drought and salinity stress in wheat. Physiologia Plantarum, </w:t>
      </w:r>
      <w:r>
        <w:rPr>
          <w:color w:val="000000"/>
        </w:rPr>
        <w:t xml:space="preserve">165, 134–143. </w:t>
      </w:r>
      <w:hyperlink r:id="rId12">
        <w:r>
          <w:rPr>
            <w:color w:val="0563C1"/>
            <w:u w:val="single"/>
          </w:rPr>
          <w:t>https://doi.org/10.1111/ppl.13032</w:t>
        </w:r>
      </w:hyperlink>
    </w:p>
    <w:p w:rsidR="00040D52" w:rsidRDefault="004D14CF">
      <w:pPr>
        <w:spacing w:line="480" w:lineRule="auto"/>
        <w:ind w:left="993" w:right="545" w:hanging="720"/>
        <w:rPr>
          <w:color w:val="000000"/>
        </w:rPr>
      </w:pPr>
      <w:r>
        <w:rPr>
          <w:color w:val="000000"/>
        </w:rPr>
        <w:lastRenderedPageBreak/>
        <w:t>Dugasa, M. T., Cao, F., Ibrahim, W., &amp; Wu, F. (2019). Differences in physiological and biochemical characteristics in response to single and combined droug</w:t>
      </w:r>
      <w:r>
        <w:rPr>
          <w:color w:val="000000"/>
        </w:rPr>
        <w:t>ht and salinity stresses between wheat genotypes differing in salt tolerance. Physiologia Plantarum, 165(2), 134–143.</w:t>
      </w:r>
    </w:p>
    <w:p w:rsidR="00040D52" w:rsidRDefault="004D14CF">
      <w:pPr>
        <w:spacing w:line="480" w:lineRule="auto"/>
        <w:ind w:left="993" w:right="545" w:hanging="720"/>
        <w:rPr>
          <w:color w:val="000000"/>
        </w:rPr>
      </w:pPr>
      <w:r>
        <w:rPr>
          <w:color w:val="000000"/>
        </w:rPr>
        <w:t>Egamberdieva, D. (2012). Pseudomonas chlororaphis as a salt-tolerant plant growth-promoting bacterium. Acta Physiologiae Plantarum, 34, 75</w:t>
      </w:r>
      <w:r>
        <w:rPr>
          <w:color w:val="000000"/>
        </w:rPr>
        <w:t>1–756. https://doi.org/10.1007/s11738-011-0875-9</w:t>
      </w:r>
    </w:p>
    <w:p w:rsidR="00040D52" w:rsidRDefault="004D14CF">
      <w:pPr>
        <w:spacing w:line="480" w:lineRule="auto"/>
        <w:ind w:left="993" w:right="545" w:hanging="720"/>
        <w:rPr>
          <w:color w:val="000000"/>
        </w:rPr>
      </w:pPr>
      <w:r>
        <w:rPr>
          <w:color w:val="000000"/>
        </w:rPr>
        <w:t>Fan, W., Zhang, M., Zhang, H., &amp; Zhang, P. (2012). Enhanced abiotic stress tolerance in transgenic sweet potato expressing betaine aldehyde dehydrogenase. PLoS ONE, 7, e37344. https://doi.org/10.1371/journal</w:t>
      </w:r>
      <w:r>
        <w:rPr>
          <w:color w:val="000000"/>
        </w:rPr>
        <w:t>.pone.0037344</w:t>
      </w:r>
    </w:p>
    <w:p w:rsidR="00040D52" w:rsidRDefault="004D14CF">
      <w:pPr>
        <w:spacing w:line="480" w:lineRule="auto"/>
        <w:ind w:left="993" w:right="545" w:hanging="720"/>
        <w:rPr>
          <w:color w:val="000000"/>
        </w:rPr>
      </w:pPr>
      <w:r>
        <w:rPr>
          <w:color w:val="000000"/>
        </w:rPr>
        <w:t xml:space="preserve">FAO. (2019). Extent of salt-affected soils. FAO Soils Portal. Retrieved from </w:t>
      </w:r>
      <w:hyperlink r:id="rId13">
        <w:r>
          <w:rPr>
            <w:color w:val="0563C1"/>
            <w:u w:val="single"/>
          </w:rPr>
          <w:t>http://www.fao.org/soils-portal/soil-manageme</w:t>
        </w:r>
        <w:r>
          <w:rPr>
            <w:color w:val="0563C1"/>
            <w:u w:val="single"/>
          </w:rPr>
          <w:t>nt/management-of-some-problem-soils/salt-affected-soils</w:t>
        </w:r>
      </w:hyperlink>
      <w:r>
        <w:rPr>
          <w:color w:val="000000"/>
        </w:rPr>
        <w:t>.</w:t>
      </w:r>
    </w:p>
    <w:p w:rsidR="00040D52" w:rsidRDefault="004D14CF">
      <w:pPr>
        <w:spacing w:line="480" w:lineRule="auto"/>
        <w:ind w:left="993" w:right="545" w:hanging="720"/>
        <w:rPr>
          <w:color w:val="000000"/>
        </w:rPr>
      </w:pPr>
      <w:r>
        <w:rPr>
          <w:color w:val="000000"/>
        </w:rPr>
        <w:t xml:space="preserve">FAO. (2021). Global symposium on salt-affected soils. </w:t>
      </w:r>
      <w:hyperlink r:id="rId14">
        <w:r>
          <w:rPr>
            <w:color w:val="0563C1"/>
            <w:u w:val="single"/>
          </w:rPr>
          <w:t>https://www.fao.org/events/global-symposium-on-salt-affected-soils</w:t>
        </w:r>
      </w:hyperlink>
      <w:r>
        <w:rPr>
          <w:color w:val="000000"/>
        </w:rPr>
        <w:t xml:space="preserve">. </w:t>
      </w:r>
    </w:p>
    <w:p w:rsidR="00040D52" w:rsidRDefault="004D14CF">
      <w:pPr>
        <w:spacing w:line="480" w:lineRule="auto"/>
        <w:ind w:left="993" w:right="545" w:hanging="720"/>
        <w:rPr>
          <w:color w:val="000000"/>
        </w:rPr>
      </w:pPr>
      <w:r>
        <w:rPr>
          <w:color w:val="000000"/>
        </w:rPr>
        <w:t>Feng, Z., Zhang, B., Ding, W., Liu, X., Yang, D. L., Wei, P., et al. (2013). Efficient genome editing in plants using CRISPR/Cas systems. Cell Research, 23, 1229–1232. https://doi.org/10.</w:t>
      </w:r>
      <w:r>
        <w:rPr>
          <w:color w:val="000000"/>
        </w:rPr>
        <w:t>1038/cr.2013.114</w:t>
      </w:r>
    </w:p>
    <w:p w:rsidR="00040D52" w:rsidRDefault="004D14CF">
      <w:pPr>
        <w:spacing w:line="480" w:lineRule="auto"/>
        <w:ind w:left="993" w:right="545" w:hanging="720"/>
        <w:rPr>
          <w:color w:val="000000"/>
        </w:rPr>
      </w:pPr>
      <w:r>
        <w:rPr>
          <w:color w:val="000000"/>
        </w:rPr>
        <w:t xml:space="preserve">Ghosh, S., Watson, A., Gonzalez-Navarro, O. E., Ramirez-Gonzalez, R. H., Yanes, L., Mendoza-Suárez, M., et al. (2018). Speed breeding for crop improvement. Nature Protocols, 13, 2944–2963. </w:t>
      </w:r>
      <w:hyperlink r:id="rId15">
        <w:r>
          <w:rPr>
            <w:color w:val="0563C1"/>
            <w:u w:val="single"/>
          </w:rPr>
          <w:t>https://doi.org/10.1038/s41596-018-0072-z</w:t>
        </w:r>
      </w:hyperlink>
    </w:p>
    <w:p w:rsidR="00040D52" w:rsidRDefault="004D14CF">
      <w:pPr>
        <w:spacing w:line="480" w:lineRule="auto"/>
        <w:ind w:left="993" w:right="545" w:hanging="720"/>
        <w:rPr>
          <w:color w:val="000000"/>
        </w:rPr>
      </w:pPr>
      <w:r>
        <w:rPr>
          <w:color w:val="000000"/>
        </w:rPr>
        <w:t>Granier, C., Aguirrezabal, L., Chenu, K., et al. (2006). PHENOPSIS: An automated platform for reproducible phenotyping of plant responses to soil water def</w:t>
      </w:r>
      <w:r>
        <w:rPr>
          <w:color w:val="000000"/>
        </w:rPr>
        <w:t>icit in Arabidopsis thaliana. New Phytologist, 169, 623–635.</w:t>
      </w:r>
    </w:p>
    <w:p w:rsidR="00040D52" w:rsidRDefault="004D14CF">
      <w:pPr>
        <w:spacing w:line="480" w:lineRule="auto"/>
        <w:ind w:left="993" w:right="545" w:hanging="720"/>
        <w:rPr>
          <w:color w:val="000000"/>
        </w:rPr>
      </w:pPr>
      <w:r>
        <w:rPr>
          <w:color w:val="000000"/>
        </w:rPr>
        <w:lastRenderedPageBreak/>
        <w:t>Gupta, B., &amp; Huang, B. (2014). Mechanisms of salinity tolerance in plants. International Journal of Genomics, 2014, 701596. https://doi.org/10.1155/2014/701596</w:t>
      </w:r>
    </w:p>
    <w:p w:rsidR="00040D52" w:rsidRDefault="004D14CF">
      <w:pPr>
        <w:spacing w:line="480" w:lineRule="auto"/>
        <w:ind w:left="993" w:right="545" w:hanging="720"/>
        <w:rPr>
          <w:color w:val="000000"/>
        </w:rPr>
      </w:pPr>
      <w:r>
        <w:rPr>
          <w:color w:val="000000"/>
        </w:rPr>
        <w:t xml:space="preserve">Gupta, B. K., Sahoo, K. K., Ghosh, </w:t>
      </w:r>
      <w:r>
        <w:rPr>
          <w:color w:val="000000"/>
        </w:rPr>
        <w:t>A., Tripathi, A. K., Anwar, K., Das, P., et al. (2018). Glyoxalase pathway manipulation enhances stress tolerance in rice. Plant, Cell &amp; Environment, 41, 1186–1200. https://doi.org/10.1111/pce.12968</w:t>
      </w:r>
    </w:p>
    <w:p w:rsidR="00040D52" w:rsidRDefault="004D14CF">
      <w:pPr>
        <w:spacing w:line="480" w:lineRule="auto"/>
        <w:ind w:left="993" w:right="545" w:hanging="720"/>
        <w:rPr>
          <w:color w:val="000000"/>
        </w:rPr>
      </w:pPr>
      <w:r>
        <w:rPr>
          <w:color w:val="000000"/>
        </w:rPr>
        <w:t xml:space="preserve">Gupta, S. M., Arora, S., Mirza, N., Pande, A., Lata, C., </w:t>
      </w:r>
      <w:r>
        <w:rPr>
          <w:color w:val="000000"/>
        </w:rPr>
        <w:t>Puranik, S., et al. (2017). Finger millet: A solution to food insecurity under stressful environments. Frontiers in Plant Science, 8, 643.</w:t>
      </w:r>
    </w:p>
    <w:p w:rsidR="00040D52" w:rsidRDefault="004D14CF">
      <w:pPr>
        <w:spacing w:line="480" w:lineRule="auto"/>
        <w:ind w:left="993" w:right="545" w:hanging="720"/>
        <w:rPr>
          <w:color w:val="000000"/>
        </w:rPr>
      </w:pPr>
      <w:r>
        <w:rPr>
          <w:color w:val="000000"/>
        </w:rPr>
        <w:t>Hairmansis, A., Berger, B., Tester, M., &amp; Roy, S. J. (2014). Image-based phenotyping for non-destructive screening of</w:t>
      </w:r>
      <w:r>
        <w:rPr>
          <w:color w:val="000000"/>
        </w:rPr>
        <w:t xml:space="preserve"> salinity tolerance traits in rice. Rice, 7, 16.</w:t>
      </w:r>
    </w:p>
    <w:p w:rsidR="00040D52" w:rsidRDefault="004D14CF">
      <w:pPr>
        <w:spacing w:line="480" w:lineRule="auto"/>
        <w:ind w:left="993" w:right="545" w:hanging="720"/>
        <w:rPr>
          <w:color w:val="000000"/>
        </w:rPr>
      </w:pPr>
      <w:r>
        <w:rPr>
          <w:color w:val="000000"/>
        </w:rPr>
        <w:t>Hanin, M., Ebel, C., Ngom, M., Laplaze, L., &amp; Masmoudi, K. (2016). New insights on plant salt tolerance mechanisms and their potential use for breeding. Frontiers in Plant Science, 7, 1787.</w:t>
      </w:r>
    </w:p>
    <w:p w:rsidR="00040D52" w:rsidRDefault="004D14CF">
      <w:pPr>
        <w:spacing w:line="480" w:lineRule="auto"/>
        <w:ind w:left="993" w:right="545" w:hanging="720"/>
        <w:rPr>
          <w:color w:val="000000"/>
        </w:rPr>
      </w:pPr>
      <w:r>
        <w:rPr>
          <w:color w:val="000000"/>
        </w:rPr>
        <w:t>Hatakeyama, M., A</w:t>
      </w:r>
      <w:r>
        <w:rPr>
          <w:color w:val="000000"/>
        </w:rPr>
        <w:t>luri, S., Balachadran, M. T., Sivarajan, S. R., Patrignani, A., Grüter, S., et al. (2018). Genome assembly of finger millet. DNA Research, 25, 39–47. https://doi.org/10.1093/dnares/dsx036</w:t>
      </w:r>
    </w:p>
    <w:p w:rsidR="00040D52" w:rsidRDefault="004D14CF">
      <w:pPr>
        <w:spacing w:line="480" w:lineRule="auto"/>
        <w:ind w:left="993" w:right="545" w:hanging="720"/>
        <w:rPr>
          <w:color w:val="000000"/>
        </w:rPr>
      </w:pPr>
      <w:r>
        <w:rPr>
          <w:color w:val="000000"/>
        </w:rPr>
        <w:t>Hema, R., Vemanna, R. S., Sreeramulu, S., Reddy, C. P., Senthil-Kuma</w:t>
      </w:r>
      <w:r>
        <w:rPr>
          <w:color w:val="000000"/>
        </w:rPr>
        <w:t>r, M., &amp; Udayakumar, M. (2014). Expression of mtlD gene enhances stress tolerance in finger millet. PLoS ONE, 9, e99110. https://doi.org/10.1371/journal.pone.0099110</w:t>
      </w:r>
    </w:p>
    <w:p w:rsidR="00040D52" w:rsidRDefault="004D14CF">
      <w:pPr>
        <w:spacing w:line="480" w:lineRule="auto"/>
        <w:ind w:left="993" w:right="545" w:hanging="720"/>
        <w:rPr>
          <w:color w:val="000000"/>
        </w:rPr>
      </w:pPr>
      <w:r>
        <w:rPr>
          <w:color w:val="000000"/>
        </w:rPr>
        <w:t xml:space="preserve">Hittalmani, S., Mahesh, H. B., Shirke, M. D., Biradar, H., Uday, G., Aruna, Y. R., et al. </w:t>
      </w:r>
      <w:r>
        <w:rPr>
          <w:color w:val="000000"/>
        </w:rPr>
        <w:t>(2017). Genome and transcriptome sequencing of finger millet. BMC Genomics, 18, 465. https://doi.org/10.1186/s12864-017-3850-z</w:t>
      </w:r>
    </w:p>
    <w:p w:rsidR="00040D52" w:rsidRDefault="004D14CF">
      <w:pPr>
        <w:spacing w:line="480" w:lineRule="auto"/>
        <w:ind w:left="993" w:right="545" w:hanging="720"/>
        <w:rPr>
          <w:color w:val="000000"/>
        </w:rPr>
      </w:pPr>
      <w:r>
        <w:rPr>
          <w:color w:val="000000"/>
        </w:rPr>
        <w:lastRenderedPageBreak/>
        <w:t>Horie, T., Kaneko, T., Sugimoto, G., Sasano, S., Panda, S. K., Shibasaka, M., et al. (2011). Aquaporin-mediated water transport u</w:t>
      </w:r>
      <w:r>
        <w:rPr>
          <w:color w:val="000000"/>
        </w:rPr>
        <w:t>nder salinity stress. Plant and Cell Physiology, 52, 663–675. https://doi.org/10.1093/pcp/pcr027</w:t>
      </w:r>
    </w:p>
    <w:p w:rsidR="00040D52" w:rsidRDefault="004D14CF">
      <w:pPr>
        <w:spacing w:line="480" w:lineRule="auto"/>
        <w:ind w:left="993" w:right="545" w:hanging="720"/>
        <w:rPr>
          <w:color w:val="000000"/>
        </w:rPr>
      </w:pPr>
      <w:r>
        <w:rPr>
          <w:color w:val="000000"/>
        </w:rPr>
        <w:t>Hossain, M. S., &amp; Dietz, K. J. (2016). Redox regulation and ROS homeostasis under salinity stress. Frontiers in Plant Science, 7, 548.</w:t>
      </w:r>
    </w:p>
    <w:p w:rsidR="00040D52" w:rsidRDefault="004D14CF">
      <w:pPr>
        <w:spacing w:line="480" w:lineRule="auto"/>
        <w:ind w:left="993" w:right="545" w:hanging="720"/>
        <w:rPr>
          <w:color w:val="000000"/>
        </w:rPr>
      </w:pPr>
      <w:r>
        <w:rPr>
          <w:color w:val="000000"/>
        </w:rPr>
        <w:t>Hu, H., Mauro-Herrera, M</w:t>
      </w:r>
      <w:r>
        <w:rPr>
          <w:color w:val="000000"/>
        </w:rPr>
        <w:t>., &amp; Doust, A. N. (2018). Domestication and improvement in the model C4 grass Setaria. Frontiers in Plant Science, 9, 719.</w:t>
      </w:r>
    </w:p>
    <w:p w:rsidR="00040D52" w:rsidRDefault="004D14CF">
      <w:pPr>
        <w:spacing w:line="480" w:lineRule="auto"/>
        <w:ind w:left="993" w:right="545" w:hanging="720"/>
        <w:rPr>
          <w:color w:val="000000"/>
        </w:rPr>
      </w:pPr>
      <w:r>
        <w:rPr>
          <w:color w:val="000000"/>
        </w:rPr>
        <w:t xml:space="preserve">James, R. A., Blake, C., Byrt, C. S., &amp; Munns, R. (2011). Major genes for Na⁺ exclusion reduce sodium accumulation in wheat. Journal </w:t>
      </w:r>
      <w:r>
        <w:rPr>
          <w:color w:val="000000"/>
        </w:rPr>
        <w:t>of Experimental Botany, 62, 2939–2947.</w:t>
      </w:r>
    </w:p>
    <w:p w:rsidR="00040D52" w:rsidRDefault="004D14CF">
      <w:pPr>
        <w:spacing w:line="480" w:lineRule="auto"/>
        <w:ind w:left="993" w:right="545" w:hanging="720"/>
        <w:rPr>
          <w:color w:val="000000"/>
        </w:rPr>
      </w:pPr>
      <w:r>
        <w:rPr>
          <w:color w:val="000000"/>
        </w:rPr>
        <w:t>Jansen, M., Gilmer, F., Biskup, B., et al. (2009). Simultaneous phenotyping of leaf growth and chlorophyll fluorescence via GROWSCREEN FLUORO. Functional Plant Biology, 36, 902–914.</w:t>
      </w:r>
    </w:p>
    <w:p w:rsidR="00040D52" w:rsidRDefault="004D14CF">
      <w:pPr>
        <w:spacing w:line="480" w:lineRule="auto"/>
        <w:ind w:left="993" w:right="545" w:hanging="720"/>
        <w:rPr>
          <w:color w:val="000000"/>
        </w:rPr>
      </w:pPr>
      <w:r>
        <w:rPr>
          <w:color w:val="000000"/>
        </w:rPr>
        <w:t>Jeudy, C., Adrian, M., Baussard, C.</w:t>
      </w:r>
      <w:r>
        <w:rPr>
          <w:color w:val="000000"/>
        </w:rPr>
        <w:t>, et al. (2016). RhizoTubes: A tool for high-throughput imaging of plant root development and architecture. Plant Methods, 12, 31.</w:t>
      </w:r>
    </w:p>
    <w:p w:rsidR="00040D52" w:rsidRDefault="004D14CF">
      <w:pPr>
        <w:spacing w:line="480" w:lineRule="auto"/>
        <w:ind w:left="993" w:right="545" w:hanging="720"/>
        <w:rPr>
          <w:color w:val="000000"/>
        </w:rPr>
      </w:pPr>
      <w:r>
        <w:rPr>
          <w:color w:val="000000"/>
        </w:rPr>
        <w:t>Kaur, B., Sandhu, K. S., Kamal, R., et al. (2021). Omics for improvement of abiotic, biotic, and agronomic traits in cereals:</w:t>
      </w:r>
      <w:r>
        <w:rPr>
          <w:color w:val="000000"/>
        </w:rPr>
        <w:t xml:space="preserve"> Applications and challenges. Plants, 10, 1989.</w:t>
      </w:r>
    </w:p>
    <w:p w:rsidR="00040D52" w:rsidRDefault="004D14CF">
      <w:pPr>
        <w:spacing w:line="480" w:lineRule="auto"/>
        <w:ind w:left="993" w:right="545" w:hanging="720"/>
        <w:rPr>
          <w:color w:val="000000"/>
        </w:rPr>
      </w:pPr>
      <w:r>
        <w:rPr>
          <w:color w:val="000000"/>
        </w:rPr>
        <w:t>Kumar, V., &amp; Khare, T. (2016). Differential growth and yield responses of salt-tolerant and susceptible rice cultivars to individual (Na⁺ and Cl⁻) and additive stress effects of NaCl. Acta Physiologiae Planta</w:t>
      </w:r>
      <w:r>
        <w:rPr>
          <w:color w:val="000000"/>
        </w:rPr>
        <w:t>rum, 38, 1–9.</w:t>
      </w:r>
    </w:p>
    <w:p w:rsidR="00040D52" w:rsidRDefault="004D14CF">
      <w:pPr>
        <w:spacing w:line="480" w:lineRule="auto"/>
        <w:ind w:left="993" w:right="545" w:hanging="720"/>
        <w:rPr>
          <w:color w:val="000000"/>
        </w:rPr>
      </w:pPr>
      <w:r>
        <w:rPr>
          <w:color w:val="000000"/>
        </w:rPr>
        <w:t>Li, L., Zhang, Q., &amp; Huang, D. (2014). A review of imaging techniques for plant phenotyping. Sensors, 14, 20078–20111.</w:t>
      </w:r>
    </w:p>
    <w:p w:rsidR="00040D52" w:rsidRDefault="004D14CF">
      <w:pPr>
        <w:spacing w:line="480" w:lineRule="auto"/>
        <w:ind w:left="993" w:right="545" w:hanging="720"/>
        <w:rPr>
          <w:color w:val="000000"/>
        </w:rPr>
      </w:pPr>
      <w:r>
        <w:rPr>
          <w:color w:val="000000"/>
        </w:rPr>
        <w:lastRenderedPageBreak/>
        <w:t>Liang, W., Ma, X., Wan, P., &amp; Liu, L. (2018). Plant salt-tolerance mechanism: A review. Biochemical and Biophysical Researc</w:t>
      </w:r>
      <w:r>
        <w:rPr>
          <w:color w:val="000000"/>
        </w:rPr>
        <w:t>h Communications, 495, 286–291.</w:t>
      </w:r>
    </w:p>
    <w:p w:rsidR="00040D52" w:rsidRDefault="004D14CF">
      <w:pPr>
        <w:spacing w:line="480" w:lineRule="auto"/>
        <w:ind w:left="993" w:right="545" w:hanging="720"/>
        <w:rPr>
          <w:color w:val="000000"/>
        </w:rPr>
      </w:pPr>
      <w:r>
        <w:rPr>
          <w:color w:val="000000"/>
        </w:rPr>
        <w:t>Litalien, A., &amp; Zeeb, B. (2019). Anthropogenic soil salinization and mitigation strategies. Science of the Total Environment, 698, 134235.</w:t>
      </w:r>
    </w:p>
    <w:p w:rsidR="00040D52" w:rsidRDefault="004D14CF">
      <w:pPr>
        <w:spacing w:line="480" w:lineRule="auto"/>
        <w:ind w:left="993" w:right="545" w:hanging="720"/>
        <w:rPr>
          <w:color w:val="000000"/>
        </w:rPr>
      </w:pPr>
      <w:r>
        <w:rPr>
          <w:color w:val="000000"/>
        </w:rPr>
        <w:t>Martins, S. M., de Brito, G. G., da Gonçalves, W. C., et al. (2020). PhenoRoots: A no</w:t>
      </w:r>
      <w:r>
        <w:rPr>
          <w:color w:val="000000"/>
        </w:rPr>
        <w:t>n-invasive phenotyping system for root architecture analysis. Scientia Agricola, 77.</w:t>
      </w:r>
    </w:p>
    <w:p w:rsidR="00040D52" w:rsidRDefault="004D14CF">
      <w:pPr>
        <w:spacing w:line="480" w:lineRule="auto"/>
        <w:ind w:left="993" w:right="545" w:hanging="720"/>
        <w:rPr>
          <w:color w:val="000000"/>
        </w:rPr>
      </w:pPr>
      <w:r>
        <w:rPr>
          <w:color w:val="000000"/>
        </w:rPr>
        <w:t>Mariani, L., &amp; Ferrante, A. (2017). Agronomic management for enhancing plant tolerance to abiotic stresses—drought, salinity, hypoxia, and lodging. Horticulturae, 3(4), 52</w:t>
      </w:r>
      <w:r>
        <w:rPr>
          <w:color w:val="000000"/>
        </w:rPr>
        <w:t>. https://doi.org/10.3390/horticulturae3040052</w:t>
      </w:r>
    </w:p>
    <w:p w:rsidR="00040D52" w:rsidRDefault="004D14CF">
      <w:pPr>
        <w:spacing w:line="480" w:lineRule="auto"/>
        <w:ind w:left="993" w:right="545" w:hanging="720"/>
        <w:rPr>
          <w:color w:val="000000"/>
        </w:rPr>
      </w:pPr>
      <w:r>
        <w:rPr>
          <w:color w:val="000000"/>
        </w:rPr>
        <w:t>Mandal, A. K., Singh, G., Sharma, R. C., &amp; Dagar, J. C. (2010). Computerized database on salt affected soils in India (Technical Bulletin). CSSRI.</w:t>
      </w:r>
    </w:p>
    <w:p w:rsidR="00040D52" w:rsidRDefault="004D14CF">
      <w:pPr>
        <w:spacing w:line="480" w:lineRule="auto"/>
        <w:ind w:left="993" w:right="545" w:hanging="720"/>
        <w:rPr>
          <w:color w:val="000000"/>
        </w:rPr>
      </w:pPr>
      <w:r>
        <w:rPr>
          <w:color w:val="000000"/>
        </w:rPr>
        <w:t xml:space="preserve">Mallikarjuna, C., Nandhini, K., Patibandla, S. V., &amp; Shanthi, </w:t>
      </w:r>
      <w:r>
        <w:rPr>
          <w:color w:val="000000"/>
        </w:rPr>
        <w:t>P. (2023). Assessment of salinity tolerance in different genotypes of pearl millet (Pennisetum glaucum (L.) R. Br.). Madras Agricultural Journal. 23(1): 2-19.</w:t>
      </w:r>
    </w:p>
    <w:p w:rsidR="00040D52" w:rsidRDefault="004D14CF">
      <w:pPr>
        <w:spacing w:line="480" w:lineRule="auto"/>
        <w:ind w:left="993" w:right="545" w:hanging="720"/>
        <w:rPr>
          <w:color w:val="000000"/>
        </w:rPr>
      </w:pPr>
      <w:r>
        <w:rPr>
          <w:color w:val="000000"/>
        </w:rPr>
        <w:t>Mayak, S., Tirosh, T., &amp; Glick, B. R. (2004). Plant growth-promoting bacteria confer resistance i</w:t>
      </w:r>
      <w:r>
        <w:rPr>
          <w:color w:val="000000"/>
        </w:rPr>
        <w:t>n tomato plants to salt stress. Plant Physiology and Biochemistry, 42, 565–572. https://doi.org/10.1016/j.plaphy.2004.05.009</w:t>
      </w:r>
    </w:p>
    <w:p w:rsidR="00040D52" w:rsidRDefault="004D14CF">
      <w:pPr>
        <w:spacing w:line="480" w:lineRule="auto"/>
        <w:ind w:left="993" w:right="545" w:hanging="720"/>
        <w:rPr>
          <w:color w:val="000000"/>
        </w:rPr>
      </w:pPr>
      <w:r>
        <w:rPr>
          <w:color w:val="000000"/>
        </w:rPr>
        <w:t>Mbarki, S., Sytar, O., Zivcak, M., Abdelly, C., Cerda, A., &amp; Brestic, M. (2018). Anthocyanin responses in wheat under salinity stre</w:t>
      </w:r>
      <w:r>
        <w:rPr>
          <w:color w:val="000000"/>
        </w:rPr>
        <w:t>ss. Molecules, 23(7), 1518. https://doi.org/10.3390/molecules23071518</w:t>
      </w:r>
    </w:p>
    <w:p w:rsidR="00040D52" w:rsidRDefault="004D14CF">
      <w:pPr>
        <w:spacing w:line="480" w:lineRule="auto"/>
        <w:ind w:left="993" w:right="545" w:hanging="720"/>
        <w:rPr>
          <w:color w:val="000000"/>
        </w:rPr>
      </w:pPr>
      <w:r>
        <w:rPr>
          <w:color w:val="000000"/>
        </w:rPr>
        <w:t>Miladinovic, D., Antunes, D., Yildirim, K., Bakhsh, A., Cvejić, S., Kondić-Špika, A., et al. (2021). Targeted plant improvement through genome editing. Plant Cell Reports, 40, 935–951. https://doi.org/10.1007/s00299-020-02655-4</w:t>
      </w:r>
    </w:p>
    <w:p w:rsidR="00040D52" w:rsidRDefault="004D14CF">
      <w:pPr>
        <w:spacing w:line="480" w:lineRule="auto"/>
        <w:ind w:left="993" w:right="545" w:hanging="720"/>
        <w:rPr>
          <w:color w:val="000000"/>
        </w:rPr>
      </w:pPr>
      <w:r>
        <w:rPr>
          <w:color w:val="000000"/>
        </w:rPr>
        <w:lastRenderedPageBreak/>
        <w:t>Misra, N., &amp; Gupta, A. K. (2</w:t>
      </w:r>
      <w:r>
        <w:rPr>
          <w:color w:val="000000"/>
        </w:rPr>
        <w:t>005). Effect of salt stress on proline metabolism in green gram. Plant Science, 169, 331–339. https://doi.org/10.1016/j.plantsci.2005.02.013</w:t>
      </w:r>
    </w:p>
    <w:p w:rsidR="00040D52" w:rsidRDefault="004D14CF">
      <w:pPr>
        <w:spacing w:line="480" w:lineRule="auto"/>
        <w:ind w:left="993" w:right="545" w:hanging="720"/>
        <w:rPr>
          <w:color w:val="000000"/>
        </w:rPr>
      </w:pPr>
      <w:r>
        <w:rPr>
          <w:color w:val="000000"/>
        </w:rPr>
        <w:t>Mohammadi, K., Movahedi, A., Sadat Maleki, S., Sun, W., Zhang, J., Yaghuti, A. A. Z., et al. (2018). Functional ana</w:t>
      </w:r>
      <w:r>
        <w:rPr>
          <w:color w:val="000000"/>
        </w:rPr>
        <w:t>lysis of PtDRS1 gene in abiotic stress tolerance. Plant Physiology and Biochemistry, 126, 22–31. https://doi.org/10.1016/j.plaphy.2018.01.023</w:t>
      </w:r>
    </w:p>
    <w:p w:rsidR="00040D52" w:rsidRDefault="004D14CF">
      <w:pPr>
        <w:spacing w:line="480" w:lineRule="auto"/>
        <w:ind w:left="993" w:right="545" w:hanging="720"/>
        <w:rPr>
          <w:color w:val="000000"/>
        </w:rPr>
      </w:pPr>
      <w:r>
        <w:rPr>
          <w:color w:val="000000"/>
        </w:rPr>
        <w:t>Mukami, A., Ngetich, A., Mweu, C., Muthangya, M., Oduor, R. O., Ngugi, M., et al. (2018). Efficient regeneration o</w:t>
      </w:r>
      <w:r>
        <w:rPr>
          <w:color w:val="000000"/>
        </w:rPr>
        <w:t>f finger millet via organogenesis. African Journal of Biotechnology, 17, 898–905. https://doi.org/10.5897/AJB2018.16562</w:t>
      </w:r>
    </w:p>
    <w:p w:rsidR="00040D52" w:rsidRDefault="004D14CF">
      <w:pPr>
        <w:spacing w:line="480" w:lineRule="auto"/>
        <w:ind w:left="993" w:right="545" w:hanging="720"/>
        <w:rPr>
          <w:color w:val="000000"/>
        </w:rPr>
      </w:pPr>
      <w:r>
        <w:rPr>
          <w:color w:val="000000"/>
        </w:rPr>
        <w:t>Mukami, A., Ng’etich, A., Syombua, E., Oduor, R., &amp; Mbinda, W. (2020). Physiological and biochemical responses of finger millet to salin</w:t>
      </w:r>
      <w:r>
        <w:rPr>
          <w:color w:val="000000"/>
        </w:rPr>
        <w:t>ity stress. Physiology and Molecular Biology of Plants, 26, 1569–1582. https://doi.org/10.1007/s12298-020-00853-8</w:t>
      </w:r>
    </w:p>
    <w:p w:rsidR="00040D52" w:rsidRDefault="004D14CF">
      <w:pPr>
        <w:spacing w:line="480" w:lineRule="auto"/>
        <w:ind w:left="993" w:right="545" w:hanging="720"/>
        <w:rPr>
          <w:color w:val="000000"/>
        </w:rPr>
      </w:pPr>
      <w:r>
        <w:rPr>
          <w:color w:val="000000"/>
        </w:rPr>
        <w:t>Munns, R. (2002). Comparative physiology of salt and water stress. Plant, Cell &amp; Environment, 25, 239–250. https://doi.org/10.1046/j.0016-8025</w:t>
      </w:r>
      <w:r>
        <w:rPr>
          <w:color w:val="000000"/>
        </w:rPr>
        <w:t>.2001.00808.x</w:t>
      </w:r>
    </w:p>
    <w:p w:rsidR="00040D52" w:rsidRDefault="004D14CF">
      <w:pPr>
        <w:spacing w:line="480" w:lineRule="auto"/>
        <w:ind w:left="993" w:right="545" w:hanging="720"/>
        <w:rPr>
          <w:color w:val="000000"/>
        </w:rPr>
      </w:pPr>
      <w:r>
        <w:rPr>
          <w:color w:val="000000"/>
        </w:rPr>
        <w:t>Muthamilarasan, M., &amp; Prasad, M. (2015). Advances in Setaria genomics. Theoretical and Applied Genetics, 128, 1–14.</w:t>
      </w:r>
    </w:p>
    <w:p w:rsidR="00040D52" w:rsidRDefault="004D14CF">
      <w:pPr>
        <w:spacing w:line="480" w:lineRule="auto"/>
        <w:ind w:left="993" w:right="545" w:hanging="720"/>
        <w:rPr>
          <w:color w:val="000000"/>
        </w:rPr>
      </w:pPr>
      <w:r>
        <w:rPr>
          <w:color w:val="000000"/>
        </w:rPr>
        <w:t>Nekrasov, V., Staskawicz, B., Weigel, D., Jones, J. D. G., &amp; Kamoun, S. (2013). Targeted mutagenesis using CRISPR/Cas9 in plan</w:t>
      </w:r>
      <w:r>
        <w:rPr>
          <w:color w:val="000000"/>
        </w:rPr>
        <w:t>ts. Nature Biotechnology, 31, 691–693. https://doi.org/10.1038/nbt.2655</w:t>
      </w:r>
    </w:p>
    <w:p w:rsidR="00040D52" w:rsidRDefault="004D14CF">
      <w:pPr>
        <w:spacing w:line="480" w:lineRule="auto"/>
        <w:ind w:left="993" w:right="545" w:hanging="720"/>
        <w:rPr>
          <w:color w:val="000000"/>
        </w:rPr>
      </w:pPr>
      <w:r>
        <w:rPr>
          <w:color w:val="000000"/>
        </w:rPr>
        <w:t>Ngetich, A., Mweu, C., Ngugi, M., Mukami, A., Ojulong, H., &amp; Mbinda, W. (2018). Somatic embryogenesis in finger millet. African Journal of Biotechnology, 17, 660–667. https://doi.org/1</w:t>
      </w:r>
      <w:r>
        <w:rPr>
          <w:color w:val="000000"/>
        </w:rPr>
        <w:t>0.5897/AJB2018.16452</w:t>
      </w:r>
    </w:p>
    <w:p w:rsidR="00040D52" w:rsidRDefault="004D14CF">
      <w:pPr>
        <w:spacing w:line="480" w:lineRule="auto"/>
        <w:ind w:left="993" w:right="545" w:hanging="720"/>
        <w:rPr>
          <w:color w:val="000000"/>
        </w:rPr>
      </w:pPr>
      <w:r>
        <w:rPr>
          <w:color w:val="000000"/>
        </w:rPr>
        <w:lastRenderedPageBreak/>
        <w:t>Nia, S. H., Zarea, M. J., Rejali, F., &amp; Varma, A. (2012). Wheat yield response to salinity and Azospirillum inoculation. Journal of the Saudi Society of Agricultural Sciences, 11, 113–121. https://doi.org/10.1016/j.jssas.2012.02.001</w:t>
      </w:r>
    </w:p>
    <w:p w:rsidR="00040D52" w:rsidRDefault="004D14CF">
      <w:pPr>
        <w:spacing w:line="480" w:lineRule="auto"/>
        <w:ind w:left="993" w:right="545" w:hanging="720"/>
        <w:rPr>
          <w:color w:val="000000"/>
        </w:rPr>
      </w:pPr>
      <w:r>
        <w:rPr>
          <w:color w:val="000000"/>
        </w:rPr>
        <w:t>Ni</w:t>
      </w:r>
      <w:r>
        <w:rPr>
          <w:color w:val="000000"/>
        </w:rPr>
        <w:t>shizawa-Yokoi, A., Yabuta, Y., &amp; Shigeoka, S. (2008). Role of carbohydrates in oxidative stress protection. Plant Signaling &amp; Behavior, 3, 1016–1018. https://doi.org/10.4161/psb.6738</w:t>
      </w:r>
    </w:p>
    <w:p w:rsidR="00040D52" w:rsidRDefault="004D14CF">
      <w:pPr>
        <w:spacing w:line="480" w:lineRule="auto"/>
        <w:ind w:left="993" w:right="545" w:hanging="720"/>
        <w:rPr>
          <w:color w:val="000000"/>
        </w:rPr>
      </w:pPr>
      <w:r>
        <w:rPr>
          <w:color w:val="000000"/>
        </w:rPr>
        <w:t>Noori, F., Etesami, H., Noori, S., Forouzan, E., Jouzani, G. S., &amp; Malboo</w:t>
      </w:r>
      <w:r>
        <w:rPr>
          <w:color w:val="000000"/>
        </w:rPr>
        <w:t xml:space="preserve">bi, M. A. (2021). Genome analysis of stress-resistant Pantoea agglomerans. Biotechnology Reports, 29, e00600. </w:t>
      </w:r>
      <w:hyperlink r:id="rId16">
        <w:r>
          <w:rPr>
            <w:color w:val="0563C1"/>
            <w:u w:val="single"/>
          </w:rPr>
          <w:t>https://doi.org/10.1016/j.btre.2021.e00600</w:t>
        </w:r>
      </w:hyperlink>
    </w:p>
    <w:p w:rsidR="00040D52" w:rsidRDefault="004D14CF">
      <w:pPr>
        <w:spacing w:line="480" w:lineRule="auto"/>
        <w:ind w:left="993" w:right="545" w:hanging="720"/>
        <w:rPr>
          <w:color w:val="000000"/>
        </w:rPr>
      </w:pPr>
      <w:r>
        <w:rPr>
          <w:color w:val="000000"/>
        </w:rPr>
        <w:t>Norlyn, J. D., &amp; Epstein, E. (1984). Variability in salt tolerance of four triticale lines at germination and emergence. Crop Science, 24, 1090–1092.</w:t>
      </w:r>
    </w:p>
    <w:p w:rsidR="00040D52" w:rsidRDefault="004D14CF">
      <w:pPr>
        <w:spacing w:line="480" w:lineRule="auto"/>
        <w:ind w:left="993" w:right="545" w:hanging="720"/>
        <w:rPr>
          <w:color w:val="000000"/>
        </w:rPr>
      </w:pPr>
      <w:r>
        <w:rPr>
          <w:color w:val="000000"/>
        </w:rPr>
        <w:t>Onyango, A. O. (2016). Finger millet as a food security crop in arid lands. World Environment, 6, 62–70.</w:t>
      </w:r>
    </w:p>
    <w:p w:rsidR="00040D52" w:rsidRDefault="004D14CF">
      <w:pPr>
        <w:spacing w:line="480" w:lineRule="auto"/>
        <w:ind w:left="993" w:right="545" w:hanging="720"/>
        <w:rPr>
          <w:color w:val="000000"/>
        </w:rPr>
      </w:pPr>
      <w:r>
        <w:rPr>
          <w:color w:val="000000"/>
        </w:rPr>
        <w:t>O</w:t>
      </w:r>
      <w:r>
        <w:rPr>
          <w:color w:val="000000"/>
        </w:rPr>
        <w:t>zturk, L., Demir, Y., Unlukara, A., Karatas, I., Kurunc, A., &amp; Duzdemir, O. (2012). Long-term salt stress effects on antioxidant systems in pea. Romanian Biotechnology Letters, 17, 7227–7236</w:t>
      </w:r>
    </w:p>
    <w:p w:rsidR="00040D52" w:rsidRDefault="004D14CF">
      <w:pPr>
        <w:spacing w:line="480" w:lineRule="auto"/>
        <w:ind w:left="993" w:right="545" w:hanging="720"/>
        <w:rPr>
          <w:color w:val="000000"/>
        </w:rPr>
      </w:pPr>
      <w:r>
        <w:rPr>
          <w:color w:val="000000"/>
        </w:rPr>
        <w:t>Panchal, A., Singh, R. K., &amp; Prasad, M. (2023). Advances in foxta</w:t>
      </w:r>
      <w:r>
        <w:rPr>
          <w:color w:val="000000"/>
        </w:rPr>
        <w:t>il millet genomics. Plant Growth Regulation, 99, 11–23.</w:t>
      </w:r>
    </w:p>
    <w:p w:rsidR="00040D52" w:rsidRDefault="004D14CF">
      <w:pPr>
        <w:spacing w:line="480" w:lineRule="auto"/>
        <w:ind w:left="993" w:right="545" w:hanging="720"/>
        <w:rPr>
          <w:color w:val="000000"/>
        </w:rPr>
      </w:pPr>
      <w:r>
        <w:rPr>
          <w:color w:val="000000"/>
        </w:rPr>
        <w:t xml:space="preserve">Pehlivan, N., Sun, L., Jarrett, P., Yang, X., Mishra, N., Chen, L., et al. (2016). Co-overexpression of Na⁺/H⁺ antiporters improves salt tolerance. Plant and Cell Physiology, 57, 1069–1084. </w:t>
      </w:r>
      <w:hyperlink r:id="rId17">
        <w:r>
          <w:rPr>
            <w:color w:val="0563C1"/>
            <w:u w:val="single"/>
          </w:rPr>
          <w:t>https://doi.org/10.1093/pcp/pcw055</w:t>
        </w:r>
      </w:hyperlink>
    </w:p>
    <w:p w:rsidR="00040D52" w:rsidRDefault="004D14CF">
      <w:pPr>
        <w:spacing w:line="480" w:lineRule="auto"/>
        <w:ind w:left="993" w:right="545" w:hanging="720"/>
        <w:rPr>
          <w:color w:val="000000"/>
        </w:rPr>
      </w:pPr>
      <w:r>
        <w:rPr>
          <w:color w:val="000000"/>
        </w:rPr>
        <w:t>Pérez-Ruiz, M., Prior, A., Martinez-Guanter, J., et al. (2020). Development of a self-propelled electric platform for high-throughput phenotyping in wheat. Computers and Electro</w:t>
      </w:r>
      <w:r>
        <w:rPr>
          <w:color w:val="000000"/>
        </w:rPr>
        <w:t>nics in Agriculture, 169, 105237.</w:t>
      </w:r>
    </w:p>
    <w:p w:rsidR="00040D52" w:rsidRDefault="004D14CF">
      <w:pPr>
        <w:spacing w:line="480" w:lineRule="auto"/>
        <w:ind w:left="993" w:right="545" w:hanging="720"/>
        <w:rPr>
          <w:color w:val="000000"/>
        </w:rPr>
      </w:pPr>
      <w:r>
        <w:rPr>
          <w:color w:val="000000"/>
        </w:rPr>
        <w:lastRenderedPageBreak/>
        <w:t>Pessarakli, M. (2019). Handbook of plant and crop stress (4th ed.). CRC Press, Taylor &amp; Francis Group.</w:t>
      </w:r>
    </w:p>
    <w:p w:rsidR="00040D52" w:rsidRDefault="004D14CF">
      <w:pPr>
        <w:spacing w:line="480" w:lineRule="auto"/>
        <w:ind w:left="993" w:right="545" w:hanging="720"/>
        <w:rPr>
          <w:color w:val="000000"/>
        </w:rPr>
      </w:pPr>
      <w:r>
        <w:rPr>
          <w:color w:val="000000"/>
        </w:rPr>
        <w:t>Peterson, B. A., Haak, D. C., Nishimura, M. T., Teixeira, P. J. P. L., James, S. R., Dangl, J. L., et al. (2016). Genom</w:t>
      </w:r>
      <w:r>
        <w:rPr>
          <w:color w:val="000000"/>
        </w:rPr>
        <w:t>e-wide assessment of CRISPR/Cas9 efficiency. PLoS ONE, 11, e0162169. https://doi.org/10.1371/journal.pone.0162169</w:t>
      </w:r>
    </w:p>
    <w:p w:rsidR="00040D52" w:rsidRDefault="004D14CF">
      <w:pPr>
        <w:spacing w:line="480" w:lineRule="auto"/>
        <w:ind w:left="993" w:right="545" w:hanging="720"/>
        <w:rPr>
          <w:color w:val="000000"/>
        </w:rPr>
      </w:pPr>
      <w:r>
        <w:rPr>
          <w:color w:val="000000"/>
        </w:rPr>
        <w:t>Preston, B. (2013). Synthetic biology in agriculture. Studies in History and Philosophy of Biological and Biomedical Sciences, 44, 649–659. ht</w:t>
      </w:r>
      <w:r>
        <w:rPr>
          <w:color w:val="000000"/>
        </w:rPr>
        <w:t>tps://doi.org/10.1016/j.shpsc.2013.05.012</w:t>
      </w:r>
    </w:p>
    <w:p w:rsidR="00040D52" w:rsidRDefault="004D14CF">
      <w:pPr>
        <w:spacing w:line="480" w:lineRule="auto"/>
        <w:ind w:left="993" w:right="545" w:hanging="720"/>
        <w:rPr>
          <w:color w:val="000000"/>
        </w:rPr>
      </w:pPr>
      <w:r>
        <w:rPr>
          <w:color w:val="000000"/>
        </w:rPr>
        <w:t xml:space="preserve">Puchta, H., Dujon, B., &amp; Hohn, B. (1993). Homologous recombination in plants. Nucleic Acids Research, 21, 5034–5040. </w:t>
      </w:r>
    </w:p>
    <w:p w:rsidR="00040D52" w:rsidRDefault="004D14CF">
      <w:pPr>
        <w:spacing w:line="480" w:lineRule="auto"/>
        <w:ind w:left="993" w:right="545" w:hanging="720"/>
        <w:rPr>
          <w:color w:val="000000"/>
        </w:rPr>
      </w:pPr>
      <w:r>
        <w:rPr>
          <w:color w:val="000000"/>
        </w:rPr>
        <w:t>Pons, R., Cornejo, M. J., &amp; Sanz, A. (2011). Differential salinity-induced variations in the act</w:t>
      </w:r>
      <w:r>
        <w:rPr>
          <w:color w:val="000000"/>
        </w:rPr>
        <w:t>ivity of H⁺ pumps and Na⁺/H⁺ antiporters involved in cytoplasmic ion homeostasis in rice cell lines. Plant Physiology and Biochemistry, 49, 1399–1409.</w:t>
      </w:r>
    </w:p>
    <w:p w:rsidR="00040D52" w:rsidRDefault="004D14CF">
      <w:pPr>
        <w:spacing w:line="480" w:lineRule="auto"/>
        <w:ind w:left="993" w:right="545" w:hanging="720"/>
        <w:rPr>
          <w:color w:val="000000"/>
        </w:rPr>
      </w:pPr>
      <w:r>
        <w:rPr>
          <w:color w:val="000000"/>
        </w:rPr>
        <w:t>Qin, L., Chen, E., Li, F., Yu, X., Liu, Z., Yang, Y., Wang, R., Zhang, H., Wang, H., Liu, B., Guan, Y., &amp;</w:t>
      </w:r>
      <w:r>
        <w:rPr>
          <w:color w:val="000000"/>
        </w:rPr>
        <w:t xml:space="preserve"> Ruan, Y. (2020). Genome-wide gene expression profile analysis reveals novel insights into drought stress in foxtail millet (Setaria italica L.). International Journal of Molecular Sciences, 21, 8520.</w:t>
      </w:r>
    </w:p>
    <w:p w:rsidR="00040D52" w:rsidRDefault="004D14CF">
      <w:pPr>
        <w:spacing w:line="480" w:lineRule="auto"/>
        <w:ind w:left="993" w:right="545" w:hanging="720"/>
        <w:rPr>
          <w:color w:val="000000"/>
        </w:rPr>
      </w:pPr>
      <w:r>
        <w:rPr>
          <w:color w:val="000000"/>
        </w:rPr>
        <w:t>Rafiq, K., Akram, M. S., Shahid, M., Qaisar, U., &amp; Rash</w:t>
      </w:r>
      <w:r>
        <w:rPr>
          <w:color w:val="000000"/>
        </w:rPr>
        <w:t>id, N. (2020). Enhancing salt tolerance in maize using Bacillus. Biologia, 75, 1425–1436. https://doi.org/10.2478/s11756-020-00435-9</w:t>
      </w:r>
    </w:p>
    <w:p w:rsidR="00040D52" w:rsidRDefault="004D14CF">
      <w:pPr>
        <w:spacing w:line="480" w:lineRule="auto"/>
        <w:ind w:left="993" w:right="545" w:hanging="720"/>
        <w:rPr>
          <w:color w:val="000000"/>
        </w:rPr>
      </w:pPr>
      <w:r>
        <w:rPr>
          <w:color w:val="000000"/>
        </w:rPr>
        <w:t>Rahman, H., Jagadeeshselvam, N., Valarmathi, R., Sachin, B., Sasikala, R., Senthil, N., et al. (2014). Transcriptome analys</w:t>
      </w:r>
      <w:r>
        <w:rPr>
          <w:color w:val="000000"/>
        </w:rPr>
        <w:t>is of salinity tolerance in finger millet. Plant Molecular Biology, 85, 485–503. https://doi.org/10.1007/s11103-014-0199-4</w:t>
      </w:r>
    </w:p>
    <w:p w:rsidR="00040D52" w:rsidRDefault="004D14CF">
      <w:pPr>
        <w:spacing w:line="480" w:lineRule="auto"/>
        <w:ind w:left="993" w:right="545" w:hanging="720"/>
        <w:rPr>
          <w:color w:val="000000"/>
        </w:rPr>
      </w:pPr>
      <w:r>
        <w:rPr>
          <w:color w:val="000000"/>
        </w:rPr>
        <w:lastRenderedPageBreak/>
        <w:t xml:space="preserve">Rahman, H., Ramanathan, V., Nallathambi, J., Duraialagaraja, S., &amp; Muthurajan, R. (2016). Overexpression of NAC transcription factor </w:t>
      </w:r>
      <w:r>
        <w:rPr>
          <w:color w:val="000000"/>
        </w:rPr>
        <w:t>enhances stress tolerance. BMC Biotechnology, 16, 7–20. https://doi.org/10.1186/s12896-016-0261-1</w:t>
      </w:r>
    </w:p>
    <w:p w:rsidR="00040D52" w:rsidRDefault="004D14CF">
      <w:pPr>
        <w:spacing w:line="480" w:lineRule="auto"/>
        <w:ind w:left="993" w:right="545" w:hanging="720"/>
        <w:rPr>
          <w:color w:val="000000"/>
        </w:rPr>
      </w:pPr>
      <w:r>
        <w:rPr>
          <w:color w:val="000000"/>
        </w:rPr>
        <w:t>Rahnama, A., James, R. A., Poustini, K., &amp; Munns, R. (2010). Stomatal conductance as indicator of salt tolerance. Functional Plant Biology, 37, 255–263. https://doi.org/10.1071/FP09148</w:t>
      </w:r>
    </w:p>
    <w:p w:rsidR="00040D52" w:rsidRDefault="004D14CF">
      <w:pPr>
        <w:spacing w:line="480" w:lineRule="auto"/>
        <w:ind w:left="993" w:right="545" w:hanging="720"/>
        <w:rPr>
          <w:color w:val="000000"/>
        </w:rPr>
      </w:pPr>
      <w:r>
        <w:rPr>
          <w:color w:val="000000"/>
        </w:rPr>
        <w:t>Ramadoss, D., Lakkineni, V. K., Bose, P., Ali, S., &amp; Annapurna, K. (201</w:t>
      </w:r>
      <w:r>
        <w:rPr>
          <w:color w:val="000000"/>
        </w:rPr>
        <w:t>3). Halotolerant bacteria mitigate salt stress in wheat. SpringerPlus, 2, 6. https://doi.org/10.1186/2193-1801-2-6</w:t>
      </w:r>
    </w:p>
    <w:p w:rsidR="00040D52" w:rsidRDefault="004D14CF">
      <w:pPr>
        <w:spacing w:line="480" w:lineRule="auto"/>
        <w:ind w:left="993" w:right="545" w:hanging="720"/>
        <w:rPr>
          <w:color w:val="000000"/>
        </w:rPr>
      </w:pPr>
      <w:r>
        <w:rPr>
          <w:color w:val="000000"/>
        </w:rPr>
        <w:t>Ramakrishna, C., Singh, S., Raghavendrarao, S., Padaria, J. C., Mohanty, S., Sharma, T. R., et al. (2018). Transcription factor-mediated stre</w:t>
      </w:r>
      <w:r>
        <w:rPr>
          <w:color w:val="000000"/>
        </w:rPr>
        <w:t>ss tolerance in finger millet. Scientific Reports, 8, 2148. https://doi.org/10.1038/s41598-018-19766-4</w:t>
      </w:r>
    </w:p>
    <w:p w:rsidR="00040D52" w:rsidRDefault="004D14CF">
      <w:pPr>
        <w:spacing w:line="480" w:lineRule="auto"/>
        <w:ind w:left="993" w:right="545" w:hanging="720"/>
        <w:rPr>
          <w:color w:val="000000"/>
        </w:rPr>
      </w:pPr>
      <w:r>
        <w:rPr>
          <w:color w:val="000000"/>
        </w:rPr>
        <w:t>Rana, M. M., Takamatsu, T., Baslam, M., Kaneko, K., Itoh, K., Harada, N., et al. (2019). SNP-assisted breeding improves salt tolerance in rice. Internati</w:t>
      </w:r>
      <w:r>
        <w:rPr>
          <w:color w:val="000000"/>
        </w:rPr>
        <w:t>onal Journal of Molecular Sciences, 20, 2585. https://doi.org/10.3390/ijms20102585</w:t>
      </w:r>
    </w:p>
    <w:p w:rsidR="00040D52" w:rsidRDefault="004D14CF">
      <w:pPr>
        <w:spacing w:line="480" w:lineRule="auto"/>
        <w:ind w:left="993" w:right="545" w:hanging="720"/>
        <w:rPr>
          <w:color w:val="000000"/>
        </w:rPr>
      </w:pPr>
      <w:r>
        <w:rPr>
          <w:color w:val="000000"/>
        </w:rPr>
        <w:t>Rao, E. S., Kadirvel, P., Symonds, R. C., &amp; Ebert, A. W. (2013). Salt stress tolerance traits in tomato relatives. Euphytica, 190, 215–228. https://doi.org/10.1007/s10681-01</w:t>
      </w:r>
      <w:r>
        <w:rPr>
          <w:color w:val="000000"/>
        </w:rPr>
        <w:t>2-0801-2</w:t>
      </w:r>
    </w:p>
    <w:p w:rsidR="00040D52" w:rsidRDefault="004D14CF">
      <w:pPr>
        <w:spacing w:line="480" w:lineRule="auto"/>
        <w:ind w:left="993" w:right="545" w:hanging="720"/>
        <w:rPr>
          <w:color w:val="000000"/>
        </w:rPr>
      </w:pPr>
      <w:r>
        <w:rPr>
          <w:color w:val="000000"/>
        </w:rPr>
        <w:t>Rasool, S., Ahmad, A., Siddiqi, T. O., &amp; Ahmad, P. (2013). Antioxidant responses under salinity stress in chickpea. Acta Physiologiae Plantarum, 35, 1039–1050. https://doi.org/10.1007/s11738-012-1142-4</w:t>
      </w:r>
    </w:p>
    <w:p w:rsidR="00040D52" w:rsidRDefault="004D14CF">
      <w:pPr>
        <w:spacing w:line="480" w:lineRule="auto"/>
        <w:ind w:left="993" w:right="545" w:hanging="720"/>
        <w:rPr>
          <w:color w:val="000000"/>
        </w:rPr>
      </w:pPr>
      <w:r>
        <w:rPr>
          <w:color w:val="000000"/>
        </w:rPr>
        <w:t>Razali, R., Bougouffa, S., Morton, M. J., Lig</w:t>
      </w:r>
      <w:r>
        <w:rPr>
          <w:color w:val="000000"/>
        </w:rPr>
        <w:t>htfoot, D. J., Alam, I., Essack, M., et al. (2018). Genome insights into salinity tolerance in wild tomato. Frontiers in Plant Science, 9, 1402. https://doi.org/10.3389/fpls.2018.01402</w:t>
      </w:r>
    </w:p>
    <w:p w:rsidR="00040D52" w:rsidRDefault="004D14CF">
      <w:pPr>
        <w:spacing w:line="480" w:lineRule="auto"/>
        <w:ind w:left="993" w:right="545" w:hanging="720"/>
        <w:rPr>
          <w:color w:val="000000"/>
        </w:rPr>
      </w:pPr>
      <w:r>
        <w:rPr>
          <w:color w:val="000000"/>
        </w:rPr>
        <w:lastRenderedPageBreak/>
        <w:t>Resende, R. T., Piepho, H. P., Rosa, G. J. M., Silva-Junior, O. B., e S</w:t>
      </w:r>
      <w:r>
        <w:rPr>
          <w:color w:val="000000"/>
        </w:rPr>
        <w:t>ilva, F. F., de Resende, M. D. V., et al. (2021). Enviromics in plant breeding. Theoretical and Applied Genetics, 134, 95–112. https://doi.org/10.1007/s00122-020-03684-z</w:t>
      </w:r>
    </w:p>
    <w:p w:rsidR="00040D52" w:rsidRDefault="004D14CF">
      <w:pPr>
        <w:spacing w:line="480" w:lineRule="auto"/>
        <w:ind w:left="993" w:right="545" w:hanging="720"/>
        <w:rPr>
          <w:color w:val="000000"/>
        </w:rPr>
      </w:pPr>
      <w:r>
        <w:rPr>
          <w:color w:val="000000"/>
        </w:rPr>
        <w:t>Roell, M. S., &amp; Zurbriggen, M. D. (2020). Synthetic biology in agriculture and nutriti</w:t>
      </w:r>
      <w:r>
        <w:rPr>
          <w:color w:val="000000"/>
        </w:rPr>
        <w:t>on. Current Opinion in Biotechnology, 61, 102–109. https://doi.org/10.1016/j.copbio.2019.10.004</w:t>
      </w:r>
    </w:p>
    <w:p w:rsidR="00040D52" w:rsidRDefault="004D14CF">
      <w:pPr>
        <w:spacing w:line="480" w:lineRule="auto"/>
        <w:ind w:left="993" w:right="545" w:hanging="720"/>
        <w:rPr>
          <w:color w:val="000000"/>
        </w:rPr>
      </w:pPr>
      <w:r>
        <w:rPr>
          <w:color w:val="000000"/>
        </w:rPr>
        <w:t>Rathinapriya, P., Pandian, S., Rakkammal, K., Balasangeetha, M., Alexpandi, R., Satish, L., Rameshkumar, R., &amp; Ramesh, M. (2020). Protective effects of polyamin</w:t>
      </w:r>
      <w:r>
        <w:rPr>
          <w:color w:val="000000"/>
        </w:rPr>
        <w:t>es on salinity stress tolerance in foxtail millet (Setaria italica L.), a C4 model crop. Plant Cell, Tissue and Organ Culture, 26, 1815–1829.</w:t>
      </w:r>
    </w:p>
    <w:p w:rsidR="00040D52" w:rsidRDefault="004D14CF">
      <w:pPr>
        <w:spacing w:line="480" w:lineRule="auto"/>
        <w:ind w:left="993" w:right="545" w:hanging="720"/>
        <w:rPr>
          <w:color w:val="000000"/>
        </w:rPr>
      </w:pPr>
      <w:r>
        <w:rPr>
          <w:color w:val="000000"/>
        </w:rPr>
        <w:t>Sadok, W., Naudin, P., Boussuge, B., et al. (2007). Leaf growth rate patterns under fluctuating conditions in maiz</w:t>
      </w:r>
      <w:r>
        <w:rPr>
          <w:color w:val="000000"/>
        </w:rPr>
        <w:t>e. Plant, Cell &amp; Environment, 30, 135–146.</w:t>
      </w:r>
    </w:p>
    <w:p w:rsidR="00040D52" w:rsidRDefault="004D14CF">
      <w:pPr>
        <w:spacing w:line="480" w:lineRule="auto"/>
        <w:ind w:left="993" w:right="545" w:hanging="720"/>
        <w:rPr>
          <w:color w:val="000000"/>
        </w:rPr>
      </w:pPr>
      <w:r>
        <w:rPr>
          <w:color w:val="000000"/>
        </w:rPr>
        <w:t>Sakamma, S., Umesh, K. B., Girish, M. R., Ravi, S. C., Satishkumar, M., &amp; Bellundagi, V. (2018). Finger millet production systems and constraints. Journal of Agricultural Science, 10, 162–179.</w:t>
      </w:r>
    </w:p>
    <w:p w:rsidR="00040D52" w:rsidRDefault="004D14CF">
      <w:pPr>
        <w:spacing w:line="480" w:lineRule="auto"/>
        <w:ind w:left="993" w:right="545" w:hanging="720"/>
        <w:rPr>
          <w:color w:val="000000"/>
        </w:rPr>
      </w:pPr>
      <w:r>
        <w:rPr>
          <w:color w:val="000000"/>
        </w:rPr>
        <w:t xml:space="preserve">Sairam, R. K., Rao, </w:t>
      </w:r>
      <w:r>
        <w:rPr>
          <w:color w:val="000000"/>
        </w:rPr>
        <w:t>K. V., &amp; Srivastava, G. C. (2002). Differential response of wheat genotypes to long-term salinity stress in relation to oxidative stress, antioxidant activity, and osmolyte concentration. Plant Science, 163(5), 1037–1046.</w:t>
      </w:r>
    </w:p>
    <w:p w:rsidR="00040D52" w:rsidRDefault="004D14CF">
      <w:pPr>
        <w:spacing w:line="480" w:lineRule="auto"/>
        <w:ind w:left="993" w:right="545" w:hanging="720"/>
        <w:rPr>
          <w:color w:val="000000"/>
        </w:rPr>
      </w:pPr>
      <w:r>
        <w:rPr>
          <w:color w:val="000000"/>
        </w:rPr>
        <w:t>Sandhu, K. S., Aoun, M., Morris, C</w:t>
      </w:r>
      <w:r>
        <w:rPr>
          <w:color w:val="000000"/>
        </w:rPr>
        <w:t>. F., &amp; Carter, A. H. (2021). Genomic selection for end-use quality traits in wheat using machine learning. Biology, 10, 689.</w:t>
      </w:r>
    </w:p>
    <w:p w:rsidR="00040D52" w:rsidRDefault="004D14CF">
      <w:pPr>
        <w:spacing w:line="480" w:lineRule="auto"/>
        <w:ind w:left="993" w:right="545" w:hanging="720"/>
        <w:rPr>
          <w:color w:val="000000"/>
        </w:rPr>
      </w:pPr>
      <w:r>
        <w:rPr>
          <w:color w:val="000000"/>
        </w:rPr>
        <w:t>Sarabi, B., Bolandnazar, S., Ghaderi, N., &amp; Ghashghaie, J. (2017). Physiological responses to salt stress in melon. Plant Physiolo</w:t>
      </w:r>
      <w:r>
        <w:rPr>
          <w:color w:val="000000"/>
        </w:rPr>
        <w:t>gy and Biochemistry, 119, 294–311.</w:t>
      </w:r>
    </w:p>
    <w:p w:rsidR="00040D52" w:rsidRDefault="004D14CF">
      <w:pPr>
        <w:spacing w:line="480" w:lineRule="auto"/>
        <w:ind w:left="993" w:right="545" w:hanging="720"/>
        <w:rPr>
          <w:color w:val="000000"/>
        </w:rPr>
      </w:pPr>
      <w:r>
        <w:rPr>
          <w:color w:val="000000"/>
        </w:rPr>
        <w:t>Shah, A. N., Tanveer, M., Abbas, A., Fahad, S., Baloch, M. S., Ahmad, M. I., et al. (2021). Salt stress coping mechanisms in plants. Plant Physiology and Biochemistry, 158, 53–64.</w:t>
      </w:r>
    </w:p>
    <w:p w:rsidR="00040D52" w:rsidRDefault="004D14CF">
      <w:pPr>
        <w:spacing w:line="480" w:lineRule="auto"/>
        <w:ind w:left="993" w:right="545" w:hanging="720"/>
        <w:rPr>
          <w:color w:val="000000"/>
        </w:rPr>
      </w:pPr>
      <w:r>
        <w:rPr>
          <w:color w:val="000000"/>
        </w:rPr>
        <w:lastRenderedPageBreak/>
        <w:t>Shahzad, B., Rehman, A., Tanveer, M., Wan</w:t>
      </w:r>
      <w:r>
        <w:rPr>
          <w:color w:val="000000"/>
        </w:rPr>
        <w:t>g, L., Park, S. K., &amp; Ali, A. (2021). Salt stress in plants: Effects and tolerance mechanisms. Journal of Plant Growth Regulation, 1–15.</w:t>
      </w:r>
    </w:p>
    <w:p w:rsidR="00040D52" w:rsidRDefault="004D14CF">
      <w:pPr>
        <w:spacing w:line="480" w:lineRule="auto"/>
        <w:ind w:left="993" w:right="545" w:hanging="720"/>
        <w:rPr>
          <w:color w:val="000000"/>
        </w:rPr>
      </w:pPr>
      <w:r>
        <w:rPr>
          <w:color w:val="000000"/>
        </w:rPr>
        <w:t>Shrivastava, P., &amp; Kumar, R. (2015). Soil salinity: A serious environmental issue and plant growth promoting bacteria a</w:t>
      </w:r>
      <w:r>
        <w:rPr>
          <w:color w:val="000000"/>
        </w:rPr>
        <w:t>s one of the tools for its alleviation. Saudi Journal of Biological Sciences, 22(2), 123–131.</w:t>
      </w:r>
    </w:p>
    <w:p w:rsidR="00040D52" w:rsidRDefault="004D14CF">
      <w:pPr>
        <w:spacing w:line="480" w:lineRule="auto"/>
        <w:ind w:left="993" w:right="545" w:hanging="720"/>
        <w:rPr>
          <w:color w:val="000000"/>
        </w:rPr>
      </w:pPr>
      <w:r>
        <w:rPr>
          <w:color w:val="000000"/>
        </w:rPr>
        <w:t>Sagar, M., Chervin, C., Mila, I., Hao, Y., Roustan, J. P., Benichou, M., et al. (2013). Role of SlARF4 in tomato development. Plant Physiology, 161, 1362–1374. ht</w:t>
      </w:r>
      <w:r>
        <w:rPr>
          <w:color w:val="000000"/>
        </w:rPr>
        <w:t>tps://doi.org/10.1104/pp.113.213843</w:t>
      </w:r>
    </w:p>
    <w:p w:rsidR="00040D52" w:rsidRDefault="004D14CF">
      <w:pPr>
        <w:spacing w:line="480" w:lineRule="auto"/>
        <w:ind w:left="993" w:right="545" w:hanging="720"/>
        <w:rPr>
          <w:color w:val="000000"/>
        </w:rPr>
      </w:pPr>
      <w:r>
        <w:rPr>
          <w:color w:val="000000"/>
        </w:rPr>
        <w:t>Sakamma, S., Umesh, K. B., Girish, M. R., Ravi, S. C., Satishkumar, M., &amp; Bellundagi, V. (2018). Finger millet production systems and constraints. Journal of Agricultural Science, 10, 162–179. https://doi.org/10.5539/jas</w:t>
      </w:r>
      <w:r>
        <w:rPr>
          <w:color w:val="000000"/>
        </w:rPr>
        <w:t>.v10n1p162</w:t>
      </w:r>
    </w:p>
    <w:p w:rsidR="00040D52" w:rsidRDefault="004D14CF">
      <w:pPr>
        <w:spacing w:line="480" w:lineRule="auto"/>
        <w:ind w:left="993" w:right="545" w:hanging="720"/>
        <w:rPr>
          <w:color w:val="000000"/>
        </w:rPr>
      </w:pPr>
      <w:r>
        <w:rPr>
          <w:color w:val="000000"/>
        </w:rPr>
        <w:t>Sánchez-León, S., Gil-Humanes, J., Ozuna, C. V., Giménez, M. J., Sousa, C., Voytas, D. F., et al. (2018). CRISPR/Cas9-engineered low-gluten wheat. Plant Biotechnology Journal, 16, 902–910. https://doi.org/10.1111/pbi.12837</w:t>
      </w:r>
    </w:p>
    <w:p w:rsidR="00040D52" w:rsidRDefault="004D14CF">
      <w:pPr>
        <w:spacing w:line="480" w:lineRule="auto"/>
        <w:ind w:left="993" w:right="545" w:hanging="720"/>
        <w:rPr>
          <w:color w:val="000000"/>
        </w:rPr>
      </w:pPr>
      <w:r>
        <w:rPr>
          <w:color w:val="000000"/>
        </w:rPr>
        <w:t>Sarabi, B., Bolandnaza</w:t>
      </w:r>
      <w:r>
        <w:rPr>
          <w:color w:val="000000"/>
        </w:rPr>
        <w:t>r, S., Ghaderi, N., &amp; Ghashghaie, J. (2017). Physiological responses to salinity in melon. Plant Physiology and Biochemistry, 119, 294–311.</w:t>
      </w:r>
    </w:p>
    <w:p w:rsidR="00040D52" w:rsidRDefault="004D14CF">
      <w:pPr>
        <w:spacing w:line="480" w:lineRule="auto"/>
        <w:ind w:left="993" w:right="545" w:hanging="720"/>
        <w:rPr>
          <w:color w:val="000000"/>
        </w:rPr>
      </w:pPr>
      <w:r>
        <w:rPr>
          <w:color w:val="000000"/>
        </w:rPr>
        <w:t>Schmidt, C., Pacher, M., &amp; Puchta, H. (2019). DNA break repair in plants and its application for genome engineering.</w:t>
      </w:r>
      <w:r>
        <w:rPr>
          <w:color w:val="000000"/>
        </w:rPr>
        <w:t xml:space="preserve"> In S. Kumar, P. Barone, &amp; M. Smith (Eds.), Transgenic plants: Methods in molecular biology. Humana Press. https://doi.org/10.1007/978-1-4939-8778-8_17</w:t>
      </w:r>
    </w:p>
    <w:p w:rsidR="00040D52" w:rsidRDefault="004D14CF">
      <w:pPr>
        <w:spacing w:line="480" w:lineRule="auto"/>
        <w:ind w:left="993" w:right="545" w:hanging="720"/>
        <w:rPr>
          <w:color w:val="000000"/>
        </w:rPr>
      </w:pPr>
      <w:r>
        <w:rPr>
          <w:color w:val="000000"/>
        </w:rPr>
        <w:t xml:space="preserve">Shafi, A., Pal, A. K., Sharma, V., Kalia, S., Kumar, S., Ahuja, P. S., et al. (2017). Overexpression of </w:t>
      </w:r>
      <w:r>
        <w:rPr>
          <w:color w:val="000000"/>
        </w:rPr>
        <w:t xml:space="preserve">SOD and APX enhances salt tolerance in transgenic potato. </w:t>
      </w:r>
      <w:r>
        <w:rPr>
          <w:color w:val="000000"/>
        </w:rPr>
        <w:lastRenderedPageBreak/>
        <w:t>Plant Molecular Biology Reporter, 35, 504–518. https://doi.org/10.1007/s11105-017-1041-3</w:t>
      </w:r>
    </w:p>
    <w:p w:rsidR="00040D52" w:rsidRDefault="004D14CF">
      <w:pPr>
        <w:spacing w:line="480" w:lineRule="auto"/>
        <w:ind w:left="993" w:right="545" w:hanging="720"/>
        <w:rPr>
          <w:color w:val="000000"/>
        </w:rPr>
      </w:pPr>
      <w:r>
        <w:rPr>
          <w:color w:val="000000"/>
        </w:rPr>
        <w:t>Shah, A. N., Tanveer, M., Abbas, A., Fahad, S., Baloch, M. S., Ahmad, M. I., et al. (2021). Targeting salt st</w:t>
      </w:r>
      <w:r>
        <w:rPr>
          <w:color w:val="000000"/>
        </w:rPr>
        <w:t>ress coping mechanisms in Brassica. Plant Physiology and Biochemistry, 158, 53–64. https://doi.org/10.1016/j.plaphy.2020.11.044</w:t>
      </w:r>
    </w:p>
    <w:p w:rsidR="00040D52" w:rsidRDefault="004D14CF">
      <w:pPr>
        <w:spacing w:line="480" w:lineRule="auto"/>
        <w:ind w:left="993" w:right="545" w:hanging="720"/>
        <w:rPr>
          <w:color w:val="000000"/>
        </w:rPr>
      </w:pPr>
      <w:r>
        <w:rPr>
          <w:color w:val="000000"/>
        </w:rPr>
        <w:t>Shah, Z. H., Rehman, H. M., Akhtar, T., Daur, I., Nawaz, M. A., Ahmad, M. Q., et al. (2017). Redox and ionic homeostasis under s</w:t>
      </w:r>
      <w:r>
        <w:rPr>
          <w:color w:val="000000"/>
        </w:rPr>
        <w:t>tress in wheat. Frontiers in Genetics, 8, 141. https://doi.org/10.3389/fgene.2017.00141</w:t>
      </w:r>
    </w:p>
    <w:p w:rsidR="00040D52" w:rsidRDefault="004D14CF">
      <w:pPr>
        <w:spacing w:line="480" w:lineRule="auto"/>
        <w:ind w:left="993" w:right="545" w:hanging="720"/>
        <w:rPr>
          <w:color w:val="000000"/>
        </w:rPr>
      </w:pPr>
      <w:r>
        <w:rPr>
          <w:color w:val="000000"/>
        </w:rPr>
        <w:t>Shahzad, B., Rehman, A., Tanveer, M., Wang, L., Park, S. K., &amp; Ali, A. (2021). Salt stress effects and tolerance mechanisms in Brassica. Journal of Plant Growth Regulation. https://doi.org/10.1007/s00344-021-10338-x</w:t>
      </w:r>
    </w:p>
    <w:p w:rsidR="00040D52" w:rsidRDefault="004D14CF">
      <w:pPr>
        <w:spacing w:line="480" w:lineRule="auto"/>
        <w:ind w:left="993" w:right="545" w:hanging="720"/>
        <w:rPr>
          <w:color w:val="000000"/>
        </w:rPr>
      </w:pPr>
      <w:r>
        <w:rPr>
          <w:color w:val="000000"/>
        </w:rPr>
        <w:t>Shan, Q., Wang, Y., Li, J., Zhang, Y., Chen, K., Liang, Z., et al. (2013). Targeted genome modification using CRISPR-Cas systems. Nature Biotechnology, 31, 686–688. https://doi.org/10.1038/nbt.2650</w:t>
      </w:r>
    </w:p>
    <w:p w:rsidR="00040D52" w:rsidRDefault="004D14CF">
      <w:pPr>
        <w:spacing w:line="480" w:lineRule="auto"/>
        <w:ind w:left="993" w:right="545" w:hanging="720"/>
        <w:rPr>
          <w:color w:val="000000"/>
        </w:rPr>
      </w:pPr>
      <w:r>
        <w:rPr>
          <w:color w:val="000000"/>
        </w:rPr>
        <w:t>Sharma, I., Bhardwaj, R., &amp; Pati, P. K. (2013). Stress mod</w:t>
      </w:r>
      <w:r>
        <w:rPr>
          <w:color w:val="000000"/>
        </w:rPr>
        <w:t>ulation by brassinosteroids in rice. Pesticide Biochemistry and Physiology, 105, 144–153. https://doi.org/10.1016/j.pestbp.2013.01.004</w:t>
      </w:r>
    </w:p>
    <w:p w:rsidR="00040D52" w:rsidRDefault="004D14CF">
      <w:pPr>
        <w:spacing w:line="480" w:lineRule="auto"/>
        <w:ind w:left="993" w:right="545" w:hanging="720"/>
        <w:rPr>
          <w:color w:val="000000"/>
        </w:rPr>
      </w:pPr>
      <w:r>
        <w:rPr>
          <w:color w:val="000000"/>
        </w:rPr>
        <w:t>Singla-Pareek, S. L., Reddy, M. K., &amp; Sopory, S. K. (2003). Engineering glyoxalase pathway for salinity tolerance in toba</w:t>
      </w:r>
      <w:r>
        <w:rPr>
          <w:color w:val="000000"/>
        </w:rPr>
        <w:t>cco. Proceedings of the National Academy of Sciences, 100, 14672–14677. https://doi.org/10.1073/pnas.2034667100</w:t>
      </w:r>
    </w:p>
    <w:p w:rsidR="00040D52" w:rsidRDefault="004D14CF">
      <w:pPr>
        <w:spacing w:line="480" w:lineRule="auto"/>
        <w:ind w:left="993" w:right="545" w:hanging="720"/>
        <w:rPr>
          <w:color w:val="000000"/>
        </w:rPr>
      </w:pPr>
      <w:r>
        <w:rPr>
          <w:color w:val="000000"/>
        </w:rPr>
        <w:t>Soliman, W. S., Sugiyama, S. I., &amp; Abbas, A. M. (2018). Salinity tolerance strategies in turfgrass species. Horticulture, Environment, and Biote</w:t>
      </w:r>
      <w:r>
        <w:rPr>
          <w:color w:val="000000"/>
        </w:rPr>
        <w:t>chnology, 59, 29–36. https://doi.org/10.1007/s13580-018-0004-4</w:t>
      </w:r>
    </w:p>
    <w:p w:rsidR="00040D52" w:rsidRDefault="004D14CF">
      <w:pPr>
        <w:spacing w:line="480" w:lineRule="auto"/>
        <w:ind w:left="993" w:right="545" w:hanging="720"/>
        <w:rPr>
          <w:color w:val="000000"/>
        </w:rPr>
      </w:pPr>
      <w:r>
        <w:rPr>
          <w:color w:val="000000"/>
        </w:rPr>
        <w:t xml:space="preserve">Sripinyowanich, S., Klomsakul, P., Boonburapong, B., Bangyeekhun, T., Asami, T., Gu, H., et al. (2013). ABA-mediated salt tolerance in rice. Environmental and </w:t>
      </w:r>
      <w:r>
        <w:rPr>
          <w:color w:val="000000"/>
        </w:rPr>
        <w:lastRenderedPageBreak/>
        <w:t>Experimental Botany, 86, 94–105. h</w:t>
      </w:r>
      <w:r>
        <w:rPr>
          <w:color w:val="000000"/>
        </w:rPr>
        <w:t>ttps://doi.org/10.1016/j.envexpbot.2010.01.009</w:t>
      </w:r>
    </w:p>
    <w:p w:rsidR="00040D52" w:rsidRDefault="004D14CF">
      <w:pPr>
        <w:spacing w:line="480" w:lineRule="auto"/>
        <w:ind w:left="993" w:right="545" w:hanging="720"/>
        <w:rPr>
          <w:color w:val="000000"/>
        </w:rPr>
      </w:pPr>
      <w:r>
        <w:rPr>
          <w:color w:val="000000"/>
        </w:rPr>
        <w:t>Sun, H., Li, L., Lou, Y., Zhao, H., Yang, Y., Wang, S., et al. (2017). Aquaporin-mediated tolerance to drought and salinity stress. Plant Cell Reports, 36, 597–609. https://doi.org/10.1007/s00299-017-2106-2103</w:t>
      </w:r>
    </w:p>
    <w:p w:rsidR="00040D52" w:rsidRDefault="004D14CF">
      <w:pPr>
        <w:spacing w:line="480" w:lineRule="auto"/>
        <w:ind w:left="993" w:right="545" w:hanging="720"/>
        <w:rPr>
          <w:color w:val="000000"/>
        </w:rPr>
      </w:pPr>
      <w:r>
        <w:rPr>
          <w:color w:val="000000"/>
        </w:rPr>
        <w:t>Singh, P., Choudhary, K. K., Chaudhary, N., Gupta, S., Sahu, M., Tejaswini, B., &amp; Sarkar, S. (2022). Salt stress resilience in plants mediated through osmolyte accumulation and its crosstalk with phytohormones. Frontiers in Plant Science, 13, 1006617.</w:t>
      </w:r>
    </w:p>
    <w:p w:rsidR="00040D52" w:rsidRDefault="004D14CF">
      <w:pPr>
        <w:spacing w:line="480" w:lineRule="auto"/>
        <w:ind w:left="993" w:right="545" w:hanging="720"/>
        <w:rPr>
          <w:color w:val="000000"/>
        </w:rPr>
      </w:pPr>
      <w:r>
        <w:rPr>
          <w:color w:val="000000"/>
        </w:rPr>
        <w:t>Sin</w:t>
      </w:r>
      <w:r>
        <w:rPr>
          <w:color w:val="000000"/>
        </w:rPr>
        <w:t>gh, B., Dheeravathu, S. N., &amp; Usha, K. (2010). Micronutrient deficiency: A global challenge and physiological approach to improve grain productivity under low zinc availability. In Plant stress (Vol. 4, Special Issue 2, pp. 76–93). Global Science Books.</w:t>
      </w:r>
    </w:p>
    <w:p w:rsidR="00040D52" w:rsidRDefault="004D14CF">
      <w:pPr>
        <w:spacing w:line="480" w:lineRule="auto"/>
        <w:ind w:left="993" w:right="545" w:hanging="720"/>
        <w:rPr>
          <w:color w:val="000000"/>
        </w:rPr>
      </w:pPr>
      <w:r>
        <w:rPr>
          <w:color w:val="000000"/>
        </w:rPr>
        <w:t>Si</w:t>
      </w:r>
      <w:r>
        <w:rPr>
          <w:color w:val="000000"/>
        </w:rPr>
        <w:t>ngh, K., Dheeravathu, S. N., Ramteke, P. W., Reetu, Dikshit, N., &amp; Vadithe, T. B. (2020). Effect of salt stress on morpho-physiological and green fodder yield of Bajra Napier hybrids and tri-specific hybrid. Forage Research, 46, 241–247.</w:t>
      </w:r>
    </w:p>
    <w:p w:rsidR="00040D52" w:rsidRDefault="004D14CF">
      <w:pPr>
        <w:spacing w:line="480" w:lineRule="auto"/>
        <w:ind w:left="993" w:right="545" w:hanging="720"/>
        <w:rPr>
          <w:color w:val="000000"/>
        </w:rPr>
      </w:pPr>
      <w:r>
        <w:rPr>
          <w:color w:val="000000"/>
        </w:rPr>
        <w:t>Striker, G. G., Te</w:t>
      </w:r>
      <w:r>
        <w:rPr>
          <w:color w:val="000000"/>
        </w:rPr>
        <w:t>akle, N. L., Colmer, T. D., &amp; Barrett-Lennard, E. G. (2015). Growth responses of Melilotus siculus to combined salinity and root-zone hypoxia. Environmental and Experimental Botany, 109, 89–98.</w:t>
      </w:r>
    </w:p>
    <w:p w:rsidR="00040D52" w:rsidRDefault="004D14CF">
      <w:pPr>
        <w:spacing w:line="480" w:lineRule="auto"/>
        <w:ind w:left="993" w:right="545" w:hanging="720"/>
        <w:rPr>
          <w:color w:val="000000"/>
        </w:rPr>
      </w:pPr>
      <w:r>
        <w:rPr>
          <w:color w:val="000000"/>
        </w:rPr>
        <w:t>Sudhakar, C., Veeranagamallaiah, G., Nareshkumar, A., Sudhakar</w:t>
      </w:r>
      <w:r>
        <w:rPr>
          <w:color w:val="000000"/>
        </w:rPr>
        <w:t>babu, O., Sivakumar, M., Pandurangaiah, M., Kiranmai, K., &amp; Lokesh, U. (2015). Polyamine metabolism influences antioxidant defense mechanisms in foxtail millet (Setaria italica L.) under salinity stress. Plant Cell Reports, 34, 141–156.</w:t>
      </w:r>
    </w:p>
    <w:p w:rsidR="00040D52" w:rsidRDefault="004D14CF">
      <w:pPr>
        <w:spacing w:line="480" w:lineRule="auto"/>
        <w:ind w:left="993" w:right="545" w:hanging="720"/>
        <w:rPr>
          <w:color w:val="000000"/>
        </w:rPr>
      </w:pPr>
      <w:r>
        <w:rPr>
          <w:color w:val="000000"/>
        </w:rPr>
        <w:t>Taïbi, K., Taïbi, F</w:t>
      </w:r>
      <w:r>
        <w:rPr>
          <w:color w:val="000000"/>
        </w:rPr>
        <w:t>., Abderrahim, L. A., Ennajah, A., Belkhodja, M., &amp; Mulet, J. M. (2016). Salinity effects on growth and antioxidant systems. South African Journal of Botany, 105, 306–312. https://doi.org/10.1016/j.sajb.2016.03.011</w:t>
      </w:r>
    </w:p>
    <w:p w:rsidR="00040D52" w:rsidRDefault="004D14CF">
      <w:pPr>
        <w:spacing w:line="480" w:lineRule="auto"/>
        <w:ind w:left="993" w:right="545" w:hanging="720"/>
        <w:rPr>
          <w:color w:val="000000"/>
        </w:rPr>
      </w:pPr>
      <w:r>
        <w:rPr>
          <w:color w:val="000000"/>
        </w:rPr>
        <w:lastRenderedPageBreak/>
        <w:t>Tang, L., Cai, H., Ji, W., Luo, X., Wang,</w:t>
      </w:r>
      <w:r>
        <w:rPr>
          <w:color w:val="000000"/>
        </w:rPr>
        <w:t xml:space="preserve"> Z., Wu, J., et al. (2013). Overexpression of GsZFP1 enhances salt tolerance in alfalfa. Plant Physiology and Biochemistry, 71, 22–30. https://doi.org/10.1016/j.plaphy.2013.06.024</w:t>
      </w:r>
    </w:p>
    <w:p w:rsidR="00040D52" w:rsidRDefault="004D14CF">
      <w:pPr>
        <w:spacing w:line="480" w:lineRule="auto"/>
        <w:ind w:left="993" w:right="545" w:hanging="720"/>
        <w:rPr>
          <w:color w:val="000000"/>
        </w:rPr>
      </w:pPr>
      <w:r>
        <w:rPr>
          <w:color w:val="000000"/>
        </w:rPr>
        <w:t>Tang, L., Mao, B., Li, Y., Lv, Q., Zhang, L., Chen, C., et al. (2017). CRISP</w:t>
      </w:r>
      <w:r>
        <w:rPr>
          <w:color w:val="000000"/>
        </w:rPr>
        <w:t>R/Cas9-mediated gene knockout improves rice traits. Scientific Reports, 7, 14438. https://doi.org/10.1038/s41598-017-14832-9</w:t>
      </w:r>
    </w:p>
    <w:p w:rsidR="00040D52" w:rsidRDefault="004D14CF">
      <w:pPr>
        <w:spacing w:line="480" w:lineRule="auto"/>
        <w:ind w:left="993" w:right="545" w:hanging="720"/>
        <w:rPr>
          <w:color w:val="000000"/>
        </w:rPr>
      </w:pPr>
      <w:r>
        <w:rPr>
          <w:color w:val="000000"/>
        </w:rPr>
        <w:t>Tekaligne, T. M., Woldu, A. R., &amp; Tsigie, Y. A. (2015). Bioethanol production from finger millet straw. Ethiopian Journal of Scienc</w:t>
      </w:r>
      <w:r>
        <w:rPr>
          <w:color w:val="000000"/>
        </w:rPr>
        <w:t>e and Technology, 8(1). https://doi.org/10.4314/ejst.v8i1.1</w:t>
      </w:r>
    </w:p>
    <w:p w:rsidR="00040D52" w:rsidRDefault="004D14CF">
      <w:pPr>
        <w:spacing w:line="480" w:lineRule="auto"/>
        <w:ind w:left="993" w:right="545" w:hanging="720"/>
        <w:rPr>
          <w:color w:val="000000"/>
        </w:rPr>
      </w:pPr>
      <w:r>
        <w:rPr>
          <w:color w:val="000000"/>
        </w:rPr>
        <w:t>Thilakarathna, M. S., &amp; Raizada, M. N. (2015). Nutrient management in finger millet. Agronomy, 5, 262–290. https://doi.org/10.3390/agronomy5030262</w:t>
      </w:r>
    </w:p>
    <w:p w:rsidR="00040D52" w:rsidRDefault="004D14CF">
      <w:pPr>
        <w:spacing w:line="480" w:lineRule="auto"/>
        <w:ind w:left="993" w:right="545" w:hanging="720"/>
        <w:rPr>
          <w:color w:val="000000"/>
        </w:rPr>
      </w:pPr>
      <w:r>
        <w:rPr>
          <w:color w:val="000000"/>
        </w:rPr>
        <w:t xml:space="preserve">Tiwari, S., Singh, P., Tiwari, R., Meena, K. K., </w:t>
      </w:r>
      <w:r>
        <w:rPr>
          <w:color w:val="000000"/>
        </w:rPr>
        <w:t xml:space="preserve">Yandigeri, M., Singh, D. P., et al. (2011). Salt-tolerant rhizobacteria enhance wheat growth. Biology and Fertility of Soils, 47, 907–916. </w:t>
      </w:r>
      <w:hyperlink r:id="rId18">
        <w:r>
          <w:rPr>
            <w:color w:val="0563C1"/>
            <w:u w:val="single"/>
          </w:rPr>
          <w:t>https://doi.org/10.1007/s00374-011-0598-5</w:t>
        </w:r>
      </w:hyperlink>
    </w:p>
    <w:p w:rsidR="00040D52" w:rsidRDefault="004D14CF">
      <w:pPr>
        <w:spacing w:line="480" w:lineRule="auto"/>
        <w:ind w:left="993" w:right="545" w:hanging="720"/>
        <w:rPr>
          <w:color w:val="000000"/>
        </w:rPr>
      </w:pPr>
      <w:r>
        <w:rPr>
          <w:color w:val="000000"/>
        </w:rPr>
        <w:t>Thrupthi, G. N</w:t>
      </w:r>
      <w:r>
        <w:rPr>
          <w:color w:val="000000"/>
        </w:rPr>
        <w:t>., Anusha, K. K., Shilpa, M. D., &amp; Anjali Krishna, M. (2023). Study of salinity tolerance in three varieties of finger millet (Eleusine coracana (L.) Gaertn.). Journal of Medicinal Plants Studies, 11(4), 99–105.</w:t>
      </w:r>
    </w:p>
    <w:p w:rsidR="00040D52" w:rsidRDefault="004D14CF">
      <w:pPr>
        <w:spacing w:line="480" w:lineRule="auto"/>
        <w:ind w:left="993" w:right="545" w:hanging="720"/>
        <w:rPr>
          <w:color w:val="000000"/>
        </w:rPr>
      </w:pPr>
      <w:r>
        <w:rPr>
          <w:color w:val="000000"/>
        </w:rPr>
        <w:t>Tlig, T., Gorai, M., &amp; Neffati, M. (2008). G</w:t>
      </w:r>
      <w:r>
        <w:rPr>
          <w:color w:val="000000"/>
        </w:rPr>
        <w:t>ermination responses of Diplotaxis harra to temperature and salinity. Flora, 203(5), 421–428.</w:t>
      </w:r>
    </w:p>
    <w:p w:rsidR="00040D52" w:rsidRDefault="004D14CF">
      <w:pPr>
        <w:spacing w:line="480" w:lineRule="auto"/>
        <w:ind w:left="993" w:right="545" w:hanging="720"/>
        <w:rPr>
          <w:color w:val="000000"/>
        </w:rPr>
      </w:pPr>
      <w:r>
        <w:rPr>
          <w:color w:val="000000"/>
        </w:rPr>
        <w:t>Upadhyay, S. K., Singh, J. S., Saxena, A. K., &amp; Singh, D. P. (2012). PGPR improves wheat tolerance under salinity. Plant Biology, 14, 605–611. https://doi.org/10.</w:t>
      </w:r>
      <w:r>
        <w:rPr>
          <w:color w:val="000000"/>
        </w:rPr>
        <w:t>1111/j.1438-8677.2011.00533.x</w:t>
      </w:r>
    </w:p>
    <w:p w:rsidR="00040D52" w:rsidRDefault="004D14CF">
      <w:pPr>
        <w:spacing w:line="480" w:lineRule="auto"/>
        <w:ind w:left="993" w:right="545" w:hanging="720"/>
        <w:rPr>
          <w:color w:val="000000"/>
        </w:rPr>
      </w:pPr>
      <w:r>
        <w:rPr>
          <w:color w:val="000000"/>
        </w:rPr>
        <w:t>Vadez, V., Rashmi, M., Sindhu, K., Muralidharan, M., Pushpavalli, R., Turner, N. C., et al. (2012). Reproductive traits enhance yield under salt stress in chickpea. European Journal of Agronomy, 41, 42–51. https://doi.org/10.1</w:t>
      </w:r>
      <w:r>
        <w:rPr>
          <w:color w:val="000000"/>
        </w:rPr>
        <w:t>016/j.eja.2012.03.008</w:t>
      </w:r>
    </w:p>
    <w:p w:rsidR="00040D52" w:rsidRDefault="004D14CF">
      <w:pPr>
        <w:spacing w:line="480" w:lineRule="auto"/>
        <w:ind w:left="993" w:right="545" w:hanging="720"/>
        <w:rPr>
          <w:color w:val="000000"/>
        </w:rPr>
      </w:pPr>
      <w:r>
        <w:rPr>
          <w:color w:val="000000"/>
        </w:rPr>
        <w:lastRenderedPageBreak/>
        <w:t xml:space="preserve">Van Oosten, M. J., Pepe, O., De Pascale, S., Silletti, S., &amp; Maggio, A. (2017). Biostimulants in abiotic stress alleviation. Chemical and Biological Technologies in Agriculture, 4, 5. </w:t>
      </w:r>
      <w:hyperlink r:id="rId19">
        <w:r>
          <w:rPr>
            <w:color w:val="0563C1"/>
            <w:u w:val="single"/>
          </w:rPr>
          <w:t>https://doi.org/10.1186/s40538-017-0089-5</w:t>
        </w:r>
      </w:hyperlink>
    </w:p>
    <w:p w:rsidR="00040D52" w:rsidRDefault="004D14CF">
      <w:pPr>
        <w:spacing w:line="480" w:lineRule="auto"/>
        <w:ind w:left="993" w:right="545" w:hanging="720"/>
        <w:rPr>
          <w:color w:val="000000"/>
        </w:rPr>
      </w:pPr>
      <w:r>
        <w:rPr>
          <w:color w:val="000000"/>
        </w:rPr>
        <w:t>Virlet, N., Sabermanesh, K., Sadeghi-Tehran, P., &amp; Hawkesford, M. J. (2016). Field Scanalyzer: An automated robotic field phenotyping platform. Functional Plant Biology, 44, 143–153.</w:t>
      </w:r>
    </w:p>
    <w:p w:rsidR="00040D52" w:rsidRDefault="004D14CF">
      <w:pPr>
        <w:spacing w:line="480" w:lineRule="auto"/>
        <w:ind w:left="993" w:right="545" w:hanging="720"/>
        <w:rPr>
          <w:color w:val="000000"/>
        </w:rPr>
      </w:pPr>
      <w:r>
        <w:rPr>
          <w:color w:val="000000"/>
        </w:rPr>
        <w:t>Viveros, M. F. Á., I</w:t>
      </w:r>
      <w:r>
        <w:rPr>
          <w:color w:val="000000"/>
        </w:rPr>
        <w:t>nostroza-Blancheteau, C., Timmermann, T., González, M., &amp; Arce-Johnson, P. (2013). Glyoxalase gene overexpression enhances salt tolerance in tomato. Molecular Biology Reports, 40, 3281–3290. https://doi.org/10.1007/s11033-012-2403-4</w:t>
      </w:r>
    </w:p>
    <w:p w:rsidR="00040D52" w:rsidRDefault="004D14CF">
      <w:pPr>
        <w:spacing w:line="480" w:lineRule="auto"/>
        <w:ind w:left="993" w:right="545" w:hanging="720"/>
        <w:rPr>
          <w:color w:val="000000"/>
        </w:rPr>
      </w:pPr>
      <w:r>
        <w:rPr>
          <w:color w:val="000000"/>
        </w:rPr>
        <w:t>Wang, L., Chen, L., Li,</w:t>
      </w:r>
      <w:r>
        <w:rPr>
          <w:color w:val="000000"/>
        </w:rPr>
        <w:t xml:space="preserve"> R., Zhao, R., Yang, M., Sheng, J., et al. (2017). CRISPR-mediated gene editing affects drought tolerance in tomato. Journal of Agricultural and Food Chemistry, 65, 8674–8682. https://doi.org/10.1021/acs.jafc.7b02745</w:t>
      </w:r>
    </w:p>
    <w:p w:rsidR="00040D52" w:rsidRDefault="004D14CF">
      <w:pPr>
        <w:spacing w:line="480" w:lineRule="auto"/>
        <w:ind w:left="993" w:right="545" w:hanging="720"/>
        <w:rPr>
          <w:color w:val="000000"/>
        </w:rPr>
      </w:pPr>
      <w:r>
        <w:rPr>
          <w:color w:val="000000"/>
        </w:rPr>
        <w:t>Wang, M., Mao, Y., Lu, Y., Tao, X., &amp; Z</w:t>
      </w:r>
      <w:r>
        <w:rPr>
          <w:color w:val="000000"/>
        </w:rPr>
        <w:t>hu, J. K. (2017). Multiplex genome editing using CRISPR-Cpf1. Molecular Plant, 10, 1011–1013. https://doi.org/10.1016/j.molp.2017.03.001</w:t>
      </w:r>
    </w:p>
    <w:p w:rsidR="00040D52" w:rsidRDefault="004D14CF">
      <w:pPr>
        <w:spacing w:line="480" w:lineRule="auto"/>
        <w:ind w:left="993" w:right="545" w:hanging="720"/>
        <w:rPr>
          <w:color w:val="000000"/>
        </w:rPr>
      </w:pPr>
      <w:r>
        <w:rPr>
          <w:color w:val="000000"/>
        </w:rPr>
        <w:t>Wang, Q., Wu, C., Xie, B., Liu, Y., Cui, J., Chen, G., et al. (2012). Antioxidant responses to salinity stress in switc</w:t>
      </w:r>
      <w:r>
        <w:rPr>
          <w:color w:val="000000"/>
        </w:rPr>
        <w:t>hgrass. Plant Physiology and Biochemistry, 58, 288–296. https://doi.org/10.1016/j.plaphy.2012.06.021</w:t>
      </w:r>
    </w:p>
    <w:p w:rsidR="00040D52" w:rsidRDefault="004D14CF">
      <w:pPr>
        <w:spacing w:line="480" w:lineRule="auto"/>
        <w:ind w:left="993" w:right="545" w:hanging="720"/>
        <w:rPr>
          <w:color w:val="000000"/>
        </w:rPr>
      </w:pPr>
      <w:r>
        <w:rPr>
          <w:color w:val="000000"/>
        </w:rPr>
        <w:t>Wang, W., Wu, Z., He, Y., Huang, Y., Li, X., &amp; Ye, B. C. (2018). Bacillus-mediated salinity tolerance in pepper. Ecotoxicology and Environmental Safety, 164, 520–529. https://doi.org/10.1016/j.ecoenv.2018.08.070</w:t>
      </w:r>
    </w:p>
    <w:p w:rsidR="00040D52" w:rsidRDefault="004D14CF">
      <w:pPr>
        <w:spacing w:line="480" w:lineRule="auto"/>
        <w:ind w:left="993" w:right="545" w:hanging="720"/>
        <w:rPr>
          <w:color w:val="000000"/>
        </w:rPr>
      </w:pPr>
      <w:r>
        <w:rPr>
          <w:color w:val="000000"/>
        </w:rPr>
        <w:t xml:space="preserve">Wang, Y., Jiang, L., Chen, J., Tao, L., An, </w:t>
      </w:r>
      <w:r>
        <w:rPr>
          <w:color w:val="000000"/>
        </w:rPr>
        <w:t>Y., Cai, H., et al. (2018). WRKY gene overexpression enhances salt tolerance in soybean. PLoS ONE, 13, e0192382. https://doi.org/10.1371/journal.pone.0192382</w:t>
      </w:r>
    </w:p>
    <w:p w:rsidR="00040D52" w:rsidRDefault="004D14CF">
      <w:pPr>
        <w:spacing w:line="480" w:lineRule="auto"/>
        <w:ind w:left="993" w:right="545" w:hanging="720"/>
        <w:rPr>
          <w:color w:val="000000"/>
        </w:rPr>
      </w:pPr>
      <w:r>
        <w:rPr>
          <w:color w:val="000000"/>
        </w:rPr>
        <w:lastRenderedPageBreak/>
        <w:t>Watson, A., Ghosh, S., Williams, M. J., Cuddy, W. S., Simmonds, J., Rey, M. D., et al. (2018). Spe</w:t>
      </w:r>
      <w:r>
        <w:rPr>
          <w:color w:val="000000"/>
        </w:rPr>
        <w:t>ed breeding accelerates crop research. Nature Plants, 4, 23–29. https://doi.org/10.1038/s41477-017-0083-8</w:t>
      </w:r>
    </w:p>
    <w:p w:rsidR="00040D52" w:rsidRDefault="004D14CF">
      <w:pPr>
        <w:spacing w:line="480" w:lineRule="auto"/>
        <w:ind w:left="993" w:right="545" w:hanging="720"/>
        <w:rPr>
          <w:color w:val="000000"/>
        </w:rPr>
      </w:pPr>
      <w:r>
        <w:rPr>
          <w:color w:val="000000"/>
        </w:rPr>
        <w:t xml:space="preserve">Weisany, W., Sohrabi, Y., Heidari, G., Siosemardeh, A., &amp; Ghassemi-Golezani, K. (2012). Antioxidant enzyme responses under salinity in soybean. Plant </w:t>
      </w:r>
      <w:r>
        <w:rPr>
          <w:color w:val="000000"/>
        </w:rPr>
        <w:t>Omics, 5, 60–67</w:t>
      </w:r>
    </w:p>
    <w:p w:rsidR="00040D52" w:rsidRDefault="004D14CF">
      <w:pPr>
        <w:spacing w:line="480" w:lineRule="auto"/>
        <w:ind w:left="993" w:right="545" w:hanging="720"/>
        <w:rPr>
          <w:color w:val="000000"/>
        </w:rPr>
      </w:pPr>
      <w:r>
        <w:rPr>
          <w:color w:val="000000"/>
        </w:rPr>
        <w:t>Werner, C. R., Gaynor, R. C., Gorjanc, G., Hickey, J. M., Kox, T., Abbadi, A., et al. (2020). Population structure effects on genomic selection. Frontiers in Plant Science, 11, 592977. https://doi.org/10.3389/fpls.2020.592977</w:t>
      </w:r>
    </w:p>
    <w:p w:rsidR="00040D52" w:rsidRDefault="004D14CF">
      <w:pPr>
        <w:spacing w:line="480" w:lineRule="auto"/>
        <w:ind w:left="993" w:right="545" w:hanging="720"/>
        <w:rPr>
          <w:color w:val="000000"/>
        </w:rPr>
      </w:pPr>
      <w:r>
        <w:rPr>
          <w:color w:val="000000"/>
        </w:rPr>
        <w:t>Wright, D. A.,</w:t>
      </w:r>
      <w:r>
        <w:rPr>
          <w:color w:val="000000"/>
        </w:rPr>
        <w:t xml:space="preserve"> Townsend, J. A., Winfrey, R. J., Irwin, P. A., Rajagopal, J., Lonosky, P. M., et al. (2005). Zinc-finger nuclease-mediated recombination in plants. The Plant Journal, 44, 693–705. https://doi.org/10.1111/j.1365-313X.2005.02551.x</w:t>
      </w:r>
    </w:p>
    <w:p w:rsidR="00040D52" w:rsidRDefault="004D14CF">
      <w:pPr>
        <w:spacing w:line="480" w:lineRule="auto"/>
        <w:ind w:left="993" w:right="545" w:hanging="720"/>
        <w:rPr>
          <w:color w:val="000000"/>
        </w:rPr>
      </w:pPr>
      <w:r>
        <w:rPr>
          <w:color w:val="000000"/>
        </w:rPr>
        <w:t>Wurtzel, E. T., Vickers, C</w:t>
      </w:r>
      <w:r>
        <w:rPr>
          <w:color w:val="000000"/>
        </w:rPr>
        <w:t>. E., Hanson, A. D., Millar, A. H., Cooper, M., Voss-Fels, K. P., et al. (2019). Synthetic biology for agriculture. Nature Plants, 5, 1207–1210. https://doi.org/10.1038/s41477-019-0539-0</w:t>
      </w:r>
    </w:p>
    <w:p w:rsidR="00040D52" w:rsidRDefault="004D14CF">
      <w:pPr>
        <w:spacing w:line="480" w:lineRule="auto"/>
        <w:ind w:left="993" w:right="545" w:hanging="720"/>
        <w:rPr>
          <w:color w:val="000000"/>
        </w:rPr>
      </w:pPr>
      <w:r>
        <w:rPr>
          <w:color w:val="000000"/>
        </w:rPr>
        <w:t xml:space="preserve">Yan, H., Li, Q., Park, S. C., Wang, X., Liu, Y. J., Zhang, Y. G., et </w:t>
      </w:r>
      <w:r>
        <w:rPr>
          <w:color w:val="000000"/>
        </w:rPr>
        <w:t xml:space="preserve">al. (2016). Overexpression of antioxidant enzymes enhances salt tolerance in sweet potato. Plant Physiology and Biochemistry, 109, 20–27. </w:t>
      </w:r>
      <w:hyperlink r:id="rId20">
        <w:r>
          <w:rPr>
            <w:color w:val="0563C1"/>
            <w:u w:val="single"/>
          </w:rPr>
          <w:t>https://doi.org/10.1016/j.plaphy.2016.09.003</w:t>
        </w:r>
      </w:hyperlink>
    </w:p>
    <w:p w:rsidR="00040D52" w:rsidRDefault="004D14CF">
      <w:pPr>
        <w:spacing w:line="480" w:lineRule="auto"/>
        <w:ind w:left="993" w:right="545" w:hanging="720"/>
        <w:rPr>
          <w:color w:val="000000"/>
        </w:rPr>
      </w:pPr>
      <w:r>
        <w:rPr>
          <w:color w:val="000000"/>
        </w:rPr>
        <w:t>Yang, Z.,</w:t>
      </w:r>
      <w:r>
        <w:rPr>
          <w:color w:val="000000"/>
        </w:rPr>
        <w:t xml:space="preserve"> Zhang, H. X., Li, H., Shen, J., Gao, S., Hou, B., et al. (2020). Mini foxtail millet as a C4 model system. Nature Plants, 6, 1167–1178.</w:t>
      </w:r>
    </w:p>
    <w:p w:rsidR="00040D52" w:rsidRDefault="004D14CF">
      <w:pPr>
        <w:spacing w:line="480" w:lineRule="auto"/>
        <w:ind w:left="993" w:right="545" w:hanging="720"/>
        <w:rPr>
          <w:color w:val="000000"/>
        </w:rPr>
      </w:pPr>
      <w:r>
        <w:rPr>
          <w:color w:val="000000"/>
        </w:rPr>
        <w:t>Yao, L., Wu, Z., Zheng, Y., Kaleem, I., &amp; Li, C. (2010). Growth promotion under salinity by Pseudomonas putida. Europea</w:t>
      </w:r>
      <w:r>
        <w:rPr>
          <w:color w:val="000000"/>
        </w:rPr>
        <w:t>n Journal of Soil Biology, 46, 49–54. https://doi.org/10.1016/j.ejsobi.2009.11.002</w:t>
      </w:r>
    </w:p>
    <w:p w:rsidR="00040D52" w:rsidRDefault="004D14CF">
      <w:pPr>
        <w:spacing w:line="480" w:lineRule="auto"/>
        <w:ind w:left="993" w:right="545" w:hanging="720"/>
        <w:rPr>
          <w:color w:val="000000"/>
        </w:rPr>
      </w:pPr>
      <w:r>
        <w:rPr>
          <w:color w:val="000000"/>
        </w:rPr>
        <w:lastRenderedPageBreak/>
        <w:t>Yepes-Molina, L., Bárzana, G., &amp; Carvajal, M. (2020). Aquaporin regulation under salinity and drought stress. Plants, 9, 1662. https://doi.org/10.3390/plants9121662</w:t>
      </w:r>
    </w:p>
    <w:p w:rsidR="00040D52" w:rsidRDefault="004D14CF">
      <w:pPr>
        <w:spacing w:line="480" w:lineRule="auto"/>
        <w:ind w:left="993" w:right="545" w:hanging="720"/>
        <w:rPr>
          <w:color w:val="000000"/>
        </w:rPr>
      </w:pPr>
      <w:r>
        <w:rPr>
          <w:color w:val="000000"/>
        </w:rPr>
        <w:t>Yu, J. Q., Wang, J. H., Sun, C. H., Zhang, Q. Y., Hu, D. G., &amp; Hao, Y. J. (2018). MdY3IP1 enhances salt tolerance and flowering in Arabidopsis. BMC Plant Biology, 18, 18. https://doi.org/10.1186/s12870-018-1232-6</w:t>
      </w:r>
    </w:p>
    <w:p w:rsidR="00040D52" w:rsidRDefault="004D14CF">
      <w:pPr>
        <w:spacing w:line="480" w:lineRule="auto"/>
        <w:ind w:left="993" w:right="545" w:hanging="720"/>
        <w:rPr>
          <w:color w:val="000000"/>
        </w:rPr>
      </w:pPr>
      <w:r>
        <w:rPr>
          <w:color w:val="000000"/>
        </w:rPr>
        <w:t>Zhang, A., Liu, Y., Wang, F., Li, T., Chen,</w:t>
      </w:r>
      <w:r>
        <w:rPr>
          <w:color w:val="000000"/>
        </w:rPr>
        <w:t xml:space="preserve"> Z., Kong, D., et al. (2019). CRISPR/Cas9-mediated improvement of salinity tolerance in rice. Molecular Breeding, 39, 47.</w:t>
      </w:r>
    </w:p>
    <w:p w:rsidR="00040D52" w:rsidRDefault="004D14CF">
      <w:pPr>
        <w:spacing w:line="480" w:lineRule="auto"/>
        <w:ind w:left="993" w:right="545" w:hanging="720"/>
        <w:rPr>
          <w:color w:val="000000"/>
        </w:rPr>
      </w:pPr>
      <w:r>
        <w:rPr>
          <w:color w:val="000000"/>
        </w:rPr>
        <w:t>Zhou, J., Reynolds, D., Websdale, D., et al. (2017). CropQuant: An automated and scalable field phenotyping platform. bioRxiv.</w:t>
      </w:r>
    </w:p>
    <w:p w:rsidR="00040D52" w:rsidRDefault="004D14CF">
      <w:pPr>
        <w:spacing w:line="480" w:lineRule="auto"/>
        <w:ind w:left="993" w:right="545" w:hanging="720"/>
        <w:rPr>
          <w:color w:val="000000"/>
        </w:rPr>
      </w:pPr>
      <w:r>
        <w:rPr>
          <w:color w:val="000000"/>
        </w:rPr>
        <w:t>Zhao, S</w:t>
      </w:r>
      <w:r>
        <w:rPr>
          <w:color w:val="000000"/>
        </w:rPr>
        <w:t>., Zhang, Q., Liu, M., Zhou, H., Ma, C., &amp; Wang, P. (2021). Regulation of plant responses to salt stress. International Journal of Molecular Sciences, 22, 4609.</w:t>
      </w:r>
    </w:p>
    <w:p w:rsidR="00040D52" w:rsidRDefault="004D14CF">
      <w:pPr>
        <w:spacing w:line="480" w:lineRule="auto"/>
        <w:ind w:left="993" w:right="545" w:hanging="720"/>
        <w:rPr>
          <w:color w:val="000000"/>
        </w:rPr>
      </w:pPr>
      <w:r>
        <w:rPr>
          <w:color w:val="000000"/>
        </w:rPr>
        <w:t>Zhu, F., Saluja, M., Dharni, J. S., et al. (2021). PhenoImage: An open-source graphical user in</w:t>
      </w:r>
      <w:r>
        <w:rPr>
          <w:color w:val="000000"/>
        </w:rPr>
        <w:t>terface for plant image analysis. Plant Phenome Journal, 4, e20015.</w:t>
      </w:r>
    </w:p>
    <w:p w:rsidR="00040D52" w:rsidRDefault="004D14CF">
      <w:pPr>
        <w:spacing w:line="480" w:lineRule="auto"/>
        <w:ind w:left="993" w:right="545" w:hanging="720"/>
        <w:rPr>
          <w:color w:val="000000"/>
        </w:rPr>
      </w:pPr>
      <w:r>
        <w:rPr>
          <w:color w:val="000000"/>
        </w:rPr>
        <w:t>Zhu, J. K. (2002). Salt and drought stress signal transduction in plants. Annual Review of Plant Biology, 53, 247–273.</w:t>
      </w:r>
    </w:p>
    <w:p w:rsidR="00040D52" w:rsidRDefault="004D14CF">
      <w:pPr>
        <w:spacing w:line="480" w:lineRule="auto"/>
        <w:ind w:left="993" w:right="545" w:hanging="720"/>
        <w:rPr>
          <w:color w:val="000000"/>
        </w:rPr>
      </w:pPr>
      <w:r>
        <w:rPr>
          <w:color w:val="000000"/>
        </w:rPr>
        <w:t>Zuazo, V. D., Raya, A. M., &amp; Ruiz, J. A. (2004). Impact of salinity o</w:t>
      </w:r>
      <w:r>
        <w:rPr>
          <w:color w:val="000000"/>
        </w:rPr>
        <w:t>n the fruit yield of mango (Mangifera indica L. cv. Osteen). European Journal of Agronomy, 21(3), 323–334.</w:t>
      </w:r>
    </w:p>
    <w:p w:rsidR="00040D52" w:rsidRDefault="00040D52">
      <w:pPr>
        <w:spacing w:line="480" w:lineRule="auto"/>
        <w:ind w:left="993" w:right="545" w:hanging="720"/>
        <w:rPr>
          <w:color w:val="000000"/>
        </w:rPr>
      </w:pPr>
    </w:p>
    <w:sectPr w:rsidR="00040D52">
      <w:footerReference w:type="default" r:id="rId21"/>
      <w:type w:val="continuous"/>
      <w:pgSz w:w="11906" w:h="16838"/>
      <w:pgMar w:top="1276" w:right="1440"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4CF" w:rsidRDefault="004D14CF">
      <w:pPr>
        <w:spacing w:after="0" w:line="240" w:lineRule="auto"/>
      </w:pPr>
      <w:r>
        <w:separator/>
      </w:r>
    </w:p>
  </w:endnote>
  <w:endnote w:type="continuationSeparator" w:id="0">
    <w:p w:rsidR="004D14CF" w:rsidRDefault="004D1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99DBB1-FF86-47A9-91E6-498D6C0F0DCF}"/>
    <w:embedBold r:id="rId2" w:fontKey="{5658A09B-CE25-4094-A967-263FF9B6B0B6}"/>
    <w:embedItalic r:id="rId3" w:fontKey="{B9CEB797-FA0C-48EE-A0FA-ABF1E77B4470}"/>
  </w:font>
  <w:font w:name="Cambria">
    <w:panose1 w:val="02040503050406030204"/>
    <w:charset w:val="00"/>
    <w:family w:val="roman"/>
    <w:pitch w:val="variable"/>
    <w:sig w:usb0="E00006FF" w:usb1="420024FF" w:usb2="02000000" w:usb3="00000000" w:csb0="0000019F" w:csb1="00000000"/>
    <w:embedRegular r:id="rId4" w:fontKey="{98A0311B-3CD5-4244-97E1-C8CA1BEA4C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D52" w:rsidRDefault="00040D52">
    <w:pPr>
      <w:widowControl w:val="0"/>
      <w:pBdr>
        <w:top w:val="nil"/>
        <w:left w:val="nil"/>
        <w:bottom w:val="nil"/>
        <w:right w:val="nil"/>
        <w:between w:val="nil"/>
      </w:pBdr>
      <w:spacing w:after="0" w:line="14" w:lineRule="auto"/>
      <w:ind w:left="0" w:right="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D52" w:rsidRDefault="00040D52">
    <w:pPr>
      <w:widowControl w:val="0"/>
      <w:pBdr>
        <w:top w:val="nil"/>
        <w:left w:val="nil"/>
        <w:bottom w:val="nil"/>
        <w:right w:val="nil"/>
        <w:between w:val="nil"/>
      </w:pBdr>
      <w:spacing w:after="0" w:line="14" w:lineRule="auto"/>
      <w:ind w:left="0" w:right="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4CF" w:rsidRDefault="004D14CF">
      <w:pPr>
        <w:spacing w:after="0" w:line="240" w:lineRule="auto"/>
      </w:pPr>
      <w:r>
        <w:separator/>
      </w:r>
    </w:p>
  </w:footnote>
  <w:footnote w:type="continuationSeparator" w:id="0">
    <w:p w:rsidR="004D14CF" w:rsidRDefault="004D1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06C06"/>
    <w:multiLevelType w:val="multilevel"/>
    <w:tmpl w:val="E614442C"/>
    <w:lvl w:ilvl="0">
      <w:start w:val="1"/>
      <w:numFmt w:val="decimal"/>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1" w15:restartNumberingAfterBreak="0">
    <w:nsid w:val="729172E0"/>
    <w:multiLevelType w:val="multilevel"/>
    <w:tmpl w:val="BDBA2BB6"/>
    <w:lvl w:ilvl="0">
      <w:start w:val="1"/>
      <w:numFmt w:val="lowerRoman"/>
      <w:lvlText w:val="%1)"/>
      <w:lvlJc w:val="left"/>
      <w:pPr>
        <w:ind w:left="1136" w:hanging="72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52"/>
    <w:rsid w:val="00040D52"/>
    <w:rsid w:val="002D1432"/>
    <w:rsid w:val="004B14C9"/>
    <w:rsid w:val="004D14CF"/>
    <w:rsid w:val="00565A26"/>
    <w:rsid w:val="0077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D610"/>
  <w15:docId w15:val="{2754765D-E646-4516-B583-2D3577FA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US" w:bidi="ar-SA"/>
      </w:rPr>
    </w:rPrDefault>
    <w:pPrDefault>
      <w:pPr>
        <w:spacing w:after="4" w:line="357" w:lineRule="auto"/>
        <w:ind w:left="10" w:right="1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11" w:line="256" w:lineRule="auto"/>
      <w:ind w:left="12" w:right="0" w:hanging="10"/>
      <w:jc w:val="left"/>
      <w:outlineLvl w:val="0"/>
    </w:pPr>
    <w:rPr>
      <w:b/>
      <w:bCs/>
      <w:color w:val="000000"/>
    </w:rPr>
  </w:style>
  <w:style w:type="paragraph" w:styleId="Heading2">
    <w:name w:val="heading 2"/>
    <w:basedOn w:val="Normal"/>
    <w:next w:val="Normal"/>
    <w:uiPriority w:val="9"/>
    <w:semiHidden/>
    <w:unhideWhenUsed/>
    <w:qFormat/>
    <w:pPr>
      <w:spacing w:before="200" w:after="0" w:line="276" w:lineRule="auto"/>
      <w:ind w:left="0" w:right="0"/>
      <w:jc w:val="left"/>
      <w:outlineLvl w:val="1"/>
    </w:pPr>
    <w:rPr>
      <w:rFonts w:ascii="Calibri" w:eastAsia="Calibri" w:hAnsi="Calibri" w:cs="Calibri"/>
      <w:b/>
      <w:bCs/>
      <w:color w:val="000000"/>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80" w:after="40" w:line="259" w:lineRule="auto"/>
      <w:ind w:left="0" w:right="0"/>
      <w:jc w:val="left"/>
      <w:outlineLvl w:val="3"/>
    </w:pPr>
    <w:rPr>
      <w:rFonts w:ascii="Calibri" w:eastAsia="Calibri" w:hAnsi="Calibri" w:cs="Calibri"/>
      <w:i/>
      <w:iCs/>
      <w:color w:val="2F5496"/>
      <w:sz w:val="22"/>
      <w:szCs w:val="22"/>
    </w:rPr>
  </w:style>
  <w:style w:type="paragraph" w:styleId="Heading5">
    <w:name w:val="heading 5"/>
    <w:basedOn w:val="Normal"/>
    <w:next w:val="Normal"/>
    <w:uiPriority w:val="9"/>
    <w:semiHidden/>
    <w:unhideWhenUsed/>
    <w:qFormat/>
    <w:pPr>
      <w:keepNext/>
      <w:keepLines/>
      <w:spacing w:before="80" w:after="40" w:line="259" w:lineRule="auto"/>
      <w:ind w:left="0" w:right="0"/>
      <w:jc w:val="left"/>
      <w:outlineLvl w:val="4"/>
    </w:pPr>
    <w:rPr>
      <w:rFonts w:ascii="Calibri" w:eastAsia="Calibri" w:hAnsi="Calibri" w:cs="Calibri"/>
      <w:color w:val="2F5496"/>
      <w:sz w:val="22"/>
      <w:szCs w:val="22"/>
    </w:rPr>
  </w:style>
  <w:style w:type="paragraph" w:styleId="Heading6">
    <w:name w:val="heading 6"/>
    <w:basedOn w:val="Normal"/>
    <w:next w:val="Normal"/>
    <w:uiPriority w:val="9"/>
    <w:semiHidden/>
    <w:unhideWhenUsed/>
    <w:qFormat/>
    <w:pPr>
      <w:keepNext/>
      <w:keepLines/>
      <w:spacing w:before="40" w:after="0" w:line="259" w:lineRule="auto"/>
      <w:ind w:left="0" w:right="0"/>
      <w:jc w:val="left"/>
      <w:outlineLvl w:val="5"/>
    </w:pPr>
    <w:rPr>
      <w:rFonts w:ascii="Calibri" w:eastAsia="Calibri" w:hAnsi="Calibri" w:cs="Calibri"/>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ind w:left="0" w:right="0"/>
      <w:jc w:val="left"/>
    </w:pPr>
    <w:rPr>
      <w:rFonts w:ascii="Calibri" w:eastAsia="Calibri" w:hAnsi="Calibri" w:cs="Calibri"/>
      <w:color w:val="000000"/>
      <w:sz w:val="56"/>
      <w:szCs w:val="56"/>
    </w:rPr>
  </w:style>
  <w:style w:type="paragraph" w:styleId="Subtitle">
    <w:name w:val="Subtitle"/>
    <w:basedOn w:val="Normal"/>
    <w:next w:val="Normal"/>
    <w:uiPriority w:val="11"/>
    <w:qFormat/>
    <w:pPr>
      <w:spacing w:after="160" w:line="259" w:lineRule="auto"/>
      <w:ind w:right="0" w:hanging="10"/>
      <w:jc w:val="left"/>
    </w:pPr>
    <w:rPr>
      <w:rFonts w:ascii="Calibri" w:eastAsia="Calibri" w:hAnsi="Calibri" w:cs="Calibri"/>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169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ao.org/soils-portal/soil-management/management-of-some-problem-soils/salt-affected-soils" TargetMode="External"/><Relationship Id="rId18" Type="http://schemas.openxmlformats.org/officeDocument/2006/relationships/hyperlink" Target="https://doi.org/10.1007/s00374-011-0598-5"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1111/ppl.13032" TargetMode="External"/><Relationship Id="rId17" Type="http://schemas.openxmlformats.org/officeDocument/2006/relationships/hyperlink" Target="https://doi.org/10.1093/pcp/pcw055" TargetMode="External"/><Relationship Id="rId2" Type="http://schemas.openxmlformats.org/officeDocument/2006/relationships/styles" Target="styles.xml"/><Relationship Id="rId16" Type="http://schemas.openxmlformats.org/officeDocument/2006/relationships/hyperlink" Target="https://doi.org/10.1016/j.btre.2021.e00600" TargetMode="External"/><Relationship Id="rId20" Type="http://schemas.openxmlformats.org/officeDocument/2006/relationships/hyperlink" Target="https://doi.org/10.1016/j.plaphy.2016.09.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chem.2018.00034" TargetMode="External"/><Relationship Id="rId5" Type="http://schemas.openxmlformats.org/officeDocument/2006/relationships/footnotes" Target="footnotes.xml"/><Relationship Id="rId15" Type="http://schemas.openxmlformats.org/officeDocument/2006/relationships/hyperlink" Target="https://doi.org/10.1038/s41596-018-0072-z" TargetMode="External"/><Relationship Id="rId23" Type="http://schemas.openxmlformats.org/officeDocument/2006/relationships/theme" Target="theme/theme1.xml"/><Relationship Id="rId10" Type="http://schemas.openxmlformats.org/officeDocument/2006/relationships/hyperlink" Target="https://doi.org/10.1016/j.envexpbot.2005.12.006" TargetMode="External"/><Relationship Id="rId19" Type="http://schemas.openxmlformats.org/officeDocument/2006/relationships/hyperlink" Target="https://doi.org/10.1186/s40538-017-0089-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o.org/events/global-symposium-on-salt-affected-soi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11707</Words>
  <Characters>66736</Characters>
  <Application>Microsoft Office Word</Application>
  <DocSecurity>0</DocSecurity>
  <Lines>556</Lines>
  <Paragraphs>156</Paragraphs>
  <ScaleCrop>false</ScaleCrop>
  <Company/>
  <LinksUpToDate>false</LinksUpToDate>
  <CharactersWithSpaces>78287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9</cp:revision>
  <dcterms:created xsi:type="dcterms:W3CDTF">2026-03-31T06:49:00Z</dcterms:created>
  <dcterms:modified xsi:type="dcterms:W3CDTF">2026-03-31T06:53:00Z</dcterms:modified>
</cp:coreProperties>
</file>