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C284D4" w14:textId="77777777" w:rsidR="00E10D58" w:rsidRPr="00E10D58" w:rsidRDefault="00E10D58" w:rsidP="00E10D58">
      <w:pPr>
        <w:pStyle w:val="Author"/>
        <w:jc w:val="both"/>
        <w:rPr>
          <w:rFonts w:ascii="Arial" w:hAnsi="Arial" w:cs="Arial"/>
          <w:bCs/>
          <w:i/>
          <w:iCs/>
          <w:kern w:val="28"/>
          <w:sz w:val="18"/>
          <w:szCs w:val="18"/>
          <w:u w:val="single"/>
        </w:rPr>
      </w:pPr>
      <w:r w:rsidRPr="00E10D58">
        <w:rPr>
          <w:rFonts w:ascii="Arial" w:hAnsi="Arial" w:cs="Arial"/>
          <w:bCs/>
          <w:i/>
          <w:iCs/>
          <w:kern w:val="28"/>
          <w:sz w:val="18"/>
          <w:szCs w:val="18"/>
          <w:u w:val="single"/>
        </w:rPr>
        <w:t>Original Research Article</w:t>
      </w:r>
    </w:p>
    <w:p w14:paraId="727984AB" w14:textId="72960965" w:rsidR="00A258C3" w:rsidRDefault="00FB7DB9" w:rsidP="00441B6F">
      <w:pPr>
        <w:pStyle w:val="Author"/>
        <w:spacing w:line="240" w:lineRule="auto"/>
        <w:jc w:val="both"/>
        <w:rPr>
          <w:rFonts w:ascii="Arial" w:hAnsi="Arial" w:cs="Arial"/>
          <w:bCs/>
          <w:iCs/>
          <w:kern w:val="28"/>
          <w:sz w:val="36"/>
        </w:rPr>
      </w:pPr>
      <w:r>
        <w:rPr>
          <w:rFonts w:ascii="Arial" w:hAnsi="Arial" w:cs="Arial"/>
          <w:bCs/>
          <w:iCs/>
          <w:kern w:val="28"/>
          <w:sz w:val="36"/>
        </w:rPr>
        <w:t xml:space="preserve">Genetic Variability </w:t>
      </w:r>
      <w:r w:rsidR="00D4438D">
        <w:rPr>
          <w:rFonts w:ascii="Arial" w:hAnsi="Arial" w:cs="Arial"/>
          <w:bCs/>
          <w:iCs/>
          <w:kern w:val="28"/>
          <w:sz w:val="36"/>
        </w:rPr>
        <w:t>and Trait Analysis in Brinjal</w:t>
      </w:r>
      <w:r>
        <w:rPr>
          <w:rFonts w:ascii="Arial" w:hAnsi="Arial" w:cs="Arial"/>
          <w:bCs/>
          <w:iCs/>
          <w:kern w:val="28"/>
          <w:sz w:val="36"/>
        </w:rPr>
        <w:t xml:space="preserve"> (</w:t>
      </w:r>
      <w:r w:rsidRPr="00FB7DB9">
        <w:rPr>
          <w:rFonts w:ascii="Arial" w:hAnsi="Arial" w:cs="Arial"/>
          <w:bCs/>
          <w:i/>
          <w:kern w:val="28"/>
          <w:sz w:val="36"/>
        </w:rPr>
        <w:t xml:space="preserve">Solanum </w:t>
      </w:r>
      <w:proofErr w:type="spellStart"/>
      <w:r w:rsidRPr="00FB7DB9">
        <w:rPr>
          <w:rFonts w:ascii="Arial" w:hAnsi="Arial" w:cs="Arial"/>
          <w:bCs/>
          <w:i/>
          <w:kern w:val="28"/>
          <w:sz w:val="36"/>
        </w:rPr>
        <w:t>melongena</w:t>
      </w:r>
      <w:proofErr w:type="spellEnd"/>
      <w:r>
        <w:rPr>
          <w:rFonts w:ascii="Arial" w:hAnsi="Arial" w:cs="Arial"/>
          <w:bCs/>
          <w:iCs/>
          <w:kern w:val="28"/>
          <w:sz w:val="36"/>
        </w:rPr>
        <w:t xml:space="preserve"> L.) </w:t>
      </w:r>
      <w:r w:rsidR="00D4438D">
        <w:rPr>
          <w:rFonts w:ascii="Arial" w:hAnsi="Arial" w:cs="Arial"/>
          <w:bCs/>
          <w:iCs/>
          <w:kern w:val="28"/>
          <w:sz w:val="36"/>
        </w:rPr>
        <w:t>for Efficient Selection Strategies</w:t>
      </w:r>
    </w:p>
    <w:p w14:paraId="2DF76BB5" w14:textId="77777777" w:rsidR="0030213A" w:rsidRDefault="0030213A" w:rsidP="00FB7DB9">
      <w:pPr>
        <w:pStyle w:val="Affiliation"/>
        <w:spacing w:after="0" w:line="240" w:lineRule="auto"/>
        <w:rPr>
          <w:rFonts w:ascii="Arial" w:hAnsi="Arial" w:cs="Arial"/>
        </w:rPr>
      </w:pPr>
    </w:p>
    <w:p w14:paraId="01EEEECD" w14:textId="77777777" w:rsidR="002C57D2" w:rsidRPr="00FB3A86" w:rsidRDefault="002C57D2" w:rsidP="00441B6F">
      <w:pPr>
        <w:pStyle w:val="Affiliation"/>
        <w:spacing w:after="0" w:line="240" w:lineRule="auto"/>
        <w:jc w:val="both"/>
        <w:rPr>
          <w:rFonts w:ascii="Arial" w:hAnsi="Arial" w:cs="Arial"/>
        </w:rPr>
      </w:pPr>
    </w:p>
    <w:p w14:paraId="464BD0A4" w14:textId="77777777" w:rsidR="00B01FCD" w:rsidRPr="00FB3A86" w:rsidRDefault="00B5353C" w:rsidP="00441B6F">
      <w:pPr>
        <w:pStyle w:val="Copyright"/>
        <w:spacing w:after="0" w:line="240" w:lineRule="auto"/>
        <w:jc w:val="both"/>
        <w:rPr>
          <w:rFonts w:ascii="Arial" w:hAnsi="Arial" w:cs="Arial"/>
        </w:rPr>
        <w:sectPr w:rsidR="00B01FCD" w:rsidRPr="00FB3A86" w:rsidSect="00B6385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EB4D3FA">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58FF6D3" w14:textId="16A42328"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EFCE5E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3C80A15" w14:textId="77777777" w:rsidTr="001E44FE">
        <w:tc>
          <w:tcPr>
            <w:tcW w:w="9576" w:type="dxa"/>
            <w:shd w:val="clear" w:color="auto" w:fill="F2F2F2"/>
          </w:tcPr>
          <w:p w14:paraId="5870A072" w14:textId="2B4C5FAE" w:rsidR="00505F06" w:rsidRPr="00F550C6" w:rsidRDefault="00634CBF" w:rsidP="002F59B6">
            <w:pPr>
              <w:jc w:val="both"/>
              <w:rPr>
                <w:rFonts w:ascii="Arial" w:hAnsi="Arial" w:cs="Arial"/>
              </w:rPr>
            </w:pPr>
            <w:r w:rsidRPr="002F59B6">
              <w:rPr>
                <w:rFonts w:ascii="Arial" w:hAnsi="Arial" w:cs="Arial"/>
              </w:rPr>
              <w:t>The crop improvement program's success depends largely on the availability, nature and effective utilization of genetic variability in plant species</w:t>
            </w:r>
            <w:r>
              <w:rPr>
                <w:rFonts w:ascii="Arial" w:hAnsi="Arial" w:cs="Arial"/>
              </w:rPr>
              <w:t xml:space="preserve">. </w:t>
            </w:r>
            <w:r w:rsidRPr="002F59B6">
              <w:rPr>
                <w:rFonts w:ascii="Arial" w:hAnsi="Arial" w:cs="Arial"/>
              </w:rPr>
              <w:t xml:space="preserve">Variability is a fundamental need for almost every crop improvement program. The total variability observed in the germplasm can be classified into heritable and non-heritable components based on genetic parameters such as phenotypic coefficient of variation (PCV), genotypic coefficient of variation (GCV), heritability and genetic advance. </w:t>
            </w:r>
            <w:r w:rsidR="006447AA" w:rsidRPr="008C2CE8">
              <w:rPr>
                <w:rFonts w:ascii="Arial" w:hAnsi="Arial" w:cs="Arial"/>
                <w:lang w:bidi="th-TH"/>
              </w:rPr>
              <w:t xml:space="preserve">This investigation assessed genetic variability, heritability and genetic advance among 36 brinjal (Solanum </w:t>
            </w:r>
            <w:proofErr w:type="spellStart"/>
            <w:r w:rsidR="006447AA" w:rsidRPr="008C2CE8">
              <w:rPr>
                <w:rFonts w:ascii="Arial" w:hAnsi="Arial" w:cs="Arial"/>
                <w:lang w:bidi="th-TH"/>
              </w:rPr>
              <w:t>melongena</w:t>
            </w:r>
            <w:proofErr w:type="spellEnd"/>
            <w:r w:rsidR="006447AA" w:rsidRPr="008C2CE8">
              <w:rPr>
                <w:rFonts w:ascii="Arial" w:hAnsi="Arial" w:cs="Arial"/>
                <w:lang w:bidi="th-TH"/>
              </w:rPr>
              <w:t xml:space="preserve"> L.) genotypes for important quantitative traits, aiming to select parameters precisely for varietal improvement. The experiment was conducted in the Kharif 2022 season at the instructional farm of SKN College of Agriculture, SKNAU, </w:t>
            </w:r>
            <w:proofErr w:type="spellStart"/>
            <w:r w:rsidR="006447AA" w:rsidRPr="008C2CE8">
              <w:rPr>
                <w:rFonts w:ascii="Arial" w:hAnsi="Arial" w:cs="Arial"/>
                <w:lang w:bidi="th-TH"/>
              </w:rPr>
              <w:t>Jobner</w:t>
            </w:r>
            <w:proofErr w:type="spellEnd"/>
            <w:r w:rsidR="006447AA" w:rsidRPr="008C2CE8">
              <w:rPr>
                <w:rFonts w:ascii="Arial" w:hAnsi="Arial" w:cs="Arial"/>
                <w:lang w:bidi="th-TH"/>
              </w:rPr>
              <w:t>, using a randomized block design (RBD) with three replications and 60 X 60 cm spacing. Variance analysis showed a highly significant genotypic difference for all evaluated characters, indicating substantial variability. Phenotypic coefficients of variation (PCV) exceeded genotypic coefficients of variation (GCV) across traits, suggesting environmental influence on the trait expression. Findings elevated PCV and GCV were noted for the root-knot index (42.49% PCV; 42.11% GCV), fruit volume (42.12% PCV; 41.82% GCV) and fruit yield per plant (39.06% PCV; 35.30% GCV). Broad-sense heritability was high for all traits, ranging from 63.12% (moisture content) to 99.47% (number of flowers per cluster). High heritability, coupled with high genetic advance as a percentage of the mean, was observed for root-knot index (85.96%), fruit volume (85.54%), and fruit yield per plant (65.73%), indicating the predominance of additive gene action. The findings reveal substantial genetic potential among brinjal genotypes. Traits exhibiting high heritability and genetic advance can be effectively improved through direct selection, making them reliable targets for breeding programs aimed at developing high-yielding and superior genotypes.</w:t>
            </w:r>
            <w:r w:rsidR="006447AA" w:rsidRPr="0008478C">
              <w:rPr>
                <w:rFonts w:ascii="Arial" w:hAnsi="Arial" w:cs="Arial"/>
              </w:rPr>
              <w:t xml:space="preserve"> The identification of traits that are mainly influenced by additive gene action is also valuable for selection programs for high-performing and stress-resistant brinjal genotypes.</w:t>
            </w:r>
          </w:p>
        </w:tc>
      </w:tr>
    </w:tbl>
    <w:p w14:paraId="5C37AB35" w14:textId="77777777" w:rsidR="00636EB2" w:rsidRDefault="00636EB2" w:rsidP="00441B6F">
      <w:pPr>
        <w:pStyle w:val="Body"/>
        <w:spacing w:after="0"/>
        <w:rPr>
          <w:rFonts w:ascii="Arial" w:hAnsi="Arial" w:cs="Arial"/>
          <w:i/>
        </w:rPr>
      </w:pPr>
    </w:p>
    <w:p w14:paraId="2CBB23F4" w14:textId="574CD10F" w:rsidR="0024282C" w:rsidRPr="00F550C6" w:rsidRDefault="00A24E7E" w:rsidP="00441B6F">
      <w:pPr>
        <w:pStyle w:val="Body"/>
        <w:spacing w:after="0"/>
        <w:rPr>
          <w:rFonts w:ascii="Arial" w:hAnsi="Arial" w:cs="Arial"/>
          <w:i/>
        </w:rPr>
      </w:pPr>
      <w:r>
        <w:rPr>
          <w:rFonts w:ascii="Arial" w:hAnsi="Arial" w:cs="Arial"/>
          <w:i/>
        </w:rPr>
        <w:t xml:space="preserve">Keywords: </w:t>
      </w:r>
      <w:r w:rsidR="006447AA">
        <w:rPr>
          <w:rFonts w:ascii="Arial" w:hAnsi="Arial" w:cs="Arial"/>
          <w:i/>
        </w:rPr>
        <w:t xml:space="preserve">genetic advance, </w:t>
      </w:r>
      <w:r w:rsidR="002F59B6">
        <w:rPr>
          <w:rFonts w:ascii="Arial" w:hAnsi="Arial" w:cs="Arial"/>
          <w:i/>
        </w:rPr>
        <w:t>g</w:t>
      </w:r>
      <w:r w:rsidR="00F550C6">
        <w:rPr>
          <w:rFonts w:ascii="Arial" w:hAnsi="Arial" w:cs="Arial"/>
          <w:i/>
        </w:rPr>
        <w:t>enetic variability,</w:t>
      </w:r>
      <w:r w:rsidR="006447AA" w:rsidRPr="006447AA">
        <w:rPr>
          <w:rFonts w:ascii="Arial" w:hAnsi="Arial" w:cs="Arial"/>
          <w:i/>
        </w:rPr>
        <w:t xml:space="preserve"> </w:t>
      </w:r>
      <w:r w:rsidR="006447AA">
        <w:rPr>
          <w:rFonts w:ascii="Arial" w:hAnsi="Arial" w:cs="Arial"/>
          <w:i/>
        </w:rPr>
        <w:t>genotypes,</w:t>
      </w:r>
      <w:r w:rsidR="002F59B6">
        <w:rPr>
          <w:rFonts w:ascii="Arial" w:hAnsi="Arial" w:cs="Arial"/>
          <w:i/>
        </w:rPr>
        <w:t xml:space="preserve"> genotypic coefficient of variation</w:t>
      </w:r>
      <w:r w:rsidR="006447AA">
        <w:rPr>
          <w:rFonts w:ascii="Arial" w:hAnsi="Arial" w:cs="Arial"/>
          <w:i/>
        </w:rPr>
        <w:t>,</w:t>
      </w:r>
      <w:r w:rsidR="006447AA" w:rsidRPr="006447AA">
        <w:rPr>
          <w:rFonts w:ascii="Arial" w:hAnsi="Arial" w:cs="Arial"/>
          <w:i/>
        </w:rPr>
        <w:t xml:space="preserve"> </w:t>
      </w:r>
      <w:r w:rsidR="006447AA">
        <w:rPr>
          <w:rFonts w:ascii="Arial" w:hAnsi="Arial" w:cs="Arial"/>
          <w:i/>
        </w:rPr>
        <w:t>heritability, phenotypic coefficient of variation</w:t>
      </w:r>
      <w:r w:rsidR="002F59B6">
        <w:rPr>
          <w:rFonts w:ascii="Arial" w:hAnsi="Arial" w:cs="Arial"/>
          <w:i/>
        </w:rPr>
        <w:t xml:space="preserve"> </w:t>
      </w:r>
    </w:p>
    <w:p w14:paraId="225F0469" w14:textId="77777777" w:rsidR="00505F06" w:rsidRPr="00A24E7E" w:rsidRDefault="00505F06" w:rsidP="00441B6F">
      <w:pPr>
        <w:pStyle w:val="Body"/>
        <w:spacing w:after="0"/>
        <w:rPr>
          <w:rFonts w:ascii="Arial" w:hAnsi="Arial" w:cs="Arial"/>
          <w:i/>
        </w:rPr>
      </w:pPr>
    </w:p>
    <w:p w14:paraId="3238EF89" w14:textId="3B667C1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D4A27DF" w14:textId="77777777" w:rsidR="00790ADA" w:rsidRPr="00FB3A86" w:rsidRDefault="00790ADA" w:rsidP="00441B6F">
      <w:pPr>
        <w:pStyle w:val="AbstHead"/>
        <w:spacing w:after="0"/>
        <w:jc w:val="both"/>
        <w:rPr>
          <w:rFonts w:ascii="Arial" w:hAnsi="Arial" w:cs="Arial"/>
        </w:rPr>
      </w:pPr>
    </w:p>
    <w:p w14:paraId="5EC5D40C" w14:textId="7C5DCE68" w:rsidR="002F59B6" w:rsidRPr="002F59B6" w:rsidRDefault="002F59B6" w:rsidP="00AF4425">
      <w:pPr>
        <w:pStyle w:val="Body"/>
        <w:rPr>
          <w:rFonts w:ascii="Arial" w:hAnsi="Arial" w:cs="Arial"/>
        </w:rPr>
      </w:pPr>
      <w:r w:rsidRPr="002F59B6">
        <w:rPr>
          <w:rFonts w:ascii="Arial" w:hAnsi="Arial" w:cs="Arial"/>
        </w:rPr>
        <w:t xml:space="preserve">Brinjal, also known as eggplant or </w:t>
      </w:r>
      <w:proofErr w:type="spellStart"/>
      <w:r w:rsidRPr="002F59B6">
        <w:rPr>
          <w:rFonts w:ascii="Arial" w:hAnsi="Arial" w:cs="Arial"/>
        </w:rPr>
        <w:t>aubergine</w:t>
      </w:r>
      <w:proofErr w:type="spellEnd"/>
      <w:r w:rsidRPr="002F59B6">
        <w:rPr>
          <w:rFonts w:ascii="Arial" w:hAnsi="Arial" w:cs="Arial"/>
        </w:rPr>
        <w:t xml:space="preserve"> (</w:t>
      </w:r>
      <w:r w:rsidRPr="002F59B6">
        <w:rPr>
          <w:rFonts w:ascii="Arial" w:hAnsi="Arial" w:cs="Arial"/>
          <w:i/>
          <w:iCs/>
        </w:rPr>
        <w:t xml:space="preserve">Solanum </w:t>
      </w:r>
      <w:proofErr w:type="spellStart"/>
      <w:r w:rsidRPr="002F59B6">
        <w:rPr>
          <w:rFonts w:ascii="Arial" w:hAnsi="Arial" w:cs="Arial"/>
          <w:i/>
          <w:iCs/>
        </w:rPr>
        <w:t>melongena</w:t>
      </w:r>
      <w:proofErr w:type="spellEnd"/>
      <w:r w:rsidRPr="002F59B6">
        <w:rPr>
          <w:rFonts w:ascii="Arial" w:hAnsi="Arial" w:cs="Arial"/>
        </w:rPr>
        <w:t xml:space="preserve"> L.), is the most important warm-season vegetable crop grown in the Indo-Burma region of Asia, as well as in some African countries. Brinjal is an annual herbaceous plant that is sometimes perennial in nature and is primarily self-pollinating. The Solanum </w:t>
      </w:r>
      <w:r w:rsidR="006447AA">
        <w:rPr>
          <w:rFonts w:ascii="Arial" w:hAnsi="Arial" w:cs="Arial"/>
        </w:rPr>
        <w:t>genera</w:t>
      </w:r>
      <w:r w:rsidRPr="002F59B6">
        <w:rPr>
          <w:rFonts w:ascii="Arial" w:hAnsi="Arial" w:cs="Arial"/>
        </w:rPr>
        <w:t xml:space="preserve"> comprises 2,000 species belonging to 75 genera. The important species in the Solanum </w:t>
      </w:r>
      <w:r w:rsidR="006447AA">
        <w:rPr>
          <w:rFonts w:ascii="Arial" w:hAnsi="Arial" w:cs="Arial"/>
        </w:rPr>
        <w:t>genera</w:t>
      </w:r>
      <w:r w:rsidRPr="002F59B6">
        <w:rPr>
          <w:rFonts w:ascii="Arial" w:hAnsi="Arial" w:cs="Arial"/>
        </w:rPr>
        <w:t xml:space="preserve"> include </w:t>
      </w:r>
      <w:r w:rsidRPr="002F59B6">
        <w:rPr>
          <w:rFonts w:ascii="Arial" w:hAnsi="Arial" w:cs="Arial"/>
          <w:i/>
          <w:iCs/>
        </w:rPr>
        <w:t xml:space="preserve">Solanum </w:t>
      </w:r>
      <w:proofErr w:type="spellStart"/>
      <w:r w:rsidRPr="002F59B6">
        <w:rPr>
          <w:rFonts w:ascii="Arial" w:hAnsi="Arial" w:cs="Arial"/>
          <w:i/>
          <w:iCs/>
        </w:rPr>
        <w:t>melongena</w:t>
      </w:r>
      <w:proofErr w:type="spellEnd"/>
      <w:r w:rsidRPr="002F59B6">
        <w:rPr>
          <w:rFonts w:ascii="Arial" w:hAnsi="Arial" w:cs="Arial"/>
          <w:i/>
          <w:iCs/>
        </w:rPr>
        <w:t xml:space="preserve">, Solanum </w:t>
      </w:r>
      <w:proofErr w:type="spellStart"/>
      <w:r w:rsidRPr="002F59B6">
        <w:rPr>
          <w:rFonts w:ascii="Arial" w:hAnsi="Arial" w:cs="Arial"/>
          <w:i/>
          <w:iCs/>
        </w:rPr>
        <w:t>torvum</w:t>
      </w:r>
      <w:proofErr w:type="spellEnd"/>
      <w:r w:rsidRPr="002F59B6">
        <w:rPr>
          <w:rFonts w:ascii="Arial" w:hAnsi="Arial" w:cs="Arial"/>
          <w:i/>
          <w:iCs/>
        </w:rPr>
        <w:t xml:space="preserve">, Solanum nigrum, Solanum macrocarpon, Solanum ferox, and Solanum </w:t>
      </w:r>
      <w:proofErr w:type="spellStart"/>
      <w:r w:rsidRPr="002F59B6">
        <w:rPr>
          <w:rFonts w:ascii="Arial" w:hAnsi="Arial" w:cs="Arial"/>
          <w:i/>
          <w:iCs/>
        </w:rPr>
        <w:t>aethiopicum</w:t>
      </w:r>
      <w:proofErr w:type="spellEnd"/>
      <w:r w:rsidRPr="002F59B6">
        <w:rPr>
          <w:rFonts w:ascii="Arial" w:hAnsi="Arial" w:cs="Arial"/>
        </w:rPr>
        <w:t xml:space="preserve">. South </w:t>
      </w:r>
      <w:r w:rsidR="006447AA">
        <w:rPr>
          <w:rFonts w:ascii="Arial" w:hAnsi="Arial" w:cs="Arial"/>
        </w:rPr>
        <w:t>A</w:t>
      </w:r>
      <w:r w:rsidRPr="002F59B6">
        <w:rPr>
          <w:rFonts w:ascii="Arial" w:hAnsi="Arial" w:cs="Arial"/>
        </w:rPr>
        <w:t>sian people have been growing brinjal for the past 4,000 years in the subcontinent</w:t>
      </w:r>
      <w:r w:rsidR="00FB7DB9">
        <w:rPr>
          <w:rFonts w:ascii="Arial" w:hAnsi="Arial" w:cs="Arial"/>
        </w:rPr>
        <w:t>;</w:t>
      </w:r>
      <w:r w:rsidRPr="002F59B6">
        <w:rPr>
          <w:rFonts w:ascii="Arial" w:hAnsi="Arial" w:cs="Arial"/>
        </w:rPr>
        <w:t xml:space="preserve"> it is believed to have its origins in India (</w:t>
      </w:r>
      <w:proofErr w:type="spellStart"/>
      <w:r w:rsidR="00AF4425" w:rsidRPr="00AF4425">
        <w:rPr>
          <w:rFonts w:ascii="Arial" w:hAnsi="Arial" w:cs="Arial"/>
        </w:rPr>
        <w:t>Hazra</w:t>
      </w:r>
      <w:proofErr w:type="spellEnd"/>
      <w:r w:rsidR="00AF4425" w:rsidRPr="00AF4425">
        <w:rPr>
          <w:rFonts w:ascii="Arial" w:hAnsi="Arial" w:cs="Arial"/>
        </w:rPr>
        <w:t xml:space="preserve">, </w:t>
      </w:r>
      <w:r w:rsidR="00AF4425" w:rsidRPr="00AF4425">
        <w:rPr>
          <w:rFonts w:ascii="Arial" w:hAnsi="Arial" w:cs="Arial"/>
          <w:i/>
          <w:iCs/>
        </w:rPr>
        <w:t>et al.</w:t>
      </w:r>
      <w:r w:rsidR="00AF4425" w:rsidRPr="00AF4425">
        <w:rPr>
          <w:rFonts w:ascii="Arial" w:hAnsi="Arial" w:cs="Arial"/>
        </w:rPr>
        <w:t xml:space="preserve"> 2025</w:t>
      </w:r>
      <w:r w:rsidRPr="002F59B6">
        <w:rPr>
          <w:rFonts w:ascii="Arial" w:hAnsi="Arial" w:cs="Arial"/>
        </w:rPr>
        <w:t xml:space="preserve">). The species </w:t>
      </w:r>
      <w:r w:rsidRPr="002F59B6">
        <w:rPr>
          <w:rFonts w:ascii="Arial" w:hAnsi="Arial" w:cs="Arial"/>
          <w:i/>
          <w:iCs/>
        </w:rPr>
        <w:t xml:space="preserve">S. </w:t>
      </w:r>
      <w:proofErr w:type="spellStart"/>
      <w:r w:rsidRPr="002F59B6">
        <w:rPr>
          <w:rFonts w:ascii="Arial" w:hAnsi="Arial" w:cs="Arial"/>
          <w:i/>
          <w:iCs/>
        </w:rPr>
        <w:t>melongena</w:t>
      </w:r>
      <w:proofErr w:type="spellEnd"/>
      <w:r w:rsidRPr="002F59B6">
        <w:rPr>
          <w:rFonts w:ascii="Arial" w:hAnsi="Arial" w:cs="Arial"/>
        </w:rPr>
        <w:t xml:space="preserve"> was well-known in India since ancient times (De Candolle 1886) and is believed </w:t>
      </w:r>
      <w:r w:rsidRPr="002F59B6">
        <w:rPr>
          <w:rFonts w:ascii="Arial" w:hAnsi="Arial" w:cs="Arial"/>
        </w:rPr>
        <w:lastRenderedPageBreak/>
        <w:t>to be</w:t>
      </w:r>
      <w:r w:rsidR="00AF4425">
        <w:rPr>
          <w:rFonts w:ascii="Arial" w:hAnsi="Arial" w:cs="Arial"/>
        </w:rPr>
        <w:t xml:space="preserve"> </w:t>
      </w:r>
      <w:r w:rsidR="00AF4425" w:rsidRPr="00AF4425">
        <w:rPr>
          <w:rFonts w:ascii="Arial" w:hAnsi="Arial" w:cs="Arial"/>
        </w:rPr>
        <w:t>native to the Indo-Burma region, which is considered the center of origin according to Vavilov (1928).</w:t>
      </w:r>
      <w:r w:rsidRPr="002F59B6">
        <w:rPr>
          <w:rFonts w:ascii="Arial" w:hAnsi="Arial" w:cs="Arial"/>
        </w:rPr>
        <w:t xml:space="preserve"> In the genus "Solanum," mainly three species are cultivated </w:t>
      </w:r>
      <w:r w:rsidRPr="002F59B6">
        <w:rPr>
          <w:rFonts w:ascii="Arial" w:hAnsi="Arial" w:cs="Arial"/>
          <w:i/>
          <w:iCs/>
        </w:rPr>
        <w:t>i.e.,</w:t>
      </w:r>
      <w:r w:rsidRPr="002F59B6">
        <w:rPr>
          <w:rFonts w:ascii="Arial" w:hAnsi="Arial" w:cs="Arial"/>
        </w:rPr>
        <w:t xml:space="preserve"> </w:t>
      </w:r>
      <w:proofErr w:type="spellStart"/>
      <w:r w:rsidRPr="002F59B6">
        <w:rPr>
          <w:rFonts w:ascii="Arial" w:hAnsi="Arial" w:cs="Arial"/>
          <w:i/>
          <w:iCs/>
        </w:rPr>
        <w:t>depressum</w:t>
      </w:r>
      <w:proofErr w:type="spellEnd"/>
      <w:r w:rsidRPr="002F59B6">
        <w:rPr>
          <w:rFonts w:ascii="Arial" w:hAnsi="Arial" w:cs="Arial"/>
        </w:rPr>
        <w:t xml:space="preserve"> (dwarf brinjal), </w:t>
      </w:r>
      <w:proofErr w:type="spellStart"/>
      <w:r w:rsidRPr="002F59B6">
        <w:rPr>
          <w:rFonts w:ascii="Arial" w:hAnsi="Arial" w:cs="Arial"/>
          <w:i/>
          <w:iCs/>
        </w:rPr>
        <w:t>escullantum</w:t>
      </w:r>
      <w:proofErr w:type="spellEnd"/>
      <w:r w:rsidRPr="002F59B6">
        <w:rPr>
          <w:rFonts w:ascii="Arial" w:hAnsi="Arial" w:cs="Arial"/>
        </w:rPr>
        <w:t xml:space="preserve"> (large round) and </w:t>
      </w:r>
      <w:proofErr w:type="spellStart"/>
      <w:r w:rsidRPr="002F59B6">
        <w:rPr>
          <w:rFonts w:ascii="Arial" w:hAnsi="Arial" w:cs="Arial"/>
          <w:i/>
          <w:iCs/>
        </w:rPr>
        <w:t>serpentium</w:t>
      </w:r>
      <w:proofErr w:type="spellEnd"/>
      <w:r w:rsidRPr="002F59B6">
        <w:rPr>
          <w:rFonts w:ascii="Arial" w:hAnsi="Arial" w:cs="Arial"/>
        </w:rPr>
        <w:t xml:space="preserve"> (long slender), (Choudhary 1976).</w:t>
      </w:r>
    </w:p>
    <w:p w14:paraId="6664C326" w14:textId="0C147CDC" w:rsidR="002F59B6" w:rsidRDefault="002F59B6" w:rsidP="002F59B6">
      <w:pPr>
        <w:pStyle w:val="Body"/>
        <w:spacing w:after="0"/>
        <w:rPr>
          <w:rFonts w:ascii="Arial" w:hAnsi="Arial" w:cs="Arial"/>
        </w:rPr>
      </w:pPr>
      <w:r w:rsidRPr="002F59B6">
        <w:rPr>
          <w:rFonts w:ascii="Arial" w:hAnsi="Arial" w:cs="Arial"/>
        </w:rPr>
        <w:t xml:space="preserve">Brinjal is typically grown for culinary use and serves as an excellent source of several nutrients, vitamins, minerals and phenols with cardio-protective benefits (Bushra </w:t>
      </w:r>
      <w:r w:rsidRPr="002F59B6">
        <w:rPr>
          <w:rFonts w:ascii="Arial" w:hAnsi="Arial" w:cs="Arial"/>
          <w:i/>
          <w:iCs/>
        </w:rPr>
        <w:t>et al</w:t>
      </w:r>
      <w:r w:rsidRPr="002F59B6">
        <w:rPr>
          <w:rFonts w:ascii="Arial" w:hAnsi="Arial" w:cs="Arial"/>
        </w:rPr>
        <w:t xml:space="preserve">., 2022). India’s diverse climate, geography and brinjal have given rise to a wide variety of brinjal genotypes, with different </w:t>
      </w:r>
      <w:proofErr w:type="spellStart"/>
      <w:r w:rsidRPr="002F59B6">
        <w:rPr>
          <w:rFonts w:ascii="Arial" w:hAnsi="Arial" w:cs="Arial"/>
        </w:rPr>
        <w:t>colours</w:t>
      </w:r>
      <w:proofErr w:type="spellEnd"/>
      <w:r w:rsidRPr="002F59B6">
        <w:rPr>
          <w:rFonts w:ascii="Arial" w:hAnsi="Arial" w:cs="Arial"/>
        </w:rPr>
        <w:t>, fruit morphology, fruit quality and culinary properties (</w:t>
      </w:r>
      <w:proofErr w:type="spellStart"/>
      <w:r w:rsidRPr="002F59B6">
        <w:rPr>
          <w:rFonts w:ascii="Arial" w:hAnsi="Arial" w:cs="Arial"/>
        </w:rPr>
        <w:t>Teja</w:t>
      </w:r>
      <w:proofErr w:type="spellEnd"/>
      <w:r w:rsidRPr="002F59B6">
        <w:rPr>
          <w:rFonts w:ascii="Arial" w:hAnsi="Arial" w:cs="Arial"/>
        </w:rPr>
        <w:t xml:space="preserve"> </w:t>
      </w:r>
      <w:r w:rsidRPr="002F59B6">
        <w:rPr>
          <w:rFonts w:ascii="Arial" w:hAnsi="Arial" w:cs="Arial"/>
          <w:i/>
          <w:iCs/>
        </w:rPr>
        <w:t>et al.,</w:t>
      </w:r>
      <w:r w:rsidRPr="002F59B6">
        <w:rPr>
          <w:rFonts w:ascii="Arial" w:hAnsi="Arial" w:cs="Arial"/>
        </w:rPr>
        <w:t xml:space="preserve"> 2025). The fruits are abundant in calcium, magnesium, phosphorus and fatty acids (Tripathi </w:t>
      </w:r>
      <w:r w:rsidRPr="002F59B6">
        <w:rPr>
          <w:rFonts w:ascii="Arial" w:hAnsi="Arial" w:cs="Arial"/>
          <w:i/>
          <w:iCs/>
        </w:rPr>
        <w:t>et al.,</w:t>
      </w:r>
      <w:r w:rsidRPr="002F59B6">
        <w:rPr>
          <w:rFonts w:ascii="Arial" w:hAnsi="Arial" w:cs="Arial"/>
        </w:rPr>
        <w:t xml:space="preserve"> 2025). India is the world's major producer of brinjal, with an area of 684.70 thousand hectares, 12886 thousand metric </w:t>
      </w:r>
      <w:proofErr w:type="spellStart"/>
      <w:r w:rsidRPr="002F59B6">
        <w:rPr>
          <w:rFonts w:ascii="Arial" w:hAnsi="Arial" w:cs="Arial"/>
        </w:rPr>
        <w:t>tonnes</w:t>
      </w:r>
      <w:proofErr w:type="spellEnd"/>
      <w:r w:rsidRPr="002F59B6">
        <w:rPr>
          <w:rFonts w:ascii="Arial" w:hAnsi="Arial" w:cs="Arial"/>
        </w:rPr>
        <w:t xml:space="preserve"> of production and 18.83 metric </w:t>
      </w:r>
      <w:proofErr w:type="spellStart"/>
      <w:r w:rsidRPr="002F59B6">
        <w:rPr>
          <w:rFonts w:ascii="Arial" w:hAnsi="Arial" w:cs="Arial"/>
        </w:rPr>
        <w:t>tonnes</w:t>
      </w:r>
      <w:proofErr w:type="spellEnd"/>
      <w:r w:rsidRPr="002F59B6">
        <w:rPr>
          <w:rFonts w:ascii="Arial" w:hAnsi="Arial" w:cs="Arial"/>
        </w:rPr>
        <w:t xml:space="preserve"> per hectare productivity </w:t>
      </w:r>
      <w:r w:rsidR="00FA4C8B" w:rsidRPr="00FA4C8B">
        <w:rPr>
          <w:rFonts w:ascii="Arial" w:hAnsi="Arial" w:cs="Arial"/>
        </w:rPr>
        <w:t>Directorate of Economics and Statistics</w:t>
      </w:r>
      <w:r w:rsidR="00FA4C8B">
        <w:rPr>
          <w:rFonts w:ascii="Arial" w:hAnsi="Arial" w:cs="Arial"/>
        </w:rPr>
        <w:t xml:space="preserve">, </w:t>
      </w:r>
      <w:r w:rsidR="00FA4C8B" w:rsidRPr="00FA4C8B">
        <w:rPr>
          <w:rFonts w:ascii="Arial" w:hAnsi="Arial" w:cs="Arial"/>
        </w:rPr>
        <w:t>2025.</w:t>
      </w:r>
      <w:r w:rsidR="00FA4C8B">
        <w:rPr>
          <w:rFonts w:ascii="Arial" w:hAnsi="Arial" w:cs="Arial"/>
        </w:rPr>
        <w:t xml:space="preserve"> </w:t>
      </w:r>
      <w:r w:rsidRPr="002F59B6">
        <w:rPr>
          <w:rFonts w:ascii="Arial" w:hAnsi="Arial" w:cs="Arial"/>
        </w:rPr>
        <w:t xml:space="preserve">It is </w:t>
      </w:r>
      <w:r w:rsidR="00241A87">
        <w:rPr>
          <w:rFonts w:ascii="Arial" w:hAnsi="Arial" w:cs="Arial"/>
        </w:rPr>
        <w:t>cultivated across both</w:t>
      </w:r>
      <w:r w:rsidRPr="002F59B6">
        <w:rPr>
          <w:rFonts w:ascii="Arial" w:hAnsi="Arial" w:cs="Arial"/>
        </w:rPr>
        <w:t xml:space="preserve"> summer and winter seasons</w:t>
      </w:r>
      <w:r w:rsidR="00241A87">
        <w:rPr>
          <w:rFonts w:ascii="Arial" w:hAnsi="Arial" w:cs="Arial"/>
        </w:rPr>
        <w:t xml:space="preserve"> and is predominantly adapted to tropical climates</w:t>
      </w:r>
      <w:r w:rsidRPr="002F59B6">
        <w:rPr>
          <w:rFonts w:ascii="Arial" w:hAnsi="Arial" w:cs="Arial"/>
        </w:rPr>
        <w:t xml:space="preserve">. It is extensively </w:t>
      </w:r>
      <w:r w:rsidR="00241A87">
        <w:rPr>
          <w:rFonts w:ascii="Arial" w:hAnsi="Arial" w:cs="Arial"/>
        </w:rPr>
        <w:t xml:space="preserve">grown </w:t>
      </w:r>
      <w:r w:rsidRPr="002F59B6">
        <w:rPr>
          <w:rFonts w:ascii="Arial" w:hAnsi="Arial" w:cs="Arial"/>
        </w:rPr>
        <w:t xml:space="preserve">in </w:t>
      </w:r>
      <w:r w:rsidR="00241A87">
        <w:rPr>
          <w:rFonts w:ascii="Arial" w:hAnsi="Arial" w:cs="Arial"/>
        </w:rPr>
        <w:t xml:space="preserve">several </w:t>
      </w:r>
      <w:r w:rsidR="00223F42">
        <w:rPr>
          <w:rFonts w:ascii="Arial" w:hAnsi="Arial" w:cs="Arial"/>
        </w:rPr>
        <w:t>Asian</w:t>
      </w:r>
      <w:r w:rsidR="00241A87">
        <w:rPr>
          <w:rFonts w:ascii="Arial" w:hAnsi="Arial" w:cs="Arial"/>
        </w:rPr>
        <w:t xml:space="preserve"> countries, including </w:t>
      </w:r>
      <w:r w:rsidRPr="002F59B6">
        <w:rPr>
          <w:rFonts w:ascii="Arial" w:hAnsi="Arial" w:cs="Arial"/>
        </w:rPr>
        <w:t xml:space="preserve">India, Bangladesh, China, Pakistan, Philippines and Japan. Major brinjal producing states are Odisha, Karnataka, West Bengal, Bihar, Andhra Pradesh, Telangana, Uttar Pradesh and Maharashtra. </w:t>
      </w:r>
    </w:p>
    <w:p w14:paraId="429F6D22" w14:textId="73FEA240" w:rsidR="002F59B6" w:rsidRDefault="002F59B6" w:rsidP="002F59B6">
      <w:pPr>
        <w:pStyle w:val="Body"/>
        <w:spacing w:after="0"/>
        <w:rPr>
          <w:rFonts w:ascii="Arial" w:hAnsi="Arial" w:cs="Arial"/>
        </w:rPr>
      </w:pPr>
      <w:r w:rsidRPr="002F59B6">
        <w:rPr>
          <w:rFonts w:ascii="Arial" w:hAnsi="Arial" w:cs="Arial"/>
        </w:rPr>
        <w:t>The crop improvement program's success depends largely on the availability, nature and effective utilization of genetic variability in plant species (</w:t>
      </w:r>
      <w:proofErr w:type="spellStart"/>
      <w:r w:rsidRPr="002F59B6">
        <w:rPr>
          <w:rFonts w:ascii="Arial" w:hAnsi="Arial" w:cs="Arial"/>
        </w:rPr>
        <w:t>Paramanik</w:t>
      </w:r>
      <w:proofErr w:type="spellEnd"/>
      <w:r w:rsidRPr="002F59B6">
        <w:rPr>
          <w:rFonts w:ascii="Arial" w:hAnsi="Arial" w:cs="Arial"/>
        </w:rPr>
        <w:t xml:space="preserve"> </w:t>
      </w:r>
      <w:r w:rsidRPr="002F59B6">
        <w:rPr>
          <w:rFonts w:ascii="Arial" w:hAnsi="Arial" w:cs="Arial"/>
          <w:i/>
          <w:iCs/>
        </w:rPr>
        <w:t>et al</w:t>
      </w:r>
      <w:r w:rsidRPr="002F59B6">
        <w:rPr>
          <w:rFonts w:ascii="Arial" w:hAnsi="Arial" w:cs="Arial"/>
        </w:rPr>
        <w:t xml:space="preserve">., 2023). Variability is a fundamental need for almost every crop improvement program. The total variability observed in the germplasm can be classified into heritable and non-heritable components based on genetic parameters such as phenotypic coefficient of variation (PCV), genotypic coefficient of variation (GCV), heritability and genetic advance. Heritability and genetic advance expressed as a percentage of the mean are related to the efficiency of selection value for the particular trait (Thomas </w:t>
      </w:r>
      <w:r w:rsidRPr="002F59B6">
        <w:rPr>
          <w:rFonts w:ascii="Arial" w:hAnsi="Arial" w:cs="Arial"/>
          <w:i/>
          <w:iCs/>
        </w:rPr>
        <w:t>et al</w:t>
      </w:r>
      <w:r w:rsidRPr="002F59B6">
        <w:rPr>
          <w:rFonts w:ascii="Arial" w:hAnsi="Arial" w:cs="Arial"/>
        </w:rPr>
        <w:t xml:space="preserve">., 2022). Understanding genetic information, </w:t>
      </w:r>
      <w:r w:rsidR="00C92C60">
        <w:rPr>
          <w:rFonts w:ascii="Arial" w:hAnsi="Arial" w:cs="Arial"/>
        </w:rPr>
        <w:t>derived</w:t>
      </w:r>
      <w:r w:rsidRPr="002F59B6">
        <w:rPr>
          <w:rFonts w:ascii="Arial" w:hAnsi="Arial" w:cs="Arial"/>
        </w:rPr>
        <w:t xml:space="preserve"> </w:t>
      </w:r>
      <w:r w:rsidR="00C92C60">
        <w:rPr>
          <w:rFonts w:ascii="Arial" w:hAnsi="Arial" w:cs="Arial"/>
        </w:rPr>
        <w:t xml:space="preserve">from analysis of genetic diversity and interrelationship within species, is essential for the efficient utilization of plant genetic resources. </w:t>
      </w:r>
      <w:r w:rsidRPr="002F59B6">
        <w:rPr>
          <w:rFonts w:ascii="Arial" w:hAnsi="Arial" w:cs="Arial"/>
        </w:rPr>
        <w:t>In this regard, this study was designed to evaluate genetic variation, heritability and genetic advance as a percent of the mean value for various quantitative traits of brinjal.</w:t>
      </w:r>
    </w:p>
    <w:p w14:paraId="2FC50154" w14:textId="77777777" w:rsidR="00790ADA" w:rsidRPr="00FB3A86" w:rsidRDefault="00790ADA" w:rsidP="00441B6F">
      <w:pPr>
        <w:pStyle w:val="Body"/>
        <w:spacing w:after="0"/>
        <w:rPr>
          <w:rFonts w:ascii="Arial" w:hAnsi="Arial" w:cs="Arial"/>
        </w:rPr>
      </w:pPr>
    </w:p>
    <w:p w14:paraId="33D0CB55" w14:textId="488B55BF"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C155138" w14:textId="77777777" w:rsidR="00790ADA" w:rsidRPr="00FB3A86" w:rsidRDefault="00790ADA" w:rsidP="00441B6F">
      <w:pPr>
        <w:pStyle w:val="AbstHead"/>
        <w:spacing w:after="0"/>
        <w:jc w:val="both"/>
        <w:rPr>
          <w:rFonts w:ascii="Arial" w:hAnsi="Arial" w:cs="Arial"/>
        </w:rPr>
      </w:pPr>
    </w:p>
    <w:p w14:paraId="16455AE3" w14:textId="1FCC77D0" w:rsidR="00790ADA" w:rsidRDefault="002F59B6" w:rsidP="00441B6F">
      <w:pPr>
        <w:pStyle w:val="Body"/>
        <w:spacing w:after="0"/>
        <w:rPr>
          <w:rFonts w:ascii="Arial" w:hAnsi="Arial" w:cs="Arial"/>
        </w:rPr>
      </w:pPr>
      <w:r w:rsidRPr="002F59B6">
        <w:rPr>
          <w:rFonts w:ascii="Arial" w:hAnsi="Arial" w:cs="Arial"/>
        </w:rPr>
        <w:t xml:space="preserve">The present study was conducted at the Horticulture farm, Department of Horticulture, SKN College of Agriculture, SKNAU, </w:t>
      </w:r>
      <w:proofErr w:type="spellStart"/>
      <w:r w:rsidRPr="002F59B6">
        <w:rPr>
          <w:rFonts w:ascii="Arial" w:hAnsi="Arial" w:cs="Arial"/>
        </w:rPr>
        <w:t>Jobner</w:t>
      </w:r>
      <w:proofErr w:type="spellEnd"/>
      <w:r w:rsidRPr="002F59B6">
        <w:rPr>
          <w:rFonts w:ascii="Arial" w:hAnsi="Arial" w:cs="Arial"/>
        </w:rPr>
        <w:t xml:space="preserve">, during </w:t>
      </w:r>
      <w:r w:rsidRPr="002F59B6">
        <w:rPr>
          <w:rFonts w:ascii="Arial" w:hAnsi="Arial" w:cs="Arial"/>
          <w:i/>
          <w:iCs/>
        </w:rPr>
        <w:t>Kharif</w:t>
      </w:r>
      <w:r w:rsidRPr="002F59B6">
        <w:rPr>
          <w:rFonts w:ascii="Arial" w:hAnsi="Arial" w:cs="Arial"/>
        </w:rPr>
        <w:t xml:space="preserve"> 2022. The location altitude </w:t>
      </w:r>
      <w:r w:rsidR="00AF4425">
        <w:rPr>
          <w:rFonts w:ascii="Arial" w:hAnsi="Arial" w:cs="Arial"/>
        </w:rPr>
        <w:t>was</w:t>
      </w:r>
      <w:r w:rsidRPr="002F59B6">
        <w:rPr>
          <w:rFonts w:ascii="Arial" w:hAnsi="Arial" w:cs="Arial"/>
        </w:rPr>
        <w:t xml:space="preserve"> 427 meters above MSL and </w:t>
      </w:r>
      <w:r w:rsidR="00AF4425">
        <w:rPr>
          <w:rFonts w:ascii="Arial" w:hAnsi="Arial" w:cs="Arial"/>
        </w:rPr>
        <w:t xml:space="preserve">the site is </w:t>
      </w:r>
      <w:r w:rsidRPr="002F59B6">
        <w:rPr>
          <w:rFonts w:ascii="Arial" w:hAnsi="Arial" w:cs="Arial"/>
        </w:rPr>
        <w:t>situated at 26°58´N of latitude and 75°23´E of longitude. A total of 36 brinjal genotypes were evaluated with a spacing of 60</w:t>
      </w:r>
      <w:r w:rsidR="00FB7DB9">
        <w:rPr>
          <w:rFonts w:ascii="Arial" w:hAnsi="Arial" w:cs="Arial"/>
        </w:rPr>
        <w:t xml:space="preserve"> </w:t>
      </w:r>
      <w:r w:rsidRPr="002F59B6">
        <w:rPr>
          <w:rFonts w:ascii="Arial" w:hAnsi="Arial" w:cs="Arial"/>
        </w:rPr>
        <w:t>x</w:t>
      </w:r>
      <w:r w:rsidR="00FB7DB9">
        <w:rPr>
          <w:rFonts w:ascii="Arial" w:hAnsi="Arial" w:cs="Arial"/>
        </w:rPr>
        <w:t xml:space="preserve"> </w:t>
      </w:r>
      <w:r w:rsidRPr="002F59B6">
        <w:rPr>
          <w:rFonts w:ascii="Arial" w:hAnsi="Arial" w:cs="Arial"/>
        </w:rPr>
        <w:t xml:space="preserve">60cm in a randomized block design (RBD) with three replications per genotype. All the recommended cultural practices were followed during the crop growing period. </w:t>
      </w:r>
      <w:r w:rsidR="00AF4425" w:rsidRPr="00AF4425">
        <w:rPr>
          <w:rFonts w:ascii="Arial" w:hAnsi="Arial" w:cs="Arial"/>
        </w:rPr>
        <w:t>Five randomly selected plants were taken</w:t>
      </w:r>
      <w:r w:rsidRPr="002F59B6">
        <w:rPr>
          <w:rFonts w:ascii="Arial" w:hAnsi="Arial" w:cs="Arial"/>
        </w:rPr>
        <w:t xml:space="preserve"> from each plot for recording the observations on </w:t>
      </w:r>
      <w:r w:rsidR="00234767" w:rsidRPr="00234767">
        <w:rPr>
          <w:rFonts w:ascii="Arial" w:hAnsi="Arial" w:cs="Arial"/>
        </w:rPr>
        <w:t>sixteen quantitative characters</w:t>
      </w:r>
      <w:r w:rsidRPr="002F59B6">
        <w:rPr>
          <w:rFonts w:ascii="Arial" w:hAnsi="Arial" w:cs="Arial"/>
        </w:rPr>
        <w:t xml:space="preserve">, </w:t>
      </w:r>
      <w:r w:rsidRPr="002F59B6">
        <w:rPr>
          <w:rFonts w:ascii="Arial" w:hAnsi="Arial" w:cs="Arial"/>
          <w:i/>
          <w:iCs/>
        </w:rPr>
        <w:t>viz</w:t>
      </w:r>
      <w:r w:rsidRPr="002F59B6">
        <w:rPr>
          <w:rFonts w:ascii="Arial" w:hAnsi="Arial" w:cs="Arial"/>
        </w:rPr>
        <w:t>.,</w:t>
      </w:r>
      <w:r w:rsidRPr="002F59B6">
        <w:rPr>
          <w:rFonts w:ascii="Arial" w:hAnsi="Arial" w:cs="Arial"/>
          <w:lang w:val="en-IN"/>
        </w:rPr>
        <w:t xml:space="preserve"> plant height at 30 and 45 DAT, fruit diameter, days to 50% flowering, no. of fruits per cluster, root-knot index, no. of cluster per plant, days to first harvest, no. of flower per cluster, SPAD reading, average fruit weight, fruit volume, moisture content, no. of fruits per plant, total phenol content and fruit yield per plant. </w:t>
      </w:r>
      <w:r w:rsidRPr="002F59B6">
        <w:rPr>
          <w:rFonts w:ascii="Arial" w:hAnsi="Arial" w:cs="Arial"/>
        </w:rPr>
        <w:t xml:space="preserve">The </w:t>
      </w:r>
      <w:r w:rsidR="002D544F">
        <w:rPr>
          <w:rFonts w:ascii="Arial" w:hAnsi="Arial" w:cs="Arial"/>
        </w:rPr>
        <w:t>average values across replications for each trait were subjected to statistical analysis.</w:t>
      </w:r>
      <w:r w:rsidR="00591D39">
        <w:rPr>
          <w:rFonts w:ascii="Arial" w:hAnsi="Arial" w:cs="Arial"/>
        </w:rPr>
        <w:t xml:space="preserve"> Subsequently, t</w:t>
      </w:r>
      <w:r w:rsidRPr="002F59B6">
        <w:rPr>
          <w:rFonts w:ascii="Arial" w:hAnsi="Arial" w:cs="Arial"/>
        </w:rPr>
        <w:t xml:space="preserve">he genotypic and phenotypic coefficients of variation (PCV and GCV) were evaluated by using the </w:t>
      </w:r>
      <w:r w:rsidR="00591D39">
        <w:rPr>
          <w:rFonts w:ascii="Arial" w:hAnsi="Arial" w:cs="Arial"/>
        </w:rPr>
        <w:t>method proposed</w:t>
      </w:r>
      <w:r w:rsidRPr="002F59B6">
        <w:rPr>
          <w:rFonts w:ascii="Arial" w:hAnsi="Arial" w:cs="Arial"/>
        </w:rPr>
        <w:t xml:space="preserve"> by Burton (1952). Heritability in the broad sense and expected genetic advance were calculated by using the method suggested by Johnson </w:t>
      </w:r>
      <w:r w:rsidRPr="002F59B6">
        <w:rPr>
          <w:rFonts w:ascii="Arial" w:hAnsi="Arial" w:cs="Arial"/>
          <w:i/>
          <w:iCs/>
        </w:rPr>
        <w:t>et al</w:t>
      </w:r>
      <w:r w:rsidRPr="002F59B6">
        <w:rPr>
          <w:rFonts w:ascii="Arial" w:hAnsi="Arial" w:cs="Arial"/>
        </w:rPr>
        <w:t>. (1955).</w:t>
      </w:r>
      <w:r w:rsidR="000D784F">
        <w:rPr>
          <w:rFonts w:ascii="Arial" w:hAnsi="Arial" w:cs="Arial"/>
        </w:rPr>
        <w:t xml:space="preserve"> For later </w:t>
      </w:r>
      <w:r w:rsidR="00C128FB">
        <w:rPr>
          <w:rFonts w:ascii="Arial" w:hAnsi="Arial" w:cs="Arial"/>
        </w:rPr>
        <w:t>data refinement and further statistical calculations, RStudio</w:t>
      </w:r>
      <w:r w:rsidR="000D784F">
        <w:rPr>
          <w:rFonts w:ascii="Arial" w:hAnsi="Arial" w:cs="Arial"/>
        </w:rPr>
        <w:t xml:space="preserve"> was used.</w:t>
      </w:r>
    </w:p>
    <w:p w14:paraId="465B65D4" w14:textId="77777777" w:rsidR="000D784F" w:rsidRPr="00FB3A86" w:rsidRDefault="000D784F" w:rsidP="00441B6F">
      <w:pPr>
        <w:pStyle w:val="Body"/>
        <w:spacing w:after="0"/>
        <w:rPr>
          <w:rFonts w:ascii="Arial" w:hAnsi="Arial" w:cs="Arial"/>
        </w:rPr>
      </w:pPr>
    </w:p>
    <w:p w14:paraId="7DBC806A"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3976D6D" w14:textId="77777777" w:rsidR="00790ADA" w:rsidRPr="00FB3A86" w:rsidRDefault="00790ADA" w:rsidP="00441B6F">
      <w:pPr>
        <w:pStyle w:val="Head1"/>
        <w:spacing w:after="0"/>
        <w:jc w:val="both"/>
        <w:rPr>
          <w:rFonts w:ascii="Arial" w:hAnsi="Arial" w:cs="Arial"/>
        </w:rPr>
      </w:pPr>
    </w:p>
    <w:p w14:paraId="61A4D50D" w14:textId="77777777" w:rsidR="003E104B" w:rsidRPr="003E104B" w:rsidRDefault="003E104B" w:rsidP="003E104B">
      <w:pPr>
        <w:pStyle w:val="Body"/>
        <w:spacing w:after="0"/>
        <w:rPr>
          <w:rFonts w:ascii="Arial" w:hAnsi="Arial" w:cs="Arial"/>
          <w:b/>
          <w:bCs/>
          <w:sz w:val="22"/>
          <w:szCs w:val="22"/>
        </w:rPr>
      </w:pPr>
      <w:r w:rsidRPr="003E104B">
        <w:rPr>
          <w:rFonts w:ascii="Arial" w:hAnsi="Arial" w:cs="Arial"/>
          <w:b/>
          <w:bCs/>
          <w:sz w:val="22"/>
          <w:szCs w:val="22"/>
        </w:rPr>
        <w:t xml:space="preserve">3.1 Analysis of Variance </w:t>
      </w:r>
    </w:p>
    <w:p w14:paraId="668A05A2" w14:textId="0DEB0833" w:rsidR="003E104B" w:rsidRDefault="002D544F" w:rsidP="003E104B">
      <w:pPr>
        <w:pStyle w:val="Body"/>
        <w:spacing w:after="0"/>
        <w:rPr>
          <w:rFonts w:ascii="Arial" w:hAnsi="Arial" w:cs="Arial"/>
        </w:rPr>
      </w:pPr>
      <w:r>
        <w:rPr>
          <w:rFonts w:ascii="Arial" w:hAnsi="Arial" w:cs="Arial"/>
        </w:rPr>
        <w:t xml:space="preserve">The analysis of variance revealed statistically highly significant variation among the genotypes across all the evaluated traits </w:t>
      </w:r>
      <w:r w:rsidR="003E104B" w:rsidRPr="003E104B">
        <w:rPr>
          <w:rFonts w:ascii="Arial" w:hAnsi="Arial" w:cs="Arial"/>
          <w:i/>
          <w:iCs/>
        </w:rPr>
        <w:t>viz;</w:t>
      </w:r>
      <w:r w:rsidR="003E104B" w:rsidRPr="003E104B">
        <w:rPr>
          <w:rFonts w:ascii="Arial" w:hAnsi="Arial" w:cs="Arial"/>
        </w:rPr>
        <w:t xml:space="preserve"> </w:t>
      </w:r>
      <w:r w:rsidR="003E104B" w:rsidRPr="003E104B">
        <w:rPr>
          <w:rFonts w:ascii="Arial" w:hAnsi="Arial" w:cs="Arial"/>
          <w:lang w:val="en-IN"/>
        </w:rPr>
        <w:t xml:space="preserve">plant height at 30 and 45 DAT, fruit diameter, </w:t>
      </w:r>
      <w:r w:rsidR="003E104B" w:rsidRPr="003E104B">
        <w:rPr>
          <w:rFonts w:ascii="Arial" w:hAnsi="Arial" w:cs="Arial"/>
          <w:lang w:val="en-IN"/>
        </w:rPr>
        <w:lastRenderedPageBreak/>
        <w:t xml:space="preserve">days to 50% flowering, no. of fruits per cluster, root-knot index, no. of cluster per plant, days to first harvest, no. of flower per cluster, SPAD reading, average fruit weight, fruit volume, moisture content, no. of fruits per plant, total phenol content and fruit yield per plant. </w:t>
      </w:r>
      <w:r w:rsidR="003E104B" w:rsidRPr="003E104B">
        <w:rPr>
          <w:rFonts w:ascii="Arial" w:hAnsi="Arial" w:cs="Arial"/>
        </w:rPr>
        <w:t xml:space="preserve">These results aligned with the findings of Kumar </w:t>
      </w:r>
      <w:r w:rsidR="003E104B" w:rsidRPr="003E104B">
        <w:rPr>
          <w:rFonts w:ascii="Arial" w:hAnsi="Arial" w:cs="Arial"/>
          <w:i/>
          <w:iCs/>
        </w:rPr>
        <w:t>et al</w:t>
      </w:r>
      <w:r w:rsidR="003E104B" w:rsidRPr="003E104B">
        <w:rPr>
          <w:rFonts w:ascii="Arial" w:hAnsi="Arial" w:cs="Arial"/>
        </w:rPr>
        <w:t xml:space="preserve">. (2025), </w:t>
      </w:r>
      <w:proofErr w:type="spellStart"/>
      <w:r w:rsidR="003E104B" w:rsidRPr="003E104B">
        <w:rPr>
          <w:rFonts w:ascii="Arial" w:hAnsi="Arial" w:cs="Arial"/>
        </w:rPr>
        <w:t>Tabasum</w:t>
      </w:r>
      <w:proofErr w:type="spellEnd"/>
      <w:r w:rsidR="003E104B" w:rsidRPr="003E104B">
        <w:rPr>
          <w:rFonts w:ascii="Arial" w:hAnsi="Arial" w:cs="Arial"/>
        </w:rPr>
        <w:t xml:space="preserve"> </w:t>
      </w:r>
      <w:r w:rsidR="003E104B" w:rsidRPr="003E104B">
        <w:rPr>
          <w:rFonts w:ascii="Arial" w:hAnsi="Arial" w:cs="Arial"/>
          <w:i/>
          <w:iCs/>
        </w:rPr>
        <w:t>et al.</w:t>
      </w:r>
      <w:r w:rsidR="003E104B" w:rsidRPr="003E104B">
        <w:rPr>
          <w:rFonts w:ascii="Arial" w:hAnsi="Arial" w:cs="Arial"/>
        </w:rPr>
        <w:t xml:space="preserve"> (2024), Thomas </w:t>
      </w:r>
      <w:r w:rsidR="003E104B" w:rsidRPr="003E104B">
        <w:rPr>
          <w:rFonts w:ascii="Arial" w:hAnsi="Arial" w:cs="Arial"/>
          <w:i/>
          <w:iCs/>
        </w:rPr>
        <w:t>et al</w:t>
      </w:r>
      <w:r w:rsidR="003E104B" w:rsidRPr="003E104B">
        <w:rPr>
          <w:rFonts w:ascii="Arial" w:hAnsi="Arial" w:cs="Arial"/>
        </w:rPr>
        <w:t>. (2022)</w:t>
      </w:r>
      <w:r w:rsidR="00234767">
        <w:rPr>
          <w:rFonts w:ascii="Arial" w:hAnsi="Arial" w:cs="Arial"/>
        </w:rPr>
        <w:t xml:space="preserve"> and</w:t>
      </w:r>
      <w:r w:rsidR="003E104B" w:rsidRPr="003E104B">
        <w:rPr>
          <w:rFonts w:ascii="Arial" w:hAnsi="Arial" w:cs="Arial"/>
        </w:rPr>
        <w:t xml:space="preserve"> Praveen </w:t>
      </w:r>
      <w:r w:rsidR="003E104B" w:rsidRPr="003E104B">
        <w:rPr>
          <w:rFonts w:ascii="Arial" w:hAnsi="Arial" w:cs="Arial"/>
          <w:i/>
          <w:iCs/>
        </w:rPr>
        <w:t>et al.</w:t>
      </w:r>
      <w:r w:rsidR="003E104B" w:rsidRPr="003E104B">
        <w:rPr>
          <w:rFonts w:ascii="Arial" w:hAnsi="Arial" w:cs="Arial"/>
        </w:rPr>
        <w:t xml:space="preserve"> (2020). Analysis of variance for the above characteristics indicates sufficient variability, which can be exploited for the selection of desirable genotypes for further breeding programs, as mentioned in Table 1. However, analysis of variance alone is insufficient and can’t be fully account for all the underlying genotypic variation within genotypes.</w:t>
      </w:r>
    </w:p>
    <w:p w14:paraId="0B8E5128" w14:textId="6622F7D1" w:rsidR="003E104B" w:rsidRPr="003E104B" w:rsidRDefault="003E104B" w:rsidP="003E104B">
      <w:pPr>
        <w:pStyle w:val="Body"/>
        <w:spacing w:after="0"/>
        <w:rPr>
          <w:rFonts w:ascii="Arial" w:hAnsi="Arial" w:cs="Arial"/>
        </w:rPr>
      </w:pPr>
      <w:r w:rsidRPr="003E104B">
        <w:rPr>
          <w:rFonts w:ascii="Arial" w:hAnsi="Arial" w:cs="Arial"/>
        </w:rPr>
        <w:t xml:space="preserve"> </w:t>
      </w:r>
    </w:p>
    <w:p w14:paraId="6DCC218D" w14:textId="77777777" w:rsidR="003E104B" w:rsidRPr="003E104B" w:rsidRDefault="003E104B" w:rsidP="003E104B">
      <w:pPr>
        <w:pStyle w:val="Body"/>
        <w:spacing w:after="0"/>
        <w:rPr>
          <w:rFonts w:ascii="Arial" w:hAnsi="Arial" w:cs="Arial"/>
          <w:b/>
          <w:bCs/>
          <w:sz w:val="22"/>
          <w:szCs w:val="22"/>
        </w:rPr>
      </w:pPr>
      <w:r w:rsidRPr="003E104B">
        <w:rPr>
          <w:rFonts w:ascii="Arial" w:hAnsi="Arial" w:cs="Arial"/>
          <w:b/>
          <w:bCs/>
          <w:sz w:val="22"/>
          <w:szCs w:val="22"/>
        </w:rPr>
        <w:t>3.2 Genetic parameters of variability</w:t>
      </w:r>
    </w:p>
    <w:p w14:paraId="371169C0" w14:textId="77777777" w:rsidR="003E104B" w:rsidRDefault="003E104B" w:rsidP="003E104B">
      <w:pPr>
        <w:pStyle w:val="Body"/>
        <w:spacing w:after="0"/>
        <w:rPr>
          <w:rFonts w:ascii="Arial" w:hAnsi="Arial" w:cs="Arial"/>
        </w:rPr>
      </w:pPr>
    </w:p>
    <w:p w14:paraId="4B301D00" w14:textId="08FB1932" w:rsidR="003E104B" w:rsidRPr="003E104B" w:rsidRDefault="003E104B" w:rsidP="003E104B">
      <w:pPr>
        <w:pStyle w:val="Body"/>
        <w:spacing w:after="0"/>
        <w:rPr>
          <w:rFonts w:ascii="Arial" w:hAnsi="Arial" w:cs="Arial"/>
        </w:rPr>
      </w:pPr>
      <w:r w:rsidRPr="003E104B">
        <w:rPr>
          <w:rFonts w:ascii="Arial" w:hAnsi="Arial" w:cs="Arial"/>
        </w:rPr>
        <w:t xml:space="preserve">In any breeding </w:t>
      </w:r>
      <w:proofErr w:type="spellStart"/>
      <w:r w:rsidRPr="003E104B">
        <w:rPr>
          <w:rFonts w:ascii="Arial" w:hAnsi="Arial" w:cs="Arial"/>
        </w:rPr>
        <w:t>programme</w:t>
      </w:r>
      <w:proofErr w:type="spellEnd"/>
      <w:r w:rsidRPr="003E104B">
        <w:rPr>
          <w:rFonts w:ascii="Arial" w:hAnsi="Arial" w:cs="Arial"/>
        </w:rPr>
        <w:t xml:space="preserve">, one of the most crucial selection criteria is the degree of variability </w:t>
      </w:r>
      <w:r w:rsidR="00C865F1" w:rsidRPr="003E104B">
        <w:rPr>
          <w:rFonts w:ascii="Arial" w:hAnsi="Arial" w:cs="Arial"/>
        </w:rPr>
        <w:t>existing</w:t>
      </w:r>
      <w:r w:rsidRPr="003E104B">
        <w:rPr>
          <w:rFonts w:ascii="Arial" w:hAnsi="Arial" w:cs="Arial"/>
        </w:rPr>
        <w:t xml:space="preserve"> in the crop species, which highly influences the success of crop improvement programs. Several metrics, including GCV, PCV, h</w:t>
      </w:r>
      <w:r w:rsidRPr="003E104B">
        <w:rPr>
          <w:rFonts w:ascii="Arial" w:hAnsi="Arial" w:cs="Arial"/>
          <w:vertAlign w:val="superscript"/>
        </w:rPr>
        <w:t>2</w:t>
      </w:r>
      <w:r w:rsidRPr="003E104B">
        <w:rPr>
          <w:rFonts w:ascii="Arial" w:hAnsi="Arial" w:cs="Arial"/>
        </w:rPr>
        <w:t xml:space="preserve"> and Genetic Advance (GA%) are used to evaluate variance. Environmental factors played a crucial role in determining how the trait was expressed phenotypically. Both environmental (non-heritable) and genotypic (Heritable) components together contribute to phenotypic variability. In the present investigation, various genetic parameters like GCV, PCV, heritability in the broad sense and GA% have been explained and are shown in </w:t>
      </w:r>
      <w:r w:rsidRPr="004C236E">
        <w:rPr>
          <w:rFonts w:ascii="Arial" w:hAnsi="Arial" w:cs="Arial"/>
          <w:color w:val="0D0D0D" w:themeColor="text1" w:themeTint="F2"/>
        </w:rPr>
        <w:t xml:space="preserve">Table </w:t>
      </w:r>
      <w:r w:rsidR="00C128FB" w:rsidRPr="004C236E">
        <w:rPr>
          <w:rFonts w:ascii="Arial" w:hAnsi="Arial" w:cs="Arial"/>
          <w:color w:val="0D0D0D" w:themeColor="text1" w:themeTint="F2"/>
        </w:rPr>
        <w:t>3</w:t>
      </w:r>
      <w:r w:rsidRPr="004C236E">
        <w:rPr>
          <w:rFonts w:ascii="Arial" w:hAnsi="Arial" w:cs="Arial"/>
          <w:color w:val="0D0D0D" w:themeColor="text1" w:themeTint="F2"/>
        </w:rPr>
        <w:t>.</w:t>
      </w:r>
      <w:r w:rsidRPr="003E104B">
        <w:rPr>
          <w:rFonts w:ascii="Arial" w:hAnsi="Arial" w:cs="Arial"/>
        </w:rPr>
        <w:t xml:space="preserve"> The findings of the results have been discussed as follows. </w:t>
      </w:r>
    </w:p>
    <w:p w14:paraId="0FD56FBB" w14:textId="043EBD7A" w:rsidR="003E104B" w:rsidRPr="003E104B" w:rsidRDefault="003E104B" w:rsidP="003E104B">
      <w:pPr>
        <w:pStyle w:val="Body"/>
        <w:spacing w:after="0"/>
        <w:rPr>
          <w:rFonts w:ascii="Arial" w:hAnsi="Arial" w:cs="Arial"/>
        </w:rPr>
      </w:pPr>
      <w:r w:rsidRPr="003E104B">
        <w:rPr>
          <w:rFonts w:ascii="Arial" w:hAnsi="Arial" w:cs="Arial"/>
        </w:rPr>
        <w:t xml:space="preserve">For both qualitative and quantitative traits, the genotypic coefficient of variation (GCV) was lower than the phenotypic coefficient of variation (PCV), indicating the influence of environmental factors. </w:t>
      </w:r>
      <w:proofErr w:type="spellStart"/>
      <w:r w:rsidRPr="003E104B">
        <w:rPr>
          <w:rFonts w:ascii="Arial" w:hAnsi="Arial" w:cs="Arial"/>
        </w:rPr>
        <w:t>Ukkund</w:t>
      </w:r>
      <w:proofErr w:type="spellEnd"/>
      <w:r w:rsidRPr="003E104B">
        <w:rPr>
          <w:rFonts w:ascii="Arial" w:hAnsi="Arial" w:cs="Arial"/>
        </w:rPr>
        <w:t xml:space="preserve"> </w:t>
      </w:r>
      <w:r w:rsidRPr="003E104B">
        <w:rPr>
          <w:rFonts w:ascii="Arial" w:hAnsi="Arial" w:cs="Arial"/>
          <w:i/>
          <w:iCs/>
        </w:rPr>
        <w:t>et al</w:t>
      </w:r>
      <w:r w:rsidRPr="003E104B">
        <w:rPr>
          <w:rFonts w:ascii="Arial" w:hAnsi="Arial" w:cs="Arial"/>
        </w:rPr>
        <w:t>. 2007,</w:t>
      </w:r>
      <w:r w:rsidR="00C865F1">
        <w:rPr>
          <w:rFonts w:ascii="Arial" w:hAnsi="Arial" w:cs="Arial"/>
        </w:rPr>
        <w:t xml:space="preserve"> suggested that</w:t>
      </w:r>
      <w:r w:rsidRPr="003E104B">
        <w:rPr>
          <w:rFonts w:ascii="Arial" w:hAnsi="Arial" w:cs="Arial"/>
        </w:rPr>
        <w:t xml:space="preserve"> the magnitude of variability coefficients </w:t>
      </w:r>
      <w:r w:rsidR="00C865F1">
        <w:rPr>
          <w:rFonts w:ascii="Arial" w:hAnsi="Arial" w:cs="Arial"/>
        </w:rPr>
        <w:t>differs</w:t>
      </w:r>
      <w:r w:rsidRPr="003E104B">
        <w:rPr>
          <w:rFonts w:ascii="Arial" w:hAnsi="Arial" w:cs="Arial"/>
        </w:rPr>
        <w:t xml:space="preserve"> from </w:t>
      </w:r>
      <w:r w:rsidR="00C865F1">
        <w:rPr>
          <w:rFonts w:ascii="Arial" w:hAnsi="Arial" w:cs="Arial"/>
        </w:rPr>
        <w:t>trait</w:t>
      </w:r>
      <w:r w:rsidRPr="003E104B">
        <w:rPr>
          <w:rFonts w:ascii="Arial" w:hAnsi="Arial" w:cs="Arial"/>
        </w:rPr>
        <w:t xml:space="preserve"> to </w:t>
      </w:r>
      <w:r w:rsidR="00C865F1">
        <w:rPr>
          <w:rFonts w:ascii="Arial" w:hAnsi="Arial" w:cs="Arial"/>
        </w:rPr>
        <w:t>trait</w:t>
      </w:r>
      <w:r w:rsidRPr="003E104B">
        <w:rPr>
          <w:rFonts w:ascii="Arial" w:hAnsi="Arial" w:cs="Arial"/>
        </w:rPr>
        <w:t xml:space="preserve">, </w:t>
      </w:r>
      <w:r w:rsidR="00234767" w:rsidRPr="00234767">
        <w:rPr>
          <w:rFonts w:ascii="Arial" w:hAnsi="Arial" w:cs="Arial"/>
        </w:rPr>
        <w:t>In the present investigation, the extent of variability for different traits was categorized into three groups: low (≤15%), moderate (15–30%), and high (&gt;30%). This classification reflects the degree of diversity present within the studied population.</w:t>
      </w:r>
      <w:r w:rsidRPr="003E104B">
        <w:rPr>
          <w:rFonts w:ascii="Arial" w:hAnsi="Arial" w:cs="Arial"/>
        </w:rPr>
        <w:t xml:space="preserve"> A high phenotypic coefficient of variation (PCV) suggests the selection potential for the given trait, which depends on the amount of variability present in the crop population. A high genetic coefficient of variation (GCV) indicates the genetic variability present in a considerable amount for the given characteristic, which may facilitate further selection in a crop species. As shown in Table 2, the PCV in our present study was high for the characteristics, </w:t>
      </w:r>
      <w:r w:rsidRPr="003E104B">
        <w:rPr>
          <w:rFonts w:ascii="Arial" w:hAnsi="Arial" w:cs="Arial"/>
          <w:i/>
          <w:iCs/>
        </w:rPr>
        <w:t>i.e.</w:t>
      </w:r>
      <w:r w:rsidRPr="003E104B">
        <w:rPr>
          <w:rFonts w:ascii="Arial" w:hAnsi="Arial" w:cs="Arial"/>
        </w:rPr>
        <w:t xml:space="preserve"> Root-knot index (42.49%), Fruit volume (42.12%), Fruit yield per plant (39.06%), number of flowers per cluster (38.90%), average fruit weight (36.40%), number of fruits per plant (36.11%) and number of fruits per cluster (34.16%). Moderate PCV was recorded for SPAD reading (28.32%), fruit diameter (24.31%), number of clusters per plant (23.67%), total phenol content (22.47%), plant height at 30 DAT (19.42%) and plant height at 45 DAT (17.66) Whereas, it was low for days to 50% flowering (10.26%), days to first harvest (8.31%) and moisture content (1.38%).</w:t>
      </w:r>
    </w:p>
    <w:p w14:paraId="0A2C0D89" w14:textId="1FBCA380" w:rsidR="003E104B" w:rsidRDefault="003E104B" w:rsidP="003E104B">
      <w:pPr>
        <w:pStyle w:val="Body"/>
        <w:spacing w:after="0"/>
        <w:rPr>
          <w:rFonts w:ascii="Arial" w:hAnsi="Arial" w:cs="Arial"/>
        </w:rPr>
      </w:pPr>
      <w:r w:rsidRPr="003E104B">
        <w:rPr>
          <w:rFonts w:ascii="Arial" w:hAnsi="Arial" w:cs="Arial"/>
        </w:rPr>
        <w:t xml:space="preserve">Likewise, a high GCV was found for Root-knot index (42.11%), Fruit volume (41.82%), Fruit yield per plant (35.30%), number of flowers per cluster (38.80%), average fruit weight (35.32%), number of fruits per plant (34.24%) and number of fruits per cluster (33.88%). Moderate GCV was recorded for SPAD reading (27.22%), fruit diameter (26.76%), number of clusters per plant (21.56%), total phenol content (22.34%), plant height at 30 DAT (18.74%) and plant height at 45 DAT (16.99) Whereas, it was low for days to 50% flowering (10.05%), days to first harvest (8.10%) and moisture content (0.68%). The high genotypic coefficient of variation (GCV) for the mentioned characters signifies substantial genetic variation, facilitating the selection of superior brinjal genotypes. Previous studies have also revealed high, moderate and low estimates of genotypic (GCV) and phenotypic (PCV) coefficient of variation for different traits by </w:t>
      </w:r>
      <w:proofErr w:type="spellStart"/>
      <w:r w:rsidRPr="003E104B">
        <w:rPr>
          <w:rFonts w:ascii="Arial" w:hAnsi="Arial" w:cs="Arial"/>
        </w:rPr>
        <w:t>Teja</w:t>
      </w:r>
      <w:proofErr w:type="spellEnd"/>
      <w:r w:rsidRPr="003E104B">
        <w:rPr>
          <w:rFonts w:ascii="Arial" w:hAnsi="Arial" w:cs="Arial"/>
        </w:rPr>
        <w:t xml:space="preserve"> </w:t>
      </w:r>
      <w:r w:rsidRPr="003E104B">
        <w:rPr>
          <w:rFonts w:ascii="Arial" w:hAnsi="Arial" w:cs="Arial"/>
          <w:i/>
          <w:iCs/>
        </w:rPr>
        <w:t>et al</w:t>
      </w:r>
      <w:r w:rsidRPr="003E104B">
        <w:rPr>
          <w:rFonts w:ascii="Arial" w:hAnsi="Arial" w:cs="Arial"/>
        </w:rPr>
        <w:t xml:space="preserve">. </w:t>
      </w:r>
      <w:r w:rsidRPr="003E104B">
        <w:rPr>
          <w:rFonts w:ascii="Arial" w:hAnsi="Arial" w:cs="Arial"/>
          <w:lang w:val="sv-SE"/>
        </w:rPr>
        <w:t xml:space="preserve">(2025), Tabasum </w:t>
      </w:r>
      <w:r w:rsidRPr="003E104B">
        <w:rPr>
          <w:rFonts w:ascii="Arial" w:hAnsi="Arial" w:cs="Arial"/>
          <w:i/>
          <w:iCs/>
          <w:lang w:val="sv-SE"/>
        </w:rPr>
        <w:t>et al.</w:t>
      </w:r>
      <w:r w:rsidRPr="003E104B">
        <w:rPr>
          <w:rFonts w:ascii="Arial" w:hAnsi="Arial" w:cs="Arial"/>
          <w:lang w:val="sv-SE"/>
        </w:rPr>
        <w:t xml:space="preserve"> (2024), Soumya </w:t>
      </w:r>
      <w:r w:rsidRPr="003E104B">
        <w:rPr>
          <w:rFonts w:ascii="Arial" w:hAnsi="Arial" w:cs="Arial"/>
          <w:i/>
          <w:iCs/>
          <w:lang w:val="sv-SE"/>
        </w:rPr>
        <w:t>et al.</w:t>
      </w:r>
      <w:r w:rsidRPr="003E104B">
        <w:rPr>
          <w:rFonts w:ascii="Arial" w:hAnsi="Arial" w:cs="Arial"/>
          <w:lang w:val="sv-SE"/>
        </w:rPr>
        <w:t xml:space="preserve"> (2023), Sharma </w:t>
      </w:r>
      <w:r w:rsidRPr="003E104B">
        <w:rPr>
          <w:rFonts w:ascii="Arial" w:hAnsi="Arial" w:cs="Arial"/>
          <w:i/>
          <w:iCs/>
          <w:lang w:val="sv-SE"/>
        </w:rPr>
        <w:t>et al</w:t>
      </w:r>
      <w:r w:rsidRPr="003E104B">
        <w:rPr>
          <w:rFonts w:ascii="Arial" w:hAnsi="Arial" w:cs="Arial"/>
          <w:lang w:val="sv-SE"/>
        </w:rPr>
        <w:t xml:space="preserve">. (2022), Barik </w:t>
      </w:r>
      <w:r w:rsidRPr="003E104B">
        <w:rPr>
          <w:rFonts w:ascii="Arial" w:hAnsi="Arial" w:cs="Arial"/>
          <w:i/>
          <w:iCs/>
          <w:lang w:val="sv-SE"/>
        </w:rPr>
        <w:t>et al.</w:t>
      </w:r>
      <w:r w:rsidRPr="003E104B">
        <w:rPr>
          <w:rFonts w:ascii="Arial" w:hAnsi="Arial" w:cs="Arial"/>
          <w:lang w:val="sv-SE"/>
        </w:rPr>
        <w:t xml:space="preserve"> </w:t>
      </w:r>
      <w:r w:rsidRPr="003E104B">
        <w:rPr>
          <w:rFonts w:ascii="Arial" w:hAnsi="Arial" w:cs="Arial"/>
        </w:rPr>
        <w:t xml:space="preserve">(2021) and Praveen </w:t>
      </w:r>
      <w:r w:rsidRPr="003E104B">
        <w:rPr>
          <w:rFonts w:ascii="Arial" w:hAnsi="Arial" w:cs="Arial"/>
          <w:i/>
          <w:iCs/>
        </w:rPr>
        <w:t>et al.</w:t>
      </w:r>
      <w:r w:rsidRPr="003E104B">
        <w:rPr>
          <w:rFonts w:ascii="Arial" w:hAnsi="Arial" w:cs="Arial"/>
        </w:rPr>
        <w:t xml:space="preserve"> (2020).</w:t>
      </w:r>
    </w:p>
    <w:p w14:paraId="3D188214" w14:textId="6D36F6D6" w:rsidR="00790ADA" w:rsidRPr="00E667E6" w:rsidRDefault="00E667E6" w:rsidP="00441B6F">
      <w:pPr>
        <w:pStyle w:val="Body"/>
        <w:spacing w:after="0"/>
        <w:rPr>
          <w:rFonts w:ascii="Arial" w:hAnsi="Arial" w:cs="Arial"/>
          <w:b/>
          <w:bCs/>
        </w:rPr>
      </w:pPr>
      <w:r w:rsidRPr="00E667E6">
        <w:rPr>
          <w:rFonts w:ascii="Arial" w:hAnsi="Arial" w:cs="Arial"/>
          <w:b/>
          <w:bCs/>
        </w:rPr>
        <w:t>Table 1</w:t>
      </w:r>
      <w:r w:rsidR="00C128FB">
        <w:rPr>
          <w:rFonts w:ascii="Arial" w:hAnsi="Arial" w:cs="Arial"/>
          <w:b/>
          <w:bCs/>
        </w:rPr>
        <w:t>:</w:t>
      </w:r>
      <w:r w:rsidRPr="00E667E6">
        <w:rPr>
          <w:rFonts w:ascii="Arial" w:hAnsi="Arial" w:cs="Arial"/>
          <w:b/>
          <w:bCs/>
        </w:rPr>
        <w:t xml:space="preserve"> </w:t>
      </w:r>
      <w:r>
        <w:rPr>
          <w:rFonts w:ascii="Arial" w:hAnsi="Arial" w:cs="Arial"/>
          <w:b/>
          <w:bCs/>
        </w:rPr>
        <w:t xml:space="preserve">List of genotypes and </w:t>
      </w:r>
      <w:r w:rsidR="00D375D5">
        <w:rPr>
          <w:rFonts w:ascii="Arial" w:hAnsi="Arial" w:cs="Arial"/>
          <w:b/>
          <w:bCs/>
        </w:rPr>
        <w:t>source</w:t>
      </w:r>
    </w:p>
    <w:p w14:paraId="4DB04C05" w14:textId="65934DAA" w:rsidR="00E667E6" w:rsidRDefault="00E667E6" w:rsidP="00441B6F">
      <w:pPr>
        <w:pStyle w:val="Body"/>
        <w:spacing w:after="0"/>
        <w:rPr>
          <w:rFonts w:ascii="Arial" w:hAnsi="Arial" w:cs="Arial"/>
        </w:rPr>
      </w:pPr>
    </w:p>
    <w:tbl>
      <w:tblPr>
        <w:tblStyle w:val="ListTable6Colorful"/>
        <w:tblW w:w="7650" w:type="dxa"/>
        <w:tblInd w:w="108" w:type="dxa"/>
        <w:tblLook w:val="04A0" w:firstRow="1" w:lastRow="0" w:firstColumn="1" w:lastColumn="0" w:noHBand="0" w:noVBand="1"/>
      </w:tblPr>
      <w:tblGrid>
        <w:gridCol w:w="5130"/>
        <w:gridCol w:w="2520"/>
      </w:tblGrid>
      <w:tr w:rsidR="00E667E6" w:rsidRPr="00E667E6" w14:paraId="61119330" w14:textId="77777777" w:rsidTr="00D37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tcPr>
          <w:p w14:paraId="7BF432FA" w14:textId="77777777" w:rsidR="00E667E6" w:rsidRPr="00E667E6" w:rsidRDefault="00E667E6" w:rsidP="00707C17">
            <w:pPr>
              <w:jc w:val="both"/>
              <w:rPr>
                <w:rFonts w:ascii="Arial" w:hAnsi="Arial" w:cs="Arial"/>
                <w:vertAlign w:val="subscript"/>
              </w:rPr>
            </w:pPr>
            <w:r w:rsidRPr="00E667E6">
              <w:rPr>
                <w:rFonts w:ascii="Arial" w:hAnsi="Arial" w:cs="Arial"/>
                <w:vertAlign w:val="subscript"/>
              </w:rPr>
              <w:lastRenderedPageBreak/>
              <w:t>Genotypes</w:t>
            </w:r>
          </w:p>
        </w:tc>
        <w:tc>
          <w:tcPr>
            <w:tcW w:w="2520" w:type="dxa"/>
          </w:tcPr>
          <w:p w14:paraId="62548F7D" w14:textId="77777777" w:rsidR="00E667E6" w:rsidRPr="00E667E6" w:rsidRDefault="00E667E6" w:rsidP="00707C17">
            <w:pPr>
              <w:jc w:val="both"/>
              <w:cnfStyle w:val="100000000000" w:firstRow="1" w:lastRow="0" w:firstColumn="0" w:lastColumn="0" w:oddVBand="0" w:evenVBand="0" w:oddHBand="0" w:evenHBand="0" w:firstRowFirstColumn="0" w:firstRowLastColumn="0" w:lastRowFirstColumn="0" w:lastRowLastColumn="0"/>
              <w:rPr>
                <w:rFonts w:ascii="Arial" w:hAnsi="Arial" w:cs="Arial"/>
                <w:vertAlign w:val="subscript"/>
              </w:rPr>
            </w:pPr>
            <w:r w:rsidRPr="00E667E6">
              <w:rPr>
                <w:rFonts w:ascii="Arial" w:hAnsi="Arial" w:cs="Arial"/>
                <w:vertAlign w:val="subscript"/>
              </w:rPr>
              <w:t>Source</w:t>
            </w:r>
          </w:p>
        </w:tc>
      </w:tr>
      <w:tr w:rsidR="00E667E6" w:rsidRPr="00E667E6" w14:paraId="1C3CA288" w14:textId="77777777" w:rsidTr="00BD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shd w:val="clear" w:color="auto" w:fill="auto"/>
          </w:tcPr>
          <w:p w14:paraId="7A487E09" w14:textId="269994D9" w:rsidR="00E667E6" w:rsidRPr="00E667E6" w:rsidRDefault="00E667E6" w:rsidP="00707C17">
            <w:pPr>
              <w:jc w:val="both"/>
              <w:rPr>
                <w:rFonts w:ascii="Arial" w:hAnsi="Arial" w:cs="Arial"/>
                <w:vertAlign w:val="subscript"/>
                <w:lang w:val="sv-SE"/>
              </w:rPr>
            </w:pPr>
            <w:r w:rsidRPr="00E667E6">
              <w:rPr>
                <w:rFonts w:ascii="Arial" w:hAnsi="Arial" w:cs="Arial"/>
                <w:iCs/>
                <w:vertAlign w:val="subscript"/>
                <w:lang w:val="sv-SE"/>
              </w:rPr>
              <w:t>Pusa Kranti, Pusa Purple Cluster, Hara Bangan-1, Safed Bangan-1, Pusa Uttam</w:t>
            </w:r>
          </w:p>
        </w:tc>
        <w:tc>
          <w:tcPr>
            <w:tcW w:w="2520" w:type="dxa"/>
            <w:shd w:val="clear" w:color="auto" w:fill="auto"/>
          </w:tcPr>
          <w:p w14:paraId="4A182B29" w14:textId="77777777" w:rsidR="00E667E6" w:rsidRPr="00E667E6" w:rsidRDefault="00E667E6" w:rsidP="00707C17">
            <w:pPr>
              <w:jc w:val="both"/>
              <w:cnfStyle w:val="000000100000" w:firstRow="0" w:lastRow="0" w:firstColumn="0" w:lastColumn="0" w:oddVBand="0" w:evenVBand="0" w:oddHBand="1" w:evenHBand="0" w:firstRowFirstColumn="0" w:firstRowLastColumn="0" w:lastRowFirstColumn="0" w:lastRowLastColumn="0"/>
              <w:rPr>
                <w:rFonts w:ascii="Arial" w:hAnsi="Arial" w:cs="Arial"/>
                <w:vertAlign w:val="subscript"/>
              </w:rPr>
            </w:pPr>
            <w:r w:rsidRPr="00E667E6">
              <w:rPr>
                <w:rFonts w:ascii="Arial" w:hAnsi="Arial" w:cs="Arial"/>
                <w:vertAlign w:val="subscript"/>
              </w:rPr>
              <w:t>ICAR-IARI, New Delhi</w:t>
            </w:r>
          </w:p>
        </w:tc>
      </w:tr>
      <w:tr w:rsidR="00E667E6" w:rsidRPr="00E667E6" w14:paraId="639F3D3F" w14:textId="77777777" w:rsidTr="00D375D5">
        <w:tc>
          <w:tcPr>
            <w:cnfStyle w:val="001000000000" w:firstRow="0" w:lastRow="0" w:firstColumn="1" w:lastColumn="0" w:oddVBand="0" w:evenVBand="0" w:oddHBand="0" w:evenHBand="0" w:firstRowFirstColumn="0" w:firstRowLastColumn="0" w:lastRowFirstColumn="0" w:lastRowLastColumn="0"/>
            <w:tcW w:w="5130" w:type="dxa"/>
          </w:tcPr>
          <w:p w14:paraId="5D33FEB1" w14:textId="6A3D197A" w:rsidR="00E667E6" w:rsidRPr="00E667E6" w:rsidRDefault="00E667E6" w:rsidP="00707C17">
            <w:pPr>
              <w:jc w:val="both"/>
              <w:rPr>
                <w:rFonts w:ascii="Arial" w:hAnsi="Arial" w:cs="Arial"/>
                <w:vertAlign w:val="subscript"/>
              </w:rPr>
            </w:pPr>
            <w:r w:rsidRPr="00E667E6">
              <w:rPr>
                <w:rFonts w:ascii="Arial" w:hAnsi="Arial" w:cs="Arial"/>
                <w:iCs/>
                <w:vertAlign w:val="subscript"/>
              </w:rPr>
              <w:t>IC112848, IC354511, IC354539, IC112993, IC112909, IC354546, IC249315, IC169782, IC347750, IC218975</w:t>
            </w:r>
          </w:p>
        </w:tc>
        <w:tc>
          <w:tcPr>
            <w:tcW w:w="2520" w:type="dxa"/>
          </w:tcPr>
          <w:p w14:paraId="2EBEAA7D" w14:textId="77777777" w:rsidR="00E667E6" w:rsidRPr="00E667E6" w:rsidRDefault="00E667E6" w:rsidP="00707C17">
            <w:pPr>
              <w:jc w:val="both"/>
              <w:cnfStyle w:val="000000000000" w:firstRow="0" w:lastRow="0" w:firstColumn="0" w:lastColumn="0" w:oddVBand="0" w:evenVBand="0" w:oddHBand="0" w:evenHBand="0" w:firstRowFirstColumn="0" w:firstRowLastColumn="0" w:lastRowFirstColumn="0" w:lastRowLastColumn="0"/>
              <w:rPr>
                <w:rFonts w:ascii="Arial" w:hAnsi="Arial" w:cs="Arial"/>
                <w:vertAlign w:val="subscript"/>
              </w:rPr>
            </w:pPr>
            <w:r w:rsidRPr="00E667E6">
              <w:rPr>
                <w:rFonts w:ascii="Arial" w:hAnsi="Arial" w:cs="Arial"/>
                <w:vertAlign w:val="subscript"/>
              </w:rPr>
              <w:t>ICAR-NBPGR, New Delhi</w:t>
            </w:r>
          </w:p>
        </w:tc>
      </w:tr>
      <w:tr w:rsidR="00E667E6" w:rsidRPr="00E667E6" w14:paraId="35C339A4" w14:textId="77777777" w:rsidTr="00BD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shd w:val="clear" w:color="auto" w:fill="auto"/>
          </w:tcPr>
          <w:p w14:paraId="6EFD90CC" w14:textId="77777777" w:rsidR="00E667E6" w:rsidRPr="00E667E6" w:rsidRDefault="00E667E6" w:rsidP="00707C17">
            <w:pPr>
              <w:jc w:val="both"/>
              <w:rPr>
                <w:rFonts w:ascii="Arial" w:hAnsi="Arial" w:cs="Arial"/>
                <w:vertAlign w:val="subscript"/>
              </w:rPr>
            </w:pPr>
            <w:r w:rsidRPr="00E667E6">
              <w:rPr>
                <w:rFonts w:ascii="Arial" w:hAnsi="Arial" w:cs="Arial"/>
                <w:iCs/>
                <w:vertAlign w:val="subscript"/>
              </w:rPr>
              <w:t xml:space="preserve">KS-445, KS-421, KS-534, KS-448, KS-449, KS-556, Azad B-1, Azad B-2, Azad B-3, Azad B-4, RS-530, </w:t>
            </w:r>
            <w:proofErr w:type="spellStart"/>
            <w:r w:rsidRPr="00E667E6">
              <w:rPr>
                <w:rFonts w:ascii="Arial" w:hAnsi="Arial" w:cs="Arial"/>
                <w:iCs/>
                <w:vertAlign w:val="subscript"/>
              </w:rPr>
              <w:t>Kalyanpur</w:t>
            </w:r>
            <w:proofErr w:type="spellEnd"/>
            <w:r w:rsidRPr="00E667E6">
              <w:rPr>
                <w:rFonts w:ascii="Arial" w:hAnsi="Arial" w:cs="Arial"/>
                <w:iCs/>
                <w:vertAlign w:val="subscript"/>
              </w:rPr>
              <w:t xml:space="preserve"> Type-3</w:t>
            </w:r>
          </w:p>
        </w:tc>
        <w:tc>
          <w:tcPr>
            <w:tcW w:w="2520" w:type="dxa"/>
            <w:shd w:val="clear" w:color="auto" w:fill="auto"/>
          </w:tcPr>
          <w:p w14:paraId="10A8C611" w14:textId="77777777" w:rsidR="00E667E6" w:rsidRPr="00E667E6" w:rsidRDefault="00E667E6" w:rsidP="00707C17">
            <w:pPr>
              <w:jc w:val="both"/>
              <w:cnfStyle w:val="000000100000" w:firstRow="0" w:lastRow="0" w:firstColumn="0" w:lastColumn="0" w:oddVBand="0" w:evenVBand="0" w:oddHBand="1" w:evenHBand="0" w:firstRowFirstColumn="0" w:firstRowLastColumn="0" w:lastRowFirstColumn="0" w:lastRowLastColumn="0"/>
              <w:rPr>
                <w:rFonts w:ascii="Arial" w:hAnsi="Arial" w:cs="Arial"/>
                <w:vertAlign w:val="subscript"/>
              </w:rPr>
            </w:pPr>
            <w:r w:rsidRPr="00E667E6">
              <w:rPr>
                <w:rFonts w:ascii="Arial" w:hAnsi="Arial" w:cs="Arial"/>
                <w:vertAlign w:val="subscript"/>
              </w:rPr>
              <w:t>CSAUAT, Kanpur (U.P.)</w:t>
            </w:r>
          </w:p>
        </w:tc>
      </w:tr>
      <w:tr w:rsidR="00E667E6" w:rsidRPr="00E667E6" w14:paraId="62FEB84D" w14:textId="77777777" w:rsidTr="00D375D5">
        <w:tc>
          <w:tcPr>
            <w:cnfStyle w:val="001000000000" w:firstRow="0" w:lastRow="0" w:firstColumn="1" w:lastColumn="0" w:oddVBand="0" w:evenVBand="0" w:oddHBand="0" w:evenHBand="0" w:firstRowFirstColumn="0" w:firstRowLastColumn="0" w:lastRowFirstColumn="0" w:lastRowLastColumn="0"/>
            <w:tcW w:w="5130" w:type="dxa"/>
          </w:tcPr>
          <w:p w14:paraId="1D871CA6" w14:textId="77777777" w:rsidR="00E667E6" w:rsidRPr="00E667E6" w:rsidRDefault="00E667E6" w:rsidP="00707C17">
            <w:pPr>
              <w:jc w:val="both"/>
              <w:rPr>
                <w:rFonts w:ascii="Arial" w:hAnsi="Arial" w:cs="Arial"/>
                <w:vertAlign w:val="subscript"/>
                <w:lang w:val="sv-SE"/>
              </w:rPr>
            </w:pPr>
            <w:r w:rsidRPr="00E667E6">
              <w:rPr>
                <w:rFonts w:ascii="Arial" w:hAnsi="Arial" w:cs="Arial"/>
                <w:iCs/>
                <w:vertAlign w:val="subscript"/>
                <w:lang w:val="sv-SE"/>
              </w:rPr>
              <w:t>Narender Brinjal-1, Narender Brinjal-2, Narender Brinjal-3, Narendra Suyog</w:t>
            </w:r>
          </w:p>
        </w:tc>
        <w:tc>
          <w:tcPr>
            <w:tcW w:w="2520" w:type="dxa"/>
          </w:tcPr>
          <w:p w14:paraId="6362DE80" w14:textId="77777777" w:rsidR="00E667E6" w:rsidRPr="00E667E6" w:rsidRDefault="00E667E6" w:rsidP="00707C17">
            <w:pPr>
              <w:jc w:val="both"/>
              <w:cnfStyle w:val="000000000000" w:firstRow="0" w:lastRow="0" w:firstColumn="0" w:lastColumn="0" w:oddVBand="0" w:evenVBand="0" w:oddHBand="0" w:evenHBand="0" w:firstRowFirstColumn="0" w:firstRowLastColumn="0" w:lastRowFirstColumn="0" w:lastRowLastColumn="0"/>
              <w:rPr>
                <w:rFonts w:ascii="Arial" w:hAnsi="Arial" w:cs="Arial"/>
                <w:vertAlign w:val="subscript"/>
              </w:rPr>
            </w:pPr>
            <w:r w:rsidRPr="00E667E6">
              <w:rPr>
                <w:rFonts w:ascii="Arial" w:hAnsi="Arial" w:cs="Arial"/>
                <w:vertAlign w:val="subscript"/>
              </w:rPr>
              <w:t xml:space="preserve">ANDUAT, </w:t>
            </w:r>
            <w:proofErr w:type="spellStart"/>
            <w:r w:rsidRPr="00E667E6">
              <w:rPr>
                <w:rFonts w:ascii="Arial" w:hAnsi="Arial" w:cs="Arial"/>
                <w:vertAlign w:val="subscript"/>
              </w:rPr>
              <w:t>Ayodhya</w:t>
            </w:r>
            <w:proofErr w:type="spellEnd"/>
            <w:r w:rsidRPr="00E667E6">
              <w:rPr>
                <w:rFonts w:ascii="Arial" w:hAnsi="Arial" w:cs="Arial"/>
                <w:vertAlign w:val="subscript"/>
              </w:rPr>
              <w:t xml:space="preserve"> (U.P.)</w:t>
            </w:r>
          </w:p>
        </w:tc>
      </w:tr>
      <w:tr w:rsidR="00E667E6" w:rsidRPr="006447AA" w14:paraId="39B54645" w14:textId="77777777" w:rsidTr="00BD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shd w:val="clear" w:color="auto" w:fill="auto"/>
          </w:tcPr>
          <w:p w14:paraId="60F16013" w14:textId="77777777" w:rsidR="00E667E6" w:rsidRPr="00E667E6" w:rsidRDefault="00E667E6" w:rsidP="00707C17">
            <w:pPr>
              <w:jc w:val="both"/>
              <w:rPr>
                <w:rFonts w:ascii="Arial" w:hAnsi="Arial" w:cs="Arial"/>
                <w:vertAlign w:val="subscript"/>
              </w:rPr>
            </w:pPr>
            <w:r w:rsidRPr="00E667E6">
              <w:rPr>
                <w:rFonts w:ascii="Arial" w:hAnsi="Arial" w:cs="Arial"/>
                <w:iCs/>
                <w:vertAlign w:val="subscript"/>
              </w:rPr>
              <w:t xml:space="preserve">Kashi </w:t>
            </w:r>
            <w:proofErr w:type="spellStart"/>
            <w:r w:rsidRPr="00E667E6">
              <w:rPr>
                <w:rFonts w:ascii="Arial" w:hAnsi="Arial" w:cs="Arial"/>
                <w:iCs/>
                <w:vertAlign w:val="subscript"/>
              </w:rPr>
              <w:t>Taru</w:t>
            </w:r>
            <w:proofErr w:type="spellEnd"/>
            <w:r w:rsidRPr="00E667E6">
              <w:rPr>
                <w:rFonts w:ascii="Arial" w:hAnsi="Arial" w:cs="Arial"/>
                <w:iCs/>
                <w:vertAlign w:val="subscript"/>
              </w:rPr>
              <w:t xml:space="preserve">, Kashi </w:t>
            </w:r>
            <w:proofErr w:type="spellStart"/>
            <w:r w:rsidRPr="00E667E6">
              <w:rPr>
                <w:rFonts w:ascii="Arial" w:hAnsi="Arial" w:cs="Arial"/>
                <w:iCs/>
                <w:vertAlign w:val="subscript"/>
              </w:rPr>
              <w:t>Uttam</w:t>
            </w:r>
            <w:proofErr w:type="spellEnd"/>
          </w:p>
        </w:tc>
        <w:tc>
          <w:tcPr>
            <w:tcW w:w="2520" w:type="dxa"/>
            <w:shd w:val="clear" w:color="auto" w:fill="auto"/>
          </w:tcPr>
          <w:p w14:paraId="26FFADA4" w14:textId="77777777" w:rsidR="00E667E6" w:rsidRPr="00E667E6" w:rsidRDefault="00E667E6" w:rsidP="00707C17">
            <w:pPr>
              <w:jc w:val="both"/>
              <w:cnfStyle w:val="000000100000" w:firstRow="0" w:lastRow="0" w:firstColumn="0" w:lastColumn="0" w:oddVBand="0" w:evenVBand="0" w:oddHBand="1" w:evenHBand="0" w:firstRowFirstColumn="0" w:firstRowLastColumn="0" w:lastRowFirstColumn="0" w:lastRowLastColumn="0"/>
              <w:rPr>
                <w:rFonts w:ascii="Arial" w:hAnsi="Arial" w:cs="Arial"/>
                <w:vertAlign w:val="subscript"/>
                <w:lang w:val="sv-SE"/>
              </w:rPr>
            </w:pPr>
            <w:r w:rsidRPr="00E667E6">
              <w:rPr>
                <w:rFonts w:ascii="Arial" w:hAnsi="Arial" w:cs="Arial"/>
                <w:vertAlign w:val="subscript"/>
                <w:lang w:val="sv-SE"/>
              </w:rPr>
              <w:t>ICAR-IIVR, Varanasi (U.P.)</w:t>
            </w:r>
          </w:p>
        </w:tc>
      </w:tr>
      <w:tr w:rsidR="00E667E6" w:rsidRPr="00E667E6" w14:paraId="1D53935D" w14:textId="77777777" w:rsidTr="00D375D5">
        <w:tc>
          <w:tcPr>
            <w:cnfStyle w:val="001000000000" w:firstRow="0" w:lastRow="0" w:firstColumn="1" w:lastColumn="0" w:oddVBand="0" w:evenVBand="0" w:oddHBand="0" w:evenHBand="0" w:firstRowFirstColumn="0" w:firstRowLastColumn="0" w:lastRowFirstColumn="0" w:lastRowLastColumn="0"/>
            <w:tcW w:w="5130" w:type="dxa"/>
          </w:tcPr>
          <w:p w14:paraId="7A5588CC" w14:textId="77777777" w:rsidR="00E667E6" w:rsidRPr="00E667E6" w:rsidRDefault="00E667E6" w:rsidP="00707C17">
            <w:pPr>
              <w:jc w:val="both"/>
              <w:rPr>
                <w:rFonts w:ascii="Arial" w:hAnsi="Arial" w:cs="Arial"/>
                <w:vertAlign w:val="subscript"/>
                <w:lang w:val="sv-SE"/>
              </w:rPr>
            </w:pPr>
            <w:r w:rsidRPr="00E667E6">
              <w:rPr>
                <w:rFonts w:ascii="Arial" w:hAnsi="Arial" w:cs="Arial"/>
                <w:iCs/>
                <w:vertAlign w:val="subscript"/>
              </w:rPr>
              <w:t xml:space="preserve">Thar </w:t>
            </w:r>
            <w:proofErr w:type="spellStart"/>
            <w:r w:rsidRPr="00E667E6">
              <w:rPr>
                <w:rFonts w:ascii="Arial" w:hAnsi="Arial" w:cs="Arial"/>
                <w:iCs/>
                <w:vertAlign w:val="subscript"/>
              </w:rPr>
              <w:t>Rachit</w:t>
            </w:r>
            <w:proofErr w:type="spellEnd"/>
          </w:p>
        </w:tc>
        <w:tc>
          <w:tcPr>
            <w:tcW w:w="2520" w:type="dxa"/>
          </w:tcPr>
          <w:p w14:paraId="3E6E021B" w14:textId="77777777" w:rsidR="00E667E6" w:rsidRPr="00E667E6" w:rsidRDefault="00E667E6" w:rsidP="00707C17">
            <w:pPr>
              <w:jc w:val="both"/>
              <w:cnfStyle w:val="000000000000" w:firstRow="0" w:lastRow="0" w:firstColumn="0" w:lastColumn="0" w:oddVBand="0" w:evenVBand="0" w:oddHBand="0" w:evenHBand="0" w:firstRowFirstColumn="0" w:firstRowLastColumn="0" w:lastRowFirstColumn="0" w:lastRowLastColumn="0"/>
              <w:rPr>
                <w:rFonts w:ascii="Arial" w:hAnsi="Arial" w:cs="Arial"/>
                <w:vertAlign w:val="subscript"/>
                <w:lang w:val="sv-SE"/>
              </w:rPr>
            </w:pPr>
            <w:r w:rsidRPr="00E667E6">
              <w:rPr>
                <w:rFonts w:ascii="Arial" w:hAnsi="Arial" w:cs="Arial"/>
                <w:vertAlign w:val="subscript"/>
              </w:rPr>
              <w:t>ICAR-CIAH, Bikaner (Raj.)</w:t>
            </w:r>
          </w:p>
        </w:tc>
      </w:tr>
      <w:tr w:rsidR="00E667E6" w:rsidRPr="00E667E6" w14:paraId="7E77A896" w14:textId="77777777" w:rsidTr="00BD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shd w:val="clear" w:color="auto" w:fill="auto"/>
          </w:tcPr>
          <w:p w14:paraId="2A490A30" w14:textId="77777777" w:rsidR="00E667E6" w:rsidRPr="00E667E6" w:rsidRDefault="00E667E6" w:rsidP="00707C17">
            <w:pPr>
              <w:jc w:val="both"/>
              <w:rPr>
                <w:rFonts w:ascii="Arial" w:hAnsi="Arial" w:cs="Arial"/>
                <w:vertAlign w:val="subscript"/>
                <w:lang w:val="sv-SE"/>
              </w:rPr>
            </w:pPr>
            <w:r w:rsidRPr="00E667E6">
              <w:rPr>
                <w:rFonts w:ascii="Arial" w:hAnsi="Arial" w:cs="Arial"/>
                <w:iCs/>
                <w:vertAlign w:val="subscript"/>
              </w:rPr>
              <w:t>GNRB-1</w:t>
            </w:r>
          </w:p>
        </w:tc>
        <w:tc>
          <w:tcPr>
            <w:tcW w:w="2520" w:type="dxa"/>
            <w:shd w:val="clear" w:color="auto" w:fill="auto"/>
          </w:tcPr>
          <w:p w14:paraId="4F189E24" w14:textId="77777777" w:rsidR="00E667E6" w:rsidRPr="00E667E6" w:rsidRDefault="00E667E6" w:rsidP="00707C17">
            <w:pPr>
              <w:jc w:val="both"/>
              <w:cnfStyle w:val="000000100000" w:firstRow="0" w:lastRow="0" w:firstColumn="0" w:lastColumn="0" w:oddVBand="0" w:evenVBand="0" w:oddHBand="1" w:evenHBand="0" w:firstRowFirstColumn="0" w:firstRowLastColumn="0" w:lastRowFirstColumn="0" w:lastRowLastColumn="0"/>
              <w:rPr>
                <w:rFonts w:ascii="Arial" w:hAnsi="Arial" w:cs="Arial"/>
                <w:vertAlign w:val="subscript"/>
              </w:rPr>
            </w:pPr>
            <w:r w:rsidRPr="00E667E6">
              <w:rPr>
                <w:rFonts w:ascii="Arial" w:hAnsi="Arial" w:cs="Arial"/>
                <w:vertAlign w:val="subscript"/>
              </w:rPr>
              <w:t>ASPEE-COH, NAU, Gujarat</w:t>
            </w:r>
          </w:p>
        </w:tc>
      </w:tr>
      <w:tr w:rsidR="00E667E6" w:rsidRPr="00E667E6" w14:paraId="5AAA45FF" w14:textId="77777777" w:rsidTr="00D375D5">
        <w:tc>
          <w:tcPr>
            <w:cnfStyle w:val="001000000000" w:firstRow="0" w:lastRow="0" w:firstColumn="1" w:lastColumn="0" w:oddVBand="0" w:evenVBand="0" w:oddHBand="0" w:evenHBand="0" w:firstRowFirstColumn="0" w:firstRowLastColumn="0" w:lastRowFirstColumn="0" w:lastRowLastColumn="0"/>
            <w:tcW w:w="5130" w:type="dxa"/>
          </w:tcPr>
          <w:p w14:paraId="4F8B76B5" w14:textId="77777777" w:rsidR="00E667E6" w:rsidRPr="00E667E6" w:rsidRDefault="00E667E6" w:rsidP="00707C17">
            <w:pPr>
              <w:jc w:val="both"/>
              <w:rPr>
                <w:rFonts w:ascii="Arial" w:hAnsi="Arial" w:cs="Arial"/>
                <w:iCs/>
                <w:vertAlign w:val="subscript"/>
              </w:rPr>
            </w:pPr>
            <w:r w:rsidRPr="00E667E6">
              <w:rPr>
                <w:rFonts w:ascii="Arial" w:hAnsi="Arial" w:cs="Arial"/>
                <w:iCs/>
                <w:vertAlign w:val="subscript"/>
              </w:rPr>
              <w:t>Pant Raj</w:t>
            </w:r>
          </w:p>
        </w:tc>
        <w:tc>
          <w:tcPr>
            <w:tcW w:w="2520" w:type="dxa"/>
          </w:tcPr>
          <w:p w14:paraId="3455CD1B" w14:textId="77777777" w:rsidR="00E667E6" w:rsidRPr="00E667E6" w:rsidRDefault="00E667E6" w:rsidP="00707C17">
            <w:pPr>
              <w:jc w:val="both"/>
              <w:cnfStyle w:val="000000000000" w:firstRow="0" w:lastRow="0" w:firstColumn="0" w:lastColumn="0" w:oddVBand="0" w:evenVBand="0" w:oddHBand="0" w:evenHBand="0" w:firstRowFirstColumn="0" w:firstRowLastColumn="0" w:lastRowFirstColumn="0" w:lastRowLastColumn="0"/>
              <w:rPr>
                <w:rFonts w:ascii="Arial" w:hAnsi="Arial" w:cs="Arial"/>
                <w:vertAlign w:val="subscript"/>
              </w:rPr>
            </w:pPr>
            <w:r w:rsidRPr="00E667E6">
              <w:rPr>
                <w:rFonts w:ascii="Arial" w:hAnsi="Arial" w:cs="Arial"/>
                <w:vertAlign w:val="subscript"/>
              </w:rPr>
              <w:t xml:space="preserve">GBPUAT, </w:t>
            </w:r>
            <w:proofErr w:type="spellStart"/>
            <w:r w:rsidRPr="00E667E6">
              <w:rPr>
                <w:rFonts w:ascii="Arial" w:hAnsi="Arial" w:cs="Arial"/>
                <w:vertAlign w:val="subscript"/>
              </w:rPr>
              <w:t>Pantnagar</w:t>
            </w:r>
            <w:proofErr w:type="spellEnd"/>
            <w:r w:rsidRPr="00E667E6">
              <w:rPr>
                <w:rFonts w:ascii="Arial" w:hAnsi="Arial" w:cs="Arial"/>
                <w:vertAlign w:val="subscript"/>
              </w:rPr>
              <w:t xml:space="preserve"> (Uttarakhand)</w:t>
            </w:r>
          </w:p>
        </w:tc>
      </w:tr>
    </w:tbl>
    <w:p w14:paraId="34B1E549" w14:textId="0E1C700B" w:rsidR="00E667E6" w:rsidRDefault="00E667E6" w:rsidP="00441B6F">
      <w:pPr>
        <w:pStyle w:val="Body"/>
        <w:spacing w:after="0"/>
        <w:rPr>
          <w:rFonts w:ascii="Arial" w:hAnsi="Arial" w:cs="Arial"/>
        </w:rPr>
      </w:pPr>
    </w:p>
    <w:p w14:paraId="3C83B12B" w14:textId="5C3BC34E" w:rsidR="003E56D8" w:rsidRDefault="003E56D8" w:rsidP="003E56D8">
      <w:pPr>
        <w:tabs>
          <w:tab w:val="left" w:pos="1080"/>
        </w:tabs>
        <w:jc w:val="both"/>
        <w:rPr>
          <w:rFonts w:ascii="Arial" w:hAnsi="Arial"/>
          <w:b/>
          <w:bCs/>
          <w:lang w:val="en-IN"/>
        </w:rPr>
      </w:pPr>
      <w:r w:rsidRPr="003E56D8">
        <w:rPr>
          <w:rFonts w:ascii="Arial" w:hAnsi="Arial"/>
          <w:b/>
          <w:bCs/>
          <w:lang w:val="en-IN"/>
        </w:rPr>
        <w:t xml:space="preserve">Table </w:t>
      </w:r>
      <w:r w:rsidR="00C128FB">
        <w:rPr>
          <w:rFonts w:ascii="Arial" w:hAnsi="Arial"/>
          <w:b/>
          <w:bCs/>
          <w:lang w:val="en-IN"/>
        </w:rPr>
        <w:t>2:</w:t>
      </w:r>
      <w:r w:rsidRPr="003E56D8">
        <w:rPr>
          <w:rFonts w:ascii="Arial" w:hAnsi="Arial"/>
          <w:b/>
          <w:bCs/>
          <w:lang w:val="en-IN"/>
        </w:rPr>
        <w:t xml:space="preserve"> Analysis of variance for yield and yield contributing traits in brinjal</w:t>
      </w:r>
    </w:p>
    <w:p w14:paraId="3878BFDF" w14:textId="16A4CC76" w:rsidR="00CE1210" w:rsidRPr="003E56D8" w:rsidRDefault="00CE1210" w:rsidP="003E56D8">
      <w:pPr>
        <w:tabs>
          <w:tab w:val="left" w:pos="1080"/>
        </w:tabs>
        <w:jc w:val="both"/>
        <w:rPr>
          <w:rFonts w:ascii="Arial" w:hAnsi="Arial"/>
          <w:b/>
          <w:bCs/>
          <w:lang w:val="en-IN"/>
        </w:rPr>
      </w:pPr>
    </w:p>
    <w:tbl>
      <w:tblPr>
        <w:tblStyle w:val="ListTable6Colorful"/>
        <w:tblW w:w="7649" w:type="dxa"/>
        <w:tblInd w:w="108" w:type="dxa"/>
        <w:tblLook w:val="04A0" w:firstRow="1" w:lastRow="0" w:firstColumn="1" w:lastColumn="0" w:noHBand="0" w:noVBand="1"/>
      </w:tblPr>
      <w:tblGrid>
        <w:gridCol w:w="717"/>
        <w:gridCol w:w="3226"/>
        <w:gridCol w:w="1343"/>
        <w:gridCol w:w="1368"/>
        <w:gridCol w:w="995"/>
      </w:tblGrid>
      <w:tr w:rsidR="00CE1210" w:rsidRPr="00CE1210" w14:paraId="3FB18C32" w14:textId="77777777" w:rsidTr="00D375D5">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717" w:type="dxa"/>
          </w:tcPr>
          <w:p w14:paraId="3ADADCCE"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S. No.</w:t>
            </w:r>
          </w:p>
        </w:tc>
        <w:tc>
          <w:tcPr>
            <w:tcW w:w="3226" w:type="dxa"/>
          </w:tcPr>
          <w:p w14:paraId="7955A4F9" w14:textId="77777777" w:rsidR="00CE1210" w:rsidRPr="00CE1210" w:rsidRDefault="00CE1210" w:rsidP="00CE1210">
            <w:pPr>
              <w:tabs>
                <w:tab w:val="left" w:pos="1080"/>
              </w:tabs>
              <w:jc w:val="both"/>
              <w:cnfStyle w:val="100000000000" w:firstRow="1"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Plant Character</w:t>
            </w:r>
          </w:p>
        </w:tc>
        <w:tc>
          <w:tcPr>
            <w:tcW w:w="1343" w:type="dxa"/>
          </w:tcPr>
          <w:p w14:paraId="65A6D200" w14:textId="77777777" w:rsidR="00CE1210" w:rsidRPr="00CE1210" w:rsidRDefault="00CE1210" w:rsidP="00CE1210">
            <w:pPr>
              <w:tabs>
                <w:tab w:val="left" w:pos="1080"/>
              </w:tabs>
              <w:jc w:val="both"/>
              <w:cnfStyle w:val="100000000000" w:firstRow="1"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 xml:space="preserve">Replication [2 df] </w:t>
            </w:r>
          </w:p>
        </w:tc>
        <w:tc>
          <w:tcPr>
            <w:tcW w:w="1368" w:type="dxa"/>
          </w:tcPr>
          <w:p w14:paraId="4BD3396B" w14:textId="77777777" w:rsidR="00CE1210" w:rsidRPr="00CE1210" w:rsidRDefault="00CE1210" w:rsidP="00CE1210">
            <w:pPr>
              <w:tabs>
                <w:tab w:val="left" w:pos="1080"/>
              </w:tabs>
              <w:jc w:val="both"/>
              <w:cnfStyle w:val="100000000000" w:firstRow="1"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Treatment [35 df]</w:t>
            </w:r>
          </w:p>
        </w:tc>
        <w:tc>
          <w:tcPr>
            <w:tcW w:w="995" w:type="dxa"/>
          </w:tcPr>
          <w:p w14:paraId="014E9B89" w14:textId="77777777" w:rsidR="00CE1210" w:rsidRPr="00CE1210" w:rsidRDefault="00CE1210" w:rsidP="00CE1210">
            <w:pPr>
              <w:tabs>
                <w:tab w:val="left" w:pos="1080"/>
              </w:tabs>
              <w:jc w:val="both"/>
              <w:cnfStyle w:val="100000000000" w:firstRow="1"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Error [70 df]</w:t>
            </w:r>
          </w:p>
        </w:tc>
      </w:tr>
      <w:tr w:rsidR="00CE1210" w:rsidRPr="00CE1210" w14:paraId="0FBA5DEA" w14:textId="77777777" w:rsidTr="00BD38AA">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717" w:type="dxa"/>
            <w:shd w:val="clear" w:color="auto" w:fill="auto"/>
          </w:tcPr>
          <w:p w14:paraId="195C2133"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1</w:t>
            </w:r>
          </w:p>
        </w:tc>
        <w:tc>
          <w:tcPr>
            <w:tcW w:w="3226" w:type="dxa"/>
            <w:shd w:val="clear" w:color="auto" w:fill="auto"/>
          </w:tcPr>
          <w:p w14:paraId="7E7267F5"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Plant height at 30 DAT (cm)</w:t>
            </w:r>
          </w:p>
        </w:tc>
        <w:tc>
          <w:tcPr>
            <w:tcW w:w="1343" w:type="dxa"/>
            <w:shd w:val="clear" w:color="auto" w:fill="auto"/>
          </w:tcPr>
          <w:p w14:paraId="060B1852"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0.262</w:t>
            </w:r>
          </w:p>
        </w:tc>
        <w:tc>
          <w:tcPr>
            <w:tcW w:w="1368" w:type="dxa"/>
            <w:shd w:val="clear" w:color="auto" w:fill="auto"/>
          </w:tcPr>
          <w:p w14:paraId="72B0AE12"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perscript"/>
                <w:lang w:val="en-IN"/>
              </w:rPr>
            </w:pPr>
            <w:r w:rsidRPr="00CE1210">
              <w:rPr>
                <w:rFonts w:ascii="Arial" w:hAnsi="Arial"/>
                <w:iCs/>
                <w:vertAlign w:val="subscript"/>
                <w:lang w:val="en-IN"/>
              </w:rPr>
              <w:t>43.898**</w:t>
            </w:r>
          </w:p>
        </w:tc>
        <w:tc>
          <w:tcPr>
            <w:tcW w:w="995" w:type="dxa"/>
            <w:shd w:val="clear" w:color="auto" w:fill="auto"/>
          </w:tcPr>
          <w:p w14:paraId="7F12CFC9"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1.070</w:t>
            </w:r>
          </w:p>
        </w:tc>
      </w:tr>
      <w:tr w:rsidR="00CE1210" w:rsidRPr="00CE1210" w14:paraId="0B145B39" w14:textId="77777777" w:rsidTr="00D375D5">
        <w:trPr>
          <w:trHeight w:val="160"/>
        </w:trPr>
        <w:tc>
          <w:tcPr>
            <w:cnfStyle w:val="001000000000" w:firstRow="0" w:lastRow="0" w:firstColumn="1" w:lastColumn="0" w:oddVBand="0" w:evenVBand="0" w:oddHBand="0" w:evenHBand="0" w:firstRowFirstColumn="0" w:firstRowLastColumn="0" w:lastRowFirstColumn="0" w:lastRowLastColumn="0"/>
            <w:tcW w:w="717" w:type="dxa"/>
          </w:tcPr>
          <w:p w14:paraId="7BB19247"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2</w:t>
            </w:r>
          </w:p>
        </w:tc>
        <w:tc>
          <w:tcPr>
            <w:tcW w:w="3226" w:type="dxa"/>
          </w:tcPr>
          <w:p w14:paraId="66459771"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Plant height at 45 DAT (cm)</w:t>
            </w:r>
          </w:p>
        </w:tc>
        <w:tc>
          <w:tcPr>
            <w:tcW w:w="1343" w:type="dxa"/>
          </w:tcPr>
          <w:p w14:paraId="16CFA863"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0.218</w:t>
            </w:r>
          </w:p>
        </w:tc>
        <w:tc>
          <w:tcPr>
            <w:tcW w:w="1368" w:type="dxa"/>
          </w:tcPr>
          <w:p w14:paraId="377BABBE"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58.660**</w:t>
            </w:r>
          </w:p>
        </w:tc>
        <w:tc>
          <w:tcPr>
            <w:tcW w:w="995" w:type="dxa"/>
          </w:tcPr>
          <w:p w14:paraId="1E786055"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1.539</w:t>
            </w:r>
          </w:p>
        </w:tc>
      </w:tr>
      <w:tr w:rsidR="00CE1210" w:rsidRPr="00CE1210" w14:paraId="3C20A787" w14:textId="77777777" w:rsidTr="00BD38AA">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717" w:type="dxa"/>
            <w:shd w:val="clear" w:color="auto" w:fill="auto"/>
          </w:tcPr>
          <w:p w14:paraId="26FC51FB"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3</w:t>
            </w:r>
          </w:p>
        </w:tc>
        <w:tc>
          <w:tcPr>
            <w:tcW w:w="3226" w:type="dxa"/>
            <w:shd w:val="clear" w:color="auto" w:fill="auto"/>
          </w:tcPr>
          <w:p w14:paraId="38E1CD78"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Days to 50 per cent flowering</w:t>
            </w:r>
          </w:p>
        </w:tc>
        <w:tc>
          <w:tcPr>
            <w:tcW w:w="1343" w:type="dxa"/>
            <w:shd w:val="clear" w:color="auto" w:fill="auto"/>
          </w:tcPr>
          <w:p w14:paraId="499452C7"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4.361</w:t>
            </w:r>
          </w:p>
        </w:tc>
        <w:tc>
          <w:tcPr>
            <w:tcW w:w="1368" w:type="dxa"/>
            <w:shd w:val="clear" w:color="auto" w:fill="auto"/>
          </w:tcPr>
          <w:p w14:paraId="5A38827E"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109.210**</w:t>
            </w:r>
          </w:p>
        </w:tc>
        <w:tc>
          <w:tcPr>
            <w:tcW w:w="995" w:type="dxa"/>
            <w:shd w:val="clear" w:color="auto" w:fill="auto"/>
          </w:tcPr>
          <w:p w14:paraId="44F312AF"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1.523</w:t>
            </w:r>
          </w:p>
        </w:tc>
      </w:tr>
      <w:tr w:rsidR="00CE1210" w:rsidRPr="00CE1210" w14:paraId="32F19C31" w14:textId="77777777" w:rsidTr="00D375D5">
        <w:trPr>
          <w:trHeight w:val="169"/>
        </w:trPr>
        <w:tc>
          <w:tcPr>
            <w:cnfStyle w:val="001000000000" w:firstRow="0" w:lastRow="0" w:firstColumn="1" w:lastColumn="0" w:oddVBand="0" w:evenVBand="0" w:oddHBand="0" w:evenHBand="0" w:firstRowFirstColumn="0" w:firstRowLastColumn="0" w:lastRowFirstColumn="0" w:lastRowLastColumn="0"/>
            <w:tcW w:w="717" w:type="dxa"/>
          </w:tcPr>
          <w:p w14:paraId="4BC7CBB8"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4</w:t>
            </w:r>
          </w:p>
        </w:tc>
        <w:tc>
          <w:tcPr>
            <w:tcW w:w="3226" w:type="dxa"/>
          </w:tcPr>
          <w:p w14:paraId="4ADF3E57"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Number of clusters per plant</w:t>
            </w:r>
          </w:p>
        </w:tc>
        <w:tc>
          <w:tcPr>
            <w:tcW w:w="1343" w:type="dxa"/>
          </w:tcPr>
          <w:p w14:paraId="71676A0B"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1.648</w:t>
            </w:r>
          </w:p>
        </w:tc>
        <w:tc>
          <w:tcPr>
            <w:tcW w:w="1368" w:type="dxa"/>
          </w:tcPr>
          <w:p w14:paraId="275C0B0E"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82.798**</w:t>
            </w:r>
          </w:p>
        </w:tc>
        <w:tc>
          <w:tcPr>
            <w:tcW w:w="995" w:type="dxa"/>
          </w:tcPr>
          <w:p w14:paraId="1120D0A9"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5.303</w:t>
            </w:r>
          </w:p>
        </w:tc>
      </w:tr>
      <w:tr w:rsidR="00CE1210" w:rsidRPr="00CE1210" w14:paraId="289C3F11" w14:textId="77777777" w:rsidTr="00BD38AA">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717" w:type="dxa"/>
            <w:shd w:val="clear" w:color="auto" w:fill="auto"/>
          </w:tcPr>
          <w:p w14:paraId="7A01D180"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5</w:t>
            </w:r>
          </w:p>
        </w:tc>
        <w:tc>
          <w:tcPr>
            <w:tcW w:w="3226" w:type="dxa"/>
            <w:shd w:val="clear" w:color="auto" w:fill="auto"/>
          </w:tcPr>
          <w:p w14:paraId="32CF0334"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Number of flowers per cluster</w:t>
            </w:r>
          </w:p>
        </w:tc>
        <w:tc>
          <w:tcPr>
            <w:tcW w:w="1343" w:type="dxa"/>
            <w:shd w:val="clear" w:color="auto" w:fill="auto"/>
          </w:tcPr>
          <w:p w14:paraId="4ABAA45A"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0.029</w:t>
            </w:r>
          </w:p>
        </w:tc>
        <w:tc>
          <w:tcPr>
            <w:tcW w:w="1368" w:type="dxa"/>
            <w:shd w:val="clear" w:color="auto" w:fill="auto"/>
          </w:tcPr>
          <w:p w14:paraId="753FEEF4"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6.860**</w:t>
            </w:r>
          </w:p>
        </w:tc>
        <w:tc>
          <w:tcPr>
            <w:tcW w:w="995" w:type="dxa"/>
            <w:shd w:val="clear" w:color="auto" w:fill="auto"/>
          </w:tcPr>
          <w:p w14:paraId="30BEF3D0"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0.012</w:t>
            </w:r>
          </w:p>
        </w:tc>
      </w:tr>
      <w:tr w:rsidR="00CE1210" w:rsidRPr="00CE1210" w14:paraId="2ECC66BE" w14:textId="77777777" w:rsidTr="00D375D5">
        <w:trPr>
          <w:trHeight w:val="155"/>
        </w:trPr>
        <w:tc>
          <w:tcPr>
            <w:cnfStyle w:val="001000000000" w:firstRow="0" w:lastRow="0" w:firstColumn="1" w:lastColumn="0" w:oddVBand="0" w:evenVBand="0" w:oddHBand="0" w:evenHBand="0" w:firstRowFirstColumn="0" w:firstRowLastColumn="0" w:lastRowFirstColumn="0" w:lastRowLastColumn="0"/>
            <w:tcW w:w="717" w:type="dxa"/>
          </w:tcPr>
          <w:p w14:paraId="0D2C341D"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6</w:t>
            </w:r>
          </w:p>
        </w:tc>
        <w:tc>
          <w:tcPr>
            <w:tcW w:w="3226" w:type="dxa"/>
          </w:tcPr>
          <w:p w14:paraId="73D7F434"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SPAD reading</w:t>
            </w:r>
          </w:p>
        </w:tc>
        <w:tc>
          <w:tcPr>
            <w:tcW w:w="1343" w:type="dxa"/>
          </w:tcPr>
          <w:p w14:paraId="3EC06D85"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67.890</w:t>
            </w:r>
          </w:p>
        </w:tc>
        <w:tc>
          <w:tcPr>
            <w:tcW w:w="1368" w:type="dxa"/>
          </w:tcPr>
          <w:p w14:paraId="77366041"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1103.860**</w:t>
            </w:r>
          </w:p>
        </w:tc>
        <w:tc>
          <w:tcPr>
            <w:tcW w:w="995" w:type="dxa"/>
          </w:tcPr>
          <w:p w14:paraId="7C178EC0"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29.320</w:t>
            </w:r>
          </w:p>
        </w:tc>
      </w:tr>
      <w:tr w:rsidR="00CE1210" w:rsidRPr="00CE1210" w14:paraId="08F2FC5F" w14:textId="77777777" w:rsidTr="00BD38AA">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717" w:type="dxa"/>
            <w:shd w:val="clear" w:color="auto" w:fill="auto"/>
          </w:tcPr>
          <w:p w14:paraId="728E5EC3"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7</w:t>
            </w:r>
          </w:p>
        </w:tc>
        <w:tc>
          <w:tcPr>
            <w:tcW w:w="3226" w:type="dxa"/>
            <w:shd w:val="clear" w:color="auto" w:fill="auto"/>
          </w:tcPr>
          <w:p w14:paraId="5AD65394"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Number of fruits per cluster</w:t>
            </w:r>
          </w:p>
        </w:tc>
        <w:tc>
          <w:tcPr>
            <w:tcW w:w="1343" w:type="dxa"/>
            <w:shd w:val="clear" w:color="auto" w:fill="auto"/>
          </w:tcPr>
          <w:p w14:paraId="6B512E9A"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0.043</w:t>
            </w:r>
          </w:p>
        </w:tc>
        <w:tc>
          <w:tcPr>
            <w:tcW w:w="1368" w:type="dxa"/>
            <w:shd w:val="clear" w:color="auto" w:fill="auto"/>
          </w:tcPr>
          <w:p w14:paraId="2475C1FC"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3.018**</w:t>
            </w:r>
          </w:p>
        </w:tc>
        <w:tc>
          <w:tcPr>
            <w:tcW w:w="995" w:type="dxa"/>
            <w:shd w:val="clear" w:color="auto" w:fill="auto"/>
          </w:tcPr>
          <w:p w14:paraId="549F93B9"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0.016</w:t>
            </w:r>
          </w:p>
        </w:tc>
      </w:tr>
      <w:tr w:rsidR="00CE1210" w:rsidRPr="00CE1210" w14:paraId="56767834" w14:textId="77777777" w:rsidTr="00D375D5">
        <w:trPr>
          <w:trHeight w:val="175"/>
        </w:trPr>
        <w:tc>
          <w:tcPr>
            <w:cnfStyle w:val="001000000000" w:firstRow="0" w:lastRow="0" w:firstColumn="1" w:lastColumn="0" w:oddVBand="0" w:evenVBand="0" w:oddHBand="0" w:evenHBand="0" w:firstRowFirstColumn="0" w:firstRowLastColumn="0" w:lastRowFirstColumn="0" w:lastRowLastColumn="0"/>
            <w:tcW w:w="717" w:type="dxa"/>
          </w:tcPr>
          <w:p w14:paraId="6CC88C05"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8</w:t>
            </w:r>
          </w:p>
        </w:tc>
        <w:tc>
          <w:tcPr>
            <w:tcW w:w="3226" w:type="dxa"/>
          </w:tcPr>
          <w:p w14:paraId="64B08EE8"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Number of fruits per plant</w:t>
            </w:r>
          </w:p>
        </w:tc>
        <w:tc>
          <w:tcPr>
            <w:tcW w:w="1343" w:type="dxa"/>
          </w:tcPr>
          <w:p w14:paraId="6467341E"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27.530</w:t>
            </w:r>
          </w:p>
        </w:tc>
        <w:tc>
          <w:tcPr>
            <w:tcW w:w="1368" w:type="dxa"/>
          </w:tcPr>
          <w:p w14:paraId="66475AEE"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1754.750**</w:t>
            </w:r>
          </w:p>
        </w:tc>
        <w:tc>
          <w:tcPr>
            <w:tcW w:w="995" w:type="dxa"/>
          </w:tcPr>
          <w:p w14:paraId="5A785C36"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63.260</w:t>
            </w:r>
          </w:p>
        </w:tc>
      </w:tr>
      <w:tr w:rsidR="00CE1210" w:rsidRPr="00CE1210" w14:paraId="370A2FE3" w14:textId="77777777" w:rsidTr="00BD38AA">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717" w:type="dxa"/>
            <w:shd w:val="clear" w:color="auto" w:fill="auto"/>
          </w:tcPr>
          <w:p w14:paraId="19EE5502"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9</w:t>
            </w:r>
          </w:p>
        </w:tc>
        <w:tc>
          <w:tcPr>
            <w:tcW w:w="3226" w:type="dxa"/>
            <w:shd w:val="clear" w:color="auto" w:fill="auto"/>
          </w:tcPr>
          <w:p w14:paraId="673FF9B4"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Days to first harvest</w:t>
            </w:r>
          </w:p>
        </w:tc>
        <w:tc>
          <w:tcPr>
            <w:tcW w:w="1343" w:type="dxa"/>
            <w:shd w:val="clear" w:color="auto" w:fill="auto"/>
          </w:tcPr>
          <w:p w14:paraId="1C5B4F47"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4.694</w:t>
            </w:r>
          </w:p>
        </w:tc>
        <w:tc>
          <w:tcPr>
            <w:tcW w:w="1368" w:type="dxa"/>
            <w:shd w:val="clear" w:color="auto" w:fill="auto"/>
          </w:tcPr>
          <w:p w14:paraId="75FD04F2"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111.779**</w:t>
            </w:r>
          </w:p>
        </w:tc>
        <w:tc>
          <w:tcPr>
            <w:tcW w:w="995" w:type="dxa"/>
            <w:shd w:val="clear" w:color="auto" w:fill="auto"/>
          </w:tcPr>
          <w:p w14:paraId="06B3B3ED"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1.923</w:t>
            </w:r>
          </w:p>
        </w:tc>
      </w:tr>
      <w:tr w:rsidR="00CE1210" w:rsidRPr="00CE1210" w14:paraId="4926767A" w14:textId="77777777" w:rsidTr="00D375D5">
        <w:trPr>
          <w:trHeight w:val="175"/>
        </w:trPr>
        <w:tc>
          <w:tcPr>
            <w:cnfStyle w:val="001000000000" w:firstRow="0" w:lastRow="0" w:firstColumn="1" w:lastColumn="0" w:oddVBand="0" w:evenVBand="0" w:oddHBand="0" w:evenHBand="0" w:firstRowFirstColumn="0" w:firstRowLastColumn="0" w:lastRowFirstColumn="0" w:lastRowLastColumn="0"/>
            <w:tcW w:w="717" w:type="dxa"/>
          </w:tcPr>
          <w:p w14:paraId="1CDBF86D"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10</w:t>
            </w:r>
          </w:p>
        </w:tc>
        <w:tc>
          <w:tcPr>
            <w:tcW w:w="3226" w:type="dxa"/>
          </w:tcPr>
          <w:p w14:paraId="3DD622B9"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Fruit volume (cc)</w:t>
            </w:r>
          </w:p>
        </w:tc>
        <w:tc>
          <w:tcPr>
            <w:tcW w:w="1343" w:type="dxa"/>
          </w:tcPr>
          <w:p w14:paraId="5AFEE4BA"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62.600</w:t>
            </w:r>
          </w:p>
        </w:tc>
        <w:tc>
          <w:tcPr>
            <w:tcW w:w="1368" w:type="dxa"/>
          </w:tcPr>
          <w:p w14:paraId="7F99A562"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6247.500**</w:t>
            </w:r>
          </w:p>
        </w:tc>
        <w:tc>
          <w:tcPr>
            <w:tcW w:w="995" w:type="dxa"/>
          </w:tcPr>
          <w:p w14:paraId="446A9D6F"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29.500</w:t>
            </w:r>
          </w:p>
        </w:tc>
      </w:tr>
      <w:tr w:rsidR="00CE1210" w:rsidRPr="00CE1210" w14:paraId="07B70B3A" w14:textId="77777777" w:rsidTr="00BD38AA">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717" w:type="dxa"/>
            <w:shd w:val="clear" w:color="auto" w:fill="auto"/>
          </w:tcPr>
          <w:p w14:paraId="639C0747"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11</w:t>
            </w:r>
          </w:p>
        </w:tc>
        <w:tc>
          <w:tcPr>
            <w:tcW w:w="3226" w:type="dxa"/>
            <w:shd w:val="clear" w:color="auto" w:fill="auto"/>
          </w:tcPr>
          <w:p w14:paraId="73D00A47"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Fruit diameter (cm)</w:t>
            </w:r>
          </w:p>
        </w:tc>
        <w:tc>
          <w:tcPr>
            <w:tcW w:w="1343" w:type="dxa"/>
            <w:shd w:val="clear" w:color="auto" w:fill="auto"/>
          </w:tcPr>
          <w:p w14:paraId="0F273DAE"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0.058</w:t>
            </w:r>
          </w:p>
        </w:tc>
        <w:tc>
          <w:tcPr>
            <w:tcW w:w="1368" w:type="dxa"/>
            <w:shd w:val="clear" w:color="auto" w:fill="auto"/>
          </w:tcPr>
          <w:p w14:paraId="6F7607A9"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4.505**</w:t>
            </w:r>
          </w:p>
        </w:tc>
        <w:tc>
          <w:tcPr>
            <w:tcW w:w="995" w:type="dxa"/>
            <w:shd w:val="clear" w:color="auto" w:fill="auto"/>
          </w:tcPr>
          <w:p w14:paraId="1E10DB3A"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0.061</w:t>
            </w:r>
          </w:p>
        </w:tc>
      </w:tr>
      <w:tr w:rsidR="00CE1210" w:rsidRPr="00CE1210" w14:paraId="17EBC1BB" w14:textId="77777777" w:rsidTr="00D375D5">
        <w:trPr>
          <w:trHeight w:val="146"/>
        </w:trPr>
        <w:tc>
          <w:tcPr>
            <w:cnfStyle w:val="001000000000" w:firstRow="0" w:lastRow="0" w:firstColumn="1" w:lastColumn="0" w:oddVBand="0" w:evenVBand="0" w:oddHBand="0" w:evenHBand="0" w:firstRowFirstColumn="0" w:firstRowLastColumn="0" w:lastRowFirstColumn="0" w:lastRowLastColumn="0"/>
            <w:tcW w:w="717" w:type="dxa"/>
          </w:tcPr>
          <w:p w14:paraId="14366AAB"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12</w:t>
            </w:r>
          </w:p>
        </w:tc>
        <w:tc>
          <w:tcPr>
            <w:tcW w:w="3226" w:type="dxa"/>
          </w:tcPr>
          <w:p w14:paraId="06A6D740"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Average fruit weight (g)</w:t>
            </w:r>
          </w:p>
        </w:tc>
        <w:tc>
          <w:tcPr>
            <w:tcW w:w="1343" w:type="dxa"/>
          </w:tcPr>
          <w:p w14:paraId="499C5D69"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28.030</w:t>
            </w:r>
          </w:p>
        </w:tc>
        <w:tc>
          <w:tcPr>
            <w:tcW w:w="1368" w:type="dxa"/>
          </w:tcPr>
          <w:p w14:paraId="0EB8509A"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1620.880**</w:t>
            </w:r>
          </w:p>
        </w:tc>
        <w:tc>
          <w:tcPr>
            <w:tcW w:w="995" w:type="dxa"/>
          </w:tcPr>
          <w:p w14:paraId="4FF8D40C"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32.920</w:t>
            </w:r>
          </w:p>
        </w:tc>
      </w:tr>
      <w:tr w:rsidR="00CE1210" w:rsidRPr="00CE1210" w14:paraId="0412C7BB" w14:textId="77777777" w:rsidTr="00BD38AA">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17" w:type="dxa"/>
            <w:shd w:val="clear" w:color="auto" w:fill="auto"/>
          </w:tcPr>
          <w:p w14:paraId="4A73CF97"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13</w:t>
            </w:r>
          </w:p>
        </w:tc>
        <w:tc>
          <w:tcPr>
            <w:tcW w:w="3226" w:type="dxa"/>
            <w:shd w:val="clear" w:color="auto" w:fill="auto"/>
          </w:tcPr>
          <w:p w14:paraId="57EFB795"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Root-knot index</w:t>
            </w:r>
          </w:p>
        </w:tc>
        <w:tc>
          <w:tcPr>
            <w:tcW w:w="1343" w:type="dxa"/>
            <w:shd w:val="clear" w:color="auto" w:fill="auto"/>
          </w:tcPr>
          <w:p w14:paraId="2262C644"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6.600</w:t>
            </w:r>
          </w:p>
        </w:tc>
        <w:tc>
          <w:tcPr>
            <w:tcW w:w="1368" w:type="dxa"/>
            <w:shd w:val="clear" w:color="auto" w:fill="auto"/>
          </w:tcPr>
          <w:p w14:paraId="425CF133"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6291.700**</w:t>
            </w:r>
          </w:p>
        </w:tc>
        <w:tc>
          <w:tcPr>
            <w:tcW w:w="995" w:type="dxa"/>
            <w:shd w:val="clear" w:color="auto" w:fill="auto"/>
          </w:tcPr>
          <w:p w14:paraId="029E0AD9"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38.200</w:t>
            </w:r>
          </w:p>
        </w:tc>
      </w:tr>
      <w:tr w:rsidR="00CE1210" w:rsidRPr="00CE1210" w14:paraId="26CCF0F1" w14:textId="77777777" w:rsidTr="00D375D5">
        <w:trPr>
          <w:trHeight w:val="178"/>
        </w:trPr>
        <w:tc>
          <w:tcPr>
            <w:cnfStyle w:val="001000000000" w:firstRow="0" w:lastRow="0" w:firstColumn="1" w:lastColumn="0" w:oddVBand="0" w:evenVBand="0" w:oddHBand="0" w:evenHBand="0" w:firstRowFirstColumn="0" w:firstRowLastColumn="0" w:lastRowFirstColumn="0" w:lastRowLastColumn="0"/>
            <w:tcW w:w="717" w:type="dxa"/>
          </w:tcPr>
          <w:p w14:paraId="5F84FA72"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14</w:t>
            </w:r>
          </w:p>
        </w:tc>
        <w:tc>
          <w:tcPr>
            <w:tcW w:w="3226" w:type="dxa"/>
          </w:tcPr>
          <w:p w14:paraId="0B88CA04"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Moisture content (%)</w:t>
            </w:r>
          </w:p>
        </w:tc>
        <w:tc>
          <w:tcPr>
            <w:tcW w:w="1343" w:type="dxa"/>
          </w:tcPr>
          <w:p w14:paraId="19BAA125"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0.871</w:t>
            </w:r>
          </w:p>
        </w:tc>
        <w:tc>
          <w:tcPr>
            <w:tcW w:w="1368" w:type="dxa"/>
          </w:tcPr>
          <w:p w14:paraId="27C4C9EE"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2.322**</w:t>
            </w:r>
          </w:p>
        </w:tc>
        <w:tc>
          <w:tcPr>
            <w:tcW w:w="995" w:type="dxa"/>
          </w:tcPr>
          <w:p w14:paraId="43837FDC"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1.175</w:t>
            </w:r>
          </w:p>
        </w:tc>
      </w:tr>
      <w:tr w:rsidR="00CE1210" w:rsidRPr="00CE1210" w14:paraId="04E2176A" w14:textId="77777777" w:rsidTr="00BD38AA">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717" w:type="dxa"/>
            <w:shd w:val="clear" w:color="auto" w:fill="auto"/>
          </w:tcPr>
          <w:p w14:paraId="1F44151C"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15</w:t>
            </w:r>
          </w:p>
        </w:tc>
        <w:tc>
          <w:tcPr>
            <w:tcW w:w="3226" w:type="dxa"/>
            <w:shd w:val="clear" w:color="auto" w:fill="auto"/>
          </w:tcPr>
          <w:p w14:paraId="11EA988F"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Total Phenol content (mg/100g)</w:t>
            </w:r>
          </w:p>
        </w:tc>
        <w:tc>
          <w:tcPr>
            <w:tcW w:w="1343" w:type="dxa"/>
            <w:shd w:val="clear" w:color="auto" w:fill="auto"/>
          </w:tcPr>
          <w:p w14:paraId="6FEB6111"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15.500</w:t>
            </w:r>
          </w:p>
        </w:tc>
        <w:tc>
          <w:tcPr>
            <w:tcW w:w="1368" w:type="dxa"/>
            <w:shd w:val="clear" w:color="auto" w:fill="auto"/>
          </w:tcPr>
          <w:p w14:paraId="33F7AF14"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20484.800**</w:t>
            </w:r>
          </w:p>
        </w:tc>
        <w:tc>
          <w:tcPr>
            <w:tcW w:w="995" w:type="dxa"/>
            <w:shd w:val="clear" w:color="auto" w:fill="auto"/>
          </w:tcPr>
          <w:p w14:paraId="40046D4E" w14:textId="77777777" w:rsidR="00CE1210" w:rsidRPr="00CE1210" w:rsidRDefault="00CE1210" w:rsidP="00CE1210">
            <w:pPr>
              <w:tabs>
                <w:tab w:val="left" w:pos="1080"/>
              </w:tabs>
              <w:jc w:val="both"/>
              <w:cnfStyle w:val="000000100000" w:firstRow="0" w:lastRow="0" w:firstColumn="0" w:lastColumn="0" w:oddVBand="0" w:evenVBand="0" w:oddHBand="1"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78.400</w:t>
            </w:r>
          </w:p>
        </w:tc>
      </w:tr>
      <w:tr w:rsidR="00CE1210" w:rsidRPr="00CE1210" w14:paraId="09242F65" w14:textId="77777777" w:rsidTr="00D375D5">
        <w:trPr>
          <w:trHeight w:val="172"/>
        </w:trPr>
        <w:tc>
          <w:tcPr>
            <w:cnfStyle w:val="001000000000" w:firstRow="0" w:lastRow="0" w:firstColumn="1" w:lastColumn="0" w:oddVBand="0" w:evenVBand="0" w:oddHBand="0" w:evenHBand="0" w:firstRowFirstColumn="0" w:firstRowLastColumn="0" w:lastRowFirstColumn="0" w:lastRowLastColumn="0"/>
            <w:tcW w:w="717" w:type="dxa"/>
          </w:tcPr>
          <w:p w14:paraId="70A8FB52" w14:textId="77777777" w:rsidR="00CE1210" w:rsidRPr="00CE1210" w:rsidRDefault="00CE1210" w:rsidP="00CE1210">
            <w:pPr>
              <w:tabs>
                <w:tab w:val="left" w:pos="1080"/>
              </w:tabs>
              <w:jc w:val="both"/>
              <w:rPr>
                <w:rFonts w:ascii="Arial" w:hAnsi="Arial"/>
                <w:iCs/>
                <w:vertAlign w:val="subscript"/>
                <w:lang w:val="en-IN"/>
              </w:rPr>
            </w:pPr>
            <w:r w:rsidRPr="00CE1210">
              <w:rPr>
                <w:rFonts w:ascii="Arial" w:hAnsi="Arial"/>
                <w:iCs/>
                <w:vertAlign w:val="subscript"/>
                <w:lang w:val="en-IN"/>
              </w:rPr>
              <w:t>16</w:t>
            </w:r>
          </w:p>
        </w:tc>
        <w:tc>
          <w:tcPr>
            <w:tcW w:w="3226" w:type="dxa"/>
          </w:tcPr>
          <w:p w14:paraId="1DBE7360"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Fruit yield per plant (kg)</w:t>
            </w:r>
          </w:p>
        </w:tc>
        <w:tc>
          <w:tcPr>
            <w:tcW w:w="1343" w:type="dxa"/>
          </w:tcPr>
          <w:p w14:paraId="2E5CE3A5"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0.311</w:t>
            </w:r>
          </w:p>
        </w:tc>
        <w:tc>
          <w:tcPr>
            <w:tcW w:w="1368" w:type="dxa"/>
          </w:tcPr>
          <w:p w14:paraId="3C960C81"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7.256**</w:t>
            </w:r>
          </w:p>
        </w:tc>
        <w:tc>
          <w:tcPr>
            <w:tcW w:w="995" w:type="dxa"/>
          </w:tcPr>
          <w:p w14:paraId="636A895A" w14:textId="77777777" w:rsidR="00CE1210" w:rsidRPr="00CE1210" w:rsidRDefault="00CE1210" w:rsidP="00CE1210">
            <w:pPr>
              <w:tabs>
                <w:tab w:val="left" w:pos="1080"/>
              </w:tabs>
              <w:jc w:val="both"/>
              <w:cnfStyle w:val="000000000000" w:firstRow="0" w:lastRow="0" w:firstColumn="0" w:lastColumn="0" w:oddVBand="0" w:evenVBand="0" w:oddHBand="0" w:evenHBand="0" w:firstRowFirstColumn="0" w:firstRowLastColumn="0" w:lastRowFirstColumn="0" w:lastRowLastColumn="0"/>
              <w:rPr>
                <w:rFonts w:ascii="Arial" w:hAnsi="Arial"/>
                <w:iCs/>
                <w:vertAlign w:val="subscript"/>
                <w:lang w:val="en-IN"/>
              </w:rPr>
            </w:pPr>
            <w:r w:rsidRPr="00CE1210">
              <w:rPr>
                <w:rFonts w:ascii="Arial" w:hAnsi="Arial"/>
                <w:iCs/>
                <w:vertAlign w:val="subscript"/>
                <w:lang w:val="en-IN"/>
              </w:rPr>
              <w:t>0.504</w:t>
            </w:r>
          </w:p>
        </w:tc>
      </w:tr>
    </w:tbl>
    <w:p w14:paraId="0B5989EA" w14:textId="237A943A" w:rsidR="00CE1210" w:rsidRPr="00CE1210" w:rsidRDefault="00CE1210" w:rsidP="00CE1210">
      <w:pPr>
        <w:pStyle w:val="BodyText3"/>
        <w:tabs>
          <w:tab w:val="left" w:pos="1080"/>
        </w:tabs>
        <w:spacing w:after="0"/>
        <w:rPr>
          <w:rFonts w:ascii="Arial" w:hAnsi="Arial"/>
          <w:bCs/>
          <w:i/>
          <w:iCs/>
          <w:lang w:val="en-IN"/>
        </w:rPr>
      </w:pPr>
      <w:r w:rsidRPr="00CE1210">
        <w:rPr>
          <w:rFonts w:ascii="Arial" w:hAnsi="Arial"/>
          <w:bCs/>
          <w:i/>
          <w:iCs/>
          <w:lang w:val="en-IN"/>
        </w:rPr>
        <w:t>** Denotes significant at 1% level of significance</w:t>
      </w:r>
    </w:p>
    <w:p w14:paraId="0610C158" w14:textId="30952D31" w:rsidR="00735F96" w:rsidRDefault="003021E0" w:rsidP="00441B6F">
      <w:pPr>
        <w:pStyle w:val="BodyText3"/>
        <w:tabs>
          <w:tab w:val="left" w:pos="1080"/>
        </w:tabs>
        <w:spacing w:after="0"/>
        <w:ind w:left="1080" w:hanging="1080"/>
        <w:jc w:val="both"/>
        <w:rPr>
          <w:rFonts w:ascii="Arial" w:hAnsi="Arial"/>
          <w:b/>
          <w:sz w:val="20"/>
          <w:szCs w:val="20"/>
          <w:lang w:val="en-IN"/>
        </w:rPr>
      </w:pPr>
      <w:r w:rsidRPr="00735F96">
        <w:rPr>
          <w:rFonts w:ascii="Arial" w:hAnsi="Arial"/>
          <w:b/>
          <w:noProof/>
          <w:sz w:val="20"/>
          <w:szCs w:val="20"/>
        </w:rPr>
        <w:drawing>
          <wp:anchor distT="0" distB="0" distL="114300" distR="114300" simplePos="0" relativeHeight="251658752" behindDoc="0" locked="0" layoutInCell="1" allowOverlap="1" wp14:anchorId="539990BC" wp14:editId="5C793C8A">
            <wp:simplePos x="0" y="0"/>
            <wp:positionH relativeFrom="column">
              <wp:posOffset>7620</wp:posOffset>
            </wp:positionH>
            <wp:positionV relativeFrom="page">
              <wp:posOffset>4922520</wp:posOffset>
            </wp:positionV>
            <wp:extent cx="5212080" cy="2895600"/>
            <wp:effectExtent l="0" t="0" r="0" b="0"/>
            <wp:wrapThrough wrapText="bothSides">
              <wp:wrapPolygon edited="0">
                <wp:start x="0" y="0"/>
                <wp:lineTo x="0" y="21458"/>
                <wp:lineTo x="21553" y="21458"/>
                <wp:lineTo x="21553" y="0"/>
                <wp:lineTo x="0" y="0"/>
              </wp:wrapPolygon>
            </wp:wrapThrough>
            <wp:docPr id="3171560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F96">
        <w:rPr>
          <w:rFonts w:ascii="Arial" w:hAnsi="Arial"/>
          <w:b/>
          <w:sz w:val="20"/>
          <w:szCs w:val="20"/>
          <w:lang w:val="en-IN"/>
        </w:rPr>
        <w:t xml:space="preserve">Fig. 1: </w:t>
      </w:r>
      <w:r w:rsidR="003B071B">
        <w:rPr>
          <w:rFonts w:ascii="Arial" w:hAnsi="Arial"/>
          <w:b/>
          <w:sz w:val="20"/>
          <w:szCs w:val="20"/>
          <w:lang w:val="en-IN"/>
        </w:rPr>
        <w:t>Variability of different brinjal genotype</w:t>
      </w:r>
      <w:r w:rsidR="00D960AB">
        <w:rPr>
          <w:rFonts w:ascii="Arial" w:hAnsi="Arial"/>
          <w:b/>
          <w:sz w:val="20"/>
          <w:szCs w:val="20"/>
          <w:lang w:val="en-IN"/>
        </w:rPr>
        <w:t>s</w:t>
      </w:r>
    </w:p>
    <w:p w14:paraId="5D30708A" w14:textId="07BD789E" w:rsidR="00735F96" w:rsidRDefault="00D960AB" w:rsidP="00680174">
      <w:pPr>
        <w:pStyle w:val="BodyText3"/>
        <w:tabs>
          <w:tab w:val="left" w:pos="1080"/>
        </w:tabs>
        <w:spacing w:after="0"/>
        <w:jc w:val="both"/>
        <w:rPr>
          <w:rFonts w:ascii="Arial" w:hAnsi="Arial"/>
          <w:b/>
          <w:sz w:val="20"/>
          <w:szCs w:val="20"/>
          <w:lang w:val="en-IN"/>
        </w:rPr>
      </w:pPr>
      <w:r w:rsidRPr="00735F96">
        <w:rPr>
          <w:rFonts w:ascii="Arial" w:hAnsi="Arial"/>
          <w:b/>
          <w:noProof/>
          <w:sz w:val="20"/>
          <w:szCs w:val="20"/>
        </w:rPr>
        <w:lastRenderedPageBreak/>
        <w:drawing>
          <wp:anchor distT="0" distB="0" distL="114300" distR="114300" simplePos="0" relativeHeight="251668992" behindDoc="1" locked="0" layoutInCell="1" allowOverlap="1" wp14:anchorId="283368F1" wp14:editId="5DDE8E77">
            <wp:simplePos x="0" y="0"/>
            <wp:positionH relativeFrom="column">
              <wp:posOffset>-45720</wp:posOffset>
            </wp:positionH>
            <wp:positionV relativeFrom="page">
              <wp:posOffset>1112520</wp:posOffset>
            </wp:positionV>
            <wp:extent cx="5212080" cy="2742565"/>
            <wp:effectExtent l="0" t="0" r="0" b="0"/>
            <wp:wrapThrough wrapText="bothSides">
              <wp:wrapPolygon edited="0">
                <wp:start x="0" y="0"/>
                <wp:lineTo x="0" y="21455"/>
                <wp:lineTo x="21553" y="21455"/>
                <wp:lineTo x="21553" y="0"/>
                <wp:lineTo x="0" y="0"/>
              </wp:wrapPolygon>
            </wp:wrapThrough>
            <wp:docPr id="13042739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080" cy="274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35F96">
        <w:rPr>
          <w:rFonts w:ascii="Arial" w:hAnsi="Arial"/>
          <w:b/>
          <w:sz w:val="20"/>
          <w:szCs w:val="20"/>
          <w:lang w:val="en-IN"/>
        </w:rPr>
        <w:t xml:space="preserve">Fig. 2: </w:t>
      </w:r>
      <w:r w:rsidR="003B071B">
        <w:rPr>
          <w:rFonts w:ascii="Arial" w:hAnsi="Arial"/>
          <w:b/>
          <w:sz w:val="20"/>
          <w:szCs w:val="20"/>
          <w:lang w:val="en-IN"/>
        </w:rPr>
        <w:t>Variability of different brinjal genotypes</w:t>
      </w:r>
      <w:r w:rsidRPr="00735F96">
        <w:rPr>
          <w:rFonts w:ascii="Arial" w:hAnsi="Arial"/>
          <w:b/>
          <w:noProof/>
          <w:sz w:val="20"/>
          <w:szCs w:val="20"/>
        </w:rPr>
        <w:drawing>
          <wp:anchor distT="0" distB="0" distL="114300" distR="114300" simplePos="0" relativeHeight="251662848" behindDoc="1" locked="0" layoutInCell="1" allowOverlap="1" wp14:anchorId="4CF6A2C7" wp14:editId="2CCF98A4">
            <wp:simplePos x="0" y="0"/>
            <wp:positionH relativeFrom="column">
              <wp:posOffset>0</wp:posOffset>
            </wp:positionH>
            <wp:positionV relativeFrom="page">
              <wp:posOffset>4271645</wp:posOffset>
            </wp:positionV>
            <wp:extent cx="5212080" cy="2897505"/>
            <wp:effectExtent l="0" t="0" r="0" b="0"/>
            <wp:wrapThrough wrapText="bothSides">
              <wp:wrapPolygon edited="0">
                <wp:start x="0" y="0"/>
                <wp:lineTo x="0" y="21444"/>
                <wp:lineTo x="21553" y="21444"/>
                <wp:lineTo x="21553" y="0"/>
                <wp:lineTo x="0" y="0"/>
              </wp:wrapPolygon>
            </wp:wrapThrough>
            <wp:docPr id="4108709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080" cy="289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1598B" w14:textId="0C4D2CD4" w:rsidR="00735F96" w:rsidRDefault="00735F96" w:rsidP="00D960AB">
      <w:pPr>
        <w:pStyle w:val="BodyText3"/>
        <w:tabs>
          <w:tab w:val="left" w:pos="1080"/>
        </w:tabs>
        <w:spacing w:after="0"/>
        <w:jc w:val="both"/>
        <w:rPr>
          <w:rFonts w:ascii="Arial" w:hAnsi="Arial"/>
          <w:b/>
          <w:sz w:val="20"/>
          <w:szCs w:val="20"/>
          <w:lang w:val="en-IN"/>
        </w:rPr>
      </w:pPr>
      <w:r>
        <w:rPr>
          <w:rFonts w:ascii="Arial" w:hAnsi="Arial"/>
          <w:b/>
          <w:sz w:val="20"/>
          <w:szCs w:val="20"/>
          <w:lang w:val="en-IN"/>
        </w:rPr>
        <w:t xml:space="preserve">Fig. 3: Variability </w:t>
      </w:r>
      <w:r w:rsidR="003B071B">
        <w:rPr>
          <w:rFonts w:ascii="Arial" w:hAnsi="Arial"/>
          <w:b/>
          <w:sz w:val="20"/>
          <w:szCs w:val="20"/>
          <w:lang w:val="en-IN"/>
        </w:rPr>
        <w:t>of</w:t>
      </w:r>
      <w:r>
        <w:rPr>
          <w:rFonts w:ascii="Arial" w:hAnsi="Arial"/>
          <w:b/>
          <w:sz w:val="20"/>
          <w:szCs w:val="20"/>
          <w:lang w:val="en-IN"/>
        </w:rPr>
        <w:t xml:space="preserve"> different </w:t>
      </w:r>
      <w:r w:rsidR="003B071B">
        <w:rPr>
          <w:rFonts w:ascii="Arial" w:hAnsi="Arial"/>
          <w:b/>
          <w:sz w:val="20"/>
          <w:szCs w:val="20"/>
          <w:lang w:val="en-IN"/>
        </w:rPr>
        <w:t xml:space="preserve">brinjal </w:t>
      </w:r>
      <w:r>
        <w:rPr>
          <w:rFonts w:ascii="Arial" w:hAnsi="Arial"/>
          <w:b/>
          <w:sz w:val="20"/>
          <w:szCs w:val="20"/>
          <w:lang w:val="en-IN"/>
        </w:rPr>
        <w:t xml:space="preserve">genotypes </w:t>
      </w:r>
    </w:p>
    <w:p w14:paraId="5C382FC3" w14:textId="6438FA22" w:rsidR="00735F96" w:rsidRDefault="00735F96" w:rsidP="00441B6F">
      <w:pPr>
        <w:pStyle w:val="BodyText3"/>
        <w:tabs>
          <w:tab w:val="left" w:pos="1080"/>
        </w:tabs>
        <w:spacing w:after="0"/>
        <w:ind w:left="1080" w:hanging="1080"/>
        <w:jc w:val="both"/>
        <w:rPr>
          <w:rFonts w:ascii="Arial" w:hAnsi="Arial"/>
          <w:b/>
          <w:sz w:val="20"/>
          <w:szCs w:val="20"/>
          <w:lang w:val="en-IN"/>
        </w:rPr>
      </w:pPr>
    </w:p>
    <w:p w14:paraId="27ABBE87" w14:textId="77777777" w:rsidR="005925AE" w:rsidRDefault="005925AE" w:rsidP="005925AE">
      <w:pPr>
        <w:jc w:val="both"/>
        <w:rPr>
          <w:rFonts w:ascii="Arial" w:hAnsi="Arial" w:cs="Arial"/>
          <w:b/>
          <w:bCs/>
          <w:sz w:val="22"/>
          <w:szCs w:val="22"/>
        </w:rPr>
      </w:pPr>
      <w:r w:rsidRPr="005925AE">
        <w:rPr>
          <w:rFonts w:ascii="Arial" w:hAnsi="Arial" w:cs="Arial"/>
          <w:b/>
          <w:bCs/>
          <w:sz w:val="22"/>
          <w:szCs w:val="22"/>
        </w:rPr>
        <w:t>3.3 Heritability</w:t>
      </w:r>
    </w:p>
    <w:p w14:paraId="0F747451" w14:textId="77777777" w:rsidR="005925AE" w:rsidRPr="005925AE" w:rsidRDefault="005925AE" w:rsidP="005925AE">
      <w:pPr>
        <w:jc w:val="both"/>
        <w:rPr>
          <w:rFonts w:ascii="Arial" w:hAnsi="Arial" w:cs="Arial"/>
          <w:b/>
          <w:bCs/>
          <w:sz w:val="22"/>
          <w:szCs w:val="22"/>
        </w:rPr>
      </w:pPr>
    </w:p>
    <w:p w14:paraId="02B91365" w14:textId="19748C18" w:rsidR="005925AE" w:rsidRDefault="005925AE" w:rsidP="005925AE">
      <w:pPr>
        <w:jc w:val="both"/>
        <w:rPr>
          <w:rFonts w:ascii="Arial" w:hAnsi="Arial" w:cs="Arial"/>
        </w:rPr>
      </w:pPr>
      <w:r w:rsidRPr="004A380D">
        <w:rPr>
          <w:rFonts w:ascii="Arial" w:hAnsi="Arial" w:cs="Arial"/>
        </w:rPr>
        <w:t xml:space="preserve">The efficiency of breeding techniques for different qualities is significantly influenced by heritability, which is essential for identifying the degree to which genetic factors influence phenotypic expression. According to </w:t>
      </w:r>
      <w:r w:rsidR="00234767" w:rsidRPr="00234767">
        <w:rPr>
          <w:rFonts w:ascii="Arial" w:hAnsi="Arial" w:cs="Arial"/>
        </w:rPr>
        <w:t>Johnson</w:t>
      </w:r>
      <w:r w:rsidRPr="004A380D">
        <w:rPr>
          <w:rFonts w:ascii="Arial" w:hAnsi="Arial" w:cs="Arial"/>
        </w:rPr>
        <w:t xml:space="preserve"> </w:t>
      </w:r>
      <w:r w:rsidRPr="004A380D">
        <w:rPr>
          <w:rFonts w:ascii="Arial" w:hAnsi="Arial" w:cs="Arial"/>
          <w:i/>
          <w:iCs/>
        </w:rPr>
        <w:t>et al</w:t>
      </w:r>
      <w:r w:rsidRPr="004A380D">
        <w:rPr>
          <w:rFonts w:ascii="Arial" w:hAnsi="Arial" w:cs="Arial"/>
        </w:rPr>
        <w:t xml:space="preserve">. (1955), estimating heritability along with genetic advance is useful for predicting the expected advancement through selection. In the present investigation, broad-sense heritability was found to be high (&gt;60%) for all the traits, </w:t>
      </w:r>
      <w:r w:rsidRPr="004A380D">
        <w:rPr>
          <w:rFonts w:ascii="Arial" w:hAnsi="Arial" w:cs="Arial"/>
          <w:i/>
          <w:iCs/>
        </w:rPr>
        <w:t>viz.</w:t>
      </w:r>
      <w:r w:rsidRPr="004A380D">
        <w:rPr>
          <w:rFonts w:ascii="Arial" w:hAnsi="Arial" w:cs="Arial"/>
        </w:rPr>
        <w:t xml:space="preserve"> </w:t>
      </w:r>
      <w:r w:rsidRPr="004A380D">
        <w:rPr>
          <w:rFonts w:ascii="Arial" w:hAnsi="Arial" w:cs="Arial"/>
          <w:lang w:val="en-IN"/>
        </w:rPr>
        <w:t xml:space="preserve">number of flowers per cluster (99.47%), total phenol content (98.86%), fruit volume (98.6%), number of fruits per cluster (98.36%), root-knot index (98.20%), fruit diameter </w:t>
      </w:r>
      <w:r w:rsidRPr="004A380D">
        <w:rPr>
          <w:rFonts w:ascii="Arial" w:hAnsi="Arial" w:cs="Arial"/>
          <w:lang w:val="en-IN"/>
        </w:rPr>
        <w:lastRenderedPageBreak/>
        <w:t xml:space="preserve">(96.01%), days to 50 per cent flowering (95.93%), days to first harvest (95.01%), average fruit weight (94.14%), plant height at 30 DAT (93.03%), plant height at 45 DAT (92.52%), SPAD reading (92.43%), number of fruits per plant (89.91%), number of clusters per plant(82.97%), fruit yield per plant (81.70%) and moisture content (63.12%). </w:t>
      </w:r>
      <w:r w:rsidRPr="004A380D">
        <w:rPr>
          <w:rFonts w:ascii="Arial" w:hAnsi="Arial" w:cs="Arial"/>
        </w:rPr>
        <w:t xml:space="preserve">High heritability estimates for various characters suggest that most of the observed phenotypic variation is due to genetic factors, enabling effective selection based on phenotype. Earlier, similar findings were </w:t>
      </w:r>
      <w:r w:rsidR="000D784F">
        <w:rPr>
          <w:rFonts w:ascii="Arial" w:hAnsi="Arial" w:cs="Arial"/>
        </w:rPr>
        <w:t>also reported</w:t>
      </w:r>
      <w:r w:rsidRPr="004A380D">
        <w:rPr>
          <w:rFonts w:ascii="Arial" w:hAnsi="Arial" w:cs="Arial"/>
        </w:rPr>
        <w:t xml:space="preserve"> by</w:t>
      </w:r>
      <w:r w:rsidRPr="004A380D">
        <w:rPr>
          <w:rFonts w:ascii="Arial" w:hAnsi="Arial" w:cs="Arial"/>
          <w:i/>
          <w:iCs/>
        </w:rPr>
        <w:t xml:space="preserve"> </w:t>
      </w:r>
      <w:proofErr w:type="spellStart"/>
      <w:r w:rsidRPr="004A380D">
        <w:rPr>
          <w:rFonts w:ascii="Arial" w:hAnsi="Arial" w:cs="Arial"/>
        </w:rPr>
        <w:t>Teja</w:t>
      </w:r>
      <w:proofErr w:type="spellEnd"/>
      <w:r w:rsidRPr="004A380D">
        <w:rPr>
          <w:rFonts w:ascii="Arial" w:hAnsi="Arial" w:cs="Arial"/>
        </w:rPr>
        <w:t xml:space="preserve"> </w:t>
      </w:r>
      <w:r w:rsidRPr="004A380D">
        <w:rPr>
          <w:rFonts w:ascii="Arial" w:hAnsi="Arial" w:cs="Arial"/>
          <w:i/>
          <w:iCs/>
        </w:rPr>
        <w:t>et al</w:t>
      </w:r>
      <w:r w:rsidRPr="004A380D">
        <w:rPr>
          <w:rFonts w:ascii="Arial" w:hAnsi="Arial" w:cs="Arial"/>
        </w:rPr>
        <w:t xml:space="preserve">. </w:t>
      </w:r>
      <w:r w:rsidRPr="004A380D">
        <w:rPr>
          <w:rFonts w:ascii="Arial" w:hAnsi="Arial" w:cs="Arial"/>
          <w:lang w:val="sv-SE"/>
        </w:rPr>
        <w:t xml:space="preserve">(2025), Thomas </w:t>
      </w:r>
      <w:r w:rsidRPr="004A380D">
        <w:rPr>
          <w:rFonts w:ascii="Arial" w:hAnsi="Arial" w:cs="Arial"/>
          <w:i/>
          <w:iCs/>
          <w:lang w:val="sv-SE"/>
        </w:rPr>
        <w:t>et al</w:t>
      </w:r>
      <w:r w:rsidRPr="004A380D">
        <w:rPr>
          <w:rFonts w:ascii="Arial" w:hAnsi="Arial" w:cs="Arial"/>
          <w:lang w:val="sv-SE"/>
        </w:rPr>
        <w:t xml:space="preserve">. (2022), Sharma </w:t>
      </w:r>
      <w:r w:rsidRPr="004A380D">
        <w:rPr>
          <w:rFonts w:ascii="Arial" w:hAnsi="Arial" w:cs="Arial"/>
          <w:i/>
          <w:iCs/>
          <w:lang w:val="sv-SE"/>
        </w:rPr>
        <w:t>et al.</w:t>
      </w:r>
      <w:r w:rsidRPr="004A380D">
        <w:rPr>
          <w:rFonts w:ascii="Arial" w:hAnsi="Arial" w:cs="Arial"/>
          <w:lang w:val="sv-SE"/>
        </w:rPr>
        <w:t xml:space="preserve"> (2022) and Prajapati </w:t>
      </w:r>
      <w:r w:rsidRPr="004A380D">
        <w:rPr>
          <w:rFonts w:ascii="Arial" w:hAnsi="Arial" w:cs="Arial"/>
          <w:i/>
          <w:iCs/>
          <w:lang w:val="sv-SE"/>
        </w:rPr>
        <w:t>et al.</w:t>
      </w:r>
      <w:r w:rsidRPr="004A380D">
        <w:rPr>
          <w:rFonts w:ascii="Arial" w:hAnsi="Arial" w:cs="Arial"/>
          <w:lang w:val="sv-SE"/>
        </w:rPr>
        <w:t xml:space="preserve"> </w:t>
      </w:r>
      <w:r w:rsidRPr="004A380D">
        <w:rPr>
          <w:rFonts w:ascii="Arial" w:hAnsi="Arial" w:cs="Arial"/>
        </w:rPr>
        <w:t>(2021).</w:t>
      </w:r>
    </w:p>
    <w:p w14:paraId="572ED8A0" w14:textId="77777777" w:rsidR="005925AE" w:rsidRPr="004A380D" w:rsidRDefault="005925AE" w:rsidP="005925AE">
      <w:pPr>
        <w:jc w:val="both"/>
        <w:rPr>
          <w:rFonts w:ascii="Arial" w:hAnsi="Arial" w:cs="Arial"/>
        </w:rPr>
      </w:pPr>
    </w:p>
    <w:p w14:paraId="1129AEB6" w14:textId="77777777" w:rsidR="005925AE" w:rsidRPr="00BD38AA" w:rsidRDefault="005925AE" w:rsidP="005925AE">
      <w:pPr>
        <w:jc w:val="both"/>
        <w:rPr>
          <w:rFonts w:ascii="Arial" w:hAnsi="Arial" w:cs="Arial"/>
          <w:b/>
          <w:bCs/>
          <w:sz w:val="22"/>
          <w:szCs w:val="22"/>
        </w:rPr>
      </w:pPr>
      <w:r w:rsidRPr="00BD38AA">
        <w:rPr>
          <w:rFonts w:ascii="Arial" w:hAnsi="Arial" w:cs="Arial"/>
          <w:b/>
          <w:bCs/>
          <w:sz w:val="22"/>
          <w:szCs w:val="22"/>
        </w:rPr>
        <w:t>3.4 Genetic advance as per cent of mean</w:t>
      </w:r>
    </w:p>
    <w:p w14:paraId="68E1DDD1" w14:textId="77777777" w:rsidR="005925AE" w:rsidRPr="004A380D" w:rsidRDefault="005925AE" w:rsidP="005925AE">
      <w:pPr>
        <w:jc w:val="both"/>
        <w:rPr>
          <w:rFonts w:ascii="Arial" w:hAnsi="Arial" w:cs="Arial"/>
          <w:b/>
          <w:bCs/>
        </w:rPr>
      </w:pPr>
    </w:p>
    <w:p w14:paraId="07202542" w14:textId="77777777" w:rsidR="005925AE" w:rsidRPr="004A380D" w:rsidRDefault="005925AE" w:rsidP="005925AE">
      <w:pPr>
        <w:jc w:val="both"/>
        <w:rPr>
          <w:rFonts w:ascii="Arial" w:hAnsi="Arial" w:cs="Arial"/>
          <w:lang w:val="en-IN"/>
        </w:rPr>
      </w:pPr>
      <w:r w:rsidRPr="004A380D">
        <w:rPr>
          <w:rFonts w:ascii="Arial" w:hAnsi="Arial" w:cs="Arial"/>
          <w:lang w:val="en-IN"/>
        </w:rPr>
        <w:t xml:space="preserve">The expression of the traits with high heritability and genetic advance is predominantly governed by additive gene effects and therefore, selection based on phenotypic performance will be useful to improve these characters in the future, as suggested by Prasad </w:t>
      </w:r>
      <w:r w:rsidRPr="004A380D">
        <w:rPr>
          <w:rFonts w:ascii="Arial" w:hAnsi="Arial" w:cs="Arial"/>
          <w:i/>
          <w:iCs/>
          <w:lang w:val="en-IN"/>
        </w:rPr>
        <w:t>et al.</w:t>
      </w:r>
      <w:r w:rsidRPr="004A380D">
        <w:rPr>
          <w:rFonts w:ascii="Arial" w:hAnsi="Arial" w:cs="Arial"/>
          <w:lang w:val="en-IN"/>
        </w:rPr>
        <w:t xml:space="preserve"> (2004).</w:t>
      </w:r>
    </w:p>
    <w:p w14:paraId="6023A160" w14:textId="7CF35A1A" w:rsidR="005925AE" w:rsidRDefault="005925AE" w:rsidP="005925AE">
      <w:pPr>
        <w:pStyle w:val="BodyText3"/>
        <w:tabs>
          <w:tab w:val="left" w:pos="90"/>
        </w:tabs>
        <w:spacing w:after="0"/>
        <w:jc w:val="both"/>
        <w:rPr>
          <w:rFonts w:ascii="Arial" w:hAnsi="Arial" w:cs="Arial"/>
          <w:sz w:val="20"/>
          <w:szCs w:val="20"/>
        </w:rPr>
      </w:pPr>
      <w:r w:rsidRPr="004A380D">
        <w:rPr>
          <w:rFonts w:ascii="Arial" w:hAnsi="Arial" w:cs="Arial"/>
          <w:sz w:val="20"/>
          <w:szCs w:val="20"/>
          <w:lang w:val="en-IN"/>
        </w:rPr>
        <w:t xml:space="preserve">As shown in </w:t>
      </w:r>
      <w:r w:rsidRPr="004C236E">
        <w:rPr>
          <w:rFonts w:ascii="Arial" w:hAnsi="Arial" w:cs="Arial"/>
          <w:color w:val="0D0D0D" w:themeColor="text1" w:themeTint="F2"/>
          <w:sz w:val="20"/>
          <w:szCs w:val="20"/>
          <w:lang w:val="en-IN"/>
        </w:rPr>
        <w:t xml:space="preserve">Table </w:t>
      </w:r>
      <w:r w:rsidR="00680174" w:rsidRPr="004C236E">
        <w:rPr>
          <w:rFonts w:ascii="Arial" w:hAnsi="Arial" w:cs="Arial"/>
          <w:color w:val="0D0D0D" w:themeColor="text1" w:themeTint="F2"/>
          <w:sz w:val="20"/>
          <w:szCs w:val="20"/>
          <w:lang w:val="en-IN"/>
        </w:rPr>
        <w:t>3</w:t>
      </w:r>
      <w:r w:rsidRPr="004C236E">
        <w:rPr>
          <w:rFonts w:ascii="Arial" w:hAnsi="Arial" w:cs="Arial"/>
          <w:color w:val="0D0D0D" w:themeColor="text1" w:themeTint="F2"/>
          <w:sz w:val="20"/>
          <w:szCs w:val="20"/>
          <w:lang w:val="en-IN"/>
        </w:rPr>
        <w:t>,</w:t>
      </w:r>
      <w:r w:rsidRPr="004A380D">
        <w:rPr>
          <w:rFonts w:ascii="Arial" w:hAnsi="Arial" w:cs="Arial"/>
          <w:color w:val="C00000"/>
          <w:sz w:val="20"/>
          <w:szCs w:val="20"/>
          <w:lang w:val="en-IN"/>
        </w:rPr>
        <w:t xml:space="preserve"> </w:t>
      </w:r>
      <w:r w:rsidRPr="004A380D">
        <w:rPr>
          <w:rFonts w:ascii="Arial" w:hAnsi="Arial" w:cs="Arial"/>
          <w:color w:val="0D0D0D" w:themeColor="text1" w:themeTint="F2"/>
          <w:sz w:val="20"/>
          <w:szCs w:val="20"/>
          <w:lang w:val="en-IN"/>
        </w:rPr>
        <w:t>results</w:t>
      </w:r>
      <w:r w:rsidRPr="004A380D">
        <w:rPr>
          <w:rFonts w:ascii="Arial" w:hAnsi="Arial" w:cs="Arial"/>
          <w:color w:val="C00000"/>
          <w:sz w:val="20"/>
          <w:szCs w:val="20"/>
          <w:lang w:val="en-IN"/>
        </w:rPr>
        <w:t xml:space="preserve"> </w:t>
      </w:r>
      <w:r w:rsidRPr="004A380D">
        <w:rPr>
          <w:rFonts w:ascii="Arial" w:hAnsi="Arial" w:cs="Arial"/>
          <w:sz w:val="20"/>
          <w:szCs w:val="20"/>
          <w:lang w:val="en-IN"/>
        </w:rPr>
        <w:t xml:space="preserve">revealed that genetic gain (expressed as per cent of population mean) was low </w:t>
      </w:r>
      <w:proofErr w:type="spellStart"/>
      <w:r w:rsidRPr="004A380D">
        <w:rPr>
          <w:rFonts w:ascii="Arial" w:hAnsi="Arial" w:cs="Arial"/>
          <w:sz w:val="20"/>
          <w:szCs w:val="20"/>
          <w:lang w:val="en-IN"/>
        </w:rPr>
        <w:t>to</w:t>
      </w:r>
      <w:proofErr w:type="spellEnd"/>
      <w:r w:rsidRPr="004A380D">
        <w:rPr>
          <w:rFonts w:ascii="Arial" w:hAnsi="Arial" w:cs="Arial"/>
          <w:sz w:val="20"/>
          <w:szCs w:val="20"/>
          <w:lang w:val="en-IN"/>
        </w:rPr>
        <w:t xml:space="preserve"> high for different characters. High heritability (&gt;60%) coupled with high genetic gain over mean (&gt;20%) it was found high for the traits </w:t>
      </w:r>
      <w:r w:rsidRPr="004A380D">
        <w:rPr>
          <w:rFonts w:ascii="Arial" w:hAnsi="Arial" w:cs="Arial"/>
          <w:i/>
          <w:iCs/>
          <w:sz w:val="20"/>
          <w:szCs w:val="20"/>
          <w:lang w:val="en-IN"/>
        </w:rPr>
        <w:t>viz.,</w:t>
      </w:r>
      <w:r w:rsidRPr="004A380D">
        <w:rPr>
          <w:rFonts w:ascii="Arial" w:hAnsi="Arial" w:cs="Arial"/>
          <w:sz w:val="20"/>
          <w:szCs w:val="20"/>
          <w:lang w:val="en-IN"/>
        </w:rPr>
        <w:t xml:space="preserve"> root-knot index (85.96%), fruit volume (85.54%), number of flowers per cluster (79.71%), average fruit weight (70.60%), number of fruits per cluster (69.22%), number of fruits per plant (66.88%), fruit yield per plant (65.73%), fruit diameter (54.01%), SPAD reading (53.92%), total phenol content (45.76%).</w:t>
      </w:r>
      <w:r w:rsidRPr="004A380D">
        <w:rPr>
          <w:rFonts w:ascii="Arial" w:hAnsi="Arial" w:cs="Arial"/>
          <w:i/>
          <w:sz w:val="20"/>
          <w:szCs w:val="20"/>
          <w:vertAlign w:val="subscript"/>
          <w:lang w:val="en-IN"/>
        </w:rPr>
        <w:t xml:space="preserve"> </w:t>
      </w:r>
      <w:r w:rsidRPr="004A380D">
        <w:rPr>
          <w:rFonts w:ascii="Arial" w:hAnsi="Arial" w:cs="Arial"/>
          <w:sz w:val="20"/>
          <w:szCs w:val="20"/>
          <w:lang w:val="en-IN"/>
        </w:rPr>
        <w:t>Moderate genetic gain was observed for number of clusters per plant (40.45%), plant height at 30 DAT (37.23%), plant height at 45 DAT (33.66%), days to 50 per cent flowering (20.28%), days to first harvest (16.26%)</w:t>
      </w:r>
      <w:r w:rsidRPr="004A380D">
        <w:rPr>
          <w:rFonts w:ascii="Arial" w:hAnsi="Arial" w:cs="Arial"/>
          <w:i/>
          <w:sz w:val="20"/>
          <w:szCs w:val="20"/>
          <w:vertAlign w:val="subscript"/>
          <w:lang w:val="en-IN"/>
        </w:rPr>
        <w:t xml:space="preserve"> </w:t>
      </w:r>
      <w:r w:rsidRPr="004A380D">
        <w:rPr>
          <w:rFonts w:ascii="Arial" w:hAnsi="Arial" w:cs="Arial"/>
          <w:sz w:val="20"/>
          <w:szCs w:val="20"/>
          <w:lang w:val="en-IN"/>
        </w:rPr>
        <w:t xml:space="preserve">whereas, lowest genetic gain was observed for moisture content (0.70%). The results were consistent with those of </w:t>
      </w:r>
      <w:proofErr w:type="spellStart"/>
      <w:r w:rsidRPr="004A380D">
        <w:rPr>
          <w:rFonts w:ascii="Arial" w:hAnsi="Arial" w:cs="Arial"/>
          <w:sz w:val="20"/>
          <w:szCs w:val="20"/>
          <w:lang w:val="en-IN"/>
        </w:rPr>
        <w:t>Tabasum</w:t>
      </w:r>
      <w:proofErr w:type="spellEnd"/>
      <w:r w:rsidRPr="004A380D">
        <w:rPr>
          <w:rFonts w:ascii="Arial" w:hAnsi="Arial" w:cs="Arial"/>
          <w:sz w:val="20"/>
          <w:szCs w:val="20"/>
          <w:lang w:val="en-IN"/>
        </w:rPr>
        <w:t xml:space="preserve"> </w:t>
      </w:r>
      <w:r w:rsidRPr="00FB7DB9">
        <w:rPr>
          <w:rFonts w:ascii="Arial" w:hAnsi="Arial" w:cs="Arial"/>
          <w:i/>
          <w:iCs/>
          <w:sz w:val="20"/>
          <w:szCs w:val="20"/>
          <w:lang w:val="en-IN"/>
        </w:rPr>
        <w:t>et al.</w:t>
      </w:r>
      <w:r w:rsidRPr="004A380D">
        <w:rPr>
          <w:rFonts w:ascii="Arial" w:hAnsi="Arial" w:cs="Arial"/>
          <w:sz w:val="20"/>
          <w:szCs w:val="20"/>
          <w:lang w:val="en-IN"/>
        </w:rPr>
        <w:t xml:space="preserve"> </w:t>
      </w:r>
      <w:r w:rsidRPr="004A380D">
        <w:rPr>
          <w:rFonts w:ascii="Arial" w:hAnsi="Arial" w:cs="Arial"/>
          <w:sz w:val="20"/>
          <w:szCs w:val="20"/>
          <w:lang w:val="sv-SE"/>
        </w:rPr>
        <w:t xml:space="preserve">(2024), Soumya </w:t>
      </w:r>
      <w:r w:rsidRPr="00FB7DB9">
        <w:rPr>
          <w:rFonts w:ascii="Arial" w:hAnsi="Arial" w:cs="Arial"/>
          <w:i/>
          <w:iCs/>
          <w:sz w:val="20"/>
          <w:szCs w:val="20"/>
          <w:lang w:val="sv-SE"/>
        </w:rPr>
        <w:t>et al.</w:t>
      </w:r>
      <w:r w:rsidRPr="004A380D">
        <w:rPr>
          <w:rFonts w:ascii="Arial" w:hAnsi="Arial" w:cs="Arial"/>
          <w:sz w:val="20"/>
          <w:szCs w:val="20"/>
          <w:lang w:val="sv-SE"/>
        </w:rPr>
        <w:t xml:space="preserve"> (2023), Barik </w:t>
      </w:r>
      <w:r w:rsidRPr="00FB7DB9">
        <w:rPr>
          <w:rFonts w:ascii="Arial" w:hAnsi="Arial" w:cs="Arial"/>
          <w:i/>
          <w:iCs/>
          <w:sz w:val="20"/>
          <w:szCs w:val="20"/>
          <w:lang w:val="sv-SE"/>
        </w:rPr>
        <w:t>et al</w:t>
      </w:r>
      <w:r w:rsidRPr="004A380D">
        <w:rPr>
          <w:rFonts w:ascii="Arial" w:hAnsi="Arial" w:cs="Arial"/>
          <w:sz w:val="20"/>
          <w:szCs w:val="20"/>
          <w:lang w:val="sv-SE"/>
        </w:rPr>
        <w:t xml:space="preserve">. (2021), Prajapati </w:t>
      </w:r>
      <w:r w:rsidRPr="00FB7DB9">
        <w:rPr>
          <w:rFonts w:ascii="Arial" w:hAnsi="Arial" w:cs="Arial"/>
          <w:i/>
          <w:iCs/>
          <w:sz w:val="20"/>
          <w:szCs w:val="20"/>
          <w:lang w:val="sv-SE"/>
        </w:rPr>
        <w:t>et al</w:t>
      </w:r>
      <w:r w:rsidRPr="004A380D">
        <w:rPr>
          <w:rFonts w:ascii="Arial" w:hAnsi="Arial" w:cs="Arial"/>
          <w:sz w:val="20"/>
          <w:szCs w:val="20"/>
          <w:lang w:val="sv-SE"/>
        </w:rPr>
        <w:t xml:space="preserve">. (2021), and Praveen </w:t>
      </w:r>
      <w:r w:rsidRPr="004A380D">
        <w:rPr>
          <w:rFonts w:ascii="Arial" w:hAnsi="Arial" w:cs="Arial"/>
          <w:i/>
          <w:iCs/>
          <w:sz w:val="20"/>
          <w:szCs w:val="20"/>
          <w:lang w:val="sv-SE"/>
        </w:rPr>
        <w:t>et al.</w:t>
      </w:r>
      <w:r w:rsidRPr="004A380D">
        <w:rPr>
          <w:rFonts w:ascii="Arial" w:hAnsi="Arial" w:cs="Arial"/>
          <w:sz w:val="20"/>
          <w:szCs w:val="20"/>
          <w:lang w:val="sv-SE"/>
        </w:rPr>
        <w:t xml:space="preserve"> </w:t>
      </w:r>
      <w:r w:rsidRPr="004A380D">
        <w:rPr>
          <w:rFonts w:ascii="Arial" w:hAnsi="Arial" w:cs="Arial"/>
          <w:sz w:val="20"/>
          <w:szCs w:val="20"/>
        </w:rPr>
        <w:t>(2020).</w:t>
      </w:r>
    </w:p>
    <w:p w14:paraId="7B54E4E4" w14:textId="77777777" w:rsidR="00C128FB" w:rsidRDefault="00C128FB" w:rsidP="005925AE">
      <w:pPr>
        <w:pStyle w:val="BodyText3"/>
        <w:tabs>
          <w:tab w:val="left" w:pos="90"/>
        </w:tabs>
        <w:spacing w:after="0"/>
        <w:jc w:val="both"/>
        <w:rPr>
          <w:rFonts w:ascii="Arial" w:hAnsi="Arial"/>
          <w:b/>
          <w:sz w:val="20"/>
          <w:szCs w:val="20"/>
          <w:lang w:val="en-IN"/>
        </w:rPr>
      </w:pPr>
    </w:p>
    <w:p w14:paraId="2C2B0C41" w14:textId="6B7E223D" w:rsidR="005925AE" w:rsidRPr="005E5D3F" w:rsidRDefault="005E5D3F" w:rsidP="005E5D3F">
      <w:pPr>
        <w:pStyle w:val="BodyText3"/>
        <w:tabs>
          <w:tab w:val="left" w:pos="1080"/>
        </w:tabs>
        <w:spacing w:after="0"/>
        <w:ind w:left="1080" w:hanging="1080"/>
        <w:rPr>
          <w:rFonts w:ascii="Arial" w:hAnsi="Arial"/>
          <w:b/>
          <w:bCs/>
          <w:sz w:val="20"/>
          <w:szCs w:val="20"/>
          <w:lang w:val="en-IN"/>
        </w:rPr>
      </w:pPr>
      <w:r w:rsidRPr="005E5D3F">
        <w:rPr>
          <w:rFonts w:ascii="Arial" w:hAnsi="Arial"/>
          <w:b/>
          <w:bCs/>
          <w:sz w:val="20"/>
          <w:szCs w:val="20"/>
          <w:lang w:val="en-IN"/>
        </w:rPr>
        <w:t>Table 3: Estimates of genetic parameters of variation for the different characters of brinjal genotype</w:t>
      </w:r>
    </w:p>
    <w:tbl>
      <w:tblPr>
        <w:tblStyle w:val="ListTable6Colorful"/>
        <w:tblpPr w:leftFromText="180" w:rightFromText="180" w:vertAnchor="page" w:horzAnchor="margin" w:tblpY="8437"/>
        <w:tblW w:w="9198" w:type="dxa"/>
        <w:tblLayout w:type="fixed"/>
        <w:tblLook w:val="04A0" w:firstRow="1" w:lastRow="0" w:firstColumn="1" w:lastColumn="0" w:noHBand="0" w:noVBand="1"/>
      </w:tblPr>
      <w:tblGrid>
        <w:gridCol w:w="648"/>
        <w:gridCol w:w="2070"/>
        <w:gridCol w:w="810"/>
        <w:gridCol w:w="1170"/>
        <w:gridCol w:w="720"/>
        <w:gridCol w:w="630"/>
        <w:gridCol w:w="1170"/>
        <w:gridCol w:w="630"/>
        <w:gridCol w:w="1350"/>
      </w:tblGrid>
      <w:tr w:rsidR="00D64E1F" w:rsidRPr="00CE1210" w14:paraId="1E1412A1" w14:textId="77777777" w:rsidTr="00D64E1F">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48" w:type="dxa"/>
          </w:tcPr>
          <w:p w14:paraId="6EC81E7B" w14:textId="77777777" w:rsidR="00D64E1F" w:rsidRPr="00BD38AA" w:rsidRDefault="00D64E1F" w:rsidP="00D64E1F">
            <w:pPr>
              <w:pStyle w:val="BodyText3"/>
              <w:tabs>
                <w:tab w:val="left" w:pos="1080"/>
              </w:tabs>
              <w:ind w:left="1080" w:hanging="1080"/>
              <w:jc w:val="both"/>
              <w:rPr>
                <w:rFonts w:ascii="Arial" w:hAnsi="Arial"/>
                <w:iCs/>
                <w:sz w:val="20"/>
                <w:vertAlign w:val="subscript"/>
                <w:lang w:val="en-IN"/>
              </w:rPr>
            </w:pPr>
            <w:r w:rsidRPr="00BD38AA">
              <w:rPr>
                <w:rFonts w:ascii="Arial" w:hAnsi="Arial"/>
                <w:iCs/>
                <w:sz w:val="20"/>
                <w:vertAlign w:val="subscript"/>
                <w:lang w:val="en-IN"/>
              </w:rPr>
              <w:t>S. No.</w:t>
            </w:r>
          </w:p>
        </w:tc>
        <w:tc>
          <w:tcPr>
            <w:tcW w:w="2070" w:type="dxa"/>
          </w:tcPr>
          <w:p w14:paraId="0E4637D1" w14:textId="77777777" w:rsidR="00D64E1F" w:rsidRPr="00BD38AA" w:rsidRDefault="00D64E1F" w:rsidP="00D64E1F">
            <w:pPr>
              <w:pStyle w:val="BodyText3"/>
              <w:tabs>
                <w:tab w:val="left" w:pos="1080"/>
              </w:tabs>
              <w:ind w:left="1080" w:hanging="1080"/>
              <w:jc w:val="both"/>
              <w:cnfStyle w:val="100000000000" w:firstRow="1"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BD38AA">
              <w:rPr>
                <w:rFonts w:ascii="Arial" w:hAnsi="Arial"/>
                <w:iCs/>
                <w:sz w:val="20"/>
                <w:vertAlign w:val="subscript"/>
                <w:lang w:val="en-IN"/>
              </w:rPr>
              <w:t>Character</w:t>
            </w:r>
          </w:p>
        </w:tc>
        <w:tc>
          <w:tcPr>
            <w:tcW w:w="810" w:type="dxa"/>
          </w:tcPr>
          <w:p w14:paraId="36D80C64" w14:textId="77777777" w:rsidR="00D64E1F" w:rsidRPr="00BD38AA" w:rsidRDefault="00D64E1F" w:rsidP="00D64E1F">
            <w:pPr>
              <w:pStyle w:val="BodyText3"/>
              <w:tabs>
                <w:tab w:val="left" w:pos="1080"/>
              </w:tabs>
              <w:ind w:left="1080" w:hanging="1080"/>
              <w:jc w:val="both"/>
              <w:cnfStyle w:val="100000000000" w:firstRow="1"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BD38AA">
              <w:rPr>
                <w:rFonts w:ascii="Arial" w:hAnsi="Arial"/>
                <w:iCs/>
                <w:sz w:val="20"/>
                <w:vertAlign w:val="subscript"/>
                <w:lang w:val="en-IN"/>
              </w:rPr>
              <w:t>Mean</w:t>
            </w:r>
          </w:p>
        </w:tc>
        <w:tc>
          <w:tcPr>
            <w:tcW w:w="1170" w:type="dxa"/>
          </w:tcPr>
          <w:p w14:paraId="19602C66" w14:textId="77777777" w:rsidR="00D64E1F" w:rsidRPr="00BD38AA" w:rsidRDefault="00D64E1F" w:rsidP="00D64E1F">
            <w:pPr>
              <w:pStyle w:val="BodyText3"/>
              <w:tabs>
                <w:tab w:val="left" w:pos="1080"/>
              </w:tabs>
              <w:ind w:left="1080" w:hanging="1080"/>
              <w:jc w:val="both"/>
              <w:cnfStyle w:val="100000000000" w:firstRow="1"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BD38AA">
              <w:rPr>
                <w:rFonts w:ascii="Arial" w:hAnsi="Arial"/>
                <w:iCs/>
                <w:sz w:val="20"/>
                <w:vertAlign w:val="subscript"/>
                <w:lang w:val="en-IN"/>
              </w:rPr>
              <w:t>Range</w:t>
            </w:r>
          </w:p>
        </w:tc>
        <w:tc>
          <w:tcPr>
            <w:tcW w:w="720" w:type="dxa"/>
          </w:tcPr>
          <w:p w14:paraId="19941741" w14:textId="77777777" w:rsidR="00D64E1F" w:rsidRPr="00BD38AA" w:rsidRDefault="00D64E1F" w:rsidP="00D64E1F">
            <w:pPr>
              <w:pStyle w:val="BodyText3"/>
              <w:tabs>
                <w:tab w:val="left" w:pos="1080"/>
              </w:tabs>
              <w:ind w:left="1080" w:hanging="1080"/>
              <w:jc w:val="both"/>
              <w:cnfStyle w:val="100000000000" w:firstRow="1"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BD38AA">
              <w:rPr>
                <w:rFonts w:ascii="Arial" w:hAnsi="Arial"/>
                <w:iCs/>
                <w:sz w:val="20"/>
                <w:vertAlign w:val="subscript"/>
                <w:lang w:val="en-IN"/>
              </w:rPr>
              <w:t>GCV</w:t>
            </w:r>
          </w:p>
        </w:tc>
        <w:tc>
          <w:tcPr>
            <w:tcW w:w="630" w:type="dxa"/>
          </w:tcPr>
          <w:p w14:paraId="614CD60E" w14:textId="77777777" w:rsidR="00D64E1F" w:rsidRPr="00BD38AA" w:rsidRDefault="00D64E1F" w:rsidP="00D64E1F">
            <w:pPr>
              <w:pStyle w:val="BodyText3"/>
              <w:tabs>
                <w:tab w:val="left" w:pos="1080"/>
              </w:tabs>
              <w:ind w:left="1080" w:hanging="1080"/>
              <w:jc w:val="both"/>
              <w:cnfStyle w:val="100000000000" w:firstRow="1"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BD38AA">
              <w:rPr>
                <w:rFonts w:ascii="Arial" w:hAnsi="Arial"/>
                <w:iCs/>
                <w:sz w:val="20"/>
                <w:vertAlign w:val="subscript"/>
                <w:lang w:val="en-IN"/>
              </w:rPr>
              <w:t>PCV</w:t>
            </w:r>
          </w:p>
        </w:tc>
        <w:tc>
          <w:tcPr>
            <w:tcW w:w="1170" w:type="dxa"/>
          </w:tcPr>
          <w:p w14:paraId="5BBCAED3" w14:textId="77777777" w:rsidR="00D64E1F" w:rsidRPr="00BD38AA" w:rsidRDefault="00D64E1F" w:rsidP="00D64E1F">
            <w:pPr>
              <w:pStyle w:val="BodyText3"/>
              <w:tabs>
                <w:tab w:val="left" w:pos="1080"/>
              </w:tabs>
              <w:ind w:left="1080" w:hanging="1080"/>
              <w:jc w:val="both"/>
              <w:cnfStyle w:val="100000000000" w:firstRow="1"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BD38AA">
              <w:rPr>
                <w:rFonts w:ascii="Arial" w:hAnsi="Arial"/>
                <w:iCs/>
                <w:sz w:val="20"/>
                <w:vertAlign w:val="subscript"/>
                <w:lang w:val="en-IN"/>
              </w:rPr>
              <w:t>Heritability (%)</w:t>
            </w:r>
          </w:p>
        </w:tc>
        <w:tc>
          <w:tcPr>
            <w:tcW w:w="630" w:type="dxa"/>
          </w:tcPr>
          <w:p w14:paraId="708BC963" w14:textId="77777777" w:rsidR="00D64E1F" w:rsidRPr="00BD38AA" w:rsidRDefault="00D64E1F" w:rsidP="00D64E1F">
            <w:pPr>
              <w:pStyle w:val="BodyText3"/>
              <w:tabs>
                <w:tab w:val="left" w:pos="1080"/>
              </w:tabs>
              <w:ind w:left="1080" w:hanging="1080"/>
              <w:jc w:val="both"/>
              <w:cnfStyle w:val="100000000000" w:firstRow="1"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BD38AA">
              <w:rPr>
                <w:rFonts w:ascii="Arial" w:hAnsi="Arial"/>
                <w:iCs/>
                <w:sz w:val="20"/>
                <w:vertAlign w:val="subscript"/>
                <w:lang w:val="en-IN"/>
              </w:rPr>
              <w:t>GA</w:t>
            </w:r>
          </w:p>
        </w:tc>
        <w:tc>
          <w:tcPr>
            <w:tcW w:w="1350" w:type="dxa"/>
          </w:tcPr>
          <w:p w14:paraId="3DB9DB05" w14:textId="77777777" w:rsidR="00D64E1F" w:rsidRPr="00BD38AA" w:rsidRDefault="00D64E1F" w:rsidP="00D64E1F">
            <w:pPr>
              <w:pStyle w:val="BodyText3"/>
              <w:tabs>
                <w:tab w:val="left" w:pos="1080"/>
              </w:tabs>
              <w:ind w:left="1080" w:hanging="1080"/>
              <w:jc w:val="both"/>
              <w:cnfStyle w:val="100000000000" w:firstRow="1"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BD38AA">
              <w:rPr>
                <w:rFonts w:ascii="Arial" w:hAnsi="Arial"/>
                <w:iCs/>
                <w:sz w:val="20"/>
                <w:vertAlign w:val="subscript"/>
                <w:lang w:val="en-IN"/>
              </w:rPr>
              <w:t>GA as % of Mean</w:t>
            </w:r>
          </w:p>
        </w:tc>
      </w:tr>
      <w:tr w:rsidR="00D64E1F" w:rsidRPr="00CE1210" w14:paraId="2629A75B" w14:textId="77777777" w:rsidTr="00D64E1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14:paraId="031B6CBB"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1</w:t>
            </w:r>
          </w:p>
        </w:tc>
        <w:tc>
          <w:tcPr>
            <w:tcW w:w="2070" w:type="dxa"/>
            <w:shd w:val="clear" w:color="auto" w:fill="auto"/>
          </w:tcPr>
          <w:p w14:paraId="4E26E4ED"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Plant height at 30 DAT (cm)</w:t>
            </w:r>
          </w:p>
        </w:tc>
        <w:tc>
          <w:tcPr>
            <w:tcW w:w="810" w:type="dxa"/>
            <w:shd w:val="clear" w:color="auto" w:fill="auto"/>
          </w:tcPr>
          <w:p w14:paraId="45292B45"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20.17</w:t>
            </w:r>
          </w:p>
        </w:tc>
        <w:tc>
          <w:tcPr>
            <w:tcW w:w="1170" w:type="dxa"/>
            <w:shd w:val="clear" w:color="auto" w:fill="auto"/>
          </w:tcPr>
          <w:p w14:paraId="576DD85F"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13.66-32.36</w:t>
            </w:r>
          </w:p>
        </w:tc>
        <w:tc>
          <w:tcPr>
            <w:tcW w:w="720" w:type="dxa"/>
            <w:shd w:val="clear" w:color="auto" w:fill="auto"/>
          </w:tcPr>
          <w:p w14:paraId="2C129A57"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18.74</w:t>
            </w:r>
          </w:p>
        </w:tc>
        <w:tc>
          <w:tcPr>
            <w:tcW w:w="630" w:type="dxa"/>
            <w:shd w:val="clear" w:color="auto" w:fill="auto"/>
          </w:tcPr>
          <w:p w14:paraId="60B7CFAC"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19.42</w:t>
            </w:r>
          </w:p>
        </w:tc>
        <w:tc>
          <w:tcPr>
            <w:tcW w:w="1170" w:type="dxa"/>
            <w:shd w:val="clear" w:color="auto" w:fill="auto"/>
          </w:tcPr>
          <w:p w14:paraId="06A6F20C"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93.03</w:t>
            </w:r>
          </w:p>
        </w:tc>
        <w:tc>
          <w:tcPr>
            <w:tcW w:w="630" w:type="dxa"/>
            <w:shd w:val="clear" w:color="auto" w:fill="auto"/>
          </w:tcPr>
          <w:p w14:paraId="4DA073CD"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7.51</w:t>
            </w:r>
          </w:p>
        </w:tc>
        <w:tc>
          <w:tcPr>
            <w:tcW w:w="1350" w:type="dxa"/>
            <w:shd w:val="clear" w:color="auto" w:fill="auto"/>
          </w:tcPr>
          <w:p w14:paraId="1F875737"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37.23</w:t>
            </w:r>
          </w:p>
        </w:tc>
      </w:tr>
      <w:tr w:rsidR="00D64E1F" w:rsidRPr="00CE1210" w14:paraId="748DB6BB" w14:textId="77777777" w:rsidTr="00D64E1F">
        <w:trPr>
          <w:trHeight w:val="242"/>
        </w:trPr>
        <w:tc>
          <w:tcPr>
            <w:cnfStyle w:val="001000000000" w:firstRow="0" w:lastRow="0" w:firstColumn="1" w:lastColumn="0" w:oddVBand="0" w:evenVBand="0" w:oddHBand="0" w:evenHBand="0" w:firstRowFirstColumn="0" w:firstRowLastColumn="0" w:lastRowFirstColumn="0" w:lastRowLastColumn="0"/>
            <w:tcW w:w="648" w:type="dxa"/>
          </w:tcPr>
          <w:p w14:paraId="270627C0"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2</w:t>
            </w:r>
          </w:p>
        </w:tc>
        <w:tc>
          <w:tcPr>
            <w:tcW w:w="2070" w:type="dxa"/>
          </w:tcPr>
          <w:p w14:paraId="322FB47D"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Plant height at 45 DAT (cm)</w:t>
            </w:r>
          </w:p>
        </w:tc>
        <w:tc>
          <w:tcPr>
            <w:tcW w:w="810" w:type="dxa"/>
          </w:tcPr>
          <w:p w14:paraId="6B2BDAAD"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25.69</w:t>
            </w:r>
          </w:p>
        </w:tc>
        <w:tc>
          <w:tcPr>
            <w:tcW w:w="1170" w:type="dxa"/>
          </w:tcPr>
          <w:p w14:paraId="0C7112B1"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19.07-40.42</w:t>
            </w:r>
          </w:p>
        </w:tc>
        <w:tc>
          <w:tcPr>
            <w:tcW w:w="720" w:type="dxa"/>
          </w:tcPr>
          <w:p w14:paraId="68E6BCE2"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16.99</w:t>
            </w:r>
          </w:p>
        </w:tc>
        <w:tc>
          <w:tcPr>
            <w:tcW w:w="630" w:type="dxa"/>
          </w:tcPr>
          <w:p w14:paraId="76E906DC"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17.66</w:t>
            </w:r>
          </w:p>
        </w:tc>
        <w:tc>
          <w:tcPr>
            <w:tcW w:w="1170" w:type="dxa"/>
          </w:tcPr>
          <w:p w14:paraId="64B9212D"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92.52</w:t>
            </w:r>
          </w:p>
        </w:tc>
        <w:tc>
          <w:tcPr>
            <w:tcW w:w="630" w:type="dxa"/>
          </w:tcPr>
          <w:p w14:paraId="2D3AB3E9"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8.65</w:t>
            </w:r>
          </w:p>
        </w:tc>
        <w:tc>
          <w:tcPr>
            <w:tcW w:w="1350" w:type="dxa"/>
          </w:tcPr>
          <w:p w14:paraId="4014AF16"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33.66</w:t>
            </w:r>
          </w:p>
        </w:tc>
      </w:tr>
      <w:tr w:rsidR="00D64E1F" w:rsidRPr="00CE1210" w14:paraId="49BD4838" w14:textId="77777777" w:rsidTr="00D64E1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14:paraId="7BA818AB"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3</w:t>
            </w:r>
          </w:p>
        </w:tc>
        <w:tc>
          <w:tcPr>
            <w:tcW w:w="2070" w:type="dxa"/>
            <w:shd w:val="clear" w:color="auto" w:fill="auto"/>
          </w:tcPr>
          <w:p w14:paraId="7AC75852"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Days to 50 per cent flowering</w:t>
            </w:r>
          </w:p>
        </w:tc>
        <w:tc>
          <w:tcPr>
            <w:tcW w:w="810" w:type="dxa"/>
            <w:shd w:val="clear" w:color="auto" w:fill="auto"/>
          </w:tcPr>
          <w:p w14:paraId="4C9439E6"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59.61</w:t>
            </w:r>
          </w:p>
        </w:tc>
        <w:tc>
          <w:tcPr>
            <w:tcW w:w="1170" w:type="dxa"/>
            <w:shd w:val="clear" w:color="auto" w:fill="auto"/>
          </w:tcPr>
          <w:p w14:paraId="6D7E0CFC"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51.00-71.00</w:t>
            </w:r>
          </w:p>
        </w:tc>
        <w:tc>
          <w:tcPr>
            <w:tcW w:w="720" w:type="dxa"/>
            <w:shd w:val="clear" w:color="auto" w:fill="auto"/>
          </w:tcPr>
          <w:p w14:paraId="17C516FC"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10.05</w:t>
            </w:r>
          </w:p>
        </w:tc>
        <w:tc>
          <w:tcPr>
            <w:tcW w:w="630" w:type="dxa"/>
            <w:shd w:val="clear" w:color="auto" w:fill="auto"/>
          </w:tcPr>
          <w:p w14:paraId="7F0F89B3"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10.26</w:t>
            </w:r>
          </w:p>
        </w:tc>
        <w:tc>
          <w:tcPr>
            <w:tcW w:w="1170" w:type="dxa"/>
            <w:shd w:val="clear" w:color="auto" w:fill="auto"/>
          </w:tcPr>
          <w:p w14:paraId="12229529"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95.93</w:t>
            </w:r>
          </w:p>
        </w:tc>
        <w:tc>
          <w:tcPr>
            <w:tcW w:w="630" w:type="dxa"/>
            <w:shd w:val="clear" w:color="auto" w:fill="auto"/>
          </w:tcPr>
          <w:p w14:paraId="53C1068F"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12.09</w:t>
            </w:r>
          </w:p>
        </w:tc>
        <w:tc>
          <w:tcPr>
            <w:tcW w:w="1350" w:type="dxa"/>
            <w:shd w:val="clear" w:color="auto" w:fill="auto"/>
          </w:tcPr>
          <w:p w14:paraId="2F256C6C"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20.28</w:t>
            </w:r>
          </w:p>
        </w:tc>
      </w:tr>
      <w:tr w:rsidR="00D64E1F" w:rsidRPr="00CE1210" w14:paraId="3C033068" w14:textId="77777777" w:rsidTr="00D64E1F">
        <w:trPr>
          <w:trHeight w:val="260"/>
        </w:trPr>
        <w:tc>
          <w:tcPr>
            <w:cnfStyle w:val="001000000000" w:firstRow="0" w:lastRow="0" w:firstColumn="1" w:lastColumn="0" w:oddVBand="0" w:evenVBand="0" w:oddHBand="0" w:evenHBand="0" w:firstRowFirstColumn="0" w:firstRowLastColumn="0" w:lastRowFirstColumn="0" w:lastRowLastColumn="0"/>
            <w:tcW w:w="648" w:type="dxa"/>
          </w:tcPr>
          <w:p w14:paraId="7D887624"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4</w:t>
            </w:r>
          </w:p>
        </w:tc>
        <w:tc>
          <w:tcPr>
            <w:tcW w:w="2070" w:type="dxa"/>
          </w:tcPr>
          <w:p w14:paraId="77292F32"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Number of clusters per plant</w:t>
            </w:r>
          </w:p>
        </w:tc>
        <w:tc>
          <w:tcPr>
            <w:tcW w:w="810" w:type="dxa"/>
          </w:tcPr>
          <w:p w14:paraId="02049591"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23.58</w:t>
            </w:r>
          </w:p>
        </w:tc>
        <w:tc>
          <w:tcPr>
            <w:tcW w:w="1170" w:type="dxa"/>
          </w:tcPr>
          <w:p w14:paraId="04EA8DA8"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14.00-35.53</w:t>
            </w:r>
          </w:p>
        </w:tc>
        <w:tc>
          <w:tcPr>
            <w:tcW w:w="720" w:type="dxa"/>
          </w:tcPr>
          <w:p w14:paraId="35491F6E"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21.56</w:t>
            </w:r>
          </w:p>
        </w:tc>
        <w:tc>
          <w:tcPr>
            <w:tcW w:w="630" w:type="dxa"/>
          </w:tcPr>
          <w:p w14:paraId="51478EAD"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23.67</w:t>
            </w:r>
          </w:p>
        </w:tc>
        <w:tc>
          <w:tcPr>
            <w:tcW w:w="1170" w:type="dxa"/>
          </w:tcPr>
          <w:p w14:paraId="413957A1"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82.97</w:t>
            </w:r>
          </w:p>
        </w:tc>
        <w:tc>
          <w:tcPr>
            <w:tcW w:w="630" w:type="dxa"/>
          </w:tcPr>
          <w:p w14:paraId="4FE3964D"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9.54</w:t>
            </w:r>
          </w:p>
        </w:tc>
        <w:tc>
          <w:tcPr>
            <w:tcW w:w="1350" w:type="dxa"/>
          </w:tcPr>
          <w:p w14:paraId="6909E781"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40.45</w:t>
            </w:r>
          </w:p>
        </w:tc>
      </w:tr>
      <w:tr w:rsidR="00D64E1F" w:rsidRPr="00CE1210" w14:paraId="71B67779" w14:textId="77777777" w:rsidTr="00D64E1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14:paraId="6164D8E0"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5</w:t>
            </w:r>
          </w:p>
        </w:tc>
        <w:tc>
          <w:tcPr>
            <w:tcW w:w="2070" w:type="dxa"/>
            <w:shd w:val="clear" w:color="auto" w:fill="auto"/>
          </w:tcPr>
          <w:p w14:paraId="74E0F412"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Number of flowers per cluster</w:t>
            </w:r>
          </w:p>
        </w:tc>
        <w:tc>
          <w:tcPr>
            <w:tcW w:w="810" w:type="dxa"/>
            <w:shd w:val="clear" w:color="auto" w:fill="auto"/>
          </w:tcPr>
          <w:p w14:paraId="7500498D"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3.89</w:t>
            </w:r>
          </w:p>
        </w:tc>
        <w:tc>
          <w:tcPr>
            <w:tcW w:w="1170" w:type="dxa"/>
            <w:shd w:val="clear" w:color="auto" w:fill="auto"/>
          </w:tcPr>
          <w:p w14:paraId="27129F89"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1.49-10.65</w:t>
            </w:r>
          </w:p>
        </w:tc>
        <w:tc>
          <w:tcPr>
            <w:tcW w:w="720" w:type="dxa"/>
            <w:shd w:val="clear" w:color="auto" w:fill="auto"/>
          </w:tcPr>
          <w:p w14:paraId="107F013F"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38.80</w:t>
            </w:r>
          </w:p>
        </w:tc>
        <w:tc>
          <w:tcPr>
            <w:tcW w:w="630" w:type="dxa"/>
            <w:shd w:val="clear" w:color="auto" w:fill="auto"/>
          </w:tcPr>
          <w:p w14:paraId="735F8362"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38.90</w:t>
            </w:r>
          </w:p>
        </w:tc>
        <w:tc>
          <w:tcPr>
            <w:tcW w:w="1170" w:type="dxa"/>
            <w:shd w:val="clear" w:color="auto" w:fill="auto"/>
          </w:tcPr>
          <w:p w14:paraId="32403AF7"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99.47</w:t>
            </w:r>
          </w:p>
        </w:tc>
        <w:tc>
          <w:tcPr>
            <w:tcW w:w="630" w:type="dxa"/>
            <w:shd w:val="clear" w:color="auto" w:fill="auto"/>
          </w:tcPr>
          <w:p w14:paraId="6522F304"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3.10</w:t>
            </w:r>
          </w:p>
        </w:tc>
        <w:tc>
          <w:tcPr>
            <w:tcW w:w="1350" w:type="dxa"/>
            <w:shd w:val="clear" w:color="auto" w:fill="auto"/>
          </w:tcPr>
          <w:p w14:paraId="08D1BFC4"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79.71</w:t>
            </w:r>
          </w:p>
        </w:tc>
      </w:tr>
      <w:tr w:rsidR="00D64E1F" w:rsidRPr="00CE1210" w14:paraId="51C8790F" w14:textId="77777777" w:rsidTr="00D64E1F">
        <w:trPr>
          <w:trHeight w:val="215"/>
        </w:trPr>
        <w:tc>
          <w:tcPr>
            <w:cnfStyle w:val="001000000000" w:firstRow="0" w:lastRow="0" w:firstColumn="1" w:lastColumn="0" w:oddVBand="0" w:evenVBand="0" w:oddHBand="0" w:evenHBand="0" w:firstRowFirstColumn="0" w:firstRowLastColumn="0" w:lastRowFirstColumn="0" w:lastRowLastColumn="0"/>
            <w:tcW w:w="648" w:type="dxa"/>
          </w:tcPr>
          <w:p w14:paraId="001262C8"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6</w:t>
            </w:r>
          </w:p>
        </w:tc>
        <w:tc>
          <w:tcPr>
            <w:tcW w:w="2070" w:type="dxa"/>
          </w:tcPr>
          <w:p w14:paraId="5C645604"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SPAD reading</w:t>
            </w:r>
          </w:p>
        </w:tc>
        <w:tc>
          <w:tcPr>
            <w:tcW w:w="810" w:type="dxa"/>
          </w:tcPr>
          <w:p w14:paraId="1044BC9C"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69.52</w:t>
            </w:r>
          </w:p>
        </w:tc>
        <w:tc>
          <w:tcPr>
            <w:tcW w:w="1170" w:type="dxa"/>
          </w:tcPr>
          <w:p w14:paraId="38047607"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43.01-106.51</w:t>
            </w:r>
          </w:p>
        </w:tc>
        <w:tc>
          <w:tcPr>
            <w:tcW w:w="720" w:type="dxa"/>
          </w:tcPr>
          <w:p w14:paraId="1E30BDB7"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27.22</w:t>
            </w:r>
          </w:p>
        </w:tc>
        <w:tc>
          <w:tcPr>
            <w:tcW w:w="630" w:type="dxa"/>
          </w:tcPr>
          <w:p w14:paraId="4EEAE0C8"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28.32</w:t>
            </w:r>
          </w:p>
        </w:tc>
        <w:tc>
          <w:tcPr>
            <w:tcW w:w="1170" w:type="dxa"/>
          </w:tcPr>
          <w:p w14:paraId="23BE478D"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92.43</w:t>
            </w:r>
          </w:p>
        </w:tc>
        <w:tc>
          <w:tcPr>
            <w:tcW w:w="630" w:type="dxa"/>
          </w:tcPr>
          <w:p w14:paraId="55CBBF78"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37.48</w:t>
            </w:r>
          </w:p>
        </w:tc>
        <w:tc>
          <w:tcPr>
            <w:tcW w:w="1350" w:type="dxa"/>
          </w:tcPr>
          <w:p w14:paraId="047D30DE"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53.92</w:t>
            </w:r>
          </w:p>
        </w:tc>
      </w:tr>
      <w:tr w:rsidR="00D64E1F" w:rsidRPr="00CE1210" w14:paraId="7100F359" w14:textId="77777777" w:rsidTr="00D64E1F">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14:paraId="12D90813"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7</w:t>
            </w:r>
          </w:p>
        </w:tc>
        <w:tc>
          <w:tcPr>
            <w:tcW w:w="2070" w:type="dxa"/>
            <w:shd w:val="clear" w:color="auto" w:fill="auto"/>
          </w:tcPr>
          <w:p w14:paraId="2B17694A"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Number of fruits per cluster</w:t>
            </w:r>
          </w:p>
        </w:tc>
        <w:tc>
          <w:tcPr>
            <w:tcW w:w="810" w:type="dxa"/>
            <w:shd w:val="clear" w:color="auto" w:fill="auto"/>
          </w:tcPr>
          <w:p w14:paraId="3C2F120D"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2.95</w:t>
            </w:r>
          </w:p>
        </w:tc>
        <w:tc>
          <w:tcPr>
            <w:tcW w:w="1170" w:type="dxa"/>
            <w:shd w:val="clear" w:color="auto" w:fill="auto"/>
          </w:tcPr>
          <w:p w14:paraId="74D45237"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1.00-6.80</w:t>
            </w:r>
          </w:p>
        </w:tc>
        <w:tc>
          <w:tcPr>
            <w:tcW w:w="720" w:type="dxa"/>
            <w:shd w:val="clear" w:color="auto" w:fill="auto"/>
          </w:tcPr>
          <w:p w14:paraId="1062EB7D"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33.88</w:t>
            </w:r>
          </w:p>
        </w:tc>
        <w:tc>
          <w:tcPr>
            <w:tcW w:w="630" w:type="dxa"/>
            <w:shd w:val="clear" w:color="auto" w:fill="auto"/>
          </w:tcPr>
          <w:p w14:paraId="3DF0D647"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34.16</w:t>
            </w:r>
          </w:p>
        </w:tc>
        <w:tc>
          <w:tcPr>
            <w:tcW w:w="1170" w:type="dxa"/>
            <w:shd w:val="clear" w:color="auto" w:fill="auto"/>
          </w:tcPr>
          <w:p w14:paraId="5B5940A7"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98.36</w:t>
            </w:r>
          </w:p>
        </w:tc>
        <w:tc>
          <w:tcPr>
            <w:tcW w:w="630" w:type="dxa"/>
            <w:shd w:val="clear" w:color="auto" w:fill="auto"/>
          </w:tcPr>
          <w:p w14:paraId="0A121EDD"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2.04</w:t>
            </w:r>
          </w:p>
        </w:tc>
        <w:tc>
          <w:tcPr>
            <w:tcW w:w="1350" w:type="dxa"/>
            <w:shd w:val="clear" w:color="auto" w:fill="auto"/>
          </w:tcPr>
          <w:p w14:paraId="7436AFBE"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69.22</w:t>
            </w:r>
          </w:p>
        </w:tc>
      </w:tr>
      <w:tr w:rsidR="00D64E1F" w:rsidRPr="00CE1210" w14:paraId="5609F110" w14:textId="77777777" w:rsidTr="00D64E1F">
        <w:trPr>
          <w:trHeight w:val="306"/>
        </w:trPr>
        <w:tc>
          <w:tcPr>
            <w:cnfStyle w:val="001000000000" w:firstRow="0" w:lastRow="0" w:firstColumn="1" w:lastColumn="0" w:oddVBand="0" w:evenVBand="0" w:oddHBand="0" w:evenHBand="0" w:firstRowFirstColumn="0" w:firstRowLastColumn="0" w:lastRowFirstColumn="0" w:lastRowLastColumn="0"/>
            <w:tcW w:w="648" w:type="dxa"/>
          </w:tcPr>
          <w:p w14:paraId="4C8489C1"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8</w:t>
            </w:r>
          </w:p>
        </w:tc>
        <w:tc>
          <w:tcPr>
            <w:tcW w:w="2070" w:type="dxa"/>
          </w:tcPr>
          <w:p w14:paraId="13A584A9"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Number of fruits per plant</w:t>
            </w:r>
          </w:p>
        </w:tc>
        <w:tc>
          <w:tcPr>
            <w:tcW w:w="810" w:type="dxa"/>
          </w:tcPr>
          <w:p w14:paraId="4FDF0F2D"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69.35</w:t>
            </w:r>
          </w:p>
        </w:tc>
        <w:tc>
          <w:tcPr>
            <w:tcW w:w="1170" w:type="dxa"/>
          </w:tcPr>
          <w:p w14:paraId="3B560BA3"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18.13-120.53</w:t>
            </w:r>
          </w:p>
        </w:tc>
        <w:tc>
          <w:tcPr>
            <w:tcW w:w="720" w:type="dxa"/>
          </w:tcPr>
          <w:p w14:paraId="6F094155"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34.24</w:t>
            </w:r>
          </w:p>
        </w:tc>
        <w:tc>
          <w:tcPr>
            <w:tcW w:w="630" w:type="dxa"/>
          </w:tcPr>
          <w:p w14:paraId="511C40E8"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36.11</w:t>
            </w:r>
          </w:p>
        </w:tc>
        <w:tc>
          <w:tcPr>
            <w:tcW w:w="1170" w:type="dxa"/>
          </w:tcPr>
          <w:p w14:paraId="43F2D4D4"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89.91</w:t>
            </w:r>
          </w:p>
        </w:tc>
        <w:tc>
          <w:tcPr>
            <w:tcW w:w="630" w:type="dxa"/>
          </w:tcPr>
          <w:p w14:paraId="55DBACF8"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46.38</w:t>
            </w:r>
          </w:p>
        </w:tc>
        <w:tc>
          <w:tcPr>
            <w:tcW w:w="1350" w:type="dxa"/>
          </w:tcPr>
          <w:p w14:paraId="67878BC5"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66.88</w:t>
            </w:r>
          </w:p>
        </w:tc>
      </w:tr>
      <w:tr w:rsidR="00D64E1F" w:rsidRPr="00CE1210" w14:paraId="0B7DCE1A" w14:textId="77777777" w:rsidTr="00D64E1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14:paraId="5671CD40"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9</w:t>
            </w:r>
          </w:p>
        </w:tc>
        <w:tc>
          <w:tcPr>
            <w:tcW w:w="2070" w:type="dxa"/>
            <w:shd w:val="clear" w:color="auto" w:fill="auto"/>
          </w:tcPr>
          <w:p w14:paraId="66DBF34E"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Days to first harvest</w:t>
            </w:r>
          </w:p>
        </w:tc>
        <w:tc>
          <w:tcPr>
            <w:tcW w:w="810" w:type="dxa"/>
            <w:shd w:val="clear" w:color="auto" w:fill="auto"/>
          </w:tcPr>
          <w:p w14:paraId="1F11D61F"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74.75</w:t>
            </w:r>
          </w:p>
        </w:tc>
        <w:tc>
          <w:tcPr>
            <w:tcW w:w="1170" w:type="dxa"/>
            <w:shd w:val="clear" w:color="auto" w:fill="auto"/>
          </w:tcPr>
          <w:p w14:paraId="0A50347D"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65.00-83.67</w:t>
            </w:r>
          </w:p>
        </w:tc>
        <w:tc>
          <w:tcPr>
            <w:tcW w:w="720" w:type="dxa"/>
            <w:shd w:val="clear" w:color="auto" w:fill="auto"/>
          </w:tcPr>
          <w:p w14:paraId="41FA4EFD"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8.10</w:t>
            </w:r>
          </w:p>
        </w:tc>
        <w:tc>
          <w:tcPr>
            <w:tcW w:w="630" w:type="dxa"/>
            <w:shd w:val="clear" w:color="auto" w:fill="auto"/>
          </w:tcPr>
          <w:p w14:paraId="3AB526DD"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8.31</w:t>
            </w:r>
          </w:p>
        </w:tc>
        <w:tc>
          <w:tcPr>
            <w:tcW w:w="1170" w:type="dxa"/>
            <w:shd w:val="clear" w:color="auto" w:fill="auto"/>
          </w:tcPr>
          <w:p w14:paraId="52A0B5CA"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95.01</w:t>
            </w:r>
          </w:p>
        </w:tc>
        <w:tc>
          <w:tcPr>
            <w:tcW w:w="630" w:type="dxa"/>
            <w:shd w:val="clear" w:color="auto" w:fill="auto"/>
          </w:tcPr>
          <w:p w14:paraId="7A6AE77D"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12.15</w:t>
            </w:r>
          </w:p>
        </w:tc>
        <w:tc>
          <w:tcPr>
            <w:tcW w:w="1350" w:type="dxa"/>
            <w:shd w:val="clear" w:color="auto" w:fill="auto"/>
          </w:tcPr>
          <w:p w14:paraId="723F8FD5"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16.26</w:t>
            </w:r>
          </w:p>
        </w:tc>
      </w:tr>
      <w:tr w:rsidR="00D64E1F" w:rsidRPr="00CE1210" w14:paraId="0658B0FC" w14:textId="77777777" w:rsidTr="00D64E1F">
        <w:trPr>
          <w:trHeight w:val="252"/>
        </w:trPr>
        <w:tc>
          <w:tcPr>
            <w:cnfStyle w:val="001000000000" w:firstRow="0" w:lastRow="0" w:firstColumn="1" w:lastColumn="0" w:oddVBand="0" w:evenVBand="0" w:oddHBand="0" w:evenHBand="0" w:firstRowFirstColumn="0" w:firstRowLastColumn="0" w:lastRowFirstColumn="0" w:lastRowLastColumn="0"/>
            <w:tcW w:w="648" w:type="dxa"/>
          </w:tcPr>
          <w:p w14:paraId="74586853"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10</w:t>
            </w:r>
          </w:p>
        </w:tc>
        <w:tc>
          <w:tcPr>
            <w:tcW w:w="2070" w:type="dxa"/>
          </w:tcPr>
          <w:p w14:paraId="7EA730C9"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Fruit volume (cc)</w:t>
            </w:r>
          </w:p>
        </w:tc>
        <w:tc>
          <w:tcPr>
            <w:tcW w:w="810" w:type="dxa"/>
          </w:tcPr>
          <w:p w14:paraId="6F0779F1"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108.86</w:t>
            </w:r>
          </w:p>
        </w:tc>
        <w:tc>
          <w:tcPr>
            <w:tcW w:w="1170" w:type="dxa"/>
          </w:tcPr>
          <w:p w14:paraId="0CDDF430"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34.33-213.00</w:t>
            </w:r>
          </w:p>
        </w:tc>
        <w:tc>
          <w:tcPr>
            <w:tcW w:w="720" w:type="dxa"/>
          </w:tcPr>
          <w:p w14:paraId="39ED7CA0"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41.82</w:t>
            </w:r>
          </w:p>
        </w:tc>
        <w:tc>
          <w:tcPr>
            <w:tcW w:w="630" w:type="dxa"/>
          </w:tcPr>
          <w:p w14:paraId="66D2DFE3"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42.12</w:t>
            </w:r>
          </w:p>
        </w:tc>
        <w:tc>
          <w:tcPr>
            <w:tcW w:w="1170" w:type="dxa"/>
          </w:tcPr>
          <w:p w14:paraId="42E3F888"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98.6</w:t>
            </w:r>
          </w:p>
        </w:tc>
        <w:tc>
          <w:tcPr>
            <w:tcW w:w="630" w:type="dxa"/>
          </w:tcPr>
          <w:p w14:paraId="3EC256EB"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93.12</w:t>
            </w:r>
          </w:p>
        </w:tc>
        <w:tc>
          <w:tcPr>
            <w:tcW w:w="1350" w:type="dxa"/>
          </w:tcPr>
          <w:p w14:paraId="408D4339"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85.54</w:t>
            </w:r>
          </w:p>
        </w:tc>
      </w:tr>
      <w:tr w:rsidR="00D64E1F" w:rsidRPr="00CE1210" w14:paraId="08E61565" w14:textId="77777777" w:rsidTr="00D64E1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14:paraId="138A6DC5"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11</w:t>
            </w:r>
          </w:p>
        </w:tc>
        <w:tc>
          <w:tcPr>
            <w:tcW w:w="2070" w:type="dxa"/>
            <w:shd w:val="clear" w:color="auto" w:fill="auto"/>
          </w:tcPr>
          <w:p w14:paraId="40A1D736"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Fruit diameter (cm)</w:t>
            </w:r>
          </w:p>
        </w:tc>
        <w:tc>
          <w:tcPr>
            <w:tcW w:w="810" w:type="dxa"/>
            <w:shd w:val="clear" w:color="auto" w:fill="auto"/>
          </w:tcPr>
          <w:p w14:paraId="1BCA18BF"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4.55</w:t>
            </w:r>
          </w:p>
        </w:tc>
        <w:tc>
          <w:tcPr>
            <w:tcW w:w="1170" w:type="dxa"/>
            <w:shd w:val="clear" w:color="auto" w:fill="auto"/>
          </w:tcPr>
          <w:p w14:paraId="332420F8"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2.66-7.72</w:t>
            </w:r>
          </w:p>
        </w:tc>
        <w:tc>
          <w:tcPr>
            <w:tcW w:w="720" w:type="dxa"/>
            <w:shd w:val="clear" w:color="auto" w:fill="auto"/>
          </w:tcPr>
          <w:p w14:paraId="0C118BCF"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26.76</w:t>
            </w:r>
          </w:p>
        </w:tc>
        <w:tc>
          <w:tcPr>
            <w:tcW w:w="630" w:type="dxa"/>
            <w:shd w:val="clear" w:color="auto" w:fill="auto"/>
          </w:tcPr>
          <w:p w14:paraId="182D4324"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27.31</w:t>
            </w:r>
          </w:p>
        </w:tc>
        <w:tc>
          <w:tcPr>
            <w:tcW w:w="1170" w:type="dxa"/>
            <w:shd w:val="clear" w:color="auto" w:fill="auto"/>
          </w:tcPr>
          <w:p w14:paraId="1B7585BC"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96.01</w:t>
            </w:r>
          </w:p>
        </w:tc>
        <w:tc>
          <w:tcPr>
            <w:tcW w:w="630" w:type="dxa"/>
            <w:shd w:val="clear" w:color="auto" w:fill="auto"/>
          </w:tcPr>
          <w:p w14:paraId="069845FB"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2.45</w:t>
            </w:r>
          </w:p>
        </w:tc>
        <w:tc>
          <w:tcPr>
            <w:tcW w:w="1350" w:type="dxa"/>
            <w:shd w:val="clear" w:color="auto" w:fill="auto"/>
          </w:tcPr>
          <w:p w14:paraId="1AC16901"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54.01</w:t>
            </w:r>
          </w:p>
        </w:tc>
      </w:tr>
      <w:tr w:rsidR="00D64E1F" w:rsidRPr="00CE1210" w14:paraId="0205E6CB" w14:textId="77777777" w:rsidTr="00D64E1F">
        <w:trPr>
          <w:trHeight w:val="270"/>
        </w:trPr>
        <w:tc>
          <w:tcPr>
            <w:cnfStyle w:val="001000000000" w:firstRow="0" w:lastRow="0" w:firstColumn="1" w:lastColumn="0" w:oddVBand="0" w:evenVBand="0" w:oddHBand="0" w:evenHBand="0" w:firstRowFirstColumn="0" w:firstRowLastColumn="0" w:lastRowFirstColumn="0" w:lastRowLastColumn="0"/>
            <w:tcW w:w="648" w:type="dxa"/>
          </w:tcPr>
          <w:p w14:paraId="7DCF88D9"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12</w:t>
            </w:r>
          </w:p>
        </w:tc>
        <w:tc>
          <w:tcPr>
            <w:tcW w:w="2070" w:type="dxa"/>
          </w:tcPr>
          <w:p w14:paraId="1DC1DFC6"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Average fruit weight (g)</w:t>
            </w:r>
          </w:p>
        </w:tc>
        <w:tc>
          <w:tcPr>
            <w:tcW w:w="810" w:type="dxa"/>
          </w:tcPr>
          <w:p w14:paraId="31B27AFC"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65.13</w:t>
            </w:r>
          </w:p>
        </w:tc>
        <w:tc>
          <w:tcPr>
            <w:tcW w:w="1170" w:type="dxa"/>
          </w:tcPr>
          <w:p w14:paraId="2724D709"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30.13-118.07</w:t>
            </w:r>
          </w:p>
        </w:tc>
        <w:tc>
          <w:tcPr>
            <w:tcW w:w="720" w:type="dxa"/>
          </w:tcPr>
          <w:p w14:paraId="4B5A44AB"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35.32</w:t>
            </w:r>
          </w:p>
        </w:tc>
        <w:tc>
          <w:tcPr>
            <w:tcW w:w="630" w:type="dxa"/>
          </w:tcPr>
          <w:p w14:paraId="61092A23"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36.40</w:t>
            </w:r>
          </w:p>
        </w:tc>
        <w:tc>
          <w:tcPr>
            <w:tcW w:w="1170" w:type="dxa"/>
          </w:tcPr>
          <w:p w14:paraId="37A26EA3"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94.14</w:t>
            </w:r>
          </w:p>
        </w:tc>
        <w:tc>
          <w:tcPr>
            <w:tcW w:w="630" w:type="dxa"/>
          </w:tcPr>
          <w:p w14:paraId="6D7B2899"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45.99</w:t>
            </w:r>
          </w:p>
        </w:tc>
        <w:tc>
          <w:tcPr>
            <w:tcW w:w="1350" w:type="dxa"/>
          </w:tcPr>
          <w:p w14:paraId="28D15711"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70.60</w:t>
            </w:r>
          </w:p>
        </w:tc>
      </w:tr>
      <w:tr w:rsidR="00D64E1F" w:rsidRPr="00CE1210" w14:paraId="411DF0E0" w14:textId="77777777" w:rsidTr="00D64E1F">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14:paraId="3773B564"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13</w:t>
            </w:r>
          </w:p>
        </w:tc>
        <w:tc>
          <w:tcPr>
            <w:tcW w:w="2070" w:type="dxa"/>
            <w:shd w:val="clear" w:color="auto" w:fill="auto"/>
          </w:tcPr>
          <w:p w14:paraId="6D028748"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Root-knot index</w:t>
            </w:r>
          </w:p>
        </w:tc>
        <w:tc>
          <w:tcPr>
            <w:tcW w:w="810" w:type="dxa"/>
            <w:shd w:val="clear" w:color="auto" w:fill="auto"/>
          </w:tcPr>
          <w:p w14:paraId="150CD0B7"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108.42</w:t>
            </w:r>
          </w:p>
        </w:tc>
        <w:tc>
          <w:tcPr>
            <w:tcW w:w="1170" w:type="dxa"/>
            <w:shd w:val="clear" w:color="auto" w:fill="auto"/>
          </w:tcPr>
          <w:p w14:paraId="27AFC430"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23.00-186.33</w:t>
            </w:r>
          </w:p>
        </w:tc>
        <w:tc>
          <w:tcPr>
            <w:tcW w:w="720" w:type="dxa"/>
            <w:shd w:val="clear" w:color="auto" w:fill="auto"/>
          </w:tcPr>
          <w:p w14:paraId="1D0638C3"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42.11</w:t>
            </w:r>
          </w:p>
        </w:tc>
        <w:tc>
          <w:tcPr>
            <w:tcW w:w="630" w:type="dxa"/>
            <w:shd w:val="clear" w:color="auto" w:fill="auto"/>
          </w:tcPr>
          <w:p w14:paraId="12BC43B8"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42.49</w:t>
            </w:r>
          </w:p>
        </w:tc>
        <w:tc>
          <w:tcPr>
            <w:tcW w:w="1170" w:type="dxa"/>
            <w:shd w:val="clear" w:color="auto" w:fill="auto"/>
          </w:tcPr>
          <w:p w14:paraId="5B7EAA22"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98.20</w:t>
            </w:r>
          </w:p>
        </w:tc>
        <w:tc>
          <w:tcPr>
            <w:tcW w:w="630" w:type="dxa"/>
            <w:shd w:val="clear" w:color="auto" w:fill="auto"/>
          </w:tcPr>
          <w:p w14:paraId="2551AE59"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93.20</w:t>
            </w:r>
          </w:p>
        </w:tc>
        <w:tc>
          <w:tcPr>
            <w:tcW w:w="1350" w:type="dxa"/>
            <w:shd w:val="clear" w:color="auto" w:fill="auto"/>
          </w:tcPr>
          <w:p w14:paraId="499A578F"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85.96</w:t>
            </w:r>
          </w:p>
        </w:tc>
      </w:tr>
      <w:tr w:rsidR="00D64E1F" w:rsidRPr="00CE1210" w14:paraId="47D06AD8" w14:textId="77777777" w:rsidTr="00D64E1F">
        <w:trPr>
          <w:trHeight w:val="306"/>
        </w:trPr>
        <w:tc>
          <w:tcPr>
            <w:cnfStyle w:val="001000000000" w:firstRow="0" w:lastRow="0" w:firstColumn="1" w:lastColumn="0" w:oddVBand="0" w:evenVBand="0" w:oddHBand="0" w:evenHBand="0" w:firstRowFirstColumn="0" w:firstRowLastColumn="0" w:lastRowFirstColumn="0" w:lastRowLastColumn="0"/>
            <w:tcW w:w="648" w:type="dxa"/>
          </w:tcPr>
          <w:p w14:paraId="34AE98BE"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14</w:t>
            </w:r>
          </w:p>
        </w:tc>
        <w:tc>
          <w:tcPr>
            <w:tcW w:w="2070" w:type="dxa"/>
          </w:tcPr>
          <w:p w14:paraId="292682EC"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Moisture content (%)</w:t>
            </w:r>
          </w:p>
        </w:tc>
        <w:tc>
          <w:tcPr>
            <w:tcW w:w="810" w:type="dxa"/>
          </w:tcPr>
          <w:p w14:paraId="45795FAA"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90.49</w:t>
            </w:r>
          </w:p>
        </w:tc>
        <w:tc>
          <w:tcPr>
            <w:tcW w:w="1170" w:type="dxa"/>
          </w:tcPr>
          <w:p w14:paraId="5C57E4FB"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89.26-92.65</w:t>
            </w:r>
          </w:p>
        </w:tc>
        <w:tc>
          <w:tcPr>
            <w:tcW w:w="720" w:type="dxa"/>
          </w:tcPr>
          <w:p w14:paraId="32F8646D"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0.68</w:t>
            </w:r>
          </w:p>
        </w:tc>
        <w:tc>
          <w:tcPr>
            <w:tcW w:w="630" w:type="dxa"/>
          </w:tcPr>
          <w:p w14:paraId="7E316B02"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1.38</w:t>
            </w:r>
          </w:p>
        </w:tc>
        <w:tc>
          <w:tcPr>
            <w:tcW w:w="1170" w:type="dxa"/>
          </w:tcPr>
          <w:p w14:paraId="48E31B85"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63.12</w:t>
            </w:r>
          </w:p>
        </w:tc>
        <w:tc>
          <w:tcPr>
            <w:tcW w:w="630" w:type="dxa"/>
          </w:tcPr>
          <w:p w14:paraId="4BA39774"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0.63</w:t>
            </w:r>
          </w:p>
        </w:tc>
        <w:tc>
          <w:tcPr>
            <w:tcW w:w="1350" w:type="dxa"/>
          </w:tcPr>
          <w:p w14:paraId="5DF62AAF"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0.70</w:t>
            </w:r>
          </w:p>
        </w:tc>
      </w:tr>
      <w:tr w:rsidR="00D64E1F" w:rsidRPr="00CE1210" w14:paraId="5A776111" w14:textId="77777777" w:rsidTr="00D64E1F">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648" w:type="dxa"/>
            <w:shd w:val="clear" w:color="auto" w:fill="auto"/>
          </w:tcPr>
          <w:p w14:paraId="219FB032"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lastRenderedPageBreak/>
              <w:t>15</w:t>
            </w:r>
          </w:p>
        </w:tc>
        <w:tc>
          <w:tcPr>
            <w:tcW w:w="2070" w:type="dxa"/>
            <w:shd w:val="clear" w:color="auto" w:fill="auto"/>
          </w:tcPr>
          <w:p w14:paraId="06372BD5"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Total phenol content (mg/100g)</w:t>
            </w:r>
          </w:p>
        </w:tc>
        <w:tc>
          <w:tcPr>
            <w:tcW w:w="810" w:type="dxa"/>
            <w:shd w:val="clear" w:color="auto" w:fill="auto"/>
          </w:tcPr>
          <w:p w14:paraId="0D9950AA"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369.16</w:t>
            </w:r>
          </w:p>
        </w:tc>
        <w:tc>
          <w:tcPr>
            <w:tcW w:w="1170" w:type="dxa"/>
            <w:shd w:val="clear" w:color="auto" w:fill="auto"/>
          </w:tcPr>
          <w:p w14:paraId="4DB84BC5"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216.70-542.92</w:t>
            </w:r>
          </w:p>
        </w:tc>
        <w:tc>
          <w:tcPr>
            <w:tcW w:w="720" w:type="dxa"/>
            <w:shd w:val="clear" w:color="auto" w:fill="auto"/>
          </w:tcPr>
          <w:p w14:paraId="323F9F61"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22.34</w:t>
            </w:r>
          </w:p>
        </w:tc>
        <w:tc>
          <w:tcPr>
            <w:tcW w:w="630" w:type="dxa"/>
            <w:shd w:val="clear" w:color="auto" w:fill="auto"/>
          </w:tcPr>
          <w:p w14:paraId="4DD22BC5"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22.47</w:t>
            </w:r>
          </w:p>
        </w:tc>
        <w:tc>
          <w:tcPr>
            <w:tcW w:w="1170" w:type="dxa"/>
            <w:shd w:val="clear" w:color="auto" w:fill="auto"/>
          </w:tcPr>
          <w:p w14:paraId="12E6151D"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98.86</w:t>
            </w:r>
          </w:p>
        </w:tc>
        <w:tc>
          <w:tcPr>
            <w:tcW w:w="630" w:type="dxa"/>
            <w:shd w:val="clear" w:color="auto" w:fill="auto"/>
          </w:tcPr>
          <w:p w14:paraId="1FC4A645"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168.93</w:t>
            </w:r>
          </w:p>
        </w:tc>
        <w:tc>
          <w:tcPr>
            <w:tcW w:w="1350" w:type="dxa"/>
            <w:shd w:val="clear" w:color="auto" w:fill="auto"/>
          </w:tcPr>
          <w:p w14:paraId="562B6966" w14:textId="77777777" w:rsidR="00D64E1F" w:rsidRPr="00CE1210" w:rsidRDefault="00D64E1F" w:rsidP="00D64E1F">
            <w:pPr>
              <w:pStyle w:val="BodyText3"/>
              <w:tabs>
                <w:tab w:val="left" w:pos="1080"/>
              </w:tabs>
              <w:ind w:left="1080" w:hanging="1080"/>
              <w:jc w:val="both"/>
              <w:cnfStyle w:val="000000100000" w:firstRow="0" w:lastRow="0" w:firstColumn="0" w:lastColumn="0" w:oddVBand="0" w:evenVBand="0" w:oddHBand="1"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45.76</w:t>
            </w:r>
          </w:p>
        </w:tc>
      </w:tr>
      <w:tr w:rsidR="00D64E1F" w:rsidRPr="00CE1210" w14:paraId="072AF8D4" w14:textId="77777777" w:rsidTr="00D64E1F">
        <w:trPr>
          <w:trHeight w:val="256"/>
        </w:trPr>
        <w:tc>
          <w:tcPr>
            <w:cnfStyle w:val="001000000000" w:firstRow="0" w:lastRow="0" w:firstColumn="1" w:lastColumn="0" w:oddVBand="0" w:evenVBand="0" w:oddHBand="0" w:evenHBand="0" w:firstRowFirstColumn="0" w:firstRowLastColumn="0" w:lastRowFirstColumn="0" w:lastRowLastColumn="0"/>
            <w:tcW w:w="648" w:type="dxa"/>
          </w:tcPr>
          <w:p w14:paraId="30D3C269" w14:textId="77777777" w:rsidR="00D64E1F" w:rsidRPr="00CE1210" w:rsidRDefault="00D64E1F" w:rsidP="00D64E1F">
            <w:pPr>
              <w:pStyle w:val="BodyText3"/>
              <w:tabs>
                <w:tab w:val="left" w:pos="1080"/>
              </w:tabs>
              <w:ind w:left="1080" w:hanging="1080"/>
              <w:jc w:val="both"/>
              <w:rPr>
                <w:rFonts w:ascii="Arial" w:hAnsi="Arial"/>
                <w:iCs/>
                <w:sz w:val="20"/>
                <w:vertAlign w:val="subscript"/>
                <w:lang w:val="en-IN"/>
              </w:rPr>
            </w:pPr>
            <w:r w:rsidRPr="00CE1210">
              <w:rPr>
                <w:rFonts w:ascii="Arial" w:hAnsi="Arial"/>
                <w:iCs/>
                <w:sz w:val="20"/>
                <w:vertAlign w:val="subscript"/>
                <w:lang w:val="en-IN"/>
              </w:rPr>
              <w:t>16</w:t>
            </w:r>
          </w:p>
        </w:tc>
        <w:tc>
          <w:tcPr>
            <w:tcW w:w="2070" w:type="dxa"/>
          </w:tcPr>
          <w:p w14:paraId="46D60BF0"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Fruit yield per plant (kg)</w:t>
            </w:r>
          </w:p>
        </w:tc>
        <w:tc>
          <w:tcPr>
            <w:tcW w:w="810" w:type="dxa"/>
          </w:tcPr>
          <w:p w14:paraId="1C94CF34"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4.25</w:t>
            </w:r>
          </w:p>
        </w:tc>
        <w:tc>
          <w:tcPr>
            <w:tcW w:w="1170" w:type="dxa"/>
          </w:tcPr>
          <w:p w14:paraId="13DDCFA4"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1.18-7.38</w:t>
            </w:r>
          </w:p>
        </w:tc>
        <w:tc>
          <w:tcPr>
            <w:tcW w:w="720" w:type="dxa"/>
          </w:tcPr>
          <w:p w14:paraId="3F738093"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35.30</w:t>
            </w:r>
          </w:p>
        </w:tc>
        <w:tc>
          <w:tcPr>
            <w:tcW w:w="630" w:type="dxa"/>
          </w:tcPr>
          <w:p w14:paraId="4D185182"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39.06</w:t>
            </w:r>
          </w:p>
        </w:tc>
        <w:tc>
          <w:tcPr>
            <w:tcW w:w="1170" w:type="dxa"/>
          </w:tcPr>
          <w:p w14:paraId="38FBB45B"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81.70</w:t>
            </w:r>
          </w:p>
        </w:tc>
        <w:tc>
          <w:tcPr>
            <w:tcW w:w="630" w:type="dxa"/>
          </w:tcPr>
          <w:p w14:paraId="2B42CF84"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2.79</w:t>
            </w:r>
          </w:p>
        </w:tc>
        <w:tc>
          <w:tcPr>
            <w:tcW w:w="1350" w:type="dxa"/>
          </w:tcPr>
          <w:p w14:paraId="3D1FC73B" w14:textId="77777777" w:rsidR="00D64E1F" w:rsidRPr="00CE1210" w:rsidRDefault="00D64E1F" w:rsidP="00D64E1F">
            <w:pPr>
              <w:pStyle w:val="BodyText3"/>
              <w:tabs>
                <w:tab w:val="left" w:pos="1080"/>
              </w:tabs>
              <w:ind w:left="1080" w:hanging="1080"/>
              <w:jc w:val="both"/>
              <w:cnfStyle w:val="000000000000" w:firstRow="0" w:lastRow="0" w:firstColumn="0" w:lastColumn="0" w:oddVBand="0" w:evenVBand="0" w:oddHBand="0" w:evenHBand="0" w:firstRowFirstColumn="0" w:firstRowLastColumn="0" w:lastRowFirstColumn="0" w:lastRowLastColumn="0"/>
              <w:rPr>
                <w:rFonts w:ascii="Arial" w:hAnsi="Arial"/>
                <w:iCs/>
                <w:sz w:val="20"/>
                <w:vertAlign w:val="subscript"/>
                <w:lang w:val="en-IN"/>
              </w:rPr>
            </w:pPr>
            <w:r w:rsidRPr="00CE1210">
              <w:rPr>
                <w:rFonts w:ascii="Arial" w:hAnsi="Arial"/>
                <w:iCs/>
                <w:sz w:val="20"/>
                <w:vertAlign w:val="subscript"/>
                <w:lang w:val="en-IN"/>
              </w:rPr>
              <w:t>65.73</w:t>
            </w:r>
          </w:p>
        </w:tc>
      </w:tr>
    </w:tbl>
    <w:p w14:paraId="530C218E" w14:textId="77777777" w:rsidR="00D375D5" w:rsidRPr="00CE1210" w:rsidRDefault="00D375D5" w:rsidP="00441B6F">
      <w:pPr>
        <w:pStyle w:val="BodyText3"/>
        <w:tabs>
          <w:tab w:val="left" w:pos="1080"/>
        </w:tabs>
        <w:spacing w:after="0"/>
        <w:ind w:left="1080" w:hanging="1080"/>
        <w:jc w:val="both"/>
        <w:rPr>
          <w:rFonts w:ascii="Arial" w:hAnsi="Arial"/>
          <w:b/>
          <w:sz w:val="20"/>
          <w:szCs w:val="20"/>
          <w:lang w:val="en-IN"/>
        </w:rPr>
      </w:pPr>
    </w:p>
    <w:p w14:paraId="17408648"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16C23B1" w14:textId="77777777" w:rsidR="00790ADA" w:rsidRPr="00FB3A86" w:rsidRDefault="00790ADA" w:rsidP="00441B6F">
      <w:pPr>
        <w:pStyle w:val="ConcHead"/>
        <w:spacing w:after="0"/>
        <w:jc w:val="both"/>
        <w:rPr>
          <w:rFonts w:ascii="Arial" w:hAnsi="Arial" w:cs="Arial"/>
        </w:rPr>
      </w:pPr>
    </w:p>
    <w:p w14:paraId="473E740A" w14:textId="6F878187" w:rsidR="00FA4C8B" w:rsidRPr="00FA4C8B" w:rsidRDefault="00FA4C8B" w:rsidP="00FA4C8B">
      <w:pPr>
        <w:jc w:val="both"/>
        <w:rPr>
          <w:rFonts w:ascii="Arial" w:hAnsi="Arial" w:cs="Arial"/>
        </w:rPr>
      </w:pPr>
      <w:r w:rsidRPr="00FA4C8B">
        <w:rPr>
          <w:rFonts w:ascii="Arial" w:hAnsi="Arial" w:cs="Arial"/>
        </w:rPr>
        <w:t xml:space="preserve">The present investigation revealed substantial genetic variability among the evaluated brinjal genotypes, indicating their potential for use in crop improvement </w:t>
      </w:r>
      <w:proofErr w:type="spellStart"/>
      <w:r w:rsidRPr="00FA4C8B">
        <w:rPr>
          <w:rFonts w:ascii="Arial" w:hAnsi="Arial" w:cs="Arial"/>
        </w:rPr>
        <w:t>programmes</w:t>
      </w:r>
      <w:proofErr w:type="spellEnd"/>
      <w:r w:rsidRPr="00FA4C8B">
        <w:rPr>
          <w:rFonts w:ascii="Arial" w:hAnsi="Arial" w:cs="Arial"/>
        </w:rPr>
        <w:t>. Analysis of variance demonstrated highly significant differences for all the studied traits, confirming the existence of adequate variability within the experimental material. In general, the phenotypic coefficient of variation (PCV) exceeded the genotypic coefficient of variation (GCV), suggesting the influence of environmental factors on trait expression. However, most of the characters exhibited high heritability coupled with high genetic advance, indicating the predominance of additive gene action and the effectiveness of direct selection for these traits.</w:t>
      </w:r>
      <w:r>
        <w:rPr>
          <w:rFonts w:ascii="Arial" w:hAnsi="Arial" w:cs="Arial"/>
        </w:rPr>
        <w:t xml:space="preserve"> </w:t>
      </w:r>
      <w:r w:rsidRPr="00FA4C8B">
        <w:rPr>
          <w:rFonts w:ascii="Arial" w:hAnsi="Arial" w:cs="Arial"/>
        </w:rPr>
        <w:t xml:space="preserve">It is important to emphasize that these findings are specific to the semi-arid conditions under which the experiment was conducted. Therefore, validation across diverse </w:t>
      </w:r>
      <w:proofErr w:type="spellStart"/>
      <w:r w:rsidRPr="00FA4C8B">
        <w:rPr>
          <w:rFonts w:ascii="Arial" w:hAnsi="Arial" w:cs="Arial"/>
        </w:rPr>
        <w:t>agro</w:t>
      </w:r>
      <w:proofErr w:type="spellEnd"/>
      <w:r w:rsidRPr="00FA4C8B">
        <w:rPr>
          <w:rFonts w:ascii="Arial" w:hAnsi="Arial" w:cs="Arial"/>
        </w:rPr>
        <w:t xml:space="preserve">-ecological environments is essential before extrapolating these results for large-scale breeding </w:t>
      </w:r>
      <w:proofErr w:type="spellStart"/>
      <w:r w:rsidRPr="00FA4C8B">
        <w:rPr>
          <w:rFonts w:ascii="Arial" w:hAnsi="Arial" w:cs="Arial"/>
        </w:rPr>
        <w:t>programmes</w:t>
      </w:r>
      <w:proofErr w:type="spellEnd"/>
      <w:r w:rsidRPr="00FA4C8B">
        <w:rPr>
          <w:rFonts w:ascii="Arial" w:hAnsi="Arial" w:cs="Arial"/>
        </w:rPr>
        <w:t xml:space="preserve"> aimed at developing improved brinjal genotypes.</w:t>
      </w:r>
    </w:p>
    <w:p w14:paraId="1195E76C" w14:textId="77777777" w:rsidR="00083710" w:rsidRDefault="00083710" w:rsidP="00083710">
      <w:pPr>
        <w:jc w:val="both"/>
        <w:rPr>
          <w:rFonts w:ascii="Arial" w:hAnsi="Arial" w:cs="Arial"/>
        </w:rPr>
      </w:pPr>
    </w:p>
    <w:p w14:paraId="30829C17"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1DAAF5B9" w14:textId="77777777" w:rsidR="00860000" w:rsidRPr="00786D36" w:rsidRDefault="00860000" w:rsidP="00441B6F">
      <w:pPr>
        <w:pStyle w:val="ReferHead"/>
        <w:spacing w:after="0"/>
        <w:jc w:val="both"/>
        <w:rPr>
          <w:rFonts w:ascii="Arial" w:hAnsi="Arial" w:cs="Arial"/>
        </w:rPr>
      </w:pPr>
    </w:p>
    <w:p w14:paraId="4A88AFBD" w14:textId="24009A5B" w:rsidR="00371FB6" w:rsidRDefault="00083710" w:rsidP="00441B6F">
      <w:pPr>
        <w:pStyle w:val="ReferHead"/>
        <w:spacing w:after="0"/>
        <w:jc w:val="both"/>
        <w:rPr>
          <w:rFonts w:ascii="Arial" w:hAnsi="Arial" w:cs="Arial"/>
          <w:b w:val="0"/>
          <w:caps w:val="0"/>
          <w:sz w:val="20"/>
        </w:rPr>
      </w:pPr>
      <w:r w:rsidRPr="00083710">
        <w:rPr>
          <w:rFonts w:ascii="Arial" w:hAnsi="Arial" w:cs="Arial"/>
          <w:b w:val="0"/>
          <w:caps w:val="0"/>
          <w:sz w:val="20"/>
        </w:rPr>
        <w:t>Authors have declared that no competing interests exist.</w:t>
      </w:r>
    </w:p>
    <w:p w14:paraId="353EF8A9" w14:textId="487463B4" w:rsidR="00860000" w:rsidRDefault="00860000" w:rsidP="00441B6F">
      <w:pPr>
        <w:pStyle w:val="ReferHead"/>
        <w:spacing w:after="0"/>
        <w:jc w:val="both"/>
        <w:rPr>
          <w:rFonts w:ascii="Arial" w:hAnsi="Arial" w:cs="Arial"/>
        </w:rPr>
      </w:pPr>
    </w:p>
    <w:p w14:paraId="5F9611A9" w14:textId="77777777" w:rsidR="00D3333B" w:rsidRPr="00D3333B" w:rsidRDefault="00D3333B" w:rsidP="00D3333B">
      <w:pPr>
        <w:spacing w:after="200" w:line="276" w:lineRule="auto"/>
        <w:rPr>
          <w:rFonts w:ascii="Calibri" w:eastAsia="Calibri" w:hAnsi="Calibri"/>
          <w:b/>
          <w:kern w:val="2"/>
          <w:sz w:val="22"/>
          <w:szCs w:val="22"/>
        </w:rPr>
      </w:pPr>
      <w:r w:rsidRPr="00D3333B">
        <w:rPr>
          <w:rFonts w:ascii="Calibri" w:eastAsia="Calibri" w:hAnsi="Calibri"/>
          <w:b/>
          <w:kern w:val="2"/>
          <w:sz w:val="22"/>
          <w:szCs w:val="22"/>
        </w:rPr>
        <w:t>Disclaimer (Artificial intelligence)</w:t>
      </w:r>
    </w:p>
    <w:p w14:paraId="1B30572A" w14:textId="77777777" w:rsidR="00D3333B" w:rsidRPr="00D3333B" w:rsidRDefault="00D3333B" w:rsidP="00D3333B">
      <w:pPr>
        <w:spacing w:after="200" w:line="276" w:lineRule="auto"/>
        <w:rPr>
          <w:rFonts w:ascii="Calibri" w:eastAsia="Calibri" w:hAnsi="Calibri"/>
          <w:kern w:val="2"/>
          <w:sz w:val="22"/>
          <w:szCs w:val="22"/>
        </w:rPr>
      </w:pPr>
      <w:r w:rsidRPr="00D3333B">
        <w:rPr>
          <w:rFonts w:ascii="Calibri" w:eastAsia="Calibri" w:hAnsi="Calibri"/>
          <w:kern w:val="2"/>
          <w:sz w:val="22"/>
          <w:szCs w:val="22"/>
        </w:rPr>
        <w:t>Author(s) hereby declare that NO generative AI technologies such as Large Language Models (</w:t>
      </w:r>
      <w:proofErr w:type="spellStart"/>
      <w:r w:rsidRPr="00D3333B">
        <w:rPr>
          <w:rFonts w:ascii="Calibri" w:eastAsia="Calibri" w:hAnsi="Calibri"/>
          <w:kern w:val="2"/>
          <w:sz w:val="22"/>
          <w:szCs w:val="22"/>
        </w:rPr>
        <w:t>ChatGPT</w:t>
      </w:r>
      <w:proofErr w:type="spellEnd"/>
      <w:r w:rsidRPr="00D3333B">
        <w:rPr>
          <w:rFonts w:ascii="Calibri" w:eastAsia="Calibri" w:hAnsi="Calibri"/>
          <w:kern w:val="2"/>
          <w:sz w:val="22"/>
          <w:szCs w:val="22"/>
        </w:rPr>
        <w:t xml:space="preserve">, COPILOT, etc.) and text-to-image generators have been used during the writing or editing of this manuscript. </w:t>
      </w:r>
      <w:bookmarkStart w:id="0" w:name="_GoBack"/>
      <w:bookmarkEnd w:id="0"/>
    </w:p>
    <w:p w14:paraId="288CA6C6" w14:textId="77777777" w:rsidR="00D3333B" w:rsidRPr="00D3333B" w:rsidRDefault="00D3333B" w:rsidP="00D3333B">
      <w:pPr>
        <w:spacing w:after="200" w:line="276" w:lineRule="auto"/>
        <w:rPr>
          <w:rFonts w:ascii="Calibri" w:eastAsia="Calibri" w:hAnsi="Calibri"/>
          <w:kern w:val="2"/>
          <w:sz w:val="22"/>
          <w:szCs w:val="22"/>
        </w:rPr>
      </w:pPr>
    </w:p>
    <w:p w14:paraId="3421C3B6" w14:textId="77777777" w:rsidR="00D3333B" w:rsidRDefault="00D3333B" w:rsidP="00441B6F">
      <w:pPr>
        <w:pStyle w:val="ReferHead"/>
        <w:spacing w:after="0"/>
        <w:jc w:val="both"/>
        <w:rPr>
          <w:rFonts w:ascii="Arial" w:hAnsi="Arial" w:cs="Arial"/>
        </w:rPr>
      </w:pPr>
    </w:p>
    <w:p w14:paraId="4BD63B3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4A9B1CC" w14:textId="77777777" w:rsidR="00790ADA" w:rsidRPr="00FB3A86" w:rsidRDefault="00790ADA" w:rsidP="00441B6F">
      <w:pPr>
        <w:pStyle w:val="ReferHead"/>
        <w:spacing w:after="0"/>
        <w:jc w:val="both"/>
        <w:rPr>
          <w:rFonts w:ascii="Arial" w:hAnsi="Arial" w:cs="Arial"/>
        </w:rPr>
      </w:pPr>
    </w:p>
    <w:p w14:paraId="08DAC01E" w14:textId="77777777" w:rsidR="00780B78" w:rsidRPr="00FB7DB9" w:rsidRDefault="00780B78" w:rsidP="00FB7DB9">
      <w:pPr>
        <w:pStyle w:val="Body"/>
        <w:spacing w:after="0"/>
      </w:pPr>
      <w:r w:rsidRPr="00FB7DB9">
        <w:t xml:space="preserve">Barik, S., </w:t>
      </w:r>
      <w:proofErr w:type="spellStart"/>
      <w:r w:rsidRPr="00FB7DB9">
        <w:t>Ponnam</w:t>
      </w:r>
      <w:proofErr w:type="spellEnd"/>
      <w:r w:rsidRPr="00FB7DB9">
        <w:t xml:space="preserve">, N., Acharya, G. C., Singh, T. H., Dash, M., </w:t>
      </w:r>
      <w:proofErr w:type="spellStart"/>
      <w:r w:rsidRPr="00FB7DB9">
        <w:t>Sahu</w:t>
      </w:r>
      <w:proofErr w:type="spellEnd"/>
      <w:r w:rsidRPr="00FB7DB9">
        <w:t>, G. S.</w:t>
      </w:r>
      <w:r>
        <w:t>, &amp;</w:t>
      </w:r>
      <w:r w:rsidRPr="00FB7DB9">
        <w:t xml:space="preserve"> Mahapatra, S. K. (2021). Genetic variability, character association and diversity studies in brinjal (</w:t>
      </w:r>
      <w:r w:rsidRPr="00FB7DB9">
        <w:rPr>
          <w:i/>
          <w:iCs/>
        </w:rPr>
        <w:t xml:space="preserve">Solanum </w:t>
      </w:r>
      <w:proofErr w:type="spellStart"/>
      <w:r w:rsidRPr="00FB7DB9">
        <w:rPr>
          <w:i/>
          <w:iCs/>
        </w:rPr>
        <w:t>melongena</w:t>
      </w:r>
      <w:proofErr w:type="spellEnd"/>
      <w:r w:rsidRPr="00FB7DB9">
        <w:t xml:space="preserve"> L.). Electronic Journal of Plant Breeding, 12(4): 1102-1110.</w:t>
      </w:r>
    </w:p>
    <w:p w14:paraId="4B08E8EF" w14:textId="77777777" w:rsidR="00780B78" w:rsidRPr="00FB7DB9" w:rsidRDefault="00780B78" w:rsidP="00FB7DB9">
      <w:pPr>
        <w:pStyle w:val="Body"/>
        <w:spacing w:after="0"/>
      </w:pPr>
      <w:r w:rsidRPr="00FB7DB9">
        <w:t xml:space="preserve">Burton, G. W. (1952). Quantitative inheritance in grasses. Proc. Int. </w:t>
      </w:r>
      <w:proofErr w:type="spellStart"/>
      <w:r w:rsidRPr="00FB7DB9">
        <w:t>Grassesland</w:t>
      </w:r>
      <w:proofErr w:type="spellEnd"/>
      <w:r w:rsidRPr="00FB7DB9">
        <w:t xml:space="preserve"> cong., 1:277- 283.</w:t>
      </w:r>
    </w:p>
    <w:p w14:paraId="2FDCEED8" w14:textId="77777777" w:rsidR="00780B78" w:rsidRPr="00FB7DB9" w:rsidRDefault="00780B78" w:rsidP="00FB7DB9">
      <w:pPr>
        <w:pStyle w:val="Body"/>
        <w:spacing w:after="0"/>
      </w:pPr>
      <w:r w:rsidRPr="00FB7DB9">
        <w:t xml:space="preserve">Bushra, A., Zakir, H. M., </w:t>
      </w:r>
      <w:proofErr w:type="spellStart"/>
      <w:r w:rsidRPr="00FB7DB9">
        <w:t>Sharmin</w:t>
      </w:r>
      <w:proofErr w:type="spellEnd"/>
      <w:r w:rsidRPr="00FB7DB9">
        <w:t>, S</w:t>
      </w:r>
      <w:r w:rsidRPr="00FB7DB9">
        <w:rPr>
          <w:color w:val="000000" w:themeColor="text1"/>
        </w:rPr>
        <w:t>.,</w:t>
      </w:r>
      <w:r w:rsidRPr="00FB7DB9">
        <w:rPr>
          <w:i/>
          <w:iCs/>
          <w:color w:val="000000" w:themeColor="text1"/>
        </w:rPr>
        <w:t> </w:t>
      </w:r>
      <w:proofErr w:type="spellStart"/>
      <w:r w:rsidR="006D3BC4">
        <w:fldChar w:fldCharType="begin"/>
      </w:r>
      <w:r w:rsidR="006D3BC4">
        <w:instrText xml:space="preserve"> HYPERLINK "https://www.nature.com/articles/s41598-022-17930-5" \l "auth-Q__F_-Quadir-Aff1" </w:instrText>
      </w:r>
      <w:r w:rsidR="006D3BC4">
        <w:fldChar w:fldCharType="separate"/>
      </w:r>
      <w:r w:rsidRPr="00FB7DB9">
        <w:rPr>
          <w:rStyle w:val="Hyperlink"/>
          <w:color w:val="000000" w:themeColor="text1"/>
          <w:u w:val="none"/>
        </w:rPr>
        <w:t>Quadir</w:t>
      </w:r>
      <w:proofErr w:type="spellEnd"/>
      <w:r w:rsidR="006D3BC4">
        <w:rPr>
          <w:rStyle w:val="Hyperlink"/>
          <w:color w:val="000000" w:themeColor="text1"/>
          <w:u w:val="none"/>
        </w:rPr>
        <w:fldChar w:fldCharType="end"/>
      </w:r>
      <w:r w:rsidRPr="00FB7DB9">
        <w:rPr>
          <w:color w:val="000000" w:themeColor="text1"/>
        </w:rPr>
        <w:t>, Q. F., </w:t>
      </w:r>
      <w:hyperlink r:id="rId17" w:anchor="auth-M__H_-Rashid-Aff3" w:history="1">
        <w:r w:rsidRPr="00FB7DB9">
          <w:rPr>
            <w:rStyle w:val="Hyperlink"/>
            <w:color w:val="000000" w:themeColor="text1"/>
            <w:u w:val="none"/>
          </w:rPr>
          <w:t>Rashid</w:t>
        </w:r>
      </w:hyperlink>
      <w:r w:rsidRPr="00FB7DB9">
        <w:rPr>
          <w:color w:val="000000" w:themeColor="text1"/>
        </w:rPr>
        <w:t xml:space="preserve">, M. H., </w:t>
      </w:r>
      <w:hyperlink r:id="rId18" w:anchor="auth-M__S_-Rahman-Aff1" w:history="1">
        <w:r w:rsidRPr="00FB7DB9">
          <w:rPr>
            <w:rStyle w:val="Hyperlink"/>
            <w:color w:val="000000" w:themeColor="text1"/>
            <w:u w:val="none"/>
          </w:rPr>
          <w:t>Rahman</w:t>
        </w:r>
      </w:hyperlink>
      <w:r w:rsidRPr="00FB7DB9">
        <w:rPr>
          <w:color w:val="000000" w:themeColor="text1"/>
        </w:rPr>
        <w:t>, M. S.,</w:t>
      </w:r>
      <w:r>
        <w:rPr>
          <w:color w:val="000000" w:themeColor="text1"/>
        </w:rPr>
        <w:t xml:space="preserve"> &amp;</w:t>
      </w:r>
      <w:r w:rsidRPr="00FB7DB9">
        <w:rPr>
          <w:color w:val="000000" w:themeColor="text1"/>
        </w:rPr>
        <w:t xml:space="preserve"> </w:t>
      </w:r>
      <w:hyperlink r:id="rId19" w:anchor="auth-Supti-Mallick-Aff1" w:history="1">
        <w:r w:rsidRPr="00FB7DB9">
          <w:rPr>
            <w:rStyle w:val="Hyperlink"/>
            <w:color w:val="000000" w:themeColor="text1"/>
            <w:u w:val="none"/>
          </w:rPr>
          <w:t xml:space="preserve"> Mallick</w:t>
        </w:r>
      </w:hyperlink>
      <w:r w:rsidRPr="00FB7DB9">
        <w:t>, S. (2022). Human health implications of trace metal contamination in top soils and brinjal fruits harvested from a famous brinjal-producing area in Bangladesh. Scientific Reports, </w:t>
      </w:r>
      <w:r w:rsidRPr="00FB7DB9">
        <w:rPr>
          <w:b/>
          <w:bCs/>
        </w:rPr>
        <w:t>12</w:t>
      </w:r>
      <w:r w:rsidRPr="00FB7DB9">
        <w:t xml:space="preserve">;14278. </w:t>
      </w:r>
    </w:p>
    <w:p w14:paraId="49C39C06" w14:textId="77777777" w:rsidR="00780B78" w:rsidRPr="00FB7DB9" w:rsidRDefault="00780B78" w:rsidP="00FB7DB9">
      <w:pPr>
        <w:pStyle w:val="Body"/>
        <w:spacing w:after="0"/>
      </w:pPr>
      <w:r w:rsidRPr="00FB7DB9">
        <w:t>Choudhary B. (1976). Vegetables, National Book Trust, New Delhi. 58.</w:t>
      </w:r>
    </w:p>
    <w:p w14:paraId="70457DED" w14:textId="77777777" w:rsidR="00780B78" w:rsidRPr="00FB7DB9" w:rsidRDefault="00780B78" w:rsidP="00FB7DB9">
      <w:pPr>
        <w:pStyle w:val="Body"/>
        <w:spacing w:after="0"/>
      </w:pPr>
      <w:r w:rsidRPr="00FB7DB9">
        <w:t xml:space="preserve">De Candolle A. (1886). Origin of cultivated plants. Reprinted 1959 by Hafner Publ. Co, </w:t>
      </w:r>
      <w:proofErr w:type="spellStart"/>
      <w:r w:rsidRPr="00FB7DB9">
        <w:t>NewYork</w:t>
      </w:r>
      <w:proofErr w:type="spellEnd"/>
      <w:r w:rsidRPr="00FB7DB9">
        <w:t>, 29-33.3.</w:t>
      </w:r>
    </w:p>
    <w:p w14:paraId="34FCCE95" w14:textId="77777777" w:rsidR="00780B78" w:rsidRDefault="00780B78" w:rsidP="00FB7DB9">
      <w:pPr>
        <w:pStyle w:val="Body"/>
        <w:spacing w:after="0"/>
      </w:pPr>
      <w:r w:rsidRPr="00FA4C8B">
        <w:t xml:space="preserve">Directorate of Economics and Statistics (2025). Horticulture Statistics Division Database. Department of Agriculture &amp; Farmers Welfare, Government of India. </w:t>
      </w:r>
    </w:p>
    <w:p w14:paraId="618DE9BE" w14:textId="77777777" w:rsidR="00780B78" w:rsidRPr="00FB7DB9" w:rsidRDefault="00780B78" w:rsidP="00FB7DB9">
      <w:pPr>
        <w:pStyle w:val="Body"/>
        <w:spacing w:after="0"/>
      </w:pPr>
      <w:r w:rsidRPr="00FB7DB9">
        <w:t xml:space="preserve">Dunlop, F. (2006). Revolutionary Chinese Cookbook. Recipes from Hunan Province, </w:t>
      </w:r>
      <w:r w:rsidRPr="00FB7DB9">
        <w:rPr>
          <w:i/>
          <w:iCs/>
        </w:rPr>
        <w:t xml:space="preserve">Ebury </w:t>
      </w:r>
      <w:proofErr w:type="spellStart"/>
      <w:r w:rsidRPr="00FB7DB9">
        <w:rPr>
          <w:i/>
          <w:iCs/>
        </w:rPr>
        <w:t>Pess</w:t>
      </w:r>
      <w:proofErr w:type="spellEnd"/>
      <w:r w:rsidRPr="00FB7DB9">
        <w:t xml:space="preserve">. 202.2. </w:t>
      </w:r>
    </w:p>
    <w:p w14:paraId="1C4D0008" w14:textId="77777777" w:rsidR="00780B78" w:rsidRPr="00FB7DB9" w:rsidRDefault="00780B78" w:rsidP="00FB7DB9">
      <w:pPr>
        <w:pStyle w:val="Body"/>
        <w:spacing w:after="0"/>
      </w:pPr>
      <w:proofErr w:type="spellStart"/>
      <w:r w:rsidRPr="00AF4425">
        <w:lastRenderedPageBreak/>
        <w:t>Hazra</w:t>
      </w:r>
      <w:proofErr w:type="spellEnd"/>
      <w:r w:rsidRPr="00AF4425">
        <w:t xml:space="preserve">, P., Chattopadhyay, A., &amp; </w:t>
      </w:r>
      <w:proofErr w:type="spellStart"/>
      <w:r w:rsidRPr="00AF4425">
        <w:t>Hazra</w:t>
      </w:r>
      <w:proofErr w:type="spellEnd"/>
      <w:r w:rsidRPr="00AF4425">
        <w:t>, S. (2025). Eggplant Genetic Resources. In </w:t>
      </w:r>
      <w:r w:rsidRPr="00AF4425">
        <w:rPr>
          <w:i/>
          <w:iCs/>
        </w:rPr>
        <w:t>Vegetable Crops</w:t>
      </w:r>
      <w:r w:rsidRPr="00AF4425">
        <w:t> (pp. 61-99). Singapore: Springer Nature Singapore.</w:t>
      </w:r>
    </w:p>
    <w:p w14:paraId="5106FCDC" w14:textId="77777777" w:rsidR="00780B78" w:rsidRPr="00FA4C8B" w:rsidRDefault="00780B78" w:rsidP="00FB7DB9">
      <w:pPr>
        <w:pStyle w:val="Body"/>
        <w:spacing w:after="0"/>
        <w:rPr>
          <w:lang w:val="sv-SE"/>
        </w:rPr>
      </w:pPr>
      <w:r w:rsidRPr="00FB7DB9">
        <w:t>Johnson, H. W., Robinson, H. F.</w:t>
      </w:r>
      <w:r>
        <w:t>, &amp;</w:t>
      </w:r>
      <w:r w:rsidRPr="00FB7DB9">
        <w:t xml:space="preserve"> Comstock, R. F. (1955). Estimates of genetic and environmental variability in soybean. </w:t>
      </w:r>
      <w:r w:rsidRPr="00FA4C8B">
        <w:rPr>
          <w:lang w:val="sv-SE"/>
        </w:rPr>
        <w:t>Agron. J., 47(10);314-318.</w:t>
      </w:r>
    </w:p>
    <w:p w14:paraId="141F687B" w14:textId="77777777" w:rsidR="00780B78" w:rsidRPr="00FB7DB9" w:rsidRDefault="00780B78" w:rsidP="00FB7DB9">
      <w:pPr>
        <w:pStyle w:val="Body"/>
        <w:spacing w:after="0"/>
      </w:pPr>
      <w:r w:rsidRPr="00FB7DB9">
        <w:rPr>
          <w:lang w:val="sv-SE"/>
        </w:rPr>
        <w:t>Kumar, R., Katiyar, R., Muttepawar, M., Kumar, S., Kumar, R., Vikrant, A., Nayak, A. K.</w:t>
      </w:r>
      <w:r>
        <w:rPr>
          <w:lang w:val="sv-SE"/>
        </w:rPr>
        <w:t>, &amp;</w:t>
      </w:r>
      <w:r w:rsidRPr="00FB7DB9">
        <w:rPr>
          <w:lang w:val="sv-SE"/>
        </w:rPr>
        <w:t xml:space="preserve"> Pathak</w:t>
      </w:r>
      <w:r>
        <w:rPr>
          <w:lang w:val="sv-SE"/>
        </w:rPr>
        <w:t>,</w:t>
      </w:r>
      <w:r w:rsidRPr="00FB7DB9">
        <w:rPr>
          <w:lang w:val="sv-SE"/>
        </w:rPr>
        <w:t xml:space="preserve"> V. N. (2025). </w:t>
      </w:r>
      <w:r w:rsidRPr="00FB7DB9">
        <w:t>Genetic Variability, Heritability and Genetic Advance Studies in Chickpea (</w:t>
      </w:r>
      <w:proofErr w:type="spellStart"/>
      <w:r w:rsidRPr="00FB7DB9">
        <w:rPr>
          <w:i/>
          <w:iCs/>
        </w:rPr>
        <w:t>Cicer</w:t>
      </w:r>
      <w:proofErr w:type="spellEnd"/>
      <w:r w:rsidRPr="00FB7DB9">
        <w:rPr>
          <w:i/>
          <w:iCs/>
        </w:rPr>
        <w:t xml:space="preserve"> </w:t>
      </w:r>
      <w:proofErr w:type="spellStart"/>
      <w:r w:rsidRPr="00FB7DB9">
        <w:rPr>
          <w:i/>
          <w:iCs/>
        </w:rPr>
        <w:t>arientinum</w:t>
      </w:r>
      <w:proofErr w:type="spellEnd"/>
      <w:r w:rsidRPr="00FB7DB9">
        <w:t xml:space="preserve"> L.) Journal of Advances in Biology &amp; Biotechnology, 28(1); 944-948.</w:t>
      </w:r>
    </w:p>
    <w:p w14:paraId="13F7E105" w14:textId="77777777" w:rsidR="00780B78" w:rsidRPr="00FB7DB9" w:rsidRDefault="00780B78" w:rsidP="00FB7DB9">
      <w:pPr>
        <w:pStyle w:val="Body"/>
        <w:spacing w:after="0"/>
      </w:pPr>
      <w:proofErr w:type="spellStart"/>
      <w:r w:rsidRPr="00FB7DB9">
        <w:t>Paramanik</w:t>
      </w:r>
      <w:proofErr w:type="spellEnd"/>
      <w:r w:rsidRPr="00FB7DB9">
        <w:t xml:space="preserve">, S., Rao, M. S., Rashmi, K., Panda, K. K., </w:t>
      </w:r>
      <w:r>
        <w:t xml:space="preserve">&amp; </w:t>
      </w:r>
      <w:r w:rsidRPr="00FB7DB9">
        <w:t>Chakraborty, A. (2023). Studies on genetic variability, heritability and genetic advance for quantitative traits and nutritional traits in rice (</w:t>
      </w:r>
      <w:r w:rsidRPr="00FB7DB9">
        <w:rPr>
          <w:i/>
          <w:iCs/>
        </w:rPr>
        <w:t>Oryza sativa</w:t>
      </w:r>
      <w:r w:rsidRPr="00FB7DB9">
        <w:t xml:space="preserve"> L.). Electronic Journal of Plant Breeding 14(4);1527-1537. </w:t>
      </w:r>
    </w:p>
    <w:p w14:paraId="27804859" w14:textId="77777777" w:rsidR="00780B78" w:rsidRPr="00FB7DB9" w:rsidRDefault="00780B78" w:rsidP="00FB7DB9">
      <w:pPr>
        <w:pStyle w:val="Body"/>
        <w:spacing w:after="0"/>
        <w:rPr>
          <w:iCs/>
          <w:lang w:val="en-IN"/>
        </w:rPr>
      </w:pPr>
      <w:r w:rsidRPr="000D784F">
        <w:rPr>
          <w:iCs/>
        </w:rPr>
        <w:t xml:space="preserve">Prajapati, D. R., Patel, D. A., &amp; </w:t>
      </w:r>
      <w:r w:rsidRPr="00FB7DB9">
        <w:rPr>
          <w:iCs/>
          <w:lang w:val="en-IN"/>
        </w:rPr>
        <w:t>Patel, D. K. (2021). Study of genetic variability in brinjal (</w:t>
      </w:r>
      <w:r w:rsidRPr="00FB7DB9">
        <w:rPr>
          <w:i/>
          <w:lang w:val="en-IN"/>
        </w:rPr>
        <w:t xml:space="preserve">Solanum </w:t>
      </w:r>
      <w:proofErr w:type="spellStart"/>
      <w:r w:rsidRPr="00FB7DB9">
        <w:rPr>
          <w:i/>
          <w:lang w:val="en-IN"/>
        </w:rPr>
        <w:t>melongena</w:t>
      </w:r>
      <w:proofErr w:type="spellEnd"/>
      <w:r w:rsidRPr="00FB7DB9">
        <w:rPr>
          <w:iCs/>
          <w:lang w:val="en-IN"/>
        </w:rPr>
        <w:t xml:space="preserve"> L.). International Journal of Chemical Studies, 9(2): 945-947.</w:t>
      </w:r>
    </w:p>
    <w:p w14:paraId="7F643567" w14:textId="77777777" w:rsidR="00780B78" w:rsidRPr="00FB7DB9" w:rsidRDefault="00780B78" w:rsidP="00FB7DB9">
      <w:pPr>
        <w:pStyle w:val="Body"/>
        <w:spacing w:after="0"/>
        <w:rPr>
          <w:iCs/>
          <w:lang w:val="en-IN"/>
        </w:rPr>
      </w:pPr>
      <w:r w:rsidRPr="00FB7DB9">
        <w:rPr>
          <w:iCs/>
          <w:lang w:val="en-IN"/>
        </w:rPr>
        <w:t>Prasad, M., Mehta, N., Dikshit, S. N.</w:t>
      </w:r>
      <w:r>
        <w:rPr>
          <w:iCs/>
          <w:lang w:val="en-IN"/>
        </w:rPr>
        <w:t>, &amp;</w:t>
      </w:r>
      <w:r w:rsidRPr="00FB7DB9">
        <w:rPr>
          <w:iCs/>
          <w:lang w:val="en-IN"/>
        </w:rPr>
        <w:t xml:space="preserve"> </w:t>
      </w:r>
      <w:proofErr w:type="spellStart"/>
      <w:r w:rsidRPr="00FB7DB9">
        <w:rPr>
          <w:iCs/>
          <w:lang w:val="en-IN"/>
        </w:rPr>
        <w:t>Nichal</w:t>
      </w:r>
      <w:proofErr w:type="spellEnd"/>
      <w:r w:rsidRPr="00FB7DB9">
        <w:rPr>
          <w:iCs/>
          <w:lang w:val="en-IN"/>
        </w:rPr>
        <w:t>, S. S. (2004). Genetic variability, genetic advance and heritability in brinjal (</w:t>
      </w:r>
      <w:r w:rsidRPr="00FB7DB9">
        <w:rPr>
          <w:i/>
          <w:lang w:val="en-IN"/>
        </w:rPr>
        <w:t xml:space="preserve">Solanum </w:t>
      </w:r>
      <w:proofErr w:type="spellStart"/>
      <w:r w:rsidRPr="00FB7DB9">
        <w:rPr>
          <w:i/>
          <w:lang w:val="en-IN"/>
        </w:rPr>
        <w:t>melongena</w:t>
      </w:r>
      <w:proofErr w:type="spellEnd"/>
      <w:r w:rsidRPr="00FB7DB9">
        <w:rPr>
          <w:iCs/>
          <w:lang w:val="en-IN"/>
        </w:rPr>
        <w:t xml:space="preserve"> L.). Orissa Journal of Horticulture, 32: 26-29.</w:t>
      </w:r>
    </w:p>
    <w:p w14:paraId="42619DAA" w14:textId="77777777" w:rsidR="00780B78" w:rsidRPr="00FB7DB9" w:rsidRDefault="00780B78" w:rsidP="00FB7DB9">
      <w:pPr>
        <w:pStyle w:val="Body"/>
        <w:spacing w:after="0"/>
      </w:pPr>
      <w:r w:rsidRPr="00780B78">
        <w:rPr>
          <w:lang w:val="sv-SE"/>
        </w:rPr>
        <w:t xml:space="preserve">Sharma, P., Nair, R., Bhan, K. S., &amp; Tiwari, S. (2022). </w:t>
      </w:r>
      <w:r w:rsidRPr="00FB7DB9">
        <w:t>Genetic Variability for Quantitative in Brinjal (</w:t>
      </w:r>
      <w:r w:rsidRPr="00FB7DB9">
        <w:rPr>
          <w:i/>
          <w:iCs/>
        </w:rPr>
        <w:t xml:space="preserve">Solanum </w:t>
      </w:r>
      <w:proofErr w:type="spellStart"/>
      <w:r w:rsidRPr="00FB7DB9">
        <w:rPr>
          <w:i/>
          <w:iCs/>
        </w:rPr>
        <w:t>melongena</w:t>
      </w:r>
      <w:proofErr w:type="spellEnd"/>
      <w:r w:rsidRPr="00FB7DB9">
        <w:t xml:space="preserve"> L.). Biological Forum – An International Journal, 14(1); 00-00.</w:t>
      </w:r>
    </w:p>
    <w:p w14:paraId="35EA564E" w14:textId="77777777" w:rsidR="00780B78" w:rsidRPr="00FB7DB9" w:rsidRDefault="00780B78" w:rsidP="00FB7DB9">
      <w:pPr>
        <w:pStyle w:val="Body"/>
        <w:spacing w:after="0"/>
      </w:pPr>
      <w:r w:rsidRPr="00FB7DB9">
        <w:t xml:space="preserve">Soumya, B. K., Deo, C., Singh, S., </w:t>
      </w:r>
      <w:proofErr w:type="spellStart"/>
      <w:r w:rsidRPr="00FB7DB9">
        <w:t>Bhutia</w:t>
      </w:r>
      <w:proofErr w:type="spellEnd"/>
      <w:r w:rsidRPr="00FB7DB9">
        <w:t xml:space="preserve">, N. D., </w:t>
      </w:r>
      <w:proofErr w:type="spellStart"/>
      <w:r w:rsidRPr="00FB7DB9">
        <w:t>Tayeng</w:t>
      </w:r>
      <w:proofErr w:type="spellEnd"/>
      <w:r w:rsidRPr="00FB7DB9">
        <w:t xml:space="preserve">, T., Hazarika, B. N., </w:t>
      </w:r>
      <w:proofErr w:type="spellStart"/>
      <w:r w:rsidRPr="00FB7DB9">
        <w:t>Debbarma</w:t>
      </w:r>
      <w:proofErr w:type="spellEnd"/>
      <w:r w:rsidRPr="00FB7DB9">
        <w:t xml:space="preserve">, A., </w:t>
      </w:r>
      <w:proofErr w:type="spellStart"/>
      <w:r w:rsidRPr="00FB7DB9">
        <w:t>Sakhamo</w:t>
      </w:r>
      <w:proofErr w:type="spellEnd"/>
      <w:r w:rsidRPr="00FB7DB9">
        <w:t>, K.</w:t>
      </w:r>
      <w:r>
        <w:t>, &amp;</w:t>
      </w:r>
      <w:r w:rsidRPr="00FB7DB9">
        <w:t xml:space="preserve"> Dutta, R. (2023). Genetic Variability Studies in Brinjal (</w:t>
      </w:r>
      <w:r w:rsidRPr="00FB7DB9">
        <w:rPr>
          <w:i/>
          <w:iCs/>
        </w:rPr>
        <w:t xml:space="preserve">Solanum </w:t>
      </w:r>
      <w:proofErr w:type="spellStart"/>
      <w:r w:rsidRPr="00FB7DB9">
        <w:rPr>
          <w:i/>
          <w:iCs/>
        </w:rPr>
        <w:t>melongena</w:t>
      </w:r>
      <w:proofErr w:type="spellEnd"/>
      <w:r w:rsidRPr="00FB7DB9">
        <w:t xml:space="preserve"> L.) for Quantitative and Qualitative Characters. International Journal of Environment and Climate Change, 13(10);4463-4473.</w:t>
      </w:r>
    </w:p>
    <w:p w14:paraId="79FDB61D" w14:textId="77777777" w:rsidR="00780B78" w:rsidRPr="00FB7DB9" w:rsidRDefault="00780B78" w:rsidP="00FB7DB9">
      <w:pPr>
        <w:pStyle w:val="Body"/>
        <w:spacing w:after="0"/>
      </w:pPr>
      <w:proofErr w:type="spellStart"/>
      <w:r w:rsidRPr="00FB7DB9">
        <w:t>Tabasum</w:t>
      </w:r>
      <w:proofErr w:type="spellEnd"/>
      <w:r w:rsidRPr="00FB7DB9">
        <w:t>, S., Nazir, G., Hussain, K., Ali, G., Nazir, N., Mushtaq, F., Hussain, Z.</w:t>
      </w:r>
      <w:r>
        <w:t>, &amp;</w:t>
      </w:r>
      <w:r w:rsidRPr="00FB7DB9">
        <w:t xml:space="preserve"> </w:t>
      </w:r>
      <w:proofErr w:type="spellStart"/>
      <w:r w:rsidRPr="00FB7DB9">
        <w:t>Arizoo</w:t>
      </w:r>
      <w:proofErr w:type="spellEnd"/>
      <w:r w:rsidRPr="00FB7DB9">
        <w:t xml:space="preserve"> (2024). Analysis of Genetic Variability and Heritability in Brinjal (</w:t>
      </w:r>
      <w:r w:rsidRPr="00FB7DB9">
        <w:rPr>
          <w:i/>
          <w:iCs/>
        </w:rPr>
        <w:t xml:space="preserve">Solanum </w:t>
      </w:r>
      <w:proofErr w:type="spellStart"/>
      <w:r w:rsidRPr="00FB7DB9">
        <w:rPr>
          <w:i/>
          <w:iCs/>
        </w:rPr>
        <w:t>melongena</w:t>
      </w:r>
      <w:proofErr w:type="spellEnd"/>
      <w:r w:rsidRPr="00FB7DB9">
        <w:t xml:space="preserve"> L.) Genotypes, Journal of Advances in Biology &amp; Biotechnology, 27(4);198-205.</w:t>
      </w:r>
    </w:p>
    <w:p w14:paraId="15407731" w14:textId="77777777" w:rsidR="00780B78" w:rsidRPr="00FB7DB9" w:rsidRDefault="00780B78" w:rsidP="00FB7DB9">
      <w:pPr>
        <w:pStyle w:val="Body"/>
        <w:spacing w:after="0"/>
      </w:pPr>
      <w:proofErr w:type="spellStart"/>
      <w:r w:rsidRPr="00FB7DB9">
        <w:t>Teja</w:t>
      </w:r>
      <w:proofErr w:type="spellEnd"/>
      <w:r w:rsidRPr="00FB7DB9">
        <w:t xml:space="preserve"> B. L., Sadhu, S., </w:t>
      </w:r>
      <w:proofErr w:type="spellStart"/>
      <w:r w:rsidRPr="00FB7DB9">
        <w:t>Hijam</w:t>
      </w:r>
      <w:proofErr w:type="spellEnd"/>
      <w:r w:rsidRPr="00FB7DB9">
        <w:t>, L., Roy, S. K., Chatterjee, R.</w:t>
      </w:r>
      <w:r>
        <w:t>,</w:t>
      </w:r>
      <w:r w:rsidRPr="00FB7DB9">
        <w:t xml:space="preserve"> </w:t>
      </w:r>
      <w:r>
        <w:t>&amp;</w:t>
      </w:r>
      <w:r w:rsidRPr="00FB7DB9">
        <w:t xml:space="preserve"> Chakraborty, M. (2025). Exploring Genetic Variability and Cause-effect Relationship for Yield and its Contributing Traits in Brinjal (</w:t>
      </w:r>
      <w:r w:rsidRPr="00FB7DB9">
        <w:rPr>
          <w:i/>
          <w:iCs/>
        </w:rPr>
        <w:t xml:space="preserve">Solanum </w:t>
      </w:r>
      <w:proofErr w:type="spellStart"/>
      <w:r w:rsidRPr="00FB7DB9">
        <w:rPr>
          <w:i/>
          <w:iCs/>
        </w:rPr>
        <w:t>melongena</w:t>
      </w:r>
      <w:proofErr w:type="spellEnd"/>
      <w:r w:rsidRPr="00FB7DB9">
        <w:t xml:space="preserve"> L.). International Journal of Bio-resource and Stress Management, 16(4); 01-10.</w:t>
      </w:r>
    </w:p>
    <w:p w14:paraId="652941A1" w14:textId="77777777" w:rsidR="00780B78" w:rsidRPr="00FB7DB9" w:rsidRDefault="00780B78" w:rsidP="00FB7DB9">
      <w:pPr>
        <w:pStyle w:val="Body"/>
        <w:spacing w:after="0"/>
      </w:pPr>
      <w:r w:rsidRPr="00FB7DB9">
        <w:t xml:space="preserve">Thomas, A., </w:t>
      </w:r>
      <w:proofErr w:type="spellStart"/>
      <w:r w:rsidRPr="00FB7DB9">
        <w:t>Namboodiri</w:t>
      </w:r>
      <w:proofErr w:type="spellEnd"/>
      <w:r w:rsidRPr="00FB7DB9">
        <w:t xml:space="preserve">, R. V., Sujatha, R., Sreekumar, K. M., </w:t>
      </w:r>
      <w:proofErr w:type="spellStart"/>
      <w:r w:rsidRPr="00FB7DB9">
        <w:t>Binitha</w:t>
      </w:r>
      <w:proofErr w:type="spellEnd"/>
      <w:r w:rsidRPr="00FB7DB9">
        <w:t>, N. K.</w:t>
      </w:r>
      <w:r>
        <w:t>, &amp;</w:t>
      </w:r>
      <w:r w:rsidRPr="00FB7DB9">
        <w:t xml:space="preserve"> Varghese, S. (2022). Genetic variability and correlation analysis for yield and yield contributing characters in brinjal (</w:t>
      </w:r>
      <w:r w:rsidRPr="00FB7DB9">
        <w:rPr>
          <w:i/>
          <w:iCs/>
        </w:rPr>
        <w:t xml:space="preserve">Solanum </w:t>
      </w:r>
      <w:proofErr w:type="spellStart"/>
      <w:r w:rsidRPr="00FB7DB9">
        <w:rPr>
          <w:i/>
          <w:iCs/>
        </w:rPr>
        <w:t>melongena</w:t>
      </w:r>
      <w:proofErr w:type="spellEnd"/>
      <w:r w:rsidRPr="00FB7DB9">
        <w:t xml:space="preserve"> L.), Electronic Journal of Plant Breeding,13(3);895 –900.</w:t>
      </w:r>
    </w:p>
    <w:p w14:paraId="7AC7AB7B" w14:textId="77777777" w:rsidR="00780B78" w:rsidRPr="00FB7DB9" w:rsidRDefault="00780B78" w:rsidP="00FB7DB9">
      <w:pPr>
        <w:pStyle w:val="Body"/>
        <w:spacing w:after="0"/>
      </w:pPr>
      <w:r w:rsidRPr="00FB7DB9">
        <w:t xml:space="preserve">Tripathi, A., Kumar, J., Silas, V. J., Yadav, A., </w:t>
      </w:r>
      <w:proofErr w:type="spellStart"/>
      <w:r w:rsidRPr="00FB7DB9">
        <w:t>Quatadah</w:t>
      </w:r>
      <w:proofErr w:type="spellEnd"/>
      <w:r w:rsidRPr="00FB7DB9">
        <w:t>, S. M.</w:t>
      </w:r>
      <w:r>
        <w:t>,</w:t>
      </w:r>
      <w:r w:rsidRPr="00FB7DB9">
        <w:t xml:space="preserve"> </w:t>
      </w:r>
      <w:r>
        <w:t>&amp;</w:t>
      </w:r>
      <w:r w:rsidRPr="00FB7DB9">
        <w:t xml:space="preserve"> Sharma, S. (2025). Analysis the Genetic Variability and Character Association in Brinjal (</w:t>
      </w:r>
      <w:r w:rsidRPr="00FB7DB9">
        <w:rPr>
          <w:i/>
          <w:iCs/>
        </w:rPr>
        <w:t xml:space="preserve">Solanum </w:t>
      </w:r>
      <w:proofErr w:type="spellStart"/>
      <w:r w:rsidRPr="00FB7DB9">
        <w:rPr>
          <w:i/>
          <w:iCs/>
        </w:rPr>
        <w:t>melongena</w:t>
      </w:r>
      <w:proofErr w:type="spellEnd"/>
      <w:r w:rsidRPr="00FB7DB9">
        <w:t xml:space="preserve"> L.). </w:t>
      </w:r>
      <w:r w:rsidRPr="00FB7DB9">
        <w:rPr>
          <w:i/>
          <w:iCs/>
        </w:rPr>
        <w:t>Journal of Experimental Agriculture International</w:t>
      </w:r>
      <w:r w:rsidRPr="00FB7DB9">
        <w:t>, 47(7);203-213.</w:t>
      </w:r>
    </w:p>
    <w:p w14:paraId="590A8066" w14:textId="77777777" w:rsidR="00780B78" w:rsidRPr="00FB7DB9" w:rsidRDefault="00780B78" w:rsidP="00FB7DB9">
      <w:pPr>
        <w:pStyle w:val="Body"/>
        <w:spacing w:after="0"/>
      </w:pPr>
      <w:r w:rsidRPr="00780B78">
        <w:rPr>
          <w:lang w:val="sv-SE"/>
        </w:rPr>
        <w:t xml:space="preserve">Ukkund, K. C., Madalageri, M. B., Patil, M. P., Mulage, R., &amp; Kotikal, Y. K. (2007). </w:t>
      </w:r>
      <w:r w:rsidRPr="00FB7DB9">
        <w:t xml:space="preserve">Variability studies in green </w:t>
      </w:r>
      <w:proofErr w:type="spellStart"/>
      <w:r w:rsidRPr="00FB7DB9">
        <w:t>chilli</w:t>
      </w:r>
      <w:proofErr w:type="spellEnd"/>
      <w:r w:rsidRPr="00FB7DB9">
        <w:t xml:space="preserve"> (</w:t>
      </w:r>
      <w:r w:rsidRPr="00FB7DB9">
        <w:rPr>
          <w:i/>
          <w:iCs/>
        </w:rPr>
        <w:t>Capsicum annum</w:t>
      </w:r>
      <w:r w:rsidRPr="00FB7DB9">
        <w:t xml:space="preserve"> L.). Karnataka Journal of Agricultural Science, 20;102-104.</w:t>
      </w:r>
    </w:p>
    <w:p w14:paraId="02ECA67F" w14:textId="77777777" w:rsidR="00780B78" w:rsidRDefault="00780B78" w:rsidP="00FB7DB9">
      <w:pPr>
        <w:pStyle w:val="Body"/>
        <w:spacing w:after="0"/>
      </w:pPr>
      <w:r w:rsidRPr="00FB7DB9">
        <w:t>Vavilov</w:t>
      </w:r>
      <w:r>
        <w:t>,</w:t>
      </w:r>
      <w:r w:rsidRPr="00FB7DB9">
        <w:t xml:space="preserve"> N</w:t>
      </w:r>
      <w:r>
        <w:t xml:space="preserve">. </w:t>
      </w:r>
      <w:r w:rsidRPr="00FB7DB9">
        <w:t xml:space="preserve">I. (1928). Geographical centers of our cultivated plants. In: Proceedings of the 5th International Congress of Genetics, New York. 342-369.4. </w:t>
      </w:r>
    </w:p>
    <w:p w14:paraId="67757B6C" w14:textId="47D2C795" w:rsidR="002C57D2" w:rsidRPr="002C57D2" w:rsidRDefault="002C57D2" w:rsidP="00441B6F">
      <w:pPr>
        <w:pStyle w:val="Body"/>
        <w:spacing w:after="0"/>
        <w:rPr>
          <w:rFonts w:ascii="Arial" w:hAnsi="Arial" w:cs="Arial"/>
        </w:rPr>
      </w:pPr>
    </w:p>
    <w:p w14:paraId="210CBA8C" w14:textId="77777777" w:rsidR="00790ADA" w:rsidRDefault="00790ADA" w:rsidP="00441B6F">
      <w:pPr>
        <w:pStyle w:val="Body"/>
        <w:spacing w:after="0"/>
        <w:rPr>
          <w:rFonts w:ascii="Arial" w:hAnsi="Arial" w:cs="Arial"/>
        </w:rPr>
      </w:pPr>
    </w:p>
    <w:p w14:paraId="7B6CDFAB" w14:textId="5F597D76" w:rsidR="004D4277" w:rsidRPr="00FB3A86" w:rsidRDefault="004D4277" w:rsidP="00441B6F">
      <w:pPr>
        <w:pStyle w:val="Appendix"/>
        <w:spacing w:after="0"/>
        <w:jc w:val="both"/>
        <w:rPr>
          <w:rFonts w:ascii="Arial" w:hAnsi="Arial" w:cs="Arial"/>
          <w:b w:val="0"/>
        </w:rPr>
        <w:sectPr w:rsidR="004D4277" w:rsidRPr="00FB3A86" w:rsidSect="00B63851">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1ACDA606" w14:textId="77777777" w:rsidR="00B01FCD" w:rsidRPr="00FB3A86" w:rsidRDefault="00B01FCD" w:rsidP="00441B6F">
      <w:pPr>
        <w:pStyle w:val="Appendix"/>
        <w:spacing w:after="0"/>
        <w:jc w:val="both"/>
        <w:rPr>
          <w:rFonts w:ascii="Arial" w:hAnsi="Arial" w:cs="Arial"/>
          <w:b w:val="0"/>
        </w:rPr>
      </w:pPr>
    </w:p>
    <w:sectPr w:rsidR="00B01FCD" w:rsidRPr="00FB3A86" w:rsidSect="00B63851">
      <w:type w:val="continuous"/>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39F10C0">
    <w16cex:extLst>
      <w16:ext w16:uri="{CE6994B0-6A32-4C9F-8C6B-6E91EDA988CE}">
        <cr:reactions xmlns:cr="http://schemas.microsoft.com/office/comments/2020/reactions">
          <cr:reaction reactionType="1">
            <cr:reactionInfo dateUtc="2026-04-04T09:45:06Z">
              <cr:user userId="c2b457edc4283876" userProvider="Windows Live" userName="Vinod Kumar"/>
            </cr:reactionInfo>
          </cr:reaction>
        </cr:reactions>
      </w16:ext>
    </w16cex:extLst>
  </w16cex:commentExtensible>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EB04BA" w14:textId="77777777" w:rsidR="00B5353C" w:rsidRDefault="00B5353C" w:rsidP="00C37E61">
      <w:r>
        <w:separator/>
      </w:r>
    </w:p>
  </w:endnote>
  <w:endnote w:type="continuationSeparator" w:id="0">
    <w:p w14:paraId="07DA9B41" w14:textId="77777777" w:rsidR="00B5353C" w:rsidRDefault="00B5353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0FA4E" w14:textId="77777777" w:rsidR="00B63851" w:rsidRDefault="00B638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010E6" w14:textId="77777777" w:rsidR="00B63851" w:rsidRDefault="00B638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13F45" w14:textId="77777777" w:rsidR="009E048A" w:rsidRDefault="009E048A">
    <w:pPr>
      <w:pStyle w:val="Footer"/>
      <w:rPr>
        <w:rFonts w:ascii="Arial" w:hAnsi="Arial" w:cs="Arial"/>
        <w:sz w:val="16"/>
      </w:rPr>
    </w:pPr>
  </w:p>
  <w:p w14:paraId="0E150E70"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8D7A665" w14:textId="77777777" w:rsidR="009E048A" w:rsidRDefault="009E048A">
    <w:pPr>
      <w:pStyle w:val="Footer"/>
      <w:rPr>
        <w:rFonts w:ascii="Arial" w:hAnsi="Arial" w:cs="Arial"/>
        <w:sz w:val="16"/>
      </w:rPr>
    </w:pPr>
  </w:p>
  <w:p w14:paraId="6417440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E7D2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915673" w14:textId="77777777" w:rsidR="00B5353C" w:rsidRDefault="00B5353C" w:rsidP="00C37E61">
      <w:r>
        <w:separator/>
      </w:r>
    </w:p>
  </w:footnote>
  <w:footnote w:type="continuationSeparator" w:id="0">
    <w:p w14:paraId="19860032" w14:textId="77777777" w:rsidR="00B5353C" w:rsidRDefault="00B5353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03ECF" w14:textId="14B711FD" w:rsidR="00B63851" w:rsidRDefault="00B5353C">
    <w:pPr>
      <w:pStyle w:val="Header"/>
    </w:pPr>
    <w:r>
      <w:rPr>
        <w:noProof/>
      </w:rPr>
      <w:pict w14:anchorId="0F679B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401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2CA62" w14:textId="38B7979C" w:rsidR="00B63851" w:rsidRDefault="00B5353C">
    <w:pPr>
      <w:pStyle w:val="Header"/>
    </w:pPr>
    <w:r>
      <w:rPr>
        <w:noProof/>
      </w:rPr>
      <w:pict w14:anchorId="530317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401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60321" w14:textId="3A9EA2F3" w:rsidR="00296529" w:rsidRPr="00296529" w:rsidRDefault="00B5353C" w:rsidP="00296529">
    <w:pPr>
      <w:ind w:left="2160"/>
      <w:jc w:val="center"/>
      <w:rPr>
        <w:rFonts w:ascii="Times New Roman" w:eastAsia="Calibri" w:hAnsi="Times New Roman"/>
        <w:i/>
        <w:sz w:val="18"/>
        <w:szCs w:val="22"/>
      </w:rPr>
    </w:pPr>
    <w:r>
      <w:rPr>
        <w:noProof/>
      </w:rPr>
      <w:pict w14:anchorId="58A485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401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6A2CBF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E77F82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B7700A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F61BBE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372324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F00CCA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06C32" w14:textId="02FF39C3" w:rsidR="00B63851" w:rsidRDefault="00B5353C">
    <w:pPr>
      <w:pStyle w:val="Header"/>
    </w:pPr>
    <w:r>
      <w:rPr>
        <w:noProof/>
      </w:rPr>
      <w:pict w14:anchorId="55679D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401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633DA" w14:textId="08B4D8B2" w:rsidR="00B63851" w:rsidRDefault="00B5353C">
    <w:pPr>
      <w:pStyle w:val="Header"/>
    </w:pPr>
    <w:r>
      <w:rPr>
        <w:noProof/>
      </w:rPr>
      <w:pict w14:anchorId="18FEF9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402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98111" w14:textId="2FEBBD50" w:rsidR="00B63851" w:rsidRDefault="00B5353C">
    <w:pPr>
      <w:pStyle w:val="Header"/>
    </w:pPr>
    <w:r>
      <w:rPr>
        <w:noProof/>
      </w:rPr>
      <w:pict w14:anchorId="527364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14401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14B0"/>
    <w:rsid w:val="00030174"/>
    <w:rsid w:val="0004579C"/>
    <w:rsid w:val="00083710"/>
    <w:rsid w:val="000965EA"/>
    <w:rsid w:val="000A47FA"/>
    <w:rsid w:val="000A65D3"/>
    <w:rsid w:val="000B1E33"/>
    <w:rsid w:val="000B5493"/>
    <w:rsid w:val="000D689F"/>
    <w:rsid w:val="000D784F"/>
    <w:rsid w:val="000E7B7B"/>
    <w:rsid w:val="000E7D62"/>
    <w:rsid w:val="00103357"/>
    <w:rsid w:val="00123C9F"/>
    <w:rsid w:val="00126190"/>
    <w:rsid w:val="00130F17"/>
    <w:rsid w:val="001320BF"/>
    <w:rsid w:val="00163BC4"/>
    <w:rsid w:val="00191062"/>
    <w:rsid w:val="00192B72"/>
    <w:rsid w:val="001A29D8"/>
    <w:rsid w:val="001A5CAA"/>
    <w:rsid w:val="001A6DE7"/>
    <w:rsid w:val="001B0427"/>
    <w:rsid w:val="001D3A51"/>
    <w:rsid w:val="001E10D2"/>
    <w:rsid w:val="001E25B4"/>
    <w:rsid w:val="001E35D4"/>
    <w:rsid w:val="001E44FE"/>
    <w:rsid w:val="00200595"/>
    <w:rsid w:val="00204835"/>
    <w:rsid w:val="002107A8"/>
    <w:rsid w:val="00223F42"/>
    <w:rsid w:val="00231920"/>
    <w:rsid w:val="0023195C"/>
    <w:rsid w:val="00234767"/>
    <w:rsid w:val="002401A5"/>
    <w:rsid w:val="00241A87"/>
    <w:rsid w:val="0024282C"/>
    <w:rsid w:val="002460DC"/>
    <w:rsid w:val="00250985"/>
    <w:rsid w:val="002556F6"/>
    <w:rsid w:val="00283105"/>
    <w:rsid w:val="00284C4C"/>
    <w:rsid w:val="00287E68"/>
    <w:rsid w:val="00296529"/>
    <w:rsid w:val="002B064E"/>
    <w:rsid w:val="002B27FB"/>
    <w:rsid w:val="002B685A"/>
    <w:rsid w:val="002C57D2"/>
    <w:rsid w:val="002D544F"/>
    <w:rsid w:val="002D6D8F"/>
    <w:rsid w:val="002E0D56"/>
    <w:rsid w:val="002E2F6C"/>
    <w:rsid w:val="002E3C24"/>
    <w:rsid w:val="002F59B6"/>
    <w:rsid w:val="0030213A"/>
    <w:rsid w:val="003021E0"/>
    <w:rsid w:val="00313F3F"/>
    <w:rsid w:val="00315186"/>
    <w:rsid w:val="0033343E"/>
    <w:rsid w:val="00342827"/>
    <w:rsid w:val="003512C2"/>
    <w:rsid w:val="00371FB6"/>
    <w:rsid w:val="003763C1"/>
    <w:rsid w:val="00376BBE"/>
    <w:rsid w:val="0039224F"/>
    <w:rsid w:val="003A43A4"/>
    <w:rsid w:val="003A7E18"/>
    <w:rsid w:val="003B071B"/>
    <w:rsid w:val="003C4C86"/>
    <w:rsid w:val="003C6258"/>
    <w:rsid w:val="003E104B"/>
    <w:rsid w:val="003E2904"/>
    <w:rsid w:val="003E56D8"/>
    <w:rsid w:val="00401927"/>
    <w:rsid w:val="0041027F"/>
    <w:rsid w:val="00412475"/>
    <w:rsid w:val="00423789"/>
    <w:rsid w:val="00427582"/>
    <w:rsid w:val="00440F43"/>
    <w:rsid w:val="00441B6F"/>
    <w:rsid w:val="00446221"/>
    <w:rsid w:val="00450E62"/>
    <w:rsid w:val="004539DB"/>
    <w:rsid w:val="00471479"/>
    <w:rsid w:val="00471A80"/>
    <w:rsid w:val="004C236E"/>
    <w:rsid w:val="004D305E"/>
    <w:rsid w:val="004D4277"/>
    <w:rsid w:val="00502516"/>
    <w:rsid w:val="00505F06"/>
    <w:rsid w:val="00506828"/>
    <w:rsid w:val="0053056E"/>
    <w:rsid w:val="00532966"/>
    <w:rsid w:val="0055064F"/>
    <w:rsid w:val="00554FDA"/>
    <w:rsid w:val="005832E0"/>
    <w:rsid w:val="00591344"/>
    <w:rsid w:val="00591D39"/>
    <w:rsid w:val="005925AE"/>
    <w:rsid w:val="005C784C"/>
    <w:rsid w:val="005D17F6"/>
    <w:rsid w:val="005E5539"/>
    <w:rsid w:val="005E5D3F"/>
    <w:rsid w:val="00602BF5"/>
    <w:rsid w:val="00617FDD"/>
    <w:rsid w:val="00633614"/>
    <w:rsid w:val="00633F68"/>
    <w:rsid w:val="00634CBF"/>
    <w:rsid w:val="00636EB2"/>
    <w:rsid w:val="006375B8"/>
    <w:rsid w:val="006447AA"/>
    <w:rsid w:val="0066510A"/>
    <w:rsid w:val="00673F9F"/>
    <w:rsid w:val="00680174"/>
    <w:rsid w:val="00686953"/>
    <w:rsid w:val="00687DEA"/>
    <w:rsid w:val="00687E67"/>
    <w:rsid w:val="006967F7"/>
    <w:rsid w:val="006A250C"/>
    <w:rsid w:val="006B21D3"/>
    <w:rsid w:val="006B57D0"/>
    <w:rsid w:val="006D30FF"/>
    <w:rsid w:val="006D3BC4"/>
    <w:rsid w:val="006D6940"/>
    <w:rsid w:val="006F11EC"/>
    <w:rsid w:val="0070082C"/>
    <w:rsid w:val="00707C17"/>
    <w:rsid w:val="00723B5B"/>
    <w:rsid w:val="00735F96"/>
    <w:rsid w:val="007369E6"/>
    <w:rsid w:val="00746E59"/>
    <w:rsid w:val="00754C9A"/>
    <w:rsid w:val="0075599A"/>
    <w:rsid w:val="00761D52"/>
    <w:rsid w:val="0077749E"/>
    <w:rsid w:val="00780B78"/>
    <w:rsid w:val="00790ADA"/>
    <w:rsid w:val="007A7367"/>
    <w:rsid w:val="007D2288"/>
    <w:rsid w:val="007E088F"/>
    <w:rsid w:val="007F7B32"/>
    <w:rsid w:val="00804BC2"/>
    <w:rsid w:val="0081431A"/>
    <w:rsid w:val="0083216F"/>
    <w:rsid w:val="00860000"/>
    <w:rsid w:val="00863BD3"/>
    <w:rsid w:val="00863F97"/>
    <w:rsid w:val="008641ED"/>
    <w:rsid w:val="00866D66"/>
    <w:rsid w:val="008671C6"/>
    <w:rsid w:val="00875803"/>
    <w:rsid w:val="008B459E"/>
    <w:rsid w:val="008E13AE"/>
    <w:rsid w:val="008E1506"/>
    <w:rsid w:val="008E1FC4"/>
    <w:rsid w:val="008E710C"/>
    <w:rsid w:val="008F69D6"/>
    <w:rsid w:val="00902823"/>
    <w:rsid w:val="00915CA6"/>
    <w:rsid w:val="00927834"/>
    <w:rsid w:val="009345B1"/>
    <w:rsid w:val="009500A6"/>
    <w:rsid w:val="00953F3D"/>
    <w:rsid w:val="00957C18"/>
    <w:rsid w:val="009659BA"/>
    <w:rsid w:val="00983040"/>
    <w:rsid w:val="0099089F"/>
    <w:rsid w:val="009B3FB9"/>
    <w:rsid w:val="009C2465"/>
    <w:rsid w:val="009D35A0"/>
    <w:rsid w:val="009D7EB7"/>
    <w:rsid w:val="009E048A"/>
    <w:rsid w:val="009E08E9"/>
    <w:rsid w:val="009E3DB9"/>
    <w:rsid w:val="009E6E35"/>
    <w:rsid w:val="009F0EDA"/>
    <w:rsid w:val="00A03B96"/>
    <w:rsid w:val="00A05B19"/>
    <w:rsid w:val="00A1134E"/>
    <w:rsid w:val="00A161D9"/>
    <w:rsid w:val="00A24E7E"/>
    <w:rsid w:val="00A258C3"/>
    <w:rsid w:val="00A347C0"/>
    <w:rsid w:val="00A51431"/>
    <w:rsid w:val="00A539AD"/>
    <w:rsid w:val="00A873DC"/>
    <w:rsid w:val="00A94063"/>
    <w:rsid w:val="00AA6219"/>
    <w:rsid w:val="00AA74E0"/>
    <w:rsid w:val="00AB0949"/>
    <w:rsid w:val="00AB703F"/>
    <w:rsid w:val="00AC6BB8"/>
    <w:rsid w:val="00AE008F"/>
    <w:rsid w:val="00AF178C"/>
    <w:rsid w:val="00AF4425"/>
    <w:rsid w:val="00B01FCD"/>
    <w:rsid w:val="00B1776C"/>
    <w:rsid w:val="00B52583"/>
    <w:rsid w:val="00B52896"/>
    <w:rsid w:val="00B5353C"/>
    <w:rsid w:val="00B63851"/>
    <w:rsid w:val="00B93D8C"/>
    <w:rsid w:val="00B95236"/>
    <w:rsid w:val="00B96BD9"/>
    <w:rsid w:val="00BA1B01"/>
    <w:rsid w:val="00BA2641"/>
    <w:rsid w:val="00BB37AA"/>
    <w:rsid w:val="00BC53A0"/>
    <w:rsid w:val="00BD38AA"/>
    <w:rsid w:val="00BE62AD"/>
    <w:rsid w:val="00BF121F"/>
    <w:rsid w:val="00BF1F80"/>
    <w:rsid w:val="00BF200D"/>
    <w:rsid w:val="00C128FB"/>
    <w:rsid w:val="00C166EF"/>
    <w:rsid w:val="00C16789"/>
    <w:rsid w:val="00C17EB0"/>
    <w:rsid w:val="00C27F5F"/>
    <w:rsid w:val="00C30A0F"/>
    <w:rsid w:val="00C37E61"/>
    <w:rsid w:val="00C70F1B"/>
    <w:rsid w:val="00C71A47"/>
    <w:rsid w:val="00C7464C"/>
    <w:rsid w:val="00C74C73"/>
    <w:rsid w:val="00C85588"/>
    <w:rsid w:val="00C865F1"/>
    <w:rsid w:val="00C92C60"/>
    <w:rsid w:val="00CD6755"/>
    <w:rsid w:val="00CD6856"/>
    <w:rsid w:val="00CE0089"/>
    <w:rsid w:val="00CE1210"/>
    <w:rsid w:val="00CE793C"/>
    <w:rsid w:val="00CF193C"/>
    <w:rsid w:val="00D06444"/>
    <w:rsid w:val="00D173F1"/>
    <w:rsid w:val="00D3333B"/>
    <w:rsid w:val="00D375D5"/>
    <w:rsid w:val="00D4438D"/>
    <w:rsid w:val="00D62CA2"/>
    <w:rsid w:val="00D64E1F"/>
    <w:rsid w:val="00D74CB0"/>
    <w:rsid w:val="00D8295D"/>
    <w:rsid w:val="00D960AB"/>
    <w:rsid w:val="00DA1943"/>
    <w:rsid w:val="00DC2A65"/>
    <w:rsid w:val="00DE15F0"/>
    <w:rsid w:val="00DE5663"/>
    <w:rsid w:val="00DE78AA"/>
    <w:rsid w:val="00E053D0"/>
    <w:rsid w:val="00E10D58"/>
    <w:rsid w:val="00E15994"/>
    <w:rsid w:val="00E3114E"/>
    <w:rsid w:val="00E31A70"/>
    <w:rsid w:val="00E35B02"/>
    <w:rsid w:val="00E66496"/>
    <w:rsid w:val="00E667E6"/>
    <w:rsid w:val="00E66B35"/>
    <w:rsid w:val="00E66E10"/>
    <w:rsid w:val="00E769F6"/>
    <w:rsid w:val="00E8407C"/>
    <w:rsid w:val="00E84F3C"/>
    <w:rsid w:val="00EA012C"/>
    <w:rsid w:val="00EC1CA0"/>
    <w:rsid w:val="00EC6A55"/>
    <w:rsid w:val="00ED0288"/>
    <w:rsid w:val="00EE52CB"/>
    <w:rsid w:val="00EF581D"/>
    <w:rsid w:val="00EF7FD8"/>
    <w:rsid w:val="00F06F59"/>
    <w:rsid w:val="00F11C72"/>
    <w:rsid w:val="00F17988"/>
    <w:rsid w:val="00F24DFB"/>
    <w:rsid w:val="00F469F0"/>
    <w:rsid w:val="00F53273"/>
    <w:rsid w:val="00F550C6"/>
    <w:rsid w:val="00F73520"/>
    <w:rsid w:val="00F755E4"/>
    <w:rsid w:val="00F77D02"/>
    <w:rsid w:val="00FA4C8B"/>
    <w:rsid w:val="00FB3A86"/>
    <w:rsid w:val="00FB7DB9"/>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9DB227F"/>
  <w15:docId w15:val="{2B0EBF4B-3EDA-4F3A-9998-91CA17B9B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ListTable6Colorful">
    <w:name w:val="List Table 6 Colorful"/>
    <w:basedOn w:val="TableNormal"/>
    <w:uiPriority w:val="51"/>
    <w:rsid w:val="00CE121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Subject">
    <w:name w:val="annotation subject"/>
    <w:basedOn w:val="CommentText"/>
    <w:next w:val="CommentText"/>
    <w:link w:val="CommentSubjectChar"/>
    <w:semiHidden/>
    <w:unhideWhenUsed/>
    <w:rsid w:val="0099089F"/>
    <w:rPr>
      <w:rFonts w:ascii="Helvetica" w:hAnsi="Helvetica"/>
      <w:b/>
      <w:bCs/>
      <w:lang w:val="en-US" w:eastAsia="en-US"/>
    </w:rPr>
  </w:style>
  <w:style w:type="character" w:customStyle="1" w:styleId="CommentSubjectChar">
    <w:name w:val="Comment Subject Char"/>
    <w:basedOn w:val="CommentTextChar"/>
    <w:link w:val="CommentSubject"/>
    <w:semiHidden/>
    <w:rsid w:val="0099089F"/>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nature.com/articles/s41598-022-17930-5" TargetMode="Externa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nature.com/articles/s41598-022-17930-5"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www.nature.com/articles/s41598-022-17930-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0C867-455C-4FDE-9D45-F1AF58854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3522</Words>
  <Characters>20079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SDI 1158</cp:lastModifiedBy>
  <cp:revision>8</cp:revision>
  <dcterms:created xsi:type="dcterms:W3CDTF">2026-03-31T13:15:00Z</dcterms:created>
  <dcterms:modified xsi:type="dcterms:W3CDTF">2026-04-08T10:53:00Z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413ee39b-c706-4993-8d6a-d90d389ead35</vt:lpwstr>
  </property>
</Properties>
</file>