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9BB" w:rsidRPr="00D85F74" w:rsidRDefault="00460E75">
      <w:pPr>
        <w:pStyle w:val="BodyText"/>
        <w:spacing w:before="120" w:line="360" w:lineRule="auto"/>
        <w:ind w:left="191" w:right="191"/>
        <w:jc w:val="center"/>
        <w:rPr>
          <w:rFonts w:eastAsia="Arial" w:cs="Times New Roman"/>
          <w:b/>
          <w:bCs/>
          <w:sz w:val="28"/>
          <w:szCs w:val="28"/>
        </w:rPr>
      </w:pPr>
      <w:r w:rsidRPr="00D85F74">
        <w:rPr>
          <w:rFonts w:cs="Times New Roman"/>
          <w:b/>
          <w:bCs/>
          <w:sz w:val="28"/>
          <w:szCs w:val="28"/>
        </w:rPr>
        <w:t>Assessment of SSR markers for verification of poplar (</w:t>
      </w:r>
      <w:proofErr w:type="spellStart"/>
      <w:r w:rsidRPr="00D85F74">
        <w:rPr>
          <w:rFonts w:cs="Times New Roman"/>
          <w:b/>
          <w:bCs/>
          <w:i/>
          <w:iCs/>
          <w:sz w:val="28"/>
          <w:szCs w:val="28"/>
        </w:rPr>
        <w:t>Populus</w:t>
      </w:r>
      <w:proofErr w:type="spellEnd"/>
      <w:r w:rsidRPr="00D85F74">
        <w:rPr>
          <w:rFonts w:cs="Times New Roman"/>
          <w:b/>
          <w:bCs/>
          <w:i/>
          <w:iCs/>
          <w:sz w:val="28"/>
          <w:szCs w:val="28"/>
        </w:rPr>
        <w:t xml:space="preserve"> </w:t>
      </w:r>
      <w:proofErr w:type="spellStart"/>
      <w:r w:rsidRPr="00D85F74">
        <w:rPr>
          <w:rFonts w:cs="Times New Roman"/>
          <w:b/>
          <w:bCs/>
          <w:i/>
          <w:iCs/>
          <w:sz w:val="28"/>
          <w:szCs w:val="28"/>
        </w:rPr>
        <w:t>deltoides</w:t>
      </w:r>
      <w:proofErr w:type="spellEnd"/>
      <w:r w:rsidRPr="00D85F74">
        <w:rPr>
          <w:rFonts w:cs="Times New Roman"/>
          <w:b/>
          <w:bCs/>
          <w:sz w:val="28"/>
          <w:szCs w:val="28"/>
        </w:rPr>
        <w:t xml:space="preserve">) clones    </w:t>
      </w:r>
    </w:p>
    <w:p w:rsidR="008C79BB" w:rsidRPr="00D85F74" w:rsidRDefault="008C79BB">
      <w:pPr>
        <w:pStyle w:val="BodyText"/>
        <w:spacing w:before="120" w:line="360" w:lineRule="auto"/>
        <w:ind w:left="1444" w:right="1442"/>
        <w:jc w:val="center"/>
        <w:rPr>
          <w:rFonts w:eastAsia="Arial" w:cs="Times New Roman"/>
        </w:rPr>
      </w:pPr>
    </w:p>
    <w:p w:rsidR="008C79BB" w:rsidRPr="00D85F74" w:rsidRDefault="00460E75">
      <w:pPr>
        <w:pStyle w:val="BodyText"/>
        <w:spacing w:before="120" w:line="360" w:lineRule="auto"/>
        <w:ind w:left="191" w:right="191"/>
        <w:jc w:val="center"/>
        <w:rPr>
          <w:rFonts w:eastAsia="Arial" w:cs="Times New Roman"/>
          <w:b/>
          <w:bCs/>
        </w:rPr>
      </w:pPr>
      <w:r w:rsidRPr="00D85F74">
        <w:rPr>
          <w:rFonts w:cs="Times New Roman"/>
          <w:b/>
          <w:bCs/>
        </w:rPr>
        <w:t>Abstract</w:t>
      </w:r>
    </w:p>
    <w:p w:rsidR="00CC4C1A" w:rsidRDefault="004A6BEF" w:rsidP="003626F4">
      <w:pPr>
        <w:pStyle w:val="NormalWeb"/>
        <w:jc w:val="both"/>
      </w:pPr>
      <w:bookmarkStart w:id="0" w:name="_Hlk226030162"/>
      <w:r>
        <w:t>Poplar (</w:t>
      </w:r>
      <w:proofErr w:type="spellStart"/>
      <w:r>
        <w:rPr>
          <w:rStyle w:val="Emphasis"/>
        </w:rPr>
        <w:t>Populus</w:t>
      </w:r>
      <w:proofErr w:type="spellEnd"/>
      <w:r>
        <w:t xml:space="preserve"> spp.) is an economically important forest tree widely cultivated in temperate regions, where genetically improved clones of </w:t>
      </w:r>
      <w:proofErr w:type="spellStart"/>
      <w:r>
        <w:rPr>
          <w:rStyle w:val="Emphasis"/>
        </w:rPr>
        <w:t>Populus</w:t>
      </w:r>
      <w:proofErr w:type="spellEnd"/>
      <w:r>
        <w:rPr>
          <w:rStyle w:val="Emphasis"/>
        </w:rPr>
        <w:t xml:space="preserve"> </w:t>
      </w:r>
      <w:proofErr w:type="spellStart"/>
      <w:r>
        <w:rPr>
          <w:rStyle w:val="Emphasis"/>
        </w:rPr>
        <w:t>deltoides</w:t>
      </w:r>
      <w:proofErr w:type="spellEnd"/>
      <w:r>
        <w:t xml:space="preserve"> are extensively used for high-yield plantations. However, accurate clonal identification and assessment of genetic variation remain challenging using conventional methods, necessitating the application of reliable molecular tools such as SSR markers for efficient characterization and verification. </w:t>
      </w:r>
      <w:r w:rsidR="00CE1768">
        <w:t>The study aims to</w:t>
      </w:r>
      <w:r w:rsidR="00C94F18">
        <w:t xml:space="preserve"> assess the effectiveness of Simple Sequence Repeat (SSR) markers for the molecular verification of </w:t>
      </w:r>
      <w:proofErr w:type="spellStart"/>
      <w:r w:rsidR="00C94F18">
        <w:rPr>
          <w:rStyle w:val="Emphasis"/>
        </w:rPr>
        <w:t>Populus</w:t>
      </w:r>
      <w:proofErr w:type="spellEnd"/>
      <w:r w:rsidR="00C94F18">
        <w:rPr>
          <w:rStyle w:val="Emphasis"/>
        </w:rPr>
        <w:t xml:space="preserve"> </w:t>
      </w:r>
      <w:proofErr w:type="spellStart"/>
      <w:r w:rsidR="00C94F18">
        <w:rPr>
          <w:rStyle w:val="Emphasis"/>
        </w:rPr>
        <w:t>deltoides</w:t>
      </w:r>
      <w:proofErr w:type="spellEnd"/>
      <w:r w:rsidR="00C94F18">
        <w:t xml:space="preserve"> clones. </w:t>
      </w:r>
      <w:bookmarkEnd w:id="0"/>
      <w:r w:rsidR="00460E75" w:rsidRPr="00D85F74">
        <w:t xml:space="preserve">The study was undertaken in the Department of Tree Improvement and Genetic Resources, </w:t>
      </w:r>
      <w:proofErr w:type="spellStart"/>
      <w:r w:rsidR="00460E75" w:rsidRPr="00D85F74">
        <w:t>Dr.</w:t>
      </w:r>
      <w:proofErr w:type="spellEnd"/>
      <w:r w:rsidR="00460E75" w:rsidRPr="00D85F74">
        <w:t xml:space="preserve"> Y.S. P. U. H. F., </w:t>
      </w:r>
      <w:proofErr w:type="spellStart"/>
      <w:r w:rsidR="00460E75" w:rsidRPr="00D85F74">
        <w:t>Nauni</w:t>
      </w:r>
      <w:proofErr w:type="spellEnd"/>
      <w:r w:rsidR="00460E75" w:rsidRPr="00D85F74">
        <w:t xml:space="preserve">- </w:t>
      </w:r>
      <w:proofErr w:type="spellStart"/>
      <w:r w:rsidR="00460E75" w:rsidRPr="00D85F74">
        <w:t>Solan</w:t>
      </w:r>
      <w:proofErr w:type="spellEnd"/>
      <w:r w:rsidR="00460E75" w:rsidRPr="00D85F74">
        <w:t xml:space="preserve"> 173230 (H.P.). </w:t>
      </w:r>
      <w:r w:rsidR="00CC4C1A">
        <w:t xml:space="preserve">In this study, fifteen Poplar clones were collected from various research institutes across India. Molecular markers play an important role in breeding programs because they help in identifying and evaluating genetic differences within plant populations and germplasm collections. The modern trend in forest genetics focuses on developing reliable molecular marker systems that can help study genetic diversity, differentiation, and gene flow, especially in fragmented forest populations. Such genetic information is valuable for designing effective conservation and management plans. In this work, Simple Sequence Repeat (SSR) markers, also known as microsatellite markers, were used for genotyping through Polymerase Chain Reaction (PCR). The molecular results confirmed the identity of most clones as originally recorded. However, some minor genetic differences were observed within certain clones. Considering the ecological and commercial importance of </w:t>
      </w:r>
      <w:proofErr w:type="spellStart"/>
      <w:r w:rsidR="00CC4C1A">
        <w:t>Populus</w:t>
      </w:r>
      <w:proofErr w:type="spellEnd"/>
      <w:r w:rsidR="00CC4C1A">
        <w:t xml:space="preserve"> species in the Northern Hemisphere, the SSR marker set optimized in this study will be highly useful for breeding and selection programs, ecological landscape studies, and for ensuring the long-term conservation and sustainable management of </w:t>
      </w:r>
      <w:proofErr w:type="spellStart"/>
      <w:r w:rsidR="00CC4C1A">
        <w:t>Populus</w:t>
      </w:r>
      <w:proofErr w:type="spellEnd"/>
      <w:r w:rsidR="00CC4C1A">
        <w:t xml:space="preserve"> genetic resources.</w:t>
      </w:r>
    </w:p>
    <w:p w:rsidR="008C79BB" w:rsidRPr="00D85F74" w:rsidRDefault="00460E75" w:rsidP="00CC4C1A">
      <w:pPr>
        <w:pStyle w:val="BodyText"/>
        <w:spacing w:before="120" w:line="360" w:lineRule="auto"/>
        <w:ind w:left="191" w:right="191"/>
        <w:rPr>
          <w:rFonts w:eastAsia="Arial" w:cs="Times New Roman"/>
        </w:rPr>
      </w:pPr>
      <w:r w:rsidRPr="00D85F74">
        <w:rPr>
          <w:rFonts w:cs="Times New Roman"/>
          <w:b/>
          <w:bCs/>
        </w:rPr>
        <w:t>Key</w:t>
      </w:r>
      <w:r w:rsidRPr="00D85F74">
        <w:rPr>
          <w:rFonts w:cs="Times New Roman"/>
          <w:b/>
          <w:bCs/>
          <w:spacing w:val="-3"/>
        </w:rPr>
        <w:t xml:space="preserve"> </w:t>
      </w:r>
      <w:r w:rsidRPr="00D85F74">
        <w:rPr>
          <w:rFonts w:cs="Times New Roman"/>
          <w:b/>
          <w:bCs/>
        </w:rPr>
        <w:t>words:</w:t>
      </w:r>
      <w:r w:rsidRPr="00D85F74">
        <w:rPr>
          <w:rFonts w:cs="Times New Roman"/>
          <w:spacing w:val="-2"/>
        </w:rPr>
        <w:t xml:space="preserve"> Poplar, SSR, Molecular, Cluster, Dendrogram </w:t>
      </w:r>
    </w:p>
    <w:p w:rsidR="008C79BB" w:rsidRPr="00D85F74" w:rsidRDefault="008C79BB">
      <w:pPr>
        <w:pStyle w:val="Body"/>
        <w:rPr>
          <w:sz w:val="24"/>
          <w:szCs w:val="24"/>
        </w:rPr>
        <w:sectPr w:rsidR="008C79BB" w:rsidRPr="00D85F74">
          <w:headerReference w:type="default" r:id="rId6"/>
          <w:footerReference w:type="default" r:id="rId7"/>
          <w:pgSz w:w="11900" w:h="16840"/>
          <w:pgMar w:top="1060" w:right="1020" w:bottom="280" w:left="1020" w:header="0" w:footer="720" w:gutter="0"/>
          <w:cols w:space="720"/>
        </w:sectPr>
      </w:pPr>
    </w:p>
    <w:p w:rsidR="008C79BB" w:rsidRPr="00D85F74" w:rsidRDefault="008C79BB">
      <w:pPr>
        <w:pStyle w:val="Heading"/>
        <w:spacing w:before="120" w:line="360" w:lineRule="auto"/>
        <w:rPr>
          <w:rFonts w:eastAsia="Arial"/>
        </w:rPr>
      </w:pPr>
    </w:p>
    <w:p w:rsidR="001F39D3" w:rsidRPr="001F39D3" w:rsidRDefault="001F39D3" w:rsidP="001F39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outlineLvl w:val="2"/>
        <w:rPr>
          <w:rFonts w:eastAsia="Times New Roman"/>
          <w:b/>
          <w:bCs/>
          <w:sz w:val="27"/>
          <w:szCs w:val="27"/>
          <w:bdr w:val="none" w:sz="0" w:space="0" w:color="auto"/>
        </w:rPr>
      </w:pPr>
      <w:r w:rsidRPr="001F39D3">
        <w:rPr>
          <w:rFonts w:eastAsia="Times New Roman"/>
          <w:b/>
          <w:bCs/>
          <w:sz w:val="27"/>
          <w:szCs w:val="27"/>
          <w:bdr w:val="none" w:sz="0" w:space="0" w:color="auto"/>
        </w:rPr>
        <w:t xml:space="preserve">Introduction </w:t>
      </w:r>
    </w:p>
    <w:p w:rsidR="001F39D3" w:rsidRPr="001F39D3" w:rsidRDefault="001F39D3" w:rsidP="001F39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bdr w:val="none" w:sz="0" w:space="0" w:color="auto"/>
        </w:rPr>
      </w:pPr>
      <w:r w:rsidRPr="001F39D3">
        <w:rPr>
          <w:rFonts w:eastAsia="Times New Roman"/>
          <w:bdr w:val="none" w:sz="0" w:space="0" w:color="auto"/>
        </w:rPr>
        <w:t xml:space="preserve">‘Poplar’ refers to species within the genus </w:t>
      </w:r>
      <w:proofErr w:type="spellStart"/>
      <w:r w:rsidRPr="001F39D3">
        <w:rPr>
          <w:rFonts w:eastAsia="Times New Roman"/>
          <w:i/>
          <w:iCs/>
          <w:bdr w:val="none" w:sz="0" w:space="0" w:color="auto"/>
        </w:rPr>
        <w:t>Populus</w:t>
      </w:r>
      <w:proofErr w:type="spellEnd"/>
      <w:r w:rsidRPr="001F39D3">
        <w:rPr>
          <w:rFonts w:eastAsia="Times New Roman"/>
          <w:bdr w:val="none" w:sz="0" w:space="0" w:color="auto"/>
        </w:rPr>
        <w:t xml:space="preserve">, which belongs to the family </w:t>
      </w:r>
      <w:r w:rsidRPr="001F39D3">
        <w:rPr>
          <w:rFonts w:eastAsia="Times New Roman"/>
          <w:i/>
          <w:iCs/>
          <w:bdr w:val="none" w:sz="0" w:space="0" w:color="auto"/>
        </w:rPr>
        <w:t>Salicaceae</w:t>
      </w:r>
      <w:r w:rsidRPr="001F39D3">
        <w:rPr>
          <w:rFonts w:eastAsia="Times New Roman"/>
          <w:bdr w:val="none" w:sz="0" w:space="0" w:color="auto"/>
        </w:rPr>
        <w:t xml:space="preserve">, order </w:t>
      </w:r>
      <w:proofErr w:type="spellStart"/>
      <w:r w:rsidRPr="001F39D3">
        <w:rPr>
          <w:rFonts w:eastAsia="Times New Roman"/>
          <w:i/>
          <w:iCs/>
          <w:bdr w:val="none" w:sz="0" w:space="0" w:color="auto"/>
        </w:rPr>
        <w:t>Salicales</w:t>
      </w:r>
      <w:proofErr w:type="spellEnd"/>
      <w:r w:rsidRPr="001F39D3">
        <w:rPr>
          <w:rFonts w:eastAsia="Times New Roman"/>
          <w:bdr w:val="none" w:sz="0" w:space="0" w:color="auto"/>
        </w:rPr>
        <w:t xml:space="preserve">, and group </w:t>
      </w:r>
      <w:proofErr w:type="spellStart"/>
      <w:r w:rsidRPr="001F39D3">
        <w:rPr>
          <w:rFonts w:eastAsia="Times New Roman"/>
          <w:i/>
          <w:iCs/>
          <w:bdr w:val="none" w:sz="0" w:space="0" w:color="auto"/>
        </w:rPr>
        <w:t>Amentiferae</w:t>
      </w:r>
      <w:proofErr w:type="spellEnd"/>
      <w:r w:rsidRPr="001F39D3">
        <w:rPr>
          <w:rFonts w:eastAsia="Times New Roman"/>
          <w:bdr w:val="none" w:sz="0" w:space="0" w:color="auto"/>
        </w:rPr>
        <w:t xml:space="preserve">. The genus comprises approximately 35 </w:t>
      </w:r>
      <w:proofErr w:type="spellStart"/>
      <w:r w:rsidRPr="001F39D3">
        <w:rPr>
          <w:rFonts w:eastAsia="Times New Roman"/>
          <w:bdr w:val="none" w:sz="0" w:space="0" w:color="auto"/>
        </w:rPr>
        <w:t>recognised</w:t>
      </w:r>
      <w:proofErr w:type="spellEnd"/>
      <w:r w:rsidRPr="001F39D3">
        <w:rPr>
          <w:rFonts w:eastAsia="Times New Roman"/>
          <w:bdr w:val="none" w:sz="0" w:space="0" w:color="auto"/>
        </w:rPr>
        <w:t xml:space="preserve"> species (</w:t>
      </w:r>
      <w:proofErr w:type="spellStart"/>
      <w:r w:rsidRPr="001F39D3">
        <w:rPr>
          <w:rFonts w:eastAsia="Times New Roman"/>
          <w:bdr w:val="none" w:sz="0" w:space="0" w:color="auto"/>
        </w:rPr>
        <w:t>Dickmann</w:t>
      </w:r>
      <w:proofErr w:type="spellEnd"/>
      <w:r w:rsidRPr="001F39D3">
        <w:rPr>
          <w:rFonts w:eastAsia="Times New Roman"/>
          <w:bdr w:val="none" w:sz="0" w:space="0" w:color="auto"/>
        </w:rPr>
        <w:t xml:space="preserve"> and Stuart, 1984) and is widely distributed across warm temperate to cool temperate regions of the world. A notable biological feature of </w:t>
      </w:r>
      <w:proofErr w:type="spellStart"/>
      <w:r w:rsidRPr="001F39D3">
        <w:rPr>
          <w:rFonts w:eastAsia="Times New Roman"/>
          <w:i/>
          <w:iCs/>
          <w:bdr w:val="none" w:sz="0" w:space="0" w:color="auto"/>
        </w:rPr>
        <w:t>Populus</w:t>
      </w:r>
      <w:proofErr w:type="spellEnd"/>
      <w:r w:rsidRPr="001F39D3">
        <w:rPr>
          <w:rFonts w:eastAsia="Times New Roman"/>
          <w:bdr w:val="none" w:sz="0" w:space="0" w:color="auto"/>
        </w:rPr>
        <w:t xml:space="preserve"> species is their capacity for vegetative propagation, which facilitates rapid clonal multiplication and deployment (</w:t>
      </w:r>
      <w:proofErr w:type="spellStart"/>
      <w:r w:rsidRPr="001F39D3">
        <w:rPr>
          <w:rFonts w:eastAsia="Times New Roman"/>
          <w:bdr w:val="none" w:sz="0" w:space="0" w:color="auto"/>
        </w:rPr>
        <w:t>Dickmann</w:t>
      </w:r>
      <w:proofErr w:type="spellEnd"/>
      <w:r w:rsidRPr="001F39D3">
        <w:rPr>
          <w:rFonts w:eastAsia="Times New Roman"/>
          <w:bdr w:val="none" w:sz="0" w:space="0" w:color="auto"/>
        </w:rPr>
        <w:t xml:space="preserve">, 2001). In India, genetically improved clones of </w:t>
      </w:r>
      <w:proofErr w:type="spellStart"/>
      <w:r w:rsidRPr="001F39D3">
        <w:rPr>
          <w:rFonts w:eastAsia="Times New Roman"/>
          <w:i/>
          <w:iCs/>
          <w:bdr w:val="none" w:sz="0" w:space="0" w:color="auto"/>
        </w:rPr>
        <w:t>Populus</w:t>
      </w:r>
      <w:proofErr w:type="spellEnd"/>
      <w:r w:rsidRPr="001F39D3">
        <w:rPr>
          <w:rFonts w:eastAsia="Times New Roman"/>
          <w:i/>
          <w:iCs/>
          <w:bdr w:val="none" w:sz="0" w:space="0" w:color="auto"/>
        </w:rPr>
        <w:t xml:space="preserve"> </w:t>
      </w:r>
      <w:proofErr w:type="spellStart"/>
      <w:r w:rsidRPr="001F39D3">
        <w:rPr>
          <w:rFonts w:eastAsia="Times New Roman"/>
          <w:i/>
          <w:iCs/>
          <w:bdr w:val="none" w:sz="0" w:space="0" w:color="auto"/>
        </w:rPr>
        <w:t>deltoides</w:t>
      </w:r>
      <w:proofErr w:type="spellEnd"/>
      <w:r w:rsidRPr="001F39D3">
        <w:rPr>
          <w:rFonts w:eastAsia="Times New Roman"/>
          <w:bdr w:val="none" w:sz="0" w:space="0" w:color="auto"/>
        </w:rPr>
        <w:t xml:space="preserve"> were introduced around 1950, primarily for short-rotation forestry systems aimed at </w:t>
      </w:r>
      <w:proofErr w:type="spellStart"/>
      <w:r w:rsidRPr="001F39D3">
        <w:rPr>
          <w:rFonts w:eastAsia="Times New Roman"/>
          <w:bdr w:val="none" w:sz="0" w:space="0" w:color="auto"/>
        </w:rPr>
        <w:t>maximising</w:t>
      </w:r>
      <w:proofErr w:type="spellEnd"/>
      <w:r w:rsidRPr="001F39D3">
        <w:rPr>
          <w:rFonts w:eastAsia="Times New Roman"/>
          <w:bdr w:val="none" w:sz="0" w:space="0" w:color="auto"/>
        </w:rPr>
        <w:t xml:space="preserve"> wood production and meeting industrial demands (Chaturvedi and Rawat, 1994).</w:t>
      </w:r>
    </w:p>
    <w:p w:rsidR="001F39D3" w:rsidRPr="001F39D3" w:rsidRDefault="001F39D3" w:rsidP="001F39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bdr w:val="none" w:sz="0" w:space="0" w:color="auto"/>
        </w:rPr>
      </w:pPr>
      <w:r w:rsidRPr="001F39D3">
        <w:rPr>
          <w:rFonts w:eastAsia="Times New Roman"/>
          <w:bdr w:val="none" w:sz="0" w:space="0" w:color="auto"/>
        </w:rPr>
        <w:t xml:space="preserve">Advances in molecular genetics have significantly enhanced the </w:t>
      </w:r>
      <w:proofErr w:type="spellStart"/>
      <w:r w:rsidRPr="001F39D3">
        <w:rPr>
          <w:rFonts w:eastAsia="Times New Roman"/>
          <w:bdr w:val="none" w:sz="0" w:space="0" w:color="auto"/>
        </w:rPr>
        <w:t>characterisation</w:t>
      </w:r>
      <w:proofErr w:type="spellEnd"/>
      <w:r w:rsidRPr="001F39D3">
        <w:rPr>
          <w:rFonts w:eastAsia="Times New Roman"/>
          <w:bdr w:val="none" w:sz="0" w:space="0" w:color="auto"/>
        </w:rPr>
        <w:t xml:space="preserve"> and improvement of </w:t>
      </w:r>
      <w:proofErr w:type="spellStart"/>
      <w:r w:rsidRPr="001F39D3">
        <w:rPr>
          <w:rFonts w:eastAsia="Times New Roman"/>
          <w:i/>
          <w:iCs/>
          <w:bdr w:val="none" w:sz="0" w:space="0" w:color="auto"/>
        </w:rPr>
        <w:t>Populus</w:t>
      </w:r>
      <w:proofErr w:type="spellEnd"/>
      <w:r w:rsidRPr="001F39D3">
        <w:rPr>
          <w:rFonts w:eastAsia="Times New Roman"/>
          <w:bdr w:val="none" w:sz="0" w:space="0" w:color="auto"/>
        </w:rPr>
        <w:t xml:space="preserve"> species. Notably, Smulders </w:t>
      </w:r>
      <w:r w:rsidRPr="001F39D3">
        <w:rPr>
          <w:rFonts w:eastAsia="Times New Roman"/>
          <w:i/>
          <w:iCs/>
          <w:bdr w:val="none" w:sz="0" w:space="0" w:color="auto"/>
        </w:rPr>
        <w:t>et al.</w:t>
      </w:r>
      <w:r w:rsidRPr="001F39D3">
        <w:rPr>
          <w:rFonts w:eastAsia="Times New Roman"/>
          <w:bdr w:val="none" w:sz="0" w:space="0" w:color="auto"/>
        </w:rPr>
        <w:t xml:space="preserve"> (2001) isolated microsatellite repeats from black poplar (</w:t>
      </w:r>
      <w:proofErr w:type="spellStart"/>
      <w:r w:rsidRPr="001F39D3">
        <w:rPr>
          <w:rFonts w:eastAsia="Times New Roman"/>
          <w:i/>
          <w:iCs/>
          <w:bdr w:val="none" w:sz="0" w:space="0" w:color="auto"/>
        </w:rPr>
        <w:t>Populus</w:t>
      </w:r>
      <w:proofErr w:type="spellEnd"/>
      <w:r w:rsidRPr="001F39D3">
        <w:rPr>
          <w:rFonts w:eastAsia="Times New Roman"/>
          <w:i/>
          <w:iCs/>
          <w:bdr w:val="none" w:sz="0" w:space="0" w:color="auto"/>
        </w:rPr>
        <w:t xml:space="preserve"> </w:t>
      </w:r>
      <w:proofErr w:type="spellStart"/>
      <w:r w:rsidRPr="001F39D3">
        <w:rPr>
          <w:rFonts w:eastAsia="Times New Roman"/>
          <w:i/>
          <w:iCs/>
          <w:bdr w:val="none" w:sz="0" w:space="0" w:color="auto"/>
        </w:rPr>
        <w:t>nigra</w:t>
      </w:r>
      <w:proofErr w:type="spellEnd"/>
      <w:r w:rsidRPr="001F39D3">
        <w:rPr>
          <w:rFonts w:eastAsia="Times New Roman"/>
          <w:bdr w:val="none" w:sz="0" w:space="0" w:color="auto"/>
        </w:rPr>
        <w:t xml:space="preserve"> L.) and developed primer sets for microsatellite or Simple Sequence Repeat (SSR) marker analysis. Among these, ten primer pairs—predominantly targeting trinucleotide repeats—successfully amplified polymorphic DNA fragments in </w:t>
      </w:r>
      <w:r w:rsidRPr="001F39D3">
        <w:rPr>
          <w:rFonts w:eastAsia="Times New Roman"/>
          <w:i/>
          <w:iCs/>
          <w:bdr w:val="none" w:sz="0" w:space="0" w:color="auto"/>
        </w:rPr>
        <w:t xml:space="preserve">P. </w:t>
      </w:r>
      <w:proofErr w:type="spellStart"/>
      <w:r w:rsidRPr="001F39D3">
        <w:rPr>
          <w:rFonts w:eastAsia="Times New Roman"/>
          <w:i/>
          <w:iCs/>
          <w:bdr w:val="none" w:sz="0" w:space="0" w:color="auto"/>
        </w:rPr>
        <w:t>nigra</w:t>
      </w:r>
      <w:proofErr w:type="spellEnd"/>
      <w:r w:rsidRPr="001F39D3">
        <w:rPr>
          <w:rFonts w:eastAsia="Times New Roman"/>
          <w:bdr w:val="none" w:sz="0" w:space="0" w:color="auto"/>
        </w:rPr>
        <w:t xml:space="preserve">. Furthermore, several of these primers demonstrated cross-species transferability, yielding reliable amplification in related taxa such as </w:t>
      </w:r>
      <w:r w:rsidRPr="001F39D3">
        <w:rPr>
          <w:rFonts w:eastAsia="Times New Roman"/>
          <w:i/>
          <w:iCs/>
          <w:bdr w:val="none" w:sz="0" w:space="0" w:color="auto"/>
        </w:rPr>
        <w:t xml:space="preserve">P. </w:t>
      </w:r>
      <w:proofErr w:type="spellStart"/>
      <w:r w:rsidRPr="001F39D3">
        <w:rPr>
          <w:rFonts w:eastAsia="Times New Roman"/>
          <w:i/>
          <w:iCs/>
          <w:bdr w:val="none" w:sz="0" w:space="0" w:color="auto"/>
        </w:rPr>
        <w:t>deltoides</w:t>
      </w:r>
      <w:proofErr w:type="spellEnd"/>
      <w:r w:rsidRPr="001F39D3">
        <w:rPr>
          <w:rFonts w:eastAsia="Times New Roman"/>
          <w:bdr w:val="none" w:sz="0" w:space="0" w:color="auto"/>
        </w:rPr>
        <w:t xml:space="preserve">, </w:t>
      </w:r>
      <w:r w:rsidRPr="001F39D3">
        <w:rPr>
          <w:rFonts w:eastAsia="Times New Roman"/>
          <w:i/>
          <w:iCs/>
          <w:bdr w:val="none" w:sz="0" w:space="0" w:color="auto"/>
        </w:rPr>
        <w:t xml:space="preserve">P. </w:t>
      </w:r>
      <w:proofErr w:type="spellStart"/>
      <w:r w:rsidRPr="001F39D3">
        <w:rPr>
          <w:rFonts w:eastAsia="Times New Roman"/>
          <w:i/>
          <w:iCs/>
          <w:bdr w:val="none" w:sz="0" w:space="0" w:color="auto"/>
        </w:rPr>
        <w:t>trichocarpa</w:t>
      </w:r>
      <w:proofErr w:type="spellEnd"/>
      <w:r w:rsidRPr="001F39D3">
        <w:rPr>
          <w:rFonts w:eastAsia="Times New Roman"/>
          <w:bdr w:val="none" w:sz="0" w:space="0" w:color="auto"/>
        </w:rPr>
        <w:t xml:space="preserve">, </w:t>
      </w:r>
      <w:r w:rsidRPr="001F39D3">
        <w:rPr>
          <w:rFonts w:eastAsia="Times New Roman"/>
          <w:i/>
          <w:iCs/>
          <w:bdr w:val="none" w:sz="0" w:space="0" w:color="auto"/>
        </w:rPr>
        <w:t xml:space="preserve">P. </w:t>
      </w:r>
      <w:proofErr w:type="spellStart"/>
      <w:r w:rsidRPr="001F39D3">
        <w:rPr>
          <w:rFonts w:eastAsia="Times New Roman"/>
          <w:i/>
          <w:iCs/>
          <w:bdr w:val="none" w:sz="0" w:space="0" w:color="auto"/>
        </w:rPr>
        <w:t>tremula</w:t>
      </w:r>
      <w:proofErr w:type="spellEnd"/>
      <w:r w:rsidRPr="001F39D3">
        <w:rPr>
          <w:rFonts w:eastAsia="Times New Roman"/>
          <w:bdr w:val="none" w:sz="0" w:space="0" w:color="auto"/>
        </w:rPr>
        <w:t xml:space="preserve">, </w:t>
      </w:r>
      <w:r w:rsidRPr="001F39D3">
        <w:rPr>
          <w:rFonts w:eastAsia="Times New Roman"/>
          <w:i/>
          <w:iCs/>
          <w:bdr w:val="none" w:sz="0" w:space="0" w:color="auto"/>
        </w:rPr>
        <w:t xml:space="preserve">P. </w:t>
      </w:r>
      <w:proofErr w:type="spellStart"/>
      <w:r w:rsidRPr="001F39D3">
        <w:rPr>
          <w:rFonts w:eastAsia="Times New Roman"/>
          <w:i/>
          <w:iCs/>
          <w:bdr w:val="none" w:sz="0" w:space="0" w:color="auto"/>
        </w:rPr>
        <w:t>tremuloides</w:t>
      </w:r>
      <w:proofErr w:type="spellEnd"/>
      <w:r w:rsidRPr="001F39D3">
        <w:rPr>
          <w:rFonts w:eastAsia="Times New Roman"/>
          <w:bdr w:val="none" w:sz="0" w:space="0" w:color="auto"/>
        </w:rPr>
        <w:t xml:space="preserve">, </w:t>
      </w:r>
      <w:r w:rsidRPr="001F39D3">
        <w:rPr>
          <w:rFonts w:eastAsia="Times New Roman"/>
          <w:i/>
          <w:iCs/>
          <w:bdr w:val="none" w:sz="0" w:space="0" w:color="auto"/>
        </w:rPr>
        <w:t xml:space="preserve">P. </w:t>
      </w:r>
      <w:proofErr w:type="spellStart"/>
      <w:r w:rsidRPr="001F39D3">
        <w:rPr>
          <w:rFonts w:eastAsia="Times New Roman"/>
          <w:i/>
          <w:iCs/>
          <w:bdr w:val="none" w:sz="0" w:space="0" w:color="auto"/>
        </w:rPr>
        <w:t>candicans</w:t>
      </w:r>
      <w:proofErr w:type="spellEnd"/>
      <w:r w:rsidRPr="001F39D3">
        <w:rPr>
          <w:rFonts w:eastAsia="Times New Roman"/>
          <w:bdr w:val="none" w:sz="0" w:space="0" w:color="auto"/>
        </w:rPr>
        <w:t xml:space="preserve">, and </w:t>
      </w:r>
      <w:r w:rsidRPr="001F39D3">
        <w:rPr>
          <w:rFonts w:eastAsia="Times New Roman"/>
          <w:i/>
          <w:iCs/>
          <w:bdr w:val="none" w:sz="0" w:space="0" w:color="auto"/>
        </w:rPr>
        <w:t xml:space="preserve">P. </w:t>
      </w:r>
      <w:proofErr w:type="spellStart"/>
      <w:r w:rsidRPr="001F39D3">
        <w:rPr>
          <w:rFonts w:eastAsia="Times New Roman"/>
          <w:i/>
          <w:iCs/>
          <w:bdr w:val="none" w:sz="0" w:space="0" w:color="auto"/>
        </w:rPr>
        <w:t>lasiocarpa</w:t>
      </w:r>
      <w:proofErr w:type="spellEnd"/>
      <w:r w:rsidRPr="001F39D3">
        <w:rPr>
          <w:rFonts w:eastAsia="Times New Roman"/>
          <w:bdr w:val="none" w:sz="0" w:space="0" w:color="auto"/>
        </w:rPr>
        <w:t xml:space="preserve">. From this set, six highly informative loci were subsequently selected and validated across 23 </w:t>
      </w:r>
      <w:r w:rsidRPr="001F39D3">
        <w:rPr>
          <w:rFonts w:eastAsia="Times New Roman"/>
          <w:i/>
          <w:iCs/>
          <w:bdr w:val="none" w:sz="0" w:space="0" w:color="auto"/>
        </w:rPr>
        <w:t xml:space="preserve">P. </w:t>
      </w:r>
      <w:proofErr w:type="spellStart"/>
      <w:r w:rsidRPr="001F39D3">
        <w:rPr>
          <w:rFonts w:eastAsia="Times New Roman"/>
          <w:i/>
          <w:iCs/>
          <w:bdr w:val="none" w:sz="0" w:space="0" w:color="auto"/>
        </w:rPr>
        <w:t>nigra</w:t>
      </w:r>
      <w:proofErr w:type="spellEnd"/>
      <w:r w:rsidRPr="001F39D3">
        <w:rPr>
          <w:rFonts w:eastAsia="Times New Roman"/>
          <w:bdr w:val="none" w:sz="0" w:space="0" w:color="auto"/>
        </w:rPr>
        <w:t xml:space="preserve"> genotypes </w:t>
      </w:r>
      <w:r w:rsidRPr="001F39D3">
        <w:rPr>
          <w:rFonts w:eastAsia="Times New Roman"/>
          <w:bdr w:val="none" w:sz="0" w:space="0" w:color="auto"/>
        </w:rPr>
        <w:lastRenderedPageBreak/>
        <w:t>originating from diverse European regions, highlighting their effectiveness in detecting genetic variability.</w:t>
      </w:r>
    </w:p>
    <w:p w:rsidR="001F39D3" w:rsidRPr="001F39D3" w:rsidRDefault="001F39D3" w:rsidP="001F39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bdr w:val="none" w:sz="0" w:space="0" w:color="auto"/>
        </w:rPr>
      </w:pPr>
      <w:r w:rsidRPr="001F39D3">
        <w:rPr>
          <w:rFonts w:eastAsia="Times New Roman"/>
          <w:bdr w:val="none" w:sz="0" w:space="0" w:color="auto"/>
        </w:rPr>
        <w:t xml:space="preserve">Molecular markers have proven particularly advantageous for studying genetic diversity in long-lived tree species, where conventional approaches, such as common garden experiments, are often </w:t>
      </w:r>
      <w:proofErr w:type="spellStart"/>
      <w:r w:rsidRPr="001F39D3">
        <w:rPr>
          <w:rFonts w:eastAsia="Times New Roman"/>
          <w:bdr w:val="none" w:sz="0" w:space="0" w:color="auto"/>
        </w:rPr>
        <w:t>labour-intensive</w:t>
      </w:r>
      <w:proofErr w:type="spellEnd"/>
      <w:r w:rsidRPr="001F39D3">
        <w:rPr>
          <w:rFonts w:eastAsia="Times New Roman"/>
          <w:bdr w:val="none" w:sz="0" w:space="0" w:color="auto"/>
        </w:rPr>
        <w:t>, time-consuming, and influenced by environmental variability. In contrast, DNA-based markers enable rapid, precise, and environment-independent assessment of genetic variation, thereby accelerating breeding and conservation research.</w:t>
      </w:r>
    </w:p>
    <w:p w:rsidR="001F39D3" w:rsidRPr="001F39D3" w:rsidRDefault="001F39D3" w:rsidP="001F39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bdr w:val="none" w:sz="0" w:space="0" w:color="auto"/>
        </w:rPr>
      </w:pPr>
      <w:r w:rsidRPr="001F39D3">
        <w:rPr>
          <w:rFonts w:eastAsia="Times New Roman"/>
          <w:bdr w:val="none" w:sz="0" w:space="0" w:color="auto"/>
        </w:rPr>
        <w:t>A wide array of molecular marker systems—including Amplified Fragment Length Polymorphisms (AFLPs), Restriction Fragment Length Polymorphisms (RFLPs), nuclear and cytoplasmic SSRs, and Single Nucleotide Polymorphisms (SNPs)—have been employed to investigate genetic diversity (</w:t>
      </w:r>
      <w:proofErr w:type="spellStart"/>
      <w:r w:rsidRPr="001F39D3">
        <w:rPr>
          <w:rFonts w:eastAsia="Times New Roman"/>
          <w:bdr w:val="none" w:sz="0" w:space="0" w:color="auto"/>
        </w:rPr>
        <w:t>Krutovsky</w:t>
      </w:r>
      <w:proofErr w:type="spellEnd"/>
      <w:r w:rsidRPr="001F39D3">
        <w:rPr>
          <w:rFonts w:eastAsia="Times New Roman"/>
          <w:bdr w:val="none" w:sz="0" w:space="0" w:color="auto"/>
        </w:rPr>
        <w:t xml:space="preserve"> and Neale, 2006). Among these, SSRs and SNPs are currently regarded as the most informative due to their abundance in the genome, high reproducibility, and co-dominant inheritance. In </w:t>
      </w:r>
      <w:proofErr w:type="spellStart"/>
      <w:r w:rsidRPr="001F39D3">
        <w:rPr>
          <w:rFonts w:eastAsia="Times New Roman"/>
          <w:i/>
          <w:iCs/>
          <w:bdr w:val="none" w:sz="0" w:space="0" w:color="auto"/>
        </w:rPr>
        <w:t>Populus</w:t>
      </w:r>
      <w:proofErr w:type="spellEnd"/>
      <w:r w:rsidRPr="001F39D3">
        <w:rPr>
          <w:rFonts w:eastAsia="Times New Roman"/>
          <w:bdr w:val="none" w:sz="0" w:space="0" w:color="auto"/>
        </w:rPr>
        <w:t xml:space="preserve">, extensive genomic resources have been developed, including a comprehensive database of thousands of SSR loci established by the International </w:t>
      </w:r>
      <w:proofErr w:type="spellStart"/>
      <w:r w:rsidRPr="001F39D3">
        <w:rPr>
          <w:rFonts w:eastAsia="Times New Roman"/>
          <w:bdr w:val="none" w:sz="0" w:space="0" w:color="auto"/>
        </w:rPr>
        <w:t>Populus</w:t>
      </w:r>
      <w:proofErr w:type="spellEnd"/>
      <w:r w:rsidRPr="001F39D3">
        <w:rPr>
          <w:rFonts w:eastAsia="Times New Roman"/>
          <w:bdr w:val="none" w:sz="0" w:space="0" w:color="auto"/>
        </w:rPr>
        <w:t xml:space="preserve"> Genome Consortium. Additionally, Expressed Sequence Tag (EST) collections have played a pivotal role in establishing </w:t>
      </w:r>
      <w:proofErr w:type="spellStart"/>
      <w:r w:rsidRPr="001F39D3">
        <w:rPr>
          <w:rFonts w:eastAsia="Times New Roman"/>
          <w:i/>
          <w:iCs/>
          <w:bdr w:val="none" w:sz="0" w:space="0" w:color="auto"/>
        </w:rPr>
        <w:t>Populus</w:t>
      </w:r>
      <w:proofErr w:type="spellEnd"/>
      <w:r w:rsidRPr="001F39D3">
        <w:rPr>
          <w:rFonts w:eastAsia="Times New Roman"/>
          <w:bdr w:val="none" w:sz="0" w:space="0" w:color="auto"/>
        </w:rPr>
        <w:t xml:space="preserve"> as a model organism in forest genomics. These large-scale EST datasets provide valuable insights into gene expression patterns, enabling both qualitative and quantitative analyses, as well as snapshots of tissue-specific and developmental-stage gene activity (</w:t>
      </w:r>
      <w:proofErr w:type="spellStart"/>
      <w:r w:rsidRPr="001F39D3">
        <w:rPr>
          <w:rFonts w:eastAsia="Times New Roman"/>
          <w:bdr w:val="none" w:sz="0" w:space="0" w:color="auto"/>
        </w:rPr>
        <w:t>Sterky</w:t>
      </w:r>
      <w:proofErr w:type="spellEnd"/>
      <w:r w:rsidRPr="001F39D3">
        <w:rPr>
          <w:rFonts w:eastAsia="Times New Roman"/>
          <w:bdr w:val="none" w:sz="0" w:space="0" w:color="auto"/>
        </w:rPr>
        <w:t xml:space="preserve"> </w:t>
      </w:r>
      <w:r w:rsidRPr="001F39D3">
        <w:rPr>
          <w:rFonts w:eastAsia="Times New Roman"/>
          <w:i/>
          <w:iCs/>
          <w:bdr w:val="none" w:sz="0" w:space="0" w:color="auto"/>
        </w:rPr>
        <w:t>et al.</w:t>
      </w:r>
      <w:r w:rsidRPr="001F39D3">
        <w:rPr>
          <w:rFonts w:eastAsia="Times New Roman"/>
          <w:bdr w:val="none" w:sz="0" w:space="0" w:color="auto"/>
        </w:rPr>
        <w:t xml:space="preserve">, 2004; Kohler </w:t>
      </w:r>
      <w:r w:rsidRPr="001F39D3">
        <w:rPr>
          <w:rFonts w:eastAsia="Times New Roman"/>
          <w:i/>
          <w:iCs/>
          <w:bdr w:val="none" w:sz="0" w:space="0" w:color="auto"/>
        </w:rPr>
        <w:t>et al.</w:t>
      </w:r>
      <w:r w:rsidRPr="001F39D3">
        <w:rPr>
          <w:rFonts w:eastAsia="Times New Roman"/>
          <w:bdr w:val="none" w:sz="0" w:space="0" w:color="auto"/>
        </w:rPr>
        <w:t>, 2003).</w:t>
      </w:r>
    </w:p>
    <w:p w:rsidR="001F39D3" w:rsidRPr="001F39D3" w:rsidRDefault="001F39D3" w:rsidP="001F39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bdr w:val="none" w:sz="0" w:space="0" w:color="auto"/>
        </w:rPr>
      </w:pPr>
      <w:r w:rsidRPr="001F39D3">
        <w:rPr>
          <w:rFonts w:eastAsia="Times New Roman"/>
          <w:bdr w:val="none" w:sz="0" w:space="0" w:color="auto"/>
        </w:rPr>
        <w:t xml:space="preserve">In this context, the present study aims to evaluate the efficacy of SSR markers for the molecular verification and genetic </w:t>
      </w:r>
      <w:proofErr w:type="spellStart"/>
      <w:r w:rsidRPr="001F39D3">
        <w:rPr>
          <w:rFonts w:eastAsia="Times New Roman"/>
          <w:bdr w:val="none" w:sz="0" w:space="0" w:color="auto"/>
        </w:rPr>
        <w:t>characterisation</w:t>
      </w:r>
      <w:proofErr w:type="spellEnd"/>
      <w:r w:rsidRPr="001F39D3">
        <w:rPr>
          <w:rFonts w:eastAsia="Times New Roman"/>
          <w:bdr w:val="none" w:sz="0" w:space="0" w:color="auto"/>
        </w:rPr>
        <w:t xml:space="preserve"> of </w:t>
      </w:r>
      <w:proofErr w:type="spellStart"/>
      <w:r w:rsidRPr="001F39D3">
        <w:rPr>
          <w:rFonts w:eastAsia="Times New Roman"/>
          <w:i/>
          <w:iCs/>
          <w:bdr w:val="none" w:sz="0" w:space="0" w:color="auto"/>
        </w:rPr>
        <w:t>Populus</w:t>
      </w:r>
      <w:proofErr w:type="spellEnd"/>
      <w:r w:rsidRPr="001F39D3">
        <w:rPr>
          <w:rFonts w:eastAsia="Times New Roman"/>
          <w:i/>
          <w:iCs/>
          <w:bdr w:val="none" w:sz="0" w:space="0" w:color="auto"/>
        </w:rPr>
        <w:t xml:space="preserve"> </w:t>
      </w:r>
      <w:proofErr w:type="spellStart"/>
      <w:r w:rsidRPr="001F39D3">
        <w:rPr>
          <w:rFonts w:eastAsia="Times New Roman"/>
          <w:i/>
          <w:iCs/>
          <w:bdr w:val="none" w:sz="0" w:space="0" w:color="auto"/>
        </w:rPr>
        <w:t>deltoides</w:t>
      </w:r>
      <w:proofErr w:type="spellEnd"/>
      <w:r w:rsidRPr="001F39D3">
        <w:rPr>
          <w:rFonts w:eastAsia="Times New Roman"/>
          <w:bdr w:val="none" w:sz="0" w:space="0" w:color="auto"/>
        </w:rPr>
        <w:t xml:space="preserve"> clones, thereby contributing to the accuracy of clonal identification and the advancement of breeding and conservation strategies.</w:t>
      </w:r>
    </w:p>
    <w:p w:rsidR="008C79BB" w:rsidRPr="00D85F74" w:rsidRDefault="008C79BB">
      <w:pPr>
        <w:pStyle w:val="BodyText"/>
        <w:spacing w:before="120" w:line="360" w:lineRule="auto"/>
        <w:ind w:left="0" w:right="0"/>
        <w:jc w:val="left"/>
        <w:rPr>
          <w:rFonts w:eastAsia="Arial" w:cs="Times New Roman"/>
        </w:rPr>
      </w:pPr>
    </w:p>
    <w:p w:rsidR="008C79BB" w:rsidRPr="00D85F74" w:rsidRDefault="00460E75">
      <w:pPr>
        <w:pStyle w:val="Heading"/>
        <w:spacing w:before="120" w:line="360" w:lineRule="auto"/>
        <w:jc w:val="both"/>
        <w:rPr>
          <w:rFonts w:eastAsia="Arial"/>
        </w:rPr>
      </w:pPr>
      <w:r w:rsidRPr="00D85F74">
        <w:rPr>
          <w:lang w:val="en-US"/>
        </w:rPr>
        <w:t>Method</w:t>
      </w:r>
      <w:r w:rsidRPr="00D85F74">
        <w:t xml:space="preserve"> and </w:t>
      </w:r>
      <w:r w:rsidRPr="00D85F74">
        <w:rPr>
          <w:lang w:val="de-DE"/>
        </w:rPr>
        <w:t>Materials</w:t>
      </w:r>
    </w:p>
    <w:p w:rsidR="00CB4C51" w:rsidRDefault="00460E75" w:rsidP="00CB4C51">
      <w:pPr>
        <w:pStyle w:val="NormalWeb"/>
        <w:spacing w:line="360" w:lineRule="auto"/>
        <w:jc w:val="both"/>
      </w:pPr>
      <w:r w:rsidRPr="00D85F74">
        <w:rPr>
          <w:lang w:val="en-US"/>
        </w:rPr>
        <w:t xml:space="preserve">The present investigation was carried out in the Department of Tree Improvement and Genetic Resources, Dr. Y.S. Parmar University of Horticulture and Forestry, </w:t>
      </w:r>
      <w:proofErr w:type="spellStart"/>
      <w:r w:rsidRPr="00D85F74">
        <w:rPr>
          <w:lang w:val="en-US"/>
        </w:rPr>
        <w:t>Nauni</w:t>
      </w:r>
      <w:proofErr w:type="spellEnd"/>
      <w:r w:rsidRPr="00D85F74">
        <w:rPr>
          <w:lang w:val="en-US"/>
        </w:rPr>
        <w:t xml:space="preserve">, </w:t>
      </w:r>
      <w:proofErr w:type="spellStart"/>
      <w:r w:rsidRPr="00D85F74">
        <w:rPr>
          <w:lang w:val="en-US"/>
        </w:rPr>
        <w:t>Solan</w:t>
      </w:r>
      <w:proofErr w:type="spellEnd"/>
      <w:r w:rsidRPr="00D85F74">
        <w:rPr>
          <w:lang w:val="en-US"/>
        </w:rPr>
        <w:t xml:space="preserve"> (H.P.). 15 clones </w:t>
      </w:r>
      <w:r w:rsidR="008B38AA" w:rsidRPr="00D85F74">
        <w:rPr>
          <w:lang w:val="en-US"/>
        </w:rPr>
        <w:t>w</w:t>
      </w:r>
      <w:r w:rsidRPr="00D85F74">
        <w:rPr>
          <w:lang w:val="en-US"/>
        </w:rPr>
        <w:t xml:space="preserve">ere planted with three </w:t>
      </w:r>
      <w:r w:rsidR="00CB4C51" w:rsidRPr="00D85F74">
        <w:rPr>
          <w:lang w:val="en-US"/>
        </w:rPr>
        <w:t>replications</w:t>
      </w:r>
      <w:r w:rsidRPr="00D85F74">
        <w:rPr>
          <w:lang w:val="en-US"/>
        </w:rPr>
        <w:t xml:space="preserve"> in </w:t>
      </w:r>
      <w:r w:rsidR="00CB4C51" w:rsidRPr="00D85F74">
        <w:rPr>
          <w:lang w:val="en-US"/>
        </w:rPr>
        <w:t>randomized</w:t>
      </w:r>
      <w:r w:rsidRPr="00D85F74">
        <w:rPr>
          <w:lang w:val="en-US"/>
        </w:rPr>
        <w:t xml:space="preserve"> blocks design. </w:t>
      </w:r>
      <w:r w:rsidR="00CB4C51">
        <w:t>Cuttings of 15 different clones were collected from various research institutes. To evaluate these clones,</w:t>
      </w:r>
      <w:r w:rsidR="003A38CA">
        <w:t xml:space="preserve"> 18</w:t>
      </w:r>
      <w:r w:rsidR="00CB4C51">
        <w:t xml:space="preserve"> Simple Sequence Repeat (SSR) markers were used</w:t>
      </w:r>
      <w:r w:rsidR="003A38CA">
        <w:t xml:space="preserve"> (table 1)</w:t>
      </w:r>
      <w:r w:rsidR="00CB4C51">
        <w:t xml:space="preserve">. Fresh young leaves were taken from the field and used for DNA extraction. The nuclear DNA was isolated following the Doyle and Doyle (1987) method, with minor modifications. For SSR analysis, DNA amplification was performed using eighteen SSR primers that were procured from Bangalore </w:t>
      </w:r>
      <w:proofErr w:type="spellStart"/>
      <w:r w:rsidR="00CB4C51">
        <w:t>Genei</w:t>
      </w:r>
      <w:proofErr w:type="spellEnd"/>
      <w:r w:rsidR="00CB4C51">
        <w:t>, India. Before running the final PCR reactions, optimization tests were carried out to determine the most suitable amplification conditions, particularly the annealing temperature. The annealing temperature for each primer pair was adjusted based on their calculated melting temperatures (Tm) to ensure proper amplification.</w:t>
      </w:r>
    </w:p>
    <w:p w:rsidR="001F64F0" w:rsidRDefault="001F64F0" w:rsidP="001F64F0">
      <w:pPr>
        <w:pStyle w:val="NormalWeb"/>
      </w:pPr>
      <w:r>
        <w:t>The amplified bands were scored in a binary format, assigning ‘1’ for the presence and ‘0’ for the absence of bands, to generate a data matrix for subsequent similarity analysis. The resulting binary matrix was analysed using the SIMQUAL programme implemented in NTSYS-pc (Version 2.2). Genetic similarity among the genotypes was estimated using the Jaccard similarity coefficient.</w:t>
      </w:r>
    </w:p>
    <w:p w:rsidR="001F64F0" w:rsidRDefault="001F64F0" w:rsidP="001F64F0">
      <w:pPr>
        <w:pStyle w:val="NormalWeb"/>
      </w:pPr>
      <w:r>
        <w:lastRenderedPageBreak/>
        <w:t xml:space="preserve">The coefficient was calculated according to the formula </w:t>
      </w:r>
      <w:r>
        <w:rPr>
          <w:rStyle w:val="Emphasis"/>
        </w:rPr>
        <w:t>J</w:t>
      </w:r>
      <w:r>
        <w:t xml:space="preserve"> = A / (N − D), where </w:t>
      </w:r>
      <w:r>
        <w:rPr>
          <w:rStyle w:val="Emphasis"/>
        </w:rPr>
        <w:t>A</w:t>
      </w:r>
      <w:r>
        <w:t xml:space="preserve"> represents the number of positive matches (i.e. bands present in both samples), </w:t>
      </w:r>
      <w:r>
        <w:rPr>
          <w:rStyle w:val="Emphasis"/>
        </w:rPr>
        <w:t>D</w:t>
      </w:r>
      <w:r>
        <w:t xml:space="preserve"> denotes the number of negative matches (i.e. bands absent in both samples), and </w:t>
      </w:r>
      <w:r>
        <w:rPr>
          <w:rStyle w:val="Emphasis"/>
        </w:rPr>
        <w:t>N</w:t>
      </w:r>
      <w:r>
        <w:t xml:space="preserve"> corresponds to the total number of observations, including both matched and unmatched instances. This approach ensures that shared absences are excluded from similarity estimation, thereby providing a more accurate representation of genetic relatedness among the genotypes.</w:t>
      </w:r>
    </w:p>
    <w:p w:rsidR="003A38CA" w:rsidRPr="003A38CA" w:rsidRDefault="003A38CA" w:rsidP="003A38CA">
      <w:pPr>
        <w:pStyle w:val="Style7"/>
        <w:spacing w:line="360" w:lineRule="auto"/>
        <w:ind w:left="1080" w:right="29" w:hanging="1080"/>
        <w:rPr>
          <w:rFonts w:ascii="The times new Roman" w:hAnsi="The times new Roman"/>
          <w:b/>
        </w:rPr>
      </w:pPr>
      <w:r>
        <w:rPr>
          <w:rFonts w:ascii="The times new Roman" w:hAnsi="The times new Roman"/>
          <w:b/>
        </w:rPr>
        <w:t>Table 1</w:t>
      </w:r>
      <w:r w:rsidRPr="00FF1AE0">
        <w:rPr>
          <w:rFonts w:ascii="The times new Roman" w:hAnsi="The times new Roman"/>
          <w:b/>
        </w:rPr>
        <w:t xml:space="preserve">: </w:t>
      </w:r>
      <w:r w:rsidRPr="00FF1AE0">
        <w:rPr>
          <w:rFonts w:ascii="The times new Roman" w:hAnsi="The times new Roman"/>
          <w:b/>
        </w:rPr>
        <w:tab/>
        <w:t>Nucleotide sequences of 18 SSR primers (</w:t>
      </w:r>
      <w:proofErr w:type="spellStart"/>
      <w:r w:rsidRPr="00FF1AE0">
        <w:rPr>
          <w:rFonts w:ascii="The times new Roman" w:hAnsi="The times new Roman"/>
          <w:b/>
        </w:rPr>
        <w:t>Khasa</w:t>
      </w:r>
      <w:proofErr w:type="spellEnd"/>
      <w:r w:rsidRPr="00FF1AE0">
        <w:rPr>
          <w:rFonts w:ascii="The times new Roman" w:hAnsi="The times new Roman"/>
          <w:b/>
        </w:rPr>
        <w:t xml:space="preserve"> </w:t>
      </w:r>
      <w:r w:rsidRPr="00FF1AE0">
        <w:rPr>
          <w:rFonts w:ascii="The times new Roman" w:hAnsi="The times new Roman"/>
          <w:b/>
          <w:i/>
        </w:rPr>
        <w:t>et al</w:t>
      </w:r>
      <w:r w:rsidRPr="00FF1AE0">
        <w:rPr>
          <w:rFonts w:ascii="The times new Roman" w:hAnsi="The times new Roman"/>
          <w:b/>
        </w:rPr>
        <w:t xml:space="preserve">. 2003, </w:t>
      </w:r>
      <w:proofErr w:type="spellStart"/>
      <w:r w:rsidRPr="00FF1AE0">
        <w:rPr>
          <w:rFonts w:ascii="The times new Roman" w:hAnsi="The times new Roman"/>
          <w:b/>
        </w:rPr>
        <w:t>Tuskan</w:t>
      </w:r>
      <w:proofErr w:type="spellEnd"/>
      <w:r w:rsidRPr="00FF1AE0">
        <w:rPr>
          <w:rFonts w:ascii="The times new Roman" w:hAnsi="The times new Roman"/>
          <w:b/>
        </w:rPr>
        <w:t xml:space="preserve"> </w:t>
      </w:r>
      <w:r w:rsidRPr="00FF1AE0">
        <w:rPr>
          <w:rFonts w:ascii="The times new Roman" w:hAnsi="The times new Roman"/>
          <w:b/>
          <w:i/>
        </w:rPr>
        <w:t>et al</w:t>
      </w:r>
      <w:r w:rsidRPr="00FF1AE0">
        <w:rPr>
          <w:rFonts w:ascii="The times new Roman" w:hAnsi="The times new Roman"/>
          <w:b/>
        </w:rPr>
        <w:t xml:space="preserve">. 2004, Peng </w:t>
      </w:r>
      <w:r w:rsidRPr="00FF1AE0">
        <w:rPr>
          <w:rFonts w:ascii="The times new Roman" w:hAnsi="The times new Roman"/>
          <w:b/>
          <w:i/>
        </w:rPr>
        <w:t>et al</w:t>
      </w:r>
      <w:r w:rsidRPr="00FF1AE0">
        <w:rPr>
          <w:rFonts w:ascii="The times new Roman" w:hAnsi="The times new Roman"/>
          <w:b/>
        </w:rPr>
        <w:t xml:space="preserve">. 2005 &amp; Grewal </w:t>
      </w:r>
      <w:r w:rsidRPr="00FF1AE0">
        <w:rPr>
          <w:rFonts w:ascii="The times new Roman" w:hAnsi="The times new Roman"/>
          <w:b/>
          <w:i/>
        </w:rPr>
        <w:t>et al</w:t>
      </w:r>
      <w:r w:rsidRPr="00FF1AE0">
        <w:rPr>
          <w:rFonts w:ascii="The times new Roman" w:hAnsi="The times new Roman"/>
          <w:b/>
        </w:rPr>
        <w:t>.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2064"/>
        <w:gridCol w:w="6026"/>
      </w:tblGrid>
      <w:tr w:rsidR="003A38CA" w:rsidRPr="00FF1AE0" w:rsidTr="00FC58CF">
        <w:trPr>
          <w:trHeight w:val="83"/>
        </w:trPr>
        <w:tc>
          <w:tcPr>
            <w:tcW w:w="963"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b/>
              </w:rPr>
            </w:pPr>
            <w:r w:rsidRPr="00FF1AE0">
              <w:rPr>
                <w:rFonts w:ascii="The times new Roman" w:hAnsi="The times new Roman"/>
                <w:b/>
              </w:rPr>
              <w:t>S. No.</w:t>
            </w:r>
          </w:p>
        </w:tc>
        <w:tc>
          <w:tcPr>
            <w:tcW w:w="2064"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b/>
              </w:rPr>
            </w:pPr>
            <w:r w:rsidRPr="00FF1AE0">
              <w:rPr>
                <w:rFonts w:ascii="The times new Roman" w:hAnsi="The times new Roman"/>
                <w:b/>
              </w:rPr>
              <w:t>Primer names</w:t>
            </w: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b/>
              </w:rPr>
            </w:pPr>
            <w:r w:rsidRPr="00FF1AE0">
              <w:rPr>
                <w:rFonts w:ascii="The times new Roman" w:hAnsi="The times new Roman"/>
                <w:b/>
              </w:rPr>
              <w:t>Sequences</w:t>
            </w:r>
          </w:p>
        </w:tc>
      </w:tr>
      <w:tr w:rsidR="003A38CA" w:rsidRPr="00FF1AE0" w:rsidTr="00FC58CF">
        <w:trPr>
          <w:trHeight w:val="83"/>
        </w:trPr>
        <w:tc>
          <w:tcPr>
            <w:tcW w:w="963" w:type="dxa"/>
            <w:vMerge w:val="restart"/>
            <w:tcBorders>
              <w:top w:val="single" w:sz="4" w:space="0" w:color="auto"/>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1.</w:t>
            </w:r>
          </w:p>
        </w:tc>
        <w:tc>
          <w:tcPr>
            <w:tcW w:w="2064" w:type="dxa"/>
            <w:vMerge w:val="restart"/>
            <w:tcBorders>
              <w:top w:val="single" w:sz="4" w:space="0" w:color="auto"/>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PMGC- 571</w:t>
            </w: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FP-CTGGTACCGATGGAGAAGAC</w:t>
            </w:r>
          </w:p>
        </w:tc>
      </w:tr>
      <w:tr w:rsidR="003A38CA" w:rsidRPr="00FF1AE0" w:rsidTr="00FC58CF">
        <w:trPr>
          <w:trHeight w:val="83"/>
        </w:trPr>
        <w:tc>
          <w:tcPr>
            <w:tcW w:w="963" w:type="dxa"/>
            <w:vMerge/>
            <w:tcBorders>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b/>
              </w:rPr>
            </w:pPr>
          </w:p>
        </w:tc>
        <w:tc>
          <w:tcPr>
            <w:tcW w:w="2064" w:type="dxa"/>
            <w:vMerge/>
            <w:tcBorders>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b/>
              </w:rPr>
            </w:pP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RP-CAAACCAACAACTCACCGTAC</w:t>
            </w:r>
          </w:p>
        </w:tc>
      </w:tr>
      <w:tr w:rsidR="003A38CA" w:rsidRPr="00FF1AE0" w:rsidTr="00FC58CF">
        <w:trPr>
          <w:trHeight w:val="83"/>
        </w:trPr>
        <w:tc>
          <w:tcPr>
            <w:tcW w:w="963" w:type="dxa"/>
            <w:vMerge w:val="restart"/>
            <w:tcBorders>
              <w:top w:val="single" w:sz="4" w:space="0" w:color="auto"/>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2.</w:t>
            </w:r>
          </w:p>
        </w:tc>
        <w:tc>
          <w:tcPr>
            <w:tcW w:w="2064" w:type="dxa"/>
            <w:vMerge w:val="restart"/>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PMGC- 2163</w:t>
            </w: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FP- CAATCGAAGGTAAGGTTAGTG</w:t>
            </w:r>
          </w:p>
        </w:tc>
      </w:tr>
      <w:tr w:rsidR="003A38CA" w:rsidRPr="00FF1AE0" w:rsidTr="00FC58CF">
        <w:trPr>
          <w:trHeight w:val="83"/>
        </w:trPr>
        <w:tc>
          <w:tcPr>
            <w:tcW w:w="963" w:type="dxa"/>
            <w:vMerge/>
            <w:tcBorders>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p>
        </w:tc>
        <w:tc>
          <w:tcPr>
            <w:tcW w:w="2064" w:type="dxa"/>
            <w:vMerge/>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RP- CGTTGGACATAGATCACACG</w:t>
            </w:r>
          </w:p>
        </w:tc>
      </w:tr>
      <w:tr w:rsidR="003A38CA" w:rsidRPr="00FF1AE0" w:rsidTr="00FC58CF">
        <w:trPr>
          <w:trHeight w:val="83"/>
        </w:trPr>
        <w:tc>
          <w:tcPr>
            <w:tcW w:w="963" w:type="dxa"/>
            <w:vMerge w:val="restart"/>
            <w:tcBorders>
              <w:top w:val="single" w:sz="4" w:space="0" w:color="auto"/>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3.</w:t>
            </w:r>
          </w:p>
        </w:tc>
        <w:tc>
          <w:tcPr>
            <w:tcW w:w="2064" w:type="dxa"/>
            <w:vMerge w:val="restart"/>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PMGC- 333</w:t>
            </w: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FP-CTTAGTGGTGAAGTATTC</w:t>
            </w:r>
          </w:p>
        </w:tc>
      </w:tr>
      <w:tr w:rsidR="003A38CA" w:rsidRPr="00FF1AE0" w:rsidTr="00FC58CF">
        <w:trPr>
          <w:trHeight w:val="83"/>
        </w:trPr>
        <w:tc>
          <w:tcPr>
            <w:tcW w:w="963" w:type="dxa"/>
            <w:vMerge/>
            <w:tcBorders>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p>
        </w:tc>
        <w:tc>
          <w:tcPr>
            <w:tcW w:w="2064" w:type="dxa"/>
            <w:vMerge/>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RP-GAG TGG GTG CTGATTCATCC</w:t>
            </w:r>
          </w:p>
        </w:tc>
      </w:tr>
      <w:tr w:rsidR="003A38CA" w:rsidRPr="00FF1AE0" w:rsidTr="00FC58CF">
        <w:trPr>
          <w:trHeight w:val="83"/>
        </w:trPr>
        <w:tc>
          <w:tcPr>
            <w:tcW w:w="963" w:type="dxa"/>
            <w:vMerge w:val="restart"/>
            <w:tcBorders>
              <w:top w:val="single" w:sz="4" w:space="0" w:color="auto"/>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4.</w:t>
            </w:r>
          </w:p>
        </w:tc>
        <w:tc>
          <w:tcPr>
            <w:tcW w:w="2064" w:type="dxa"/>
            <w:vMerge w:val="restart"/>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WPMS-05</w:t>
            </w: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FP-TTCTTTTT CAA CTG CCT AACTT</w:t>
            </w:r>
          </w:p>
        </w:tc>
      </w:tr>
      <w:tr w:rsidR="003A38CA" w:rsidRPr="00FF1AE0" w:rsidTr="00FC58CF">
        <w:trPr>
          <w:trHeight w:val="75"/>
        </w:trPr>
        <w:tc>
          <w:tcPr>
            <w:tcW w:w="963" w:type="dxa"/>
            <w:vMerge/>
            <w:tcBorders>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p>
        </w:tc>
        <w:tc>
          <w:tcPr>
            <w:tcW w:w="2064" w:type="dxa"/>
            <w:vMerge/>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RP-TGATCCAATAACAGACAGAACA</w:t>
            </w:r>
          </w:p>
        </w:tc>
      </w:tr>
      <w:tr w:rsidR="003A38CA" w:rsidRPr="00FF1AE0" w:rsidTr="00FC58CF">
        <w:trPr>
          <w:trHeight w:val="83"/>
        </w:trPr>
        <w:tc>
          <w:tcPr>
            <w:tcW w:w="963" w:type="dxa"/>
            <w:vMerge w:val="restart"/>
            <w:tcBorders>
              <w:top w:val="single" w:sz="4" w:space="0" w:color="auto"/>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5.</w:t>
            </w:r>
          </w:p>
        </w:tc>
        <w:tc>
          <w:tcPr>
            <w:tcW w:w="2064" w:type="dxa"/>
            <w:vMerge w:val="restart"/>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WPMS-03</w:t>
            </w: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FP-TTTACATAGCATTTAGCCTTTAGA</w:t>
            </w:r>
          </w:p>
        </w:tc>
      </w:tr>
      <w:tr w:rsidR="003A38CA" w:rsidRPr="00FF1AE0" w:rsidTr="00FC58CF">
        <w:trPr>
          <w:trHeight w:val="83"/>
        </w:trPr>
        <w:tc>
          <w:tcPr>
            <w:tcW w:w="963" w:type="dxa"/>
            <w:vMerge/>
            <w:tcBorders>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p>
        </w:tc>
        <w:tc>
          <w:tcPr>
            <w:tcW w:w="2064" w:type="dxa"/>
            <w:vMerge/>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RP-TTATGATTTTGGGGGTGTTATGGA</w:t>
            </w:r>
          </w:p>
        </w:tc>
      </w:tr>
      <w:tr w:rsidR="003A38CA" w:rsidRPr="00FF1AE0" w:rsidTr="00FC58CF">
        <w:trPr>
          <w:trHeight w:val="83"/>
        </w:trPr>
        <w:tc>
          <w:tcPr>
            <w:tcW w:w="963" w:type="dxa"/>
            <w:vMerge w:val="restart"/>
            <w:tcBorders>
              <w:top w:val="single" w:sz="4" w:space="0" w:color="auto"/>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6.</w:t>
            </w:r>
          </w:p>
        </w:tc>
        <w:tc>
          <w:tcPr>
            <w:tcW w:w="2064" w:type="dxa"/>
            <w:vMerge w:val="restart"/>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ORPM-28</w:t>
            </w: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FP- GGATCGACTTCCAACCCATA</w:t>
            </w:r>
          </w:p>
        </w:tc>
      </w:tr>
      <w:tr w:rsidR="003A38CA" w:rsidRPr="00FF1AE0" w:rsidTr="00FC58CF">
        <w:trPr>
          <w:trHeight w:val="83"/>
        </w:trPr>
        <w:tc>
          <w:tcPr>
            <w:tcW w:w="963" w:type="dxa"/>
            <w:vMerge/>
            <w:tcBorders>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p>
        </w:tc>
        <w:tc>
          <w:tcPr>
            <w:tcW w:w="2064" w:type="dxa"/>
            <w:vMerge/>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RP-AATTCCCCAGATGAAGGCTGCTCA</w:t>
            </w:r>
          </w:p>
        </w:tc>
      </w:tr>
      <w:tr w:rsidR="003A38CA" w:rsidRPr="00FF1AE0" w:rsidTr="00FC58CF">
        <w:trPr>
          <w:trHeight w:val="83"/>
        </w:trPr>
        <w:tc>
          <w:tcPr>
            <w:tcW w:w="963" w:type="dxa"/>
            <w:vMerge w:val="restart"/>
            <w:tcBorders>
              <w:top w:val="single" w:sz="4" w:space="0" w:color="auto"/>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7.</w:t>
            </w:r>
          </w:p>
        </w:tc>
        <w:tc>
          <w:tcPr>
            <w:tcW w:w="2064" w:type="dxa"/>
            <w:vMerge w:val="restart"/>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r w:rsidRPr="00FF1AE0">
              <w:rPr>
                <w:rFonts w:ascii="The times new Roman" w:hAnsi="The times new Roman"/>
              </w:rPr>
              <w:t>ORPM-026</w:t>
            </w: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 xml:space="preserve">FP- GCTGCAGTCAAATTCCAAAA </w:t>
            </w:r>
          </w:p>
        </w:tc>
      </w:tr>
      <w:tr w:rsidR="003A38CA" w:rsidRPr="00FF1AE0" w:rsidTr="00FC58CF">
        <w:trPr>
          <w:trHeight w:val="83"/>
        </w:trPr>
        <w:tc>
          <w:tcPr>
            <w:tcW w:w="963" w:type="dxa"/>
            <w:vMerge/>
            <w:tcBorders>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p>
        </w:tc>
        <w:tc>
          <w:tcPr>
            <w:tcW w:w="2064" w:type="dxa"/>
            <w:vMerge/>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RP- CGAGCGTCTTCTTCATGGAT</w:t>
            </w:r>
          </w:p>
        </w:tc>
      </w:tr>
      <w:tr w:rsidR="003A38CA" w:rsidRPr="00FF1AE0" w:rsidTr="00FC58CF">
        <w:trPr>
          <w:trHeight w:val="83"/>
        </w:trPr>
        <w:tc>
          <w:tcPr>
            <w:tcW w:w="963" w:type="dxa"/>
            <w:vMerge w:val="restart"/>
            <w:tcBorders>
              <w:top w:val="single" w:sz="4" w:space="0" w:color="auto"/>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8.</w:t>
            </w:r>
          </w:p>
        </w:tc>
        <w:tc>
          <w:tcPr>
            <w:tcW w:w="2064" w:type="dxa"/>
            <w:vMerge w:val="restart"/>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ORPM-190</w:t>
            </w: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lang w:val="pt-BR"/>
              </w:rPr>
            </w:pPr>
            <w:r w:rsidRPr="00FF1AE0">
              <w:rPr>
                <w:rFonts w:ascii="The times new Roman" w:hAnsi="The times new Roman"/>
              </w:rPr>
              <w:t>FP-CCCTGGTTTTCTCTTCTTGG</w:t>
            </w:r>
          </w:p>
        </w:tc>
      </w:tr>
      <w:tr w:rsidR="003A38CA" w:rsidRPr="00FF1AE0" w:rsidTr="00FC58CF">
        <w:trPr>
          <w:trHeight w:val="83"/>
        </w:trPr>
        <w:tc>
          <w:tcPr>
            <w:tcW w:w="963" w:type="dxa"/>
            <w:vMerge/>
            <w:tcBorders>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pt-BR"/>
              </w:rPr>
            </w:pPr>
          </w:p>
        </w:tc>
        <w:tc>
          <w:tcPr>
            <w:tcW w:w="2064" w:type="dxa"/>
            <w:vMerge/>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pt-BR"/>
              </w:rPr>
            </w:pP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lang w:val="sv-SE"/>
              </w:rPr>
            </w:pPr>
            <w:r w:rsidRPr="00FF1AE0">
              <w:rPr>
                <w:rFonts w:ascii="The times new Roman" w:hAnsi="The times new Roman"/>
              </w:rPr>
              <w:t>RP-CCAGATTGGACTTGGGATTC</w:t>
            </w:r>
          </w:p>
        </w:tc>
      </w:tr>
      <w:tr w:rsidR="003A38CA" w:rsidRPr="00FF1AE0" w:rsidTr="00FC58CF">
        <w:trPr>
          <w:trHeight w:val="83"/>
        </w:trPr>
        <w:tc>
          <w:tcPr>
            <w:tcW w:w="963" w:type="dxa"/>
            <w:vMerge w:val="restart"/>
            <w:tcBorders>
              <w:top w:val="single" w:sz="4" w:space="0" w:color="auto"/>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9.</w:t>
            </w:r>
          </w:p>
        </w:tc>
        <w:tc>
          <w:tcPr>
            <w:tcW w:w="2064" w:type="dxa"/>
            <w:vMerge w:val="restart"/>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ORPM-114</w:t>
            </w: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FP-ATGAGCCACTGGTAGGGATG</w:t>
            </w:r>
          </w:p>
        </w:tc>
      </w:tr>
      <w:tr w:rsidR="003A38CA" w:rsidRPr="00FF1AE0" w:rsidTr="00FC58CF">
        <w:trPr>
          <w:trHeight w:val="83"/>
        </w:trPr>
        <w:tc>
          <w:tcPr>
            <w:tcW w:w="963" w:type="dxa"/>
            <w:vMerge/>
            <w:tcBorders>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p>
        </w:tc>
        <w:tc>
          <w:tcPr>
            <w:tcW w:w="2064" w:type="dxa"/>
            <w:vMerge/>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RP-CAAGTCAGACTGGGGAAGTGA</w:t>
            </w:r>
          </w:p>
        </w:tc>
      </w:tr>
      <w:tr w:rsidR="003A38CA" w:rsidRPr="00FF1AE0" w:rsidTr="00FC58CF">
        <w:trPr>
          <w:trHeight w:val="83"/>
        </w:trPr>
        <w:tc>
          <w:tcPr>
            <w:tcW w:w="963" w:type="dxa"/>
            <w:vMerge w:val="restart"/>
            <w:tcBorders>
              <w:top w:val="single" w:sz="4" w:space="0" w:color="auto"/>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10.</w:t>
            </w:r>
          </w:p>
        </w:tc>
        <w:tc>
          <w:tcPr>
            <w:tcW w:w="2064" w:type="dxa"/>
            <w:vMerge w:val="restart"/>
            <w:tcBorders>
              <w:top w:val="single" w:sz="4" w:space="0" w:color="auto"/>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ORPM-92</w:t>
            </w: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lang w:val="sv-SE"/>
              </w:rPr>
            </w:pPr>
            <w:r w:rsidRPr="00FF1AE0">
              <w:rPr>
                <w:rFonts w:ascii="The times new Roman" w:hAnsi="The times new Roman"/>
              </w:rPr>
              <w:t>FP-TGACTCTGAGTGGTCGTCGAGGA</w:t>
            </w:r>
          </w:p>
        </w:tc>
      </w:tr>
      <w:tr w:rsidR="003A38CA" w:rsidRPr="00FF1AE0" w:rsidTr="00FC58CF">
        <w:trPr>
          <w:trHeight w:val="83"/>
        </w:trPr>
        <w:tc>
          <w:tcPr>
            <w:tcW w:w="963" w:type="dxa"/>
            <w:vMerge/>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p>
        </w:tc>
        <w:tc>
          <w:tcPr>
            <w:tcW w:w="2064" w:type="dxa"/>
            <w:vMerge/>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lang w:val="sv-SE"/>
              </w:rPr>
            </w:pPr>
            <w:r w:rsidRPr="00FF1AE0">
              <w:rPr>
                <w:rFonts w:ascii="The times new Roman" w:hAnsi="The times new Roman"/>
              </w:rPr>
              <w:t>RP-GAGAATCCAACCCACTTCCA</w:t>
            </w:r>
          </w:p>
        </w:tc>
      </w:tr>
      <w:tr w:rsidR="003A38CA" w:rsidRPr="00FF1AE0" w:rsidTr="00FC58CF">
        <w:trPr>
          <w:trHeight w:val="83"/>
        </w:trPr>
        <w:tc>
          <w:tcPr>
            <w:tcW w:w="963" w:type="dxa"/>
            <w:vMerge w:val="restart"/>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r w:rsidRPr="00FF1AE0">
              <w:rPr>
                <w:rFonts w:ascii="The times new Roman" w:hAnsi="The times new Roman"/>
                <w:lang w:val="sv-SE"/>
              </w:rPr>
              <w:t>11.</w:t>
            </w:r>
          </w:p>
        </w:tc>
        <w:tc>
          <w:tcPr>
            <w:tcW w:w="2064" w:type="dxa"/>
            <w:vMerge w:val="restart"/>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r w:rsidRPr="00FF1AE0">
              <w:rPr>
                <w:rFonts w:ascii="The times new Roman" w:hAnsi="The times new Roman"/>
                <w:lang w:val="sv-SE"/>
              </w:rPr>
              <w:t>ORPM-137</w:t>
            </w: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FP-CCGTGCATCTGCTCACTTTA</w:t>
            </w:r>
          </w:p>
        </w:tc>
      </w:tr>
      <w:tr w:rsidR="003A38CA" w:rsidRPr="00FF1AE0" w:rsidTr="00FC58CF">
        <w:trPr>
          <w:trHeight w:val="83"/>
        </w:trPr>
        <w:tc>
          <w:tcPr>
            <w:tcW w:w="963" w:type="dxa"/>
            <w:vMerge/>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p>
        </w:tc>
        <w:tc>
          <w:tcPr>
            <w:tcW w:w="2064" w:type="dxa"/>
            <w:vMerge/>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RP-GCATTTGCAGATGAAATTGGT</w:t>
            </w:r>
          </w:p>
        </w:tc>
      </w:tr>
      <w:tr w:rsidR="003A38CA" w:rsidRPr="00FF1AE0" w:rsidTr="00FC58CF">
        <w:trPr>
          <w:trHeight w:val="83"/>
        </w:trPr>
        <w:tc>
          <w:tcPr>
            <w:tcW w:w="963" w:type="dxa"/>
            <w:vMerge w:val="restart"/>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r w:rsidRPr="00FF1AE0">
              <w:rPr>
                <w:rFonts w:ascii="The times new Roman" w:hAnsi="The times new Roman"/>
                <w:lang w:val="sv-SE"/>
              </w:rPr>
              <w:t>12.</w:t>
            </w:r>
          </w:p>
        </w:tc>
        <w:tc>
          <w:tcPr>
            <w:tcW w:w="2064" w:type="dxa"/>
            <w:vMerge w:val="restart"/>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r w:rsidRPr="00FF1AE0">
              <w:rPr>
                <w:rFonts w:ascii="The times new Roman" w:hAnsi="The times new Roman"/>
                <w:lang w:val="sv-SE"/>
              </w:rPr>
              <w:t>ORPM-149</w:t>
            </w: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lang w:val="sv-SE"/>
              </w:rPr>
            </w:pPr>
            <w:r w:rsidRPr="00FF1AE0">
              <w:rPr>
                <w:rFonts w:ascii="The times new Roman" w:hAnsi="The times new Roman"/>
              </w:rPr>
              <w:t>FP-GTCTCTGCCACATGATCCAA</w:t>
            </w:r>
          </w:p>
        </w:tc>
      </w:tr>
      <w:tr w:rsidR="003A38CA" w:rsidRPr="00FF1AE0" w:rsidTr="00FC58CF">
        <w:trPr>
          <w:trHeight w:val="83"/>
        </w:trPr>
        <w:tc>
          <w:tcPr>
            <w:tcW w:w="963" w:type="dxa"/>
            <w:vMerge/>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p>
        </w:tc>
        <w:tc>
          <w:tcPr>
            <w:tcW w:w="2064" w:type="dxa"/>
            <w:vMerge/>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lang w:val="sv-SE"/>
              </w:rPr>
            </w:pPr>
            <w:r w:rsidRPr="00FF1AE0">
              <w:rPr>
                <w:rFonts w:ascii="The times new Roman" w:hAnsi="The times new Roman"/>
              </w:rPr>
              <w:t>RP-CCCGAAATGGATCAAACAAG</w:t>
            </w:r>
          </w:p>
        </w:tc>
      </w:tr>
      <w:tr w:rsidR="003A38CA" w:rsidRPr="00FF1AE0" w:rsidTr="00FC58CF">
        <w:trPr>
          <w:trHeight w:val="83"/>
        </w:trPr>
        <w:tc>
          <w:tcPr>
            <w:tcW w:w="963" w:type="dxa"/>
            <w:vMerge w:val="restart"/>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r w:rsidRPr="00FF1AE0">
              <w:rPr>
                <w:rFonts w:ascii="The times new Roman" w:hAnsi="The times new Roman"/>
                <w:lang w:val="sv-SE"/>
              </w:rPr>
              <w:t>13.</w:t>
            </w:r>
          </w:p>
        </w:tc>
        <w:tc>
          <w:tcPr>
            <w:tcW w:w="2064" w:type="dxa"/>
            <w:vMerge w:val="restart"/>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lang w:val="sv-SE"/>
              </w:rPr>
              <w:t>ORPM-166</w:t>
            </w: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FP-TCATTGGAGCACAAGACACC</w:t>
            </w:r>
          </w:p>
        </w:tc>
      </w:tr>
      <w:tr w:rsidR="003A38CA" w:rsidRPr="00FF1AE0" w:rsidTr="00FC58CF">
        <w:trPr>
          <w:trHeight w:val="83"/>
        </w:trPr>
        <w:tc>
          <w:tcPr>
            <w:tcW w:w="963" w:type="dxa"/>
            <w:vMerge/>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p>
        </w:tc>
        <w:tc>
          <w:tcPr>
            <w:tcW w:w="2064" w:type="dxa"/>
            <w:vMerge/>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RP-GGAGAAGCCTGTTTCCTCAA</w:t>
            </w:r>
          </w:p>
        </w:tc>
      </w:tr>
      <w:tr w:rsidR="003A38CA" w:rsidRPr="00FF1AE0" w:rsidTr="00FC58CF">
        <w:trPr>
          <w:trHeight w:val="83"/>
        </w:trPr>
        <w:tc>
          <w:tcPr>
            <w:tcW w:w="963" w:type="dxa"/>
            <w:vMerge w:val="restart"/>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r w:rsidRPr="00FF1AE0">
              <w:rPr>
                <w:rFonts w:ascii="The times new Roman" w:hAnsi="The times new Roman"/>
                <w:lang w:val="sv-SE"/>
              </w:rPr>
              <w:t>14.</w:t>
            </w:r>
          </w:p>
        </w:tc>
        <w:tc>
          <w:tcPr>
            <w:tcW w:w="2064" w:type="dxa"/>
            <w:vMerge w:val="restart"/>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lang w:val="sv-SE"/>
              </w:rPr>
              <w:t>ORPM-029</w:t>
            </w: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FP-TGGTGATCCAGTTTTGGTGA</w:t>
            </w:r>
          </w:p>
        </w:tc>
      </w:tr>
      <w:tr w:rsidR="003A38CA" w:rsidRPr="00FF1AE0" w:rsidTr="00FC58CF">
        <w:trPr>
          <w:trHeight w:val="83"/>
        </w:trPr>
        <w:tc>
          <w:tcPr>
            <w:tcW w:w="963" w:type="dxa"/>
            <w:vMerge/>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p>
        </w:tc>
        <w:tc>
          <w:tcPr>
            <w:tcW w:w="2064" w:type="dxa"/>
            <w:vMerge/>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lang w:val="sv-SE"/>
              </w:rPr>
            </w:pPr>
            <w:r w:rsidRPr="00FF1AE0">
              <w:rPr>
                <w:rFonts w:ascii="The times new Roman" w:hAnsi="The times new Roman"/>
              </w:rPr>
              <w:t>RP-GTCCTTGCAAGCCATGAA</w:t>
            </w:r>
          </w:p>
        </w:tc>
      </w:tr>
      <w:tr w:rsidR="003A38CA" w:rsidRPr="00FF1AE0" w:rsidTr="00FC58CF">
        <w:trPr>
          <w:trHeight w:val="83"/>
        </w:trPr>
        <w:tc>
          <w:tcPr>
            <w:tcW w:w="963" w:type="dxa"/>
            <w:vMerge w:val="restart"/>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r w:rsidRPr="00FF1AE0">
              <w:rPr>
                <w:rFonts w:ascii="The times new Roman" w:hAnsi="The times new Roman"/>
                <w:lang w:val="sv-SE"/>
              </w:rPr>
              <w:t>15.</w:t>
            </w:r>
          </w:p>
        </w:tc>
        <w:tc>
          <w:tcPr>
            <w:tcW w:w="2064" w:type="dxa"/>
            <w:vMerge w:val="restart"/>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lang w:val="sv-SE"/>
              </w:rPr>
              <w:t>ORPM-186</w:t>
            </w: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FP-GGCTAGTACCCTGGAGAA</w:t>
            </w:r>
          </w:p>
        </w:tc>
      </w:tr>
      <w:tr w:rsidR="003A38CA" w:rsidRPr="00FF1AE0" w:rsidTr="00FC58CF">
        <w:trPr>
          <w:trHeight w:val="83"/>
        </w:trPr>
        <w:tc>
          <w:tcPr>
            <w:tcW w:w="963" w:type="dxa"/>
            <w:vMerge/>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p>
        </w:tc>
        <w:tc>
          <w:tcPr>
            <w:tcW w:w="2064" w:type="dxa"/>
            <w:vMerge/>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lang w:val="sv-SE"/>
              </w:rPr>
            </w:pPr>
            <w:r w:rsidRPr="00FF1AE0">
              <w:rPr>
                <w:rFonts w:ascii="The times new Roman" w:hAnsi="The times new Roman"/>
              </w:rPr>
              <w:t>RP-AAGCCATCTCGACTATACACCA</w:t>
            </w:r>
          </w:p>
        </w:tc>
      </w:tr>
      <w:tr w:rsidR="003A38CA" w:rsidRPr="00FF1AE0" w:rsidTr="00FC58CF">
        <w:trPr>
          <w:trHeight w:val="83"/>
        </w:trPr>
        <w:tc>
          <w:tcPr>
            <w:tcW w:w="963" w:type="dxa"/>
            <w:vMerge w:val="restart"/>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r w:rsidRPr="00FF1AE0">
              <w:rPr>
                <w:rFonts w:ascii="The times new Roman" w:hAnsi="The times new Roman"/>
                <w:lang w:val="sv-SE"/>
              </w:rPr>
              <w:t>16.</w:t>
            </w:r>
          </w:p>
        </w:tc>
        <w:tc>
          <w:tcPr>
            <w:tcW w:w="2064" w:type="dxa"/>
            <w:vMerge w:val="restart"/>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PTR 1</w:t>
            </w: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FP-AGCGCGTGCGGATTGCCATT</w:t>
            </w:r>
          </w:p>
        </w:tc>
      </w:tr>
      <w:tr w:rsidR="003A38CA" w:rsidRPr="00FF1AE0" w:rsidTr="00FC58CF">
        <w:trPr>
          <w:trHeight w:val="83"/>
        </w:trPr>
        <w:tc>
          <w:tcPr>
            <w:tcW w:w="963" w:type="dxa"/>
            <w:vMerge/>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p>
        </w:tc>
        <w:tc>
          <w:tcPr>
            <w:tcW w:w="2064" w:type="dxa"/>
            <w:vMerge/>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lang w:val="sv-SE"/>
              </w:rPr>
            </w:pPr>
            <w:r w:rsidRPr="00FF1AE0">
              <w:rPr>
                <w:rFonts w:ascii="The times new Roman" w:hAnsi="The times new Roman"/>
              </w:rPr>
              <w:t>RP-TTAGTTTCCCGTCACCTCCTGTTAT</w:t>
            </w:r>
          </w:p>
        </w:tc>
      </w:tr>
      <w:tr w:rsidR="003A38CA" w:rsidRPr="00FF1AE0" w:rsidTr="00FC58CF">
        <w:trPr>
          <w:trHeight w:val="83"/>
        </w:trPr>
        <w:tc>
          <w:tcPr>
            <w:tcW w:w="963" w:type="dxa"/>
            <w:vMerge w:val="restart"/>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r w:rsidRPr="00FF1AE0">
              <w:rPr>
                <w:rFonts w:ascii="The times new Roman" w:hAnsi="The times new Roman"/>
                <w:lang w:val="sv-SE"/>
              </w:rPr>
              <w:t>17.</w:t>
            </w:r>
          </w:p>
        </w:tc>
        <w:tc>
          <w:tcPr>
            <w:tcW w:w="2064" w:type="dxa"/>
            <w:vMerge w:val="restart"/>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ORPM-177</w:t>
            </w: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FP-TGCAGTAAACACAAAGTGTCGTC</w:t>
            </w:r>
          </w:p>
        </w:tc>
      </w:tr>
      <w:tr w:rsidR="003A38CA" w:rsidRPr="00FF1AE0" w:rsidTr="00FC58CF">
        <w:trPr>
          <w:trHeight w:val="83"/>
        </w:trPr>
        <w:tc>
          <w:tcPr>
            <w:tcW w:w="963" w:type="dxa"/>
            <w:vMerge/>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p>
        </w:tc>
        <w:tc>
          <w:tcPr>
            <w:tcW w:w="2064" w:type="dxa"/>
            <w:vMerge/>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lang w:val="sv-SE"/>
              </w:rPr>
            </w:pPr>
            <w:r w:rsidRPr="00FF1AE0">
              <w:rPr>
                <w:rFonts w:ascii="The times new Roman" w:hAnsi="The times new Roman"/>
              </w:rPr>
              <w:t>RP-CCATGGACTGCAAATGGTTA</w:t>
            </w:r>
          </w:p>
        </w:tc>
      </w:tr>
      <w:tr w:rsidR="003A38CA" w:rsidRPr="00FF1AE0" w:rsidTr="00FC58CF">
        <w:trPr>
          <w:trHeight w:val="83"/>
        </w:trPr>
        <w:tc>
          <w:tcPr>
            <w:tcW w:w="963" w:type="dxa"/>
            <w:vMerge w:val="restart"/>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r w:rsidRPr="00FF1AE0">
              <w:rPr>
                <w:rFonts w:ascii="The times new Roman" w:hAnsi="The times new Roman"/>
                <w:lang w:val="sv-SE"/>
              </w:rPr>
              <w:t>18.</w:t>
            </w:r>
          </w:p>
        </w:tc>
        <w:tc>
          <w:tcPr>
            <w:tcW w:w="2064" w:type="dxa"/>
            <w:vMerge w:val="restart"/>
            <w:tcBorders>
              <w:left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rPr>
            </w:pPr>
            <w:r w:rsidRPr="00FF1AE0">
              <w:rPr>
                <w:rFonts w:ascii="The times new Roman" w:hAnsi="The times new Roman"/>
              </w:rPr>
              <w:t>WPMS-07</w:t>
            </w: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rPr>
            </w:pPr>
            <w:r w:rsidRPr="00FF1AE0">
              <w:rPr>
                <w:rFonts w:ascii="The times new Roman" w:hAnsi="The times new Roman"/>
              </w:rPr>
              <w:t>FP-</w:t>
            </w:r>
            <w:r>
              <w:rPr>
                <w:rFonts w:ascii="The times new Roman" w:hAnsi="The times new Roman"/>
              </w:rPr>
              <w:t>ACTAAGGAGAATTGTTGACTAC</w:t>
            </w:r>
          </w:p>
        </w:tc>
      </w:tr>
      <w:tr w:rsidR="003A38CA" w:rsidRPr="00FF1AE0" w:rsidTr="00FC58CF">
        <w:trPr>
          <w:trHeight w:val="83"/>
        </w:trPr>
        <w:tc>
          <w:tcPr>
            <w:tcW w:w="963" w:type="dxa"/>
            <w:vMerge/>
            <w:tcBorders>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p>
        </w:tc>
        <w:tc>
          <w:tcPr>
            <w:tcW w:w="2064" w:type="dxa"/>
            <w:vMerge/>
            <w:tcBorders>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jc w:val="center"/>
              <w:rPr>
                <w:rFonts w:ascii="The times new Roman" w:hAnsi="The times new Roman" w:hint="eastAsia"/>
                <w:lang w:val="sv-SE"/>
              </w:rPr>
            </w:pPr>
          </w:p>
        </w:tc>
        <w:tc>
          <w:tcPr>
            <w:tcW w:w="6026" w:type="dxa"/>
            <w:tcBorders>
              <w:top w:val="single" w:sz="4" w:space="0" w:color="auto"/>
              <w:left w:val="single" w:sz="4" w:space="0" w:color="auto"/>
              <w:bottom w:val="single" w:sz="4" w:space="0" w:color="auto"/>
              <w:right w:val="single" w:sz="4" w:space="0" w:color="auto"/>
            </w:tcBorders>
            <w:vAlign w:val="center"/>
          </w:tcPr>
          <w:p w:rsidR="003A38CA" w:rsidRPr="00FF1AE0" w:rsidRDefault="003A38CA" w:rsidP="00FC58CF">
            <w:pPr>
              <w:spacing w:line="360" w:lineRule="auto"/>
              <w:ind w:right="29"/>
              <w:contextualSpacing/>
              <w:rPr>
                <w:rFonts w:ascii="The times new Roman" w:hAnsi="The times new Roman" w:hint="eastAsia"/>
                <w:lang w:val="sv-SE"/>
              </w:rPr>
            </w:pPr>
            <w:r w:rsidRPr="00FF1AE0">
              <w:rPr>
                <w:rFonts w:ascii="The times new Roman" w:hAnsi="The times new Roman"/>
              </w:rPr>
              <w:t>RP-</w:t>
            </w:r>
            <w:r>
              <w:rPr>
                <w:rFonts w:ascii="The times new Roman" w:hAnsi="The times new Roman"/>
              </w:rPr>
              <w:t>TATCTGGTTTCCTCTTATGTG</w:t>
            </w:r>
          </w:p>
        </w:tc>
      </w:tr>
    </w:tbl>
    <w:p w:rsidR="008C79BB" w:rsidRPr="00D85F74" w:rsidRDefault="008C79BB">
      <w:pPr>
        <w:pStyle w:val="Heading"/>
        <w:spacing w:before="120" w:line="360" w:lineRule="auto"/>
        <w:ind w:left="0" w:firstLine="1"/>
        <w:jc w:val="both"/>
        <w:rPr>
          <w:rFonts w:eastAsia="Arial"/>
        </w:rPr>
      </w:pPr>
    </w:p>
    <w:p w:rsidR="008C79BB" w:rsidRPr="00D85F74" w:rsidRDefault="00460E75">
      <w:pPr>
        <w:pStyle w:val="Heading"/>
        <w:spacing w:before="120" w:line="360" w:lineRule="auto"/>
        <w:ind w:left="0" w:firstLine="1"/>
        <w:jc w:val="both"/>
        <w:rPr>
          <w:rFonts w:eastAsia="Arial"/>
        </w:rPr>
      </w:pPr>
      <w:r w:rsidRPr="00D85F74">
        <w:rPr>
          <w:lang w:val="pt-PT"/>
        </w:rPr>
        <w:t>Result</w:t>
      </w:r>
      <w:r w:rsidRPr="00D85F74">
        <w:t xml:space="preserve"> and </w:t>
      </w:r>
      <w:r w:rsidRPr="00D85F74">
        <w:rPr>
          <w:lang w:val="en-US"/>
        </w:rPr>
        <w:t>Discussion</w:t>
      </w:r>
    </w:p>
    <w:p w:rsidR="008C79BB" w:rsidRPr="00D85F74" w:rsidRDefault="00E51158">
      <w:pPr>
        <w:pStyle w:val="Heading"/>
        <w:spacing w:before="120" w:line="360" w:lineRule="auto"/>
        <w:ind w:left="0" w:firstLine="681"/>
        <w:jc w:val="both"/>
        <w:rPr>
          <w:rFonts w:eastAsia="Arial"/>
          <w:b w:val="0"/>
          <w:bCs w:val="0"/>
        </w:rPr>
      </w:pPr>
      <w:r w:rsidRPr="00E51158">
        <w:rPr>
          <w:b w:val="0"/>
        </w:rPr>
        <w:t xml:space="preserve">The clones were evaluated using SSR (Simple Sequence Repeat) markers. A total of eighteen SSR primers were used to verify the identity of the clones based on their banding patterns. After PCR amplification, the resulting SSR bands were </w:t>
      </w:r>
      <w:proofErr w:type="spellStart"/>
      <w:r w:rsidRPr="00E51158">
        <w:rPr>
          <w:b w:val="0"/>
        </w:rPr>
        <w:t>analyzed</w:t>
      </w:r>
      <w:proofErr w:type="spellEnd"/>
      <w:r w:rsidRPr="00E51158">
        <w:rPr>
          <w:b w:val="0"/>
        </w:rPr>
        <w:t xml:space="preserve"> to determine how genetically similar the clones were to each other. Each band was scored as ‘1’ if present and ‘0’ if absent for every clone, and this data was organized into a matrix. The matrix was then </w:t>
      </w:r>
      <w:proofErr w:type="spellStart"/>
      <w:r w:rsidRPr="00E51158">
        <w:rPr>
          <w:b w:val="0"/>
        </w:rPr>
        <w:t>analyzed</w:t>
      </w:r>
      <w:proofErr w:type="spellEnd"/>
      <w:r w:rsidRPr="00E51158">
        <w:rPr>
          <w:b w:val="0"/>
        </w:rPr>
        <w:t xml:space="preserve"> using the NTSYS-2.2 software to calculate the Jaccard’s similarity coefficient among the clones</w:t>
      </w:r>
      <w:r>
        <w:t xml:space="preserve"> </w:t>
      </w:r>
      <w:r w:rsidR="00460E75" w:rsidRPr="00D85F74">
        <w:rPr>
          <w:b w:val="0"/>
          <w:bCs w:val="0"/>
          <w:lang w:val="en-US"/>
        </w:rPr>
        <w:t>(Figure 1)</w:t>
      </w:r>
      <w:r w:rsidR="00460E75" w:rsidRPr="00D85F74">
        <w:rPr>
          <w:b w:val="0"/>
          <w:bCs w:val="0"/>
        </w:rPr>
        <w:t>.</w:t>
      </w:r>
    </w:p>
    <w:p w:rsidR="003C0902" w:rsidRDefault="00460E75" w:rsidP="005B1FED">
      <w:pPr>
        <w:pStyle w:val="NormalWeb"/>
        <w:jc w:val="both"/>
      </w:pPr>
      <w:r w:rsidRPr="00D85F74">
        <w:rPr>
          <w:lang w:val="en-US"/>
        </w:rPr>
        <w:t>The clones studied for morphological characterization were tested using SSR markers. Among 18 SSR markers, fourteen markers PMGC-571, PMGC-2163, PMGC-333, ORPM- 028, ORPM-190, ORPM-114, ORPM-092, ORPM-137, ORPM-149, ORPM-166, ORPM- 029, ORPM-186, PTR-1, ORPM-177 and WPMS-07 showed polymorphic pattern while WPMS-05, WPMS-03, ORPM-026 and ORPM-114 showed monomorphic pattern. So, 14 polymorphic SSR</w:t>
      </w:r>
      <w:r w:rsidRPr="00D85F74">
        <w:rPr>
          <w:rtl/>
        </w:rPr>
        <w:t>’</w:t>
      </w:r>
      <w:r w:rsidRPr="00D85F74">
        <w:rPr>
          <w:lang w:val="en-US"/>
        </w:rPr>
        <w:t xml:space="preserve">s were used for further analysis. </w:t>
      </w:r>
      <w:r w:rsidR="003C0902">
        <w:t>A detailed examination of the SSR banding patterns obtained following the amplification of genomic DNA from the clones indicated that all clones conformed to their expected genetic identity, confirming their true-to-type status. The SSR profiles specific to each clone were evaluated using 3.5% agarose gel electrophoresis, which provided adequate resolution for band discrimination.</w:t>
      </w:r>
      <w:r w:rsidR="005B1FED">
        <w:t xml:space="preserve"> </w:t>
      </w:r>
      <w:r w:rsidR="003C0902">
        <w:t xml:space="preserve">The amplification products consistently exhibited either single bands or a combination of two distinct bands across all samples of </w:t>
      </w:r>
      <w:proofErr w:type="spellStart"/>
      <w:r w:rsidR="003C0902">
        <w:rPr>
          <w:rStyle w:val="Emphasis"/>
        </w:rPr>
        <w:t>Populus</w:t>
      </w:r>
      <w:proofErr w:type="spellEnd"/>
      <w:r w:rsidR="003C0902">
        <w:rPr>
          <w:rStyle w:val="Emphasis"/>
        </w:rPr>
        <w:t xml:space="preserve"> </w:t>
      </w:r>
      <w:proofErr w:type="spellStart"/>
      <w:r w:rsidR="003C0902">
        <w:rPr>
          <w:rStyle w:val="Emphasis"/>
        </w:rPr>
        <w:t>deltoides</w:t>
      </w:r>
      <w:proofErr w:type="spellEnd"/>
      <w:r w:rsidR="003C0902">
        <w:t>. This banding pattern is indicative of the co-dominant nature of SSR markers and reflects the underlying allelic composition of the analysed genotypes.</w:t>
      </w:r>
    </w:p>
    <w:p w:rsidR="008C79BB" w:rsidRPr="00D85F74" w:rsidRDefault="00460E75">
      <w:pPr>
        <w:pStyle w:val="Heading"/>
        <w:spacing w:before="120" w:line="360" w:lineRule="auto"/>
        <w:ind w:left="0" w:firstLine="681"/>
        <w:jc w:val="both"/>
        <w:rPr>
          <w:rFonts w:eastAsia="Arial"/>
          <w:b w:val="0"/>
          <w:bCs w:val="0"/>
        </w:rPr>
      </w:pPr>
      <w:proofErr w:type="spellStart"/>
      <w:r w:rsidRPr="00D85F74">
        <w:rPr>
          <w:b w:val="0"/>
          <w:bCs w:val="0"/>
          <w:lang w:val="fr-FR"/>
        </w:rPr>
        <w:t>Dendrogram</w:t>
      </w:r>
      <w:proofErr w:type="spellEnd"/>
      <w:r w:rsidRPr="00D85F74">
        <w:rPr>
          <w:b w:val="0"/>
          <w:bCs w:val="0"/>
          <w:lang w:val="fr-FR"/>
        </w:rPr>
        <w:t xml:space="preserve"> (Figure </w:t>
      </w:r>
      <w:r w:rsidRPr="00D85F74">
        <w:rPr>
          <w:b w:val="0"/>
          <w:bCs w:val="0"/>
          <w:lang w:val="en-US"/>
        </w:rPr>
        <w:t xml:space="preserve">2) showing different clusters were based on NTSYS-PC ver. 2.02. Similarity coefficient obtained by Jacquard coefficient was for UPGMA analysis of NTSYS. In the dendrogram (Figure 2) the 15 clones separated into two main clusters, </w:t>
      </w:r>
      <w:r w:rsidRPr="00D85F74">
        <w:rPr>
          <w:b w:val="0"/>
          <w:bCs w:val="0"/>
          <w:rtl/>
        </w:rPr>
        <w:t>‘</w:t>
      </w:r>
      <w:r w:rsidRPr="00D85F74">
        <w:rPr>
          <w:b w:val="0"/>
          <w:bCs w:val="0"/>
        </w:rPr>
        <w:t>I</w:t>
      </w:r>
      <w:r w:rsidRPr="00D85F74">
        <w:rPr>
          <w:b w:val="0"/>
          <w:bCs w:val="0"/>
          <w:rtl/>
        </w:rPr>
        <w:t xml:space="preserve">’ </w:t>
      </w:r>
      <w:r w:rsidRPr="00D85F74">
        <w:rPr>
          <w:b w:val="0"/>
          <w:bCs w:val="0"/>
          <w:lang w:val="en-US"/>
        </w:rPr>
        <w:t xml:space="preserve">and cluster </w:t>
      </w:r>
      <w:r w:rsidRPr="00D85F74">
        <w:rPr>
          <w:b w:val="0"/>
          <w:bCs w:val="0"/>
          <w:rtl/>
        </w:rPr>
        <w:t>‘</w:t>
      </w:r>
      <w:r w:rsidRPr="00D85F74">
        <w:rPr>
          <w:b w:val="0"/>
          <w:bCs w:val="0"/>
        </w:rPr>
        <w:t>II</w:t>
      </w:r>
      <w:r w:rsidRPr="00D85F74">
        <w:rPr>
          <w:b w:val="0"/>
          <w:bCs w:val="0"/>
          <w:rtl/>
        </w:rPr>
        <w:t xml:space="preserve">’ </w:t>
      </w:r>
      <w:r w:rsidRPr="00D85F74">
        <w:rPr>
          <w:b w:val="0"/>
          <w:bCs w:val="0"/>
          <w:lang w:val="en-US"/>
        </w:rPr>
        <w:t xml:space="preserve">at 64 % similarity. This revealed less similarity between cluster I and the member of cluster II. Cluster I was further subdivided into two clusters i.e. I1 and I2 at similarity value of 72.4 %. </w:t>
      </w:r>
      <w:proofErr w:type="gramStart"/>
      <w:r w:rsidRPr="00D85F74">
        <w:rPr>
          <w:b w:val="0"/>
          <w:bCs w:val="0"/>
          <w:lang w:val="en-US"/>
        </w:rPr>
        <w:t>Also</w:t>
      </w:r>
      <w:proofErr w:type="gramEnd"/>
      <w:r w:rsidRPr="00D85F74">
        <w:rPr>
          <w:b w:val="0"/>
          <w:bCs w:val="0"/>
          <w:lang w:val="en-US"/>
        </w:rPr>
        <w:t xml:space="preserve"> cluster I1 further dived into I1a and I1b with 77.8 % similarity. Cluster I1a was further divided to I1a1 and I1a2 which were 81.8% similar consisting of clone L-6105. However, I1a1 consist two clones L-30/06 and L-621/84 at 88% similarity. I1b was further divided into I1b1 and I1b2 at 82% similarity. Similarly, I1b1 </w:t>
      </w:r>
      <w:r w:rsidRPr="00D85F74">
        <w:rPr>
          <w:b w:val="0"/>
          <w:bCs w:val="0"/>
          <w:lang w:val="en-US"/>
        </w:rPr>
        <w:lastRenderedPageBreak/>
        <w:t>again divided into I1b12</w:t>
      </w:r>
      <w:r w:rsidRPr="00D85F74">
        <w:rPr>
          <w:b w:val="0"/>
          <w:bCs w:val="0"/>
          <w:rtl/>
        </w:rPr>
        <w:t xml:space="preserve">’ </w:t>
      </w:r>
      <w:r w:rsidRPr="00D85F74">
        <w:rPr>
          <w:b w:val="0"/>
          <w:bCs w:val="0"/>
          <w:lang w:val="en-US"/>
        </w:rPr>
        <w:t>and I1b22</w:t>
      </w:r>
      <w:r w:rsidRPr="00D85F74">
        <w:rPr>
          <w:b w:val="0"/>
          <w:bCs w:val="0"/>
          <w:rtl/>
        </w:rPr>
        <w:t xml:space="preserve">’ </w:t>
      </w:r>
      <w:r w:rsidRPr="00D85F74">
        <w:rPr>
          <w:b w:val="0"/>
          <w:bCs w:val="0"/>
          <w:lang w:val="en-US"/>
        </w:rPr>
        <w:t>at 85.4 % similarity consisting clones G-48 and PL-3 respectively. I2 further divided into I2a and I2b at 85.4 % similarity with consisting clones PL-6 and PL-7.</w:t>
      </w:r>
    </w:p>
    <w:p w:rsidR="008C79BB" w:rsidRPr="00D85F74" w:rsidRDefault="00460E75">
      <w:pPr>
        <w:pStyle w:val="Heading"/>
        <w:spacing w:before="120" w:line="360" w:lineRule="auto"/>
        <w:ind w:left="0" w:firstLine="681"/>
        <w:jc w:val="both"/>
        <w:rPr>
          <w:rFonts w:eastAsia="Arial"/>
          <w:b w:val="0"/>
          <w:bCs w:val="0"/>
        </w:rPr>
      </w:pPr>
      <w:r w:rsidRPr="00D85F74">
        <w:rPr>
          <w:b w:val="0"/>
          <w:bCs w:val="0"/>
          <w:lang w:val="en-US"/>
        </w:rPr>
        <w:t>Cluster II was further subdivided divided into two i.e. II1 and II2 at similarity of 70.5 %. II1 is further divided into II1a and II1b at 72.4 % similarity. II1a further divided into II1a1</w:t>
      </w:r>
      <w:r w:rsidRPr="00D85F74">
        <w:rPr>
          <w:b w:val="0"/>
          <w:bCs w:val="0"/>
          <w:rtl/>
        </w:rPr>
        <w:t xml:space="preserve">’ </w:t>
      </w:r>
      <w:r w:rsidRPr="00D85F74">
        <w:rPr>
          <w:b w:val="0"/>
          <w:bCs w:val="0"/>
          <w:lang w:val="en-US"/>
        </w:rPr>
        <w:t>consist one clone i.e. S7C15 77.8 % similar and II1a2 consist of two clones namely WSL-22 and WSL-39 with 88% similarity. Also, II1b also divided into II21b1 and II21b1 with 81.8 % similarity. II21b1 consists of two clones namely 6503 and 5503 at 88% of similarity and II21b2 consist only one clone 1007 with 81.8 % similarity. II2 consist only one clone L-200/86. L-200/86 was less similar than other clones and having unique morphological characteristics with downward waviness. Molecular characterization of clones was obtained at very basic level due to small number of primers. Further investigation needed with larger number of trait specific primers to correlate morphological and molecular characterization of clones.</w:t>
      </w:r>
    </w:p>
    <w:p w:rsidR="0041411A" w:rsidRDefault="0041411A" w:rsidP="005C250A">
      <w:pPr>
        <w:pStyle w:val="NormalWeb"/>
        <w:jc w:val="both"/>
      </w:pPr>
      <w:proofErr w:type="spellStart"/>
      <w:r>
        <w:t>Khasa</w:t>
      </w:r>
      <w:proofErr w:type="spellEnd"/>
      <w:r>
        <w:t xml:space="preserve"> </w:t>
      </w:r>
      <w:r>
        <w:rPr>
          <w:rStyle w:val="Emphasis"/>
        </w:rPr>
        <w:t>et al.</w:t>
      </w:r>
      <w:r>
        <w:t xml:space="preserve"> (2003) reported the optimisation of 17 microsatellite or Simple Sequence Repeat (SSR) markers in the genus </w:t>
      </w:r>
      <w:proofErr w:type="spellStart"/>
      <w:r>
        <w:rPr>
          <w:rStyle w:val="Emphasis"/>
        </w:rPr>
        <w:t>Populus</w:t>
      </w:r>
      <w:proofErr w:type="spellEnd"/>
      <w:r>
        <w:t xml:space="preserve"> across seven species, namely </w:t>
      </w:r>
      <w:r>
        <w:rPr>
          <w:rStyle w:val="Emphasis"/>
        </w:rPr>
        <w:t>P. balsamifera</w:t>
      </w:r>
      <w:r>
        <w:t xml:space="preserve">, </w:t>
      </w:r>
      <w:r>
        <w:rPr>
          <w:rStyle w:val="Emphasis"/>
        </w:rPr>
        <w:t xml:space="preserve">P. </w:t>
      </w:r>
      <w:proofErr w:type="spellStart"/>
      <w:r>
        <w:rPr>
          <w:rStyle w:val="Emphasis"/>
        </w:rPr>
        <w:t>tremuloides</w:t>
      </w:r>
      <w:proofErr w:type="spellEnd"/>
      <w:r>
        <w:t xml:space="preserve">, </w:t>
      </w:r>
      <w:r>
        <w:rPr>
          <w:rStyle w:val="Emphasis"/>
        </w:rPr>
        <w:t xml:space="preserve">P. </w:t>
      </w:r>
      <w:proofErr w:type="spellStart"/>
      <w:r>
        <w:rPr>
          <w:rStyle w:val="Emphasis"/>
        </w:rPr>
        <w:t>davidiana</w:t>
      </w:r>
      <w:proofErr w:type="spellEnd"/>
      <w:r>
        <w:t xml:space="preserve">, </w:t>
      </w:r>
      <w:r>
        <w:rPr>
          <w:rStyle w:val="Emphasis"/>
        </w:rPr>
        <w:t>P. alba</w:t>
      </w:r>
      <w:r>
        <w:t xml:space="preserve">, </w:t>
      </w:r>
      <w:r>
        <w:rPr>
          <w:rStyle w:val="Emphasis"/>
        </w:rPr>
        <w:t xml:space="preserve">P. </w:t>
      </w:r>
      <w:proofErr w:type="spellStart"/>
      <w:r>
        <w:rPr>
          <w:rStyle w:val="Emphasis"/>
        </w:rPr>
        <w:t>tremula</w:t>
      </w:r>
      <w:proofErr w:type="spellEnd"/>
      <w:r>
        <w:t xml:space="preserve">, and </w:t>
      </w:r>
      <w:r>
        <w:rPr>
          <w:rStyle w:val="Emphasis"/>
        </w:rPr>
        <w:t xml:space="preserve">P. </w:t>
      </w:r>
      <w:proofErr w:type="spellStart"/>
      <w:r>
        <w:rPr>
          <w:rStyle w:val="Emphasis"/>
        </w:rPr>
        <w:t>nigra</w:t>
      </w:r>
      <w:proofErr w:type="spellEnd"/>
      <w:r>
        <w:t xml:space="preserve">. Their findings indicated that 14 out of the 17 primer pairs successfully amplified SSR loci exhibiting varying levels of polymorphism among the species studied. Comparable results were documented by Rahman and </w:t>
      </w:r>
      <w:proofErr w:type="spellStart"/>
      <w:r>
        <w:t>Rajora</w:t>
      </w:r>
      <w:proofErr w:type="spellEnd"/>
      <w:r>
        <w:t xml:space="preserve"> (2002), who demonstrated reliable amplification across </w:t>
      </w:r>
      <w:proofErr w:type="spellStart"/>
      <w:r>
        <w:rPr>
          <w:rStyle w:val="Emphasis"/>
        </w:rPr>
        <w:t>Populus</w:t>
      </w:r>
      <w:proofErr w:type="spellEnd"/>
      <w:r>
        <w:t xml:space="preserve"> species representing three taxonomic sections, namely </w:t>
      </w:r>
      <w:proofErr w:type="spellStart"/>
      <w:r>
        <w:rPr>
          <w:rStyle w:val="Emphasis"/>
        </w:rPr>
        <w:t>Aigeiros</w:t>
      </w:r>
      <w:proofErr w:type="spellEnd"/>
      <w:r>
        <w:t xml:space="preserve">, </w:t>
      </w:r>
      <w:proofErr w:type="spellStart"/>
      <w:r>
        <w:rPr>
          <w:rStyle w:val="Emphasis"/>
        </w:rPr>
        <w:t>Tacamahaca</w:t>
      </w:r>
      <w:proofErr w:type="spellEnd"/>
      <w:r>
        <w:t xml:space="preserve">, and </w:t>
      </w:r>
      <w:proofErr w:type="spellStart"/>
      <w:r>
        <w:rPr>
          <w:rStyle w:val="Emphasis"/>
        </w:rPr>
        <w:t>Populus</w:t>
      </w:r>
      <w:proofErr w:type="spellEnd"/>
      <w:r>
        <w:t>.</w:t>
      </w:r>
    </w:p>
    <w:p w:rsidR="0041411A" w:rsidRDefault="0041411A" w:rsidP="005C250A">
      <w:pPr>
        <w:pStyle w:val="NormalWeb"/>
        <w:jc w:val="both"/>
      </w:pPr>
      <w:r>
        <w:t xml:space="preserve">The present findings </w:t>
      </w:r>
      <w:proofErr w:type="gramStart"/>
      <w:r>
        <w:t>are in agreement</w:t>
      </w:r>
      <w:proofErr w:type="gramEnd"/>
      <w:r>
        <w:t xml:space="preserve"> with those of Grewal </w:t>
      </w:r>
      <w:r>
        <w:rPr>
          <w:rStyle w:val="Emphasis"/>
        </w:rPr>
        <w:t>et al.</w:t>
      </w:r>
      <w:r>
        <w:t xml:space="preserve"> (2013), who evaluated 32 SSR markers in </w:t>
      </w:r>
      <w:proofErr w:type="spellStart"/>
      <w:r>
        <w:rPr>
          <w:rStyle w:val="Emphasis"/>
        </w:rPr>
        <w:t>Populus</w:t>
      </w:r>
      <w:proofErr w:type="spellEnd"/>
      <w:r>
        <w:rPr>
          <w:rStyle w:val="Emphasis"/>
        </w:rPr>
        <w:t xml:space="preserve"> </w:t>
      </w:r>
      <w:proofErr w:type="spellStart"/>
      <w:r>
        <w:rPr>
          <w:rStyle w:val="Emphasis"/>
        </w:rPr>
        <w:t>deltoides</w:t>
      </w:r>
      <w:proofErr w:type="spellEnd"/>
      <w:r>
        <w:t xml:space="preserve"> and observed that 22 markers displayed polymorphism, collectively amplifying a total of 102 alleles. Similarly, Singh </w:t>
      </w:r>
      <w:r>
        <w:rPr>
          <w:rStyle w:val="Emphasis"/>
        </w:rPr>
        <w:t>et al.</w:t>
      </w:r>
      <w:r>
        <w:t xml:space="preserve"> (2013) investigated 16 RAPD and 14 SSR primers in willow </w:t>
      </w:r>
      <w:bookmarkStart w:id="1" w:name="_GoBack"/>
      <w:bookmarkEnd w:id="1"/>
      <w:r>
        <w:t xml:space="preserve">clones, generating 363 markers, of which 351 (96.7%) exhibited polymorphism, with 18 out of 30 primers showing complete (100%) polymorphism. In contrast, </w:t>
      </w:r>
      <w:proofErr w:type="spellStart"/>
      <w:r>
        <w:t>Dobhal</w:t>
      </w:r>
      <w:proofErr w:type="spellEnd"/>
      <w:r>
        <w:t xml:space="preserve"> (2016) assessed 18 primers in poplar and reported predominantly monomorphic patterns, with 15 primers producing monomorphic bands and only three exhibiting polymorphism, indicating variability in marker informativeness across studies.</w:t>
      </w:r>
    </w:p>
    <w:p w:rsidR="0041411A" w:rsidRDefault="0041411A" w:rsidP="005C250A">
      <w:pPr>
        <w:pStyle w:val="NormalWeb"/>
        <w:jc w:val="both"/>
      </w:pPr>
      <w:r>
        <w:t xml:space="preserve">Further supporting evidence is provided by Liu </w:t>
      </w:r>
      <w:r>
        <w:rPr>
          <w:rStyle w:val="Emphasis"/>
        </w:rPr>
        <w:t>et al.</w:t>
      </w:r>
      <w:r>
        <w:t xml:space="preserve"> (2016), who analysed 43 elite clones of </w:t>
      </w:r>
      <w:proofErr w:type="spellStart"/>
      <w:r>
        <w:rPr>
          <w:rStyle w:val="Emphasis"/>
        </w:rPr>
        <w:t>Populus</w:t>
      </w:r>
      <w:proofErr w:type="spellEnd"/>
      <w:r>
        <w:rPr>
          <w:rStyle w:val="Emphasis"/>
        </w:rPr>
        <w:t xml:space="preserve"> </w:t>
      </w:r>
      <w:proofErr w:type="spellStart"/>
      <w:r>
        <w:rPr>
          <w:rStyle w:val="Emphasis"/>
        </w:rPr>
        <w:t>deltoides</w:t>
      </w:r>
      <w:proofErr w:type="spellEnd"/>
      <w:r>
        <w:t xml:space="preserve"> and identified 62 polymorphic bands, with an average of 10 alleles per locus. The number of alleles amplified per primer ranged from five (NJFUP-poly10) to sixteen (NJFUP-poly07), reflecting substantial allelic diversity. More recently, Gao </w:t>
      </w:r>
      <w:r>
        <w:rPr>
          <w:rStyle w:val="Emphasis"/>
        </w:rPr>
        <w:t>et al.</w:t>
      </w:r>
      <w:r>
        <w:t xml:space="preserve"> (2024) examined 188 genotypes of </w:t>
      </w:r>
      <w:r>
        <w:rPr>
          <w:rStyle w:val="Emphasis"/>
        </w:rPr>
        <w:t xml:space="preserve">P. </w:t>
      </w:r>
      <w:proofErr w:type="spellStart"/>
      <w:r>
        <w:rPr>
          <w:rStyle w:val="Emphasis"/>
        </w:rPr>
        <w:t>deltoides</w:t>
      </w:r>
      <w:proofErr w:type="spellEnd"/>
      <w:r>
        <w:t xml:space="preserve"> originating from six provenances and conducted genetic structure and association analyses using selected SSR markers. Their results revealed that 15 SSR primer pairs consistently amplified across all genotypes, with a mean of 7.33 alleles per locus. These markers were further employed in association studies targeting water-use efficiency (WUE) and nitrogen-use efficiency (NUE) using general linear model (GLM) and mixed linear model (MLM) approaches.</w:t>
      </w:r>
    </w:p>
    <w:p w:rsidR="0041411A" w:rsidRDefault="0041411A" w:rsidP="005C250A">
      <w:pPr>
        <w:pStyle w:val="NormalWeb"/>
        <w:jc w:val="both"/>
      </w:pPr>
      <w:r>
        <w:t xml:space="preserve">In addition, </w:t>
      </w:r>
      <w:proofErr w:type="spellStart"/>
      <w:r>
        <w:t>Cvrčková</w:t>
      </w:r>
      <w:proofErr w:type="spellEnd"/>
      <w:r>
        <w:t xml:space="preserve"> </w:t>
      </w:r>
      <w:r>
        <w:rPr>
          <w:rStyle w:val="Emphasis"/>
        </w:rPr>
        <w:t>et al.</w:t>
      </w:r>
      <w:r>
        <w:t xml:space="preserve"> (2025) investigated SSR markers in </w:t>
      </w:r>
      <w:proofErr w:type="spellStart"/>
      <w:r>
        <w:rPr>
          <w:rStyle w:val="Emphasis"/>
        </w:rPr>
        <w:t>Populus</w:t>
      </w:r>
      <w:proofErr w:type="spellEnd"/>
      <w:r>
        <w:rPr>
          <w:rStyle w:val="Emphasis"/>
        </w:rPr>
        <w:t xml:space="preserve"> </w:t>
      </w:r>
      <w:proofErr w:type="spellStart"/>
      <w:r>
        <w:rPr>
          <w:rStyle w:val="Emphasis"/>
        </w:rPr>
        <w:t>nigra</w:t>
      </w:r>
      <w:proofErr w:type="spellEnd"/>
      <w:r>
        <w:t xml:space="preserve"> and </w:t>
      </w:r>
      <w:proofErr w:type="spellStart"/>
      <w:r>
        <w:rPr>
          <w:rStyle w:val="Emphasis"/>
        </w:rPr>
        <w:t>Populus</w:t>
      </w:r>
      <w:proofErr w:type="spellEnd"/>
      <w:r>
        <w:rPr>
          <w:rStyle w:val="Emphasis"/>
        </w:rPr>
        <w:t xml:space="preserve"> </w:t>
      </w:r>
      <w:proofErr w:type="spellStart"/>
      <w:r>
        <w:rPr>
          <w:rStyle w:val="Emphasis"/>
        </w:rPr>
        <w:t>deltoides</w:t>
      </w:r>
      <w:proofErr w:type="spellEnd"/>
      <w:r>
        <w:t xml:space="preserve">, reporting comparable outcomes. In their study, 378 poplar individuals were analysed using five diagnostic SSR markers with species-specific alleles for </w:t>
      </w:r>
      <w:r>
        <w:rPr>
          <w:rStyle w:val="Emphasis"/>
        </w:rPr>
        <w:t xml:space="preserve">P. </w:t>
      </w:r>
      <w:proofErr w:type="spellStart"/>
      <w:r>
        <w:rPr>
          <w:rStyle w:val="Emphasis"/>
        </w:rPr>
        <w:t>deltoides</w:t>
      </w:r>
      <w:proofErr w:type="spellEnd"/>
      <w:r>
        <w:t xml:space="preserve"> </w:t>
      </w:r>
      <w:proofErr w:type="spellStart"/>
      <w:r>
        <w:t>Bartr</w:t>
      </w:r>
      <w:proofErr w:type="spellEnd"/>
      <w:r>
        <w:t xml:space="preserve">. ex Marsh., enabling the identification of 39 interspecific hybrids, which were clearly distinguished from native </w:t>
      </w:r>
      <w:r>
        <w:rPr>
          <w:rStyle w:val="Emphasis"/>
        </w:rPr>
        <w:t xml:space="preserve">P. </w:t>
      </w:r>
      <w:proofErr w:type="spellStart"/>
      <w:r>
        <w:rPr>
          <w:rStyle w:val="Emphasis"/>
        </w:rPr>
        <w:t>nigra</w:t>
      </w:r>
      <w:proofErr w:type="spellEnd"/>
      <w:r>
        <w:t xml:space="preserve">. Collectively, these studies underscore the effectiveness and reliability of SSR markers in assessing genetic diversity, polymorphism, and species differentiation within the genus </w:t>
      </w:r>
      <w:proofErr w:type="spellStart"/>
      <w:r>
        <w:rPr>
          <w:rStyle w:val="Emphasis"/>
        </w:rPr>
        <w:t>Populus</w:t>
      </w:r>
      <w:proofErr w:type="spellEnd"/>
      <w:r>
        <w:t>.</w:t>
      </w:r>
    </w:p>
    <w:p w:rsidR="008C79BB" w:rsidRPr="00D85F74" w:rsidRDefault="00460E75">
      <w:pPr>
        <w:pStyle w:val="Heading"/>
        <w:spacing w:before="120" w:line="360" w:lineRule="auto"/>
        <w:ind w:left="0"/>
        <w:rPr>
          <w:rFonts w:eastAsia="Arial"/>
        </w:rPr>
      </w:pPr>
      <w:r w:rsidRPr="00D85F74">
        <w:rPr>
          <w:lang w:val="it-IT"/>
        </w:rPr>
        <w:lastRenderedPageBreak/>
        <w:t>Conclusion</w:t>
      </w:r>
    </w:p>
    <w:p w:rsidR="008C79BB" w:rsidRPr="00E51158" w:rsidRDefault="00460E75">
      <w:pPr>
        <w:pStyle w:val="Body"/>
        <w:widowControl/>
        <w:spacing w:before="120" w:line="360" w:lineRule="auto"/>
        <w:jc w:val="both"/>
        <w:rPr>
          <w:rFonts w:eastAsia="Arial"/>
          <w:sz w:val="24"/>
          <w:szCs w:val="24"/>
        </w:rPr>
      </w:pPr>
      <w:r w:rsidRPr="00D85F74">
        <w:rPr>
          <w:rFonts w:eastAsia="Arial"/>
          <w:sz w:val="24"/>
          <w:szCs w:val="24"/>
        </w:rPr>
        <w:tab/>
      </w:r>
      <w:r w:rsidR="00E51158" w:rsidRPr="00E51158">
        <w:rPr>
          <w:sz w:val="24"/>
          <w:szCs w:val="24"/>
        </w:rPr>
        <w:t>Molecular markers are particular DNA sequences that show variation between individuals, allowing us to distinguish one organism from another. These variations arise due to changes in the nucleotide sequence of DNA, which may result in the creation or loss of restriction sites, random mutations, or alterations in simple repeat regions and their surrounding areas. Because these markers are highly abundant, show good levels of variation, and provide reliable results, they are widely preferred over other types of DNA markers. In this study, sixteen DNA markers that were previously identified and described in aspen (</w:t>
      </w:r>
      <w:proofErr w:type="spellStart"/>
      <w:r w:rsidR="00E51158" w:rsidRPr="00C47178">
        <w:rPr>
          <w:i/>
          <w:sz w:val="24"/>
          <w:szCs w:val="24"/>
        </w:rPr>
        <w:t>Populus</w:t>
      </w:r>
      <w:proofErr w:type="spellEnd"/>
      <w:r w:rsidR="00E51158" w:rsidRPr="00C47178">
        <w:rPr>
          <w:i/>
          <w:sz w:val="24"/>
          <w:szCs w:val="24"/>
        </w:rPr>
        <w:t xml:space="preserve"> </w:t>
      </w:r>
      <w:proofErr w:type="spellStart"/>
      <w:r w:rsidR="00E51158" w:rsidRPr="00C47178">
        <w:rPr>
          <w:i/>
          <w:sz w:val="24"/>
          <w:szCs w:val="24"/>
        </w:rPr>
        <w:t>tremuloides</w:t>
      </w:r>
      <w:proofErr w:type="spellEnd"/>
      <w:r w:rsidR="00E51158" w:rsidRPr="00E51158">
        <w:rPr>
          <w:sz w:val="24"/>
          <w:szCs w:val="24"/>
        </w:rPr>
        <w:t>) and other poplar species (</w:t>
      </w:r>
      <w:proofErr w:type="spellStart"/>
      <w:r w:rsidR="00E51158" w:rsidRPr="00C47178">
        <w:rPr>
          <w:i/>
          <w:sz w:val="24"/>
          <w:szCs w:val="24"/>
        </w:rPr>
        <w:t>Populus</w:t>
      </w:r>
      <w:proofErr w:type="spellEnd"/>
      <w:r w:rsidR="00E51158" w:rsidRPr="00E51158">
        <w:rPr>
          <w:sz w:val="24"/>
          <w:szCs w:val="24"/>
        </w:rPr>
        <w:t xml:space="preserve"> spp.) were initially examined for their usefulness.</w:t>
      </w:r>
    </w:p>
    <w:p w:rsidR="00BF35F1" w:rsidRPr="00D85F74" w:rsidRDefault="00BF35F1" w:rsidP="00BF35F1">
      <w:pPr>
        <w:pStyle w:val="Body"/>
        <w:widowControl/>
        <w:spacing w:before="100" w:after="100" w:line="360" w:lineRule="auto"/>
        <w:jc w:val="both"/>
        <w:rPr>
          <w:b/>
          <w:sz w:val="24"/>
          <w:szCs w:val="24"/>
        </w:rPr>
      </w:pPr>
      <w:r w:rsidRPr="00D85F74">
        <w:rPr>
          <w:b/>
          <w:sz w:val="24"/>
          <w:szCs w:val="24"/>
        </w:rPr>
        <w:t xml:space="preserve">Acknowledgement </w:t>
      </w:r>
    </w:p>
    <w:p w:rsidR="00BF35F1" w:rsidRDefault="00BF35F1" w:rsidP="00BF35F1">
      <w:pPr>
        <w:spacing w:line="360" w:lineRule="auto"/>
        <w:ind w:firstLine="720"/>
        <w:contextualSpacing/>
        <w:jc w:val="both"/>
      </w:pPr>
      <w:r w:rsidRPr="00D85F74">
        <w:t>The authors are</w:t>
      </w:r>
      <w:r w:rsidR="009B03FC" w:rsidRPr="00D85F74">
        <w:t xml:space="preserve"> highly thankful to </w:t>
      </w:r>
      <w:r w:rsidRPr="00D85F74">
        <w:t xml:space="preserve">Department of Tree Improvement &amp; Genetic Resources, COF, Dr. Y. S. Parmar University of Horticulture &amp; Forestry, </w:t>
      </w:r>
      <w:proofErr w:type="spellStart"/>
      <w:r w:rsidRPr="00D85F74">
        <w:t>Nauni</w:t>
      </w:r>
      <w:proofErr w:type="spellEnd"/>
      <w:r w:rsidRPr="00D85F74">
        <w:t xml:space="preserve">, </w:t>
      </w:r>
      <w:proofErr w:type="spellStart"/>
      <w:r w:rsidRPr="00D85F74">
        <w:t>Solan</w:t>
      </w:r>
      <w:proofErr w:type="spellEnd"/>
      <w:r w:rsidRPr="00D85F74">
        <w:t xml:space="preserve"> (H. P.) and Department of Science and Technology</w:t>
      </w:r>
      <w:r w:rsidR="00D85F74">
        <w:t xml:space="preserve"> (INSPIRE Fellowship)</w:t>
      </w:r>
      <w:r w:rsidRPr="00D85F74">
        <w:t>, New Delhi for financial support.</w:t>
      </w:r>
    </w:p>
    <w:p w:rsidR="00D57834" w:rsidRPr="00D85F74" w:rsidRDefault="00D57834" w:rsidP="00BF35F1">
      <w:pPr>
        <w:spacing w:line="360" w:lineRule="auto"/>
        <w:ind w:firstLine="720"/>
        <w:contextualSpacing/>
        <w:jc w:val="both"/>
      </w:pPr>
    </w:p>
    <w:p w:rsidR="00991BD3" w:rsidRPr="00991BD3" w:rsidRDefault="00991BD3" w:rsidP="00991B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kern w:val="2"/>
          <w:sz w:val="22"/>
          <w:szCs w:val="22"/>
          <w:highlight w:val="yellow"/>
          <w:bdr w:val="none" w:sz="0" w:space="0" w:color="auto"/>
          <w14:ligatures w14:val="standardContextual"/>
        </w:rPr>
      </w:pPr>
      <w:r w:rsidRPr="00991BD3">
        <w:rPr>
          <w:rFonts w:ascii="Calibri" w:eastAsia="Calibri" w:hAnsi="Calibri"/>
          <w:kern w:val="2"/>
          <w:sz w:val="22"/>
          <w:szCs w:val="22"/>
          <w:highlight w:val="yellow"/>
          <w:bdr w:val="none" w:sz="0" w:space="0" w:color="auto"/>
          <w14:ligatures w14:val="standardContextual"/>
        </w:rPr>
        <w:t>Disclaimer (Artificial intelligence)</w:t>
      </w:r>
    </w:p>
    <w:p w:rsidR="00991BD3" w:rsidRPr="00991BD3" w:rsidRDefault="00991BD3" w:rsidP="00991B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kern w:val="2"/>
          <w:sz w:val="22"/>
          <w:szCs w:val="22"/>
          <w:highlight w:val="yellow"/>
          <w:bdr w:val="none" w:sz="0" w:space="0" w:color="auto"/>
          <w14:ligatures w14:val="standardContextual"/>
        </w:rPr>
      </w:pPr>
      <w:r w:rsidRPr="00991BD3">
        <w:rPr>
          <w:rFonts w:ascii="Calibri" w:eastAsia="Calibri" w:hAnsi="Calibri"/>
          <w:kern w:val="2"/>
          <w:sz w:val="22"/>
          <w:szCs w:val="22"/>
          <w:highlight w:val="yellow"/>
          <w:bdr w:val="none" w:sz="0" w:space="0" w:color="auto"/>
          <w14:ligatures w14:val="standardContextual"/>
        </w:rPr>
        <w:t>Author(s) hereby declare that NO generative AI technologies such as Large Language Models (</w:t>
      </w:r>
      <w:proofErr w:type="spellStart"/>
      <w:r w:rsidRPr="00991BD3">
        <w:rPr>
          <w:rFonts w:ascii="Calibri" w:eastAsia="Calibri" w:hAnsi="Calibri"/>
          <w:kern w:val="2"/>
          <w:sz w:val="22"/>
          <w:szCs w:val="22"/>
          <w:highlight w:val="yellow"/>
          <w:bdr w:val="none" w:sz="0" w:space="0" w:color="auto"/>
          <w14:ligatures w14:val="standardContextual"/>
        </w:rPr>
        <w:t>ChatGPT</w:t>
      </w:r>
      <w:proofErr w:type="spellEnd"/>
      <w:r w:rsidRPr="00991BD3">
        <w:rPr>
          <w:rFonts w:ascii="Calibri" w:eastAsia="Calibri" w:hAnsi="Calibri"/>
          <w:kern w:val="2"/>
          <w:sz w:val="22"/>
          <w:szCs w:val="22"/>
          <w:highlight w:val="yellow"/>
          <w:bdr w:val="none" w:sz="0" w:space="0" w:color="auto"/>
          <w14:ligatures w14:val="standardContextual"/>
        </w:rPr>
        <w:t xml:space="preserve">, COPILOT, etc.) and text-to-image generators have been used during the writing or editing of this manuscript. </w:t>
      </w:r>
    </w:p>
    <w:p w:rsidR="00991BD3" w:rsidRPr="00991BD3" w:rsidRDefault="00991BD3" w:rsidP="00991B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kern w:val="2"/>
          <w:sz w:val="22"/>
          <w:szCs w:val="22"/>
          <w:bdr w:val="none" w:sz="0" w:space="0" w:color="auto"/>
          <w14:ligatures w14:val="standardContextual"/>
        </w:rPr>
      </w:pPr>
    </w:p>
    <w:p w:rsidR="00D85F74" w:rsidRDefault="00D85F74">
      <w:pPr>
        <w:pStyle w:val="Body"/>
        <w:widowControl/>
        <w:spacing w:before="120" w:line="360" w:lineRule="auto"/>
        <w:jc w:val="both"/>
        <w:rPr>
          <w:b/>
          <w:bCs/>
          <w:sz w:val="24"/>
          <w:szCs w:val="24"/>
          <w:lang w:val="en-US"/>
        </w:rPr>
      </w:pPr>
    </w:p>
    <w:p w:rsidR="008C79BB" w:rsidRDefault="00460E75">
      <w:pPr>
        <w:pStyle w:val="Body"/>
        <w:widowControl/>
        <w:spacing w:before="120" w:line="360" w:lineRule="auto"/>
        <w:jc w:val="both"/>
        <w:rPr>
          <w:sz w:val="24"/>
          <w:szCs w:val="24"/>
          <w:lang w:val="en-US"/>
        </w:rPr>
      </w:pPr>
      <w:r w:rsidRPr="00D85F74">
        <w:rPr>
          <w:b/>
          <w:bCs/>
          <w:sz w:val="24"/>
          <w:szCs w:val="24"/>
          <w:lang w:val="en-US"/>
        </w:rPr>
        <w:t>References</w:t>
      </w:r>
      <w:r w:rsidRPr="00D85F74">
        <w:rPr>
          <w:sz w:val="24"/>
          <w:szCs w:val="24"/>
          <w:lang w:val="en-US"/>
        </w:rPr>
        <w:t xml:space="preserve"> </w:t>
      </w:r>
    </w:p>
    <w:p w:rsidR="00481E98" w:rsidRDefault="00481E98" w:rsidP="00481E98">
      <w:pPr>
        <w:jc w:val="both"/>
        <w:rPr>
          <w:rStyle w:val="Hyperlink"/>
          <w:rFonts w:asciiTheme="majorBidi" w:hAnsiTheme="majorBidi" w:cstheme="majorBidi"/>
          <w:shd w:val="clear" w:color="auto" w:fill="FFFFFF"/>
          <w:lang w:val="en-GB"/>
        </w:rPr>
      </w:pPr>
      <w:proofErr w:type="spellStart"/>
      <w:r>
        <w:rPr>
          <w:rFonts w:asciiTheme="majorBidi" w:hAnsiTheme="majorBidi" w:cstheme="majorBidi"/>
          <w:color w:val="172B4D"/>
          <w:shd w:val="clear" w:color="auto" w:fill="FFFFFF"/>
        </w:rPr>
        <w:t>Cvrčková</w:t>
      </w:r>
      <w:proofErr w:type="spellEnd"/>
      <w:r>
        <w:rPr>
          <w:rFonts w:asciiTheme="majorBidi" w:hAnsiTheme="majorBidi" w:cstheme="majorBidi"/>
          <w:color w:val="172B4D"/>
          <w:shd w:val="clear" w:color="auto" w:fill="FFFFFF"/>
        </w:rPr>
        <w:t xml:space="preserve">, H., </w:t>
      </w:r>
      <w:proofErr w:type="spellStart"/>
      <w:r>
        <w:rPr>
          <w:rFonts w:asciiTheme="majorBidi" w:hAnsiTheme="majorBidi" w:cstheme="majorBidi"/>
          <w:color w:val="172B4D"/>
          <w:shd w:val="clear" w:color="auto" w:fill="FFFFFF"/>
        </w:rPr>
        <w:t>Máchová</w:t>
      </w:r>
      <w:proofErr w:type="spellEnd"/>
      <w:r>
        <w:rPr>
          <w:rFonts w:asciiTheme="majorBidi" w:hAnsiTheme="majorBidi" w:cstheme="majorBidi"/>
          <w:color w:val="172B4D"/>
          <w:shd w:val="clear" w:color="auto" w:fill="FFFFFF"/>
        </w:rPr>
        <w:t xml:space="preserve">, P., </w:t>
      </w:r>
      <w:proofErr w:type="spellStart"/>
      <w:r>
        <w:rPr>
          <w:rFonts w:asciiTheme="majorBidi" w:hAnsiTheme="majorBidi" w:cstheme="majorBidi"/>
          <w:color w:val="172B4D"/>
          <w:shd w:val="clear" w:color="auto" w:fill="FFFFFF"/>
        </w:rPr>
        <w:t>Čížková</w:t>
      </w:r>
      <w:proofErr w:type="spellEnd"/>
      <w:r>
        <w:rPr>
          <w:rFonts w:asciiTheme="majorBidi" w:hAnsiTheme="majorBidi" w:cstheme="majorBidi"/>
          <w:color w:val="172B4D"/>
          <w:shd w:val="clear" w:color="auto" w:fill="FFFFFF"/>
        </w:rPr>
        <w:t xml:space="preserve">, L., </w:t>
      </w:r>
      <w:proofErr w:type="spellStart"/>
      <w:r>
        <w:rPr>
          <w:rFonts w:asciiTheme="majorBidi" w:hAnsiTheme="majorBidi" w:cstheme="majorBidi"/>
          <w:color w:val="172B4D"/>
          <w:shd w:val="clear" w:color="auto" w:fill="FFFFFF"/>
        </w:rPr>
        <w:t>Vítová</w:t>
      </w:r>
      <w:proofErr w:type="spellEnd"/>
      <w:r>
        <w:rPr>
          <w:rFonts w:asciiTheme="majorBidi" w:hAnsiTheme="majorBidi" w:cstheme="majorBidi"/>
          <w:color w:val="172B4D"/>
          <w:shd w:val="clear" w:color="auto" w:fill="FFFFFF"/>
        </w:rPr>
        <w:t>, K.,</w:t>
      </w:r>
      <w:r w:rsidR="00F95307">
        <w:rPr>
          <w:rFonts w:asciiTheme="majorBidi" w:hAnsiTheme="majorBidi" w:cstheme="majorBidi"/>
          <w:color w:val="172B4D"/>
          <w:shd w:val="clear" w:color="auto" w:fill="FFFFFF"/>
        </w:rPr>
        <w:t xml:space="preserve"> </w:t>
      </w:r>
      <w:proofErr w:type="spellStart"/>
      <w:r w:rsidR="00F95307">
        <w:rPr>
          <w:rFonts w:asciiTheme="majorBidi" w:hAnsiTheme="majorBidi" w:cstheme="majorBidi"/>
          <w:color w:val="172B4D"/>
          <w:shd w:val="clear" w:color="auto" w:fill="FFFFFF"/>
        </w:rPr>
        <w:t>Trčková</w:t>
      </w:r>
      <w:proofErr w:type="spellEnd"/>
      <w:r w:rsidR="00F95307">
        <w:rPr>
          <w:rFonts w:asciiTheme="majorBidi" w:hAnsiTheme="majorBidi" w:cstheme="majorBidi"/>
          <w:color w:val="172B4D"/>
          <w:shd w:val="clear" w:color="auto" w:fill="FFFFFF"/>
        </w:rPr>
        <w:t xml:space="preserve">, O., &amp; </w:t>
      </w:r>
      <w:proofErr w:type="spellStart"/>
      <w:r w:rsidR="00F95307">
        <w:rPr>
          <w:rFonts w:asciiTheme="majorBidi" w:hAnsiTheme="majorBidi" w:cstheme="majorBidi"/>
          <w:color w:val="172B4D"/>
          <w:shd w:val="clear" w:color="auto" w:fill="FFFFFF"/>
        </w:rPr>
        <w:t>Fulín</w:t>
      </w:r>
      <w:proofErr w:type="spellEnd"/>
      <w:r w:rsidR="00F95307">
        <w:rPr>
          <w:rFonts w:asciiTheme="majorBidi" w:hAnsiTheme="majorBidi" w:cstheme="majorBidi"/>
          <w:color w:val="172B4D"/>
          <w:shd w:val="clear" w:color="auto" w:fill="FFFFFF"/>
        </w:rPr>
        <w:t>, M. 2025</w:t>
      </w:r>
      <w:r>
        <w:rPr>
          <w:rFonts w:asciiTheme="majorBidi" w:hAnsiTheme="majorBidi" w:cstheme="majorBidi"/>
          <w:color w:val="172B4D"/>
          <w:shd w:val="clear" w:color="auto" w:fill="FFFFFF"/>
        </w:rPr>
        <w:t xml:space="preserve">. </w:t>
      </w:r>
      <w:r>
        <w:rPr>
          <w:rFonts w:asciiTheme="majorBidi" w:hAnsiTheme="majorBidi" w:cstheme="majorBidi"/>
          <w:color w:val="172B4D"/>
          <w:shd w:val="clear" w:color="auto" w:fill="FFFFFF"/>
          <w:lang w:val="en-GB"/>
        </w:rPr>
        <w:t xml:space="preserve">Microsatellite </w:t>
      </w:r>
      <w:r>
        <w:rPr>
          <w:rFonts w:asciiTheme="majorBidi" w:hAnsiTheme="majorBidi" w:cstheme="majorBidi"/>
          <w:color w:val="172B4D"/>
          <w:shd w:val="clear" w:color="auto" w:fill="FFFFFF"/>
          <w:lang w:val="en-GB"/>
        </w:rPr>
        <w:tab/>
        <w:t xml:space="preserve">Markers as a Useful Tool for Species Identification and Assessment of Genetic Diversity of the </w:t>
      </w:r>
      <w:r>
        <w:rPr>
          <w:rFonts w:asciiTheme="majorBidi" w:hAnsiTheme="majorBidi" w:cstheme="majorBidi"/>
          <w:color w:val="172B4D"/>
          <w:shd w:val="clear" w:color="auto" w:fill="FFFFFF"/>
          <w:lang w:val="en-GB"/>
        </w:rPr>
        <w:tab/>
        <w:t>Endangered Species </w:t>
      </w:r>
      <w:proofErr w:type="spellStart"/>
      <w:r>
        <w:rPr>
          <w:rFonts w:asciiTheme="majorBidi" w:hAnsiTheme="majorBidi" w:cstheme="majorBidi"/>
          <w:i/>
          <w:iCs/>
          <w:color w:val="172B4D"/>
          <w:bdr w:val="single" w:sz="2" w:space="0" w:color="auto" w:frame="1"/>
          <w:shd w:val="clear" w:color="auto" w:fill="FFFFFF"/>
          <w:lang w:val="en-GB"/>
        </w:rPr>
        <w:t>Populus</w:t>
      </w:r>
      <w:proofErr w:type="spellEnd"/>
      <w:r>
        <w:rPr>
          <w:rFonts w:asciiTheme="majorBidi" w:hAnsiTheme="majorBidi" w:cstheme="majorBidi"/>
          <w:i/>
          <w:iCs/>
          <w:color w:val="172B4D"/>
          <w:bdr w:val="single" w:sz="2" w:space="0" w:color="auto" w:frame="1"/>
          <w:shd w:val="clear" w:color="auto" w:fill="FFFFFF"/>
          <w:lang w:val="en-GB"/>
        </w:rPr>
        <w:t xml:space="preserve"> </w:t>
      </w:r>
      <w:proofErr w:type="spellStart"/>
      <w:r>
        <w:rPr>
          <w:rFonts w:asciiTheme="majorBidi" w:hAnsiTheme="majorBidi" w:cstheme="majorBidi"/>
          <w:i/>
          <w:iCs/>
          <w:color w:val="172B4D"/>
          <w:bdr w:val="single" w:sz="2" w:space="0" w:color="auto" w:frame="1"/>
          <w:shd w:val="clear" w:color="auto" w:fill="FFFFFF"/>
          <w:lang w:val="en-GB"/>
        </w:rPr>
        <w:t>nigra</w:t>
      </w:r>
      <w:proofErr w:type="spellEnd"/>
      <w:r>
        <w:rPr>
          <w:rFonts w:asciiTheme="majorBidi" w:hAnsiTheme="majorBidi" w:cstheme="majorBidi"/>
          <w:color w:val="172B4D"/>
          <w:shd w:val="clear" w:color="auto" w:fill="FFFFFF"/>
          <w:lang w:val="en-GB"/>
        </w:rPr>
        <w:t> L. in the Czech Republic. </w:t>
      </w:r>
      <w:r>
        <w:rPr>
          <w:rStyle w:val="Emphasis"/>
          <w:rFonts w:asciiTheme="majorBidi" w:eastAsia="MS Mincho" w:hAnsiTheme="majorBidi" w:cstheme="majorBidi"/>
          <w:color w:val="172B4D"/>
          <w:bdr w:val="single" w:sz="2" w:space="0" w:color="auto" w:frame="1"/>
          <w:shd w:val="clear" w:color="auto" w:fill="FFFFFF"/>
        </w:rPr>
        <w:t>Forests</w:t>
      </w:r>
      <w:r>
        <w:rPr>
          <w:rFonts w:asciiTheme="majorBidi" w:hAnsiTheme="majorBidi" w:cstheme="majorBidi"/>
          <w:color w:val="172B4D"/>
          <w:shd w:val="clear" w:color="auto" w:fill="FFFFFF"/>
        </w:rPr>
        <w:t>, </w:t>
      </w:r>
      <w:r>
        <w:rPr>
          <w:rStyle w:val="Emphasis"/>
          <w:rFonts w:asciiTheme="majorBidi" w:eastAsia="MS Mincho" w:hAnsiTheme="majorBidi" w:cstheme="majorBidi"/>
          <w:color w:val="172B4D"/>
          <w:bdr w:val="single" w:sz="2" w:space="0" w:color="auto" w:frame="1"/>
          <w:shd w:val="clear" w:color="auto" w:fill="FFFFFF"/>
        </w:rPr>
        <w:t>16</w:t>
      </w:r>
      <w:r>
        <w:rPr>
          <w:rFonts w:asciiTheme="majorBidi" w:hAnsiTheme="majorBidi" w:cstheme="majorBidi"/>
          <w:color w:val="172B4D"/>
          <w:shd w:val="clear" w:color="auto" w:fill="FFFFFF"/>
        </w:rPr>
        <w:t xml:space="preserve">(9), 1389. </w:t>
      </w:r>
      <w:r>
        <w:rPr>
          <w:rFonts w:asciiTheme="majorBidi" w:hAnsiTheme="majorBidi" w:cstheme="majorBidi"/>
          <w:color w:val="172B4D"/>
          <w:shd w:val="clear" w:color="auto" w:fill="FFFFFF"/>
        </w:rPr>
        <w:tab/>
      </w:r>
      <w:hyperlink r:id="rId8" w:history="1">
        <w:r>
          <w:rPr>
            <w:rStyle w:val="Hyperlink"/>
            <w:rFonts w:asciiTheme="majorBidi" w:hAnsiTheme="majorBidi" w:cstheme="majorBidi"/>
            <w:shd w:val="clear" w:color="auto" w:fill="FFFFFF"/>
            <w:lang w:val="en-GB"/>
          </w:rPr>
          <w:t>https://doi.org/10.3390/f16091389</w:t>
        </w:r>
      </w:hyperlink>
    </w:p>
    <w:p w:rsidR="00481E98" w:rsidRPr="00481E98" w:rsidRDefault="00481E98" w:rsidP="00481E98">
      <w:pPr>
        <w:jc w:val="both"/>
        <w:rPr>
          <w:rFonts w:asciiTheme="majorBidi" w:hAnsiTheme="majorBidi" w:cstheme="majorBidi"/>
          <w:color w:val="172B4D"/>
          <w:shd w:val="clear" w:color="auto" w:fill="FFFFFF"/>
          <w:lang w:val="uk-UA"/>
        </w:rPr>
      </w:pPr>
    </w:p>
    <w:p w:rsidR="008C79BB" w:rsidRPr="00D85F74" w:rsidRDefault="00460E75">
      <w:pPr>
        <w:pStyle w:val="Body"/>
        <w:widowControl/>
        <w:spacing w:before="120" w:line="360" w:lineRule="auto"/>
        <w:ind w:left="964" w:hanging="964"/>
        <w:jc w:val="both"/>
        <w:rPr>
          <w:rFonts w:eastAsia="Arial"/>
          <w:sz w:val="24"/>
          <w:szCs w:val="24"/>
        </w:rPr>
      </w:pPr>
      <w:proofErr w:type="spellStart"/>
      <w:r w:rsidRPr="00D85F74">
        <w:rPr>
          <w:sz w:val="24"/>
          <w:szCs w:val="24"/>
          <w:lang w:val="en-US"/>
        </w:rPr>
        <w:t>Dickmann</w:t>
      </w:r>
      <w:proofErr w:type="spellEnd"/>
      <w:r w:rsidRPr="00D85F74">
        <w:rPr>
          <w:sz w:val="24"/>
          <w:szCs w:val="24"/>
          <w:lang w:val="en-US"/>
        </w:rPr>
        <w:t xml:space="preserve"> D I and Stuart K W. 1984. The culture of poplars in Eastern North America. Michigan State </w:t>
      </w:r>
      <w:proofErr w:type="spellStart"/>
      <w:r w:rsidRPr="00D85F74">
        <w:rPr>
          <w:sz w:val="24"/>
          <w:szCs w:val="24"/>
          <w:lang w:val="en-US"/>
        </w:rPr>
        <w:t>Univiversity</w:t>
      </w:r>
      <w:proofErr w:type="spellEnd"/>
      <w:r w:rsidRPr="00D85F74">
        <w:rPr>
          <w:sz w:val="24"/>
          <w:szCs w:val="24"/>
          <w:lang w:val="en-US"/>
        </w:rPr>
        <w:t>, 168p.</w:t>
      </w:r>
    </w:p>
    <w:p w:rsidR="008C79BB" w:rsidRPr="00D85F74" w:rsidRDefault="00460E75">
      <w:pPr>
        <w:pStyle w:val="Body"/>
        <w:widowControl/>
        <w:spacing w:before="120" w:line="360" w:lineRule="auto"/>
        <w:ind w:left="964" w:hanging="964"/>
        <w:jc w:val="both"/>
        <w:rPr>
          <w:rFonts w:eastAsia="Arial"/>
          <w:sz w:val="24"/>
          <w:szCs w:val="24"/>
        </w:rPr>
      </w:pPr>
      <w:r w:rsidRPr="00D85F74">
        <w:rPr>
          <w:sz w:val="24"/>
          <w:szCs w:val="24"/>
          <w:lang w:val="en-US"/>
        </w:rPr>
        <w:t xml:space="preserve">Dickman D I. 2001. An overview of genus </w:t>
      </w:r>
      <w:proofErr w:type="spellStart"/>
      <w:r w:rsidRPr="00D85F74">
        <w:rPr>
          <w:sz w:val="24"/>
          <w:szCs w:val="24"/>
          <w:lang w:val="en-US"/>
        </w:rPr>
        <w:t>Populus</w:t>
      </w:r>
      <w:proofErr w:type="spellEnd"/>
      <w:r w:rsidRPr="00D85F74">
        <w:rPr>
          <w:sz w:val="24"/>
          <w:szCs w:val="24"/>
          <w:lang w:val="en-US"/>
        </w:rPr>
        <w:t xml:space="preserve">. In: Dickman D I, </w:t>
      </w:r>
      <w:proofErr w:type="spellStart"/>
      <w:r w:rsidRPr="00D85F74">
        <w:rPr>
          <w:sz w:val="24"/>
          <w:szCs w:val="24"/>
          <w:lang w:val="en-US"/>
        </w:rPr>
        <w:t>Isebrands</w:t>
      </w:r>
      <w:proofErr w:type="spellEnd"/>
      <w:r w:rsidRPr="00D85F74">
        <w:rPr>
          <w:sz w:val="24"/>
          <w:szCs w:val="24"/>
          <w:lang w:val="en-US"/>
        </w:rPr>
        <w:t xml:space="preserve"> J G, </w:t>
      </w:r>
      <w:proofErr w:type="spellStart"/>
      <w:r w:rsidRPr="00D85F74">
        <w:rPr>
          <w:sz w:val="24"/>
          <w:szCs w:val="24"/>
          <w:lang w:val="en-US"/>
        </w:rPr>
        <w:t>Eckenwalder</w:t>
      </w:r>
      <w:proofErr w:type="spellEnd"/>
      <w:r w:rsidRPr="00D85F74">
        <w:rPr>
          <w:sz w:val="24"/>
          <w:szCs w:val="24"/>
          <w:lang w:val="en-US"/>
        </w:rPr>
        <w:t xml:space="preserve"> J E, Richardson J (eds) Poplar culture in North America. Part A. NRC Research Press, </w:t>
      </w:r>
      <w:proofErr w:type="spellStart"/>
      <w:r w:rsidRPr="00D85F74">
        <w:rPr>
          <w:sz w:val="24"/>
          <w:szCs w:val="24"/>
          <w:lang w:val="en-US"/>
        </w:rPr>
        <w:t>Ottwa</w:t>
      </w:r>
      <w:proofErr w:type="spellEnd"/>
      <w:r w:rsidRPr="00D85F74">
        <w:rPr>
          <w:sz w:val="24"/>
          <w:szCs w:val="24"/>
          <w:lang w:val="en-US"/>
        </w:rPr>
        <w:t>, Canada. 1-45.</w:t>
      </w:r>
    </w:p>
    <w:p w:rsidR="008B38AA" w:rsidRPr="00D85F74" w:rsidRDefault="008B38AA" w:rsidP="008B38AA">
      <w:pPr>
        <w:pStyle w:val="Body"/>
        <w:widowControl/>
        <w:spacing w:before="120" w:line="360" w:lineRule="auto"/>
        <w:ind w:left="964" w:hanging="964"/>
        <w:jc w:val="both"/>
        <w:rPr>
          <w:rFonts w:eastAsia="Arial"/>
          <w:sz w:val="24"/>
          <w:szCs w:val="24"/>
        </w:rPr>
      </w:pPr>
      <w:proofErr w:type="spellStart"/>
      <w:r w:rsidRPr="00D85F74">
        <w:rPr>
          <w:sz w:val="24"/>
          <w:szCs w:val="24"/>
          <w:lang w:val="en-US"/>
        </w:rPr>
        <w:t>Dobhal</w:t>
      </w:r>
      <w:proofErr w:type="spellEnd"/>
      <w:r w:rsidRPr="00D85F74">
        <w:rPr>
          <w:sz w:val="24"/>
          <w:szCs w:val="24"/>
          <w:lang w:val="en-US"/>
        </w:rPr>
        <w:t xml:space="preserve"> S. 2016. Line x tester analysis in </w:t>
      </w:r>
      <w:proofErr w:type="spellStart"/>
      <w:r w:rsidRPr="00D85F74">
        <w:rPr>
          <w:i/>
          <w:sz w:val="24"/>
          <w:szCs w:val="24"/>
          <w:lang w:val="en-US"/>
        </w:rPr>
        <w:t>Populus</w:t>
      </w:r>
      <w:proofErr w:type="spellEnd"/>
      <w:r w:rsidRPr="00D85F74">
        <w:rPr>
          <w:i/>
          <w:sz w:val="24"/>
          <w:szCs w:val="24"/>
          <w:lang w:val="en-US"/>
        </w:rPr>
        <w:t xml:space="preserve"> </w:t>
      </w:r>
      <w:proofErr w:type="spellStart"/>
      <w:r w:rsidRPr="00D85F74">
        <w:rPr>
          <w:i/>
          <w:sz w:val="24"/>
          <w:szCs w:val="24"/>
          <w:lang w:val="en-US"/>
        </w:rPr>
        <w:t>deltoides</w:t>
      </w:r>
      <w:proofErr w:type="spellEnd"/>
      <w:r w:rsidRPr="00D85F74">
        <w:rPr>
          <w:sz w:val="24"/>
          <w:szCs w:val="24"/>
          <w:lang w:val="en-US"/>
        </w:rPr>
        <w:t xml:space="preserve"> </w:t>
      </w:r>
      <w:proofErr w:type="spellStart"/>
      <w:r w:rsidRPr="00D85F74">
        <w:rPr>
          <w:sz w:val="24"/>
          <w:szCs w:val="24"/>
          <w:lang w:val="en-US"/>
        </w:rPr>
        <w:t>Bartr</w:t>
      </w:r>
      <w:proofErr w:type="spellEnd"/>
      <w:r w:rsidRPr="00D85F74">
        <w:rPr>
          <w:sz w:val="24"/>
          <w:szCs w:val="24"/>
          <w:lang w:val="en-US"/>
        </w:rPr>
        <w:t xml:space="preserve">. Ph.D. Thesis. Department of Tree improvement and Genetic resources, Dr. Y. S. Parmar University of Horticulture and Forestry, </w:t>
      </w:r>
      <w:proofErr w:type="spellStart"/>
      <w:r w:rsidRPr="00D85F74">
        <w:rPr>
          <w:sz w:val="24"/>
          <w:szCs w:val="24"/>
          <w:lang w:val="en-US"/>
        </w:rPr>
        <w:t>Nauni</w:t>
      </w:r>
      <w:proofErr w:type="spellEnd"/>
      <w:r w:rsidRPr="00D85F74">
        <w:rPr>
          <w:sz w:val="24"/>
          <w:szCs w:val="24"/>
          <w:lang w:val="en-US"/>
        </w:rPr>
        <w:t xml:space="preserve">, </w:t>
      </w:r>
      <w:proofErr w:type="spellStart"/>
      <w:r w:rsidRPr="00D85F74">
        <w:rPr>
          <w:sz w:val="24"/>
          <w:szCs w:val="24"/>
          <w:lang w:val="en-US"/>
        </w:rPr>
        <w:t>Solan</w:t>
      </w:r>
      <w:proofErr w:type="spellEnd"/>
      <w:r w:rsidRPr="00D85F74">
        <w:rPr>
          <w:sz w:val="24"/>
          <w:szCs w:val="24"/>
          <w:lang w:val="en-US"/>
        </w:rPr>
        <w:t>. 121p.</w:t>
      </w:r>
    </w:p>
    <w:p w:rsidR="008B38AA" w:rsidRPr="00D85F74" w:rsidRDefault="008B38AA" w:rsidP="008B38AA">
      <w:pPr>
        <w:pStyle w:val="Body"/>
        <w:widowControl/>
        <w:spacing w:before="120" w:line="360" w:lineRule="auto"/>
        <w:ind w:left="964" w:hanging="964"/>
        <w:jc w:val="both"/>
        <w:rPr>
          <w:rFonts w:eastAsia="Arial"/>
          <w:sz w:val="24"/>
          <w:szCs w:val="24"/>
        </w:rPr>
      </w:pPr>
      <w:r w:rsidRPr="00D85F74">
        <w:rPr>
          <w:sz w:val="24"/>
          <w:szCs w:val="24"/>
          <w:lang w:val="en-US"/>
        </w:rPr>
        <w:lastRenderedPageBreak/>
        <w:t xml:space="preserve">Doyle J </w:t>
      </w:r>
      <w:proofErr w:type="spellStart"/>
      <w:r w:rsidRPr="00D85F74">
        <w:rPr>
          <w:sz w:val="24"/>
          <w:szCs w:val="24"/>
          <w:lang w:val="en-US"/>
        </w:rPr>
        <w:t>J</w:t>
      </w:r>
      <w:proofErr w:type="spellEnd"/>
      <w:r w:rsidRPr="00D85F74">
        <w:rPr>
          <w:sz w:val="24"/>
          <w:szCs w:val="24"/>
          <w:lang w:val="en-US"/>
        </w:rPr>
        <w:t xml:space="preserve"> and Doyle J </w:t>
      </w:r>
      <w:proofErr w:type="spellStart"/>
      <w:r w:rsidRPr="00D85F74">
        <w:rPr>
          <w:sz w:val="24"/>
          <w:szCs w:val="24"/>
          <w:lang w:val="en-US"/>
        </w:rPr>
        <w:t>J</w:t>
      </w:r>
      <w:proofErr w:type="spellEnd"/>
      <w:r w:rsidRPr="00D85F74">
        <w:rPr>
          <w:sz w:val="24"/>
          <w:szCs w:val="24"/>
          <w:lang w:val="en-US"/>
        </w:rPr>
        <w:t xml:space="preserve">. 1987. A rapid DNA isolation procedure from small quantities of fresh leaf tissues. Phytochemistry Bulletin </w:t>
      </w:r>
      <w:proofErr w:type="gramStart"/>
      <w:r w:rsidRPr="00D85F74">
        <w:rPr>
          <w:sz w:val="24"/>
          <w:szCs w:val="24"/>
          <w:lang w:val="en-US"/>
        </w:rPr>
        <w:t>19 :</w:t>
      </w:r>
      <w:proofErr w:type="gramEnd"/>
      <w:r w:rsidRPr="00D85F74">
        <w:rPr>
          <w:sz w:val="24"/>
          <w:szCs w:val="24"/>
          <w:lang w:val="en-US"/>
        </w:rPr>
        <w:t xml:space="preserve"> 11-15.</w:t>
      </w:r>
    </w:p>
    <w:p w:rsidR="008C79BB" w:rsidRPr="00D85F74" w:rsidRDefault="00460E75">
      <w:pPr>
        <w:pStyle w:val="Body"/>
        <w:widowControl/>
        <w:spacing w:before="120" w:line="360" w:lineRule="auto"/>
        <w:ind w:left="964" w:hanging="964"/>
        <w:jc w:val="both"/>
        <w:rPr>
          <w:rFonts w:eastAsia="Arial"/>
          <w:sz w:val="24"/>
          <w:szCs w:val="24"/>
        </w:rPr>
      </w:pPr>
      <w:r w:rsidRPr="00D85F74">
        <w:rPr>
          <w:sz w:val="24"/>
          <w:szCs w:val="24"/>
          <w:lang w:val="en-US"/>
        </w:rPr>
        <w:t xml:space="preserve">Smulders M J, Vander J S, </w:t>
      </w:r>
      <w:proofErr w:type="spellStart"/>
      <w:r w:rsidRPr="00D85F74">
        <w:rPr>
          <w:sz w:val="24"/>
          <w:szCs w:val="24"/>
          <w:lang w:val="en-US"/>
        </w:rPr>
        <w:t>Arens</w:t>
      </w:r>
      <w:proofErr w:type="spellEnd"/>
      <w:r w:rsidRPr="00D85F74">
        <w:rPr>
          <w:sz w:val="24"/>
          <w:szCs w:val="24"/>
          <w:lang w:val="en-US"/>
        </w:rPr>
        <w:t xml:space="preserve"> P and </w:t>
      </w:r>
      <w:proofErr w:type="spellStart"/>
      <w:r w:rsidRPr="00D85F74">
        <w:rPr>
          <w:sz w:val="24"/>
          <w:szCs w:val="24"/>
          <w:lang w:val="en-US"/>
        </w:rPr>
        <w:t>Vosman</w:t>
      </w:r>
      <w:proofErr w:type="spellEnd"/>
      <w:r w:rsidRPr="00D85F74">
        <w:rPr>
          <w:sz w:val="24"/>
          <w:szCs w:val="24"/>
          <w:lang w:val="en-US"/>
        </w:rPr>
        <w:t xml:space="preserve"> B. 2001. Tri-nucleotide repeat microsatellite markers for black poplar (</w:t>
      </w:r>
      <w:proofErr w:type="spellStart"/>
      <w:r w:rsidRPr="00D85F74">
        <w:rPr>
          <w:i/>
          <w:sz w:val="24"/>
          <w:szCs w:val="24"/>
          <w:lang w:val="en-US"/>
        </w:rPr>
        <w:t>Populus</w:t>
      </w:r>
      <w:proofErr w:type="spellEnd"/>
      <w:r w:rsidRPr="00D85F74">
        <w:rPr>
          <w:i/>
          <w:sz w:val="24"/>
          <w:szCs w:val="24"/>
          <w:lang w:val="en-US"/>
        </w:rPr>
        <w:t xml:space="preserve"> </w:t>
      </w:r>
      <w:proofErr w:type="spellStart"/>
      <w:r w:rsidRPr="00D85F74">
        <w:rPr>
          <w:i/>
          <w:sz w:val="24"/>
          <w:szCs w:val="24"/>
          <w:lang w:val="en-US"/>
        </w:rPr>
        <w:t>nigra</w:t>
      </w:r>
      <w:proofErr w:type="spellEnd"/>
      <w:r w:rsidRPr="00D85F74">
        <w:rPr>
          <w:sz w:val="24"/>
          <w:szCs w:val="24"/>
          <w:lang w:val="en-US"/>
        </w:rPr>
        <w:t xml:space="preserve"> L.). Molecular Ecology Notes </w:t>
      </w:r>
      <w:proofErr w:type="gramStart"/>
      <w:r w:rsidRPr="00D85F74">
        <w:rPr>
          <w:sz w:val="24"/>
          <w:szCs w:val="24"/>
          <w:lang w:val="en-US"/>
        </w:rPr>
        <w:t>1 :</w:t>
      </w:r>
      <w:proofErr w:type="gramEnd"/>
      <w:r w:rsidRPr="00D85F74">
        <w:rPr>
          <w:sz w:val="24"/>
          <w:szCs w:val="24"/>
          <w:lang w:val="en-US"/>
        </w:rPr>
        <w:t xml:space="preserve"> 188-190.</w:t>
      </w:r>
    </w:p>
    <w:p w:rsidR="008C79BB" w:rsidRPr="00D85F74" w:rsidRDefault="00460E75">
      <w:pPr>
        <w:pStyle w:val="Body"/>
        <w:widowControl/>
        <w:spacing w:before="120" w:line="360" w:lineRule="auto"/>
        <w:ind w:left="964" w:hanging="964"/>
        <w:jc w:val="both"/>
        <w:rPr>
          <w:rFonts w:eastAsia="Arial"/>
          <w:sz w:val="24"/>
          <w:szCs w:val="24"/>
        </w:rPr>
      </w:pPr>
      <w:proofErr w:type="spellStart"/>
      <w:r w:rsidRPr="00D85F74">
        <w:rPr>
          <w:sz w:val="24"/>
          <w:szCs w:val="24"/>
          <w:lang w:val="en-US"/>
        </w:rPr>
        <w:t>Krutovsky</w:t>
      </w:r>
      <w:proofErr w:type="spellEnd"/>
      <w:r w:rsidRPr="00D85F74">
        <w:rPr>
          <w:sz w:val="24"/>
          <w:szCs w:val="24"/>
          <w:lang w:val="en-US"/>
        </w:rPr>
        <w:t xml:space="preserve"> K V and Neale D B. 2006. Forest genomics and new molecular genetic approaches to measuring and conserving adaptive genetic diversity in forest trees. In: </w:t>
      </w:r>
      <w:proofErr w:type="spellStart"/>
      <w:r w:rsidRPr="00D85F74">
        <w:rPr>
          <w:sz w:val="24"/>
          <w:szCs w:val="24"/>
          <w:lang w:val="en-US"/>
        </w:rPr>
        <w:t>Geburek</w:t>
      </w:r>
      <w:proofErr w:type="spellEnd"/>
      <w:r w:rsidRPr="00D85F74">
        <w:rPr>
          <w:sz w:val="24"/>
          <w:szCs w:val="24"/>
          <w:lang w:val="en-US"/>
        </w:rPr>
        <w:t xml:space="preserve"> T, </w:t>
      </w:r>
      <w:proofErr w:type="spellStart"/>
      <w:r w:rsidRPr="00D85F74">
        <w:rPr>
          <w:sz w:val="24"/>
          <w:szCs w:val="24"/>
          <w:lang w:val="en-US"/>
        </w:rPr>
        <w:t>Turok</w:t>
      </w:r>
      <w:proofErr w:type="spellEnd"/>
      <w:r w:rsidRPr="00D85F74">
        <w:rPr>
          <w:sz w:val="24"/>
          <w:szCs w:val="24"/>
          <w:lang w:val="en-US"/>
        </w:rPr>
        <w:t xml:space="preserve"> J (eds). Conservation and Management of Forest Genetic Resources in Europe. Arboreta Publishers, </w:t>
      </w:r>
      <w:proofErr w:type="spellStart"/>
      <w:r w:rsidRPr="00D85F74">
        <w:rPr>
          <w:sz w:val="24"/>
          <w:szCs w:val="24"/>
          <w:lang w:val="en-US"/>
        </w:rPr>
        <w:t>Zvolen</w:t>
      </w:r>
      <w:proofErr w:type="spellEnd"/>
      <w:r w:rsidRPr="00D85F74">
        <w:rPr>
          <w:sz w:val="24"/>
          <w:szCs w:val="24"/>
          <w:lang w:val="en-US"/>
        </w:rPr>
        <w:t>, Slovakia. 369-390.</w:t>
      </w:r>
    </w:p>
    <w:p w:rsidR="008C79BB" w:rsidRPr="00D85F74" w:rsidRDefault="00460E75">
      <w:pPr>
        <w:pStyle w:val="Body"/>
        <w:widowControl/>
        <w:spacing w:before="120" w:line="360" w:lineRule="auto"/>
        <w:ind w:left="964" w:hanging="964"/>
        <w:jc w:val="both"/>
        <w:rPr>
          <w:rFonts w:eastAsia="Arial"/>
          <w:sz w:val="24"/>
          <w:szCs w:val="24"/>
        </w:rPr>
      </w:pPr>
      <w:r w:rsidRPr="00D85F74">
        <w:rPr>
          <w:sz w:val="24"/>
          <w:szCs w:val="24"/>
          <w:lang w:val="en-US"/>
        </w:rPr>
        <w:t xml:space="preserve">Kohler A, </w:t>
      </w:r>
      <w:proofErr w:type="spellStart"/>
      <w:r w:rsidRPr="00D85F74">
        <w:rPr>
          <w:sz w:val="24"/>
          <w:szCs w:val="24"/>
          <w:lang w:val="en-US"/>
        </w:rPr>
        <w:t>Delaruelle</w:t>
      </w:r>
      <w:proofErr w:type="spellEnd"/>
      <w:r w:rsidRPr="00D85F74">
        <w:rPr>
          <w:sz w:val="24"/>
          <w:szCs w:val="24"/>
          <w:lang w:val="en-US"/>
        </w:rPr>
        <w:t xml:space="preserve"> C, Martin D, </w:t>
      </w:r>
      <w:proofErr w:type="spellStart"/>
      <w:r w:rsidRPr="00D85F74">
        <w:rPr>
          <w:sz w:val="24"/>
          <w:szCs w:val="24"/>
          <w:lang w:val="en-US"/>
        </w:rPr>
        <w:t>Encelot</w:t>
      </w:r>
      <w:proofErr w:type="spellEnd"/>
      <w:r w:rsidRPr="00D85F74">
        <w:rPr>
          <w:sz w:val="24"/>
          <w:szCs w:val="24"/>
          <w:lang w:val="en-US"/>
        </w:rPr>
        <w:t xml:space="preserve"> N and Martin F. 2003. The poplar root </w:t>
      </w:r>
      <w:proofErr w:type="gramStart"/>
      <w:r w:rsidRPr="00D85F74">
        <w:rPr>
          <w:sz w:val="24"/>
          <w:szCs w:val="24"/>
          <w:lang w:val="en-US"/>
        </w:rPr>
        <w:t>transcriptome :</w:t>
      </w:r>
      <w:proofErr w:type="gramEnd"/>
      <w:r w:rsidRPr="00D85F74">
        <w:rPr>
          <w:sz w:val="24"/>
          <w:szCs w:val="24"/>
          <w:lang w:val="en-US"/>
        </w:rPr>
        <w:t xml:space="preserve"> Analysis of 7000 express sequence tags. FEBS Letters </w:t>
      </w:r>
      <w:proofErr w:type="gramStart"/>
      <w:r w:rsidRPr="00D85F74">
        <w:rPr>
          <w:sz w:val="24"/>
          <w:szCs w:val="24"/>
          <w:lang w:val="en-US"/>
        </w:rPr>
        <w:t>542 :</w:t>
      </w:r>
      <w:proofErr w:type="gramEnd"/>
      <w:r w:rsidRPr="00D85F74">
        <w:rPr>
          <w:sz w:val="24"/>
          <w:szCs w:val="24"/>
          <w:lang w:val="en-US"/>
        </w:rPr>
        <w:t xml:space="preserve"> 37-41.</w:t>
      </w:r>
    </w:p>
    <w:p w:rsidR="008C79BB" w:rsidRPr="00D85F74" w:rsidRDefault="00460E75">
      <w:pPr>
        <w:pStyle w:val="Body"/>
        <w:widowControl/>
        <w:spacing w:before="120" w:line="360" w:lineRule="auto"/>
        <w:ind w:left="964" w:hanging="964"/>
        <w:jc w:val="both"/>
        <w:rPr>
          <w:rFonts w:eastAsia="Arial"/>
          <w:sz w:val="24"/>
          <w:szCs w:val="24"/>
        </w:rPr>
      </w:pPr>
      <w:r w:rsidRPr="00D85F74">
        <w:rPr>
          <w:sz w:val="24"/>
          <w:szCs w:val="24"/>
          <w:lang w:val="de-DE"/>
        </w:rPr>
        <w:t>Sterky F, Bhalerao R R, Unneberg P, Segerman B, Nillson P, Brunner A M, Campa C L, Lindvall J J, Tandre K, Strauss S H, Gustaffson P, Uhlen M, Bhalerao R P, Nilsson O, Sandberg G, Karlsson J, Lundberg J and Jasson S.2004. A Populus EST resource for plant functional genomics. Proc. Natl. Acad. Sci. USA. 101 : 13951-13956.</w:t>
      </w:r>
    </w:p>
    <w:p w:rsidR="008C79BB" w:rsidRPr="00D85F74" w:rsidRDefault="00460E75">
      <w:pPr>
        <w:pStyle w:val="Body"/>
        <w:widowControl/>
        <w:spacing w:before="120" w:line="360" w:lineRule="auto"/>
        <w:ind w:left="964" w:hanging="964"/>
        <w:jc w:val="both"/>
        <w:rPr>
          <w:rFonts w:eastAsia="Arial"/>
          <w:sz w:val="24"/>
          <w:szCs w:val="24"/>
        </w:rPr>
      </w:pPr>
      <w:proofErr w:type="spellStart"/>
      <w:r w:rsidRPr="00D85F74">
        <w:rPr>
          <w:sz w:val="24"/>
          <w:szCs w:val="24"/>
          <w:lang w:val="en-US"/>
        </w:rPr>
        <w:t>Khasa</w:t>
      </w:r>
      <w:proofErr w:type="spellEnd"/>
      <w:r w:rsidRPr="00D85F74">
        <w:rPr>
          <w:sz w:val="24"/>
          <w:szCs w:val="24"/>
          <w:lang w:val="en-US"/>
        </w:rPr>
        <w:t xml:space="preserve"> D P, Nadeem S, Thomas B, Robertson A and Bousquet J. 2003. Application of SSR markers for parentage analysis of </w:t>
      </w:r>
      <w:proofErr w:type="spellStart"/>
      <w:r w:rsidRPr="00D85F74">
        <w:rPr>
          <w:sz w:val="24"/>
          <w:szCs w:val="24"/>
          <w:lang w:val="en-US"/>
        </w:rPr>
        <w:t>Populus</w:t>
      </w:r>
      <w:proofErr w:type="spellEnd"/>
      <w:r w:rsidRPr="00D85F74">
        <w:rPr>
          <w:sz w:val="24"/>
          <w:szCs w:val="24"/>
          <w:lang w:val="en-US"/>
        </w:rPr>
        <w:t xml:space="preserve"> clones. Forest Genetics </w:t>
      </w:r>
      <w:proofErr w:type="gramStart"/>
      <w:r w:rsidRPr="00D85F74">
        <w:rPr>
          <w:sz w:val="24"/>
          <w:szCs w:val="24"/>
          <w:lang w:val="en-US"/>
        </w:rPr>
        <w:t>10 :</w:t>
      </w:r>
      <w:proofErr w:type="gramEnd"/>
      <w:r w:rsidRPr="00D85F74">
        <w:rPr>
          <w:sz w:val="24"/>
          <w:szCs w:val="24"/>
          <w:lang w:val="en-US"/>
        </w:rPr>
        <w:t xml:space="preserve"> 273-281.</w:t>
      </w:r>
    </w:p>
    <w:p w:rsidR="00481E98" w:rsidRDefault="00481E98" w:rsidP="00481E98">
      <w:pPr>
        <w:shd w:val="clear" w:color="auto" w:fill="FFFFFF"/>
        <w:jc w:val="both"/>
        <w:rPr>
          <w:rStyle w:val="Hyperlink"/>
          <w:rFonts w:asciiTheme="majorBidi" w:hAnsiTheme="majorBidi" w:cstheme="majorBidi"/>
          <w:color w:val="707070"/>
          <w:shd w:val="clear" w:color="auto" w:fill="FFFFFF"/>
        </w:rPr>
      </w:pPr>
      <w:r>
        <w:rPr>
          <w:rStyle w:val="nlmstring-name"/>
          <w:rFonts w:asciiTheme="majorBidi" w:eastAsia="MS Mincho" w:hAnsiTheme="majorBidi" w:cstheme="majorBidi"/>
          <w:color w:val="333333"/>
          <w:shd w:val="clear" w:color="auto" w:fill="FFFFFF"/>
          <w:lang w:val="en-GB"/>
        </w:rPr>
        <w:t>Liu</w:t>
      </w:r>
      <w:r>
        <w:rPr>
          <w:rFonts w:asciiTheme="majorBidi" w:hAnsiTheme="majorBidi" w:cstheme="majorBidi"/>
          <w:color w:val="333333"/>
          <w:shd w:val="clear" w:color="auto" w:fill="FFFFFF"/>
          <w:lang w:val="en-GB"/>
        </w:rPr>
        <w:t>, </w:t>
      </w:r>
      <w:proofErr w:type="spellStart"/>
      <w:proofErr w:type="gramStart"/>
      <w:r>
        <w:rPr>
          <w:rStyle w:val="nlmstring-name"/>
          <w:rFonts w:asciiTheme="majorBidi" w:eastAsia="MS Mincho" w:hAnsiTheme="majorBidi" w:cstheme="majorBidi"/>
          <w:color w:val="333333"/>
          <w:shd w:val="clear" w:color="auto" w:fill="FFFFFF"/>
          <w:lang w:val="en-GB"/>
        </w:rPr>
        <w:t>H.,Yang</w:t>
      </w:r>
      <w:proofErr w:type="spellEnd"/>
      <w:proofErr w:type="gramEnd"/>
      <w:r>
        <w:rPr>
          <w:rFonts w:asciiTheme="majorBidi" w:hAnsiTheme="majorBidi" w:cstheme="majorBidi"/>
          <w:color w:val="333333"/>
          <w:shd w:val="clear" w:color="auto" w:fill="FFFFFF"/>
          <w:lang w:val="en-GB"/>
        </w:rPr>
        <w:t xml:space="preserve">, W., </w:t>
      </w:r>
      <w:r>
        <w:rPr>
          <w:rStyle w:val="nlmstring-name"/>
          <w:rFonts w:asciiTheme="majorBidi" w:eastAsia="MS Mincho" w:hAnsiTheme="majorBidi" w:cstheme="majorBidi"/>
          <w:color w:val="333333"/>
          <w:shd w:val="clear" w:color="auto" w:fill="FFFFFF"/>
          <w:lang w:val="en-GB"/>
        </w:rPr>
        <w:t>Hou</w:t>
      </w:r>
      <w:r>
        <w:rPr>
          <w:rFonts w:asciiTheme="majorBidi" w:hAnsiTheme="majorBidi" w:cstheme="majorBidi"/>
          <w:color w:val="333333"/>
          <w:shd w:val="clear" w:color="auto" w:fill="FFFFFF"/>
          <w:lang w:val="en-GB"/>
        </w:rPr>
        <w:t xml:space="preserve">, J., </w:t>
      </w:r>
      <w:r>
        <w:rPr>
          <w:rStyle w:val="nlmstring-name"/>
          <w:rFonts w:asciiTheme="majorBidi" w:eastAsia="MS Mincho" w:hAnsiTheme="majorBidi" w:cstheme="majorBidi"/>
          <w:color w:val="333333"/>
          <w:shd w:val="clear" w:color="auto" w:fill="FFFFFF"/>
          <w:lang w:val="en-GB"/>
        </w:rPr>
        <w:t>Hu</w:t>
      </w:r>
      <w:r>
        <w:rPr>
          <w:rFonts w:asciiTheme="majorBidi" w:hAnsiTheme="majorBidi" w:cstheme="majorBidi"/>
          <w:color w:val="333333"/>
          <w:shd w:val="clear" w:color="auto" w:fill="FFFFFF"/>
          <w:lang w:val="en-GB"/>
        </w:rPr>
        <w:t xml:space="preserve">, N., </w:t>
      </w:r>
      <w:r>
        <w:rPr>
          <w:rStyle w:val="nlmstring-name"/>
          <w:rFonts w:asciiTheme="majorBidi" w:eastAsia="MS Mincho" w:hAnsiTheme="majorBidi" w:cstheme="majorBidi"/>
          <w:color w:val="333333"/>
          <w:shd w:val="clear" w:color="auto" w:fill="FFFFFF"/>
          <w:lang w:val="en-GB"/>
        </w:rPr>
        <w:t>Yin</w:t>
      </w:r>
      <w:r>
        <w:rPr>
          <w:rFonts w:asciiTheme="majorBidi" w:hAnsiTheme="majorBidi" w:cstheme="majorBidi"/>
          <w:color w:val="333333"/>
          <w:shd w:val="clear" w:color="auto" w:fill="FFFFFF"/>
          <w:lang w:val="en-GB"/>
        </w:rPr>
        <w:t>, T. and</w:t>
      </w:r>
      <w:r>
        <w:rPr>
          <w:rStyle w:val="nlmstring-name"/>
          <w:rFonts w:asciiTheme="majorBidi" w:eastAsia="MS Mincho" w:hAnsiTheme="majorBidi" w:cstheme="majorBidi"/>
          <w:color w:val="333333"/>
          <w:shd w:val="clear" w:color="auto" w:fill="FFFFFF"/>
          <w:lang w:val="en-GB"/>
        </w:rPr>
        <w:t xml:space="preserve"> Li, S </w:t>
      </w:r>
      <w:r>
        <w:rPr>
          <w:rFonts w:asciiTheme="majorBidi" w:hAnsiTheme="majorBidi" w:cstheme="majorBidi"/>
          <w:color w:val="333333"/>
          <w:shd w:val="clear" w:color="auto" w:fill="FFFFFF"/>
          <w:lang w:val="en-GB"/>
        </w:rPr>
        <w:t xml:space="preserve">. 2016. Genetic identification of 43 elite clonal </w:t>
      </w:r>
      <w:r>
        <w:rPr>
          <w:rFonts w:asciiTheme="majorBidi" w:hAnsiTheme="majorBidi" w:cstheme="majorBidi"/>
          <w:color w:val="333333"/>
          <w:shd w:val="clear" w:color="auto" w:fill="FFFFFF"/>
          <w:lang w:val="en-GB"/>
        </w:rPr>
        <w:tab/>
        <w:t>accessions of </w:t>
      </w:r>
      <w:proofErr w:type="spellStart"/>
      <w:r>
        <w:rPr>
          <w:rFonts w:asciiTheme="majorBidi" w:hAnsiTheme="majorBidi" w:cstheme="majorBidi"/>
          <w:i/>
          <w:iCs/>
          <w:color w:val="333333"/>
          <w:shd w:val="clear" w:color="auto" w:fill="FFFFFF"/>
          <w:lang w:val="en-GB"/>
        </w:rPr>
        <w:t>Populus</w:t>
      </w:r>
      <w:proofErr w:type="spellEnd"/>
      <w:r>
        <w:rPr>
          <w:rFonts w:asciiTheme="majorBidi" w:hAnsiTheme="majorBidi" w:cstheme="majorBidi"/>
          <w:i/>
          <w:iCs/>
          <w:color w:val="333333"/>
          <w:shd w:val="clear" w:color="auto" w:fill="FFFFFF"/>
          <w:lang w:val="en-GB"/>
        </w:rPr>
        <w:t xml:space="preserve"> </w:t>
      </w:r>
      <w:proofErr w:type="spellStart"/>
      <w:r>
        <w:rPr>
          <w:rFonts w:asciiTheme="majorBidi" w:hAnsiTheme="majorBidi" w:cstheme="majorBidi"/>
          <w:i/>
          <w:iCs/>
          <w:color w:val="333333"/>
          <w:shd w:val="clear" w:color="auto" w:fill="FFFFFF"/>
          <w:lang w:val="en-GB"/>
        </w:rPr>
        <w:t>deltoides</w:t>
      </w:r>
      <w:proofErr w:type="spellEnd"/>
      <w:r>
        <w:rPr>
          <w:rFonts w:asciiTheme="majorBidi" w:hAnsiTheme="majorBidi" w:cstheme="majorBidi"/>
          <w:color w:val="333333"/>
          <w:shd w:val="clear" w:color="auto" w:fill="FFFFFF"/>
          <w:lang w:val="en-GB"/>
        </w:rPr>
        <w:t> by SSR fingerprinting. </w:t>
      </w:r>
      <w:r>
        <w:rPr>
          <w:rFonts w:asciiTheme="majorBidi" w:hAnsiTheme="majorBidi" w:cstheme="majorBidi"/>
          <w:i/>
          <w:iCs/>
          <w:color w:val="333333"/>
          <w:shd w:val="clear" w:color="auto" w:fill="FFFFFF"/>
        </w:rPr>
        <w:t xml:space="preserve">Canadian Journal of Plant </w:t>
      </w:r>
      <w:r>
        <w:rPr>
          <w:rFonts w:asciiTheme="majorBidi" w:hAnsiTheme="majorBidi" w:cstheme="majorBidi"/>
          <w:i/>
          <w:iCs/>
          <w:color w:val="333333"/>
          <w:shd w:val="clear" w:color="auto" w:fill="FFFFFF"/>
        </w:rPr>
        <w:tab/>
        <w:t>Science</w:t>
      </w:r>
      <w:r>
        <w:rPr>
          <w:rFonts w:asciiTheme="majorBidi" w:hAnsiTheme="majorBidi" w:cstheme="majorBidi"/>
          <w:color w:val="333333"/>
          <w:shd w:val="clear" w:color="auto" w:fill="FFFFFF"/>
        </w:rPr>
        <w:t>. </w:t>
      </w:r>
      <w:r>
        <w:rPr>
          <w:rFonts w:asciiTheme="majorBidi" w:hAnsiTheme="majorBidi" w:cstheme="majorBidi"/>
          <w:b/>
          <w:bCs/>
          <w:color w:val="333333"/>
          <w:shd w:val="clear" w:color="auto" w:fill="FFFFFF"/>
        </w:rPr>
        <w:t>96</w:t>
      </w:r>
      <w:r>
        <w:rPr>
          <w:rFonts w:asciiTheme="majorBidi" w:hAnsiTheme="majorBidi" w:cstheme="majorBidi"/>
          <w:color w:val="333333"/>
          <w:shd w:val="clear" w:color="auto" w:fill="FFFFFF"/>
        </w:rPr>
        <w:t>(3): 494-502. </w:t>
      </w:r>
      <w:hyperlink r:id="rId9" w:history="1">
        <w:r>
          <w:rPr>
            <w:rStyle w:val="Hyperlink"/>
            <w:rFonts w:asciiTheme="majorBidi" w:hAnsiTheme="majorBidi" w:cstheme="majorBidi"/>
            <w:color w:val="707070"/>
            <w:shd w:val="clear" w:color="auto" w:fill="FFFFFF"/>
          </w:rPr>
          <w:t>https://doi.org/10.1139/cjps-2015-0272</w:t>
        </w:r>
      </w:hyperlink>
    </w:p>
    <w:p w:rsidR="00481E98" w:rsidRPr="00481E98" w:rsidRDefault="00481E98" w:rsidP="00481E98">
      <w:pPr>
        <w:shd w:val="clear" w:color="auto" w:fill="FFFFFF"/>
        <w:rPr>
          <w:rFonts w:asciiTheme="majorBidi" w:hAnsiTheme="majorBidi" w:cstheme="majorBidi"/>
          <w:lang w:val="uk-UA"/>
        </w:rPr>
      </w:pPr>
    </w:p>
    <w:p w:rsidR="008C79BB" w:rsidRDefault="00460E75">
      <w:pPr>
        <w:pStyle w:val="Body"/>
        <w:widowControl/>
        <w:spacing w:before="120" w:line="360" w:lineRule="auto"/>
        <w:ind w:left="964" w:hanging="964"/>
        <w:jc w:val="both"/>
        <w:rPr>
          <w:sz w:val="24"/>
          <w:szCs w:val="24"/>
          <w:lang w:val="en-US"/>
        </w:rPr>
      </w:pPr>
      <w:r w:rsidRPr="00D85F74">
        <w:rPr>
          <w:sz w:val="24"/>
          <w:szCs w:val="24"/>
          <w:lang w:val="en-US"/>
        </w:rPr>
        <w:t>Rahman</w:t>
      </w:r>
      <w:r w:rsidR="00BF76BF">
        <w:rPr>
          <w:sz w:val="24"/>
          <w:szCs w:val="24"/>
          <w:lang w:val="en-US"/>
        </w:rPr>
        <w:t>,</w:t>
      </w:r>
      <w:r w:rsidRPr="00D85F74">
        <w:rPr>
          <w:sz w:val="24"/>
          <w:szCs w:val="24"/>
          <w:lang w:val="en-US"/>
        </w:rPr>
        <w:t xml:space="preserve"> M</w:t>
      </w:r>
      <w:r w:rsidR="00BF76BF">
        <w:rPr>
          <w:sz w:val="24"/>
          <w:szCs w:val="24"/>
          <w:lang w:val="en-US"/>
        </w:rPr>
        <w:t>.</w:t>
      </w:r>
      <w:r w:rsidRPr="00D85F74">
        <w:rPr>
          <w:sz w:val="24"/>
          <w:szCs w:val="24"/>
          <w:lang w:val="en-US"/>
        </w:rPr>
        <w:t xml:space="preserve"> H</w:t>
      </w:r>
      <w:r w:rsidR="00BF76BF">
        <w:rPr>
          <w:sz w:val="24"/>
          <w:szCs w:val="24"/>
          <w:lang w:val="en-US"/>
        </w:rPr>
        <w:t>.</w:t>
      </w:r>
      <w:r w:rsidRPr="00D85F74">
        <w:rPr>
          <w:sz w:val="24"/>
          <w:szCs w:val="24"/>
          <w:lang w:val="en-US"/>
        </w:rPr>
        <w:t xml:space="preserve"> and </w:t>
      </w:r>
      <w:proofErr w:type="spellStart"/>
      <w:r w:rsidRPr="00D85F74">
        <w:rPr>
          <w:sz w:val="24"/>
          <w:szCs w:val="24"/>
          <w:lang w:val="en-US"/>
        </w:rPr>
        <w:t>Rajora</w:t>
      </w:r>
      <w:proofErr w:type="spellEnd"/>
      <w:r w:rsidRPr="00D85F74">
        <w:rPr>
          <w:sz w:val="24"/>
          <w:szCs w:val="24"/>
          <w:lang w:val="en-US"/>
        </w:rPr>
        <w:t xml:space="preserve"> O</w:t>
      </w:r>
      <w:r w:rsidR="00BF76BF">
        <w:rPr>
          <w:sz w:val="24"/>
          <w:szCs w:val="24"/>
          <w:lang w:val="en-US"/>
        </w:rPr>
        <w:t>.</w:t>
      </w:r>
      <w:r w:rsidRPr="00D85F74">
        <w:rPr>
          <w:sz w:val="24"/>
          <w:szCs w:val="24"/>
          <w:lang w:val="en-US"/>
        </w:rPr>
        <w:t xml:space="preserve"> P. 2002. Microsatellite DNA fingerprinting, differentiation and genetic relationships of clones, cultivars and varieties of six poplar species from three sections of the genus </w:t>
      </w:r>
      <w:proofErr w:type="spellStart"/>
      <w:r w:rsidRPr="00D85F74">
        <w:rPr>
          <w:sz w:val="24"/>
          <w:szCs w:val="24"/>
          <w:lang w:val="en-US"/>
        </w:rPr>
        <w:t>Populus</w:t>
      </w:r>
      <w:proofErr w:type="spellEnd"/>
      <w:r w:rsidRPr="00D85F74">
        <w:rPr>
          <w:sz w:val="24"/>
          <w:szCs w:val="24"/>
          <w:lang w:val="en-US"/>
        </w:rPr>
        <w:t xml:space="preserve">. Genome </w:t>
      </w:r>
      <w:proofErr w:type="gramStart"/>
      <w:r w:rsidRPr="00D85F74">
        <w:rPr>
          <w:sz w:val="24"/>
          <w:szCs w:val="24"/>
          <w:lang w:val="en-US"/>
        </w:rPr>
        <w:t>45 :</w:t>
      </w:r>
      <w:proofErr w:type="gramEnd"/>
      <w:r w:rsidRPr="00D85F74">
        <w:rPr>
          <w:sz w:val="24"/>
          <w:szCs w:val="24"/>
          <w:lang w:val="en-US"/>
        </w:rPr>
        <w:t xml:space="preserve"> 1083-94.</w:t>
      </w:r>
    </w:p>
    <w:p w:rsidR="00375DF1" w:rsidRDefault="00375DF1" w:rsidP="00375DF1">
      <w:pPr>
        <w:jc w:val="both"/>
        <w:rPr>
          <w:rFonts w:asciiTheme="majorBidi" w:hAnsiTheme="majorBidi" w:cstheme="majorBidi"/>
          <w:color w:val="172B4D"/>
          <w:shd w:val="clear" w:color="auto" w:fill="FFFFFF"/>
          <w:lang w:val="uk-UA"/>
        </w:rPr>
      </w:pPr>
      <w:r>
        <w:rPr>
          <w:rFonts w:asciiTheme="majorBidi" w:hAnsiTheme="majorBidi" w:cstheme="majorBidi"/>
          <w:color w:val="172B4D"/>
          <w:shd w:val="clear" w:color="auto" w:fill="FFFFFF"/>
          <w:lang w:val="en-GB"/>
        </w:rPr>
        <w:t xml:space="preserve">Gao, C., Chen, C., Liu, N., Liu, F., </w:t>
      </w:r>
      <w:proofErr w:type="spellStart"/>
      <w:r>
        <w:rPr>
          <w:rFonts w:asciiTheme="majorBidi" w:hAnsiTheme="majorBidi" w:cstheme="majorBidi"/>
          <w:color w:val="172B4D"/>
          <w:shd w:val="clear" w:color="auto" w:fill="FFFFFF"/>
          <w:lang w:val="en-GB"/>
        </w:rPr>
        <w:t>Su</w:t>
      </w:r>
      <w:proofErr w:type="spellEnd"/>
      <w:r>
        <w:rPr>
          <w:rFonts w:asciiTheme="majorBidi" w:hAnsiTheme="majorBidi" w:cstheme="majorBidi"/>
          <w:color w:val="172B4D"/>
          <w:shd w:val="clear" w:color="auto" w:fill="FFFFFF"/>
          <w:lang w:val="en-GB"/>
        </w:rPr>
        <w:t>,</w:t>
      </w:r>
      <w:r w:rsidR="00F95307">
        <w:rPr>
          <w:rFonts w:asciiTheme="majorBidi" w:hAnsiTheme="majorBidi" w:cstheme="majorBidi"/>
          <w:color w:val="172B4D"/>
          <w:shd w:val="clear" w:color="auto" w:fill="FFFFFF"/>
          <w:lang w:val="en-GB"/>
        </w:rPr>
        <w:t xml:space="preserve"> X., Liu, C., &amp; Huang, Q. 2024</w:t>
      </w:r>
      <w:r>
        <w:rPr>
          <w:rFonts w:asciiTheme="majorBidi" w:hAnsiTheme="majorBidi" w:cstheme="majorBidi"/>
          <w:color w:val="172B4D"/>
          <w:shd w:val="clear" w:color="auto" w:fill="FFFFFF"/>
          <w:lang w:val="en-GB"/>
        </w:rPr>
        <w:t xml:space="preserve">. Genetic Diversity and </w:t>
      </w:r>
      <w:r>
        <w:rPr>
          <w:rFonts w:asciiTheme="majorBidi" w:hAnsiTheme="majorBidi" w:cstheme="majorBidi"/>
          <w:color w:val="172B4D"/>
          <w:shd w:val="clear" w:color="auto" w:fill="FFFFFF"/>
          <w:lang w:val="en-GB"/>
        </w:rPr>
        <w:tab/>
        <w:t xml:space="preserve">Association Analysis of Traits Related to Water-Use Efficiency and Nitrogen-Use Efficiency </w:t>
      </w:r>
      <w:r>
        <w:rPr>
          <w:rFonts w:asciiTheme="majorBidi" w:hAnsiTheme="majorBidi" w:cstheme="majorBidi"/>
          <w:color w:val="172B4D"/>
          <w:shd w:val="clear" w:color="auto" w:fill="FFFFFF"/>
          <w:lang w:val="en-GB"/>
        </w:rPr>
        <w:tab/>
        <w:t>of </w:t>
      </w:r>
      <w:proofErr w:type="spellStart"/>
      <w:r>
        <w:rPr>
          <w:rFonts w:asciiTheme="majorBidi" w:hAnsiTheme="majorBidi" w:cstheme="majorBidi"/>
          <w:i/>
          <w:iCs/>
          <w:color w:val="172B4D"/>
          <w:bdr w:val="single" w:sz="2" w:space="0" w:color="auto" w:frame="1"/>
          <w:shd w:val="clear" w:color="auto" w:fill="FFFFFF"/>
          <w:lang w:val="en-GB"/>
        </w:rPr>
        <w:t>Populus</w:t>
      </w:r>
      <w:proofErr w:type="spellEnd"/>
      <w:r>
        <w:rPr>
          <w:rFonts w:asciiTheme="majorBidi" w:hAnsiTheme="majorBidi" w:cstheme="majorBidi"/>
          <w:i/>
          <w:iCs/>
          <w:color w:val="172B4D"/>
          <w:bdr w:val="single" w:sz="2" w:space="0" w:color="auto" w:frame="1"/>
          <w:shd w:val="clear" w:color="auto" w:fill="FFFFFF"/>
          <w:lang w:val="en-GB"/>
        </w:rPr>
        <w:t xml:space="preserve"> </w:t>
      </w:r>
      <w:proofErr w:type="spellStart"/>
      <w:r>
        <w:rPr>
          <w:rFonts w:asciiTheme="majorBidi" w:hAnsiTheme="majorBidi" w:cstheme="majorBidi"/>
          <w:i/>
          <w:iCs/>
          <w:color w:val="172B4D"/>
          <w:bdr w:val="single" w:sz="2" w:space="0" w:color="auto" w:frame="1"/>
          <w:shd w:val="clear" w:color="auto" w:fill="FFFFFF"/>
          <w:lang w:val="en-GB"/>
        </w:rPr>
        <w:t>deltoides</w:t>
      </w:r>
      <w:proofErr w:type="spellEnd"/>
      <w:r>
        <w:rPr>
          <w:rFonts w:asciiTheme="majorBidi" w:hAnsiTheme="majorBidi" w:cstheme="majorBidi"/>
          <w:color w:val="172B4D"/>
          <w:shd w:val="clear" w:color="auto" w:fill="FFFFFF"/>
          <w:lang w:val="en-GB"/>
        </w:rPr>
        <w:t> Based on SSR Markers. </w:t>
      </w:r>
      <w:r>
        <w:rPr>
          <w:rStyle w:val="Emphasis"/>
          <w:rFonts w:asciiTheme="majorBidi" w:eastAsia="MS Mincho" w:hAnsiTheme="majorBidi" w:cstheme="majorBidi"/>
          <w:color w:val="172B4D"/>
          <w:bdr w:val="single" w:sz="2" w:space="0" w:color="auto" w:frame="1"/>
          <w:shd w:val="clear" w:color="auto" w:fill="FFFFFF"/>
        </w:rPr>
        <w:t xml:space="preserve">International Journal of Molecular </w:t>
      </w:r>
      <w:r w:rsidR="00947CFC">
        <w:rPr>
          <w:rStyle w:val="Emphasis"/>
          <w:rFonts w:asciiTheme="majorBidi" w:eastAsia="MS Mincho" w:hAnsiTheme="majorBidi" w:cstheme="majorBidi"/>
          <w:color w:val="172B4D"/>
          <w:bdr w:val="single" w:sz="2" w:space="0" w:color="auto" w:frame="1"/>
          <w:shd w:val="clear" w:color="auto" w:fill="FFFFFF"/>
        </w:rPr>
        <w:tab/>
      </w:r>
      <w:r>
        <w:rPr>
          <w:rStyle w:val="Emphasis"/>
          <w:rFonts w:asciiTheme="majorBidi" w:eastAsia="MS Mincho" w:hAnsiTheme="majorBidi" w:cstheme="majorBidi"/>
          <w:color w:val="172B4D"/>
          <w:bdr w:val="single" w:sz="2" w:space="0" w:color="auto" w:frame="1"/>
          <w:shd w:val="clear" w:color="auto" w:fill="FFFFFF"/>
        </w:rPr>
        <w:t>Sciences</w:t>
      </w:r>
      <w:r>
        <w:rPr>
          <w:rFonts w:asciiTheme="majorBidi" w:hAnsiTheme="majorBidi" w:cstheme="majorBidi"/>
          <w:color w:val="172B4D"/>
          <w:shd w:val="clear" w:color="auto" w:fill="FFFFFF"/>
        </w:rPr>
        <w:t>, </w:t>
      </w:r>
      <w:r>
        <w:rPr>
          <w:rStyle w:val="Emphasis"/>
          <w:rFonts w:asciiTheme="majorBidi" w:eastAsia="MS Mincho" w:hAnsiTheme="majorBidi" w:cstheme="majorBidi"/>
          <w:color w:val="172B4D"/>
          <w:bdr w:val="single" w:sz="2" w:space="0" w:color="auto" w:frame="1"/>
          <w:shd w:val="clear" w:color="auto" w:fill="FFFFFF"/>
        </w:rPr>
        <w:t>25</w:t>
      </w:r>
      <w:r>
        <w:rPr>
          <w:rFonts w:asciiTheme="majorBidi" w:hAnsiTheme="majorBidi" w:cstheme="majorBidi"/>
          <w:color w:val="172B4D"/>
          <w:shd w:val="clear" w:color="auto" w:fill="FFFFFF"/>
        </w:rPr>
        <w:t>(21), 11515. https://doi.org/10.3390/ijms252111515</w:t>
      </w:r>
    </w:p>
    <w:p w:rsidR="00375DF1" w:rsidRPr="00D85F74" w:rsidRDefault="00375DF1">
      <w:pPr>
        <w:pStyle w:val="Body"/>
        <w:widowControl/>
        <w:spacing w:before="120" w:line="360" w:lineRule="auto"/>
        <w:ind w:left="964" w:hanging="964"/>
        <w:jc w:val="both"/>
        <w:rPr>
          <w:rFonts w:eastAsia="Arial"/>
          <w:sz w:val="24"/>
          <w:szCs w:val="24"/>
        </w:rPr>
      </w:pPr>
    </w:p>
    <w:p w:rsidR="008C79BB" w:rsidRPr="00D85F74" w:rsidRDefault="00460E75">
      <w:pPr>
        <w:pStyle w:val="Body"/>
        <w:widowControl/>
        <w:spacing w:before="120" w:line="360" w:lineRule="auto"/>
        <w:ind w:left="964" w:hanging="964"/>
        <w:jc w:val="both"/>
        <w:rPr>
          <w:rFonts w:eastAsia="Arial"/>
          <w:sz w:val="24"/>
          <w:szCs w:val="24"/>
        </w:rPr>
      </w:pPr>
      <w:r w:rsidRPr="00D85F74">
        <w:rPr>
          <w:sz w:val="24"/>
          <w:szCs w:val="24"/>
          <w:lang w:val="en-US"/>
        </w:rPr>
        <w:t xml:space="preserve">Grewal G K, Gill R I S, Dhillon G P S and </w:t>
      </w:r>
      <w:proofErr w:type="spellStart"/>
      <w:r w:rsidRPr="00D85F74">
        <w:rPr>
          <w:sz w:val="24"/>
          <w:szCs w:val="24"/>
          <w:lang w:val="en-US"/>
        </w:rPr>
        <w:t>Vikal</w:t>
      </w:r>
      <w:proofErr w:type="spellEnd"/>
      <w:r w:rsidRPr="00D85F74">
        <w:rPr>
          <w:sz w:val="24"/>
          <w:szCs w:val="24"/>
          <w:lang w:val="en-US"/>
        </w:rPr>
        <w:t xml:space="preserve">. 2013. Molecular characterization and genetic diversity analysis of </w:t>
      </w:r>
      <w:proofErr w:type="spellStart"/>
      <w:r w:rsidRPr="00D85F74">
        <w:rPr>
          <w:i/>
          <w:sz w:val="24"/>
          <w:szCs w:val="24"/>
          <w:lang w:val="en-US"/>
        </w:rPr>
        <w:t>Populus</w:t>
      </w:r>
      <w:proofErr w:type="spellEnd"/>
      <w:r w:rsidRPr="00D85F74">
        <w:rPr>
          <w:i/>
          <w:sz w:val="24"/>
          <w:szCs w:val="24"/>
          <w:lang w:val="en-US"/>
        </w:rPr>
        <w:t xml:space="preserve"> </w:t>
      </w:r>
      <w:proofErr w:type="spellStart"/>
      <w:r w:rsidRPr="00D85F74">
        <w:rPr>
          <w:i/>
          <w:sz w:val="24"/>
          <w:szCs w:val="24"/>
          <w:lang w:val="en-US"/>
        </w:rPr>
        <w:t>deltoides</w:t>
      </w:r>
      <w:proofErr w:type="spellEnd"/>
      <w:r w:rsidRPr="00D85F74">
        <w:rPr>
          <w:sz w:val="24"/>
          <w:szCs w:val="24"/>
          <w:lang w:val="en-US"/>
        </w:rPr>
        <w:t xml:space="preserve"> </w:t>
      </w:r>
      <w:proofErr w:type="spellStart"/>
      <w:r w:rsidRPr="00D85F74">
        <w:rPr>
          <w:sz w:val="24"/>
          <w:szCs w:val="24"/>
          <w:lang w:val="en-US"/>
        </w:rPr>
        <w:t>Bartr</w:t>
      </w:r>
      <w:proofErr w:type="spellEnd"/>
      <w:r w:rsidRPr="00D85F74">
        <w:rPr>
          <w:sz w:val="24"/>
          <w:szCs w:val="24"/>
          <w:lang w:val="en-US"/>
        </w:rPr>
        <w:t xml:space="preserve">. ex Marsh. clones using SSR markers. Indian Journal of Biotechnology </w:t>
      </w:r>
      <w:proofErr w:type="gramStart"/>
      <w:r w:rsidRPr="00D85F74">
        <w:rPr>
          <w:sz w:val="24"/>
          <w:szCs w:val="24"/>
          <w:lang w:val="en-US"/>
        </w:rPr>
        <w:t>13 :</w:t>
      </w:r>
      <w:proofErr w:type="gramEnd"/>
      <w:r w:rsidRPr="00D85F74">
        <w:rPr>
          <w:sz w:val="24"/>
          <w:szCs w:val="24"/>
          <w:lang w:val="en-US"/>
        </w:rPr>
        <w:t xml:space="preserve"> 388-397.</w:t>
      </w:r>
    </w:p>
    <w:p w:rsidR="008C79BB" w:rsidRPr="00D85F74" w:rsidRDefault="00460E75">
      <w:pPr>
        <w:pStyle w:val="Body"/>
        <w:widowControl/>
        <w:spacing w:before="120" w:line="360" w:lineRule="auto"/>
        <w:ind w:left="964" w:hanging="964"/>
        <w:jc w:val="both"/>
        <w:rPr>
          <w:rFonts w:eastAsia="Arial"/>
          <w:sz w:val="24"/>
          <w:szCs w:val="24"/>
        </w:rPr>
      </w:pPr>
      <w:r w:rsidRPr="00D85F74">
        <w:rPr>
          <w:sz w:val="24"/>
          <w:szCs w:val="24"/>
          <w:lang w:val="en-US"/>
        </w:rPr>
        <w:t xml:space="preserve">Singh N B, Choudhary P and Joshi S. 2013. Molecular diversity in willow clones selected for commercial plantation. Indian Journal of Plant Genetic Resources </w:t>
      </w:r>
      <w:proofErr w:type="gramStart"/>
      <w:r w:rsidRPr="00D85F74">
        <w:rPr>
          <w:sz w:val="24"/>
          <w:szCs w:val="24"/>
          <w:lang w:val="en-US"/>
        </w:rPr>
        <w:t>26 :</w:t>
      </w:r>
      <w:proofErr w:type="gramEnd"/>
      <w:r w:rsidRPr="00D85F74">
        <w:rPr>
          <w:sz w:val="24"/>
          <w:szCs w:val="24"/>
          <w:lang w:val="en-US"/>
        </w:rPr>
        <w:t xml:space="preserve"> 138-145</w:t>
      </w:r>
    </w:p>
    <w:p w:rsidR="008C79BB" w:rsidRPr="00D85F74" w:rsidRDefault="008C79BB">
      <w:pPr>
        <w:pStyle w:val="Body"/>
        <w:widowControl/>
        <w:spacing w:before="100" w:after="100" w:line="360" w:lineRule="auto"/>
        <w:ind w:left="964" w:hanging="964"/>
        <w:jc w:val="both"/>
        <w:rPr>
          <w:sz w:val="24"/>
          <w:szCs w:val="24"/>
        </w:rPr>
      </w:pPr>
    </w:p>
    <w:p w:rsidR="008C79BB" w:rsidRPr="00D85F74" w:rsidRDefault="008C79BB">
      <w:pPr>
        <w:pStyle w:val="Body"/>
        <w:widowControl/>
        <w:spacing w:before="100" w:after="100" w:line="360" w:lineRule="auto"/>
        <w:ind w:left="964" w:hanging="964"/>
        <w:jc w:val="both"/>
        <w:rPr>
          <w:sz w:val="24"/>
          <w:szCs w:val="24"/>
        </w:rPr>
      </w:pPr>
    </w:p>
    <w:p w:rsidR="008C79BB" w:rsidRPr="00D85F74" w:rsidRDefault="008C79BB">
      <w:pPr>
        <w:pStyle w:val="Body"/>
        <w:widowControl/>
        <w:spacing w:before="100" w:after="100" w:line="360" w:lineRule="auto"/>
        <w:ind w:left="964" w:hanging="964"/>
        <w:jc w:val="both"/>
        <w:rPr>
          <w:sz w:val="24"/>
          <w:szCs w:val="24"/>
        </w:rPr>
      </w:pPr>
    </w:p>
    <w:p w:rsidR="008C79BB" w:rsidRPr="00D85F74" w:rsidRDefault="008C79BB">
      <w:pPr>
        <w:pStyle w:val="Body"/>
        <w:widowControl/>
        <w:spacing w:before="100" w:after="100" w:line="360" w:lineRule="auto"/>
        <w:ind w:left="964" w:hanging="964"/>
        <w:jc w:val="both"/>
        <w:rPr>
          <w:sz w:val="24"/>
          <w:szCs w:val="24"/>
        </w:rPr>
      </w:pPr>
    </w:p>
    <w:p w:rsidR="008C79BB" w:rsidRPr="00D85F74" w:rsidRDefault="008C79BB">
      <w:pPr>
        <w:pStyle w:val="Heading"/>
        <w:ind w:left="964" w:hanging="964"/>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460E75">
      <w:pPr>
        <w:pStyle w:val="Heading"/>
        <w:ind w:left="0"/>
      </w:pPr>
      <w:r w:rsidRPr="00D85F74">
        <w:rPr>
          <w:lang w:val="en-US"/>
        </w:rPr>
        <w:t xml:space="preserve">Figure 1: verification of clones using SSR primers </w:t>
      </w: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460E75">
      <w:pPr>
        <w:pStyle w:val="Heading"/>
        <w:ind w:left="0"/>
      </w:pPr>
      <w:r w:rsidRPr="00D85F74">
        <w:rPr>
          <w:noProof/>
          <w:lang w:val="en-US" w:eastAsia="en-US"/>
        </w:rPr>
        <w:drawing>
          <wp:anchor distT="152400" distB="152400" distL="152400" distR="152400" simplePos="0" relativeHeight="251659264" behindDoc="0" locked="0" layoutInCell="1" allowOverlap="1">
            <wp:simplePos x="0" y="0"/>
            <wp:positionH relativeFrom="margin">
              <wp:posOffset>-6350</wp:posOffset>
            </wp:positionH>
            <wp:positionV relativeFrom="line">
              <wp:posOffset>190500</wp:posOffset>
            </wp:positionV>
            <wp:extent cx="6261100" cy="5058884"/>
            <wp:effectExtent l="0" t="0" r="0" b="0"/>
            <wp:wrapTopAndBottom distT="152400" distB="152400"/>
            <wp:docPr id="1073741825"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5" name="pasted-image.jpeg" descr="pasted-image.jpeg"/>
                    <pic:cNvPicPr>
                      <a:picLocks noChangeAspect="1"/>
                    </pic:cNvPicPr>
                  </pic:nvPicPr>
                  <pic:blipFill>
                    <a:blip r:embed="rId10">
                      <a:extLst/>
                    </a:blip>
                    <a:stretch>
                      <a:fillRect/>
                    </a:stretch>
                  </pic:blipFill>
                  <pic:spPr>
                    <a:xfrm>
                      <a:off x="0" y="0"/>
                      <a:ext cx="6261100" cy="5058884"/>
                    </a:xfrm>
                    <a:prstGeom prst="rect">
                      <a:avLst/>
                    </a:prstGeom>
                    <a:ln w="12700" cap="flat">
                      <a:noFill/>
                      <a:miter lim="400000"/>
                    </a:ln>
                    <a:effectLst/>
                  </pic:spPr>
                </pic:pic>
              </a:graphicData>
            </a:graphic>
          </wp:anchor>
        </w:drawing>
      </w: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8C79BB">
      <w:pPr>
        <w:pStyle w:val="Heading"/>
        <w:ind w:left="0"/>
      </w:pPr>
    </w:p>
    <w:p w:rsidR="008C79BB" w:rsidRPr="00D85F74" w:rsidRDefault="00460E75">
      <w:pPr>
        <w:pStyle w:val="Heading"/>
        <w:ind w:left="0"/>
      </w:pPr>
      <w:r w:rsidRPr="00D85F74">
        <w:rPr>
          <w:lang w:val="en-US"/>
        </w:rPr>
        <w:lastRenderedPageBreak/>
        <w:t>Figure 2: Dendrogram of 18 SSR primer for 15 poplar clones</w:t>
      </w:r>
      <w:r w:rsidRPr="00D85F74">
        <w:rPr>
          <w:noProof/>
          <w:lang w:val="en-US" w:eastAsia="en-US"/>
        </w:rPr>
        <w:drawing>
          <wp:anchor distT="152400" distB="152400" distL="152400" distR="152400" simplePos="0" relativeHeight="251660288" behindDoc="0" locked="0" layoutInCell="1" allowOverlap="1" wp14:anchorId="73EAF70E" wp14:editId="1814C4C8">
            <wp:simplePos x="0" y="0"/>
            <wp:positionH relativeFrom="margin">
              <wp:posOffset>546295</wp:posOffset>
            </wp:positionH>
            <wp:positionV relativeFrom="line">
              <wp:posOffset>252997</wp:posOffset>
            </wp:positionV>
            <wp:extent cx="5155810" cy="8968586"/>
            <wp:effectExtent l="0" t="0" r="0" b="0"/>
            <wp:wrapThrough wrapText="bothSides" distL="152400" distR="152400">
              <wp:wrapPolygon edited="1">
                <wp:start x="0" y="0"/>
                <wp:lineTo x="21631" y="0"/>
                <wp:lineTo x="21631" y="21600"/>
                <wp:lineTo x="0" y="21600"/>
                <wp:lineTo x="0" y="0"/>
              </wp:wrapPolygon>
            </wp:wrapThrough>
            <wp:docPr id="1073741826"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6" name="pasted-image.png" descr="pasted-image.png"/>
                    <pic:cNvPicPr>
                      <a:picLocks noChangeAspect="1"/>
                    </pic:cNvPicPr>
                  </pic:nvPicPr>
                  <pic:blipFill>
                    <a:blip r:embed="rId11">
                      <a:extLst/>
                    </a:blip>
                    <a:stretch>
                      <a:fillRect/>
                    </a:stretch>
                  </pic:blipFill>
                  <pic:spPr>
                    <a:xfrm>
                      <a:off x="0" y="0"/>
                      <a:ext cx="5155810" cy="8968586"/>
                    </a:xfrm>
                    <a:prstGeom prst="rect">
                      <a:avLst/>
                    </a:prstGeom>
                    <a:ln w="12700" cap="flat">
                      <a:noFill/>
                      <a:miter lim="400000"/>
                    </a:ln>
                    <a:effectLst/>
                  </pic:spPr>
                </pic:pic>
              </a:graphicData>
            </a:graphic>
          </wp:anchor>
        </w:drawing>
      </w:r>
    </w:p>
    <w:sectPr w:rsidR="008C79BB" w:rsidRPr="00D85F74">
      <w:type w:val="continuous"/>
      <w:pgSz w:w="11900" w:h="16840"/>
      <w:pgMar w:top="1060" w:right="1020" w:bottom="280" w:left="10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85C" w:rsidRDefault="0018685C">
      <w:r>
        <w:separator/>
      </w:r>
    </w:p>
  </w:endnote>
  <w:endnote w:type="continuationSeparator" w:id="0">
    <w:p w:rsidR="0018685C" w:rsidRDefault="0018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he times new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9BB" w:rsidRDefault="008C79B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85C" w:rsidRDefault="0018685C">
      <w:r>
        <w:separator/>
      </w:r>
    </w:p>
  </w:footnote>
  <w:footnote w:type="continuationSeparator" w:id="0">
    <w:p w:rsidR="0018685C" w:rsidRDefault="00186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9BB" w:rsidRDefault="008C79B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1NDQ2tbA0MjM2MDJW0lEKTi0uzszPAykwqgUA0c4DMSwAAAA="/>
  </w:docVars>
  <w:rsids>
    <w:rsidRoot w:val="008C79BB"/>
    <w:rsid w:val="000D1441"/>
    <w:rsid w:val="0018685C"/>
    <w:rsid w:val="001C3BEA"/>
    <w:rsid w:val="001F39D3"/>
    <w:rsid w:val="001F64F0"/>
    <w:rsid w:val="002B3913"/>
    <w:rsid w:val="00314623"/>
    <w:rsid w:val="00355DC0"/>
    <w:rsid w:val="003626F4"/>
    <w:rsid w:val="00375DF1"/>
    <w:rsid w:val="003A38CA"/>
    <w:rsid w:val="003A444D"/>
    <w:rsid w:val="003C0902"/>
    <w:rsid w:val="003F0DB5"/>
    <w:rsid w:val="0040746A"/>
    <w:rsid w:val="0041411A"/>
    <w:rsid w:val="00460E75"/>
    <w:rsid w:val="00481E98"/>
    <w:rsid w:val="004A6BEF"/>
    <w:rsid w:val="004E1073"/>
    <w:rsid w:val="00551783"/>
    <w:rsid w:val="005B1FED"/>
    <w:rsid w:val="005C250A"/>
    <w:rsid w:val="006356E2"/>
    <w:rsid w:val="00726E8B"/>
    <w:rsid w:val="00785A6F"/>
    <w:rsid w:val="00823F00"/>
    <w:rsid w:val="008574DC"/>
    <w:rsid w:val="00877CC9"/>
    <w:rsid w:val="00881B55"/>
    <w:rsid w:val="008B38AA"/>
    <w:rsid w:val="008C79BB"/>
    <w:rsid w:val="00911104"/>
    <w:rsid w:val="00947CFC"/>
    <w:rsid w:val="0097559F"/>
    <w:rsid w:val="00991738"/>
    <w:rsid w:val="00991BD3"/>
    <w:rsid w:val="009B03FC"/>
    <w:rsid w:val="00A16C70"/>
    <w:rsid w:val="00AB3FA3"/>
    <w:rsid w:val="00BA7B2F"/>
    <w:rsid w:val="00BF35F1"/>
    <w:rsid w:val="00BF76BF"/>
    <w:rsid w:val="00C21735"/>
    <w:rsid w:val="00C47178"/>
    <w:rsid w:val="00C94F18"/>
    <w:rsid w:val="00CA2C0C"/>
    <w:rsid w:val="00CB4C51"/>
    <w:rsid w:val="00CC4C1A"/>
    <w:rsid w:val="00CC5414"/>
    <w:rsid w:val="00CE1768"/>
    <w:rsid w:val="00D57834"/>
    <w:rsid w:val="00D85F74"/>
    <w:rsid w:val="00DF0C80"/>
    <w:rsid w:val="00E51158"/>
    <w:rsid w:val="00EB518D"/>
    <w:rsid w:val="00F953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2188"/>
  <w15:docId w15:val="{3015ED86-C42B-442A-96DF-F5C9636A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6"/>
      <w:szCs w:val="26"/>
      <w14:textOutline w14:w="0" w14:cap="flat" w14:cmpd="sng" w14:algn="ctr">
        <w14:noFill/>
        <w14:prstDash w14:val="solid"/>
        <w14:bevel/>
      </w14:textOutline>
    </w:rPr>
  </w:style>
  <w:style w:type="paragraph" w:styleId="BodyText">
    <w:name w:val="Body Text"/>
    <w:pPr>
      <w:widowControl w:val="0"/>
      <w:ind w:left="113" w:right="38"/>
      <w:jc w:val="both"/>
    </w:pPr>
    <w:rPr>
      <w:rFonts w:cs="Arial Unicode MS"/>
      <w:color w:val="000000"/>
      <w:sz w:val="24"/>
      <w:szCs w:val="24"/>
      <w:u w:color="000000"/>
      <w:lang w:val="en-US"/>
    </w:rPr>
  </w:style>
  <w:style w:type="paragraph" w:customStyle="1" w:styleId="Body">
    <w:name w:val="Body"/>
    <w:pPr>
      <w:widowControl w:val="0"/>
    </w:pPr>
    <w:rPr>
      <w:rFonts w:eastAsia="Times New Roman"/>
      <w:color w:val="000000"/>
      <w:sz w:val="22"/>
      <w:szCs w:val="22"/>
      <w:u w:color="000000"/>
      <w14:textOutline w14:w="0" w14:cap="flat" w14:cmpd="sng" w14:algn="ctr">
        <w14:noFill/>
        <w14:prstDash w14:val="solid"/>
        <w14:bevel/>
      </w14:textOutline>
    </w:rPr>
  </w:style>
  <w:style w:type="paragraph" w:customStyle="1" w:styleId="Heading">
    <w:name w:val="Heading"/>
    <w:pPr>
      <w:widowControl w:val="0"/>
      <w:ind w:left="113"/>
      <w:outlineLvl w:val="0"/>
    </w:pPr>
    <w:rPr>
      <w:rFonts w:eastAsia="Times New Roman"/>
      <w:b/>
      <w:bCs/>
      <w:color w:val="000000"/>
      <w:sz w:val="24"/>
      <w:szCs w:val="24"/>
      <w:u w:color="000000"/>
      <w14:textOutline w14:w="0" w14:cap="flat" w14:cmpd="sng" w14:algn="ctr">
        <w14:noFill/>
        <w14:prstDash w14:val="solid"/>
        <w14:bevel/>
      </w14:textOutline>
    </w:rPr>
  </w:style>
  <w:style w:type="paragraph" w:styleId="NormalWeb">
    <w:name w:val="Normal (Web)"/>
    <w:basedOn w:val="Normal"/>
    <w:uiPriority w:val="99"/>
    <w:unhideWhenUsed/>
    <w:rsid w:val="00CC4C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IN" w:eastAsia="en-IN"/>
    </w:rPr>
  </w:style>
  <w:style w:type="character" w:styleId="Emphasis">
    <w:name w:val="Emphasis"/>
    <w:basedOn w:val="DefaultParagraphFont"/>
    <w:uiPriority w:val="20"/>
    <w:qFormat/>
    <w:rsid w:val="00AB3FA3"/>
    <w:rPr>
      <w:i/>
      <w:iCs/>
    </w:rPr>
  </w:style>
  <w:style w:type="character" w:customStyle="1" w:styleId="html-italic">
    <w:name w:val="html-italic"/>
    <w:basedOn w:val="DefaultParagraphFont"/>
    <w:rsid w:val="006356E2"/>
  </w:style>
  <w:style w:type="character" w:customStyle="1" w:styleId="nlmstring-name">
    <w:name w:val="nlm_string-name"/>
    <w:basedOn w:val="DefaultParagraphFont"/>
    <w:rsid w:val="00481E98"/>
  </w:style>
  <w:style w:type="paragraph" w:styleId="BalloonText">
    <w:name w:val="Balloon Text"/>
    <w:basedOn w:val="Normal"/>
    <w:link w:val="BalloonTextChar"/>
    <w:uiPriority w:val="99"/>
    <w:semiHidden/>
    <w:unhideWhenUsed/>
    <w:rsid w:val="00BF76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6BF"/>
    <w:rPr>
      <w:rFonts w:ascii="Segoe UI" w:hAnsi="Segoe UI" w:cs="Segoe UI"/>
      <w:sz w:val="18"/>
      <w:szCs w:val="18"/>
      <w:lang w:val="en-US" w:eastAsia="en-US"/>
    </w:rPr>
  </w:style>
  <w:style w:type="paragraph" w:customStyle="1" w:styleId="Style7">
    <w:name w:val="Style7"/>
    <w:basedOn w:val="Normal"/>
    <w:rsid w:val="003A38CA"/>
    <w:pPr>
      <w:pBdr>
        <w:top w:val="none" w:sz="0" w:space="0" w:color="auto"/>
        <w:left w:val="none" w:sz="0" w:space="0" w:color="auto"/>
        <w:bottom w:val="none" w:sz="0" w:space="0" w:color="auto"/>
        <w:right w:val="none" w:sz="0" w:space="0" w:color="auto"/>
        <w:between w:val="none" w:sz="0" w:space="0" w:color="auto"/>
        <w:bar w:val="none" w:sz="0" w:color="auto"/>
      </w:pBdr>
      <w:spacing w:line="425" w:lineRule="exact"/>
      <w:ind w:firstLine="720"/>
      <w:jc w:val="both"/>
    </w:pPr>
    <w:rPr>
      <w:rFonts w:ascii="Bookman Old Style" w:eastAsia="Times New Roman" w:hAnsi="Bookman Old Style"/>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969476">
      <w:bodyDiv w:val="1"/>
      <w:marLeft w:val="0"/>
      <w:marRight w:val="0"/>
      <w:marTop w:val="0"/>
      <w:marBottom w:val="0"/>
      <w:divBdr>
        <w:top w:val="none" w:sz="0" w:space="0" w:color="auto"/>
        <w:left w:val="none" w:sz="0" w:space="0" w:color="auto"/>
        <w:bottom w:val="none" w:sz="0" w:space="0" w:color="auto"/>
        <w:right w:val="none" w:sz="0" w:space="0" w:color="auto"/>
      </w:divBdr>
    </w:div>
    <w:div w:id="415249627">
      <w:bodyDiv w:val="1"/>
      <w:marLeft w:val="0"/>
      <w:marRight w:val="0"/>
      <w:marTop w:val="0"/>
      <w:marBottom w:val="0"/>
      <w:divBdr>
        <w:top w:val="none" w:sz="0" w:space="0" w:color="auto"/>
        <w:left w:val="none" w:sz="0" w:space="0" w:color="auto"/>
        <w:bottom w:val="none" w:sz="0" w:space="0" w:color="auto"/>
        <w:right w:val="none" w:sz="0" w:space="0" w:color="auto"/>
      </w:divBdr>
    </w:div>
    <w:div w:id="467862339">
      <w:bodyDiv w:val="1"/>
      <w:marLeft w:val="0"/>
      <w:marRight w:val="0"/>
      <w:marTop w:val="0"/>
      <w:marBottom w:val="0"/>
      <w:divBdr>
        <w:top w:val="none" w:sz="0" w:space="0" w:color="auto"/>
        <w:left w:val="none" w:sz="0" w:space="0" w:color="auto"/>
        <w:bottom w:val="none" w:sz="0" w:space="0" w:color="auto"/>
        <w:right w:val="none" w:sz="0" w:space="0" w:color="auto"/>
      </w:divBdr>
    </w:div>
    <w:div w:id="546722184">
      <w:bodyDiv w:val="1"/>
      <w:marLeft w:val="0"/>
      <w:marRight w:val="0"/>
      <w:marTop w:val="0"/>
      <w:marBottom w:val="0"/>
      <w:divBdr>
        <w:top w:val="none" w:sz="0" w:space="0" w:color="auto"/>
        <w:left w:val="none" w:sz="0" w:space="0" w:color="auto"/>
        <w:bottom w:val="none" w:sz="0" w:space="0" w:color="auto"/>
        <w:right w:val="none" w:sz="0" w:space="0" w:color="auto"/>
      </w:divBdr>
    </w:div>
    <w:div w:id="563377470">
      <w:bodyDiv w:val="1"/>
      <w:marLeft w:val="0"/>
      <w:marRight w:val="0"/>
      <w:marTop w:val="0"/>
      <w:marBottom w:val="0"/>
      <w:divBdr>
        <w:top w:val="none" w:sz="0" w:space="0" w:color="auto"/>
        <w:left w:val="none" w:sz="0" w:space="0" w:color="auto"/>
        <w:bottom w:val="none" w:sz="0" w:space="0" w:color="auto"/>
        <w:right w:val="none" w:sz="0" w:space="0" w:color="auto"/>
      </w:divBdr>
    </w:div>
    <w:div w:id="720444201">
      <w:bodyDiv w:val="1"/>
      <w:marLeft w:val="0"/>
      <w:marRight w:val="0"/>
      <w:marTop w:val="0"/>
      <w:marBottom w:val="0"/>
      <w:divBdr>
        <w:top w:val="none" w:sz="0" w:space="0" w:color="auto"/>
        <w:left w:val="none" w:sz="0" w:space="0" w:color="auto"/>
        <w:bottom w:val="none" w:sz="0" w:space="0" w:color="auto"/>
        <w:right w:val="none" w:sz="0" w:space="0" w:color="auto"/>
      </w:divBdr>
    </w:div>
    <w:div w:id="817723134">
      <w:bodyDiv w:val="1"/>
      <w:marLeft w:val="0"/>
      <w:marRight w:val="0"/>
      <w:marTop w:val="0"/>
      <w:marBottom w:val="0"/>
      <w:divBdr>
        <w:top w:val="none" w:sz="0" w:space="0" w:color="auto"/>
        <w:left w:val="none" w:sz="0" w:space="0" w:color="auto"/>
        <w:bottom w:val="none" w:sz="0" w:space="0" w:color="auto"/>
        <w:right w:val="none" w:sz="0" w:space="0" w:color="auto"/>
      </w:divBdr>
    </w:div>
    <w:div w:id="830675267">
      <w:bodyDiv w:val="1"/>
      <w:marLeft w:val="0"/>
      <w:marRight w:val="0"/>
      <w:marTop w:val="0"/>
      <w:marBottom w:val="0"/>
      <w:divBdr>
        <w:top w:val="none" w:sz="0" w:space="0" w:color="auto"/>
        <w:left w:val="none" w:sz="0" w:space="0" w:color="auto"/>
        <w:bottom w:val="none" w:sz="0" w:space="0" w:color="auto"/>
        <w:right w:val="none" w:sz="0" w:space="0" w:color="auto"/>
      </w:divBdr>
    </w:div>
    <w:div w:id="915892930">
      <w:bodyDiv w:val="1"/>
      <w:marLeft w:val="0"/>
      <w:marRight w:val="0"/>
      <w:marTop w:val="0"/>
      <w:marBottom w:val="0"/>
      <w:divBdr>
        <w:top w:val="none" w:sz="0" w:space="0" w:color="auto"/>
        <w:left w:val="none" w:sz="0" w:space="0" w:color="auto"/>
        <w:bottom w:val="none" w:sz="0" w:space="0" w:color="auto"/>
        <w:right w:val="none" w:sz="0" w:space="0" w:color="auto"/>
      </w:divBdr>
    </w:div>
    <w:div w:id="1213233126">
      <w:bodyDiv w:val="1"/>
      <w:marLeft w:val="0"/>
      <w:marRight w:val="0"/>
      <w:marTop w:val="0"/>
      <w:marBottom w:val="0"/>
      <w:divBdr>
        <w:top w:val="none" w:sz="0" w:space="0" w:color="auto"/>
        <w:left w:val="none" w:sz="0" w:space="0" w:color="auto"/>
        <w:bottom w:val="none" w:sz="0" w:space="0" w:color="auto"/>
        <w:right w:val="none" w:sz="0" w:space="0" w:color="auto"/>
      </w:divBdr>
    </w:div>
    <w:div w:id="1323119090">
      <w:bodyDiv w:val="1"/>
      <w:marLeft w:val="0"/>
      <w:marRight w:val="0"/>
      <w:marTop w:val="0"/>
      <w:marBottom w:val="0"/>
      <w:divBdr>
        <w:top w:val="none" w:sz="0" w:space="0" w:color="auto"/>
        <w:left w:val="none" w:sz="0" w:space="0" w:color="auto"/>
        <w:bottom w:val="none" w:sz="0" w:space="0" w:color="auto"/>
        <w:right w:val="none" w:sz="0" w:space="0" w:color="auto"/>
      </w:divBdr>
    </w:div>
    <w:div w:id="1507407183">
      <w:bodyDiv w:val="1"/>
      <w:marLeft w:val="0"/>
      <w:marRight w:val="0"/>
      <w:marTop w:val="0"/>
      <w:marBottom w:val="0"/>
      <w:divBdr>
        <w:top w:val="none" w:sz="0" w:space="0" w:color="auto"/>
        <w:left w:val="none" w:sz="0" w:space="0" w:color="auto"/>
        <w:bottom w:val="none" w:sz="0" w:space="0" w:color="auto"/>
        <w:right w:val="none" w:sz="0" w:space="0" w:color="auto"/>
      </w:divBdr>
    </w:div>
    <w:div w:id="1850948395">
      <w:bodyDiv w:val="1"/>
      <w:marLeft w:val="0"/>
      <w:marRight w:val="0"/>
      <w:marTop w:val="0"/>
      <w:marBottom w:val="0"/>
      <w:divBdr>
        <w:top w:val="none" w:sz="0" w:space="0" w:color="auto"/>
        <w:left w:val="none" w:sz="0" w:space="0" w:color="auto"/>
        <w:bottom w:val="none" w:sz="0" w:space="0" w:color="auto"/>
        <w:right w:val="none" w:sz="0" w:space="0" w:color="auto"/>
      </w:divBdr>
    </w:div>
    <w:div w:id="1898083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f1609138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s://doi.org/10.1139/cjps-2015-0272"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10</Pages>
  <Words>2995</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1020</cp:lastModifiedBy>
  <cp:revision>46</cp:revision>
  <cp:lastPrinted>2026-03-31T05:55:00Z</cp:lastPrinted>
  <dcterms:created xsi:type="dcterms:W3CDTF">2023-02-21T05:58:00Z</dcterms:created>
  <dcterms:modified xsi:type="dcterms:W3CDTF">2026-04-02T08:47:00Z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5fc8e3aaa3d8f59c1403bcffaddd47d4f2c085ae7bbba8e416c25d7ef6716f3c</vt:lpwstr>
  </property>
</Properties>
</file>