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D7C" w:rsidRDefault="00F20D7C">
      <w:pPr>
        <w:pStyle w:val="Title"/>
        <w:spacing w:after="0"/>
        <w:jc w:val="both"/>
        <w:rPr>
          <w:rFonts w:ascii="Arial" w:hAnsi="Arial" w:cs="Arial"/>
        </w:rPr>
      </w:pPr>
    </w:p>
    <w:p w:rsidR="00F20D7C" w:rsidRPr="00F32EE3" w:rsidRDefault="00917F23">
      <w:pPr>
        <w:jc w:val="right"/>
        <w:rPr>
          <w:rFonts w:ascii="Arial Regular" w:hAnsi="Arial Regular" w:cs="Arial Regular"/>
          <w:b/>
          <w:sz w:val="36"/>
          <w:szCs w:val="36"/>
        </w:rPr>
      </w:pPr>
      <w:r w:rsidRPr="00F32EE3">
        <w:rPr>
          <w:rFonts w:ascii="Arial Regular" w:hAnsi="Arial Regular" w:cs="Arial Regular"/>
          <w:b/>
          <w:sz w:val="36"/>
          <w:szCs w:val="36"/>
        </w:rPr>
        <w:t>Effect of Graded Levels of Peppermint (</w:t>
      </w:r>
      <w:r w:rsidRPr="00F32EE3">
        <w:rPr>
          <w:rFonts w:ascii="Arial Italic" w:hAnsi="Arial Italic" w:cs="Arial Italic"/>
          <w:b/>
          <w:i/>
          <w:iCs/>
          <w:sz w:val="36"/>
          <w:szCs w:val="36"/>
        </w:rPr>
        <w:t xml:space="preserve">Mentha </w:t>
      </w:r>
      <w:proofErr w:type="spellStart"/>
      <w:r w:rsidRPr="00F32EE3">
        <w:rPr>
          <w:rFonts w:ascii="Arial Italic" w:hAnsi="Arial Italic" w:cs="Arial Italic"/>
          <w:b/>
          <w:i/>
          <w:iCs/>
          <w:sz w:val="36"/>
          <w:szCs w:val="36"/>
        </w:rPr>
        <w:t>piperita</w:t>
      </w:r>
      <w:proofErr w:type="spellEnd"/>
      <w:r w:rsidRPr="00F32EE3">
        <w:rPr>
          <w:rFonts w:ascii="Arial Italic" w:hAnsi="Arial Italic" w:cs="Arial Italic"/>
          <w:b/>
          <w:i/>
          <w:iCs/>
          <w:sz w:val="36"/>
          <w:szCs w:val="36"/>
        </w:rPr>
        <w:t xml:space="preserve"> </w:t>
      </w:r>
      <w:r w:rsidRPr="00F32EE3">
        <w:rPr>
          <w:rFonts w:ascii="Arial Regular" w:hAnsi="Arial Regular" w:cs="Arial Regular"/>
          <w:b/>
          <w:sz w:val="36"/>
          <w:szCs w:val="36"/>
        </w:rPr>
        <w:t xml:space="preserve">L.) Powder on Serum Lipid Profile </w:t>
      </w:r>
    </w:p>
    <w:p w:rsidR="00F20D7C" w:rsidRPr="00F32EE3" w:rsidRDefault="00917F23">
      <w:pPr>
        <w:jc w:val="right"/>
        <w:rPr>
          <w:rFonts w:ascii="Arial Regular" w:hAnsi="Arial Regular" w:cs="Arial Regular"/>
          <w:b/>
          <w:sz w:val="36"/>
          <w:szCs w:val="36"/>
        </w:rPr>
      </w:pPr>
      <w:r w:rsidRPr="00F32EE3">
        <w:rPr>
          <w:rFonts w:ascii="Arial Regular" w:hAnsi="Arial Regular" w:cs="Arial Regular"/>
          <w:b/>
          <w:sz w:val="36"/>
          <w:szCs w:val="36"/>
        </w:rPr>
        <w:t>in Broiler Chickens</w:t>
      </w:r>
    </w:p>
    <w:p w:rsidR="00F20D7C" w:rsidRDefault="00917F23">
      <w:pPr>
        <w:pStyle w:val="Copyright"/>
        <w:spacing w:after="0" w:line="240" w:lineRule="auto"/>
        <w:jc w:val="both"/>
        <w:rPr>
          <w:rFonts w:ascii="Arial" w:hAnsi="Arial" w:cs="Arial"/>
        </w:rPr>
        <w:sectPr w:rsidR="00F20D7C">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t>.</w:t>
      </w:r>
    </w:p>
    <w:p w:rsidR="00F20D7C" w:rsidRDefault="00917F23">
      <w:pPr>
        <w:pStyle w:val="AbstHead"/>
        <w:spacing w:after="0"/>
        <w:jc w:val="both"/>
        <w:rPr>
          <w:rFonts w:ascii="Arial" w:hAnsi="Arial" w:cs="Arial"/>
        </w:rPr>
      </w:pPr>
      <w:r>
        <w:rPr>
          <w:rFonts w:ascii="Arial" w:hAnsi="Arial" w:cs="Arial"/>
        </w:rPr>
        <w:t>ABSTRACT</w:t>
      </w:r>
      <w:bookmarkStart w:id="0" w:name="_GoBack"/>
      <w:bookmarkEnd w:id="0"/>
    </w:p>
    <w:p w:rsidR="00F20D7C" w:rsidRDefault="00F20D7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F20D7C">
        <w:trPr>
          <w:trHeight w:val="4517"/>
        </w:trPr>
        <w:tc>
          <w:tcPr>
            <w:tcW w:w="9576" w:type="dxa"/>
            <w:shd w:val="clear" w:color="auto" w:fill="F2F2F2"/>
          </w:tcPr>
          <w:p w:rsidR="00F20D7C" w:rsidRDefault="00E04153">
            <w:pPr>
              <w:pStyle w:val="NormalWeb"/>
              <w:jc w:val="both"/>
              <w:rPr>
                <w:rFonts w:ascii="Arial" w:eastAsia="Calibri" w:hAnsi="Arial" w:cs="Arial"/>
                <w:szCs w:val="22"/>
              </w:rPr>
            </w:pPr>
            <w:r w:rsidRPr="00E04153">
              <w:rPr>
                <w:rFonts w:ascii="Arial Regular" w:hAnsi="Arial Regular" w:cs="Arial Regular"/>
                <w:sz w:val="20"/>
                <w:szCs w:val="20"/>
              </w:rPr>
              <w:t>Peppermint (</w:t>
            </w:r>
            <w:r w:rsidRPr="00423B00">
              <w:rPr>
                <w:rFonts w:ascii="Arial Regular" w:hAnsi="Arial Regular" w:cs="Arial Regular"/>
                <w:i/>
                <w:sz w:val="20"/>
                <w:szCs w:val="20"/>
              </w:rPr>
              <w:t xml:space="preserve">Mentha </w:t>
            </w:r>
            <w:proofErr w:type="spellStart"/>
            <w:r w:rsidRPr="00423B00">
              <w:rPr>
                <w:rFonts w:ascii="Arial Regular" w:hAnsi="Arial Regular" w:cs="Arial Regular"/>
                <w:i/>
                <w:sz w:val="20"/>
                <w:szCs w:val="20"/>
              </w:rPr>
              <w:t>piperita</w:t>
            </w:r>
            <w:proofErr w:type="spellEnd"/>
            <w:r w:rsidRPr="00E04153">
              <w:rPr>
                <w:rFonts w:ascii="Arial Regular" w:hAnsi="Arial Regular" w:cs="Arial Regular"/>
                <w:sz w:val="20"/>
                <w:szCs w:val="20"/>
              </w:rPr>
              <w:t xml:space="preserve"> L.), a medicinal herb belonging to the family </w:t>
            </w:r>
            <w:proofErr w:type="spellStart"/>
            <w:r w:rsidRPr="00E04153">
              <w:rPr>
                <w:rFonts w:ascii="Arial Regular" w:hAnsi="Arial Regular" w:cs="Arial Regular"/>
                <w:sz w:val="20"/>
                <w:szCs w:val="20"/>
              </w:rPr>
              <w:t>Lamiaceae</w:t>
            </w:r>
            <w:proofErr w:type="spellEnd"/>
            <w:r w:rsidRPr="00E04153">
              <w:rPr>
                <w:rFonts w:ascii="Arial Regular" w:hAnsi="Arial Regular" w:cs="Arial Regular"/>
                <w:sz w:val="20"/>
                <w:szCs w:val="20"/>
              </w:rPr>
              <w:t xml:space="preserve">, is rich in biologically active constituents such as menthol, menthone, </w:t>
            </w:r>
            <w:proofErr w:type="spellStart"/>
            <w:r w:rsidRPr="00E04153">
              <w:rPr>
                <w:rFonts w:ascii="Arial Regular" w:hAnsi="Arial Regular" w:cs="Arial Regular"/>
                <w:sz w:val="20"/>
                <w:szCs w:val="20"/>
              </w:rPr>
              <w:t>menthofuran</w:t>
            </w:r>
            <w:proofErr w:type="spellEnd"/>
            <w:r w:rsidRPr="00E04153">
              <w:rPr>
                <w:rFonts w:ascii="Arial Regular" w:hAnsi="Arial Regular" w:cs="Arial Regular"/>
                <w:sz w:val="20"/>
                <w:szCs w:val="20"/>
              </w:rPr>
              <w:t xml:space="preserve">, and various monoterpenes. </w:t>
            </w:r>
            <w:r w:rsidR="00917F23">
              <w:rPr>
                <w:rFonts w:ascii="Arial Regular" w:hAnsi="Arial Regular" w:cs="Arial Regular"/>
                <w:sz w:val="20"/>
                <w:szCs w:val="20"/>
              </w:rPr>
              <w:t>The present study was conducted to evaluate the effect of graded levels of peppermint (</w:t>
            </w:r>
            <w:r w:rsidR="00917F23">
              <w:rPr>
                <w:rStyle w:val="Emphasis"/>
                <w:rFonts w:ascii="Arial Italic" w:hAnsi="Arial Italic" w:cs="Arial Italic"/>
                <w:iCs w:val="0"/>
                <w:sz w:val="20"/>
                <w:szCs w:val="20"/>
              </w:rPr>
              <w:t xml:space="preserve">Mentha </w:t>
            </w:r>
            <w:proofErr w:type="spellStart"/>
            <w:r w:rsidR="00917F23">
              <w:rPr>
                <w:rStyle w:val="Emphasis"/>
                <w:rFonts w:ascii="Arial Italic" w:hAnsi="Arial Italic" w:cs="Arial Italic"/>
                <w:iCs w:val="0"/>
                <w:sz w:val="20"/>
                <w:szCs w:val="20"/>
              </w:rPr>
              <w:t>piperita</w:t>
            </w:r>
            <w:proofErr w:type="spellEnd"/>
            <w:r w:rsidR="00917F23">
              <w:rPr>
                <w:rFonts w:ascii="Arial Regular" w:hAnsi="Arial Regular" w:cs="Arial Regular"/>
                <w:sz w:val="20"/>
                <w:szCs w:val="20"/>
              </w:rPr>
              <w:t xml:space="preserve"> L.) powder supplementation on serum lipid profile parameters in broiler chickens. A total of </w:t>
            </w:r>
            <w:r w:rsidR="00F713E0">
              <w:rPr>
                <w:rFonts w:ascii="Arial Regular" w:hAnsi="Arial Regular" w:cs="Arial Regular"/>
                <w:sz w:val="20"/>
                <w:szCs w:val="20"/>
              </w:rPr>
              <w:t>200-day-old</w:t>
            </w:r>
            <w:r w:rsidR="00917F23">
              <w:rPr>
                <w:rFonts w:ascii="Arial Regular" w:hAnsi="Arial Regular" w:cs="Arial Regular"/>
                <w:sz w:val="20"/>
                <w:szCs w:val="20"/>
              </w:rPr>
              <w:t xml:space="preserve"> Cobb-430Y broiler chicks were randomly allocated into five dietary treatments following a Randomized Block Design (RBD), with five repl</w:t>
            </w:r>
            <w:r w:rsidR="00917F23">
              <w:rPr>
                <w:rFonts w:ascii="Arial Regular" w:hAnsi="Arial Regular" w:cs="Arial Regular"/>
                <w:sz w:val="20"/>
                <w:szCs w:val="20"/>
              </w:rPr>
              <w:t xml:space="preserve">icates per treatment and eight birds per replicate. Initial body weight was considered as the blocking factor to minimize variation among experimental units. The dietary treatments consisted of T1 (control), T2 (5 g/kg), T3 (10 g/kg), T4 (15 g/kg), and T5 </w:t>
            </w:r>
            <w:r w:rsidR="00917F23">
              <w:rPr>
                <w:rFonts w:ascii="Arial Regular" w:hAnsi="Arial Regular" w:cs="Arial Regular"/>
                <w:sz w:val="20"/>
                <w:szCs w:val="20"/>
              </w:rPr>
              <w:t>(20 g/kg peppermint powder). The experiment was conducted for 42 days under subtropical conditions.</w:t>
            </w:r>
            <w:r w:rsidR="00917F23">
              <w:rPr>
                <w:rFonts w:ascii="Arial Regular" w:hAnsi="Arial Regular" w:cs="Arial Regular"/>
                <w:sz w:val="20"/>
                <w:szCs w:val="20"/>
              </w:rPr>
              <w:t xml:space="preserve"> </w:t>
            </w:r>
            <w:r w:rsidR="00917F23">
              <w:rPr>
                <w:rFonts w:ascii="Arial Regular" w:hAnsi="Arial Regular" w:cs="Arial Regular"/>
                <w:sz w:val="20"/>
                <w:szCs w:val="20"/>
              </w:rPr>
              <w:t>Serum total cholesterol, high-density lipoprotein (HDL) cholesterol, low-density lipoprotein (LDL) cholesterol, and triglycerides were analyzed at the end o</w:t>
            </w:r>
            <w:r w:rsidR="00917F23">
              <w:rPr>
                <w:rFonts w:ascii="Arial Regular" w:hAnsi="Arial Regular" w:cs="Arial Regular"/>
                <w:sz w:val="20"/>
                <w:szCs w:val="20"/>
              </w:rPr>
              <w:t>f the trial. Peppermint supplementation significantly (P &lt; 0.05) reduced total cholesterol, LDL cholesterol, and triglyceride concentrations compared to the control group. The lowest total cholesterol (143.87 mg/dL) and triglycerides (94.21 mg/dL) were obs</w:t>
            </w:r>
            <w:r w:rsidR="00917F23">
              <w:rPr>
                <w:rFonts w:ascii="Arial Regular" w:hAnsi="Arial Regular" w:cs="Arial Regular"/>
                <w:sz w:val="20"/>
                <w:szCs w:val="20"/>
              </w:rPr>
              <w:t>erved at 10 g/kg inclusion level, whereas HDL cholesterol was highest at 20 g/kg supplementation. The response pattern across treatments indicated a non-linear trend, suggesting an optimal inclusion level rather than a strictly dose-dependent effect.</w:t>
            </w:r>
            <w:r w:rsidR="00917F23">
              <w:rPr>
                <w:rFonts w:ascii="Arial Regular" w:hAnsi="Arial Regular" w:cs="Arial Regular"/>
                <w:sz w:val="20"/>
                <w:szCs w:val="20"/>
              </w:rPr>
              <w:t xml:space="preserve"> </w:t>
            </w:r>
            <w:r w:rsidR="00917F23">
              <w:rPr>
                <w:rFonts w:ascii="Arial Regular" w:hAnsi="Arial Regular" w:cs="Arial Regular"/>
                <w:sz w:val="20"/>
                <w:szCs w:val="20"/>
              </w:rPr>
              <w:t>In co</w:t>
            </w:r>
            <w:r w:rsidR="00917F23">
              <w:rPr>
                <w:rFonts w:ascii="Arial Regular" w:hAnsi="Arial Regular" w:cs="Arial Regular"/>
                <w:sz w:val="20"/>
                <w:szCs w:val="20"/>
              </w:rPr>
              <w:t>nclusion, dietary inclusion of peppermint powder at 10 g/kg feed improved serum lipid profile parameters in broiler chickens. These findings suggest that peppermint powder may serve as a potential phytogenic feed additive for modulating lipid metabolism un</w:t>
            </w:r>
            <w:r w:rsidR="00917F23">
              <w:rPr>
                <w:rFonts w:ascii="Arial Regular" w:hAnsi="Arial Regular" w:cs="Arial Regular"/>
                <w:sz w:val="20"/>
                <w:szCs w:val="20"/>
              </w:rPr>
              <w:t>der subtropical production conditions.</w:t>
            </w:r>
          </w:p>
        </w:tc>
      </w:tr>
    </w:tbl>
    <w:p w:rsidR="00F20D7C" w:rsidRDefault="00F20D7C">
      <w:pPr>
        <w:pStyle w:val="Body"/>
        <w:spacing w:after="0"/>
        <w:rPr>
          <w:rFonts w:ascii="Arial" w:hAnsi="Arial" w:cs="Arial"/>
          <w:i/>
        </w:rPr>
      </w:pPr>
    </w:p>
    <w:p w:rsidR="00F20D7C" w:rsidRDefault="00917F23">
      <w:pPr>
        <w:pStyle w:val="Body"/>
        <w:spacing w:after="0"/>
        <w:rPr>
          <w:rFonts w:ascii="Arial" w:hAnsi="Arial" w:cs="Arial"/>
          <w:i/>
        </w:rPr>
      </w:pPr>
      <w:r>
        <w:rPr>
          <w:rFonts w:ascii="Arial" w:hAnsi="Arial" w:cs="Arial"/>
          <w:i/>
        </w:rPr>
        <w:t>Keywords: Broiler, Lipid profile, Cholesterol, Peppermint, Phytogenic feed additive</w:t>
      </w:r>
    </w:p>
    <w:p w:rsidR="00F20D7C" w:rsidRDefault="00F20D7C">
      <w:pPr>
        <w:pStyle w:val="Body"/>
        <w:spacing w:after="0"/>
        <w:rPr>
          <w:rFonts w:ascii="Arial" w:hAnsi="Arial" w:cs="Arial"/>
          <w:i/>
        </w:rPr>
      </w:pPr>
    </w:p>
    <w:p w:rsidR="00F20D7C" w:rsidRDefault="00917F23">
      <w:pPr>
        <w:pStyle w:val="AbstHead"/>
        <w:spacing w:after="0"/>
        <w:jc w:val="both"/>
        <w:rPr>
          <w:rFonts w:ascii="Arial" w:hAnsi="Arial" w:cs="Arial"/>
        </w:rPr>
      </w:pPr>
      <w:r>
        <w:rPr>
          <w:rFonts w:ascii="Arial" w:hAnsi="Arial" w:cs="Arial"/>
        </w:rPr>
        <w:t>1. INTRODUCTION</w:t>
      </w:r>
    </w:p>
    <w:p w:rsidR="00F20D7C" w:rsidRDefault="00917F23">
      <w:pPr>
        <w:pStyle w:val="Body"/>
        <w:rPr>
          <w:rFonts w:ascii="Arial" w:hAnsi="Arial" w:cs="Arial"/>
        </w:rPr>
      </w:pPr>
      <w:r>
        <w:rPr>
          <w:rFonts w:ascii="Arial" w:hAnsi="Arial" w:cs="Arial"/>
        </w:rPr>
        <w:t>The poultry industry has experienced substantial expansion over the past few decades, primarily driven by advances</w:t>
      </w:r>
      <w:r>
        <w:rPr>
          <w:rFonts w:ascii="Arial" w:hAnsi="Arial" w:cs="Arial"/>
        </w:rPr>
        <w:t xml:space="preserve"> in genetics, nutrition, and disease management. For many years, antibiotic growth promoters (AGPs) were routinely incorporated into broiler diets to enhance feed efficiency and suppress subclinical infections. However, growing concerns regarding antimicro</w:t>
      </w:r>
      <w:r>
        <w:rPr>
          <w:rFonts w:ascii="Arial" w:hAnsi="Arial" w:cs="Arial"/>
        </w:rPr>
        <w:t xml:space="preserve">bial resistance and antibiotic residues in poultry products have resulted in strict regulations and bans on the use of AGPs in several countries (Dibner and Richards, 2005; </w:t>
      </w:r>
      <w:proofErr w:type="spellStart"/>
      <w:r>
        <w:rPr>
          <w:rFonts w:ascii="Arial" w:hAnsi="Arial" w:cs="Arial"/>
        </w:rPr>
        <w:t>Castanon</w:t>
      </w:r>
      <w:proofErr w:type="spellEnd"/>
      <w:r>
        <w:rPr>
          <w:rFonts w:ascii="Arial" w:hAnsi="Arial" w:cs="Arial"/>
        </w:rPr>
        <w:t xml:space="preserve">, 2007). This global shift has accelerated the search for safe and natural </w:t>
      </w:r>
      <w:r>
        <w:rPr>
          <w:rFonts w:ascii="Arial" w:hAnsi="Arial" w:cs="Arial"/>
        </w:rPr>
        <w:t>feed additives capable of sustaining productivity while maintaining metabolic and physiological health in broiler chickens.</w:t>
      </w:r>
    </w:p>
    <w:p w:rsidR="00F20D7C" w:rsidRDefault="00917F23">
      <w:pPr>
        <w:pStyle w:val="Body"/>
        <w:rPr>
          <w:rFonts w:ascii="Arial" w:hAnsi="Arial" w:cs="Arial"/>
        </w:rPr>
      </w:pPr>
      <w:r>
        <w:rPr>
          <w:rFonts w:ascii="Arial" w:hAnsi="Arial" w:cs="Arial"/>
        </w:rPr>
        <w:t>Phytogenic feed additives, derived from herbs, spices, and essential oils, have emerged as promising alternatives to synthetic growt</w:t>
      </w:r>
      <w:r>
        <w:rPr>
          <w:rFonts w:ascii="Arial" w:hAnsi="Arial" w:cs="Arial"/>
        </w:rPr>
        <w:t>h promoters. These plant-based compounds possess antimicrobial, antioxidant, and metabolic regulatory properties that may improve nutrient utilization and overall health status in poultry (</w:t>
      </w:r>
      <w:proofErr w:type="spellStart"/>
      <w:r>
        <w:rPr>
          <w:rFonts w:ascii="Arial" w:hAnsi="Arial" w:cs="Arial"/>
        </w:rPr>
        <w:t>Windisch</w:t>
      </w:r>
      <w:proofErr w:type="spellEnd"/>
      <w:r>
        <w:rPr>
          <w:rFonts w:ascii="Arial" w:hAnsi="Arial" w:cs="Arial"/>
        </w:rPr>
        <w:t xml:space="preserve"> et al., 2008; Hashemi and </w:t>
      </w:r>
      <w:proofErr w:type="spellStart"/>
      <w:r>
        <w:rPr>
          <w:rFonts w:ascii="Arial" w:hAnsi="Arial" w:cs="Arial"/>
        </w:rPr>
        <w:t>Davoodi</w:t>
      </w:r>
      <w:proofErr w:type="spellEnd"/>
      <w:r>
        <w:rPr>
          <w:rFonts w:ascii="Arial" w:hAnsi="Arial" w:cs="Arial"/>
        </w:rPr>
        <w:t>, 2011). Beyond their gro</w:t>
      </w:r>
      <w:r>
        <w:rPr>
          <w:rFonts w:ascii="Arial" w:hAnsi="Arial" w:cs="Arial"/>
        </w:rPr>
        <w:t>wth-promoting potential, phytogenic additives have been reported to modulate lipid metabolism, thereby influencing serum biochemical parameters related to fat deposition and metabolic efficiency.</w:t>
      </w:r>
    </w:p>
    <w:p w:rsidR="00F20D7C" w:rsidRDefault="00917F23">
      <w:pPr>
        <w:pStyle w:val="Body"/>
        <w:rPr>
          <w:rFonts w:ascii="Arial" w:hAnsi="Arial" w:cs="Arial"/>
        </w:rPr>
      </w:pPr>
      <w:r>
        <w:rPr>
          <w:rFonts w:ascii="Arial" w:hAnsi="Arial" w:cs="Arial"/>
        </w:rPr>
        <w:lastRenderedPageBreak/>
        <w:t>Peppermint (</w:t>
      </w:r>
      <w:r>
        <w:rPr>
          <w:rStyle w:val="Italic"/>
          <w:rFonts w:ascii="Arial"/>
        </w:rPr>
        <w:t xml:space="preserve">Mentha </w:t>
      </w:r>
      <w:proofErr w:type="spellStart"/>
      <w:r>
        <w:rPr>
          <w:rStyle w:val="Italic"/>
          <w:rFonts w:ascii="Arial"/>
        </w:rPr>
        <w:t>piperita</w:t>
      </w:r>
      <w:proofErr w:type="spellEnd"/>
      <w:r>
        <w:rPr>
          <w:rStyle w:val="Italic"/>
          <w:rFonts w:ascii="Arial"/>
        </w:rPr>
        <w:t xml:space="preserve"> </w:t>
      </w:r>
      <w:r>
        <w:rPr>
          <w:rStyle w:val="Italic"/>
        </w:rPr>
        <w:t>L.</w:t>
      </w:r>
      <w:r>
        <w:rPr>
          <w:rFonts w:ascii="Arial" w:hAnsi="Arial" w:cs="Arial"/>
        </w:rPr>
        <w:t xml:space="preserve">), a medicinal herb belonging </w:t>
      </w:r>
      <w:r>
        <w:rPr>
          <w:rFonts w:ascii="Arial" w:hAnsi="Arial" w:cs="Arial"/>
        </w:rPr>
        <w:t xml:space="preserve">to the family </w:t>
      </w:r>
      <w:proofErr w:type="spellStart"/>
      <w:r>
        <w:rPr>
          <w:rFonts w:ascii="Arial" w:hAnsi="Arial" w:cs="Arial"/>
        </w:rPr>
        <w:t>Lamiaceae</w:t>
      </w:r>
      <w:proofErr w:type="spellEnd"/>
      <w:r>
        <w:rPr>
          <w:rFonts w:ascii="Arial" w:hAnsi="Arial" w:cs="Arial"/>
        </w:rPr>
        <w:t xml:space="preserve">, is rich in biologically active constituents such as menthol, menthone, </w:t>
      </w:r>
      <w:proofErr w:type="spellStart"/>
      <w:r>
        <w:rPr>
          <w:rFonts w:ascii="Arial" w:hAnsi="Arial" w:cs="Arial"/>
        </w:rPr>
        <w:t>menthofuran</w:t>
      </w:r>
      <w:proofErr w:type="spellEnd"/>
      <w:r>
        <w:rPr>
          <w:rFonts w:ascii="Arial" w:hAnsi="Arial" w:cs="Arial"/>
        </w:rPr>
        <w:t>, and various monoterpenes. Menthol, the principal component of peppermint essential oil, is largely responsible for its antimicrobial and antioxidan</w:t>
      </w:r>
      <w:r>
        <w:rPr>
          <w:rFonts w:ascii="Arial" w:hAnsi="Arial" w:cs="Arial"/>
        </w:rPr>
        <w:t>t properties (Burt, 2004; McKay and Blumberg, 2006). The antioxidant activity of peppermint is attributed to its phenolic compounds, which exert free radical scavenging effects and inhibit lipid peroxidation (Shan et al., 2005). In addition to these proper</w:t>
      </w:r>
      <w:r>
        <w:rPr>
          <w:rFonts w:ascii="Arial" w:hAnsi="Arial" w:cs="Arial"/>
        </w:rPr>
        <w:t>ties, peppermint has been reported to exert hypolipidemic effects by reducing serum cholesterol and triglyceride levels, possibly through inhibition of hepatic HMG-CoA reductase activity, modulation of lipid-synthesizing enzymes, and enhanced bile acid exc</w:t>
      </w:r>
      <w:r>
        <w:rPr>
          <w:rFonts w:ascii="Arial" w:hAnsi="Arial" w:cs="Arial"/>
        </w:rPr>
        <w:t>retion (Akbari et al., 2016). Such modulation of lipid metabolism may lead to reduced fat deposition and improved metabolic health in broilers.</w:t>
      </w:r>
    </w:p>
    <w:p w:rsidR="00F20D7C" w:rsidRDefault="00917F23">
      <w:pPr>
        <w:pStyle w:val="Body"/>
        <w:rPr>
          <w:rFonts w:ascii="Arial" w:hAnsi="Arial" w:cs="Arial"/>
        </w:rPr>
      </w:pPr>
      <w:r>
        <w:rPr>
          <w:rFonts w:ascii="Arial" w:hAnsi="Arial" w:cs="Arial"/>
        </w:rPr>
        <w:t>Serum lipid profile parameters, including total cholesterol, triglycerides, high-density lipoprotein (HDL) chole</w:t>
      </w:r>
      <w:r>
        <w:rPr>
          <w:rFonts w:ascii="Arial" w:hAnsi="Arial" w:cs="Arial"/>
        </w:rPr>
        <w:t>sterol, and low-density lipoprotein (LDL) cholesterol, are widely used indicators of lipid metabolism and metabolic status in poultry. Total cholesterol reflects overall lipid balance, while LDL cholesterol is associated with cholesterol transport to perip</w:t>
      </w:r>
      <w:r>
        <w:rPr>
          <w:rFonts w:ascii="Arial" w:hAnsi="Arial" w:cs="Arial"/>
        </w:rPr>
        <w:t>heral tissues and may contribute to fat deposition. Conversely, HDL cholesterol facilitates reverse cholesterol transport, aiding in the removal of excess cholesterol from tissues to the liver for excretion (Griffin et al., 1992). Triglycerides represent t</w:t>
      </w:r>
      <w:r>
        <w:rPr>
          <w:rFonts w:ascii="Arial" w:hAnsi="Arial" w:cs="Arial"/>
        </w:rPr>
        <w:t>he primary form of stored energy and are directly influenced by dietary energy intake and lipid metabolism. Therefore, evaluation of these biochemical constituents provides valuable insight into the metabolic consequences of dietary supplementation strateg</w:t>
      </w:r>
      <w:r>
        <w:rPr>
          <w:rFonts w:ascii="Arial" w:hAnsi="Arial" w:cs="Arial"/>
        </w:rPr>
        <w:t>ies.</w:t>
      </w:r>
    </w:p>
    <w:p w:rsidR="00F20D7C" w:rsidRDefault="00917F23">
      <w:pPr>
        <w:pStyle w:val="Body"/>
        <w:rPr>
          <w:rFonts w:ascii="Arial Regular" w:hAnsi="Arial Regular" w:cs="Arial Regular"/>
        </w:rPr>
      </w:pPr>
      <w:r>
        <w:rPr>
          <w:rFonts w:ascii="Arial" w:hAnsi="Arial" w:cs="Arial"/>
        </w:rPr>
        <w:t>Although several studies have evaluated the effect of peppermint on growth performance in broilers, limited investigations have specifically examined its dose-dependent effects on detailed serum lipid profile parameters. Moreover, reported findings regardi</w:t>
      </w:r>
      <w:r>
        <w:rPr>
          <w:rFonts w:ascii="Arial" w:hAnsi="Arial" w:cs="Arial"/>
        </w:rPr>
        <w:t xml:space="preserve">ng cholesterol and triglyceride responses remain inconsistent, possibly due to differences in supplementation levels, environmental conditions, and experimental design (Hashemi and </w:t>
      </w:r>
      <w:proofErr w:type="spellStart"/>
      <w:r>
        <w:rPr>
          <w:rFonts w:ascii="Arial" w:hAnsi="Arial" w:cs="Arial"/>
        </w:rPr>
        <w:t>Davoodi</w:t>
      </w:r>
      <w:proofErr w:type="spellEnd"/>
      <w:r>
        <w:rPr>
          <w:rFonts w:ascii="Arial" w:hAnsi="Arial" w:cs="Arial"/>
        </w:rPr>
        <w:t xml:space="preserve">, 2011). Additionally, information under subtropical </w:t>
      </w:r>
      <w:proofErr w:type="spellStart"/>
      <w:r>
        <w:rPr>
          <w:rFonts w:ascii="Arial" w:hAnsi="Arial" w:cs="Arial"/>
        </w:rPr>
        <w:t>agro</w:t>
      </w:r>
      <w:proofErr w:type="spellEnd"/>
      <w:r>
        <w:rPr>
          <w:rFonts w:ascii="Arial" w:hAnsi="Arial" w:cs="Arial"/>
        </w:rPr>
        <w:t>-climatic c</w:t>
      </w:r>
      <w:r>
        <w:rPr>
          <w:rFonts w:ascii="Arial" w:hAnsi="Arial" w:cs="Arial"/>
        </w:rPr>
        <w:t xml:space="preserve">onditions is scarce. </w:t>
      </w:r>
      <w:r>
        <w:rPr>
          <w:rFonts w:ascii="Arial Regular" w:hAnsi="Arial Regular" w:cs="Arial Regular"/>
        </w:rPr>
        <w:t>Therefore, further investigation is warranted to clarify the influence of graded levels of peppermint supplementation on serum lipid metabolism in broiler chickens.</w:t>
      </w:r>
    </w:p>
    <w:p w:rsidR="00F20D7C" w:rsidRDefault="00917F23">
      <w:pPr>
        <w:jc w:val="both"/>
        <w:rPr>
          <w:rFonts w:ascii="Arial Regular" w:hAnsi="Arial Regular" w:cs="Arial Regular"/>
        </w:rPr>
      </w:pPr>
      <w:r>
        <w:rPr>
          <w:rFonts w:ascii="Arial Regular" w:hAnsi="Arial Regular" w:cs="Arial Regular"/>
        </w:rPr>
        <w:t xml:space="preserve">In view of the above considerations, the present study was undertaken </w:t>
      </w:r>
      <w:r>
        <w:rPr>
          <w:rFonts w:ascii="Arial Regular" w:hAnsi="Arial Regular" w:cs="Arial Regular"/>
        </w:rPr>
        <w:t>to investigate the dose-dependent effect of graded levels of peppermint (</w:t>
      </w:r>
      <w:r>
        <w:rPr>
          <w:rFonts w:ascii="Arial Regular" w:hAnsi="Arial Regular" w:cs="Arial Regular"/>
          <w:i/>
          <w:iCs/>
        </w:rPr>
        <w:t xml:space="preserve">Mentha </w:t>
      </w:r>
      <w:proofErr w:type="spellStart"/>
      <w:r>
        <w:rPr>
          <w:rFonts w:ascii="Arial Regular" w:hAnsi="Arial Regular" w:cs="Arial Regular"/>
          <w:i/>
          <w:iCs/>
        </w:rPr>
        <w:t>piperita</w:t>
      </w:r>
      <w:proofErr w:type="spellEnd"/>
      <w:r>
        <w:rPr>
          <w:rFonts w:ascii="Arial Regular" w:hAnsi="Arial Regular" w:cs="Arial Regular"/>
          <w:i/>
          <w:iCs/>
        </w:rPr>
        <w:t xml:space="preserve"> </w:t>
      </w:r>
      <w:r>
        <w:rPr>
          <w:rFonts w:ascii="Arial Regular" w:hAnsi="Arial Regular" w:cs="Arial Regular"/>
        </w:rPr>
        <w:t>L.</w:t>
      </w:r>
      <w:r>
        <w:rPr>
          <w:rFonts w:ascii="Arial Regular" w:hAnsi="Arial Regular" w:cs="Arial Regular"/>
        </w:rPr>
        <w:t>) powder supplementation on serum lipid profile parameters, namely total cholesterol, high-density lipoprotein (HDL) cholesterol, low-density lipoprotein (LDL) chole</w:t>
      </w:r>
      <w:r>
        <w:rPr>
          <w:rFonts w:ascii="Arial Regular" w:hAnsi="Arial Regular" w:cs="Arial Regular"/>
        </w:rPr>
        <w:t xml:space="preserve">sterol, and triglycerides in broiler </w:t>
      </w:r>
      <w:proofErr w:type="spellStart"/>
      <w:r>
        <w:rPr>
          <w:rFonts w:ascii="Arial Regular" w:hAnsi="Arial Regular" w:cs="Arial Regular"/>
        </w:rPr>
        <w:t>chickens.</w:t>
      </w:r>
      <w:r>
        <w:rPr>
          <w:rFonts w:ascii="Arial Regular" w:eastAsia="SimSun" w:hAnsi="Arial Regular" w:cs="Arial Regular"/>
          <w:lang w:eastAsia="zh-CN" w:bidi="ar"/>
        </w:rPr>
        <w:t>However</w:t>
      </w:r>
      <w:proofErr w:type="spellEnd"/>
      <w:r>
        <w:rPr>
          <w:rFonts w:ascii="Arial Regular" w:eastAsia="SimSun" w:hAnsi="Arial Regular" w:cs="Arial Regular"/>
          <w:lang w:eastAsia="zh-CN" w:bidi="ar"/>
        </w:rPr>
        <w:t>, existing studies show inconsistent responses and limited information under subtropical conditions, particularly regarding optimal inclusion levels rather than linear dose-response relationships.</w:t>
      </w:r>
    </w:p>
    <w:p w:rsidR="00F20D7C" w:rsidRDefault="00F20D7C">
      <w:pPr>
        <w:pStyle w:val="Body"/>
        <w:spacing w:after="0"/>
        <w:rPr>
          <w:rFonts w:ascii="Arial" w:hAnsi="Arial" w:cs="Arial"/>
        </w:rPr>
      </w:pPr>
    </w:p>
    <w:p w:rsidR="00F20D7C" w:rsidRDefault="00917F23">
      <w:pPr>
        <w:pStyle w:val="AbstHead"/>
        <w:spacing w:after="0"/>
        <w:jc w:val="both"/>
        <w:rPr>
          <w:rFonts w:ascii="Arial" w:hAnsi="Arial" w:cs="Arial"/>
        </w:rPr>
      </w:pPr>
      <w:r>
        <w:rPr>
          <w:rFonts w:ascii="Arial" w:hAnsi="Arial" w:cs="Arial"/>
        </w:rPr>
        <w:t>2. ma</w:t>
      </w:r>
      <w:r>
        <w:rPr>
          <w:rFonts w:ascii="Arial" w:hAnsi="Arial" w:cs="Arial"/>
        </w:rPr>
        <w:t xml:space="preserve">terial and methods </w:t>
      </w:r>
    </w:p>
    <w:p w:rsidR="00F20D7C" w:rsidRDefault="00F20D7C">
      <w:pPr>
        <w:pStyle w:val="AbstHead"/>
        <w:spacing w:after="0"/>
        <w:jc w:val="both"/>
        <w:rPr>
          <w:rFonts w:ascii="Arial" w:hAnsi="Arial" w:cs="Arial"/>
        </w:rPr>
      </w:pPr>
    </w:p>
    <w:p w:rsidR="00F20D7C" w:rsidRDefault="00917F23">
      <w:pPr>
        <w:pStyle w:val="Body"/>
        <w:jc w:val="left"/>
        <w:rPr>
          <w:rFonts w:ascii="Arial" w:hAnsi="Arial" w:cs="Arial"/>
          <w:b/>
          <w:bCs/>
          <w:sz w:val="22"/>
          <w:szCs w:val="22"/>
        </w:rPr>
      </w:pPr>
      <w:r>
        <w:rPr>
          <w:rFonts w:ascii="Arial" w:hAnsi="Arial" w:cs="Arial"/>
          <w:b/>
          <w:bCs/>
          <w:sz w:val="22"/>
          <w:szCs w:val="22"/>
        </w:rPr>
        <w:t>2.1 Experimental Location</w:t>
      </w:r>
    </w:p>
    <w:p w:rsidR="00F20D7C" w:rsidRDefault="00917F23">
      <w:pPr>
        <w:pStyle w:val="Body"/>
        <w:rPr>
          <w:rFonts w:ascii="Arial" w:hAnsi="Arial" w:cs="Arial"/>
        </w:rPr>
      </w:pPr>
      <w:r>
        <w:rPr>
          <w:rFonts w:ascii="Arial" w:hAnsi="Arial" w:cs="Arial"/>
        </w:rPr>
        <w:t>The experiment was conducted at the Poultry Unit of the Instructional Animal Farm, Department of Livestock Production and Management, School of Agricultural Sciences and Rural Development, Nagaland University,</w:t>
      </w:r>
      <w:r>
        <w:rPr>
          <w:rFonts w:ascii="Arial" w:hAnsi="Arial" w:cs="Arial"/>
        </w:rPr>
        <w:t xml:space="preserve"> </w:t>
      </w:r>
      <w:proofErr w:type="spellStart"/>
      <w:r>
        <w:rPr>
          <w:rFonts w:ascii="Arial" w:hAnsi="Arial" w:cs="Arial"/>
        </w:rPr>
        <w:t>Medziphema</w:t>
      </w:r>
      <w:proofErr w:type="spellEnd"/>
      <w:r>
        <w:rPr>
          <w:rFonts w:ascii="Arial" w:hAnsi="Arial" w:cs="Arial"/>
        </w:rPr>
        <w:t xml:space="preserve"> Campus, Nagaland, India. The farm is situated at an altitude of approximately 310 meters above mean sea level under subtropical climatic conditions. The experimental trial was conducted for a period of 42 days. </w:t>
      </w:r>
    </w:p>
    <w:p w:rsidR="00F20D7C" w:rsidRDefault="00917F23">
      <w:pPr>
        <w:pStyle w:val="Body"/>
        <w:jc w:val="left"/>
        <w:rPr>
          <w:rFonts w:ascii="Arial" w:hAnsi="Arial" w:cs="Arial"/>
          <w:b/>
          <w:bCs/>
          <w:sz w:val="22"/>
          <w:szCs w:val="22"/>
        </w:rPr>
      </w:pPr>
      <w:r>
        <w:rPr>
          <w:rFonts w:ascii="Arial" w:hAnsi="Arial" w:cs="Arial"/>
          <w:b/>
          <w:bCs/>
          <w:sz w:val="22"/>
          <w:szCs w:val="22"/>
        </w:rPr>
        <w:t>2.2 Experimental Birds and Desig</w:t>
      </w:r>
      <w:r>
        <w:rPr>
          <w:rFonts w:ascii="Arial" w:hAnsi="Arial" w:cs="Arial"/>
          <w:b/>
          <w:bCs/>
          <w:sz w:val="22"/>
          <w:szCs w:val="22"/>
        </w:rPr>
        <w:t>n</w:t>
      </w:r>
    </w:p>
    <w:p w:rsidR="00F20D7C" w:rsidRDefault="00917F23">
      <w:pPr>
        <w:pStyle w:val="Body"/>
        <w:rPr>
          <w:rFonts w:ascii="Arial" w:hAnsi="Arial" w:cs="Arial"/>
        </w:rPr>
      </w:pPr>
      <w:r>
        <w:rPr>
          <w:rFonts w:ascii="Arial" w:hAnsi="Arial" w:cs="Arial"/>
        </w:rPr>
        <w:lastRenderedPageBreak/>
        <w:t>A total of 200-day-old commercial broiler chicks (Cobb-430Y strain) were procured from a single commercial hatchery to ensure genetic uniformity. Upon arrival, the chicks were individually weighed and randomly allocated into five dietary treatment groups</w:t>
      </w:r>
      <w:r>
        <w:rPr>
          <w:rFonts w:ascii="Arial" w:hAnsi="Arial" w:cs="Arial"/>
        </w:rPr>
        <w:t xml:space="preserve"> following a Randomized Block Design (RBD). Each treatment consisted of five replications with eight birds per replication, making 40 birds per treatment group.</w:t>
      </w:r>
    </w:p>
    <w:p w:rsidR="00F20D7C" w:rsidRDefault="00917F23">
      <w:pPr>
        <w:pStyle w:val="Body"/>
        <w:rPr>
          <w:rFonts w:ascii="Arial" w:hAnsi="Arial" w:cs="Arial"/>
        </w:rPr>
      </w:pPr>
      <w:r>
        <w:rPr>
          <w:rFonts w:ascii="Arial" w:hAnsi="Arial" w:cs="Arial"/>
        </w:rPr>
        <w:t>The dietary treatments were as follows:</w:t>
      </w:r>
    </w:p>
    <w:p w:rsidR="00F20D7C" w:rsidRDefault="00917F23">
      <w:pPr>
        <w:pStyle w:val="Body"/>
        <w:rPr>
          <w:rFonts w:ascii="Arial" w:hAnsi="Arial" w:cs="Arial"/>
        </w:rPr>
      </w:pPr>
      <w:r>
        <w:rPr>
          <w:rFonts w:ascii="Arial" w:hAnsi="Arial" w:cs="Arial"/>
        </w:rPr>
        <w:t>T1: Basal diet (Control)</w:t>
      </w:r>
    </w:p>
    <w:p w:rsidR="00F20D7C" w:rsidRDefault="00917F23">
      <w:pPr>
        <w:pStyle w:val="Body"/>
        <w:rPr>
          <w:rFonts w:ascii="Arial" w:hAnsi="Arial" w:cs="Arial"/>
        </w:rPr>
      </w:pPr>
      <w:r>
        <w:rPr>
          <w:rFonts w:ascii="Arial" w:hAnsi="Arial" w:cs="Arial"/>
        </w:rPr>
        <w:t>T2: Basal diet + 5 g peppermin</w:t>
      </w:r>
      <w:r>
        <w:rPr>
          <w:rFonts w:ascii="Arial" w:hAnsi="Arial" w:cs="Arial"/>
        </w:rPr>
        <w:t>t powder/kg feed</w:t>
      </w:r>
    </w:p>
    <w:p w:rsidR="00F20D7C" w:rsidRDefault="00917F23">
      <w:pPr>
        <w:pStyle w:val="Body"/>
        <w:rPr>
          <w:rFonts w:ascii="Arial" w:hAnsi="Arial" w:cs="Arial"/>
        </w:rPr>
      </w:pPr>
      <w:r>
        <w:rPr>
          <w:rFonts w:ascii="Arial" w:hAnsi="Arial" w:cs="Arial"/>
        </w:rPr>
        <w:t>T3: Basal diet + 10 g peppermint powder/kg feed</w:t>
      </w:r>
    </w:p>
    <w:p w:rsidR="00F20D7C" w:rsidRDefault="00917F23">
      <w:pPr>
        <w:pStyle w:val="Body"/>
        <w:rPr>
          <w:rFonts w:ascii="Arial" w:hAnsi="Arial" w:cs="Arial"/>
        </w:rPr>
      </w:pPr>
      <w:r>
        <w:rPr>
          <w:rFonts w:ascii="Arial" w:hAnsi="Arial" w:cs="Arial"/>
        </w:rPr>
        <w:t>T4: Basal diet + 15 g peppermint powder/kg feed</w:t>
      </w:r>
    </w:p>
    <w:p w:rsidR="00F20D7C" w:rsidRDefault="00917F23">
      <w:pPr>
        <w:pStyle w:val="Body"/>
        <w:rPr>
          <w:rFonts w:ascii="Arial" w:hAnsi="Arial" w:cs="Arial"/>
        </w:rPr>
      </w:pPr>
      <w:r>
        <w:rPr>
          <w:rFonts w:ascii="Arial" w:hAnsi="Arial" w:cs="Arial"/>
        </w:rPr>
        <w:t>T5: Basal diet + 20 g peppermint powder/kg feed</w:t>
      </w:r>
    </w:p>
    <w:p w:rsidR="00F20D7C" w:rsidRDefault="00917F23">
      <w:pPr>
        <w:pStyle w:val="Body"/>
        <w:rPr>
          <w:rFonts w:ascii="Arial" w:hAnsi="Arial" w:cs="Arial"/>
        </w:rPr>
      </w:pPr>
      <w:r>
        <w:rPr>
          <w:rFonts w:ascii="Arial" w:hAnsi="Arial" w:cs="Arial"/>
        </w:rPr>
        <w:t>The birds were reared for 42 days to evaluate the dose-dependent effects of peppermint suppleme</w:t>
      </w:r>
      <w:r>
        <w:rPr>
          <w:rFonts w:ascii="Arial" w:hAnsi="Arial" w:cs="Arial"/>
        </w:rPr>
        <w:t>ntation on serum lipid profile parameters.</w:t>
      </w:r>
    </w:p>
    <w:p w:rsidR="00F20D7C" w:rsidRDefault="00917F23">
      <w:pPr>
        <w:pStyle w:val="Body"/>
        <w:rPr>
          <w:rFonts w:ascii="Arial" w:hAnsi="Arial" w:cs="Arial"/>
          <w:b/>
          <w:bCs/>
          <w:sz w:val="22"/>
          <w:szCs w:val="22"/>
        </w:rPr>
      </w:pPr>
      <w:r>
        <w:rPr>
          <w:rFonts w:ascii="Arial" w:hAnsi="Arial" w:cs="Arial"/>
          <w:b/>
          <w:bCs/>
          <w:sz w:val="22"/>
          <w:szCs w:val="22"/>
        </w:rPr>
        <w:t>2.3 Housing and Management</w:t>
      </w:r>
    </w:p>
    <w:p w:rsidR="00F20D7C" w:rsidRDefault="00917F23">
      <w:pPr>
        <w:pStyle w:val="Body"/>
        <w:rPr>
          <w:rFonts w:ascii="Arial" w:hAnsi="Arial" w:cs="Arial"/>
        </w:rPr>
      </w:pPr>
      <w:r>
        <w:rPr>
          <w:rFonts w:ascii="Arial" w:hAnsi="Arial" w:cs="Arial"/>
        </w:rPr>
        <w:t>Chicks were brooded under a battery brooder system for the first 21 days. The brooder house and equipment were thoroughly cleaned and disinfected prior to the commencement of the experim</w:t>
      </w:r>
      <w:r>
        <w:rPr>
          <w:rFonts w:ascii="Arial" w:hAnsi="Arial" w:cs="Arial"/>
        </w:rPr>
        <w:t>ent. Brooding temperature was maintained at approximately 37.5°C during the first week and gradually reduced by 2–3°C per week until ambient temperature was reached. After 21 days, birds were transferred to well-ventilated cages for the remaining experimen</w:t>
      </w:r>
      <w:r>
        <w:rPr>
          <w:rFonts w:ascii="Arial" w:hAnsi="Arial" w:cs="Arial"/>
        </w:rPr>
        <w:t>tal period. Routine vaccination was carried out against Newcastle disease and Infectious Bursal Disease. Feed and clean drinking water were provided ad libitum throughout the experimental period. Standard hygiene and biosecurity measures were strictly main</w:t>
      </w:r>
      <w:r>
        <w:rPr>
          <w:rFonts w:ascii="Arial" w:hAnsi="Arial" w:cs="Arial"/>
        </w:rPr>
        <w:t>tained.</w:t>
      </w:r>
    </w:p>
    <w:p w:rsidR="00F20D7C" w:rsidRDefault="00917F23">
      <w:pPr>
        <w:pStyle w:val="Body"/>
        <w:jc w:val="left"/>
        <w:rPr>
          <w:rFonts w:ascii="Arial" w:hAnsi="Arial" w:cs="Arial"/>
          <w:b/>
          <w:bCs/>
          <w:sz w:val="22"/>
          <w:szCs w:val="22"/>
        </w:rPr>
      </w:pPr>
      <w:r>
        <w:rPr>
          <w:rFonts w:ascii="Arial" w:hAnsi="Arial" w:cs="Arial"/>
          <w:b/>
          <w:bCs/>
          <w:sz w:val="22"/>
          <w:szCs w:val="22"/>
        </w:rPr>
        <w:t>2.4 Experimental Diet and Preparation of Peppermint Supplementation</w:t>
      </w:r>
    </w:p>
    <w:p w:rsidR="00F20D7C" w:rsidRDefault="00917F23">
      <w:pPr>
        <w:pStyle w:val="NormalWeb"/>
        <w:jc w:val="both"/>
        <w:rPr>
          <w:rFonts w:ascii="Arial Regular" w:hAnsi="Arial Regular" w:cs="Arial Regular"/>
          <w:sz w:val="20"/>
          <w:szCs w:val="20"/>
        </w:rPr>
      </w:pPr>
      <w:r>
        <w:rPr>
          <w:rFonts w:ascii="Arial Regular" w:hAnsi="Arial Regular" w:cs="Arial Regular"/>
          <w:sz w:val="20"/>
          <w:szCs w:val="20"/>
        </w:rPr>
        <w:t xml:space="preserve">The basal diet comprised commercially available broiler starter (0–21 days) and finisher (22–42 days) rations, formulated in accordance with BIS/NRC recommendations to meet the </w:t>
      </w:r>
      <w:r>
        <w:rPr>
          <w:rFonts w:ascii="Arial Regular" w:hAnsi="Arial Regular" w:cs="Arial Regular"/>
          <w:sz w:val="20"/>
          <w:szCs w:val="20"/>
        </w:rPr>
        <w:t>nutritional requirements of broiler chickens. Peppermint (</w:t>
      </w:r>
      <w:r>
        <w:rPr>
          <w:rStyle w:val="Emphasis"/>
          <w:rFonts w:ascii="Arial Italic" w:hAnsi="Arial Italic" w:cs="Arial Italic"/>
          <w:iCs w:val="0"/>
          <w:sz w:val="20"/>
          <w:szCs w:val="20"/>
        </w:rPr>
        <w:t xml:space="preserve">Mentha </w:t>
      </w:r>
      <w:proofErr w:type="spellStart"/>
      <w:r>
        <w:rPr>
          <w:rStyle w:val="Emphasis"/>
          <w:rFonts w:ascii="Arial Italic" w:hAnsi="Arial Italic" w:cs="Arial Italic"/>
          <w:iCs w:val="0"/>
          <w:sz w:val="20"/>
          <w:szCs w:val="20"/>
        </w:rPr>
        <w:t>piperita</w:t>
      </w:r>
      <w:proofErr w:type="spellEnd"/>
      <w:r>
        <w:rPr>
          <w:rStyle w:val="Emphasis"/>
          <w:rFonts w:ascii="Arial Italic" w:hAnsi="Arial Italic" w:cs="Arial Italic"/>
          <w:iCs w:val="0"/>
          <w:sz w:val="20"/>
          <w:szCs w:val="20"/>
        </w:rPr>
        <w:t xml:space="preserve"> L.</w:t>
      </w:r>
      <w:r>
        <w:rPr>
          <w:rFonts w:ascii="Arial Regular" w:hAnsi="Arial Regular" w:cs="Arial Regular"/>
          <w:sz w:val="20"/>
          <w:szCs w:val="20"/>
        </w:rPr>
        <w:t>) powder was procured from a certified supplier and incorporated into the basal diet at inclusion levels of 5, 10, 15, and 20 g/kg feed. The required quantities were precisely weig</w:t>
      </w:r>
      <w:r>
        <w:rPr>
          <w:rFonts w:ascii="Arial Regular" w:hAnsi="Arial Regular" w:cs="Arial Regular"/>
          <w:sz w:val="20"/>
          <w:szCs w:val="20"/>
        </w:rPr>
        <w:t>hed and thoroughly mixed to ensure uniform distribution in the feed prior to feeding.</w:t>
      </w:r>
    </w:p>
    <w:p w:rsidR="00F20D7C" w:rsidRDefault="00917F23">
      <w:pPr>
        <w:pStyle w:val="NormalWeb"/>
        <w:jc w:val="both"/>
        <w:rPr>
          <w:rFonts w:ascii="Arial" w:hAnsi="Arial" w:cs="Arial"/>
        </w:rPr>
      </w:pPr>
      <w:r>
        <w:rPr>
          <w:rFonts w:ascii="Arial Regular" w:hAnsi="Arial Regular" w:cs="Arial Regular"/>
          <w:sz w:val="20"/>
          <w:szCs w:val="20"/>
        </w:rPr>
        <w:t>According to Sulieman et al. (2021), the proximate composition of peppermint indicated a high moisture content (76.01 ± 0.033%), followed by carbohydrates (10.39 ± 0.15%)</w:t>
      </w:r>
      <w:r>
        <w:rPr>
          <w:rFonts w:ascii="Arial Regular" w:hAnsi="Arial Regular" w:cs="Arial Regular"/>
          <w:sz w:val="20"/>
          <w:szCs w:val="20"/>
        </w:rPr>
        <w:t>. The crude fiber and ash contents were reported as 6.2 ± 0.03% and 3.48 ± 0.001%, respectively. The fat and protein contents were relatively low, measured at 2.20 ± 0.003% and 1.75 ± 0.1%. In terms of mineral composition, potassium was the predominant ele</w:t>
      </w:r>
      <w:r>
        <w:rPr>
          <w:rFonts w:ascii="Arial Regular" w:hAnsi="Arial Regular" w:cs="Arial Regular"/>
          <w:sz w:val="20"/>
          <w:szCs w:val="20"/>
        </w:rPr>
        <w:t>ment (24 mg/100 g), followed by calcium (13 mg/100 g), sodium (7.2 mg/100 g), and iron (2.5 mg/100 g).</w:t>
      </w:r>
    </w:p>
    <w:p w:rsidR="00F20D7C" w:rsidRDefault="00917F23">
      <w:pPr>
        <w:pStyle w:val="Body"/>
        <w:rPr>
          <w:rFonts w:ascii="Arial" w:hAnsi="Arial" w:cs="Arial"/>
          <w:b/>
          <w:bCs/>
          <w:sz w:val="22"/>
          <w:szCs w:val="22"/>
        </w:rPr>
      </w:pPr>
      <w:r>
        <w:rPr>
          <w:rFonts w:ascii="Arial" w:hAnsi="Arial" w:cs="Arial"/>
          <w:b/>
          <w:bCs/>
          <w:sz w:val="22"/>
          <w:szCs w:val="22"/>
        </w:rPr>
        <w:t>2.5 Blood Collection and Serum Preparation</w:t>
      </w:r>
    </w:p>
    <w:p w:rsidR="00F20D7C" w:rsidRDefault="00917F23">
      <w:pPr>
        <w:pStyle w:val="NormalWeb"/>
        <w:jc w:val="both"/>
        <w:rPr>
          <w:rFonts w:ascii="Arial Regular" w:hAnsi="Arial Regular" w:cs="Arial Regular"/>
          <w:sz w:val="20"/>
          <w:szCs w:val="20"/>
        </w:rPr>
      </w:pPr>
      <w:r>
        <w:rPr>
          <w:rFonts w:ascii="Arial Regular" w:hAnsi="Arial Regular" w:cs="Arial Regular"/>
          <w:sz w:val="20"/>
          <w:szCs w:val="20"/>
        </w:rPr>
        <w:t>At 42 days of age, two birds from each treatment group (total n = 10) were randomly selected for blood samplin</w:t>
      </w:r>
      <w:r>
        <w:rPr>
          <w:rFonts w:ascii="Arial Regular" w:hAnsi="Arial Regular" w:cs="Arial Regular"/>
          <w:sz w:val="20"/>
          <w:szCs w:val="20"/>
        </w:rPr>
        <w:t xml:space="preserve">g. Prior to collection, birds were fasted overnight (8–10 hours) to </w:t>
      </w:r>
      <w:r>
        <w:rPr>
          <w:rFonts w:ascii="Arial Regular" w:hAnsi="Arial Regular" w:cs="Arial Regular"/>
          <w:sz w:val="20"/>
          <w:szCs w:val="20"/>
        </w:rPr>
        <w:lastRenderedPageBreak/>
        <w:t>minimize postprandial variation in serum lipid parameters. Approximately 2 mL of blood was aseptically collected from the brachial (wing) vein using sterile disposable syringes and transfe</w:t>
      </w:r>
      <w:r>
        <w:rPr>
          <w:rFonts w:ascii="Arial Regular" w:hAnsi="Arial Regular" w:cs="Arial Regular"/>
          <w:sz w:val="20"/>
          <w:szCs w:val="20"/>
        </w:rPr>
        <w:t>rred into plain sterile tubes. The samples were allowed to clot at room temperature and subsequently centrifuged at 3000 rpm for 10 minutes to obtain serum. The separated serum was carefully transferred into labeled microtubes and stored at 4°C until furth</w:t>
      </w:r>
      <w:r>
        <w:rPr>
          <w:rFonts w:ascii="Arial Regular" w:hAnsi="Arial Regular" w:cs="Arial Regular"/>
          <w:sz w:val="20"/>
          <w:szCs w:val="20"/>
        </w:rPr>
        <w:t>er analysis.</w:t>
      </w:r>
      <w:r>
        <w:rPr>
          <w:rFonts w:ascii="Arial Regular" w:hAnsi="Arial Regular" w:cs="Arial Regular"/>
          <w:sz w:val="20"/>
          <w:szCs w:val="20"/>
        </w:rPr>
        <w:t xml:space="preserve"> </w:t>
      </w:r>
      <w:r>
        <w:rPr>
          <w:rFonts w:ascii="Arial Regular" w:hAnsi="Arial Regular" w:cs="Arial Regular"/>
          <w:sz w:val="20"/>
          <w:szCs w:val="20"/>
        </w:rPr>
        <w:t>Due to practical and financial constraints associated with biochemical assays, serum lipid analysis was performed on a representative subset of birds (two birds per treatment). Random selection within each group was employed to ensure unbiased</w:t>
      </w:r>
      <w:r>
        <w:rPr>
          <w:rFonts w:ascii="Arial Regular" w:hAnsi="Arial Regular" w:cs="Arial Regular"/>
          <w:sz w:val="20"/>
          <w:szCs w:val="20"/>
        </w:rPr>
        <w:t xml:space="preserve"> representation of the experimental units; however, this limited sample size should be considered when interpreting the results.</w:t>
      </w:r>
    </w:p>
    <w:p w:rsidR="00F20D7C" w:rsidRDefault="00917F23">
      <w:pPr>
        <w:pStyle w:val="Body"/>
        <w:rPr>
          <w:rFonts w:ascii="Arial" w:hAnsi="Arial" w:cs="Arial"/>
          <w:b/>
          <w:bCs/>
          <w:sz w:val="22"/>
          <w:szCs w:val="22"/>
        </w:rPr>
      </w:pPr>
      <w:r>
        <w:rPr>
          <w:rFonts w:ascii="Arial" w:hAnsi="Arial" w:cs="Arial"/>
          <w:b/>
          <w:bCs/>
          <w:sz w:val="22"/>
          <w:szCs w:val="22"/>
        </w:rPr>
        <w:t>2.6 Estimation of Biochemical Constituents of Blood</w:t>
      </w:r>
    </w:p>
    <w:p w:rsidR="00F20D7C" w:rsidRDefault="00917F23">
      <w:pPr>
        <w:pStyle w:val="Body"/>
        <w:rPr>
          <w:rFonts w:ascii="Arial" w:hAnsi="Arial" w:cs="Arial"/>
        </w:rPr>
      </w:pPr>
      <w:r>
        <w:rPr>
          <w:rFonts w:ascii="Arial" w:hAnsi="Arial" w:cs="Arial"/>
        </w:rPr>
        <w:t>Serum lipid profile parameters evaluated included total cholesterol, HDL ch</w:t>
      </w:r>
      <w:r>
        <w:rPr>
          <w:rFonts w:ascii="Arial" w:hAnsi="Arial" w:cs="Arial"/>
        </w:rPr>
        <w:t>olesterol, LDL cholesterol, and triglycerides. All analyses were performed using enzymatic colorimetric diagnostic kits (DIATEK Healthcare Pvt. Ltd.) according to the manufacturer’s instructions. Absorbance readings were taken using a calibrated spectropho</w:t>
      </w:r>
      <w:r>
        <w:rPr>
          <w:rFonts w:ascii="Arial" w:hAnsi="Arial" w:cs="Arial"/>
        </w:rPr>
        <w:t>tometer at specified wavelengths for each parameter. Total cholesterol was determined by the enzymatic method described by Richmond (1973), HDL cholesterol by the method of Izawa et al. (1997), LDL cholesterol by the method of Wieland and Seidel (1983), an</w:t>
      </w:r>
      <w:r>
        <w:rPr>
          <w:rFonts w:ascii="Arial" w:hAnsi="Arial" w:cs="Arial"/>
        </w:rPr>
        <w:t xml:space="preserve">d triglycerides by the method described by Rifai et al. (1999). </w:t>
      </w:r>
    </w:p>
    <w:p w:rsidR="00F20D7C" w:rsidRDefault="00917F23">
      <w:pPr>
        <w:pStyle w:val="Body"/>
        <w:rPr>
          <w:rFonts w:ascii="Arial" w:hAnsi="Arial" w:cs="Arial"/>
          <w:b/>
          <w:bCs/>
          <w:sz w:val="22"/>
          <w:szCs w:val="22"/>
        </w:rPr>
      </w:pPr>
      <w:r>
        <w:rPr>
          <w:rFonts w:ascii="Arial" w:hAnsi="Arial" w:cs="Arial"/>
          <w:b/>
          <w:bCs/>
          <w:sz w:val="22"/>
          <w:szCs w:val="22"/>
        </w:rPr>
        <w:t>2.6 Statistical Analysis</w:t>
      </w:r>
    </w:p>
    <w:p w:rsidR="00F20D7C" w:rsidRDefault="00917F23">
      <w:pPr>
        <w:pStyle w:val="Body"/>
        <w:rPr>
          <w:rFonts w:ascii="Arial" w:hAnsi="Arial" w:cs="Arial"/>
        </w:rPr>
      </w:pPr>
      <w:r>
        <w:rPr>
          <w:rFonts w:ascii="Arial" w:hAnsi="Arial" w:cs="Arial"/>
        </w:rPr>
        <w:t xml:space="preserve">The data obtained were analyzed using one-way Analysis of Variance (ANOVA) under Randomized Block Design. Treatment means were compared using Duncan’s Multiple Range </w:t>
      </w:r>
      <w:r>
        <w:rPr>
          <w:rFonts w:ascii="Arial" w:hAnsi="Arial" w:cs="Arial"/>
        </w:rPr>
        <w:t>Test. Differences among treatments were considered statistically significant at P &lt; 0.05. Results were expressed as mean ± standard error of mean (SEM).</w:t>
      </w:r>
    </w:p>
    <w:p w:rsidR="00F20D7C" w:rsidRDefault="00917F23">
      <w:pPr>
        <w:pStyle w:val="Head1"/>
        <w:spacing w:before="240" w:after="0"/>
        <w:jc w:val="both"/>
        <w:rPr>
          <w:rFonts w:ascii="Arial" w:hAnsi="Arial" w:cs="Arial"/>
        </w:rPr>
      </w:pPr>
      <w:r>
        <w:rPr>
          <w:rFonts w:ascii="Arial" w:hAnsi="Arial" w:cs="Arial"/>
        </w:rPr>
        <w:t>3. results and discussion</w:t>
      </w:r>
    </w:p>
    <w:p w:rsidR="00F20D7C" w:rsidRDefault="00917F23">
      <w:pPr>
        <w:pStyle w:val="NormalWeb"/>
        <w:jc w:val="both"/>
        <w:rPr>
          <w:rFonts w:ascii="Arial Regular" w:hAnsi="Arial Regular" w:cs="Arial Regular"/>
          <w:sz w:val="20"/>
          <w:szCs w:val="20"/>
        </w:rPr>
      </w:pPr>
      <w:r>
        <w:rPr>
          <w:rFonts w:ascii="Arial Regular" w:hAnsi="Arial Regular" w:cs="Arial Regular"/>
          <w:sz w:val="20"/>
          <w:szCs w:val="20"/>
        </w:rPr>
        <w:t>The effect of graded levels of peppermint (</w:t>
      </w:r>
      <w:r>
        <w:rPr>
          <w:rStyle w:val="Emphasis"/>
          <w:rFonts w:ascii="Arial Italic" w:hAnsi="Arial Italic" w:cs="Arial Italic"/>
          <w:iCs w:val="0"/>
          <w:sz w:val="20"/>
          <w:szCs w:val="20"/>
        </w:rPr>
        <w:t xml:space="preserve">Mentha </w:t>
      </w:r>
      <w:proofErr w:type="spellStart"/>
      <w:r>
        <w:rPr>
          <w:rStyle w:val="Emphasis"/>
          <w:rFonts w:ascii="Arial Italic" w:hAnsi="Arial Italic" w:cs="Arial Italic"/>
          <w:iCs w:val="0"/>
          <w:sz w:val="20"/>
          <w:szCs w:val="20"/>
        </w:rPr>
        <w:t>piperita</w:t>
      </w:r>
      <w:proofErr w:type="spellEnd"/>
      <w:r>
        <w:rPr>
          <w:rFonts w:ascii="Arial Regular" w:hAnsi="Arial Regular" w:cs="Arial Regular"/>
          <w:sz w:val="20"/>
          <w:szCs w:val="20"/>
        </w:rPr>
        <w:t xml:space="preserve"> L.) powder supplem</w:t>
      </w:r>
      <w:r>
        <w:rPr>
          <w:rFonts w:ascii="Arial Regular" w:hAnsi="Arial Regular" w:cs="Arial Regular"/>
          <w:sz w:val="20"/>
          <w:szCs w:val="20"/>
        </w:rPr>
        <w:t>entation on serum lipid profile parameters of broiler chickens is presented in Table 1. Serum total cholesterol was significantly (P &lt; 0.05) reduced in all supplemented groups compared to the control, with the lowest value observed at 10 g/kg inclusion lev</w:t>
      </w:r>
      <w:r>
        <w:rPr>
          <w:rFonts w:ascii="Arial Regular" w:hAnsi="Arial Regular" w:cs="Arial Regular"/>
          <w:sz w:val="20"/>
          <w:szCs w:val="20"/>
        </w:rPr>
        <w:t>el (T3: 143.87 mg/dl). Although reductions were also observed at 5 and 15 g/kg levels, the response was not linear, as the highest inclusion level (20 g/kg; T5) showed a comparatively lesser reduction. This pattern indicates the presence of an optimal incl</w:t>
      </w:r>
      <w:r>
        <w:rPr>
          <w:rFonts w:ascii="Arial Regular" w:hAnsi="Arial Regular" w:cs="Arial Regular"/>
          <w:sz w:val="20"/>
          <w:szCs w:val="20"/>
        </w:rPr>
        <w:t>usion level rather than a strictly dose-dependent response. The comparatively reduced efficacy at higher inclusion levels may be attributed to saturation of physiological responses, reduced palatability due to strong aroma, or metabolic adaptation to eleva</w:t>
      </w:r>
      <w:r>
        <w:rPr>
          <w:rFonts w:ascii="Arial Regular" w:hAnsi="Arial Regular" w:cs="Arial Regular"/>
          <w:sz w:val="20"/>
          <w:szCs w:val="20"/>
        </w:rPr>
        <w:t xml:space="preserve">ted concentrations of phytogenic compounds, which may limit further improvements in lipid metabolism. Similar </w:t>
      </w:r>
      <w:proofErr w:type="spellStart"/>
      <w:r>
        <w:rPr>
          <w:rFonts w:ascii="Arial Regular" w:hAnsi="Arial Regular" w:cs="Arial Regular"/>
          <w:sz w:val="20"/>
          <w:szCs w:val="20"/>
        </w:rPr>
        <w:t>hypocholesterolemic</w:t>
      </w:r>
      <w:proofErr w:type="spellEnd"/>
      <w:r>
        <w:rPr>
          <w:rFonts w:ascii="Arial Regular" w:hAnsi="Arial Regular" w:cs="Arial Regular"/>
          <w:sz w:val="20"/>
          <w:szCs w:val="20"/>
        </w:rPr>
        <w:t xml:space="preserve"> effects of peppermint supplementation have been reported in broilers and laying hens (</w:t>
      </w:r>
      <w:proofErr w:type="spellStart"/>
      <w:r>
        <w:rPr>
          <w:rFonts w:ascii="Arial Regular" w:hAnsi="Arial Regular" w:cs="Arial Regular"/>
          <w:sz w:val="20"/>
          <w:szCs w:val="20"/>
        </w:rPr>
        <w:t>Asadi</w:t>
      </w:r>
      <w:proofErr w:type="spellEnd"/>
      <w:r>
        <w:rPr>
          <w:rFonts w:ascii="Arial Regular" w:hAnsi="Arial Regular" w:cs="Arial Regular"/>
          <w:sz w:val="20"/>
          <w:szCs w:val="20"/>
        </w:rPr>
        <w:t xml:space="preserve"> et al., 2017; Arab et al., 2016). </w:t>
      </w:r>
      <w:r>
        <w:rPr>
          <w:rFonts w:ascii="Arial Regular" w:hAnsi="Arial Regular" w:cs="Arial Regular"/>
          <w:sz w:val="20"/>
          <w:szCs w:val="20"/>
        </w:rPr>
        <w:t xml:space="preserve">However, contradictory findings have also been documented, where phytogenic additives produced minimal or inconsistent effects on serum cholesterol, possibly due to variations in plant composition, dosage, and experimental conditions (Hashemi and </w:t>
      </w:r>
      <w:proofErr w:type="spellStart"/>
      <w:r>
        <w:rPr>
          <w:rFonts w:ascii="Arial Regular" w:hAnsi="Arial Regular" w:cs="Arial Regular"/>
          <w:sz w:val="20"/>
          <w:szCs w:val="20"/>
        </w:rPr>
        <w:t>Davoodi</w:t>
      </w:r>
      <w:proofErr w:type="spellEnd"/>
      <w:r>
        <w:rPr>
          <w:rFonts w:ascii="Arial Regular" w:hAnsi="Arial Regular" w:cs="Arial Regular"/>
          <w:sz w:val="20"/>
          <w:szCs w:val="20"/>
        </w:rPr>
        <w:t xml:space="preserve">, </w:t>
      </w:r>
      <w:r>
        <w:rPr>
          <w:rFonts w:ascii="Arial Regular" w:hAnsi="Arial Regular" w:cs="Arial Regular"/>
          <w:sz w:val="20"/>
          <w:szCs w:val="20"/>
        </w:rPr>
        <w:t>2011). The reduction observed in the present study may be associated with bioactive compounds such as menthol, although the exact mechanisms were not directly investigated.</w:t>
      </w:r>
    </w:p>
    <w:p w:rsidR="00F20D7C" w:rsidRDefault="00917F23">
      <w:pPr>
        <w:pStyle w:val="NormalWeb"/>
        <w:jc w:val="both"/>
        <w:rPr>
          <w:rFonts w:ascii="Arial Regular" w:hAnsi="Arial Regular" w:cs="Arial Regular"/>
          <w:sz w:val="20"/>
          <w:szCs w:val="20"/>
        </w:rPr>
      </w:pPr>
      <w:r>
        <w:rPr>
          <w:rFonts w:ascii="Arial Regular" w:hAnsi="Arial Regular" w:cs="Arial Regular"/>
          <w:sz w:val="20"/>
          <w:szCs w:val="20"/>
        </w:rPr>
        <w:t>HDL cholesterol levels showed a significant increase (P &lt; 0.05) among treatments, w</w:t>
      </w:r>
      <w:r>
        <w:rPr>
          <w:rFonts w:ascii="Arial Regular" w:hAnsi="Arial Regular" w:cs="Arial Regular"/>
          <w:sz w:val="20"/>
          <w:szCs w:val="20"/>
        </w:rPr>
        <w:t xml:space="preserve">ith the highest value recorded at 20 g/kg (T5), followed by the 10 g/kg group. This suggests that </w:t>
      </w:r>
      <w:r>
        <w:rPr>
          <w:rFonts w:ascii="Arial Regular" w:hAnsi="Arial Regular" w:cs="Arial Regular"/>
          <w:sz w:val="20"/>
          <w:szCs w:val="20"/>
        </w:rPr>
        <w:lastRenderedPageBreak/>
        <w:t>higher inclusion levels may preferentially influence HDL metabolism, even though they may not optimize other lipid parameters. While increased HDL concentrati</w:t>
      </w:r>
      <w:r>
        <w:rPr>
          <w:rFonts w:ascii="Arial Regular" w:hAnsi="Arial Regular" w:cs="Arial Regular"/>
          <w:sz w:val="20"/>
          <w:szCs w:val="20"/>
        </w:rPr>
        <w:t>ons with phytogenic supplementation have been reported in some studies (Arab et al., 2016), other reports have indicated negligible or inconsistent responses, suggesting that HDL modulation is highly dependent on dietary composition and experimental condit</w:t>
      </w:r>
      <w:r>
        <w:rPr>
          <w:rFonts w:ascii="Arial Regular" w:hAnsi="Arial Regular" w:cs="Arial Regular"/>
          <w:sz w:val="20"/>
          <w:szCs w:val="20"/>
        </w:rPr>
        <w:t>ions. Therefore, the increase in HDL observed in the present study should be interpreted in conjunction with other lipid parameters rather than as an isolated indicator of metabolic improvement.</w:t>
      </w:r>
      <w:r>
        <w:rPr>
          <w:rFonts w:ascii="Arial Regular" w:hAnsi="Arial Regular" w:cs="Arial Regular"/>
          <w:sz w:val="20"/>
          <w:szCs w:val="20"/>
        </w:rPr>
        <w:t xml:space="preserve"> </w:t>
      </w:r>
      <w:r>
        <w:rPr>
          <w:rFonts w:ascii="Arial Regular" w:hAnsi="Arial Regular" w:cs="Arial Regular"/>
          <w:sz w:val="20"/>
          <w:szCs w:val="20"/>
        </w:rPr>
        <w:t>A significant reduction (P &lt; 0.05) in LDL cholesterol was obs</w:t>
      </w:r>
      <w:r>
        <w:rPr>
          <w:rFonts w:ascii="Arial Regular" w:hAnsi="Arial Regular" w:cs="Arial Regular"/>
          <w:sz w:val="20"/>
          <w:szCs w:val="20"/>
        </w:rPr>
        <w:t>erved in all peppermint-treated groups compared to the control, with the lowest value recorded at 10 g/kg inclusion level. However, no significant differences were detected among the supplemented groups, indicating that even lower inclusion levels may be s</w:t>
      </w:r>
      <w:r>
        <w:rPr>
          <w:rFonts w:ascii="Arial Regular" w:hAnsi="Arial Regular" w:cs="Arial Regular"/>
          <w:sz w:val="20"/>
          <w:szCs w:val="20"/>
        </w:rPr>
        <w:t>ufficient to achieve reductions in LDL cholesterol. These findings are consistent with previous reports on phytogenic feed additives (</w:t>
      </w:r>
      <w:proofErr w:type="spellStart"/>
      <w:r>
        <w:rPr>
          <w:rFonts w:ascii="Arial Regular" w:hAnsi="Arial Regular" w:cs="Arial Regular"/>
          <w:sz w:val="20"/>
          <w:szCs w:val="20"/>
        </w:rPr>
        <w:t>Windisch</w:t>
      </w:r>
      <w:proofErr w:type="spellEnd"/>
      <w:r>
        <w:rPr>
          <w:rFonts w:ascii="Arial Regular" w:hAnsi="Arial Regular" w:cs="Arial Regular"/>
          <w:sz w:val="20"/>
          <w:szCs w:val="20"/>
        </w:rPr>
        <w:t xml:space="preserve"> et al., 2008), although contradictory results have also been reported in the literature, where no significant cha</w:t>
      </w:r>
      <w:r>
        <w:rPr>
          <w:rFonts w:ascii="Arial Regular" w:hAnsi="Arial Regular" w:cs="Arial Regular"/>
          <w:sz w:val="20"/>
          <w:szCs w:val="20"/>
        </w:rPr>
        <w:t>nges in LDL levels were observed under certain experimental conditions. Such variability may be attributed to differences in the concentration and bioavailability of active compounds.</w:t>
      </w:r>
    </w:p>
    <w:p w:rsidR="00F20D7C" w:rsidRDefault="00917F23">
      <w:pPr>
        <w:jc w:val="both"/>
        <w:rPr>
          <w:rFonts w:ascii="Arial Regular" w:hAnsi="Arial Regular" w:cs="Arial Regular"/>
        </w:rPr>
      </w:pPr>
      <w:r>
        <w:rPr>
          <w:rFonts w:ascii="Arial Regular" w:hAnsi="Arial Regular" w:cs="Arial Regular"/>
        </w:rPr>
        <w:t xml:space="preserve">Serum triglyceride concentrations were also significantly influenced (P </w:t>
      </w:r>
      <w:r>
        <w:rPr>
          <w:rFonts w:ascii="Arial Regular" w:hAnsi="Arial Regular" w:cs="Arial Regular"/>
        </w:rPr>
        <w:t>&lt; 0.05) by dietary treatments, with the lowest value observed at 10 g/kg supplementation (T3: 94.21 mg/dl). Moderate inclusion levels (5 and 10 g/kg) significantly reduced triglyceride levels, whereas the highest inclusion level (20 g/kg; T5) did not produ</w:t>
      </w:r>
      <w:r>
        <w:rPr>
          <w:rFonts w:ascii="Arial Regular" w:hAnsi="Arial Regular" w:cs="Arial Regular"/>
        </w:rPr>
        <w:t xml:space="preserve">ce further improvement and showed values comparable to the control group. This plateau or slight reversal at higher inclusion levels further supports a non-linear response pattern and highlights the importance of dose optimization. The reduced efficacy at </w:t>
      </w:r>
      <w:r>
        <w:rPr>
          <w:rFonts w:ascii="Arial Regular" w:hAnsi="Arial Regular" w:cs="Arial Regular"/>
        </w:rPr>
        <w:t>higher inclusion levels may be due to decreased feed intake, metabolic burden associated with excessive phytogenic compounds, or physiological adaptation that limits lipid-lowering effects at elevated doses. Previous studies have reported reductions in tri</w:t>
      </w:r>
      <w:r>
        <w:rPr>
          <w:rFonts w:ascii="Arial Regular" w:hAnsi="Arial Regular" w:cs="Arial Regular"/>
        </w:rPr>
        <w:t>glycerides following peppermint supplementation (</w:t>
      </w:r>
      <w:proofErr w:type="spellStart"/>
      <w:r>
        <w:rPr>
          <w:rFonts w:ascii="Arial Regular" w:hAnsi="Arial Regular" w:cs="Arial Regular"/>
        </w:rPr>
        <w:t>Asadi</w:t>
      </w:r>
      <w:proofErr w:type="spellEnd"/>
      <w:r>
        <w:rPr>
          <w:rFonts w:ascii="Arial Regular" w:hAnsi="Arial Regular" w:cs="Arial Regular"/>
        </w:rPr>
        <w:t xml:space="preserve"> et al., 2017); however, inconsistent responses have also been documented, emphasizing the influence of experimental conditions and dietary interactions.</w:t>
      </w:r>
      <w:r>
        <w:rPr>
          <w:rFonts w:ascii="Arial Regular" w:hAnsi="Arial Regular" w:cs="Arial Regular"/>
        </w:rPr>
        <w:t xml:space="preserve"> </w:t>
      </w:r>
      <w:r>
        <w:rPr>
          <w:rFonts w:ascii="Arial Regular" w:eastAsia="SimSun" w:hAnsi="Arial Regular" w:cs="Arial Regular"/>
          <w:lang w:eastAsia="zh-CN" w:bidi="ar"/>
        </w:rPr>
        <w:t>Recent evidence suggests that bioactive lipid co</w:t>
      </w:r>
      <w:r>
        <w:rPr>
          <w:rFonts w:ascii="Arial Regular" w:eastAsia="SimSun" w:hAnsi="Arial Regular" w:cs="Arial Regular"/>
          <w:lang w:eastAsia="zh-CN" w:bidi="ar"/>
        </w:rPr>
        <w:t>mpounds derived from phytogenic sources can significantly improve serum biochemical parameters in broilers. Abdel-</w:t>
      </w:r>
      <w:proofErr w:type="spellStart"/>
      <w:r>
        <w:rPr>
          <w:rFonts w:ascii="Arial Regular" w:eastAsia="SimSun" w:hAnsi="Arial Regular" w:cs="Arial Regular"/>
          <w:lang w:eastAsia="zh-CN" w:bidi="ar"/>
        </w:rPr>
        <w:t>Wareth</w:t>
      </w:r>
      <w:proofErr w:type="spellEnd"/>
      <w:r>
        <w:rPr>
          <w:rFonts w:ascii="Arial Regular" w:eastAsia="SimSun" w:hAnsi="Arial Regular" w:cs="Arial Regular"/>
          <w:lang w:eastAsia="zh-CN" w:bidi="ar"/>
        </w:rPr>
        <w:t xml:space="preserve"> and </w:t>
      </w:r>
      <w:proofErr w:type="spellStart"/>
      <w:r>
        <w:rPr>
          <w:rFonts w:ascii="Arial Regular" w:eastAsia="SimSun" w:hAnsi="Arial Regular" w:cs="Arial Regular"/>
          <w:lang w:eastAsia="zh-CN" w:bidi="ar"/>
        </w:rPr>
        <w:t>Lohakare</w:t>
      </w:r>
      <w:proofErr w:type="spellEnd"/>
      <w:r>
        <w:rPr>
          <w:rFonts w:ascii="Arial Regular" w:eastAsia="SimSun" w:hAnsi="Arial Regular" w:cs="Arial Regular"/>
          <w:lang w:eastAsia="zh-CN" w:bidi="ar"/>
        </w:rPr>
        <w:t xml:space="preserve"> (2023) reported that supplementation of bioactive lipid compounds resulted in a significant (p &lt; 0.05) reduction in serum </w:t>
      </w:r>
      <w:r>
        <w:rPr>
          <w:rFonts w:ascii="Arial Regular" w:eastAsia="SimSun" w:hAnsi="Arial Regular" w:cs="Arial Regular"/>
          <w:lang w:eastAsia="zh-CN" w:bidi="ar"/>
        </w:rPr>
        <w:t xml:space="preserve">cholesterol and triglyceride levels compared to the control </w:t>
      </w:r>
      <w:proofErr w:type="spellStart"/>
      <w:r>
        <w:rPr>
          <w:rFonts w:ascii="Arial Regular" w:eastAsia="SimSun" w:hAnsi="Arial Regular" w:cs="Arial Regular"/>
          <w:lang w:eastAsia="zh-CN" w:bidi="ar"/>
        </w:rPr>
        <w:t>group.The</w:t>
      </w:r>
      <w:proofErr w:type="spellEnd"/>
      <w:r>
        <w:rPr>
          <w:rFonts w:ascii="Arial Regular" w:eastAsia="SimSun" w:hAnsi="Arial Regular" w:cs="Arial Regular"/>
          <w:lang w:eastAsia="zh-CN" w:bidi="ar"/>
        </w:rPr>
        <w:t xml:space="preserve"> present findings are further supported by recent work of </w:t>
      </w:r>
      <w:proofErr w:type="spellStart"/>
      <w:r>
        <w:rPr>
          <w:rFonts w:ascii="Arial Regular" w:eastAsia="SimSun" w:hAnsi="Arial Regular" w:cs="Arial Regular"/>
          <w:lang w:eastAsia="zh-CN" w:bidi="ar"/>
        </w:rPr>
        <w:t>Alkassar</w:t>
      </w:r>
      <w:proofErr w:type="spellEnd"/>
      <w:r>
        <w:rPr>
          <w:rFonts w:ascii="Arial Regular" w:eastAsia="SimSun" w:hAnsi="Arial Regular" w:cs="Arial Regular"/>
          <w:lang w:eastAsia="zh-CN" w:bidi="ar"/>
        </w:rPr>
        <w:t xml:space="preserve"> et al. (2025), who reported that peppermint supplementation significantly (p ≤ 0.05) improved lipid profile parameters i</w:t>
      </w:r>
      <w:r>
        <w:rPr>
          <w:rFonts w:ascii="Arial Regular" w:eastAsia="SimSun" w:hAnsi="Arial Regular" w:cs="Arial Regular"/>
          <w:lang w:eastAsia="zh-CN" w:bidi="ar"/>
        </w:rPr>
        <w:t xml:space="preserve">n broilers, including reductions in serum cholesterol and triglycerides along with a concomitant increase in HDL levels. </w:t>
      </w:r>
      <w:r>
        <w:rPr>
          <w:rFonts w:ascii="Arial Regular" w:hAnsi="Arial Regular" w:cs="Arial Regular"/>
        </w:rPr>
        <w:t xml:space="preserve">Overall, the present findings demonstrate that peppermint supplementation modulates serum lipid profile parameters, with the most </w:t>
      </w:r>
      <w:r>
        <w:rPr>
          <w:rFonts w:ascii="Arial Regular" w:hAnsi="Arial Regular" w:cs="Arial Regular"/>
        </w:rPr>
        <w:t>consistent improvements observed at 10 g/kg inclusion level. The response pattern across treatments clearly indicates an optimal dose rather than a linear dose-response relationship. Importantly, the comparatively less favorable lipid profile observed at t</w:t>
      </w:r>
      <w:r>
        <w:rPr>
          <w:rFonts w:ascii="Arial Regular" w:hAnsi="Arial Regular" w:cs="Arial Regular"/>
        </w:rPr>
        <w:t xml:space="preserve">he highest inclusion level (20 g/kg) suggests the possibility of plateau or negative effects at excessive doses. These findings underscore the importance of dose optimization in phytogenic feed additive research. The hypolipidemic effects observed in this </w:t>
      </w:r>
      <w:r>
        <w:rPr>
          <w:rFonts w:ascii="Arial Regular" w:hAnsi="Arial Regular" w:cs="Arial Regular"/>
        </w:rPr>
        <w:t>study may be associated with bioactive compounds such as menthol and phenolic constituents; however, these mechanisms remain speculative and require further investigation. Additionally, variations reported across studies highlight the need to consider fact</w:t>
      </w:r>
      <w:r>
        <w:rPr>
          <w:rFonts w:ascii="Arial Regular" w:hAnsi="Arial Regular" w:cs="Arial Regular"/>
        </w:rPr>
        <w:t>ors such as plant source, environmental conditions, and dietary interactions when interpreting the effects of phytogenic additives.</w:t>
      </w:r>
    </w:p>
    <w:p w:rsidR="00F20D7C" w:rsidRDefault="00F20D7C">
      <w:pPr>
        <w:pStyle w:val="Body"/>
        <w:spacing w:after="0"/>
        <w:rPr>
          <w:rFonts w:ascii="Arial" w:hAnsi="Arial" w:cs="Arial"/>
        </w:rPr>
      </w:pPr>
    </w:p>
    <w:p w:rsidR="00F20D7C" w:rsidRDefault="00917F23">
      <w:pPr>
        <w:tabs>
          <w:tab w:val="left" w:pos="1080"/>
        </w:tabs>
        <w:jc w:val="both"/>
        <w:rPr>
          <w:rFonts w:ascii="Arial" w:hAnsi="Arial"/>
          <w:b/>
        </w:rPr>
      </w:pPr>
      <w:r>
        <w:rPr>
          <w:rFonts w:ascii="Arial" w:hAnsi="Arial"/>
          <w:b/>
        </w:rPr>
        <w:t>Table 1. Effect of graded levels of peppermint powder supplementation on serum lipid profile parameters of broiler chickens</w:t>
      </w:r>
    </w:p>
    <w:p w:rsidR="00F20D7C" w:rsidRDefault="00F20D7C">
      <w:pPr>
        <w:tabs>
          <w:tab w:val="left" w:pos="1080"/>
        </w:tabs>
        <w:jc w:val="both"/>
        <w:rPr>
          <w:rFonts w:ascii="Arial" w:hAnsi="Arial"/>
          <w:b/>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194"/>
        <w:gridCol w:w="1830"/>
        <w:gridCol w:w="1796"/>
        <w:gridCol w:w="1784"/>
        <w:gridCol w:w="1714"/>
      </w:tblGrid>
      <w:tr w:rsidR="00F20D7C">
        <w:trPr>
          <w:tblHeader/>
          <w:tblCellSpacing w:w="15" w:type="dxa"/>
          <w:jc w:val="center"/>
        </w:trPr>
        <w:tc>
          <w:tcPr>
            <w:tcW w:w="0" w:type="auto"/>
            <w:tcBorders>
              <w:top w:val="single" w:sz="4" w:space="0" w:color="000000"/>
              <w:left w:val="single" w:sz="4" w:space="0" w:color="000000"/>
              <w:bottom w:val="single" w:sz="4" w:space="0" w:color="000000"/>
              <w:right w:val="single" w:sz="4" w:space="0" w:color="000000"/>
              <w:tl2br w:val="nil"/>
            </w:tcBorders>
            <w:shd w:val="clear" w:color="auto" w:fill="FFFFFF"/>
            <w:vAlign w:val="center"/>
          </w:tcPr>
          <w:p w:rsidR="00F20D7C" w:rsidRDefault="00917F23">
            <w:pPr>
              <w:jc w:val="center"/>
              <w:rPr>
                <w:rFonts w:ascii="Arial Bold" w:hAnsi="Arial Bold" w:cs="Arial Bold"/>
                <w:b/>
                <w:color w:val="000000"/>
              </w:rPr>
            </w:pPr>
            <w:r>
              <w:rPr>
                <w:rFonts w:ascii="Arial Bold" w:eastAsia="SimSun" w:hAnsi="Arial Bold" w:cs="Arial Bold"/>
                <w:b/>
                <w:color w:val="000000"/>
                <w:lang w:eastAsia="zh-CN" w:bidi="ar"/>
              </w:rPr>
              <w:lastRenderedPageBreak/>
              <w:t>Treatments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Regular" w:hAnsi="Arial Regular" w:cs="Arial Regular"/>
                <w:b/>
                <w:color w:val="000000"/>
              </w:rPr>
            </w:pPr>
            <w:r>
              <w:rPr>
                <w:rFonts w:ascii="Arial Regular" w:eastAsia="SimSun" w:hAnsi="Arial Regular" w:cs="Arial Regular"/>
                <w:b/>
                <w:color w:val="000000"/>
                <w:lang w:eastAsia="zh-CN" w:bidi="ar"/>
              </w:rPr>
              <w:t>Total Cholesterol (mg/dl)</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Regular" w:hAnsi="Arial Regular" w:cs="Arial Regular"/>
                <w:b/>
                <w:color w:val="000000"/>
              </w:rPr>
            </w:pPr>
            <w:r>
              <w:rPr>
                <w:rFonts w:ascii="Arial Regular" w:eastAsia="SimSun" w:hAnsi="Arial Regular" w:cs="Arial Regular"/>
                <w:b/>
                <w:color w:val="000000"/>
                <w:lang w:eastAsia="zh-CN" w:bidi="ar"/>
              </w:rPr>
              <w:t>HDL Cholesterol (mg/dl)</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Regular" w:hAnsi="Arial Regular" w:cs="Arial Regular"/>
                <w:b/>
                <w:color w:val="000000"/>
              </w:rPr>
            </w:pPr>
            <w:r>
              <w:rPr>
                <w:rFonts w:ascii="Arial Regular" w:eastAsia="SimSun" w:hAnsi="Arial Regular" w:cs="Arial Regular"/>
                <w:b/>
                <w:color w:val="000000"/>
                <w:lang w:eastAsia="zh-CN" w:bidi="ar"/>
              </w:rPr>
              <w:t>LDL Cholesterol (mg/dl)</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Regular" w:hAnsi="Arial Regular" w:cs="Arial Regular"/>
                <w:b/>
                <w:color w:val="000000"/>
              </w:rPr>
            </w:pPr>
            <w:r>
              <w:rPr>
                <w:rFonts w:ascii="Arial Regular" w:eastAsia="SimSun" w:hAnsi="Arial Regular" w:cs="Arial Regular"/>
                <w:b/>
                <w:color w:val="000000"/>
                <w:lang w:eastAsia="zh-CN" w:bidi="ar"/>
              </w:rPr>
              <w:t>Triglycerides (mg/dl)</w:t>
            </w:r>
          </w:p>
        </w:tc>
      </w:tr>
      <w:tr w:rsidR="00F20D7C">
        <w:trPr>
          <w:tblCellSpacing w:w="15" w:type="dxa"/>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Bold" w:hAnsi="Arial Bold" w:cs="Arial Bold"/>
                <w:b/>
                <w:color w:val="000000"/>
              </w:rPr>
            </w:pPr>
            <w:r>
              <w:rPr>
                <w:rFonts w:ascii="Arial Bold" w:eastAsia="SimSun" w:hAnsi="Arial Bold" w:cs="Arial Bold"/>
                <w:b/>
                <w:color w:val="000000"/>
                <w:lang w:eastAsia="zh-CN" w:bidi="ar"/>
              </w:rPr>
              <w:t>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Regular" w:hAnsi="Arial Regular" w:cs="Arial Regular"/>
                <w:color w:val="000000"/>
              </w:rPr>
            </w:pPr>
            <w:r>
              <w:rPr>
                <w:rFonts w:ascii="Arial Regular" w:eastAsia="SimSun" w:hAnsi="Arial Regular" w:cs="Arial Regular"/>
                <w:color w:val="000000"/>
                <w:lang w:eastAsia="zh-CN" w:bidi="ar"/>
              </w:rPr>
              <w:t>177.02</w:t>
            </w:r>
            <w:r>
              <w:rPr>
                <w:rFonts w:ascii="Arial Regular" w:eastAsia="SimSun" w:hAnsi="Arial Regular" w:cs="Arial Regular"/>
                <w:color w:val="000000"/>
                <w:lang w:eastAsia="zh-CN" w:bidi="ar"/>
              </w:rPr>
              <w:t>ᵃ</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Regular" w:hAnsi="Arial Regular" w:cs="Arial Regular"/>
                <w:color w:val="000000"/>
              </w:rPr>
            </w:pPr>
            <w:r>
              <w:rPr>
                <w:rFonts w:ascii="Arial Regular" w:eastAsia="SimSun" w:hAnsi="Arial Regular" w:cs="Arial Regular"/>
                <w:color w:val="000000"/>
                <w:lang w:eastAsia="zh-CN" w:bidi="ar"/>
              </w:rPr>
              <w:t>39.25</w:t>
            </w:r>
            <w:r>
              <w:rPr>
                <w:rFonts w:ascii="Arial Regular" w:eastAsia="SimSun" w:hAnsi="Arial Regular" w:cs="Arial Regular"/>
                <w:color w:val="000000"/>
                <w:lang w:eastAsia="zh-CN" w:bidi="ar"/>
              </w:rPr>
              <w:t>ᵃ</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Regular" w:hAnsi="Arial Regular" w:cs="Arial Regular"/>
                <w:color w:val="000000"/>
              </w:rPr>
            </w:pPr>
            <w:r>
              <w:rPr>
                <w:rFonts w:ascii="Arial Regular" w:eastAsia="SimSun" w:hAnsi="Arial Regular" w:cs="Arial Regular"/>
                <w:color w:val="000000"/>
                <w:lang w:eastAsia="zh-CN" w:bidi="ar"/>
              </w:rPr>
              <w:t>112.74</w:t>
            </w:r>
            <w:r>
              <w:rPr>
                <w:rFonts w:ascii="Arial Regular" w:eastAsia="SimSun" w:hAnsi="Arial Regular" w:cs="Arial Regular"/>
                <w:color w:val="000000"/>
                <w:lang w:eastAsia="zh-CN" w:bidi="ar"/>
              </w:rPr>
              <w:t>ᵃ</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Regular" w:hAnsi="Arial Regular" w:cs="Arial Regular"/>
                <w:color w:val="000000"/>
              </w:rPr>
            </w:pPr>
            <w:r>
              <w:rPr>
                <w:rFonts w:ascii="Arial Regular" w:eastAsia="SimSun" w:hAnsi="Arial Regular" w:cs="Arial Regular"/>
                <w:color w:val="000000"/>
                <w:lang w:eastAsia="zh-CN" w:bidi="ar"/>
              </w:rPr>
              <w:t>135.23</w:t>
            </w:r>
            <w:r>
              <w:rPr>
                <w:rFonts w:ascii="Arial Regular" w:eastAsia="SimSun" w:hAnsi="Arial Regular" w:cs="Arial Regular"/>
                <w:color w:val="000000"/>
                <w:lang w:eastAsia="zh-CN" w:bidi="ar"/>
              </w:rPr>
              <w:t>ᵃ</w:t>
            </w:r>
          </w:p>
        </w:tc>
      </w:tr>
      <w:tr w:rsidR="00F20D7C">
        <w:trPr>
          <w:tblCellSpacing w:w="15" w:type="dxa"/>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Bold" w:hAnsi="Arial Bold" w:cs="Arial Bold"/>
                <w:b/>
                <w:color w:val="000000"/>
              </w:rPr>
            </w:pPr>
            <w:r>
              <w:rPr>
                <w:rFonts w:ascii="Arial Bold" w:eastAsia="SimSun" w:hAnsi="Arial Bold" w:cs="Arial Bold"/>
                <w:b/>
                <w:color w:val="000000"/>
                <w:lang w:eastAsia="zh-CN" w:bidi="ar"/>
              </w:rPr>
              <w:t>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Regular" w:hAnsi="Arial Regular" w:cs="Arial Regular"/>
                <w:color w:val="000000"/>
              </w:rPr>
            </w:pPr>
            <w:r>
              <w:rPr>
                <w:rFonts w:ascii="Arial Regular" w:eastAsia="SimSun" w:hAnsi="Arial Regular" w:cs="Arial Regular"/>
                <w:color w:val="000000"/>
                <w:lang w:eastAsia="zh-CN" w:bidi="ar"/>
              </w:rPr>
              <w:t>148.73</w:t>
            </w:r>
            <w:r>
              <w:rPr>
                <w:rFonts w:ascii="Arial Regular" w:eastAsia="SimSun" w:hAnsi="Arial Regular" w:cs="Arial Regular"/>
                <w:color w:val="000000"/>
                <w:lang w:eastAsia="zh-CN" w:bidi="ar"/>
              </w:rPr>
              <w:t>ᵇ</w:t>
            </w:r>
            <w:r>
              <w:rPr>
                <w:rFonts w:ascii="Arial Regular" w:eastAsia="SimSun" w:hAnsi="Arial Regular" w:cs="Arial Regular"/>
                <w:color w:val="000000"/>
                <w:lang w:eastAsia="zh-CN" w:bidi="ar"/>
              </w:rPr>
              <w:t>ᶜ</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Regular" w:hAnsi="Arial Regular" w:cs="Arial Regular"/>
                <w:color w:val="000000"/>
              </w:rPr>
            </w:pPr>
            <w:r>
              <w:rPr>
                <w:rFonts w:ascii="Arial Regular" w:eastAsia="SimSun" w:hAnsi="Arial Regular" w:cs="Arial Regular"/>
                <w:color w:val="000000"/>
                <w:lang w:eastAsia="zh-CN" w:bidi="ar"/>
              </w:rPr>
              <w:t>39.36</w:t>
            </w:r>
            <w:r>
              <w:rPr>
                <w:rFonts w:ascii="Arial Regular" w:eastAsia="SimSun" w:hAnsi="Arial Regular" w:cs="Arial Regular"/>
                <w:color w:val="000000"/>
                <w:lang w:eastAsia="zh-CN" w:bidi="ar"/>
              </w:rPr>
              <w:t>ᵃ</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Regular" w:hAnsi="Arial Regular" w:cs="Arial Regular"/>
                <w:color w:val="000000"/>
              </w:rPr>
            </w:pPr>
            <w:r>
              <w:rPr>
                <w:rFonts w:ascii="Arial Regular" w:eastAsia="SimSun" w:hAnsi="Arial Regular" w:cs="Arial Regular"/>
                <w:color w:val="000000"/>
                <w:lang w:eastAsia="zh-CN" w:bidi="ar"/>
              </w:rPr>
              <w:t>84.85</w:t>
            </w:r>
            <w:r>
              <w:rPr>
                <w:rFonts w:ascii="Arial Regular" w:eastAsia="SimSun" w:hAnsi="Arial Regular" w:cs="Arial Regular"/>
                <w:color w:val="000000"/>
                <w:lang w:eastAsia="zh-CN" w:bidi="ar"/>
              </w:rPr>
              <w:t>ᵇ</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Regular" w:hAnsi="Arial Regular" w:cs="Arial Regular"/>
                <w:color w:val="000000"/>
              </w:rPr>
            </w:pPr>
            <w:r>
              <w:rPr>
                <w:rFonts w:ascii="Arial Regular" w:eastAsia="SimSun" w:hAnsi="Arial Regular" w:cs="Arial Regular"/>
                <w:color w:val="000000"/>
                <w:lang w:eastAsia="zh-CN" w:bidi="ar"/>
              </w:rPr>
              <w:t>103.60</w:t>
            </w:r>
            <w:r>
              <w:rPr>
                <w:rFonts w:ascii="Arial Regular" w:eastAsia="SimSun" w:hAnsi="Arial Regular" w:cs="Arial Regular"/>
                <w:color w:val="000000"/>
                <w:lang w:eastAsia="zh-CN" w:bidi="ar"/>
              </w:rPr>
              <w:t>ᵇ</w:t>
            </w:r>
            <w:r>
              <w:rPr>
                <w:rFonts w:ascii="Arial Regular" w:eastAsia="SimSun" w:hAnsi="Arial Regular" w:cs="Arial Regular"/>
                <w:color w:val="000000"/>
                <w:lang w:eastAsia="zh-CN" w:bidi="ar"/>
              </w:rPr>
              <w:t>ᶜ</w:t>
            </w:r>
          </w:p>
        </w:tc>
      </w:tr>
      <w:tr w:rsidR="00F20D7C">
        <w:trPr>
          <w:tblCellSpacing w:w="15" w:type="dxa"/>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Bold" w:hAnsi="Arial Bold" w:cs="Arial Bold"/>
                <w:b/>
                <w:color w:val="000000"/>
              </w:rPr>
            </w:pPr>
            <w:r>
              <w:rPr>
                <w:rFonts w:ascii="Arial Bold" w:eastAsia="SimSun" w:hAnsi="Arial Bold" w:cs="Arial Bold"/>
                <w:b/>
                <w:color w:val="000000"/>
                <w:lang w:eastAsia="zh-CN" w:bidi="ar"/>
              </w:rPr>
              <w:t>T3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Regular" w:hAnsi="Arial Regular" w:cs="Arial Regular"/>
                <w:color w:val="000000"/>
              </w:rPr>
            </w:pPr>
            <w:r>
              <w:rPr>
                <w:rFonts w:ascii="Arial Regular" w:eastAsia="SimSun" w:hAnsi="Arial Regular" w:cs="Arial Regular"/>
                <w:color w:val="000000"/>
                <w:lang w:eastAsia="zh-CN" w:bidi="ar"/>
              </w:rPr>
              <w:t>143.87</w:t>
            </w:r>
            <w:r>
              <w:rPr>
                <w:rFonts w:ascii="Arial Regular" w:eastAsia="SimSun" w:hAnsi="Arial Regular" w:cs="Arial Regular"/>
                <w:color w:val="000000"/>
                <w:lang w:eastAsia="zh-CN" w:bidi="ar"/>
              </w:rPr>
              <w:t>ᶜ</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Regular" w:hAnsi="Arial Regular" w:cs="Arial Regular"/>
                <w:color w:val="000000"/>
              </w:rPr>
            </w:pPr>
            <w:r>
              <w:rPr>
                <w:rFonts w:ascii="Arial Regular" w:eastAsia="SimSun" w:hAnsi="Arial Regular" w:cs="Arial Regular"/>
                <w:color w:val="000000"/>
                <w:lang w:eastAsia="zh-CN" w:bidi="ar"/>
              </w:rPr>
              <w:t>42.39</w:t>
            </w:r>
            <w:r>
              <w:rPr>
                <w:rFonts w:ascii="Arial Regular" w:eastAsia="SimSun" w:hAnsi="Arial Regular" w:cs="Arial Regular"/>
                <w:color w:val="000000"/>
                <w:lang w:eastAsia="zh-CN" w:bidi="ar"/>
              </w:rPr>
              <w:t>ᵇ</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Regular" w:hAnsi="Arial Regular" w:cs="Arial Regular"/>
                <w:color w:val="000000"/>
              </w:rPr>
            </w:pPr>
            <w:r>
              <w:rPr>
                <w:rFonts w:ascii="Arial Regular" w:eastAsia="SimSun" w:hAnsi="Arial Regular" w:cs="Arial Regular"/>
                <w:color w:val="000000"/>
                <w:lang w:eastAsia="zh-CN" w:bidi="ar"/>
              </w:rPr>
              <w:t>83.79</w:t>
            </w:r>
            <w:r>
              <w:rPr>
                <w:rFonts w:ascii="Arial Regular" w:eastAsia="SimSun" w:hAnsi="Arial Regular" w:cs="Arial Regular"/>
                <w:color w:val="000000"/>
                <w:lang w:eastAsia="zh-CN" w:bidi="ar"/>
              </w:rPr>
              <w:t>ᵇ</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Regular" w:hAnsi="Arial Regular" w:cs="Arial Regular"/>
                <w:color w:val="000000"/>
              </w:rPr>
            </w:pPr>
            <w:r>
              <w:rPr>
                <w:rFonts w:ascii="Arial Regular" w:eastAsia="SimSun" w:hAnsi="Arial Regular" w:cs="Arial Regular"/>
                <w:color w:val="000000"/>
                <w:lang w:eastAsia="zh-CN" w:bidi="ar"/>
              </w:rPr>
              <w:t>94.21</w:t>
            </w:r>
            <w:r>
              <w:rPr>
                <w:rFonts w:ascii="Arial Regular" w:eastAsia="SimSun" w:hAnsi="Arial Regular" w:cs="Arial Regular"/>
                <w:color w:val="000000"/>
                <w:lang w:eastAsia="zh-CN" w:bidi="ar"/>
              </w:rPr>
              <w:t>ᶜ</w:t>
            </w:r>
          </w:p>
        </w:tc>
      </w:tr>
      <w:tr w:rsidR="00F20D7C">
        <w:trPr>
          <w:tblCellSpacing w:w="15" w:type="dxa"/>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Bold" w:hAnsi="Arial Bold" w:cs="Arial Bold"/>
                <w:b/>
                <w:color w:val="000000"/>
              </w:rPr>
            </w:pPr>
            <w:r>
              <w:rPr>
                <w:rFonts w:ascii="Arial Bold" w:eastAsia="SimSun" w:hAnsi="Arial Bold" w:cs="Arial Bold"/>
                <w:b/>
                <w:color w:val="000000"/>
                <w:lang w:eastAsia="zh-CN" w:bidi="ar"/>
              </w:rPr>
              <w:t>T4</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Regular" w:hAnsi="Arial Regular" w:cs="Arial Regular"/>
                <w:color w:val="000000"/>
              </w:rPr>
            </w:pPr>
            <w:r>
              <w:rPr>
                <w:rFonts w:ascii="Arial Regular" w:eastAsia="SimSun" w:hAnsi="Arial Regular" w:cs="Arial Regular"/>
                <w:color w:val="000000"/>
                <w:lang w:eastAsia="zh-CN" w:bidi="ar"/>
              </w:rPr>
              <w:t>153.21</w:t>
            </w:r>
            <w:r>
              <w:rPr>
                <w:rFonts w:ascii="Arial Regular" w:eastAsia="SimSun" w:hAnsi="Arial Regular" w:cs="Arial Regular"/>
                <w:color w:val="000000"/>
                <w:lang w:eastAsia="zh-CN" w:bidi="ar"/>
              </w:rPr>
              <w:t>ᵇ</w:t>
            </w:r>
            <w:r>
              <w:rPr>
                <w:rFonts w:ascii="Arial Regular" w:eastAsia="SimSun" w:hAnsi="Arial Regular" w:cs="Arial Regular"/>
                <w:color w:val="000000"/>
                <w:lang w:eastAsia="zh-CN" w:bidi="ar"/>
              </w:rPr>
              <w:t>ᶜ</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Regular" w:hAnsi="Arial Regular" w:cs="Arial Regular"/>
                <w:color w:val="000000"/>
              </w:rPr>
            </w:pPr>
            <w:r>
              <w:rPr>
                <w:rFonts w:ascii="Arial Regular" w:eastAsia="SimSun" w:hAnsi="Arial Regular" w:cs="Arial Regular"/>
                <w:color w:val="000000"/>
                <w:lang w:eastAsia="zh-CN" w:bidi="ar"/>
              </w:rPr>
              <w:t>40.05</w:t>
            </w:r>
            <w:r>
              <w:rPr>
                <w:rFonts w:ascii="Arial Regular" w:eastAsia="SimSun" w:hAnsi="Arial Regular" w:cs="Arial Regular"/>
                <w:color w:val="000000"/>
                <w:lang w:eastAsia="zh-CN" w:bidi="ar"/>
              </w:rPr>
              <w:t>ᵃ</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Regular" w:hAnsi="Arial Regular" w:cs="Arial Regular"/>
                <w:color w:val="000000"/>
              </w:rPr>
            </w:pPr>
            <w:r>
              <w:rPr>
                <w:rFonts w:ascii="Arial Regular" w:eastAsia="SimSun" w:hAnsi="Arial Regular" w:cs="Arial Regular"/>
                <w:color w:val="000000"/>
                <w:lang w:eastAsia="zh-CN" w:bidi="ar"/>
              </w:rPr>
              <w:t>94.32</w:t>
            </w:r>
            <w:r>
              <w:rPr>
                <w:rFonts w:ascii="Arial Regular" w:eastAsia="SimSun" w:hAnsi="Arial Regular" w:cs="Arial Regular"/>
                <w:color w:val="000000"/>
                <w:lang w:eastAsia="zh-CN" w:bidi="ar"/>
              </w:rPr>
              <w:t>ᵇ</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Regular" w:hAnsi="Arial Regular" w:cs="Arial Regular"/>
                <w:color w:val="000000"/>
              </w:rPr>
            </w:pPr>
            <w:r>
              <w:rPr>
                <w:rFonts w:ascii="Arial Regular" w:eastAsia="SimSun" w:hAnsi="Arial Regular" w:cs="Arial Regular"/>
                <w:color w:val="000000"/>
                <w:lang w:eastAsia="zh-CN" w:bidi="ar"/>
              </w:rPr>
              <w:t>109.52</w:t>
            </w:r>
            <w:r>
              <w:rPr>
                <w:rFonts w:ascii="Arial Regular" w:eastAsia="SimSun" w:hAnsi="Arial Regular" w:cs="Arial Regular"/>
                <w:color w:val="000000"/>
                <w:lang w:eastAsia="zh-CN" w:bidi="ar"/>
              </w:rPr>
              <w:t>ᵇ</w:t>
            </w:r>
          </w:p>
        </w:tc>
      </w:tr>
      <w:tr w:rsidR="00F20D7C">
        <w:trPr>
          <w:tblCellSpacing w:w="15" w:type="dxa"/>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Bold" w:hAnsi="Arial Bold" w:cs="Arial Bold"/>
                <w:b/>
                <w:color w:val="000000"/>
              </w:rPr>
            </w:pPr>
            <w:r>
              <w:rPr>
                <w:rFonts w:ascii="Arial Bold" w:eastAsia="SimSun" w:hAnsi="Arial Bold" w:cs="Arial Bold"/>
                <w:b/>
                <w:color w:val="000000"/>
                <w:lang w:eastAsia="zh-CN" w:bidi="ar"/>
              </w:rPr>
              <w:t>T5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Regular" w:hAnsi="Arial Regular" w:cs="Arial Regular"/>
                <w:color w:val="000000"/>
              </w:rPr>
            </w:pPr>
            <w:r>
              <w:rPr>
                <w:rFonts w:ascii="Arial Regular" w:eastAsia="SimSun" w:hAnsi="Arial Regular" w:cs="Arial Regular"/>
                <w:color w:val="000000"/>
                <w:lang w:eastAsia="zh-CN" w:bidi="ar"/>
              </w:rPr>
              <w:t>161.50</w:t>
            </w:r>
            <w:r>
              <w:rPr>
                <w:rFonts w:ascii="Arial Regular" w:eastAsia="SimSun" w:hAnsi="Arial Regular" w:cs="Arial Regular"/>
                <w:color w:val="000000"/>
                <w:lang w:eastAsia="zh-CN" w:bidi="ar"/>
              </w:rPr>
              <w:t>ᵇ</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Regular" w:hAnsi="Arial Regular" w:cs="Arial Regular"/>
                <w:color w:val="000000"/>
              </w:rPr>
            </w:pPr>
            <w:r>
              <w:rPr>
                <w:rFonts w:ascii="Arial Regular" w:eastAsia="SimSun" w:hAnsi="Arial Regular" w:cs="Arial Regular"/>
                <w:color w:val="000000"/>
                <w:lang w:eastAsia="zh-CN" w:bidi="ar"/>
              </w:rPr>
              <w:t>43.96</w:t>
            </w:r>
            <w:r>
              <w:rPr>
                <w:rFonts w:ascii="Arial Regular" w:eastAsia="SimSun" w:hAnsi="Arial Regular" w:cs="Arial Regular"/>
                <w:color w:val="000000"/>
                <w:lang w:eastAsia="zh-CN" w:bidi="ar"/>
              </w:rPr>
              <w:t>ᶜ</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Regular" w:hAnsi="Arial Regular" w:cs="Arial Regular"/>
                <w:color w:val="000000"/>
              </w:rPr>
            </w:pPr>
            <w:r>
              <w:rPr>
                <w:rFonts w:ascii="Arial Regular" w:eastAsia="SimSun" w:hAnsi="Arial Regular" w:cs="Arial Regular"/>
                <w:color w:val="000000"/>
                <w:lang w:eastAsia="zh-CN" w:bidi="ar"/>
              </w:rPr>
              <w:t>90.52</w:t>
            </w:r>
            <w:r>
              <w:rPr>
                <w:rFonts w:ascii="Arial Regular" w:eastAsia="SimSun" w:hAnsi="Arial Regular" w:cs="Arial Regular"/>
                <w:color w:val="000000"/>
                <w:lang w:eastAsia="zh-CN" w:bidi="ar"/>
              </w:rPr>
              <w:t>ᵇ</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Regular" w:hAnsi="Arial Regular" w:cs="Arial Regular"/>
                <w:color w:val="000000"/>
              </w:rPr>
            </w:pPr>
            <w:r>
              <w:rPr>
                <w:rFonts w:ascii="Arial Regular" w:eastAsia="SimSun" w:hAnsi="Arial Regular" w:cs="Arial Regular"/>
                <w:color w:val="000000"/>
                <w:lang w:eastAsia="zh-CN" w:bidi="ar"/>
              </w:rPr>
              <w:t>123.13</w:t>
            </w:r>
            <w:r>
              <w:rPr>
                <w:rFonts w:ascii="Arial Regular" w:eastAsia="SimSun" w:hAnsi="Arial Regular" w:cs="Arial Regular"/>
                <w:color w:val="000000"/>
                <w:lang w:eastAsia="zh-CN" w:bidi="ar"/>
              </w:rPr>
              <w:t>ᵃ</w:t>
            </w:r>
          </w:p>
        </w:tc>
      </w:tr>
      <w:tr w:rsidR="00F20D7C">
        <w:trPr>
          <w:tblCellSpacing w:w="15" w:type="dxa"/>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Bold" w:hAnsi="Arial Bold" w:cs="Arial Bold"/>
                <w:b/>
                <w:color w:val="000000"/>
              </w:rPr>
            </w:pPr>
            <w:proofErr w:type="spellStart"/>
            <w:r>
              <w:rPr>
                <w:rFonts w:ascii="Arial Bold" w:eastAsia="SimSun" w:hAnsi="Arial Bold" w:cs="Arial Bold"/>
                <w:b/>
                <w:color w:val="000000"/>
                <w:lang w:eastAsia="zh-CN" w:bidi="ar"/>
              </w:rPr>
              <w:t>SEm</w:t>
            </w:r>
            <w:proofErr w:type="spellEnd"/>
            <w:r>
              <w:rPr>
                <w:rFonts w:ascii="Arial Bold" w:eastAsia="SimSun" w:hAnsi="Arial Bold" w:cs="Arial Bold"/>
                <w:b/>
                <w:color w:val="000000"/>
                <w:lang w:eastAsia="zh-CN" w:bidi="a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Regular" w:hAnsi="Arial Regular" w:cs="Arial Regular"/>
                <w:color w:val="000000"/>
              </w:rPr>
            </w:pPr>
            <w:r>
              <w:rPr>
                <w:rFonts w:ascii="Arial Regular" w:eastAsia="SimSun" w:hAnsi="Arial Regular" w:cs="Arial Regular"/>
                <w:color w:val="000000"/>
                <w:lang w:eastAsia="zh-CN" w:bidi="ar"/>
              </w:rPr>
              <w:t>4.68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Regular" w:hAnsi="Arial Regular" w:cs="Arial Regular"/>
                <w:color w:val="000000"/>
              </w:rPr>
            </w:pPr>
            <w:r>
              <w:rPr>
                <w:rFonts w:ascii="Arial Regular" w:eastAsia="SimSun" w:hAnsi="Arial Regular" w:cs="Arial Regular"/>
                <w:color w:val="000000"/>
                <w:lang w:eastAsia="zh-CN" w:bidi="ar"/>
              </w:rPr>
              <w:t>0.53</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Regular" w:hAnsi="Arial Regular" w:cs="Arial Regular"/>
                <w:color w:val="000000"/>
              </w:rPr>
            </w:pPr>
            <w:r>
              <w:rPr>
                <w:rFonts w:ascii="Arial Regular" w:eastAsia="SimSun" w:hAnsi="Arial Regular" w:cs="Arial Regular"/>
                <w:color w:val="000000"/>
                <w:lang w:eastAsia="zh-CN" w:bidi="ar"/>
              </w:rPr>
              <w:t>4.48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Regular" w:hAnsi="Arial Regular" w:cs="Arial Regular"/>
                <w:color w:val="000000"/>
              </w:rPr>
            </w:pPr>
            <w:r>
              <w:rPr>
                <w:rFonts w:ascii="Arial Regular" w:eastAsia="SimSun" w:hAnsi="Arial Regular" w:cs="Arial Regular"/>
                <w:color w:val="000000"/>
                <w:lang w:eastAsia="zh-CN" w:bidi="ar"/>
              </w:rPr>
              <w:t>4.61</w:t>
            </w:r>
          </w:p>
        </w:tc>
      </w:tr>
      <w:tr w:rsidR="00F20D7C">
        <w:trPr>
          <w:tblCellSpacing w:w="15" w:type="dxa"/>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Bold" w:hAnsi="Arial Bold" w:cs="Arial Bold"/>
                <w:b/>
                <w:color w:val="000000"/>
              </w:rPr>
            </w:pPr>
            <w:r>
              <w:rPr>
                <w:rFonts w:ascii="Arial Bold" w:eastAsia="SimSun" w:hAnsi="Arial Bold" w:cs="Arial Bold"/>
                <w:b/>
                <w:color w:val="000000"/>
                <w:lang w:eastAsia="zh-CN" w:bidi="ar"/>
              </w:rPr>
              <w:t>CD (P=0.05)</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Regular" w:hAnsi="Arial Regular" w:cs="Arial Regular"/>
                <w:color w:val="000000"/>
              </w:rPr>
            </w:pPr>
            <w:r>
              <w:rPr>
                <w:rFonts w:ascii="Arial Regular" w:eastAsia="SimSun" w:hAnsi="Arial Regular" w:cs="Arial Regular"/>
                <w:color w:val="000000"/>
                <w:lang w:eastAsia="zh-CN" w:bidi="ar"/>
              </w:rPr>
              <w:t>18.39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Regular" w:hAnsi="Arial Regular" w:cs="Arial Regular"/>
                <w:color w:val="000000"/>
              </w:rPr>
            </w:pPr>
            <w:r>
              <w:rPr>
                <w:rFonts w:ascii="Arial Regular" w:eastAsia="SimSun" w:hAnsi="Arial Regular" w:cs="Arial Regular"/>
                <w:color w:val="000000"/>
                <w:lang w:eastAsia="zh-CN" w:bidi="ar"/>
              </w:rPr>
              <w:t>2.09</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Regular" w:hAnsi="Arial Regular" w:cs="Arial Regular"/>
                <w:color w:val="000000"/>
              </w:rPr>
            </w:pPr>
            <w:r>
              <w:rPr>
                <w:rFonts w:ascii="Arial Regular" w:eastAsia="SimSun" w:hAnsi="Arial Regular" w:cs="Arial Regular"/>
                <w:color w:val="000000"/>
                <w:lang w:eastAsia="zh-CN" w:bidi="ar"/>
              </w:rPr>
              <w:t>17.58</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20D7C" w:rsidRDefault="00917F23">
            <w:pPr>
              <w:jc w:val="center"/>
              <w:rPr>
                <w:rFonts w:ascii="Arial Regular" w:hAnsi="Arial Regular" w:cs="Arial Regular"/>
                <w:color w:val="000000"/>
              </w:rPr>
            </w:pPr>
            <w:r>
              <w:rPr>
                <w:rFonts w:ascii="Arial Regular" w:eastAsia="SimSun" w:hAnsi="Arial Regular" w:cs="Arial Regular"/>
                <w:color w:val="000000"/>
                <w:lang w:eastAsia="zh-CN" w:bidi="ar"/>
              </w:rPr>
              <w:t>18.10</w:t>
            </w:r>
          </w:p>
        </w:tc>
      </w:tr>
    </w:tbl>
    <w:p w:rsidR="00F20D7C" w:rsidRDefault="00F20D7C"/>
    <w:p w:rsidR="00F20D7C" w:rsidRDefault="00917F23">
      <w:pPr>
        <w:pStyle w:val="NormalWeb"/>
        <w:rPr>
          <w:rFonts w:ascii="Arial" w:hAnsi="Arial"/>
          <w:b/>
        </w:rPr>
      </w:pPr>
      <w:proofErr w:type="spellStart"/>
      <w:proofErr w:type="gramStart"/>
      <w:r>
        <w:rPr>
          <w:rStyle w:val="Strong"/>
        </w:rPr>
        <w:t>a,b</w:t>
      </w:r>
      <w:proofErr w:type="gramEnd"/>
      <w:r>
        <w:rPr>
          <w:rStyle w:val="Strong"/>
        </w:rPr>
        <w:t>,c</w:t>
      </w:r>
      <w:proofErr w:type="spellEnd"/>
      <w:r>
        <w:t xml:space="preserve"> Means bearing different superscripts in a column differ significantly (P &lt; 0.05).</w:t>
      </w:r>
    </w:p>
    <w:p w:rsidR="00F20D7C" w:rsidRDefault="00F20D7C">
      <w:pPr>
        <w:rPr>
          <w:rFonts w:ascii="Arial Bold" w:eastAsia="SimSun" w:hAnsi="Arial Bold" w:cs="Arial Bold"/>
          <w:b/>
          <w:bCs/>
          <w:sz w:val="24"/>
          <w:szCs w:val="24"/>
          <w:lang w:eastAsia="zh-CN" w:bidi="ar"/>
        </w:rPr>
      </w:pPr>
    </w:p>
    <w:p w:rsidR="00F20D7C" w:rsidRDefault="00F20D7C">
      <w:pPr>
        <w:pStyle w:val="ConcHead"/>
        <w:spacing w:after="0"/>
        <w:jc w:val="both"/>
        <w:rPr>
          <w:rFonts w:ascii="Arial" w:hAnsi="Arial" w:cs="Arial"/>
        </w:rPr>
      </w:pPr>
    </w:p>
    <w:p w:rsidR="00F20D7C" w:rsidRDefault="005E0DF2">
      <w:pPr>
        <w:pStyle w:val="ConcHead"/>
        <w:spacing w:after="0"/>
        <w:jc w:val="both"/>
        <w:rPr>
          <w:rFonts w:ascii="Arial" w:hAnsi="Arial" w:cs="Arial"/>
        </w:rPr>
      </w:pPr>
      <w:r>
        <w:rPr>
          <w:rFonts w:ascii="Arial" w:hAnsi="Arial" w:cs="Arial"/>
        </w:rPr>
        <w:t>4</w:t>
      </w:r>
      <w:r w:rsidR="00917F23">
        <w:rPr>
          <w:rFonts w:ascii="Arial" w:hAnsi="Arial" w:cs="Arial"/>
        </w:rPr>
        <w:t>. Conclusion</w:t>
      </w:r>
    </w:p>
    <w:p w:rsidR="00F20D7C" w:rsidRDefault="00F20D7C">
      <w:pPr>
        <w:pStyle w:val="ConcHead"/>
        <w:spacing w:after="0"/>
        <w:jc w:val="both"/>
        <w:rPr>
          <w:rFonts w:ascii="Arial" w:hAnsi="Arial" w:cs="Arial"/>
        </w:rPr>
      </w:pPr>
    </w:p>
    <w:p w:rsidR="00F20D7C" w:rsidRDefault="00917F23">
      <w:pPr>
        <w:pStyle w:val="Body"/>
        <w:rPr>
          <w:rFonts w:ascii="Arial" w:hAnsi="Arial" w:cs="Arial"/>
        </w:rPr>
      </w:pPr>
      <w:r>
        <w:rPr>
          <w:rFonts w:ascii="Arial" w:hAnsi="Arial" w:cs="Arial"/>
        </w:rPr>
        <w:t>The present study demonstrated that graded supplementation of peppermint (</w:t>
      </w:r>
      <w:r>
        <w:rPr>
          <w:rStyle w:val="Italic"/>
          <w:rFonts w:ascii="Arial"/>
        </w:rPr>
        <w:t xml:space="preserve">Mentha </w:t>
      </w:r>
      <w:proofErr w:type="spellStart"/>
      <w:r>
        <w:rPr>
          <w:rStyle w:val="Italic"/>
          <w:rFonts w:ascii="Arial"/>
        </w:rPr>
        <w:t>piperita</w:t>
      </w:r>
      <w:proofErr w:type="spellEnd"/>
      <w:r>
        <w:rPr>
          <w:rStyle w:val="Italic"/>
          <w:rFonts w:ascii="Arial"/>
        </w:rPr>
        <w:t xml:space="preserve"> </w:t>
      </w:r>
      <w:r>
        <w:rPr>
          <w:rStyle w:val="Italic"/>
        </w:rPr>
        <w:t>L.</w:t>
      </w:r>
      <w:r>
        <w:rPr>
          <w:rFonts w:ascii="Arial" w:hAnsi="Arial" w:cs="Arial"/>
        </w:rPr>
        <w:t>) powder significantly influenced serum lipid profile</w:t>
      </w:r>
      <w:r>
        <w:rPr>
          <w:rFonts w:ascii="Arial" w:hAnsi="Arial" w:cs="Arial"/>
        </w:rPr>
        <w:t xml:space="preserve"> parameters in broiler chickens. Peppermint inclusion reduced total cholesterol, LDL cholesterol, and triglycerides while improving HDL cholesterol levels. The most favorable biochemical response was observed at 10 g/kg feed supplementation. The hypolipide</w:t>
      </w:r>
      <w:r>
        <w:rPr>
          <w:rFonts w:ascii="Arial" w:hAnsi="Arial" w:cs="Arial"/>
        </w:rPr>
        <w:t>mic effects may be attributed to menthol and phenolic compounds that modulate hepatic lipid metabolism and enhance antioxidant activity. Therefore, peppermint powder can be considered a safe and effective phytogenic feed additive for improving lipid metabo</w:t>
      </w:r>
      <w:r>
        <w:rPr>
          <w:rFonts w:ascii="Arial" w:hAnsi="Arial" w:cs="Arial"/>
        </w:rPr>
        <w:t>lism and metabolic health in broilers under subtropical conditions.</w:t>
      </w:r>
    </w:p>
    <w:p w:rsidR="005E0DF2" w:rsidRDefault="005E0DF2">
      <w:pPr>
        <w:pStyle w:val="Body"/>
        <w:rPr>
          <w:rFonts w:ascii="Arial" w:hAnsi="Arial" w:cs="Arial"/>
        </w:rPr>
      </w:pPr>
    </w:p>
    <w:p w:rsidR="005E0DF2" w:rsidRPr="005E0DF2" w:rsidRDefault="005E0DF2" w:rsidP="005E0DF2">
      <w:pPr>
        <w:pStyle w:val="Body"/>
        <w:rPr>
          <w:rFonts w:ascii="Arial" w:hAnsi="Arial" w:cs="Arial"/>
        </w:rPr>
      </w:pPr>
      <w:r>
        <w:rPr>
          <w:rFonts w:ascii="Arial" w:hAnsi="Arial" w:cs="Arial"/>
        </w:rPr>
        <w:t>5</w:t>
      </w:r>
      <w:r w:rsidRPr="005E0DF2">
        <w:rPr>
          <w:rFonts w:ascii="Arial" w:hAnsi="Arial" w:cs="Arial"/>
        </w:rPr>
        <w:t>. STUDY LIMITATIONS AND FUTURE RESEARCH DIRECTIONS</w:t>
      </w:r>
    </w:p>
    <w:p w:rsidR="005E0DF2" w:rsidRPr="005E0DF2" w:rsidRDefault="005E0DF2" w:rsidP="005E0DF2">
      <w:pPr>
        <w:pStyle w:val="Body"/>
        <w:rPr>
          <w:rFonts w:ascii="Arial" w:hAnsi="Arial" w:cs="Arial"/>
        </w:rPr>
      </w:pPr>
    </w:p>
    <w:p w:rsidR="005E0DF2" w:rsidRDefault="005E0DF2" w:rsidP="005E0DF2">
      <w:pPr>
        <w:pStyle w:val="Body"/>
        <w:rPr>
          <w:rFonts w:ascii="Arial" w:hAnsi="Arial" w:cs="Arial"/>
        </w:rPr>
      </w:pPr>
      <w:r w:rsidRPr="005E0DF2">
        <w:rPr>
          <w:rFonts w:ascii="Arial" w:hAnsi="Arial" w:cs="Arial"/>
        </w:rPr>
        <w:t>The relatively small sample size used for serum biochemical analysis may limit the statistical power and generalizability of the findings. Therefore, the results should be interpreted with caution. Further studies incorporating larger sample sizes, along with growth performance and carcass parameters, are warranted to validate and extend the present observations.</w:t>
      </w:r>
    </w:p>
    <w:p w:rsidR="00F20D7C" w:rsidRDefault="00F20D7C">
      <w:pPr>
        <w:pStyle w:val="Appendix"/>
        <w:jc w:val="both"/>
        <w:rPr>
          <w:rFonts w:ascii="Arial" w:hAnsi="Arial" w:cs="Arial"/>
          <w:bCs/>
        </w:rPr>
      </w:pPr>
    </w:p>
    <w:p w:rsidR="00F20D7C" w:rsidRDefault="00917F23">
      <w:pPr>
        <w:pStyle w:val="Appendix"/>
        <w:jc w:val="both"/>
        <w:rPr>
          <w:rFonts w:ascii="Arial" w:hAnsi="Arial" w:cs="Arial"/>
          <w:bCs/>
        </w:rPr>
      </w:pPr>
      <w:r>
        <w:rPr>
          <w:rFonts w:ascii="Arial" w:hAnsi="Arial" w:cs="Arial"/>
          <w:bCs/>
        </w:rPr>
        <w:t>LIST OF ABBREVIATIONS</w:t>
      </w:r>
    </w:p>
    <w:p w:rsidR="00F20D7C" w:rsidRDefault="00917F23">
      <w:pPr>
        <w:spacing w:line="276" w:lineRule="auto"/>
        <w:jc w:val="both"/>
        <w:rPr>
          <w:rFonts w:ascii="Arial" w:hAnsi="Arial" w:cs="Arial"/>
        </w:rPr>
      </w:pPr>
      <w:r>
        <w:rPr>
          <w:rFonts w:ascii="Arial" w:hAnsi="Arial" w:cs="Arial"/>
          <w:i/>
        </w:rPr>
        <w:t>Ad libitum</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rPr>
        <w:t xml:space="preserve">Freely; as much as one </w:t>
      </w:r>
      <w:r>
        <w:rPr>
          <w:rFonts w:ascii="Arial" w:hAnsi="Arial" w:cs="Arial"/>
        </w:rPr>
        <w:t>desire</w:t>
      </w:r>
    </w:p>
    <w:p w:rsidR="00F20D7C" w:rsidRDefault="00917F23">
      <w:pPr>
        <w:spacing w:line="276" w:lineRule="auto"/>
        <w:jc w:val="both"/>
        <w:rPr>
          <w:rFonts w:ascii="Arial" w:hAnsi="Arial" w:cs="Arial"/>
        </w:rPr>
      </w:pPr>
      <w:r>
        <w:rPr>
          <w:rFonts w:ascii="Arial" w:hAnsi="Arial" w:cs="Arial"/>
        </w:rPr>
        <w:t xml:space="preserve">ANOVA </w:t>
      </w:r>
      <w:r>
        <w:rPr>
          <w:rFonts w:ascii="Arial" w:hAnsi="Arial" w:cs="Arial"/>
        </w:rPr>
        <w:tab/>
      </w:r>
      <w:r>
        <w:rPr>
          <w:rFonts w:ascii="Arial" w:hAnsi="Arial" w:cs="Arial"/>
        </w:rPr>
        <w:tab/>
      </w:r>
      <w:r>
        <w:rPr>
          <w:rFonts w:ascii="Arial" w:hAnsi="Arial" w:cs="Arial"/>
        </w:rPr>
        <w:tab/>
      </w:r>
      <w:r>
        <w:rPr>
          <w:rFonts w:ascii="Arial" w:hAnsi="Arial" w:cs="Arial"/>
        </w:rPr>
        <w:tab/>
        <w:t>Analysis of Variance</w:t>
      </w:r>
    </w:p>
    <w:p w:rsidR="00F20D7C" w:rsidRDefault="00917F23">
      <w:pPr>
        <w:spacing w:line="276" w:lineRule="auto"/>
        <w:jc w:val="both"/>
        <w:rPr>
          <w:rFonts w:ascii="Arial" w:hAnsi="Arial" w:cs="Arial"/>
        </w:rPr>
      </w:pPr>
      <w:r>
        <w:rPr>
          <w:rFonts w:ascii="Arial" w:hAnsi="Arial" w:cs="Arial"/>
        </w:rPr>
        <w:t xml:space="preserve">CD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Critical Difference</w:t>
      </w:r>
    </w:p>
    <w:p w:rsidR="00F20D7C" w:rsidRDefault="00917F23">
      <w:pPr>
        <w:spacing w:line="276" w:lineRule="auto"/>
        <w:jc w:val="both"/>
        <w:rPr>
          <w:rFonts w:ascii="Arial" w:hAnsi="Arial" w:cs="Arial"/>
        </w:rPr>
      </w:pPr>
      <w:r>
        <w:rPr>
          <w:rFonts w:ascii="Arial" w:hAnsi="Arial" w:cs="Arial"/>
        </w:rPr>
        <w:t xml:space="preserve">Kg                                                  </w:t>
      </w:r>
      <w:r>
        <w:rPr>
          <w:rFonts w:ascii="Arial" w:hAnsi="Arial" w:cs="Arial"/>
        </w:rPr>
        <w:tab/>
        <w:t>Kilogram</w:t>
      </w:r>
    </w:p>
    <w:p w:rsidR="00F20D7C" w:rsidRDefault="00917F23">
      <w:pPr>
        <w:pStyle w:val="Body"/>
        <w:spacing w:after="0"/>
        <w:rPr>
          <w:rFonts w:ascii="Arial" w:hAnsi="Arial" w:cs="Arial"/>
          <w:lang w:val="en-IN"/>
        </w:rPr>
      </w:pPr>
      <w:r>
        <w:rPr>
          <w:rFonts w:ascii="Arial" w:hAnsi="Arial" w:cs="Arial"/>
          <w:lang w:val="en-IN"/>
        </w:rPr>
        <w:t>BIS</w:t>
      </w:r>
      <w:r>
        <w:rPr>
          <w:rFonts w:ascii="Arial" w:hAnsi="Arial" w:cs="Arial"/>
          <w:lang w:val="en-IN"/>
        </w:rPr>
        <w:tab/>
      </w:r>
      <w:r>
        <w:rPr>
          <w:rFonts w:ascii="Arial" w:hAnsi="Arial" w:cs="Arial"/>
          <w:lang w:val="en-IN"/>
        </w:rPr>
        <w:tab/>
      </w:r>
      <w:r>
        <w:rPr>
          <w:rFonts w:ascii="Arial" w:hAnsi="Arial" w:cs="Arial"/>
          <w:lang w:val="en-IN"/>
        </w:rPr>
        <w:tab/>
      </w:r>
      <w:r>
        <w:rPr>
          <w:rFonts w:ascii="Arial" w:hAnsi="Arial" w:cs="Arial"/>
          <w:lang w:val="en-IN"/>
        </w:rPr>
        <w:tab/>
      </w:r>
      <w:r>
        <w:rPr>
          <w:rFonts w:ascii="Arial" w:hAnsi="Arial" w:cs="Arial"/>
          <w:lang w:val="en-IN"/>
        </w:rPr>
        <w:tab/>
        <w:t>Bureau of Indian Standards</w:t>
      </w:r>
    </w:p>
    <w:p w:rsidR="00F20D7C" w:rsidRDefault="00917F23">
      <w:pPr>
        <w:pStyle w:val="Body"/>
        <w:spacing w:after="0"/>
        <w:rPr>
          <w:rFonts w:ascii="Arial" w:hAnsi="Arial" w:cs="Arial"/>
          <w:lang w:val="en-IN"/>
        </w:rPr>
      </w:pPr>
      <w:r>
        <w:rPr>
          <w:rFonts w:ascii="Arial" w:hAnsi="Arial" w:cs="Arial"/>
          <w:lang w:val="en-IN"/>
        </w:rPr>
        <w:lastRenderedPageBreak/>
        <w:t>HDL</w:t>
      </w:r>
      <w:r>
        <w:rPr>
          <w:rFonts w:ascii="Arial" w:hAnsi="Arial" w:cs="Arial"/>
          <w:lang w:val="en-IN"/>
        </w:rPr>
        <w:tab/>
      </w:r>
      <w:r>
        <w:rPr>
          <w:rFonts w:ascii="Arial" w:hAnsi="Arial" w:cs="Arial"/>
          <w:lang w:val="en-IN"/>
        </w:rPr>
        <w:tab/>
      </w:r>
      <w:r>
        <w:rPr>
          <w:rFonts w:ascii="Arial" w:hAnsi="Arial" w:cs="Arial"/>
          <w:lang w:val="en-IN"/>
        </w:rPr>
        <w:tab/>
      </w:r>
      <w:r>
        <w:rPr>
          <w:rFonts w:ascii="Arial" w:hAnsi="Arial" w:cs="Arial"/>
          <w:lang w:val="en-IN"/>
        </w:rPr>
        <w:tab/>
      </w:r>
      <w:r>
        <w:rPr>
          <w:rFonts w:ascii="Arial" w:hAnsi="Arial" w:cs="Arial"/>
          <w:lang w:val="en-IN"/>
        </w:rPr>
        <w:tab/>
        <w:t>High-Density Lipoprotein</w:t>
      </w:r>
    </w:p>
    <w:p w:rsidR="00F20D7C" w:rsidRDefault="00917F23">
      <w:pPr>
        <w:pStyle w:val="Body"/>
        <w:spacing w:after="0"/>
        <w:rPr>
          <w:rFonts w:ascii="Arial" w:hAnsi="Arial" w:cs="Arial"/>
          <w:lang w:val="en-IN"/>
        </w:rPr>
      </w:pPr>
      <w:r>
        <w:rPr>
          <w:rFonts w:ascii="Arial" w:hAnsi="Arial" w:cs="Arial"/>
          <w:lang w:val="en-IN"/>
        </w:rPr>
        <w:t>LDL</w:t>
      </w:r>
      <w:r>
        <w:rPr>
          <w:rFonts w:ascii="Arial" w:hAnsi="Arial" w:cs="Arial"/>
          <w:lang w:val="en-IN"/>
        </w:rPr>
        <w:tab/>
      </w:r>
      <w:r>
        <w:rPr>
          <w:rFonts w:ascii="Arial" w:hAnsi="Arial" w:cs="Arial"/>
          <w:lang w:val="en-IN"/>
        </w:rPr>
        <w:tab/>
      </w:r>
      <w:r>
        <w:rPr>
          <w:rFonts w:ascii="Arial" w:hAnsi="Arial" w:cs="Arial"/>
          <w:lang w:val="en-IN"/>
        </w:rPr>
        <w:tab/>
      </w:r>
      <w:r>
        <w:rPr>
          <w:rFonts w:ascii="Arial" w:hAnsi="Arial" w:cs="Arial"/>
          <w:lang w:val="en-IN"/>
        </w:rPr>
        <w:tab/>
      </w:r>
      <w:r>
        <w:rPr>
          <w:rFonts w:ascii="Arial" w:hAnsi="Arial" w:cs="Arial"/>
          <w:lang w:val="en-IN"/>
        </w:rPr>
        <w:tab/>
        <w:t>Low-Density Lipoprotein</w:t>
      </w:r>
    </w:p>
    <w:p w:rsidR="00F20D7C" w:rsidRDefault="00917F23">
      <w:pPr>
        <w:pStyle w:val="Body"/>
        <w:spacing w:after="0"/>
        <w:rPr>
          <w:rFonts w:ascii="Arial" w:hAnsi="Arial" w:cs="Arial"/>
          <w:lang w:val="en-IN"/>
        </w:rPr>
      </w:pPr>
      <w:r>
        <w:rPr>
          <w:rFonts w:ascii="Arial" w:hAnsi="Arial" w:cs="Arial"/>
          <w:lang w:val="en-IN"/>
        </w:rPr>
        <w:t>IAEC</w:t>
      </w:r>
      <w:r>
        <w:rPr>
          <w:rFonts w:ascii="Arial" w:hAnsi="Arial" w:cs="Arial"/>
          <w:lang w:val="en-IN"/>
        </w:rPr>
        <w:tab/>
      </w:r>
      <w:r>
        <w:rPr>
          <w:rFonts w:ascii="Arial" w:hAnsi="Arial" w:cs="Arial"/>
          <w:lang w:val="en-IN"/>
        </w:rPr>
        <w:tab/>
      </w:r>
      <w:r>
        <w:rPr>
          <w:rFonts w:ascii="Arial" w:hAnsi="Arial" w:cs="Arial"/>
          <w:lang w:val="en-IN"/>
        </w:rPr>
        <w:tab/>
      </w:r>
      <w:r>
        <w:rPr>
          <w:rFonts w:ascii="Arial" w:hAnsi="Arial" w:cs="Arial"/>
          <w:lang w:val="en-IN"/>
        </w:rPr>
        <w:tab/>
      </w:r>
      <w:r>
        <w:rPr>
          <w:rFonts w:ascii="Arial" w:hAnsi="Arial" w:cs="Arial"/>
          <w:lang w:val="en-IN"/>
        </w:rPr>
        <w:tab/>
        <w:t>Institutional Anima</w:t>
      </w:r>
      <w:r>
        <w:rPr>
          <w:rFonts w:ascii="Arial" w:hAnsi="Arial" w:cs="Arial"/>
          <w:lang w:val="en-IN"/>
        </w:rPr>
        <w:t>l Ethics Committee</w:t>
      </w:r>
    </w:p>
    <w:p w:rsidR="00F20D7C" w:rsidRDefault="00917F23">
      <w:pPr>
        <w:pStyle w:val="Body"/>
        <w:spacing w:after="0"/>
        <w:rPr>
          <w:rFonts w:ascii="Arial" w:hAnsi="Arial" w:cs="Arial"/>
          <w:lang w:val="en-IN"/>
        </w:rPr>
      </w:pPr>
      <w:r>
        <w:rPr>
          <w:rFonts w:ascii="Arial" w:hAnsi="Arial" w:cs="Arial"/>
          <w:lang w:val="en-IN"/>
        </w:rPr>
        <w:t>RBD</w:t>
      </w:r>
      <w:r>
        <w:rPr>
          <w:rFonts w:ascii="Arial" w:hAnsi="Arial" w:cs="Arial"/>
          <w:lang w:val="en-IN"/>
        </w:rPr>
        <w:tab/>
      </w:r>
      <w:r>
        <w:rPr>
          <w:rFonts w:ascii="Arial" w:hAnsi="Arial" w:cs="Arial"/>
          <w:lang w:val="en-IN"/>
        </w:rPr>
        <w:tab/>
      </w:r>
      <w:r>
        <w:rPr>
          <w:rFonts w:ascii="Arial" w:hAnsi="Arial" w:cs="Arial"/>
          <w:lang w:val="en-IN"/>
        </w:rPr>
        <w:tab/>
      </w:r>
      <w:r>
        <w:rPr>
          <w:rFonts w:ascii="Arial" w:hAnsi="Arial" w:cs="Arial"/>
          <w:lang w:val="en-IN"/>
        </w:rPr>
        <w:tab/>
      </w:r>
      <w:r>
        <w:rPr>
          <w:rFonts w:ascii="Arial" w:hAnsi="Arial" w:cs="Arial"/>
          <w:lang w:val="en-IN"/>
        </w:rPr>
        <w:tab/>
        <w:t>Randomized Block Design</w:t>
      </w:r>
    </w:p>
    <w:p w:rsidR="00F20D7C" w:rsidRDefault="00917F23">
      <w:pPr>
        <w:pStyle w:val="Body"/>
        <w:spacing w:after="0"/>
        <w:rPr>
          <w:rFonts w:ascii="Arial" w:hAnsi="Arial" w:cs="Arial"/>
          <w:lang w:val="en-IN"/>
        </w:rPr>
      </w:pPr>
      <w:r>
        <w:rPr>
          <w:rFonts w:ascii="Arial" w:hAnsi="Arial" w:cs="Arial"/>
          <w:lang w:val="en-IN"/>
        </w:rPr>
        <w:t>SEM</w:t>
      </w:r>
      <w:r>
        <w:rPr>
          <w:rFonts w:ascii="Arial" w:hAnsi="Arial" w:cs="Arial"/>
          <w:lang w:val="en-IN"/>
        </w:rPr>
        <w:tab/>
      </w:r>
      <w:r>
        <w:rPr>
          <w:rFonts w:ascii="Arial" w:hAnsi="Arial" w:cs="Arial"/>
          <w:lang w:val="en-IN"/>
        </w:rPr>
        <w:tab/>
      </w:r>
      <w:r>
        <w:rPr>
          <w:rFonts w:ascii="Arial" w:hAnsi="Arial" w:cs="Arial"/>
          <w:lang w:val="en-IN"/>
        </w:rPr>
        <w:tab/>
      </w:r>
      <w:r>
        <w:rPr>
          <w:rFonts w:ascii="Arial" w:hAnsi="Arial" w:cs="Arial"/>
          <w:lang w:val="en-IN"/>
        </w:rPr>
        <w:tab/>
      </w:r>
      <w:r>
        <w:rPr>
          <w:rFonts w:ascii="Arial" w:hAnsi="Arial" w:cs="Arial"/>
          <w:lang w:val="en-IN"/>
        </w:rPr>
        <w:tab/>
        <w:t>Standard Error of Mean</w:t>
      </w:r>
    </w:p>
    <w:p w:rsidR="00F20D7C" w:rsidRDefault="00F20D7C">
      <w:pPr>
        <w:pStyle w:val="Body"/>
        <w:spacing w:after="0"/>
        <w:rPr>
          <w:rFonts w:ascii="Arial" w:hAnsi="Arial" w:cs="Arial"/>
          <w:lang w:val="en-IN"/>
        </w:rPr>
        <w:sectPr w:rsidR="00F20D7C">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rsidR="00F20D7C" w:rsidRDefault="00F20D7C">
      <w:pPr>
        <w:pStyle w:val="Appendix"/>
        <w:spacing w:after="0"/>
        <w:jc w:val="both"/>
        <w:rPr>
          <w:rFonts w:ascii="Arial" w:hAnsi="Arial" w:cs="Arial"/>
          <w:b w:val="0"/>
          <w:lang w:val="en-IN"/>
        </w:rPr>
      </w:pPr>
    </w:p>
    <w:p w:rsidR="00F20D7C" w:rsidRDefault="00F20D7C">
      <w:pPr>
        <w:pStyle w:val="ReferHead"/>
        <w:spacing w:after="0"/>
        <w:jc w:val="both"/>
        <w:rPr>
          <w:rFonts w:ascii="Arial" w:hAnsi="Arial" w:cs="Arial"/>
          <w:b w:val="0"/>
          <w:caps w:val="0"/>
          <w:sz w:val="20"/>
        </w:rPr>
      </w:pPr>
    </w:p>
    <w:p w:rsidR="00F20D7C" w:rsidRDefault="00F20D7C">
      <w:pPr>
        <w:pStyle w:val="ReferHead"/>
        <w:spacing w:after="0"/>
        <w:jc w:val="both"/>
        <w:rPr>
          <w:rFonts w:ascii="Arial" w:hAnsi="Arial" w:cs="Arial"/>
          <w:b w:val="0"/>
          <w:caps w:val="0"/>
          <w:sz w:val="20"/>
        </w:rPr>
      </w:pPr>
    </w:p>
    <w:p w:rsidR="00F20D7C" w:rsidRDefault="00917F23">
      <w:pPr>
        <w:pStyle w:val="NoSpacing"/>
        <w:rPr>
          <w:rFonts w:ascii="Arial" w:hAnsi="Arial" w:cs="Arial"/>
          <w:highlight w:val="yellow"/>
        </w:rPr>
      </w:pPr>
      <w:bookmarkStart w:id="1" w:name="_Hlk219284361"/>
      <w:bookmarkStart w:id="2" w:name="_Hlk198031404"/>
      <w:bookmarkStart w:id="3" w:name="_Hlk219128673"/>
      <w:bookmarkStart w:id="4" w:name="_Hlk221094604"/>
      <w:r>
        <w:rPr>
          <w:rFonts w:ascii="Arial" w:hAnsi="Arial" w:cs="Arial"/>
          <w:highlight w:val="yellow"/>
        </w:rPr>
        <w:t>Disclaimer (Artificial intelligence)</w:t>
      </w:r>
    </w:p>
    <w:p w:rsidR="00F20D7C" w:rsidRDefault="00F20D7C">
      <w:pPr>
        <w:pStyle w:val="NoSpacing"/>
        <w:rPr>
          <w:rFonts w:ascii="Arial" w:hAnsi="Arial" w:cs="Arial"/>
          <w:highlight w:val="yellow"/>
        </w:rPr>
      </w:pPr>
    </w:p>
    <w:p w:rsidR="00F20D7C" w:rsidRDefault="00917F23">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COPILOT, etc</w:t>
      </w:r>
      <w:r>
        <w:rPr>
          <w:rFonts w:ascii="Arial" w:hAnsi="Arial" w:cs="Arial"/>
          <w:highlight w:val="yellow"/>
        </w:rPr>
        <w:t>.) and text-to-image generators have been used during the writing or editing of this manuscript</w:t>
      </w:r>
      <w:bookmarkEnd w:id="1"/>
      <w:r>
        <w:rPr>
          <w:rFonts w:ascii="Arial" w:hAnsi="Arial" w:cs="Arial"/>
          <w:highlight w:val="yellow"/>
        </w:rPr>
        <w:t xml:space="preserve">. </w:t>
      </w:r>
    </w:p>
    <w:bookmarkEnd w:id="2"/>
    <w:bookmarkEnd w:id="3"/>
    <w:bookmarkEnd w:id="4"/>
    <w:p w:rsidR="00F20D7C" w:rsidRDefault="00F20D7C">
      <w:pPr>
        <w:pStyle w:val="ReferHead"/>
        <w:spacing w:after="0"/>
        <w:jc w:val="both"/>
        <w:rPr>
          <w:rFonts w:ascii="Arial" w:hAnsi="Arial" w:cs="Arial"/>
          <w:b w:val="0"/>
          <w:caps w:val="0"/>
          <w:sz w:val="20"/>
        </w:rPr>
      </w:pPr>
    </w:p>
    <w:p w:rsidR="00F20D7C" w:rsidRDefault="00F20D7C">
      <w:pPr>
        <w:pStyle w:val="ReferHead"/>
        <w:spacing w:after="0"/>
        <w:jc w:val="both"/>
        <w:rPr>
          <w:rFonts w:ascii="Arial" w:hAnsi="Arial" w:cs="Arial"/>
        </w:rPr>
      </w:pPr>
    </w:p>
    <w:p w:rsidR="00F20D7C" w:rsidRDefault="00917F23">
      <w:pPr>
        <w:pStyle w:val="ReferHead"/>
        <w:spacing w:after="0"/>
        <w:jc w:val="both"/>
        <w:rPr>
          <w:rFonts w:ascii="Arial" w:hAnsi="Arial" w:cs="Arial"/>
        </w:rPr>
      </w:pPr>
      <w:r>
        <w:rPr>
          <w:rFonts w:ascii="Arial" w:hAnsi="Arial" w:cs="Arial"/>
        </w:rPr>
        <w:t>References</w:t>
      </w:r>
    </w:p>
    <w:p w:rsidR="00F20D7C" w:rsidRDefault="00F20D7C">
      <w:pPr>
        <w:pStyle w:val="ReferHead"/>
        <w:spacing w:after="0"/>
        <w:jc w:val="both"/>
        <w:rPr>
          <w:rFonts w:ascii="Arial" w:hAnsi="Arial" w:cs="Arial"/>
        </w:rPr>
      </w:pPr>
    </w:p>
    <w:p w:rsidR="00F20D7C" w:rsidRDefault="00917F23">
      <w:pPr>
        <w:jc w:val="both"/>
      </w:pPr>
      <w:r>
        <w:rPr>
          <w:rFonts w:ascii="Arial" w:eastAsia="SimSun" w:hAnsi="Arial" w:cs="Arial"/>
          <w:color w:val="222222"/>
          <w:shd w:val="clear" w:color="auto" w:fill="FFFFFF"/>
          <w:lang w:eastAsia="zh-CN" w:bidi="ar"/>
        </w:rPr>
        <w:t>Abdel-</w:t>
      </w:r>
      <w:proofErr w:type="spellStart"/>
      <w:r>
        <w:rPr>
          <w:rFonts w:ascii="Arial" w:eastAsia="SimSun" w:hAnsi="Arial" w:cs="Arial"/>
          <w:color w:val="222222"/>
          <w:shd w:val="clear" w:color="auto" w:fill="FFFFFF"/>
          <w:lang w:eastAsia="zh-CN" w:bidi="ar"/>
        </w:rPr>
        <w:t>Wareth</w:t>
      </w:r>
      <w:proofErr w:type="spellEnd"/>
      <w:r>
        <w:rPr>
          <w:rFonts w:ascii="Arial" w:eastAsia="SimSun" w:hAnsi="Arial" w:cs="Arial"/>
          <w:color w:val="222222"/>
          <w:shd w:val="clear" w:color="auto" w:fill="FFFFFF"/>
          <w:lang w:eastAsia="zh-CN" w:bidi="ar"/>
        </w:rPr>
        <w:t xml:space="preserve">, A. A. A., &amp; </w:t>
      </w:r>
      <w:proofErr w:type="spellStart"/>
      <w:r>
        <w:rPr>
          <w:rFonts w:ascii="Arial" w:eastAsia="SimSun" w:hAnsi="Arial" w:cs="Arial"/>
          <w:color w:val="222222"/>
          <w:shd w:val="clear" w:color="auto" w:fill="FFFFFF"/>
          <w:lang w:eastAsia="zh-CN" w:bidi="ar"/>
        </w:rPr>
        <w:t>Lohakare</w:t>
      </w:r>
      <w:proofErr w:type="spellEnd"/>
      <w:r>
        <w:rPr>
          <w:rFonts w:ascii="Arial" w:eastAsia="SimSun" w:hAnsi="Arial" w:cs="Arial"/>
          <w:color w:val="222222"/>
          <w:shd w:val="clear" w:color="auto" w:fill="FFFFFF"/>
          <w:lang w:eastAsia="zh-CN" w:bidi="ar"/>
        </w:rPr>
        <w:t>, J. (2023).</w:t>
      </w:r>
      <w:r>
        <w:rPr>
          <w:rFonts w:ascii="Arial" w:eastAsia="SimSun" w:hAnsi="Arial" w:cs="Arial"/>
          <w:color w:val="222222"/>
          <w:shd w:val="clear" w:color="auto" w:fill="FFFFFF"/>
          <w:lang w:eastAsia="zh-CN" w:bidi="ar"/>
        </w:rPr>
        <w:t xml:space="preserve"> Bioactive Lipid Compounds as Eco-Friendly Agents in the Diets of Broiler Chicks for Sustainable Production and Health Status. </w:t>
      </w:r>
      <w:r>
        <w:rPr>
          <w:rFonts w:ascii="Arial Italic" w:eastAsia="SimSun" w:hAnsi="Arial Italic" w:cs="Arial Italic"/>
          <w:i/>
          <w:iCs/>
          <w:color w:val="222222"/>
          <w:shd w:val="clear" w:color="auto" w:fill="FFFFFF"/>
          <w:lang w:eastAsia="zh-CN" w:bidi="ar"/>
        </w:rPr>
        <w:t xml:space="preserve">Vet. Sci. </w:t>
      </w:r>
      <w:r>
        <w:rPr>
          <w:rFonts w:ascii="Arial" w:eastAsia="SimSun" w:hAnsi="Arial" w:cs="Arial"/>
          <w:color w:val="222222"/>
          <w:shd w:val="clear" w:color="auto" w:fill="FFFFFF"/>
          <w:lang w:eastAsia="zh-CN" w:bidi="ar"/>
        </w:rPr>
        <w:t>2023, 10, 612.</w:t>
      </w:r>
    </w:p>
    <w:p w:rsidR="00F20D7C" w:rsidRDefault="00917F23">
      <w:pPr>
        <w:pStyle w:val="Body"/>
        <w:spacing w:after="0"/>
        <w:rPr>
          <w:lang w:val="en-IN"/>
        </w:rPr>
      </w:pPr>
      <w:r>
        <w:rPr>
          <w:lang w:val="it-IT"/>
        </w:rPr>
        <w:t>A</w:t>
      </w:r>
      <w:r>
        <w:rPr>
          <w:lang w:val="it-IT"/>
        </w:rPr>
        <w:t xml:space="preserve">kbari, M., Torki, M., &amp; Kaviani, K. (2016). </w:t>
      </w:r>
      <w:r>
        <w:rPr>
          <w:lang w:val="en-IN"/>
        </w:rPr>
        <w:t>Single and combined effects of peppermint and thyme essenti</w:t>
      </w:r>
      <w:r>
        <w:rPr>
          <w:lang w:val="en-IN"/>
        </w:rPr>
        <w:t xml:space="preserve">al oils on productive performance, egg quality traits, and blood parameters of laying hens reared under cold stress condition (6.8 ± 3°C). </w:t>
      </w:r>
      <w:r>
        <w:rPr>
          <w:i/>
          <w:iCs/>
          <w:lang w:val="en-IN"/>
        </w:rPr>
        <w:t>International Journal of Biometeorology</w:t>
      </w:r>
      <w:r>
        <w:rPr>
          <w:lang w:val="en-IN"/>
        </w:rPr>
        <w:t>, 60(3), 447–454.</w:t>
      </w:r>
    </w:p>
    <w:p w:rsidR="00F20D7C" w:rsidRDefault="00917F23">
      <w:pPr>
        <w:jc w:val="both"/>
      </w:pPr>
      <w:r>
        <w:rPr>
          <w:rFonts w:ascii="Arial" w:eastAsia="SimSun" w:hAnsi="Arial" w:cs="Arial"/>
          <w:color w:val="222222"/>
          <w:shd w:val="clear" w:color="auto" w:fill="FFFFFF"/>
          <w:lang w:eastAsia="zh-CN" w:bidi="ar"/>
        </w:rPr>
        <w:t xml:space="preserve">Alkassar¹, S. A. S. A. M., </w:t>
      </w:r>
      <w:proofErr w:type="spellStart"/>
      <w:r>
        <w:rPr>
          <w:rFonts w:ascii="Arial" w:eastAsia="SimSun" w:hAnsi="Arial" w:cs="Arial"/>
          <w:color w:val="222222"/>
          <w:shd w:val="clear" w:color="auto" w:fill="FFFFFF"/>
          <w:lang w:eastAsia="zh-CN" w:bidi="ar"/>
        </w:rPr>
        <w:t>Alkassar</w:t>
      </w:r>
      <w:proofErr w:type="spellEnd"/>
      <w:r>
        <w:rPr>
          <w:rFonts w:ascii="Arial" w:eastAsia="SimSun" w:hAnsi="Arial" w:cs="Arial"/>
          <w:color w:val="222222"/>
          <w:shd w:val="clear" w:color="auto" w:fill="FFFFFF"/>
          <w:lang w:eastAsia="zh-CN" w:bidi="ar"/>
        </w:rPr>
        <w:t>, A. M. A., Hassan, M. I.</w:t>
      </w:r>
      <w:r>
        <w:rPr>
          <w:rFonts w:ascii="Arial" w:eastAsia="SimSun" w:hAnsi="Arial" w:cs="Arial"/>
          <w:color w:val="222222"/>
          <w:shd w:val="clear" w:color="auto" w:fill="FFFFFF"/>
          <w:lang w:eastAsia="zh-CN" w:bidi="ar"/>
        </w:rPr>
        <w:t>, &amp; Ahmed, H. A. (2025). Productive and physiological effects of peppermint powder as a substitute for antibiotics and antioxidants in broiler diets.</w:t>
      </w:r>
      <w:r>
        <w:rPr>
          <w:rFonts w:ascii="Arial" w:eastAsia="SimSun" w:hAnsi="Arial" w:cs="Arial"/>
          <w:color w:val="222222"/>
          <w:shd w:val="clear" w:color="auto" w:fill="FFFFFF"/>
          <w:lang w:eastAsia="zh-CN" w:bidi="ar"/>
        </w:rPr>
        <w:t> </w:t>
      </w:r>
      <w:r>
        <w:rPr>
          <w:rFonts w:ascii="Arial" w:eastAsia="SimSun" w:hAnsi="Arial" w:cs="Arial"/>
          <w:i/>
          <w:iCs/>
          <w:color w:val="222222"/>
          <w:shd w:val="clear" w:color="auto" w:fill="FFFFFF"/>
          <w:lang w:eastAsia="zh-CN" w:bidi="ar"/>
        </w:rPr>
        <w:t>Open Veterinary Journal</w:t>
      </w:r>
      <w:r>
        <w:rPr>
          <w:rFonts w:ascii="Arial" w:eastAsia="SimSun" w:hAnsi="Arial" w:cs="Arial"/>
          <w:color w:val="222222"/>
          <w:shd w:val="clear" w:color="auto" w:fill="FFFFFF"/>
          <w:lang w:eastAsia="zh-CN" w:bidi="ar"/>
        </w:rPr>
        <w:t>, </w:t>
      </w:r>
      <w:r>
        <w:rPr>
          <w:rFonts w:ascii="Arial" w:eastAsia="SimSun" w:hAnsi="Arial" w:cs="Arial"/>
          <w:i/>
          <w:iCs/>
          <w:color w:val="222222"/>
          <w:shd w:val="clear" w:color="auto" w:fill="FFFFFF"/>
          <w:lang w:eastAsia="zh-CN" w:bidi="ar"/>
        </w:rPr>
        <w:t>15</w:t>
      </w:r>
      <w:r>
        <w:rPr>
          <w:rFonts w:ascii="Arial" w:eastAsia="SimSun" w:hAnsi="Arial" w:cs="Arial"/>
          <w:color w:val="222222"/>
          <w:shd w:val="clear" w:color="auto" w:fill="FFFFFF"/>
          <w:lang w:eastAsia="zh-CN" w:bidi="ar"/>
        </w:rPr>
        <w:t>(11), 5748.</w:t>
      </w:r>
    </w:p>
    <w:p w:rsidR="00F20D7C" w:rsidRDefault="00917F23">
      <w:pPr>
        <w:pStyle w:val="Body"/>
        <w:spacing w:after="0"/>
        <w:rPr>
          <w:lang w:val="en-IN"/>
        </w:rPr>
      </w:pPr>
      <w:r>
        <w:rPr>
          <w:lang w:val="en-IN"/>
        </w:rPr>
        <w:t>A</w:t>
      </w:r>
      <w:r>
        <w:rPr>
          <w:lang w:val="en-IN"/>
        </w:rPr>
        <w:t xml:space="preserve">rab Ameri, S., </w:t>
      </w:r>
      <w:proofErr w:type="spellStart"/>
      <w:r>
        <w:rPr>
          <w:lang w:val="en-IN"/>
        </w:rPr>
        <w:t>Samadi</w:t>
      </w:r>
      <w:proofErr w:type="spellEnd"/>
      <w:r>
        <w:rPr>
          <w:lang w:val="en-IN"/>
        </w:rPr>
        <w:t xml:space="preserve">, F., </w:t>
      </w:r>
      <w:proofErr w:type="spellStart"/>
      <w:r>
        <w:rPr>
          <w:lang w:val="en-IN"/>
        </w:rPr>
        <w:t>Dastar</w:t>
      </w:r>
      <w:proofErr w:type="spellEnd"/>
      <w:r>
        <w:rPr>
          <w:lang w:val="en-IN"/>
        </w:rPr>
        <w:t xml:space="preserve">, B., &amp; </w:t>
      </w:r>
      <w:proofErr w:type="spellStart"/>
      <w:r>
        <w:rPr>
          <w:lang w:val="en-IN"/>
        </w:rPr>
        <w:t>Zarehdaran</w:t>
      </w:r>
      <w:proofErr w:type="spellEnd"/>
      <w:r>
        <w:rPr>
          <w:lang w:val="en-IN"/>
        </w:rPr>
        <w:t>, S. (2016). Ef</w:t>
      </w:r>
      <w:r>
        <w:rPr>
          <w:lang w:val="en-IN"/>
        </w:rPr>
        <w:t>ficiency of peppermint (</w:t>
      </w:r>
      <w:r>
        <w:rPr>
          <w:i/>
          <w:iCs/>
          <w:lang w:val="en-IN"/>
        </w:rPr>
        <w:t xml:space="preserve">Mentha </w:t>
      </w:r>
      <w:proofErr w:type="spellStart"/>
      <w:r>
        <w:rPr>
          <w:i/>
          <w:iCs/>
          <w:lang w:val="en-IN"/>
        </w:rPr>
        <w:t>piperita</w:t>
      </w:r>
      <w:proofErr w:type="spellEnd"/>
      <w:r>
        <w:rPr>
          <w:lang w:val="en-IN"/>
        </w:rPr>
        <w:t xml:space="preserve">) powder on performance, body temperature and carcass characteristics of broiler chickens in heat stress condition. </w:t>
      </w:r>
      <w:r>
        <w:rPr>
          <w:i/>
          <w:iCs/>
          <w:lang w:val="en-IN"/>
        </w:rPr>
        <w:t>Iranian Journal of Applied Animal Science</w:t>
      </w:r>
      <w:r>
        <w:rPr>
          <w:lang w:val="en-IN"/>
        </w:rPr>
        <w:t>, 6(4), 943–950.</w:t>
      </w:r>
    </w:p>
    <w:p w:rsidR="00F20D7C" w:rsidRDefault="00917F23">
      <w:pPr>
        <w:pStyle w:val="Body"/>
        <w:spacing w:after="0"/>
        <w:rPr>
          <w:lang w:val="en-IN"/>
        </w:rPr>
      </w:pPr>
      <w:proofErr w:type="spellStart"/>
      <w:r>
        <w:rPr>
          <w:lang w:val="en-IN"/>
        </w:rPr>
        <w:t>Asadi</w:t>
      </w:r>
      <w:proofErr w:type="spellEnd"/>
      <w:r>
        <w:rPr>
          <w:lang w:val="en-IN"/>
        </w:rPr>
        <w:t xml:space="preserve">, N., Husseini, S. D., </w:t>
      </w:r>
      <w:proofErr w:type="spellStart"/>
      <w:r>
        <w:rPr>
          <w:lang w:val="en-IN"/>
        </w:rPr>
        <w:t>Tohidian</w:t>
      </w:r>
      <w:proofErr w:type="spellEnd"/>
      <w:r>
        <w:rPr>
          <w:lang w:val="en-IN"/>
        </w:rPr>
        <w:t>, M. T.</w:t>
      </w:r>
      <w:r>
        <w:rPr>
          <w:lang w:val="en-IN"/>
        </w:rPr>
        <w:t xml:space="preserve">, Abdali, N., </w:t>
      </w:r>
      <w:proofErr w:type="spellStart"/>
      <w:r>
        <w:rPr>
          <w:lang w:val="en-IN"/>
        </w:rPr>
        <w:t>Mimandipoure</w:t>
      </w:r>
      <w:proofErr w:type="spellEnd"/>
      <w:r>
        <w:rPr>
          <w:lang w:val="en-IN"/>
        </w:rPr>
        <w:t xml:space="preserve">, A., </w:t>
      </w:r>
      <w:proofErr w:type="spellStart"/>
      <w:r>
        <w:rPr>
          <w:lang w:val="en-IN"/>
        </w:rPr>
        <w:t>Rafieian-Kopaei</w:t>
      </w:r>
      <w:proofErr w:type="spellEnd"/>
      <w:r>
        <w:rPr>
          <w:lang w:val="en-IN"/>
        </w:rPr>
        <w:t>, M., &amp; Bahmani, M. (2017). Performance of broilers supplemented with peppermint (</w:t>
      </w:r>
      <w:r>
        <w:rPr>
          <w:rStyle w:val="Italic"/>
        </w:rPr>
        <w:t xml:space="preserve">Mentha </w:t>
      </w:r>
      <w:proofErr w:type="spellStart"/>
      <w:r>
        <w:rPr>
          <w:rStyle w:val="Italic"/>
        </w:rPr>
        <w:t>piperita</w:t>
      </w:r>
      <w:proofErr w:type="spellEnd"/>
      <w:r>
        <w:rPr>
          <w:rStyle w:val="Italic"/>
        </w:rPr>
        <w:t xml:space="preserve"> </w:t>
      </w:r>
      <w:r>
        <w:rPr>
          <w:rStyle w:val="Italic"/>
        </w:rPr>
        <w:t>L.</w:t>
      </w:r>
      <w:r>
        <w:rPr>
          <w:lang w:val="en-IN"/>
        </w:rPr>
        <w:t xml:space="preserve">) powder. </w:t>
      </w:r>
      <w:r>
        <w:rPr>
          <w:i/>
          <w:iCs/>
          <w:lang w:val="en-IN"/>
        </w:rPr>
        <w:t>Journal of Evidence-Based Complementary and Alternative Medicine</w:t>
      </w:r>
      <w:r>
        <w:rPr>
          <w:lang w:val="en-IN"/>
        </w:rPr>
        <w:t>, 22(4), 703–706.</w:t>
      </w:r>
    </w:p>
    <w:p w:rsidR="00F20D7C" w:rsidRDefault="00917F23">
      <w:pPr>
        <w:pStyle w:val="Body"/>
        <w:spacing w:after="0"/>
        <w:rPr>
          <w:lang w:val="en-IN"/>
        </w:rPr>
      </w:pPr>
      <w:r>
        <w:rPr>
          <w:lang w:val="en-IN"/>
        </w:rPr>
        <w:t xml:space="preserve">Burt, S. (2004). Essential oils: Their antibacterial properties and potential applications in foods—A review. </w:t>
      </w:r>
      <w:r>
        <w:rPr>
          <w:i/>
          <w:iCs/>
          <w:lang w:val="en-IN"/>
        </w:rPr>
        <w:t>International Journal of Food Microbiology</w:t>
      </w:r>
      <w:r>
        <w:rPr>
          <w:lang w:val="en-IN"/>
        </w:rPr>
        <w:t>, 94(3), 223–253.</w:t>
      </w:r>
    </w:p>
    <w:p w:rsidR="00F20D7C" w:rsidRDefault="00917F23">
      <w:pPr>
        <w:pStyle w:val="Body"/>
        <w:spacing w:after="0"/>
        <w:rPr>
          <w:lang w:val="en-IN"/>
        </w:rPr>
      </w:pPr>
      <w:r>
        <w:rPr>
          <w:lang w:val="en-IN"/>
        </w:rPr>
        <w:t xml:space="preserve">Campbell, T. W. (1995). </w:t>
      </w:r>
      <w:r>
        <w:rPr>
          <w:i/>
          <w:iCs/>
          <w:lang w:val="en-IN"/>
        </w:rPr>
        <w:t xml:space="preserve">Avian </w:t>
      </w:r>
      <w:proofErr w:type="spellStart"/>
      <w:r>
        <w:rPr>
          <w:i/>
          <w:iCs/>
          <w:lang w:val="en-IN"/>
        </w:rPr>
        <w:t>hematology</w:t>
      </w:r>
      <w:proofErr w:type="spellEnd"/>
      <w:r>
        <w:rPr>
          <w:i/>
          <w:iCs/>
          <w:lang w:val="en-IN"/>
        </w:rPr>
        <w:t xml:space="preserve"> and cytology</w:t>
      </w:r>
      <w:r>
        <w:rPr>
          <w:lang w:val="en-IN"/>
        </w:rPr>
        <w:t>. Ames, IA: Iowa State University</w:t>
      </w:r>
      <w:r>
        <w:rPr>
          <w:lang w:val="en-IN"/>
        </w:rPr>
        <w:t xml:space="preserve"> Press.</w:t>
      </w:r>
    </w:p>
    <w:p w:rsidR="00F20D7C" w:rsidRDefault="00917F23">
      <w:pPr>
        <w:pStyle w:val="Body"/>
        <w:spacing w:after="0"/>
        <w:rPr>
          <w:lang w:val="en-IN"/>
        </w:rPr>
      </w:pPr>
      <w:proofErr w:type="spellStart"/>
      <w:r>
        <w:rPr>
          <w:lang w:val="en-IN"/>
        </w:rPr>
        <w:t>Castanon</w:t>
      </w:r>
      <w:proofErr w:type="spellEnd"/>
      <w:r>
        <w:rPr>
          <w:lang w:val="en-IN"/>
        </w:rPr>
        <w:t xml:space="preserve">, J. I. R. (2007). History of the use of antibiotics as growth promoters in European poultry feeds. </w:t>
      </w:r>
      <w:r>
        <w:rPr>
          <w:i/>
          <w:iCs/>
          <w:lang w:val="en-IN"/>
        </w:rPr>
        <w:t>Poultry Science</w:t>
      </w:r>
      <w:r>
        <w:rPr>
          <w:lang w:val="en-IN"/>
        </w:rPr>
        <w:t>, 86(11), 2466–2471.</w:t>
      </w:r>
    </w:p>
    <w:p w:rsidR="00F20D7C" w:rsidRDefault="00917F23">
      <w:pPr>
        <w:pStyle w:val="Body"/>
        <w:spacing w:after="0"/>
        <w:rPr>
          <w:lang w:val="en-IN"/>
        </w:rPr>
      </w:pPr>
      <w:r>
        <w:rPr>
          <w:lang w:val="en-IN"/>
        </w:rPr>
        <w:t>Dibner, J. J., &amp; Richards, J. D. (2005). Antibiotic growth promoters in agriculture: History and mode of</w:t>
      </w:r>
      <w:r>
        <w:rPr>
          <w:lang w:val="en-IN"/>
        </w:rPr>
        <w:t xml:space="preserve"> action. </w:t>
      </w:r>
      <w:r>
        <w:rPr>
          <w:i/>
          <w:iCs/>
          <w:lang w:val="en-IN"/>
        </w:rPr>
        <w:t>Poultry Science</w:t>
      </w:r>
      <w:r>
        <w:rPr>
          <w:lang w:val="en-IN"/>
        </w:rPr>
        <w:t>, 84(4), 634–643.</w:t>
      </w:r>
    </w:p>
    <w:p w:rsidR="00F20D7C" w:rsidRDefault="00917F23">
      <w:pPr>
        <w:pStyle w:val="Body"/>
        <w:spacing w:after="0"/>
        <w:rPr>
          <w:lang w:val="en-IN"/>
        </w:rPr>
      </w:pPr>
      <w:proofErr w:type="spellStart"/>
      <w:r>
        <w:rPr>
          <w:lang w:val="en-IN"/>
        </w:rPr>
        <w:t>Gayessa</w:t>
      </w:r>
      <w:proofErr w:type="spellEnd"/>
      <w:r>
        <w:rPr>
          <w:lang w:val="en-IN"/>
        </w:rPr>
        <w:t xml:space="preserve">, F. K. (2023). </w:t>
      </w:r>
      <w:r>
        <w:rPr>
          <w:i/>
          <w:iCs/>
          <w:lang w:val="en-IN"/>
        </w:rPr>
        <w:t xml:space="preserve">Evaluation of </w:t>
      </w:r>
      <w:proofErr w:type="spellStart"/>
      <w:r>
        <w:rPr>
          <w:i/>
          <w:iCs/>
          <w:lang w:val="en-IN"/>
        </w:rPr>
        <w:t>tossign</w:t>
      </w:r>
      <w:proofErr w:type="spellEnd"/>
      <w:r>
        <w:rPr>
          <w:i/>
          <w:iCs/>
          <w:lang w:val="en-IN"/>
        </w:rPr>
        <w:t xml:space="preserve"> (Thymus </w:t>
      </w:r>
      <w:proofErr w:type="spellStart"/>
      <w:r>
        <w:rPr>
          <w:i/>
          <w:iCs/>
          <w:lang w:val="en-IN"/>
        </w:rPr>
        <w:t>schimperi</w:t>
      </w:r>
      <w:proofErr w:type="spellEnd"/>
      <w:r>
        <w:rPr>
          <w:i/>
          <w:iCs/>
          <w:lang w:val="en-IN"/>
        </w:rPr>
        <w:t xml:space="preserve"> </w:t>
      </w:r>
      <w:proofErr w:type="spellStart"/>
      <w:r>
        <w:rPr>
          <w:i/>
          <w:iCs/>
          <w:lang w:val="en-IN"/>
        </w:rPr>
        <w:t>Ronniger</w:t>
      </w:r>
      <w:proofErr w:type="spellEnd"/>
      <w:r>
        <w:rPr>
          <w:i/>
          <w:iCs/>
          <w:lang w:val="en-IN"/>
        </w:rPr>
        <w:t>) leaves and twigs as natural feed additive on performances of dairy cows</w:t>
      </w:r>
      <w:r>
        <w:rPr>
          <w:lang w:val="en-IN"/>
        </w:rPr>
        <w:t xml:space="preserve"> (Doctoral dissertation). </w:t>
      </w:r>
      <w:proofErr w:type="spellStart"/>
      <w:r>
        <w:rPr>
          <w:lang w:val="en-IN"/>
        </w:rPr>
        <w:t>Haramaya</w:t>
      </w:r>
      <w:proofErr w:type="spellEnd"/>
      <w:r>
        <w:rPr>
          <w:lang w:val="en-IN"/>
        </w:rPr>
        <w:t xml:space="preserve"> University, Ethiopia.</w:t>
      </w:r>
    </w:p>
    <w:p w:rsidR="00F20D7C" w:rsidRDefault="00917F23">
      <w:pPr>
        <w:pStyle w:val="Body"/>
        <w:spacing w:after="0"/>
        <w:rPr>
          <w:lang w:val="en-IN"/>
        </w:rPr>
      </w:pPr>
      <w:r>
        <w:rPr>
          <w:lang w:val="en-IN"/>
        </w:rPr>
        <w:t>Griffin, H. D</w:t>
      </w:r>
      <w:r>
        <w:rPr>
          <w:lang w:val="en-IN"/>
        </w:rPr>
        <w:t xml:space="preserve">., Guo, K., Windsor, D., &amp; </w:t>
      </w:r>
      <w:proofErr w:type="spellStart"/>
      <w:r>
        <w:rPr>
          <w:lang w:val="en-IN"/>
        </w:rPr>
        <w:t>Butterwith</w:t>
      </w:r>
      <w:proofErr w:type="spellEnd"/>
      <w:r>
        <w:rPr>
          <w:lang w:val="en-IN"/>
        </w:rPr>
        <w:t xml:space="preserve">, S. C. (1992). Adipose tissue lipogenesis and fat deposition in leaner broiler chickens. </w:t>
      </w:r>
      <w:r>
        <w:rPr>
          <w:i/>
          <w:iCs/>
          <w:lang w:val="en-IN"/>
        </w:rPr>
        <w:t>The Journal of Nutrition</w:t>
      </w:r>
      <w:r>
        <w:rPr>
          <w:lang w:val="en-IN"/>
        </w:rPr>
        <w:t>, 122(2), 363–368.</w:t>
      </w:r>
    </w:p>
    <w:p w:rsidR="00F20D7C" w:rsidRDefault="00917F23">
      <w:pPr>
        <w:pStyle w:val="Body"/>
        <w:spacing w:after="0"/>
        <w:rPr>
          <w:lang w:val="en-IN"/>
        </w:rPr>
      </w:pPr>
      <w:r>
        <w:rPr>
          <w:lang w:val="en-IN"/>
        </w:rPr>
        <w:t xml:space="preserve">Hashemi, S. R., &amp; </w:t>
      </w:r>
      <w:proofErr w:type="spellStart"/>
      <w:r>
        <w:rPr>
          <w:lang w:val="en-IN"/>
        </w:rPr>
        <w:t>Davoodi</w:t>
      </w:r>
      <w:proofErr w:type="spellEnd"/>
      <w:r>
        <w:rPr>
          <w:lang w:val="en-IN"/>
        </w:rPr>
        <w:t>, H. (2011). Herbal plants and their derivatives as growth an</w:t>
      </w:r>
      <w:r>
        <w:rPr>
          <w:lang w:val="en-IN"/>
        </w:rPr>
        <w:t xml:space="preserve">d health promoters in animal nutrition. </w:t>
      </w:r>
      <w:r>
        <w:rPr>
          <w:i/>
          <w:iCs/>
          <w:lang w:val="en-IN"/>
        </w:rPr>
        <w:t>Veterinary Research Communications</w:t>
      </w:r>
      <w:r>
        <w:rPr>
          <w:lang w:val="en-IN"/>
        </w:rPr>
        <w:t>, 35(3), 169–180.</w:t>
      </w:r>
    </w:p>
    <w:p w:rsidR="00F20D7C" w:rsidRDefault="00917F23">
      <w:pPr>
        <w:pStyle w:val="Body"/>
        <w:spacing w:after="0"/>
        <w:rPr>
          <w:lang w:val="en-IN"/>
        </w:rPr>
      </w:pPr>
      <w:r>
        <w:rPr>
          <w:lang w:val="en-IN"/>
        </w:rPr>
        <w:t>McKay, D. L., &amp; Blumberg, J. B. (2006). A review of the bioactivity and potential health benefits of peppermint tea (</w:t>
      </w:r>
      <w:r>
        <w:rPr>
          <w:rStyle w:val="Italic"/>
        </w:rPr>
        <w:t xml:space="preserve">Mentha </w:t>
      </w:r>
      <w:proofErr w:type="spellStart"/>
      <w:r>
        <w:rPr>
          <w:rStyle w:val="Italic"/>
        </w:rPr>
        <w:t>piperita</w:t>
      </w:r>
      <w:proofErr w:type="spellEnd"/>
      <w:r>
        <w:rPr>
          <w:rStyle w:val="Italic"/>
        </w:rPr>
        <w:t xml:space="preserve"> </w:t>
      </w:r>
      <w:r>
        <w:rPr>
          <w:rStyle w:val="Italic"/>
        </w:rPr>
        <w:t>L.</w:t>
      </w:r>
      <w:r>
        <w:rPr>
          <w:lang w:val="en-IN"/>
        </w:rPr>
        <w:t xml:space="preserve">). </w:t>
      </w:r>
      <w:proofErr w:type="spellStart"/>
      <w:r>
        <w:rPr>
          <w:i/>
          <w:iCs/>
          <w:lang w:val="en-IN"/>
        </w:rPr>
        <w:t>Phytotherapy</w:t>
      </w:r>
      <w:proofErr w:type="spellEnd"/>
      <w:r>
        <w:rPr>
          <w:i/>
          <w:iCs/>
          <w:lang w:val="en-IN"/>
        </w:rPr>
        <w:t xml:space="preserve"> Research</w:t>
      </w:r>
      <w:r>
        <w:rPr>
          <w:lang w:val="en-IN"/>
        </w:rPr>
        <w:t>, 20(</w:t>
      </w:r>
      <w:r>
        <w:rPr>
          <w:lang w:val="en-IN"/>
        </w:rPr>
        <w:t>8), 619–633.</w:t>
      </w:r>
    </w:p>
    <w:p w:rsidR="00F20D7C" w:rsidRDefault="00917F23">
      <w:pPr>
        <w:pStyle w:val="Body"/>
        <w:spacing w:after="0"/>
        <w:rPr>
          <w:lang w:val="en-IN"/>
        </w:rPr>
      </w:pPr>
      <w:r>
        <w:rPr>
          <w:lang w:val="en-IN"/>
        </w:rPr>
        <w:lastRenderedPageBreak/>
        <w:t xml:space="preserve">Shan, B., Cai, Y. Z., Sun, M., &amp; </w:t>
      </w:r>
      <w:proofErr w:type="spellStart"/>
      <w:r>
        <w:rPr>
          <w:lang w:val="en-IN"/>
        </w:rPr>
        <w:t>Corke</w:t>
      </w:r>
      <w:proofErr w:type="spellEnd"/>
      <w:r>
        <w:rPr>
          <w:lang w:val="en-IN"/>
        </w:rPr>
        <w:t xml:space="preserve">, H. (2005). Antioxidant capacity of 26 spice extracts and characterization of their phenolic constituents. </w:t>
      </w:r>
      <w:r>
        <w:rPr>
          <w:i/>
          <w:iCs/>
          <w:lang w:val="en-IN"/>
        </w:rPr>
        <w:t>Journal of Agricultural and Food Chemistry</w:t>
      </w:r>
      <w:r>
        <w:rPr>
          <w:lang w:val="en-IN"/>
        </w:rPr>
        <w:t>, 53(20), 7749–7759.</w:t>
      </w:r>
    </w:p>
    <w:p w:rsidR="00F20D7C" w:rsidRDefault="00917F23">
      <w:pPr>
        <w:pStyle w:val="Body"/>
        <w:spacing w:after="0"/>
        <w:rPr>
          <w:lang w:val="en-IN"/>
        </w:rPr>
      </w:pPr>
      <w:proofErr w:type="spellStart"/>
      <w:r>
        <w:rPr>
          <w:lang w:val="en-IN"/>
        </w:rPr>
        <w:t>Windisch</w:t>
      </w:r>
      <w:proofErr w:type="spellEnd"/>
      <w:r>
        <w:rPr>
          <w:lang w:val="en-IN"/>
        </w:rPr>
        <w:t xml:space="preserve">, W., </w:t>
      </w:r>
      <w:proofErr w:type="spellStart"/>
      <w:r>
        <w:rPr>
          <w:lang w:val="en-IN"/>
        </w:rPr>
        <w:t>Schedle</w:t>
      </w:r>
      <w:proofErr w:type="spellEnd"/>
      <w:r>
        <w:rPr>
          <w:lang w:val="en-IN"/>
        </w:rPr>
        <w:t xml:space="preserve">, K., </w:t>
      </w:r>
      <w:proofErr w:type="spellStart"/>
      <w:r>
        <w:rPr>
          <w:lang w:val="en-IN"/>
        </w:rPr>
        <w:t>Plitzne</w:t>
      </w:r>
      <w:r>
        <w:rPr>
          <w:lang w:val="en-IN"/>
        </w:rPr>
        <w:t>r</w:t>
      </w:r>
      <w:proofErr w:type="spellEnd"/>
      <w:r>
        <w:rPr>
          <w:lang w:val="en-IN"/>
        </w:rPr>
        <w:t xml:space="preserve">, C., &amp; </w:t>
      </w:r>
      <w:proofErr w:type="spellStart"/>
      <w:r>
        <w:rPr>
          <w:lang w:val="en-IN"/>
        </w:rPr>
        <w:t>Kroismayr</w:t>
      </w:r>
      <w:proofErr w:type="spellEnd"/>
      <w:r>
        <w:rPr>
          <w:lang w:val="en-IN"/>
        </w:rPr>
        <w:t xml:space="preserve">, A. (2008). Use of phytogenic products as feed additives for swine and poultry. </w:t>
      </w:r>
      <w:r>
        <w:rPr>
          <w:i/>
          <w:iCs/>
          <w:lang w:val="en-IN"/>
        </w:rPr>
        <w:t>Journal of Animal Science</w:t>
      </w:r>
      <w:r>
        <w:rPr>
          <w:lang w:val="en-IN"/>
        </w:rPr>
        <w:t>, 86(Suppl. 14), E140–E148.</w:t>
      </w:r>
    </w:p>
    <w:p w:rsidR="00F20D7C" w:rsidRDefault="00917F23">
      <w:pPr>
        <w:pStyle w:val="Body"/>
        <w:spacing w:after="0"/>
        <w:rPr>
          <w:rFonts w:ascii="Arial Regular" w:hAnsi="Arial Regular" w:cs="Arial Regular"/>
        </w:rPr>
      </w:pPr>
      <w:r>
        <w:rPr>
          <w:rFonts w:ascii="Arial Regular" w:eastAsia="SimSun" w:hAnsi="Arial Regular" w:cs="Arial Regular"/>
          <w:color w:val="222222"/>
          <w:shd w:val="clear" w:color="auto" w:fill="FFFFFF"/>
          <w:lang w:eastAsia="zh-CN" w:bidi="ar"/>
        </w:rPr>
        <w:t>Sulieman, A. M. E., Abdelrahman, S. E., &amp; Abdel Rahim, A. M. (2011). Phytochemical analysis of local spe</w:t>
      </w:r>
      <w:r>
        <w:rPr>
          <w:rFonts w:ascii="Arial Regular" w:eastAsia="SimSun" w:hAnsi="Arial Regular" w:cs="Arial Regular"/>
          <w:color w:val="222222"/>
          <w:shd w:val="clear" w:color="auto" w:fill="FFFFFF"/>
          <w:lang w:eastAsia="zh-CN" w:bidi="ar"/>
        </w:rPr>
        <w:t>armint (</w:t>
      </w:r>
      <w:r>
        <w:rPr>
          <w:rFonts w:ascii="Arial Regular" w:eastAsia="SimSun" w:hAnsi="Arial Regular" w:cs="Arial Regular"/>
          <w:i/>
          <w:iCs/>
          <w:color w:val="222222"/>
          <w:shd w:val="clear" w:color="auto" w:fill="FFFFFF"/>
          <w:lang w:eastAsia="zh-CN" w:bidi="ar"/>
        </w:rPr>
        <w:t>Mentha spicata</w:t>
      </w:r>
      <w:r>
        <w:rPr>
          <w:rFonts w:ascii="Arial Regular" w:eastAsia="SimSun" w:hAnsi="Arial Regular" w:cs="Arial Regular"/>
          <w:color w:val="222222"/>
          <w:shd w:val="clear" w:color="auto" w:fill="FFFFFF"/>
          <w:lang w:eastAsia="zh-CN" w:bidi="ar"/>
        </w:rPr>
        <w:t>) leaves and detection of the antimicrobial activity of its oil. </w:t>
      </w:r>
      <w:r>
        <w:rPr>
          <w:rFonts w:ascii="Arial Regular" w:eastAsia="SimSun" w:hAnsi="Arial Regular" w:cs="Arial Regular"/>
          <w:i/>
          <w:iCs/>
          <w:color w:val="222222"/>
          <w:shd w:val="clear" w:color="auto" w:fill="FFFFFF"/>
          <w:lang w:eastAsia="zh-CN" w:bidi="ar"/>
        </w:rPr>
        <w:t>Journal of Microbiology Research</w:t>
      </w:r>
      <w:r>
        <w:rPr>
          <w:rFonts w:ascii="Arial Regular" w:eastAsia="SimSun" w:hAnsi="Arial Regular" w:cs="Arial Regular"/>
          <w:color w:val="222222"/>
          <w:shd w:val="clear" w:color="auto" w:fill="FFFFFF"/>
          <w:lang w:eastAsia="zh-CN" w:bidi="ar"/>
        </w:rPr>
        <w:t>, </w:t>
      </w:r>
      <w:r>
        <w:rPr>
          <w:rFonts w:ascii="Arial Regular" w:eastAsia="SimSun" w:hAnsi="Arial Regular" w:cs="Arial Regular"/>
          <w:i/>
          <w:iCs/>
          <w:color w:val="222222"/>
          <w:shd w:val="clear" w:color="auto" w:fill="FFFFFF"/>
          <w:lang w:eastAsia="zh-CN" w:bidi="ar"/>
        </w:rPr>
        <w:t>1</w:t>
      </w:r>
      <w:r>
        <w:rPr>
          <w:rFonts w:ascii="Arial Regular" w:eastAsia="SimSun" w:hAnsi="Arial Regular" w:cs="Arial Regular"/>
          <w:color w:val="222222"/>
          <w:shd w:val="clear" w:color="auto" w:fill="FFFFFF"/>
          <w:lang w:eastAsia="zh-CN" w:bidi="ar"/>
        </w:rPr>
        <w:t>(1), 1-4.</w:t>
      </w:r>
    </w:p>
    <w:p w:rsidR="00F20D7C" w:rsidRDefault="00F20D7C">
      <w:pPr>
        <w:pStyle w:val="Body"/>
        <w:spacing w:after="0"/>
        <w:rPr>
          <w:rFonts w:ascii="Arial" w:hAnsi="Arial" w:cs="Arial"/>
        </w:rPr>
      </w:pPr>
    </w:p>
    <w:sectPr w:rsidR="00F20D7C">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F23" w:rsidRDefault="00917F23">
      <w:r>
        <w:separator/>
      </w:r>
    </w:p>
  </w:endnote>
  <w:endnote w:type="continuationSeparator" w:id="0">
    <w:p w:rsidR="00917F23" w:rsidRDefault="00917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Regular">
    <w:altName w:val="Arial"/>
    <w:charset w:val="00"/>
    <w:family w:val="auto"/>
    <w:pitch w:val="default"/>
    <w:sig w:usb0="E0000AFF" w:usb1="00007843" w:usb2="00000001" w:usb3="00000000" w:csb0="400001BF" w:csb1="DFF70000"/>
  </w:font>
  <w:font w:name="Arial Italic">
    <w:panose1 w:val="020B0604020202090204"/>
    <w:charset w:val="00"/>
    <w:family w:val="auto"/>
    <w:pitch w:val="default"/>
    <w:sig w:usb0="E0000AFF" w:usb1="00007843" w:usb2="00000001" w:usb3="00000000" w:csb0="400001BF" w:csb1="DFF70000"/>
  </w:font>
  <w:font w:name="Arial Bold">
    <w:panose1 w:val="020B0704020202020204"/>
    <w:charset w:val="00"/>
    <w:family w:val="auto"/>
    <w:pitch w:val="default"/>
    <w:sig w:usb0="E0000AFF" w:usb1="00007843" w:usb2="00000001" w:usb3="00000000" w:csb0="400001BF" w:csb1="DFF7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D7C" w:rsidRDefault="00F20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D7C" w:rsidRDefault="00F20D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D7C" w:rsidRDefault="00F20D7C">
    <w:pPr>
      <w:pStyle w:val="Footer"/>
      <w:rPr>
        <w:rFonts w:ascii="Arial" w:hAnsi="Arial" w:cs="Arial"/>
        <w:sz w:val="16"/>
      </w:rPr>
    </w:pPr>
  </w:p>
  <w:p w:rsidR="00F20D7C" w:rsidRDefault="00917F23">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F20D7C" w:rsidRDefault="00F20D7C">
    <w:pPr>
      <w:pStyle w:val="Footer"/>
      <w:rPr>
        <w:rFonts w:ascii="Arial" w:hAnsi="Arial" w:cs="Arial"/>
        <w:sz w:val="16"/>
      </w:rPr>
    </w:pPr>
  </w:p>
  <w:p w:rsidR="00F20D7C" w:rsidRDefault="00917F23">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D7C" w:rsidRDefault="00F20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F23" w:rsidRDefault="00917F23">
      <w:r>
        <w:separator/>
      </w:r>
    </w:p>
  </w:footnote>
  <w:footnote w:type="continuationSeparator" w:id="0">
    <w:p w:rsidR="00917F23" w:rsidRDefault="00917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D7C" w:rsidRDefault="00917F23">
    <w:pPr>
      <w:pStyle w:val="Header"/>
    </w:pPr>
    <w:r>
      <w:pict w14:anchorId="019E6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57860" o:spid="_x0000_s2050" type="#_x0000_t136" style="position:absolute;margin-left:0;margin-top:0;width:520.65pt;height:57.8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D7C" w:rsidRDefault="00917F23">
    <w:pPr>
      <w:pStyle w:val="Header"/>
    </w:pPr>
    <w:r>
      <w:pict w14:anchorId="71EF8A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57861" o:spid="_x0000_s2051" type="#_x0000_t136" style="position:absolute;margin-left:0;margin-top:0;width:520.65pt;height:57.8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D7C" w:rsidRDefault="00917F23">
    <w:pPr>
      <w:ind w:left="2160"/>
      <w:jc w:val="center"/>
      <w:rPr>
        <w:rFonts w:ascii="Times New Roman" w:eastAsia="Calibri" w:hAnsi="Times New Roman"/>
        <w:i/>
        <w:sz w:val="18"/>
        <w:szCs w:val="22"/>
      </w:rPr>
    </w:pPr>
    <w:r>
      <w:pict w14:anchorId="6755A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57859" o:spid="_x0000_s2049" type="#_x0000_t136" style="position:absolute;left:0;text-align:left;margin-left:0;margin-top:0;width:520.65pt;height:57.8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F20D7C" w:rsidRDefault="00917F23">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F20D7C" w:rsidRDefault="00917F23">
    <w:pPr>
      <w:jc w:val="center"/>
      <w:rPr>
        <w:rFonts w:ascii="Times New Roman" w:eastAsia="Calibri" w:hAnsi="Times New Roman"/>
        <w:i/>
        <w:sz w:val="18"/>
        <w:szCs w:val="22"/>
      </w:rPr>
    </w:pPr>
    <w:r>
      <w:rPr>
        <w:rFonts w:ascii="Times New Roman" w:eastAsia="Calibri" w:hAnsi="Times New Roman"/>
        <w:i/>
        <w:sz w:val="18"/>
        <w:szCs w:val="22"/>
      </w:rPr>
      <w:t>.</w:t>
    </w:r>
  </w:p>
  <w:p w:rsidR="00F20D7C" w:rsidRDefault="00917F23">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F20D7C" w:rsidRDefault="00917F23">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F20D7C" w:rsidRDefault="00917F23">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F20D7C" w:rsidRDefault="00917F2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D7C" w:rsidRDefault="00917F2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57863" o:spid="_x0000_s2053" type="#_x0000_t136" style="position:absolute;margin-left:0;margin-top:0;width:520.65pt;height:57.8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D7C" w:rsidRDefault="00917F2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57864" o:spid="_x0000_s2054" type="#_x0000_t136" style="position:absolute;margin-left:0;margin-top:0;width:520.65pt;height:57.8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D7C" w:rsidRDefault="00917F23">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57862" o:spid="_x0000_s2052" type="#_x0000_t136" style="position:absolute;margin-left:0;margin-top:0;width:520.65pt;height:57.8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0sjQyM7Q0tjAxtDRS0lEKTi0uzszPAykwrgUAx/gNhywAAAA="/>
  </w:docVars>
  <w:rsids>
    <w:rsidRoot w:val="00AA6219"/>
    <w:rsid w:val="ADDF6FB4"/>
    <w:rsid w:val="B8DBBEF8"/>
    <w:rsid w:val="BE750F78"/>
    <w:rsid w:val="CFEF11E1"/>
    <w:rsid w:val="F76F3CA3"/>
    <w:rsid w:val="FBBFF98A"/>
    <w:rsid w:val="FBDFB04E"/>
    <w:rsid w:val="FF7B9D95"/>
    <w:rsid w:val="FFDFCE94"/>
    <w:rsid w:val="FFE97BDF"/>
    <w:rsid w:val="00000F8F"/>
    <w:rsid w:val="00030174"/>
    <w:rsid w:val="0004579C"/>
    <w:rsid w:val="000615DD"/>
    <w:rsid w:val="000A47FA"/>
    <w:rsid w:val="000A65D3"/>
    <w:rsid w:val="000B1E33"/>
    <w:rsid w:val="000D689F"/>
    <w:rsid w:val="000E7B7B"/>
    <w:rsid w:val="000E7D62"/>
    <w:rsid w:val="00103357"/>
    <w:rsid w:val="00104139"/>
    <w:rsid w:val="00107BF8"/>
    <w:rsid w:val="00107E81"/>
    <w:rsid w:val="00123C9F"/>
    <w:rsid w:val="00126190"/>
    <w:rsid w:val="00130F17"/>
    <w:rsid w:val="001320BF"/>
    <w:rsid w:val="001558B1"/>
    <w:rsid w:val="00163BC4"/>
    <w:rsid w:val="00166AD2"/>
    <w:rsid w:val="00191062"/>
    <w:rsid w:val="00192B72"/>
    <w:rsid w:val="001A29D8"/>
    <w:rsid w:val="001A5CAA"/>
    <w:rsid w:val="001B0427"/>
    <w:rsid w:val="001D3A51"/>
    <w:rsid w:val="001E10D2"/>
    <w:rsid w:val="001E25B4"/>
    <w:rsid w:val="001E44FE"/>
    <w:rsid w:val="00200595"/>
    <w:rsid w:val="00204835"/>
    <w:rsid w:val="00205FE3"/>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1473"/>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3B00"/>
    <w:rsid w:val="00440F43"/>
    <w:rsid w:val="00441B6F"/>
    <w:rsid w:val="004454B0"/>
    <w:rsid w:val="00446221"/>
    <w:rsid w:val="00450E62"/>
    <w:rsid w:val="004539DB"/>
    <w:rsid w:val="00471A80"/>
    <w:rsid w:val="004D305E"/>
    <w:rsid w:val="004D4277"/>
    <w:rsid w:val="00502516"/>
    <w:rsid w:val="00505F06"/>
    <w:rsid w:val="00506828"/>
    <w:rsid w:val="0053056E"/>
    <w:rsid w:val="00554FDA"/>
    <w:rsid w:val="005628AA"/>
    <w:rsid w:val="005C784C"/>
    <w:rsid w:val="005D17F6"/>
    <w:rsid w:val="005E0DF2"/>
    <w:rsid w:val="005E5539"/>
    <w:rsid w:val="005F3EF4"/>
    <w:rsid w:val="00602BF5"/>
    <w:rsid w:val="00617FDD"/>
    <w:rsid w:val="00633614"/>
    <w:rsid w:val="00633F68"/>
    <w:rsid w:val="00636EB2"/>
    <w:rsid w:val="006375B8"/>
    <w:rsid w:val="0066510A"/>
    <w:rsid w:val="00673EE4"/>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4181C"/>
    <w:rsid w:val="00860000"/>
    <w:rsid w:val="00863BD3"/>
    <w:rsid w:val="008641ED"/>
    <w:rsid w:val="00866D66"/>
    <w:rsid w:val="008671C6"/>
    <w:rsid w:val="00875803"/>
    <w:rsid w:val="008B2746"/>
    <w:rsid w:val="008B459E"/>
    <w:rsid w:val="008E13AE"/>
    <w:rsid w:val="008E1506"/>
    <w:rsid w:val="008E710C"/>
    <w:rsid w:val="008E7AB5"/>
    <w:rsid w:val="008F69D6"/>
    <w:rsid w:val="00902823"/>
    <w:rsid w:val="00915CA6"/>
    <w:rsid w:val="00917F23"/>
    <w:rsid w:val="00927834"/>
    <w:rsid w:val="009500A6"/>
    <w:rsid w:val="00957C18"/>
    <w:rsid w:val="009659BA"/>
    <w:rsid w:val="00983040"/>
    <w:rsid w:val="009A29A4"/>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07CA"/>
    <w:rsid w:val="00A94063"/>
    <w:rsid w:val="00AA6219"/>
    <w:rsid w:val="00AA74E0"/>
    <w:rsid w:val="00AB703F"/>
    <w:rsid w:val="00AC6BB8"/>
    <w:rsid w:val="00AC7246"/>
    <w:rsid w:val="00AE008F"/>
    <w:rsid w:val="00B01FCD"/>
    <w:rsid w:val="00B0646E"/>
    <w:rsid w:val="00B15CE9"/>
    <w:rsid w:val="00B1776C"/>
    <w:rsid w:val="00B43FF0"/>
    <w:rsid w:val="00B52583"/>
    <w:rsid w:val="00B52896"/>
    <w:rsid w:val="00B95236"/>
    <w:rsid w:val="00B96BD9"/>
    <w:rsid w:val="00BA1B01"/>
    <w:rsid w:val="00BA2641"/>
    <w:rsid w:val="00BB37AA"/>
    <w:rsid w:val="00BB4335"/>
    <w:rsid w:val="00BC53A0"/>
    <w:rsid w:val="00BD12C9"/>
    <w:rsid w:val="00BE62AD"/>
    <w:rsid w:val="00BF121F"/>
    <w:rsid w:val="00BF1F80"/>
    <w:rsid w:val="00C166EF"/>
    <w:rsid w:val="00C17EB0"/>
    <w:rsid w:val="00C27F5F"/>
    <w:rsid w:val="00C30A0F"/>
    <w:rsid w:val="00C37E61"/>
    <w:rsid w:val="00C57243"/>
    <w:rsid w:val="00C70F1B"/>
    <w:rsid w:val="00C71A47"/>
    <w:rsid w:val="00C7464C"/>
    <w:rsid w:val="00C82AE4"/>
    <w:rsid w:val="00C85588"/>
    <w:rsid w:val="00CD6755"/>
    <w:rsid w:val="00CD6856"/>
    <w:rsid w:val="00CE0089"/>
    <w:rsid w:val="00CE793C"/>
    <w:rsid w:val="00CF193C"/>
    <w:rsid w:val="00D173F1"/>
    <w:rsid w:val="00D67AAD"/>
    <w:rsid w:val="00D74CB0"/>
    <w:rsid w:val="00D8295D"/>
    <w:rsid w:val="00DC2A65"/>
    <w:rsid w:val="00DE15F0"/>
    <w:rsid w:val="00DE5663"/>
    <w:rsid w:val="00DE78AA"/>
    <w:rsid w:val="00DF74C7"/>
    <w:rsid w:val="00E04153"/>
    <w:rsid w:val="00E053D0"/>
    <w:rsid w:val="00E15994"/>
    <w:rsid w:val="00E272D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0D7C"/>
    <w:rsid w:val="00F32EE3"/>
    <w:rsid w:val="00F469F0"/>
    <w:rsid w:val="00F53273"/>
    <w:rsid w:val="00F713E0"/>
    <w:rsid w:val="00F755E4"/>
    <w:rsid w:val="00F77D02"/>
    <w:rsid w:val="00F83DE5"/>
    <w:rsid w:val="00FB3A86"/>
    <w:rsid w:val="00FD36C8"/>
    <w:rsid w:val="1FDF332E"/>
    <w:rsid w:val="34DB7176"/>
    <w:rsid w:val="3EF711A4"/>
    <w:rsid w:val="5F7D51B1"/>
    <w:rsid w:val="66BF468E"/>
    <w:rsid w:val="686FA591"/>
    <w:rsid w:val="6FDD576A"/>
    <w:rsid w:val="76FBA029"/>
    <w:rsid w:val="77F55045"/>
    <w:rsid w:val="7BFA5F72"/>
    <w:rsid w:val="7FF5D0C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421165"/>
  <w15:docId w15:val="{AE06B0ED-BF60-4B8E-81D5-DFACC72D0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NormalWeb">
    <w:name w:val="Normal (Web)"/>
    <w:semiHidden/>
    <w:unhideWhenUsed/>
    <w:pPr>
      <w:spacing w:beforeAutospacing="1" w:afterAutospacing="1"/>
    </w:pPr>
    <w:rPr>
      <w:sz w:val="24"/>
      <w:szCs w:val="24"/>
      <w:lang w:eastAsia="zh-CN"/>
    </w:rPr>
  </w:style>
  <w:style w:type="paragraph" w:styleId="Signature">
    <w:name w:val="Signature"/>
    <w:basedOn w:val="Normal"/>
    <w:pPr>
      <w:ind w:left="4320"/>
    </w:pPr>
  </w:style>
  <w:style w:type="character" w:styleId="Strong">
    <w:name w:val="Strong"/>
    <w:basedOn w:val="DefaultParagraphFont"/>
    <w:qFormat/>
    <w:rPr>
      <w:b/>
      <w:bCs/>
    </w:rPr>
  </w:style>
  <w:style w:type="table" w:styleId="TableGrid">
    <w:name w:val="Table Grid"/>
    <w:basedOn w:val="TableNormal"/>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PlainTable21">
    <w:name w:val="Plain Table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980E0A-2D1D-4A78-9028-D473CB6C4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3478</Words>
  <Characters>19827</Characters>
  <Application>Microsoft Office Word</Application>
  <DocSecurity>0</DocSecurity>
  <Lines>165</Lines>
  <Paragraphs>46</Paragraphs>
  <ScaleCrop>false</ScaleCrop>
  <Company>aaaa</Company>
  <LinksUpToDate>false</LinksUpToDate>
  <CharactersWithSpaces>23259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25</cp:revision>
  <cp:lastPrinted>1999-07-06T16:30:00Z</cp:lastPrinted>
  <dcterms:created xsi:type="dcterms:W3CDTF">2014-10-25T20:04:00Z</dcterms:created>
  <dcterms:modified xsi:type="dcterms:W3CDTF">2026-04-16T12:19:00Z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d46eb92e-5b13-4eaf-b401-c244c5e68d8f</vt:lpwstr>
  </property>
  <property fmtid="{D5CDD505-2E9C-101B-9397-08002B2CF9AE}" pid="3" name="KSOProductBuildVer">
    <vt:lpwstr>1033-12.1.25852.25852</vt:lpwstr>
  </property>
  <property fmtid="{D5CDD505-2E9C-101B-9397-08002B2CF9AE}" pid="4" name="ICV">
    <vt:lpwstr>2B692A80C83FBA3901D6DD69272CA719_43</vt:lpwstr>
  </property>
</Properties>
</file>