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0FF86" w14:textId="77777777" w:rsidR="00B1065D" w:rsidRPr="00703FA1" w:rsidRDefault="00B1065D" w:rsidP="00703FA1">
      <w:pPr>
        <w:pStyle w:val="Heading1"/>
        <w:jc w:val="both"/>
        <w:rPr>
          <w:sz w:val="36"/>
        </w:rPr>
      </w:pPr>
      <w:r w:rsidRPr="00703FA1">
        <w:rPr>
          <w:rStyle w:val="Strong"/>
          <w:b/>
          <w:bCs/>
          <w:sz w:val="36"/>
        </w:rPr>
        <w:t>Agroforestry in Carbon Sequestration: Mechanisms, Potentials, and Policy Implications</w:t>
      </w:r>
    </w:p>
    <w:p w14:paraId="4B20FF87" w14:textId="77777777" w:rsidR="00B1065D" w:rsidRDefault="00B1065D" w:rsidP="00703FA1">
      <w:pPr>
        <w:jc w:val="both"/>
      </w:pPr>
    </w:p>
    <w:p w14:paraId="4B20FF88" w14:textId="77777777" w:rsidR="00B1065D" w:rsidRDefault="00B1065D" w:rsidP="00703FA1">
      <w:pPr>
        <w:pStyle w:val="Heading2"/>
        <w:jc w:val="both"/>
      </w:pPr>
      <w:r>
        <w:t>Abstract</w:t>
      </w:r>
    </w:p>
    <w:p w14:paraId="4B20FF89" w14:textId="5AD3D56D" w:rsidR="00B1065D" w:rsidRDefault="00B1065D" w:rsidP="00703FA1">
      <w:pPr>
        <w:pStyle w:val="NormalWeb"/>
        <w:jc w:val="both"/>
      </w:pPr>
      <w:r>
        <w:t>Agroforestry—deliberate integration of trees with crops and/or livestock on the same land—is increasingly promoted as a natural climate solution because it can store substantial amounts of carbon in biomass and soils while sustaining rural livelihoods. Recent meta-analyses and global assessments indicate that agroforestry systems generally hold higher soil organic carbon (SOC) stocks than adjacent croplands or pastures and that trees on agricultural land already represent a large, but under-</w:t>
      </w:r>
      <w:proofErr w:type="spellStart"/>
      <w:r>
        <w:t>recognised</w:t>
      </w:r>
      <w:proofErr w:type="spellEnd"/>
      <w:r>
        <w:t xml:space="preserve">, component of national and global carbon budgets. Yet, the magnitude, permanence, and scalability of this mitigation potential are strongly context-dependent and shaped by system design, management, and socio-political conditions. This review </w:t>
      </w:r>
      <w:proofErr w:type="spellStart"/>
      <w:r>
        <w:t>synthesises</w:t>
      </w:r>
      <w:proofErr w:type="spellEnd"/>
      <w:r>
        <w:t xml:space="preserve"> current knowledge on biophysical mechanisms of carbon sequestration in agroforestry, including above- and belowground biomass accrual, SOC formation and </w:t>
      </w:r>
      <w:proofErr w:type="spellStart"/>
      <w:r>
        <w:t>stabilisation</w:t>
      </w:r>
      <w:proofErr w:type="spellEnd"/>
      <w:r>
        <w:t xml:space="preserve">, and landscape- and microclimate-mediated processes. It then examines quantitative estimates of carbon stocks and sequestration rates across major agroforestry systems and climatic regions, highlighting key uncertainties and trade-offs. Advances and remaining gaps </w:t>
      </w:r>
      <w:r w:rsidRPr="00742098">
        <w:rPr>
          <w:highlight w:val="yellow"/>
        </w:rPr>
        <w:t xml:space="preserve">in </w:t>
      </w:r>
      <w:r w:rsidR="00742098" w:rsidRPr="00742098">
        <w:rPr>
          <w:highlight w:val="yellow"/>
        </w:rPr>
        <w:t xml:space="preserve">the </w:t>
      </w:r>
      <w:r w:rsidRPr="00742098">
        <w:rPr>
          <w:highlight w:val="yellow"/>
        </w:rPr>
        <w:t>measur</w:t>
      </w:r>
      <w:r>
        <w:t>ement, monitoring and modelling of agroforestry carbon are discussed in the light of evolving climate policy, carbon markets, and “natural climate solutions” frameworks. The review also considers co-benefits for livelihoods, biodiversity and adaptation, as well as risks related to leakage, permanence, equity and land tenure. Finally, it outlines priority research and policy directions to better integrate agroforestry into nationally determined contributions and high-integrity carbon markets while safeguarding social and ecological outcomes.</w:t>
      </w:r>
    </w:p>
    <w:p w14:paraId="4B20FF8A" w14:textId="77777777" w:rsidR="00B1065D" w:rsidRDefault="00B1065D" w:rsidP="00703FA1">
      <w:pPr>
        <w:pStyle w:val="NormalWeb"/>
        <w:jc w:val="both"/>
      </w:pPr>
      <w:r>
        <w:rPr>
          <w:rStyle w:val="Strong"/>
        </w:rPr>
        <w:t>Keywords:</w:t>
      </w:r>
      <w:r>
        <w:t xml:space="preserve"> agroforestry; carbon sequestration; soil organic carbon; natural climate solutions; climate policy; carbon markets</w:t>
      </w:r>
    </w:p>
    <w:p w14:paraId="4B20FF8B" w14:textId="77777777" w:rsidR="00B1065D" w:rsidRDefault="00B1065D" w:rsidP="00703FA1">
      <w:pPr>
        <w:jc w:val="both"/>
      </w:pPr>
    </w:p>
    <w:p w14:paraId="4B20FF8C" w14:textId="77777777" w:rsidR="00571246" w:rsidRDefault="00571246" w:rsidP="00703FA1">
      <w:pPr>
        <w:jc w:val="both"/>
        <w:rPr>
          <w:rFonts w:ascii="Times New Roman" w:eastAsia="Times New Roman" w:hAnsi="Times New Roman" w:cs="Times New Roman"/>
          <w:b/>
          <w:bCs/>
          <w:sz w:val="36"/>
          <w:szCs w:val="36"/>
          <w:lang w:val="en-US"/>
        </w:rPr>
      </w:pPr>
      <w:r>
        <w:br w:type="page"/>
      </w:r>
    </w:p>
    <w:p w14:paraId="4B20FF8D" w14:textId="77777777" w:rsidR="00B1065D" w:rsidRDefault="00B1065D" w:rsidP="00703FA1">
      <w:pPr>
        <w:pStyle w:val="Heading2"/>
        <w:jc w:val="both"/>
      </w:pPr>
      <w:r>
        <w:lastRenderedPageBreak/>
        <w:t>1. Introduction</w:t>
      </w:r>
    </w:p>
    <w:p w14:paraId="4B20FF8E" w14:textId="5DA40CA0" w:rsidR="00B1065D" w:rsidRDefault="00276777" w:rsidP="00703FA1">
      <w:pPr>
        <w:pStyle w:val="NormalWeb"/>
        <w:jc w:val="both"/>
      </w:pPr>
      <w:r w:rsidRPr="00240687">
        <w:rPr>
          <w:rFonts w:ascii="Arial" w:hAnsi="Arial" w:cs="Arial"/>
          <w:color w:val="000000"/>
          <w:highlight w:val="yellow"/>
          <w:shd w:val="clear" w:color="auto" w:fill="FFFFFF"/>
        </w:rPr>
        <w:t xml:space="preserve">During the past three decades, agroforestry has become </w:t>
      </w:r>
      <w:proofErr w:type="spellStart"/>
      <w:r w:rsidRPr="00240687">
        <w:rPr>
          <w:rFonts w:ascii="Arial" w:hAnsi="Arial" w:cs="Arial"/>
          <w:color w:val="000000"/>
          <w:highlight w:val="yellow"/>
          <w:shd w:val="clear" w:color="auto" w:fill="FFFFFF"/>
        </w:rPr>
        <w:t>recogni</w:t>
      </w:r>
      <w:r w:rsidR="00742098">
        <w:rPr>
          <w:rFonts w:ascii="Arial" w:hAnsi="Arial" w:cs="Arial"/>
          <w:color w:val="000000"/>
          <w:highlight w:val="yellow"/>
          <w:shd w:val="clear" w:color="auto" w:fill="FFFFFF"/>
        </w:rPr>
        <w:t>s</w:t>
      </w:r>
      <w:r w:rsidRPr="00240687">
        <w:rPr>
          <w:rFonts w:ascii="Arial" w:hAnsi="Arial" w:cs="Arial"/>
          <w:color w:val="000000"/>
          <w:highlight w:val="yellow"/>
          <w:shd w:val="clear" w:color="auto" w:fill="FFFFFF"/>
        </w:rPr>
        <w:t>ed</w:t>
      </w:r>
      <w:proofErr w:type="spellEnd"/>
      <w:r w:rsidRPr="00240687">
        <w:rPr>
          <w:rFonts w:ascii="Arial" w:hAnsi="Arial" w:cs="Arial"/>
          <w:color w:val="000000"/>
          <w:highlight w:val="yellow"/>
          <w:shd w:val="clear" w:color="auto" w:fill="FFFFFF"/>
        </w:rPr>
        <w:t xml:space="preserve"> the world over as an integrated approach to sustainable land use because of its production and environmental benefits. Its recent recognition as a greenhouse gas–</w:t>
      </w:r>
      <w:r w:rsidR="00742098">
        <w:rPr>
          <w:rFonts w:ascii="Arial" w:hAnsi="Arial" w:cs="Arial"/>
          <w:color w:val="000000"/>
          <w:highlight w:val="yellow"/>
          <w:shd w:val="clear" w:color="auto" w:fill="FFFFFF"/>
        </w:rPr>
        <w:t>gas-</w:t>
      </w:r>
      <w:r w:rsidRPr="00240687">
        <w:rPr>
          <w:rFonts w:ascii="Arial" w:hAnsi="Arial" w:cs="Arial"/>
          <w:color w:val="000000"/>
          <w:highlight w:val="yellow"/>
          <w:shd w:val="clear" w:color="auto" w:fill="FFFFFF"/>
        </w:rPr>
        <w:t>mitigation strategy under the Kyoto Protocol has earned it added attention as a strategy for biological carbon (C) sequestration. The perceived potential is based on the premise that the greater efficiency of integrated systems in resource (nutrients, light, and water) capture and utilization than single-species systems will result in greater net C sequestration</w:t>
      </w:r>
      <w:r w:rsidR="00236F12">
        <w:rPr>
          <w:rFonts w:ascii="Arial" w:hAnsi="Arial" w:cs="Arial"/>
          <w:color w:val="000000"/>
          <w:highlight w:val="yellow"/>
          <w:shd w:val="clear" w:color="auto" w:fill="FFFFFF"/>
        </w:rPr>
        <w:t xml:space="preserve"> (</w:t>
      </w:r>
      <w:r w:rsidR="00236F12" w:rsidRPr="00240687">
        <w:rPr>
          <w:rFonts w:ascii="Arial" w:hAnsi="Arial" w:cs="Arial"/>
          <w:color w:val="222222"/>
          <w:sz w:val="20"/>
          <w:szCs w:val="20"/>
          <w:highlight w:val="yellow"/>
          <w:shd w:val="clear" w:color="auto" w:fill="FFFFFF"/>
        </w:rPr>
        <w:t>Nair</w:t>
      </w:r>
      <w:r w:rsidR="00236F12">
        <w:rPr>
          <w:rFonts w:ascii="Arial" w:hAnsi="Arial" w:cs="Arial"/>
          <w:color w:val="222222"/>
          <w:sz w:val="20"/>
          <w:szCs w:val="20"/>
          <w:highlight w:val="yellow"/>
          <w:shd w:val="clear" w:color="auto" w:fill="FFFFFF"/>
        </w:rPr>
        <w:t xml:space="preserve"> et al., </w:t>
      </w:r>
      <w:r w:rsidR="00A03A47">
        <w:rPr>
          <w:rFonts w:ascii="Arial" w:hAnsi="Arial" w:cs="Arial"/>
          <w:color w:val="222222"/>
          <w:sz w:val="20"/>
          <w:szCs w:val="20"/>
          <w:highlight w:val="yellow"/>
          <w:shd w:val="clear" w:color="auto" w:fill="FFFFFF"/>
        </w:rPr>
        <w:t>2009</w:t>
      </w:r>
      <w:r w:rsidR="00236F12">
        <w:rPr>
          <w:rFonts w:ascii="Arial" w:hAnsi="Arial" w:cs="Arial"/>
          <w:color w:val="000000"/>
          <w:highlight w:val="yellow"/>
          <w:shd w:val="clear" w:color="auto" w:fill="FFFFFF"/>
        </w:rPr>
        <w:t>)</w:t>
      </w:r>
      <w:r w:rsidRPr="00240687">
        <w:rPr>
          <w:rFonts w:ascii="Arial" w:hAnsi="Arial" w:cs="Arial"/>
          <w:color w:val="000000"/>
          <w:highlight w:val="yellow"/>
          <w:shd w:val="clear" w:color="auto" w:fill="FFFFFF"/>
        </w:rPr>
        <w:t>.</w:t>
      </w:r>
      <w:r>
        <w:rPr>
          <w:rFonts w:ascii="Arial" w:hAnsi="Arial" w:cs="Arial"/>
          <w:color w:val="000000"/>
          <w:highlight w:val="yellow"/>
          <w:shd w:val="clear" w:color="auto" w:fill="FFFFFF"/>
        </w:rPr>
        <w:t xml:space="preserve"> </w:t>
      </w:r>
      <w:r w:rsidR="00B1065D">
        <w:t xml:space="preserve">Agroforestry has re-emerged as a central option in the search for land-based climate mitigation pathways that can also support adaptation and development goals. Trees integrated into agricultural landscapes can accumulate carbon in woody biomass and enhance soil organic carbon (SOC), while providing food, </w:t>
      </w:r>
      <w:proofErr w:type="spellStart"/>
      <w:r w:rsidR="00B1065D">
        <w:t>fibre</w:t>
      </w:r>
      <w:proofErr w:type="spellEnd"/>
      <w:r w:rsidR="00B1065D">
        <w:t xml:space="preserve">, fuel, fodder and a range of regulating ecosystem services (Nair et al., 2009a; Lorenz &amp; Lal, 2014). Global syntheses suggest that agroforestry systems typically hold more biomass and SOC than adjacent croplands and pastures, although the magnitude of gains varies with climate, soil, species composition and management (De Stefano &amp; Jacobson, 2018; Shi et al., 2018). </w:t>
      </w:r>
      <w:r w:rsidR="00703FA1" w:rsidRPr="00742098">
        <w:rPr>
          <w:rFonts w:ascii="Georgia" w:hAnsi="Georgia"/>
          <w:color w:val="1F1F1F"/>
          <w:highlight w:val="yellow"/>
        </w:rPr>
        <w:t>Agricultural intensification and cropland expansion, although pivotal for fulfilling the food and nutritional demand</w:t>
      </w:r>
      <w:r w:rsidR="00742098">
        <w:rPr>
          <w:rFonts w:ascii="Georgia" w:hAnsi="Georgia"/>
          <w:color w:val="1F1F1F"/>
          <w:highlight w:val="yellow"/>
        </w:rPr>
        <w:t>s</w:t>
      </w:r>
      <w:r w:rsidR="00703FA1" w:rsidRPr="00742098">
        <w:rPr>
          <w:rFonts w:ascii="Georgia" w:hAnsi="Georgia"/>
          <w:color w:val="1F1F1F"/>
          <w:highlight w:val="yellow"/>
        </w:rPr>
        <w:t xml:space="preserve"> of an ever-growing population, are also considered major drivers of environmental degradation and disruption of the ecosystems globally. Implementing intensive agricultural practices results in the degradation of natural resources, biodiversity loss, and greenhouse gas emissions, which severely threaten agricultural sustainability</w:t>
      </w:r>
      <w:r w:rsidR="00703FA1">
        <w:rPr>
          <w:rFonts w:ascii="Georgia" w:hAnsi="Georgia"/>
          <w:color w:val="1F1F1F"/>
          <w:highlight w:val="yellow"/>
        </w:rPr>
        <w:t xml:space="preserve"> (Das et al., 2022)</w:t>
      </w:r>
      <w:r w:rsidR="00703FA1" w:rsidRPr="00742098">
        <w:rPr>
          <w:rFonts w:ascii="Georgia" w:hAnsi="Georgia"/>
          <w:color w:val="1F1F1F"/>
          <w:highlight w:val="yellow"/>
        </w:rPr>
        <w:t>.</w:t>
      </w:r>
    </w:p>
    <w:p w14:paraId="4B20FF8F" w14:textId="6736F2A8" w:rsidR="00A029C3" w:rsidRDefault="00B1065D" w:rsidP="00703FA1">
      <w:pPr>
        <w:pStyle w:val="NormalWeb"/>
        <w:jc w:val="both"/>
      </w:pPr>
      <w:r>
        <w:t xml:space="preserve">At the global scale, remote sensing analyses combined with IPCC Tier 1 carbon coefficients estimate that trees on agricultural land store more than 45 </w:t>
      </w:r>
      <w:proofErr w:type="spellStart"/>
      <w:r>
        <w:t>Pg</w:t>
      </w:r>
      <w:proofErr w:type="spellEnd"/>
      <w:r>
        <w:t xml:space="preserve"> of biomass carbon, constituting over three-quarters of total biomass carbon on croplands (</w:t>
      </w:r>
      <w:proofErr w:type="spellStart"/>
      <w:r>
        <w:t>Zomer</w:t>
      </w:r>
      <w:proofErr w:type="spellEnd"/>
      <w:r>
        <w:t xml:space="preserve"> et al., 2016). This tree cover has increased in many regions since 2000, underscoring the dynamic nature of agroforestry and “trees outside forests”. Parallel work on natural climate solutions suggests that improved management and restoration of forests, agroforestry and other ecosystems could provide a significant fraction of cost-effective mitigation needed to keep warming well below 2 °C (</w:t>
      </w:r>
      <w:proofErr w:type="spellStart"/>
      <w:r>
        <w:t>Griscom</w:t>
      </w:r>
      <w:proofErr w:type="spellEnd"/>
      <w:r>
        <w:t xml:space="preserve"> et al., 2017). </w:t>
      </w:r>
    </w:p>
    <w:p w14:paraId="4B20FF90" w14:textId="77777777" w:rsidR="00B1065D" w:rsidRDefault="00B1065D" w:rsidP="00703FA1">
      <w:pPr>
        <w:pStyle w:val="NormalWeb"/>
        <w:jc w:val="both"/>
      </w:pPr>
      <w:r>
        <w:t>Despite this promise, agroforestry’s contribution to national greenhouse gas inventories, nationally determined contributions (NDCs) and voluntary carbon markets remains under-reported and under-valued. Agroforestry is often poorly represented in land-use statistics, and carbon accounting methods have historically focused on forests and large-scale plantations, giving limited attention to trees on farms and in mixed-use landscapes (Rosenstock et al., 2019; Skole et al., 2021). Methodological challenges include the high spatial heterogeneity of agroforestry, knowledge gaps about belowground processes, limited long-term experiments, and uncertainties about permanence and leakage.</w:t>
      </w:r>
    </w:p>
    <w:p w14:paraId="4B20FF91" w14:textId="77777777" w:rsidR="00B1065D" w:rsidRDefault="00B1065D" w:rsidP="00703FA1">
      <w:pPr>
        <w:pStyle w:val="NormalWeb"/>
        <w:jc w:val="both"/>
      </w:pPr>
      <w:r>
        <w:t>In this review, we address three guiding questions: (</w:t>
      </w:r>
      <w:proofErr w:type="spellStart"/>
      <w:r>
        <w:t>i</w:t>
      </w:r>
      <w:proofErr w:type="spellEnd"/>
      <w:r>
        <w:t xml:space="preserve">) What are the main biophysical mechanisms through which agroforestry systems sequester carbon? (ii) How large is the carbon sequestration potential of major agroforestry systems across bioclimatic regions, and how does it compare to other land-use options? (iii) How can measurement, reporting and verification (MRV) systems and policy frameworks be improved to better integrate agroforestry into climate mitigation portfolios while ensuring social and ecological integrity? We first </w:t>
      </w:r>
      <w:proofErr w:type="spellStart"/>
      <w:r>
        <w:t>summarise</w:t>
      </w:r>
      <w:proofErr w:type="spellEnd"/>
      <w:r>
        <w:t xml:space="preserve"> mechanisms and empirical evidence at plot and landscape scales, then </w:t>
      </w:r>
      <w:r>
        <w:lastRenderedPageBreak/>
        <w:t>discuss monitoring and modelling approaches, and finally explore policy and carbon market implications, culminating in key conclusions and limitations.</w:t>
      </w:r>
    </w:p>
    <w:p w14:paraId="4B20FF92" w14:textId="77777777" w:rsidR="00B1065D" w:rsidRDefault="00B1065D" w:rsidP="00703FA1">
      <w:pPr>
        <w:jc w:val="both"/>
      </w:pPr>
    </w:p>
    <w:p w14:paraId="4B20FF93" w14:textId="77777777" w:rsidR="00B1065D" w:rsidRDefault="00B1065D" w:rsidP="00703FA1">
      <w:pPr>
        <w:pStyle w:val="Heading2"/>
        <w:jc w:val="both"/>
      </w:pPr>
      <w:r>
        <w:t>2. Biophysical Mechanisms of Carbon Sequestration in Agroforestry</w:t>
      </w:r>
    </w:p>
    <w:p w14:paraId="4B20FF94" w14:textId="77777777" w:rsidR="00B1065D" w:rsidRDefault="00B1065D" w:rsidP="00703FA1">
      <w:pPr>
        <w:pStyle w:val="Heading3"/>
        <w:jc w:val="both"/>
      </w:pPr>
      <w:r>
        <w:t>2.1 Aboveground biomass accumulation</w:t>
      </w:r>
    </w:p>
    <w:p w14:paraId="4B20FF95" w14:textId="79853EDF" w:rsidR="00B1065D" w:rsidRDefault="00B1065D" w:rsidP="00703FA1">
      <w:pPr>
        <w:pStyle w:val="NormalWeb"/>
        <w:jc w:val="both"/>
      </w:pPr>
      <w:r>
        <w:t xml:space="preserve">The most visible pathway of carbon sequestration in agroforestry </w:t>
      </w:r>
      <w:r w:rsidRPr="00742098">
        <w:rPr>
          <w:highlight w:val="yellow"/>
        </w:rPr>
        <w:t xml:space="preserve">is </w:t>
      </w:r>
      <w:r w:rsidR="00742098" w:rsidRPr="00742098">
        <w:rPr>
          <w:highlight w:val="yellow"/>
        </w:rPr>
        <w:t xml:space="preserve">the </w:t>
      </w:r>
      <w:r w:rsidRPr="00742098">
        <w:rPr>
          <w:highlight w:val="yellow"/>
        </w:rPr>
        <w:t>accumulation</w:t>
      </w:r>
      <w:r>
        <w:t xml:space="preserve"> of carbon in tree stems, branches and leaves. Compared with annual cropping, integrating trees increases total stand biomass, extends the period of active photosynthesis and allows the system to capture resources over multiple strata and seasons. Tree species used in agroforestry often have higher wood density and longer lifespans than herbaceous crops, which supports long-term carbon storage in living biomass and harvested wood products (Nair et al., 2010; Lorenz &amp; Lal, 2014). </w:t>
      </w:r>
    </w:p>
    <w:p w14:paraId="4B20FF96" w14:textId="77777777" w:rsidR="00B1065D" w:rsidRDefault="00B1065D" w:rsidP="00703FA1">
      <w:pPr>
        <w:pStyle w:val="NormalWeb"/>
        <w:jc w:val="both"/>
      </w:pPr>
      <w:r>
        <w:t xml:space="preserve">Empirical studies across temperate and tropical systems show that aboveground carbon stocks in agroforestry can approach or even match those of secondary forests in some configurations. For example, </w:t>
      </w:r>
      <w:proofErr w:type="spellStart"/>
      <w:r>
        <w:t>multistrata</w:t>
      </w:r>
      <w:proofErr w:type="spellEnd"/>
      <w:r>
        <w:t xml:space="preserve"> </w:t>
      </w:r>
      <w:proofErr w:type="spellStart"/>
      <w:r>
        <w:t>homegardens</w:t>
      </w:r>
      <w:proofErr w:type="spellEnd"/>
      <w:r>
        <w:t xml:space="preserve"> and coffee agroforests have been shown to store substantial amounts of aboveground carbon while maintaining agricultural production (Schmitt-Harsh et al., 2012; Shi et al., 2018). </w:t>
      </w:r>
      <w:proofErr w:type="spellStart"/>
      <w:r>
        <w:t>Silvopastoral</w:t>
      </w:r>
      <w:proofErr w:type="spellEnd"/>
      <w:r>
        <w:t xml:space="preserve"> systems often store less aboveground carbon per unit area than closed-canopy forests, but substantially more than treeless pastures, contributing to mitigation in livestock-dominated landscapes (</w:t>
      </w:r>
      <w:proofErr w:type="spellStart"/>
      <w:r>
        <w:t>Aryal</w:t>
      </w:r>
      <w:proofErr w:type="spellEnd"/>
      <w:r>
        <w:t xml:space="preserve"> et al., 2022). </w:t>
      </w:r>
    </w:p>
    <w:p w14:paraId="4B20FF97" w14:textId="77777777" w:rsidR="00B1065D" w:rsidRDefault="00B1065D" w:rsidP="00703FA1">
      <w:pPr>
        <w:pStyle w:val="Heading3"/>
        <w:jc w:val="both"/>
      </w:pPr>
      <w:r>
        <w:t>2.2 Belowground biomass and root dynamics</w:t>
      </w:r>
    </w:p>
    <w:p w14:paraId="4B20FF98" w14:textId="77777777" w:rsidR="00B1065D" w:rsidRDefault="00B1065D" w:rsidP="00703FA1">
      <w:pPr>
        <w:pStyle w:val="NormalWeb"/>
        <w:jc w:val="both"/>
      </w:pPr>
      <w:r w:rsidRPr="00864222">
        <w:rPr>
          <w:highlight w:val="yellow"/>
        </w:rPr>
        <w:t>Belowground</w:t>
      </w:r>
      <w:r>
        <w:t xml:space="preserve"> biomass in tree roots contributes directly to carbon stocks and indirectly to SOC formation via root turnover and rhizodeposition. Tree roots generally extend deeper than those of annual crops, allowing carbon input at greater soil depths, where SOC tends to be more stable over long timescales (Lorenz &amp; Lal, 2014). Deep rooting also enhances hydraulic lift and redistribution of water, which can sustain microbial activity and plant growth during dry periods.</w:t>
      </w:r>
    </w:p>
    <w:p w14:paraId="4B20FF99" w14:textId="77777777" w:rsidR="00B1065D" w:rsidRDefault="00B1065D" w:rsidP="00703FA1">
      <w:pPr>
        <w:pStyle w:val="NormalWeb"/>
        <w:jc w:val="both"/>
      </w:pPr>
      <w:r>
        <w:t>Meta-analyses suggest that increased root biomass and turnover under agroforestry can significantly enhance SOC sequestration compared with monoculture croplands or pastures, although quantifying this contribution remains challenging due to methodological limitations in measuring roots at depth (Shi et al., 2018). Tree species selection influences belowground carbon input through differences in root architecture, mycorrhizal associations, and litter quality, reinforcing the importance of functional traits in design.</w:t>
      </w:r>
    </w:p>
    <w:p w14:paraId="4B20FF9A" w14:textId="77777777" w:rsidR="00B1065D" w:rsidRDefault="00B1065D" w:rsidP="00703FA1">
      <w:pPr>
        <w:pStyle w:val="Heading3"/>
        <w:jc w:val="both"/>
      </w:pPr>
      <w:r>
        <w:t xml:space="preserve">2.3 Soil organic carbon formation and </w:t>
      </w:r>
      <w:proofErr w:type="spellStart"/>
      <w:r>
        <w:t>stabilisation</w:t>
      </w:r>
      <w:proofErr w:type="spellEnd"/>
    </w:p>
    <w:p w14:paraId="4B20FF9B" w14:textId="77777777" w:rsidR="00B1065D" w:rsidRDefault="00B1065D" w:rsidP="00703FA1">
      <w:pPr>
        <w:pStyle w:val="NormalWeb"/>
        <w:jc w:val="both"/>
      </w:pPr>
      <w:r>
        <w:t xml:space="preserve">Soil organic carbon in agroforestry is derived from litterfall, pruned material, fine-root turnover and root exudates, which are transformed and </w:t>
      </w:r>
      <w:proofErr w:type="spellStart"/>
      <w:r>
        <w:t>stabilised</w:t>
      </w:r>
      <w:proofErr w:type="spellEnd"/>
      <w:r>
        <w:t xml:space="preserve"> by soil biota and physical processes. Reviews and meta-analyses show that agroforestry systems often increase SOC stocks, especially in the upper soil layers, relative to adjacent croplands and pastures (Lorenz </w:t>
      </w:r>
      <w:r>
        <w:lastRenderedPageBreak/>
        <w:t xml:space="preserve">&amp; Lal, 2014; De Stefano &amp; Jacobson, 2018). Global syntheses estimate that soil under agroforestry can hold 10–20% more SOC to 1 m depth than treeless agricultural land, with particularly strong effects in humid subtropical </w:t>
      </w:r>
      <w:proofErr w:type="spellStart"/>
      <w:r>
        <w:t>homegardens</w:t>
      </w:r>
      <w:proofErr w:type="spellEnd"/>
      <w:r>
        <w:t xml:space="preserve"> and young systems where SOC is still accumulating (Shi et al., 2018). </w:t>
      </w:r>
    </w:p>
    <w:p w14:paraId="4B20FF9C" w14:textId="07C9EEAC" w:rsidR="00B1065D" w:rsidRDefault="00B1065D" w:rsidP="00703FA1">
      <w:pPr>
        <w:pStyle w:val="NormalWeb"/>
        <w:jc w:val="both"/>
      </w:pPr>
      <w:r>
        <w:t xml:space="preserve">SOC </w:t>
      </w:r>
      <w:proofErr w:type="spellStart"/>
      <w:r>
        <w:t>stabilisation</w:t>
      </w:r>
      <w:proofErr w:type="spellEnd"/>
      <w:r>
        <w:t xml:space="preserve"> mechanisms in agroforestry include incorporation of organic inputs into aggregates, sorption to mineral surfaces, and occlusion in microaggregates. Reduced soil disturbance compared with conventional tillage, permanent ground cover in some designs, and continuous litter inputs tend to </w:t>
      </w:r>
      <w:proofErr w:type="spellStart"/>
      <w:r>
        <w:t>favour</w:t>
      </w:r>
      <w:proofErr w:type="spellEnd"/>
      <w:r>
        <w:t xml:space="preserve"> aggregate formation and SOC protection. Nitrogen-fixing trees and diversified litter sources can increase microbial activity and </w:t>
      </w:r>
      <w:r w:rsidRPr="00742098">
        <w:rPr>
          <w:highlight w:val="yellow"/>
        </w:rPr>
        <w:t xml:space="preserve">promote </w:t>
      </w:r>
      <w:r w:rsidR="00742098" w:rsidRPr="00742098">
        <w:rPr>
          <w:highlight w:val="yellow"/>
        </w:rPr>
        <w:t xml:space="preserve">the </w:t>
      </w:r>
      <w:r w:rsidRPr="00742098">
        <w:rPr>
          <w:highlight w:val="yellow"/>
        </w:rPr>
        <w:t>formation</w:t>
      </w:r>
      <w:r>
        <w:t xml:space="preserve"> of more stable carbon pools, although high-quality litter may also accelerate decomposition and CO₂ release if not matched by </w:t>
      </w:r>
      <w:proofErr w:type="spellStart"/>
      <w:r>
        <w:t>stabilisation</w:t>
      </w:r>
      <w:proofErr w:type="spellEnd"/>
      <w:r>
        <w:t xml:space="preserve"> capacity.</w:t>
      </w:r>
    </w:p>
    <w:p w14:paraId="4B20FF9D" w14:textId="77777777" w:rsidR="00B1065D" w:rsidRDefault="00B1065D" w:rsidP="00703FA1">
      <w:pPr>
        <w:pStyle w:val="Heading3"/>
        <w:jc w:val="both"/>
      </w:pPr>
      <w:r>
        <w:t>2.4 Landscape- and microclimate-mediated effects</w:t>
      </w:r>
    </w:p>
    <w:p w14:paraId="4B20FF9E" w14:textId="77777777" w:rsidR="00B1065D" w:rsidRDefault="00B1065D" w:rsidP="00703FA1">
      <w:pPr>
        <w:pStyle w:val="NormalWeb"/>
        <w:jc w:val="both"/>
      </w:pPr>
      <w:r>
        <w:t>Beyond plot-scale processes, agroforestry modifies microclimate and hydrology in ways that affect carbon cycling. Tree canopies moderate temperature extremes, reduce evapotranspiration and wind speed, and increase humidity, which can influence both plant productivity and decomposition. In drylands, strategic tree planting can enhance infiltration and reduce erosion, preventing SOC loss and facilitating carbon accrual in deeper soil horizons (Lorenz &amp; Lal, 2014; Pan et al., 2024). Trees also contribute to landscape connectivity and forest transition dynamics, potentially enabling regrowth of woody biomass at larger scales.</w:t>
      </w:r>
    </w:p>
    <w:p w14:paraId="4B20FF9F" w14:textId="68D5E11F" w:rsidR="00B1065D" w:rsidRDefault="00B1065D" w:rsidP="00703FA1">
      <w:pPr>
        <w:pStyle w:val="NormalWeb"/>
        <w:jc w:val="both"/>
      </w:pPr>
      <w:r>
        <w:t xml:space="preserve">At the same time, shading and competition for water or nutrients can reduce crop yields in some configurations, which may shift land-use decisions and indirectly affect emissions elsewhere. These interactions highlight the need to evaluate agroforestry carbon outcomes at </w:t>
      </w:r>
      <w:r w:rsidR="00742098" w:rsidRPr="00742098">
        <w:rPr>
          <w:highlight w:val="yellow"/>
        </w:rPr>
        <w:t xml:space="preserve">the </w:t>
      </w:r>
      <w:r w:rsidRPr="00742098">
        <w:rPr>
          <w:highlight w:val="yellow"/>
        </w:rPr>
        <w:t>landscape</w:t>
      </w:r>
      <w:r>
        <w:t xml:space="preserve"> scale, accounting for both on-site and off-site effects, and to design systems that </w:t>
      </w:r>
      <w:proofErr w:type="spellStart"/>
      <w:r>
        <w:t>optimise</w:t>
      </w:r>
      <w:proofErr w:type="spellEnd"/>
      <w:r>
        <w:t xml:space="preserve"> co-benefits while </w:t>
      </w:r>
      <w:proofErr w:type="spellStart"/>
      <w:r>
        <w:t>minimising</w:t>
      </w:r>
      <w:proofErr w:type="spellEnd"/>
      <w:r>
        <w:t xml:space="preserve"> trade-offs.</w:t>
      </w:r>
    </w:p>
    <w:p w14:paraId="4B20FFA0" w14:textId="77777777" w:rsidR="00B1065D" w:rsidRDefault="00B1065D" w:rsidP="00703FA1">
      <w:pPr>
        <w:pStyle w:val="Heading2"/>
        <w:jc w:val="both"/>
      </w:pPr>
      <w:r>
        <w:t>3. Carbon Sequestration Potential of Major Agroforestry Systems</w:t>
      </w:r>
    </w:p>
    <w:p w14:paraId="4B20FFA1" w14:textId="416DA85B" w:rsidR="00B1065D" w:rsidRDefault="00B1065D" w:rsidP="00703FA1">
      <w:pPr>
        <w:pStyle w:val="NormalWeb"/>
        <w:jc w:val="both"/>
      </w:pPr>
      <w:r>
        <w:t xml:space="preserve">Agroforestry systems are now widely </w:t>
      </w:r>
      <w:proofErr w:type="spellStart"/>
      <w:r w:rsidR="00742098" w:rsidRPr="00742098">
        <w:rPr>
          <w:highlight w:val="yellow"/>
        </w:rPr>
        <w:t>recognised</w:t>
      </w:r>
      <w:proofErr w:type="spellEnd"/>
      <w:r w:rsidR="00742098" w:rsidRPr="00742098">
        <w:rPr>
          <w:highlight w:val="yellow"/>
        </w:rPr>
        <w:t xml:space="preserve"> </w:t>
      </w:r>
      <w:r w:rsidRPr="00742098">
        <w:rPr>
          <w:highlight w:val="yellow"/>
        </w:rPr>
        <w:t>as one of</w:t>
      </w:r>
      <w:r>
        <w:t xml:space="preserve"> the most scalable land-based options for enhancing terrestrial carbon sinks without compromising, and often improving, food production. Global analyses of tree cover on agricultural land indicate that existing agroforestry already stores several </w:t>
      </w:r>
      <w:proofErr w:type="spellStart"/>
      <w:r>
        <w:t>petagrams</w:t>
      </w:r>
      <w:proofErr w:type="spellEnd"/>
      <w:r>
        <w:t xml:space="preserve"> of biomass carbon, with particularly high densities in humid tropics and sub-tropics (</w:t>
      </w:r>
      <w:proofErr w:type="spellStart"/>
      <w:r>
        <w:t>Zomer</w:t>
      </w:r>
      <w:proofErr w:type="spellEnd"/>
      <w:r>
        <w:t xml:space="preserve"> et al., 2016; </w:t>
      </w:r>
      <w:proofErr w:type="spellStart"/>
      <w:r>
        <w:t>Zomer</w:t>
      </w:r>
      <w:proofErr w:type="spellEnd"/>
      <w:r>
        <w:t xml:space="preserve"> et al., 2022). At the same time, global assessments of “natural climate solutions” highlight trees in mosaics and on farms as a major mitigation wedge, potentially delivering a sizeable share of the technically feasible land-sector abatement by mid-century (</w:t>
      </w:r>
      <w:proofErr w:type="spellStart"/>
      <w:r>
        <w:t>Griscom</w:t>
      </w:r>
      <w:proofErr w:type="spellEnd"/>
      <w:r>
        <w:t xml:space="preserve"> et al., 2017; Skole et al., 2021). Syntheses focusing specifically on soil organic carbon (SOC) further show that, across climates and system types, conversion of cropland or grassland to agroforestry typically increases SOC stocks in the upper soil layers by 10–30% over a few decades, though with strong context dependence (Lorenz &amp; Lal, 2014; Nair et al., 2010; De Stefano &amp; Jacobson, 2018; Shi et al., 2018). Recent meta-analyses, including global and country-specific assessments, confirm that agroforestry consistently outperforms conventional agriculture in both biomass and soil carbon accumulation (Mayer et al., 2022; Kumara et al., 2023; Pan et al., 2025).</w:t>
      </w:r>
    </w:p>
    <w:p w14:paraId="4B20FFA2" w14:textId="77777777" w:rsidR="00B1065D" w:rsidRDefault="00B1065D" w:rsidP="00703FA1">
      <w:pPr>
        <w:pStyle w:val="Heading3"/>
        <w:jc w:val="both"/>
      </w:pPr>
      <w:r>
        <w:lastRenderedPageBreak/>
        <w:t xml:space="preserve">3.1 </w:t>
      </w:r>
      <w:proofErr w:type="spellStart"/>
      <w:r>
        <w:t>Silvoarable</w:t>
      </w:r>
      <w:proofErr w:type="spellEnd"/>
      <w:r>
        <w:t xml:space="preserve"> and tree-based cropping systems</w:t>
      </w:r>
    </w:p>
    <w:p w14:paraId="4B20FFA3" w14:textId="77777777" w:rsidR="00B1065D" w:rsidRDefault="00B1065D" w:rsidP="00703FA1">
      <w:pPr>
        <w:pStyle w:val="NormalWeb"/>
        <w:jc w:val="both"/>
      </w:pPr>
      <w:proofErr w:type="spellStart"/>
      <w:r>
        <w:t>Silvoarable</w:t>
      </w:r>
      <w:proofErr w:type="spellEnd"/>
      <w:r>
        <w:t xml:space="preserve"> systems and tree-based cropping (for example, alley cropping, shade-grown perennial crops, and fruit-tree–crop mixtures) are among the most studied agroforestry configurations in terms of carbon sequestration. Meta-analyses show that SOC stocks in the upper 30 cm under </w:t>
      </w:r>
      <w:proofErr w:type="spellStart"/>
      <w:r>
        <w:t>silvoarable</w:t>
      </w:r>
      <w:proofErr w:type="spellEnd"/>
      <w:r>
        <w:t xml:space="preserve"> agroforestry are, on average, 19–25% higher than in adjacent monoculture cropland, with the largest gains in fine-textured soils and humid climates (De Stefano &amp; Jacobson, 2018; Shi et al., 2018). A detailed survey of six temperate agroforestry sites in France found that tree rows and immediate crop alleys accumulated up to 30–40 Mg C ha⁻¹ more SOC than nearby treeless control fields over 20–30 years, with the strongest increases in particulate and mineral-associated organic matter fractions (</w:t>
      </w:r>
      <w:proofErr w:type="spellStart"/>
      <w:r>
        <w:t>Cardinael</w:t>
      </w:r>
      <w:proofErr w:type="spellEnd"/>
      <w:r>
        <w:t xml:space="preserve"> et al., 2017). In Mediterranean alley-cropping systems, long-term experiments suggest that combinations of deep-rooted trees and annual crops can reverse SOC declines induced by continuous tillage, with total SOC stocks in the top 40 cm increased by roughly 15–20% relative to conventional cereal rotations (</w:t>
      </w:r>
      <w:proofErr w:type="spellStart"/>
      <w:r>
        <w:t>Zayani</w:t>
      </w:r>
      <w:proofErr w:type="spellEnd"/>
      <w:r>
        <w:t xml:space="preserve"> et al., 2023).</w:t>
      </w:r>
    </w:p>
    <w:p w14:paraId="4B20FFA4" w14:textId="77777777" w:rsidR="00B1065D" w:rsidRDefault="00B1065D" w:rsidP="00703FA1">
      <w:pPr>
        <w:pStyle w:val="NormalWeb"/>
        <w:jc w:val="both"/>
      </w:pPr>
      <w:r>
        <w:t xml:space="preserve">Beyond soil, tree biomass in </w:t>
      </w:r>
      <w:proofErr w:type="spellStart"/>
      <w:r>
        <w:t>silvoarable</w:t>
      </w:r>
      <w:proofErr w:type="spellEnd"/>
      <w:r>
        <w:t xml:space="preserve"> systems can represent a substantial carbon pool. In high-input temperate alley-cropping with fast-growing hardwoods, above-ground tree biomass alone may reach 40–80 Mg C ha⁻¹ after 20–25 years, effectively doubling the total ecosystem carbon stock compared with treeless cropland (</w:t>
      </w:r>
      <w:proofErr w:type="spellStart"/>
      <w:r>
        <w:t>Oelbermann</w:t>
      </w:r>
      <w:proofErr w:type="spellEnd"/>
      <w:r>
        <w:t xml:space="preserve"> et al., 2004; Mayer et al., 2022). Long-term tropical agroforestry experiments likewise demonstrate large gains: in Himalayan foothill systems that integrate timber and fruit trees with annual crops, total ecosystem carbon (biomass plus soil) has been reported to increase by 25–40 Mg C ha⁻¹ relative to continuously cropped fields, with SOC pools accounting for roughly half of the total increment (Barman et al., 2025). National-scale meta-analysis for India indicates that </w:t>
      </w:r>
      <w:proofErr w:type="spellStart"/>
      <w:r>
        <w:t>agrisilvicultural</w:t>
      </w:r>
      <w:proofErr w:type="spellEnd"/>
      <w:r>
        <w:t xml:space="preserve"> and </w:t>
      </w:r>
      <w:proofErr w:type="spellStart"/>
      <w:r>
        <w:t>agri</w:t>
      </w:r>
      <w:proofErr w:type="spellEnd"/>
      <w:r>
        <w:t xml:space="preserve">-horticultural systems are particularly effective, showing average soil C stocks of about 38 Mg C ha⁻¹ in the upper 30 cm—approximately one-third higher than comparable non-tree systems (Kumara et al., 2023). Collectively, these studies confirm that </w:t>
      </w:r>
      <w:proofErr w:type="spellStart"/>
      <w:r>
        <w:t>silvoarable</w:t>
      </w:r>
      <w:proofErr w:type="spellEnd"/>
      <w:r>
        <w:t xml:space="preserve"> and tree-based cropping can achieve substantial additional carbon storage while maintaining or enhancing crop yields, especially when trees are carefully matched to soil and climate conditions (Nair et al., 2010; Lorenz &amp; Lal, 2014).</w:t>
      </w:r>
    </w:p>
    <w:p w14:paraId="4B20FFA5" w14:textId="13D2B356" w:rsidR="00B1065D" w:rsidRDefault="00B1065D" w:rsidP="00703FA1">
      <w:pPr>
        <w:pStyle w:val="Heading3"/>
        <w:jc w:val="both"/>
      </w:pPr>
      <w:r>
        <w:t>3.</w:t>
      </w:r>
      <w:r w:rsidRPr="0066351B">
        <w:rPr>
          <w:highlight w:val="yellow"/>
        </w:rPr>
        <w:t xml:space="preserve">2 </w:t>
      </w:r>
      <w:proofErr w:type="spellStart"/>
      <w:r w:rsidRPr="0066351B">
        <w:rPr>
          <w:highlight w:val="yellow"/>
        </w:rPr>
        <w:t>Silvo</w:t>
      </w:r>
      <w:proofErr w:type="spellEnd"/>
      <w:r w:rsidR="0066351B">
        <w:rPr>
          <w:highlight w:val="yellow"/>
        </w:rPr>
        <w:t>-</w:t>
      </w:r>
      <w:r w:rsidRPr="0066351B">
        <w:rPr>
          <w:highlight w:val="yellow"/>
        </w:rPr>
        <w:t>pastoral</w:t>
      </w:r>
      <w:r>
        <w:t xml:space="preserve"> and rangeland-based systems</w:t>
      </w:r>
    </w:p>
    <w:p w14:paraId="4B20FFA6" w14:textId="77777777" w:rsidR="00B1065D" w:rsidRDefault="00B1065D" w:rsidP="00703FA1">
      <w:pPr>
        <w:pStyle w:val="NormalWeb"/>
        <w:jc w:val="both"/>
      </w:pPr>
      <w:proofErr w:type="spellStart"/>
      <w:r w:rsidRPr="0066351B">
        <w:rPr>
          <w:highlight w:val="yellow"/>
        </w:rPr>
        <w:t>Silvopastoral</w:t>
      </w:r>
      <w:proofErr w:type="spellEnd"/>
      <w:r>
        <w:t xml:space="preserve"> systems—where trees are integrated with pastures and livestock—represent another major agroforestry class with high carbon sequestration potential, particularly in livestock-dominated landscapes. In Mexico, comparisons among remnant forests, </w:t>
      </w:r>
      <w:proofErr w:type="spellStart"/>
      <w:r w:rsidRPr="0051258A">
        <w:rPr>
          <w:highlight w:val="yellow"/>
        </w:rPr>
        <w:t>silvopastoral</w:t>
      </w:r>
      <w:proofErr w:type="spellEnd"/>
      <w:r>
        <w:t xml:space="preserve"> plots, and open pastures show that </w:t>
      </w:r>
      <w:proofErr w:type="spellStart"/>
      <w:r>
        <w:t>s</w:t>
      </w:r>
      <w:r w:rsidRPr="0051258A">
        <w:rPr>
          <w:highlight w:val="yellow"/>
        </w:rPr>
        <w:t>ilvopastoral</w:t>
      </w:r>
      <w:proofErr w:type="spellEnd"/>
      <w:r>
        <w:t xml:space="preserve"> systems can retain 70–90% of the above-ground carbon present in forest while more than doubling the carbon stocks of treeless pastures, mainly through woody biomass and improvements in SOC (</w:t>
      </w:r>
      <w:proofErr w:type="spellStart"/>
      <w:r>
        <w:t>Aryal</w:t>
      </w:r>
      <w:proofErr w:type="spellEnd"/>
      <w:r>
        <w:t xml:space="preserve"> et al., 2022). Studies from temperate and tropical regions similarly indicate that adding scattered trees or woody strips to grasslands can increase biomass carbon by 20–60 Mg C ha⁻¹, depending on tree density and management (</w:t>
      </w:r>
      <w:proofErr w:type="spellStart"/>
      <w:r>
        <w:t>Oelbermann</w:t>
      </w:r>
      <w:proofErr w:type="spellEnd"/>
      <w:r>
        <w:t xml:space="preserve"> et al., 2004; Lorenz &amp; Lal, 2014).</w:t>
      </w:r>
    </w:p>
    <w:p w14:paraId="4B20FFA7" w14:textId="77777777" w:rsidR="00B1065D" w:rsidRDefault="00B1065D" w:rsidP="00703FA1">
      <w:pPr>
        <w:pStyle w:val="NormalWeb"/>
        <w:jc w:val="both"/>
      </w:pPr>
      <w:r>
        <w:t xml:space="preserve">Recent global meta-analyses highlight that, in semi-arid and sub-humid zones, </w:t>
      </w:r>
      <w:proofErr w:type="spellStart"/>
      <w:r>
        <w:t>silvopastoral</w:t>
      </w:r>
      <w:proofErr w:type="spellEnd"/>
      <w:r>
        <w:t xml:space="preserve"> systems often deliver greater relative gains in SOC than </w:t>
      </w:r>
      <w:proofErr w:type="spellStart"/>
      <w:r>
        <w:t>silvoarable</w:t>
      </w:r>
      <w:proofErr w:type="spellEnd"/>
      <w:r>
        <w:t xml:space="preserve"> systems, because baseline SOC under degraded pastures is low and tree-mediated improvements in litter input, root turnover and microclimate are large (Pan et al., 2025; Kumara et al., 2023). In African smallholder contexts, tree-grass mixtures such as parkland systems with fodder or multipurpose trees have been shown to store substantially more carbon than open rangelands, </w:t>
      </w:r>
      <w:r>
        <w:lastRenderedPageBreak/>
        <w:t>with total above-ground stocks often exceeding 30–50 Mg C ha⁻¹ and SOC accounting for 40–60% of the ecosystem total (</w:t>
      </w:r>
      <w:proofErr w:type="spellStart"/>
      <w:r>
        <w:t>Manaye</w:t>
      </w:r>
      <w:proofErr w:type="spellEnd"/>
      <w:r>
        <w:t xml:space="preserve"> et al., 2021). Importantly, many </w:t>
      </w:r>
      <w:proofErr w:type="spellStart"/>
      <w:r w:rsidRPr="0004116F">
        <w:rPr>
          <w:highlight w:val="yellow"/>
        </w:rPr>
        <w:t>silvopastoral</w:t>
      </w:r>
      <w:proofErr w:type="spellEnd"/>
      <w:r>
        <w:t xml:space="preserve"> systems also generate co-benefits for animal nutrition, shade and microclimate, which can support adaptive capacity under warming trends while the additional carbon contributes to mitigation (Nair et al., 2010; Bossio et al., 2020).</w:t>
      </w:r>
    </w:p>
    <w:p w14:paraId="4B20FFA8" w14:textId="77777777" w:rsidR="00B1065D" w:rsidRDefault="00B1065D" w:rsidP="00703FA1">
      <w:pPr>
        <w:pStyle w:val="Heading3"/>
        <w:jc w:val="both"/>
      </w:pPr>
      <w:r>
        <w:t>3.3 Trees outside forests and mosaic agroforestry landscapes</w:t>
      </w:r>
    </w:p>
    <w:p w14:paraId="4B20FFA9" w14:textId="77777777" w:rsidR="00B1065D" w:rsidRDefault="00B1065D" w:rsidP="00703FA1">
      <w:pPr>
        <w:pStyle w:val="NormalWeb"/>
        <w:jc w:val="both"/>
      </w:pPr>
      <w:r>
        <w:t xml:space="preserve">A large fraction of agroforestry carbon resides in “trees outside forests,” including </w:t>
      </w:r>
      <w:proofErr w:type="spellStart"/>
      <w:r>
        <w:t>homegardens</w:t>
      </w:r>
      <w:proofErr w:type="spellEnd"/>
      <w:r>
        <w:t xml:space="preserve">, windbreaks, boundary plantings, scattered trees on fields, and other woody elements embedded in agricultural mosaics (Skole et al., 2021; </w:t>
      </w:r>
      <w:proofErr w:type="spellStart"/>
      <w:r>
        <w:t>Zomer</w:t>
      </w:r>
      <w:proofErr w:type="spellEnd"/>
      <w:r>
        <w:t xml:space="preserve"> et al., 2016). Global mapping of tree cover on agricultural land shows extensive existing woody biomass in such mosaic landscapes, particularly in tropical Latin America, sub-Saharan Africa and parts of South and Southeast Asia, with country-level averages often exceeding 30% tree cover on farms (</w:t>
      </w:r>
      <w:proofErr w:type="spellStart"/>
      <w:r>
        <w:t>Zomer</w:t>
      </w:r>
      <w:proofErr w:type="spellEnd"/>
      <w:r>
        <w:t xml:space="preserve"> et al., 2016). Detailed field studies confirm that multi-strata </w:t>
      </w:r>
      <w:proofErr w:type="spellStart"/>
      <w:r>
        <w:t>homegardens</w:t>
      </w:r>
      <w:proofErr w:type="spellEnd"/>
      <w:r>
        <w:t xml:space="preserve"> and mixed tree–crop systems can approach or even match young secondary forests in total carbon stocks, while simultaneously providing high levels of food and livelihood diversification (</w:t>
      </w:r>
      <w:proofErr w:type="spellStart"/>
      <w:r>
        <w:t>Oelbermann</w:t>
      </w:r>
      <w:proofErr w:type="spellEnd"/>
      <w:r>
        <w:t xml:space="preserve"> et al., 2004; Nair et al., 2010).</w:t>
      </w:r>
    </w:p>
    <w:p w14:paraId="4B20FFAA" w14:textId="3C920E71" w:rsidR="00B1065D" w:rsidRDefault="00B1065D" w:rsidP="00703FA1">
      <w:pPr>
        <w:pStyle w:val="NormalWeb"/>
        <w:jc w:val="both"/>
      </w:pPr>
      <w:r>
        <w:t xml:space="preserve">At </w:t>
      </w:r>
      <w:r w:rsidR="00742098" w:rsidRPr="00742098">
        <w:rPr>
          <w:highlight w:val="yellow"/>
        </w:rPr>
        <w:t xml:space="preserve">the </w:t>
      </w:r>
      <w:r w:rsidRPr="00742098">
        <w:rPr>
          <w:highlight w:val="yellow"/>
        </w:rPr>
        <w:t>landscape</w:t>
      </w:r>
      <w:r>
        <w:t xml:space="preserve"> scale, recent work from the mid-hills of Nepal demonstrates that targeted agroforestry interventions (</w:t>
      </w:r>
      <w:proofErr w:type="spellStart"/>
      <w:r>
        <w:t>silvo-horto-agro</w:t>
      </w:r>
      <w:proofErr w:type="spellEnd"/>
      <w:r>
        <w:t xml:space="preserve"> systems combining fruit trees, timber trees and annual crops) significantly enhance total carbon stocks and soil quality relative to conventional agriculture, with total C stocks of nearly 100 Mg ha⁻¹ in high-density agroforestry plots versus around 65 Mg ha⁻¹ in nearby non-tree fields (</w:t>
      </w:r>
      <w:proofErr w:type="spellStart"/>
      <w:r>
        <w:t>Maharjan</w:t>
      </w:r>
      <w:proofErr w:type="spellEnd"/>
      <w:r>
        <w:t xml:space="preserve"> et al., 2024). In northern Ethiopia, tree-rich agroforestry mosaics similarly show substantially higher biomass and SOC stocks than adjacent treeless land uses, with total carbon stocks in </w:t>
      </w:r>
      <w:proofErr w:type="spellStart"/>
      <w:r>
        <w:t>homegardens</w:t>
      </w:r>
      <w:proofErr w:type="spellEnd"/>
      <w:r>
        <w:t xml:space="preserve"> and parkland systems often exceeding 70 Mg C ha⁻¹ and increasing along gradients of tree species richness and basal area (</w:t>
      </w:r>
      <w:proofErr w:type="spellStart"/>
      <w:r>
        <w:t>Manaye</w:t>
      </w:r>
      <w:proofErr w:type="spellEnd"/>
      <w:r>
        <w:t xml:space="preserve"> et al., 2021). These results reinforce the notion that dispersed woody elements across agricultural landscapes constitute a critical, and often under-counted, component of national carbon budgets (Skole et al., 2021; </w:t>
      </w:r>
      <w:proofErr w:type="spellStart"/>
      <w:r>
        <w:t>Zomer</w:t>
      </w:r>
      <w:proofErr w:type="spellEnd"/>
      <w:r>
        <w:t xml:space="preserve"> et al., 2022).</w:t>
      </w:r>
    </w:p>
    <w:p w14:paraId="4B20FFAB" w14:textId="77777777" w:rsidR="00B1065D" w:rsidRDefault="00B1065D" w:rsidP="00703FA1">
      <w:pPr>
        <w:pStyle w:val="Heading3"/>
        <w:jc w:val="both"/>
      </w:pPr>
      <w:r>
        <w:t>3.4 Spatial, temporal and system-level variability</w:t>
      </w:r>
    </w:p>
    <w:p w14:paraId="4B20FFAC" w14:textId="77777777" w:rsidR="00B1065D" w:rsidRDefault="00B1065D" w:rsidP="00703FA1">
      <w:pPr>
        <w:pStyle w:val="NormalWeb"/>
        <w:jc w:val="both"/>
      </w:pPr>
      <w:r>
        <w:t xml:space="preserve">Despite the broadly positive effect of agroforestry on carbon sequestration, the magnitude and rate of carbon gains vary widely across system types, climates, soils and management regimes. Meta-analyses indicate that SOC responses are strongest in the upper 20–30 cm and tend to saturate after several decades as new equilibria are reached (Lorenz &amp; Lal, 2014; De Stefano &amp; Jacobson, 2018). Systems established on degraded cropland or overgrazed pasture generally exhibit the highest sequestration rates, whereas conversions from mature forest to agroforestry can reduce total ecosystem carbon despite possible SOC gains, underlining that agroforestry is not a substitute for intact forests (Shi et al., 2018; Kumara et al., 2023). Climate also matters: temperate agroforestry often shows moderate but persistent SOC increases, whereas tropical systems can accumulate carbon more rapidly but may also be more sensitive to management disturbances (Mayer et al., 2022; </w:t>
      </w:r>
      <w:proofErr w:type="spellStart"/>
      <w:r>
        <w:t>Oelbermann</w:t>
      </w:r>
      <w:proofErr w:type="spellEnd"/>
      <w:r>
        <w:t xml:space="preserve"> et al., 2004). Tree species composition, root architecture and litter quality, along with fertilization, tillage and grazing practices, further modulate the partitioning of carbon between biomass and soil pools (Nair et al., 2010; Barman et al., 2025).</w:t>
      </w:r>
    </w:p>
    <w:p w14:paraId="4B20FFAD" w14:textId="77777777" w:rsidR="00B1065D" w:rsidRDefault="00B1065D" w:rsidP="00703FA1">
      <w:pPr>
        <w:pStyle w:val="Heading3"/>
        <w:jc w:val="both"/>
      </w:pPr>
      <w:r>
        <w:t>3.5 Scaling up to regional and global mitigation potentials</w:t>
      </w:r>
    </w:p>
    <w:p w14:paraId="4B20FFAE" w14:textId="77777777" w:rsidR="00B1065D" w:rsidRDefault="00B1065D" w:rsidP="00703FA1">
      <w:pPr>
        <w:pStyle w:val="NormalWeb"/>
        <w:jc w:val="both"/>
      </w:pPr>
      <w:r>
        <w:lastRenderedPageBreak/>
        <w:t xml:space="preserve">When aggregated across landscapes and regions, the carbon benefits of diverse agroforestry systems translate into substantial mitigation potential. Global scenario analysis suggests that increasing tree cover on existing agricultural land by 10 percentage points through incremental adoption of agroforestry could sequester on the order of 18 </w:t>
      </w:r>
      <w:proofErr w:type="spellStart"/>
      <w:r>
        <w:t>Pg</w:t>
      </w:r>
      <w:proofErr w:type="spellEnd"/>
      <w:r>
        <w:t xml:space="preserve"> C in above- and below-ground biomass, with larger gains under more transformative “system-wide” adoption pathways (</w:t>
      </w:r>
      <w:proofErr w:type="spellStart"/>
      <w:r>
        <w:t>Zomer</w:t>
      </w:r>
      <w:proofErr w:type="spellEnd"/>
      <w:r>
        <w:t xml:space="preserve"> et al., 2022). These estimates are broadly consistent with independent assessments of natural climate solutions, which attribute a sizeable share of cost-effective land-sector mitigation to trees in agricultural mosaics and improved soil management (</w:t>
      </w:r>
      <w:proofErr w:type="spellStart"/>
      <w:r>
        <w:t>Griscom</w:t>
      </w:r>
      <w:proofErr w:type="spellEnd"/>
      <w:r>
        <w:t xml:space="preserve"> et al., 2017; Bossio et al., 2020). Country-level syntheses, such as those for India, further illustrate that widespread adoption of agroforestry could deliver tens of </w:t>
      </w:r>
      <w:proofErr w:type="spellStart"/>
      <w:r>
        <w:t>teragrams</w:t>
      </w:r>
      <w:proofErr w:type="spellEnd"/>
      <w:r>
        <w:t xml:space="preserve"> of additional soil and biomass carbon while supporting national climate commitments and enhancing ecological resilience (Kumara et al., 2023; Pan et al., 2025). Taken together, the evidence indicates that major agroforestry systems—including </w:t>
      </w:r>
      <w:proofErr w:type="spellStart"/>
      <w:r>
        <w:t>silvoarable</w:t>
      </w:r>
      <w:proofErr w:type="spellEnd"/>
      <w:r>
        <w:t xml:space="preserve">, </w:t>
      </w:r>
      <w:proofErr w:type="spellStart"/>
      <w:r>
        <w:t>silvopastoral</w:t>
      </w:r>
      <w:proofErr w:type="spellEnd"/>
      <w:r>
        <w:t xml:space="preserve"> and tree-dominated mosaic landscapes—offer robust, context-dependent pathways to increase terrestrial carbon storage, provided that biophysical constraints, management trade-offs and social–economic realities are accounted for in design and implementation.</w:t>
      </w:r>
    </w:p>
    <w:p w14:paraId="4B20FFAF" w14:textId="77777777" w:rsidR="00B1065D" w:rsidRDefault="00B1065D" w:rsidP="00703FA1">
      <w:pPr>
        <w:pStyle w:val="Heading2"/>
        <w:jc w:val="both"/>
      </w:pPr>
      <w:r>
        <w:t>4. Measurement, Monitoring and Modelling of Carbon in Agroforestry</w:t>
      </w:r>
    </w:p>
    <w:p w14:paraId="4B20FFB0" w14:textId="77777777" w:rsidR="00B1065D" w:rsidRDefault="00B1065D" w:rsidP="00703FA1">
      <w:pPr>
        <w:pStyle w:val="Heading3"/>
        <w:jc w:val="both"/>
      </w:pPr>
      <w:r>
        <w:t>4.1 Field measurements and allometric approaches</w:t>
      </w:r>
    </w:p>
    <w:p w14:paraId="4B20FFB1" w14:textId="77777777" w:rsidR="00B1065D" w:rsidRDefault="00B1065D" w:rsidP="00703FA1">
      <w:pPr>
        <w:pStyle w:val="NormalWeb"/>
        <w:jc w:val="both"/>
      </w:pPr>
      <w:r>
        <w:t xml:space="preserve">Quantifying carbon in agroforestry is methodologically demanding because of the structural complexity and heterogeneity of these systems. Aboveground biomass is typically estimated using tree inventory data combined with species- or genus-specific allometric equations, sometimes calibrated for agroforestry conditions. However, many smallholder systems contain diverse mixtures of species and size classes for which robust allometries are lacking, leading to uncertainty in biomass estimates (Nair, 2012; De Stefano &amp; Jacobson, 2018). </w:t>
      </w:r>
    </w:p>
    <w:p w14:paraId="4B20FFB2" w14:textId="77777777" w:rsidR="00B1065D" w:rsidRDefault="00B1065D" w:rsidP="00703FA1">
      <w:pPr>
        <w:pStyle w:val="NormalWeb"/>
        <w:jc w:val="both"/>
      </w:pPr>
      <w:r>
        <w:t xml:space="preserve">SOC measurement requires soil sampling at multiple depths and distances from tree rows, which is </w:t>
      </w:r>
      <w:proofErr w:type="spellStart"/>
      <w:r>
        <w:t>labour-intensive</w:t>
      </w:r>
      <w:proofErr w:type="spellEnd"/>
      <w:r>
        <w:t xml:space="preserve"> and costly. Stratified sampling designs have been proposed to capture spatial gradients while controlling costs, but there is still limited guidance tailored to agroforestry. Long-term experiments with repeated sampling are rare, hampering estimates of sequestration rates and temporal dynamics (Lorenz &amp; Lal, 2014). </w:t>
      </w:r>
    </w:p>
    <w:p w14:paraId="4B20FFB3" w14:textId="77777777" w:rsidR="00B1065D" w:rsidRDefault="00B1065D" w:rsidP="00703FA1">
      <w:pPr>
        <w:pStyle w:val="Heading3"/>
        <w:jc w:val="both"/>
      </w:pPr>
      <w:r>
        <w:t>4.2 Remote sensing and model-based estimation</w:t>
      </w:r>
    </w:p>
    <w:p w14:paraId="4B20FFB4" w14:textId="77777777" w:rsidR="00B1065D" w:rsidRDefault="00B1065D" w:rsidP="00703FA1">
      <w:pPr>
        <w:pStyle w:val="NormalWeb"/>
        <w:jc w:val="both"/>
      </w:pPr>
      <w:r>
        <w:t>Remote sensing is increasingly used to estimate biomass and tree cover on agricultural land, with optical, radar and lidar data providing complementary information. Global products have proven useful for mapping trees outside forests and assessing biomass trends, but they often have difficulty resolving small, scattered trees or differentiating agroforestry from forest edges, orchards and shrublands (</w:t>
      </w:r>
      <w:proofErr w:type="spellStart"/>
      <w:r>
        <w:t>Zomer</w:t>
      </w:r>
      <w:proofErr w:type="spellEnd"/>
      <w:r>
        <w:t xml:space="preserve"> et al., 2016; Skole et al., 2021). At finer scales, drone-based imagery and structure-from-motion techniques offer promising avenues for structural </w:t>
      </w:r>
      <w:proofErr w:type="spellStart"/>
      <w:r>
        <w:t>characterisation</w:t>
      </w:r>
      <w:proofErr w:type="spellEnd"/>
      <w:r>
        <w:t xml:space="preserve"> of agroforestry canopies, though costs and technical capacity remain constraints in many regions.</w:t>
      </w:r>
    </w:p>
    <w:p w14:paraId="4B20FFB5" w14:textId="77777777" w:rsidR="00B1065D" w:rsidRDefault="00B1065D" w:rsidP="00703FA1">
      <w:pPr>
        <w:pStyle w:val="NormalWeb"/>
        <w:jc w:val="both"/>
      </w:pPr>
      <w:r>
        <w:t xml:space="preserve">Process-based and empirical models are also used to estimate carbon stocks and flows in agroforestry. Some models adapt forest or crop models to mixed systems, while others are specifically designed to represent tree–crop or tree–livestock interactions. Yet model </w:t>
      </w:r>
      <w:proofErr w:type="spellStart"/>
      <w:r>
        <w:lastRenderedPageBreak/>
        <w:t>parameterisation</w:t>
      </w:r>
      <w:proofErr w:type="spellEnd"/>
      <w:r>
        <w:t xml:space="preserve"> for diverse agroforestry species and management practices remains challenging, and belowground processes, including root dynamics and SOC </w:t>
      </w:r>
      <w:proofErr w:type="spellStart"/>
      <w:r>
        <w:t>stabilisation</w:t>
      </w:r>
      <w:proofErr w:type="spellEnd"/>
      <w:r>
        <w:t xml:space="preserve"> mechanisms, are often simplified (Nair et al., 2010; Shi et al., 2018). </w:t>
      </w:r>
    </w:p>
    <w:p w14:paraId="4B20FFB6" w14:textId="77777777" w:rsidR="00B1065D" w:rsidRDefault="00B1065D" w:rsidP="00703FA1">
      <w:pPr>
        <w:pStyle w:val="Heading3"/>
        <w:jc w:val="both"/>
      </w:pPr>
      <w:r>
        <w:t>4.3 MRV requirements for policy and carbon markets</w:t>
      </w:r>
    </w:p>
    <w:p w14:paraId="4B20FFB7" w14:textId="4ADAA80C" w:rsidR="00B1065D" w:rsidRDefault="00B1065D" w:rsidP="00703FA1">
      <w:pPr>
        <w:pStyle w:val="NormalWeb"/>
        <w:jc w:val="both"/>
      </w:pPr>
      <w:r>
        <w:t xml:space="preserve">As agroforestry is increasingly considered </w:t>
      </w:r>
      <w:r w:rsidRPr="00742098">
        <w:rPr>
          <w:highlight w:val="yellow"/>
        </w:rPr>
        <w:t xml:space="preserve">for inclusion in </w:t>
      </w:r>
      <w:r w:rsidR="00742098" w:rsidRPr="00742098">
        <w:rPr>
          <w:rFonts w:ascii="Arial" w:hAnsi="Arial" w:cs="Arial"/>
          <w:bCs/>
          <w:color w:val="0A0A0A"/>
          <w:sz w:val="20"/>
          <w:szCs w:val="30"/>
          <w:highlight w:val="yellow"/>
          <w:shd w:val="clear" w:color="auto" w:fill="FFFFFF"/>
        </w:rPr>
        <w:t>Nationally Determined Contributions (</w:t>
      </w:r>
      <w:r w:rsidRPr="00742098">
        <w:rPr>
          <w:sz w:val="16"/>
          <w:highlight w:val="yellow"/>
        </w:rPr>
        <w:t>NDCs</w:t>
      </w:r>
      <w:r w:rsidR="00742098" w:rsidRPr="00742098">
        <w:rPr>
          <w:sz w:val="16"/>
          <w:highlight w:val="yellow"/>
        </w:rPr>
        <w:t>)</w:t>
      </w:r>
      <w:r w:rsidRPr="00742098">
        <w:rPr>
          <w:sz w:val="16"/>
          <w:highlight w:val="yellow"/>
        </w:rPr>
        <w:t xml:space="preserve"> </w:t>
      </w:r>
      <w:r w:rsidRPr="00742098">
        <w:rPr>
          <w:sz w:val="22"/>
          <w:highlight w:val="yellow"/>
        </w:rPr>
        <w:t xml:space="preserve">and carbon crediting </w:t>
      </w:r>
      <w:proofErr w:type="spellStart"/>
      <w:r w:rsidRPr="00742098">
        <w:rPr>
          <w:sz w:val="22"/>
          <w:highlight w:val="yellow"/>
        </w:rPr>
        <w:t>programmes</w:t>
      </w:r>
      <w:proofErr w:type="spellEnd"/>
      <w:r w:rsidRPr="00742098">
        <w:rPr>
          <w:sz w:val="22"/>
          <w:highlight w:val="yellow"/>
        </w:rPr>
        <w:t>, measurement, reporting and verification (MRV</w:t>
      </w:r>
      <w:r w:rsidRPr="00742098">
        <w:rPr>
          <w:sz w:val="36"/>
          <w:highlight w:val="yellow"/>
        </w:rPr>
        <w:t xml:space="preserve">) </w:t>
      </w:r>
      <w:r w:rsidRPr="00742098">
        <w:rPr>
          <w:highlight w:val="yellow"/>
        </w:rPr>
        <w:t>systems must satisfy transparency, consistency and accuracy requirements</w:t>
      </w:r>
      <w:r>
        <w:t xml:space="preserve"> while remaining practical for smallholders. Rosenstock et al. (2019) highlighted major gaps in the reporting of agroforestry in non-</w:t>
      </w:r>
      <w:proofErr w:type="spellStart"/>
      <w:r>
        <w:t>Annex</w:t>
      </w:r>
      <w:r w:rsidR="00742098">
        <w:t>e</w:t>
      </w:r>
      <w:proofErr w:type="spellEnd"/>
      <w:r>
        <w:t xml:space="preserve"> I national communications and suggested that default emission factors and activity data often do not adequately capture trees on farms. Emerging approaches combine field plots, remote sensing and modelling to develop country-specific emission factors and activity data, but these have yet to be widely implemented.</w:t>
      </w:r>
    </w:p>
    <w:p w14:paraId="4B20FFB8" w14:textId="77777777" w:rsidR="00B1065D" w:rsidRDefault="00B1065D" w:rsidP="00703FA1">
      <w:pPr>
        <w:pStyle w:val="NormalWeb"/>
        <w:jc w:val="both"/>
      </w:pPr>
      <w:r>
        <w:t xml:space="preserve">Voluntary carbon standards are developing methodologies for agroforestry projects, including simplified calculators for smallholder systems and nested accounting in jurisdictional </w:t>
      </w:r>
      <w:proofErr w:type="spellStart"/>
      <w:r>
        <w:t>programmes</w:t>
      </w:r>
      <w:proofErr w:type="spellEnd"/>
      <w:r>
        <w:t>. However, ensuring additionality, permanence and the avoidance of double counting with national accounting frameworks remains a challenge. Priority research has been called for to generate robust, region-specific carbon coefficients, improve MRV methodologies and integrate social safeguards into agroforestry carbon projects (</w:t>
      </w:r>
      <w:proofErr w:type="spellStart"/>
      <w:r>
        <w:t>Terasaki</w:t>
      </w:r>
      <w:proofErr w:type="spellEnd"/>
      <w:r>
        <w:t xml:space="preserve"> Hart et al., 2023). </w:t>
      </w:r>
    </w:p>
    <w:p w14:paraId="4B20FFB9" w14:textId="77777777" w:rsidR="00B1065D" w:rsidRDefault="00B1065D" w:rsidP="00703FA1">
      <w:pPr>
        <w:jc w:val="both"/>
      </w:pPr>
    </w:p>
    <w:p w14:paraId="4B20FFBA" w14:textId="77777777" w:rsidR="00B1065D" w:rsidRDefault="00B1065D" w:rsidP="00703FA1">
      <w:pPr>
        <w:pStyle w:val="Heading2"/>
        <w:jc w:val="both"/>
      </w:pPr>
      <w:r>
        <w:t>5. Socio-Economic and Ecological Co-Benefits and Trade-Offs</w:t>
      </w:r>
    </w:p>
    <w:p w14:paraId="4B20FFBB" w14:textId="77777777" w:rsidR="00B1065D" w:rsidRDefault="00B1065D" w:rsidP="00703FA1">
      <w:pPr>
        <w:pStyle w:val="Heading3"/>
        <w:jc w:val="both"/>
      </w:pPr>
      <w:r>
        <w:t>5.1 Livelihoods, productivity and resilience</w:t>
      </w:r>
    </w:p>
    <w:p w14:paraId="4B20FFBC" w14:textId="77777777" w:rsidR="00B1065D" w:rsidRDefault="00B1065D" w:rsidP="00703FA1">
      <w:pPr>
        <w:pStyle w:val="NormalWeb"/>
        <w:jc w:val="both"/>
      </w:pPr>
      <w:r>
        <w:t xml:space="preserve">Agroforestry is often promoted not only for climate mitigation but also for its potential to enhance livelihoods through diversified production and risk reduction. Trees provide fruit, timber, fuelwood, fodder, medicines and other non-timber forest products that can </w:t>
      </w:r>
      <w:proofErr w:type="spellStart"/>
      <w:r>
        <w:t>stabilise</w:t>
      </w:r>
      <w:proofErr w:type="spellEnd"/>
      <w:r>
        <w:t xml:space="preserve"> income and improve food security. Studies in East Africa, Latin America and Asia show that adoption of agroforestry can simultaneously increase carbon storage and household income, although benefits are unevenly distributed and depend on markets, tenure and extension support (</w:t>
      </w:r>
      <w:proofErr w:type="spellStart"/>
      <w:r>
        <w:t>Zomer</w:t>
      </w:r>
      <w:proofErr w:type="spellEnd"/>
      <w:r>
        <w:t xml:space="preserve"> et al., 2016; </w:t>
      </w:r>
      <w:proofErr w:type="spellStart"/>
      <w:r>
        <w:t>Udawatta</w:t>
      </w:r>
      <w:proofErr w:type="spellEnd"/>
      <w:r>
        <w:t xml:space="preserve"> et al., 2022). </w:t>
      </w:r>
    </w:p>
    <w:p w14:paraId="4B20FFBD" w14:textId="77777777" w:rsidR="00B1065D" w:rsidRDefault="00B1065D" w:rsidP="00703FA1">
      <w:pPr>
        <w:pStyle w:val="NormalWeb"/>
        <w:jc w:val="both"/>
      </w:pPr>
      <w:r>
        <w:t xml:space="preserve">Tree-based diversification can also enhance resilience to climate shocks by buffering microclimate extremes, reducing wind damage and providing alternative harvests during crop failure years. In drylands, parkland and farmer-managed natural regeneration systems have been shown to improve soil fertility, reduce erosion and sustain crop yields under rainfall variability, while sequestering carbon in woody biomass and soils (Lorenz &amp; Lal, 2014). </w:t>
      </w:r>
    </w:p>
    <w:p w14:paraId="4B20FFBE" w14:textId="77777777" w:rsidR="00B1065D" w:rsidRDefault="00B1065D" w:rsidP="00703FA1">
      <w:pPr>
        <w:pStyle w:val="Heading3"/>
        <w:jc w:val="both"/>
      </w:pPr>
      <w:r>
        <w:t>5.2 Biodiversity and ecosystem services</w:t>
      </w:r>
    </w:p>
    <w:p w14:paraId="4B20FFBF" w14:textId="77777777" w:rsidR="00B1065D" w:rsidRDefault="00B1065D" w:rsidP="00703FA1">
      <w:pPr>
        <w:pStyle w:val="NormalWeb"/>
        <w:jc w:val="both"/>
      </w:pPr>
      <w:r>
        <w:t xml:space="preserve">Agroforestry systems often support higher levels of biodiversity than monoculture agriculture by providing structural complexity, habitat connectivity and a diversity of niches. This can </w:t>
      </w:r>
      <w:r>
        <w:lastRenderedPageBreak/>
        <w:t>enhance pollination, biological pest control and other ecosystem services that indirectly support productivity and stability. Reviews of soil and water ecosystem services indicate that agroforestry can improve infiltration, water quality, erosion control and SOC conservation across a range of climates (</w:t>
      </w:r>
      <w:proofErr w:type="spellStart"/>
      <w:r>
        <w:t>Udawatta</w:t>
      </w:r>
      <w:proofErr w:type="spellEnd"/>
      <w:r>
        <w:t xml:space="preserve"> et al., 2022). </w:t>
      </w:r>
    </w:p>
    <w:p w14:paraId="4B20FFC0" w14:textId="77777777" w:rsidR="00B1065D" w:rsidRDefault="00B1065D" w:rsidP="00703FA1">
      <w:pPr>
        <w:pStyle w:val="NormalWeb"/>
        <w:jc w:val="both"/>
      </w:pPr>
      <w:r>
        <w:t xml:space="preserve">From a carbon perspective, biodiversity and functional diversity can influence both productivity and SOC </w:t>
      </w:r>
      <w:proofErr w:type="spellStart"/>
      <w:r>
        <w:t>stabilisation</w:t>
      </w:r>
      <w:proofErr w:type="spellEnd"/>
      <w:r>
        <w:t xml:space="preserve">. Diverse tree assemblages may increase overall biomass production and carbon input to soil, while also spreading risk across species with different drought or pest tolerance. However, dense shade or strong competition may reduce </w:t>
      </w:r>
      <w:proofErr w:type="spellStart"/>
      <w:r>
        <w:t>understorey</w:t>
      </w:r>
      <w:proofErr w:type="spellEnd"/>
      <w:r>
        <w:t xml:space="preserve"> productivity or </w:t>
      </w:r>
      <w:proofErr w:type="spellStart"/>
      <w:r>
        <w:t>favour</w:t>
      </w:r>
      <w:proofErr w:type="spellEnd"/>
      <w:r>
        <w:t xml:space="preserve"> invasive species in some contexts, highlighting the need for context-specific design and management.</w:t>
      </w:r>
    </w:p>
    <w:p w14:paraId="4B20FFC1" w14:textId="77777777" w:rsidR="00B1065D" w:rsidRDefault="00B1065D" w:rsidP="00703FA1">
      <w:pPr>
        <w:pStyle w:val="Heading3"/>
        <w:jc w:val="both"/>
      </w:pPr>
      <w:r>
        <w:t>5.3 Trade-offs with food production, water and other objectives</w:t>
      </w:r>
    </w:p>
    <w:p w14:paraId="4B20FFC2" w14:textId="77777777" w:rsidR="00B1065D" w:rsidRDefault="00B1065D" w:rsidP="00703FA1">
      <w:pPr>
        <w:pStyle w:val="NormalWeb"/>
        <w:jc w:val="both"/>
      </w:pPr>
      <w:r>
        <w:t xml:space="preserve">Agroforestry is not universally beneficial. In regions where food security is precarious and agricultural land is scarce, dedicating land or resources to trees may be perceived as risky or may reduce short-term crop yields, even if long-term system productivity and stability improve. Trade-offs are particularly salient when trees compete for water in semi-arid regions or where species selection and spacing do not reflect local constraints (Shi et al., 2018; </w:t>
      </w:r>
      <w:proofErr w:type="spellStart"/>
      <w:r>
        <w:t>Rolo</w:t>
      </w:r>
      <w:proofErr w:type="spellEnd"/>
      <w:r>
        <w:t xml:space="preserve"> et al., 2023). </w:t>
      </w:r>
    </w:p>
    <w:p w14:paraId="4B20FFC3" w14:textId="77777777" w:rsidR="00B1065D" w:rsidRDefault="00B1065D" w:rsidP="00703FA1">
      <w:pPr>
        <w:pStyle w:val="NormalWeb"/>
        <w:jc w:val="both"/>
      </w:pPr>
      <w:r>
        <w:t>From a mitigation perspective, there is also the risk that promoting agroforestry could displace other land uses in ways that increase emissions elsewhere (leakage) or exacerbate inequality if large landholders capture most benefits from carbon finance. Careful spatial planning, participatory design and integration with broader land-use strategies are essential to manage such trade-offs and ensure that agroforestry contributes to just and sustainable transitions.</w:t>
      </w:r>
    </w:p>
    <w:p w14:paraId="4B20FFC4" w14:textId="77777777" w:rsidR="00E7044C" w:rsidRDefault="00E7044C" w:rsidP="00703FA1">
      <w:pPr>
        <w:pStyle w:val="Heading2"/>
        <w:jc w:val="both"/>
      </w:pPr>
      <w:r>
        <w:t>6. Policy Integration and Carbon Market Opportunities</w:t>
      </w:r>
    </w:p>
    <w:p w14:paraId="4B20FFC5" w14:textId="77777777" w:rsidR="00E7044C" w:rsidRDefault="00E7044C" w:rsidP="00703FA1">
      <w:pPr>
        <w:pStyle w:val="NormalWeb"/>
        <w:jc w:val="both"/>
      </w:pPr>
      <w:r>
        <w:t xml:space="preserve">Harnessing agroforestry’s mitigation potential depends less on biophysical feasibility and more on whether policies, institutions, and carbon finance architectures can </w:t>
      </w:r>
      <w:proofErr w:type="spellStart"/>
      <w:r>
        <w:t>recognise</w:t>
      </w:r>
      <w:proofErr w:type="spellEnd"/>
      <w:r>
        <w:t xml:space="preserve">, reward, and sustain tree-based systems on farms. Recent assessments by the IPCC position trees in agricultural landscapes as a central component of land-based mitigation portfolios, alongside reduced deforestation, restoration of degraded lands, and improved cropland and grazing management (IPCC, 2022; Skole et al., 2021). Yet agroforestry still occupies a marginal and often ambiguous place in climate policy and carbon market design. This section examines three interlinked dimensions: the integration of agroforestry into climate policy and nationally determined contributions (NDCs), the opportunities and risks in emerging carbon markets, and priority science and governance </w:t>
      </w:r>
      <w:proofErr w:type="gramStart"/>
      <w:r>
        <w:t>needs</w:t>
      </w:r>
      <w:proofErr w:type="gramEnd"/>
      <w:r>
        <w:t xml:space="preserve"> to align agroforestry incentives with high-integrity climate action.</w:t>
      </w:r>
    </w:p>
    <w:p w14:paraId="4B20FFC6" w14:textId="77777777" w:rsidR="00E7044C" w:rsidRDefault="00E7044C" w:rsidP="00703FA1">
      <w:pPr>
        <w:pStyle w:val="Heading3"/>
        <w:jc w:val="both"/>
      </w:pPr>
      <w:r>
        <w:t>6.1 Agroforestry in climate policy and NDCs</w:t>
      </w:r>
    </w:p>
    <w:p w14:paraId="4B20FFC7" w14:textId="77777777" w:rsidR="00E7044C" w:rsidRDefault="00E7044C" w:rsidP="00703FA1">
      <w:pPr>
        <w:pStyle w:val="NormalWeb"/>
        <w:jc w:val="both"/>
      </w:pPr>
      <w:r>
        <w:t xml:space="preserve">The IPCC’s Sixth Assessment Report underscores that land-based “natural climate solutions” can deliver substantial mitigation at relatively low cost, provided social safeguards and biophysical limits are respected (IPCC, 2022; </w:t>
      </w:r>
      <w:proofErr w:type="spellStart"/>
      <w:r>
        <w:t>Griscom</w:t>
      </w:r>
      <w:proofErr w:type="spellEnd"/>
      <w:r>
        <w:t xml:space="preserve"> et al., 2017; Seddon et al., 2020). Trees outside forests—including those on farms and in agroforestry mosaics—are explicitly </w:t>
      </w:r>
      <w:proofErr w:type="spellStart"/>
      <w:r>
        <w:t>recognised</w:t>
      </w:r>
      <w:proofErr w:type="spellEnd"/>
      <w:r>
        <w:t xml:space="preserve"> as critical but undercounted contributors to national mitigation portfolios (Skole et </w:t>
      </w:r>
      <w:r>
        <w:lastRenderedPageBreak/>
        <w:t xml:space="preserve">al., 2021). In parallel, conceptual work on nature-based and natural climate solutions </w:t>
      </w:r>
      <w:proofErr w:type="spellStart"/>
      <w:r>
        <w:t>emphasises</w:t>
      </w:r>
      <w:proofErr w:type="spellEnd"/>
      <w:r>
        <w:t xml:space="preserve"> that interventions should be designed not only for carbon but also for adaptation, biodiversity and human well-being, avoiding simplistic “tree planting” framings that neglect socio-ecological complexity (Seddon et al., 2020; Waring et al., 2023; Ellis et al., 2024).</w:t>
      </w:r>
      <w:r w:rsidR="00951A3D">
        <w:t xml:space="preserve"> </w:t>
      </w:r>
    </w:p>
    <w:p w14:paraId="4B20FFC8" w14:textId="77777777" w:rsidR="00E7044C" w:rsidRDefault="00E7044C" w:rsidP="00703FA1">
      <w:pPr>
        <w:pStyle w:val="NormalWeb"/>
        <w:jc w:val="both"/>
      </w:pPr>
      <w:r>
        <w:t>Despite this growing recognition, agroforestry is unevenly represented in national climate strategies. A cross-country assessment of UNFCCC national communications, NDCs, REDD+ strategies and nationally appropriate mitigation actions found that roughly 40% of countries explicitly proposed agroforestry as a climate solution, with particularly high uptake in African NDCs (71%), but far fewer in Asia and Latin America (Rosenstock et al., 2019). Yet even where agroforestry is named, it is seldom accompanied by quantified mitigation targets, detailed implementation pathways or robust monitoring, reporting and verification (MRV) plans. This “ambition–ability gap” reflects institutional fragmentation across agriculture, forestry and climate agencies, inconsistent land and forest definitions, and limited technical capacity to measure trees outside forests (Rosenstock et al., 2019; Skole et al., 2021; IPCC, 2022).</w:t>
      </w:r>
    </w:p>
    <w:p w14:paraId="4B20FFC9" w14:textId="77777777" w:rsidR="00E7044C" w:rsidRDefault="00E7044C" w:rsidP="00703FA1">
      <w:pPr>
        <w:pStyle w:val="NormalWeb"/>
        <w:jc w:val="both"/>
      </w:pPr>
      <w:r>
        <w:t>Agroforestry’s hybrid character—straddling forest and agriculture—creates specific classification and accounting challenges. Many national greenhouse gas inventories still treat trees in agricultural landscapes implicitly within cropland or grassland categories, even where tree cover is substantial, while forest definitions based on canopy thresholds can either misclassify tree-rich farms as forest or ignore scattered trees entirely (Rosenstock et al., 2019; Skole et al., 2021). This misalignment undermines the visibility of agroforestry in national mitigation accounts and complicates the nesting of project-level activities within national inventory frameworks.</w:t>
      </w:r>
    </w:p>
    <w:p w14:paraId="4B20FFCA" w14:textId="77777777" w:rsidR="00E7044C" w:rsidRDefault="00E7044C" w:rsidP="00703FA1">
      <w:pPr>
        <w:pStyle w:val="NormalWeb"/>
        <w:jc w:val="both"/>
      </w:pPr>
      <w:r>
        <w:t xml:space="preserve">Emerging work on agroforestry as a defined “natural climate solution” seeks to close this gap. </w:t>
      </w:r>
      <w:proofErr w:type="spellStart"/>
      <w:r>
        <w:t>Terasaki</w:t>
      </w:r>
      <w:proofErr w:type="spellEnd"/>
      <w:r>
        <w:t xml:space="preserve"> Hart et al. (2023) argue that agroforestry should be explicitly framed as a mitigation pathway that increases woody and soil carbon in agricultural landscapes without compromising food production or biodiversity. They highlight regions where agroforestry expansion could be particularly important—such as parts of the Amazon, South Asia and sub-Saharan Africa—but note that policy and MRV systems have not kept pace with this potential (</w:t>
      </w:r>
      <w:proofErr w:type="spellStart"/>
      <w:r>
        <w:t>Terasaki</w:t>
      </w:r>
      <w:proofErr w:type="spellEnd"/>
      <w:r>
        <w:t xml:space="preserve"> Hart et al., 2023). Integrating agroforestry into NDCs thus requires: </w:t>
      </w:r>
      <w:proofErr w:type="spellStart"/>
      <w:r>
        <w:t>harmonising</w:t>
      </w:r>
      <w:proofErr w:type="spellEnd"/>
      <w:r>
        <w:t xml:space="preserve"> forest–agriculture definitions; developing activity data and emission factors tailored to trees outside forests; and embedding agroforestry in broader climate, agriculture and rural development policies rather than treating it as a niche intervention (IPCC, 2022; Rosenstock et al., 2019).</w:t>
      </w:r>
    </w:p>
    <w:p w14:paraId="4B20FFCB" w14:textId="77777777" w:rsidR="00E7044C" w:rsidRDefault="00E7044C" w:rsidP="00703FA1">
      <w:pPr>
        <w:pStyle w:val="Heading3"/>
        <w:jc w:val="both"/>
      </w:pPr>
      <w:r>
        <w:t>6.2 Carbon markets and integrity concerns</w:t>
      </w:r>
    </w:p>
    <w:p w14:paraId="4B20FFCC" w14:textId="77777777" w:rsidR="00E7044C" w:rsidRDefault="00E7044C" w:rsidP="00703FA1">
      <w:pPr>
        <w:pStyle w:val="NormalWeb"/>
        <w:jc w:val="both"/>
      </w:pPr>
      <w:r>
        <w:t>Agroforestry’s capacity to remove atmospheric carbon and store it in biomass and soils makes it an attractive candidate for carbon markets. In principle, farmers adopting agroforestry could generate removal credits for new carbon stored, while avoided land degradation or deforestation associated with tree-based systems might underpin avoidance credits (</w:t>
      </w:r>
      <w:proofErr w:type="spellStart"/>
      <w:r>
        <w:t>Griscom</w:t>
      </w:r>
      <w:proofErr w:type="spellEnd"/>
      <w:r>
        <w:t xml:space="preserve"> et al., 2017). However, the expansion of voluntary carbon markets has exposed serious integrity concerns that are directly relevant for agroforestry, including over-crediting, weak baselines, insufficient permanence safeguards and inadequate attention to social justice (Seddon et al., 2020; Waring et al., 2023; Ellis et al., 2024).</w:t>
      </w:r>
    </w:p>
    <w:p w14:paraId="4B20FFCD" w14:textId="77777777" w:rsidR="00E7044C" w:rsidRDefault="00E7044C" w:rsidP="00703FA1">
      <w:pPr>
        <w:pStyle w:val="NormalWeb"/>
        <w:jc w:val="both"/>
      </w:pPr>
      <w:r>
        <w:lastRenderedPageBreak/>
        <w:t xml:space="preserve">Analyses of forest-based offset projects offer a cautionary parallel. West et al. (2020) showed that several voluntary REDD+ projects in the Brazilian Amazon substantially overstated emission reductions due to counterfactual baselines that failed to reflect broader deforestation trends, raising concerns about over-issuance of credits and the risk of “hot air” in carbon markets. Similar problems could arise in agroforestry if baseline scenarios do not realistically represent business-as-usual land-use trajectories or if carbon models inadequately capture soil carbon dynamics and the fate of harvested biomass. Natural climate solutions frameworks therefore </w:t>
      </w:r>
      <w:proofErr w:type="spellStart"/>
      <w:r>
        <w:t>emphasise</w:t>
      </w:r>
      <w:proofErr w:type="spellEnd"/>
      <w:r>
        <w:t xml:space="preserve"> conservative baselines, rigorous uncertainty treatment and transparency about methodological choices (</w:t>
      </w:r>
      <w:proofErr w:type="spellStart"/>
      <w:r>
        <w:t>Griscom</w:t>
      </w:r>
      <w:proofErr w:type="spellEnd"/>
      <w:r>
        <w:t xml:space="preserve"> et al., 2017; Ellis et al., 2024).</w:t>
      </w:r>
      <w:r w:rsidR="00951A3D">
        <w:t xml:space="preserve"> </w:t>
      </w:r>
    </w:p>
    <w:p w14:paraId="4B20FFCE" w14:textId="77777777" w:rsidR="00E7044C" w:rsidRDefault="00E7044C" w:rsidP="00703FA1">
      <w:pPr>
        <w:pStyle w:val="NormalWeb"/>
        <w:jc w:val="both"/>
      </w:pPr>
      <w:r>
        <w:t>Additionality and permanence present particular challenges for agroforestry. Where trees are already widespread on farms, mitigation benefits may derive from changes in management (for example, increasing tree density or conserving existing trees) rather than from new planting; establishing that such changes would not have occurred without finance can be complex (</w:t>
      </w:r>
      <w:proofErr w:type="spellStart"/>
      <w:r>
        <w:t>Terasaki</w:t>
      </w:r>
      <w:proofErr w:type="spellEnd"/>
      <w:r>
        <w:t xml:space="preserve"> Hart et al., 2023). Moreover, agroforestry systems are dynamic: trees may be pruned, harvested or replaced, and land tenure can change. Permanence safeguards therefore need to consider plausible disturbance risks (fire, pests, market shocks, policy shifts), and buffer pools or long-term liability mechanisms must be calibrated accordingly (IPCC, 2022; Waring et al., 2023).</w:t>
      </w:r>
    </w:p>
    <w:p w14:paraId="4B20FFCF" w14:textId="77777777" w:rsidR="00E7044C" w:rsidRDefault="00E7044C" w:rsidP="00703FA1">
      <w:pPr>
        <w:pStyle w:val="NormalWeb"/>
        <w:jc w:val="both"/>
      </w:pPr>
      <w:r>
        <w:t xml:space="preserve">Integrity debates increasingly stress that high-quality credits should deliver verifiable climate benefits while also respecting rights and promoting equitable development. Waring et al. (2023) argue that natural climate solutions must “embrace multiple perspectives,” especially those of Indigenous peoples and local communities, to avoid repeating historical injustices such as land grabs and exclusion from decision-making. Nature-based solutions scholarship similarly warns that simplistic sequestration metrics, detached from context, risk displacing local priorities and undermining adaptation (Seddon et al., 2020). In agroforestry, where trees are deeply embedded in farming livelihoods, carbon projects that </w:t>
      </w:r>
      <w:proofErr w:type="spellStart"/>
      <w:r>
        <w:t>prioritise</w:t>
      </w:r>
      <w:proofErr w:type="spellEnd"/>
      <w:r>
        <w:t xml:space="preserve"> credit yields over food security, gender equity or customary tenure are unlikely to be socially sustainable.</w:t>
      </w:r>
    </w:p>
    <w:p w14:paraId="4B20FFD0" w14:textId="77777777" w:rsidR="00E7044C" w:rsidRDefault="00E7044C" w:rsidP="00703FA1">
      <w:pPr>
        <w:pStyle w:val="NormalWeb"/>
        <w:jc w:val="both"/>
      </w:pPr>
      <w:r>
        <w:t>High-integrity agroforestry carbon initiatives therefore combine conservative carbon accounting with participatory design, recognition of local knowledge, and benefit-sharing arrangements that are transparent and fair. Jurisdictional or nested approaches can help align project-level crediting with national accounting, reduce double counting and support systemic landscape-level transitions, but require substantial institutional capacity and data infrastructure (IPCC, 2022; Rosenstock et al., 2019; Ellis et al., 2024). In practice, the feasibility of such architectures will vary widely across countries, underscoring the need for flexible, context-sensitive instruments.</w:t>
      </w:r>
    </w:p>
    <w:p w14:paraId="4B20FFD1" w14:textId="77777777" w:rsidR="00E7044C" w:rsidRDefault="00E7044C" w:rsidP="00703FA1">
      <w:pPr>
        <w:pStyle w:val="Heading3"/>
        <w:jc w:val="both"/>
      </w:pPr>
      <w:r>
        <w:t>6.3 Priority science, governance and financing needs</w:t>
      </w:r>
    </w:p>
    <w:p w14:paraId="4B20FFD2" w14:textId="77777777" w:rsidR="00E7044C" w:rsidRDefault="00E7044C" w:rsidP="00703FA1">
      <w:pPr>
        <w:pStyle w:val="NormalWeb"/>
        <w:jc w:val="both"/>
      </w:pPr>
      <w:r>
        <w:t xml:space="preserve">Accelerating agroforestry as a credible climate solution requires combined advances in science, governance and finance. </w:t>
      </w:r>
      <w:proofErr w:type="spellStart"/>
      <w:r>
        <w:t>Terasaki</w:t>
      </w:r>
      <w:proofErr w:type="spellEnd"/>
      <w:r>
        <w:t xml:space="preserve"> Hart et al. (2023) identify six priority domains: improving quantification of carbon and non-carbon outcomes; understanding socio-ecological drivers of adoption; integrating agroforestry into climate policy; developing more effective financial mechanisms; designing metrics of equity and inclusion; and strengthening cross-scale governance. Their synthesis shows that while aboveground biomass in agroforestry has been relatively well studied, soil carbon responses remain heterogeneous across systems and climates, and litter, root and non-CO₂ fluxes are often neglected. This scientific uncertainty </w:t>
      </w:r>
      <w:r>
        <w:lastRenderedPageBreak/>
        <w:t>complicates crediting and NDC accounting, particularly when robust, smallholder-appropriate MRV is required.</w:t>
      </w:r>
    </w:p>
    <w:p w14:paraId="4B20FFD3" w14:textId="77777777" w:rsidR="00E7044C" w:rsidRDefault="00E7044C" w:rsidP="00703FA1">
      <w:pPr>
        <w:pStyle w:val="NormalWeb"/>
        <w:jc w:val="both"/>
      </w:pPr>
      <w:r>
        <w:t xml:space="preserve">From a measurement perspective, integrating high-resolution remote sensing with field plots and farm surveys is pivotal for making “trees outside forests” visible in national inventories and carbon markets (Skole et al., 2021; </w:t>
      </w:r>
      <w:proofErr w:type="spellStart"/>
      <w:r>
        <w:t>Terasaki</w:t>
      </w:r>
      <w:proofErr w:type="spellEnd"/>
      <w:r>
        <w:t xml:space="preserve"> Hart et al., 2023). Emerging tree-level mapping approaches can detect individual trees in agricultural landscapes, but translating these data into accurate carbon estimates still requires locally calibrated allometries and soil carbon models. Digital MRV platforms that combine satellite data with mobile-based farm reporting could lower transaction costs and enable aggregated smallholder projects, but will only function if supported by investments in data infrastructure and capacity building (Rosenstock et al., 2019; IPCC, 2022).</w:t>
      </w:r>
    </w:p>
    <w:p w14:paraId="4B20FFD4" w14:textId="77777777" w:rsidR="00E7044C" w:rsidRDefault="00E7044C" w:rsidP="00703FA1">
      <w:pPr>
        <w:pStyle w:val="NormalWeb"/>
        <w:jc w:val="both"/>
      </w:pPr>
      <w:r>
        <w:t xml:space="preserve">Governance innovations are equally important. Agroforestry often occurs in settings where land and tree tenure are decoupled—for example, where tenants manage crops but </w:t>
      </w:r>
      <w:proofErr w:type="gramStart"/>
      <w:r>
        <w:t>landowners</w:t>
      </w:r>
      <w:proofErr w:type="gramEnd"/>
      <w:r>
        <w:t xml:space="preserve"> own trees, or where women’s tree rights are weaker than men’s. Without explicit attention to tenure, carbon rights and benefit distribution, agroforestry carbon finance may entrench existing inequalities or create new conflicts (Waring et al., 2023; Seddon et al., 2020). Policies that </w:t>
      </w:r>
      <w:proofErr w:type="spellStart"/>
      <w:r>
        <w:t>recognise</w:t>
      </w:r>
      <w:proofErr w:type="spellEnd"/>
      <w:r>
        <w:t xml:space="preserve"> farmers’ rights to trees and associated carbon, protect customary and collective tenure, and embed grievance and redress mechanisms can help align carbon finance with social justice.</w:t>
      </w:r>
    </w:p>
    <w:p w14:paraId="4B20FFD5" w14:textId="77777777" w:rsidR="00E7044C" w:rsidRDefault="00E7044C" w:rsidP="00703FA1">
      <w:pPr>
        <w:pStyle w:val="NormalWeb"/>
        <w:jc w:val="both"/>
      </w:pPr>
      <w:r>
        <w:t>Finally, public policy and climate finance need to move beyond small, stand-alone projects toward integrated instruments that blend results-based payments with broader support for climate-smart agriculture and rural development. This might include aligning agroforestry incentives with agricultural extension services, climate-resilient social protection, credit guarantees and risk-sharing facilities that address the delayed cash flows associated with tree establishment (IPCC, 2022; Ellis et al., 2024). Rather than viewing carbon markets as a silver bullet, a more realistic framing is that high-integrity agroforestry credits can complement, but not substitute for, ambitious emissions cuts in energy and industry and robust public investment in climate-resilient food systems (</w:t>
      </w:r>
      <w:proofErr w:type="spellStart"/>
      <w:r>
        <w:t>Griscom</w:t>
      </w:r>
      <w:proofErr w:type="spellEnd"/>
      <w:r>
        <w:t xml:space="preserve"> et al., 2017; Waring et al., 2023).</w:t>
      </w:r>
    </w:p>
    <w:p w14:paraId="4B20FFD6" w14:textId="77777777" w:rsidR="00E7044C" w:rsidRDefault="00E7044C" w:rsidP="00703FA1">
      <w:pPr>
        <w:pStyle w:val="NormalWeb"/>
        <w:jc w:val="both"/>
      </w:pPr>
      <w:r>
        <w:t>Together, these insights suggest that the central challenge is not merely to “unlock” carbon finance for agroforestry, but to embed agroforestry within coherent, equity-aware climate policy regimes in which carbon incentives support, rather than distort, long-term transitions toward diversified, socially just agricultural landscapes.</w:t>
      </w:r>
    </w:p>
    <w:p w14:paraId="4B20FFD7" w14:textId="77777777" w:rsidR="00B1065D" w:rsidRDefault="00B1065D" w:rsidP="00703FA1">
      <w:pPr>
        <w:pStyle w:val="Heading2"/>
        <w:jc w:val="both"/>
      </w:pPr>
      <w:r>
        <w:t>7. Conclusions</w:t>
      </w:r>
    </w:p>
    <w:p w14:paraId="4B20FFD8" w14:textId="77777777" w:rsidR="00B1065D" w:rsidRDefault="00B1065D" w:rsidP="00703FA1">
      <w:pPr>
        <w:pStyle w:val="NormalWeb"/>
        <w:jc w:val="both"/>
      </w:pPr>
      <w:r>
        <w:t>Evidence accumulated over the past two decades demonstrates that agroforestry can play a significant role in terrestrial carbon sequestration while delivering multiple co-benefits for livelihoods, biodiversity and climate resilience. Integration of trees into croplands and pastures increases above- and belowground biomass, enhances SOC stocks, and modifies microclimate and hydrology in ways that can support long-term carbon storage. Global analyses show that trees on agricultural land already constitute a large, dynamic carbon pool and that expanding and improving agroforestry management could contribute meaningfully to global mitigation efforts.</w:t>
      </w:r>
    </w:p>
    <w:p w14:paraId="4B20FFD9" w14:textId="77777777" w:rsidR="00B1065D" w:rsidRDefault="00B1065D" w:rsidP="00703FA1">
      <w:pPr>
        <w:pStyle w:val="NormalWeb"/>
        <w:jc w:val="both"/>
      </w:pPr>
      <w:r>
        <w:lastRenderedPageBreak/>
        <w:t>However, the magnitude of this mitigation potential is highly context-dependent. System design, species selection, management practices, climate and soils all modulate carbon outcomes, and there are trade-offs with crop yields, water use and other objectives that must be carefully managed. Importantly, agroforestry is not a substitute for urgent fossil fuel emission reductions; rather, it is one component of a broader portfolio of nature-based and technological solutions.</w:t>
      </w:r>
    </w:p>
    <w:p w14:paraId="4B20FFDA" w14:textId="77777777" w:rsidR="00B1065D" w:rsidRDefault="00B1065D" w:rsidP="00703FA1">
      <w:pPr>
        <w:pStyle w:val="NormalWeb"/>
        <w:jc w:val="both"/>
      </w:pPr>
      <w:r>
        <w:t>Measurement and modelling challenges, particularly for SOC and belowground processes, continue to constrain accurate quantification of agroforestry carbon, especially in smallholder systems. Strengthening MRV through better data, models and remote sensing, together with capacity building in national agencies, is essential to fully integrate agroforestry into NDCs and national greenhouse gas inventories.</w:t>
      </w:r>
    </w:p>
    <w:p w14:paraId="4B20FFDB" w14:textId="77777777" w:rsidR="00B1065D" w:rsidRDefault="00B1065D" w:rsidP="00703FA1">
      <w:pPr>
        <w:pStyle w:val="NormalWeb"/>
        <w:jc w:val="both"/>
      </w:pPr>
      <w:r>
        <w:t xml:space="preserve">Finally, social and governance dimensions are central. Agroforestry’s climate benefits will only be </w:t>
      </w:r>
      <w:proofErr w:type="spellStart"/>
      <w:r>
        <w:t>realised</w:t>
      </w:r>
      <w:proofErr w:type="spellEnd"/>
      <w:r>
        <w:t xml:space="preserve"> at scale if farmers, pastoralists and communities are willing and able to adopt and manage tree-based systems over the long term. This requires secure land and tree tenure, access to markets and finance, supportive extension services, and carbon </w:t>
      </w:r>
      <w:proofErr w:type="spellStart"/>
      <w:r>
        <w:t>programmes</w:t>
      </w:r>
      <w:proofErr w:type="spellEnd"/>
      <w:r>
        <w:t xml:space="preserve"> designed with strong safeguards and equitable benefit-sharing.</w:t>
      </w:r>
    </w:p>
    <w:p w14:paraId="4B20FFDC" w14:textId="77777777" w:rsidR="00B1065D" w:rsidRDefault="00B1065D" w:rsidP="00703FA1">
      <w:pPr>
        <w:pStyle w:val="Heading2"/>
        <w:jc w:val="both"/>
      </w:pPr>
      <w:r>
        <w:t>8. Limitations</w:t>
      </w:r>
    </w:p>
    <w:p w14:paraId="4B20FFDD" w14:textId="77777777" w:rsidR="00B1065D" w:rsidRDefault="00B1065D" w:rsidP="00703FA1">
      <w:pPr>
        <w:pStyle w:val="NormalWeb"/>
        <w:jc w:val="both"/>
      </w:pPr>
      <w:r>
        <w:t>This review, while drawing on key recent meta-analyses, global assessments and influential conceptual papers, does not provide a comprehensive systematic review of all agroforestry–carbon literature. The rapid growth of publications in this field, especially at regional and system-specific scales, means that some important empirical studies and locally relevant findings are not covered.</w:t>
      </w:r>
    </w:p>
    <w:p w14:paraId="4B20FFDE" w14:textId="77777777" w:rsidR="00B1065D" w:rsidRDefault="00B1065D" w:rsidP="00703FA1">
      <w:pPr>
        <w:pStyle w:val="NormalWeb"/>
        <w:jc w:val="both"/>
      </w:pPr>
      <w:r>
        <w:t>The synthesis relies largely on peer-reviewed journal articles and major assessments that report carbon stocks and sequestration rates using diverse methods, timeframes and baselines. Differences in sampling depth, reference land uses, and inclusion or exclusion of belowground biomass introduce uncertainties that cannot be fully reconciled within this narrative review. Reported percentages and ranges should therefore be interpreted as indicative rather than definitive.</w:t>
      </w:r>
    </w:p>
    <w:p w14:paraId="4B20FFDF" w14:textId="77777777" w:rsidR="00B1065D" w:rsidRDefault="00B1065D" w:rsidP="00703FA1">
      <w:pPr>
        <w:pStyle w:val="NormalWeb"/>
        <w:jc w:val="both"/>
      </w:pPr>
      <w:r>
        <w:t>The review focuses primarily on biophysical mechanisms and broad policy implications, with less detailed treatment of socio-cultural dimensions, gender dynamics, indigenous knowledge systems and political economy factors that strongly influence agroforestry adoption and outcomes. It also does not provide an exhaustive critique of carbon standards or project methodologies, which are evolving rapidly.</w:t>
      </w:r>
    </w:p>
    <w:p w14:paraId="4B20FFE0" w14:textId="4B980C86" w:rsidR="00B1065D" w:rsidRDefault="00B1065D" w:rsidP="00703FA1">
      <w:pPr>
        <w:pStyle w:val="NormalWeb"/>
        <w:jc w:val="both"/>
      </w:pPr>
      <w:r>
        <w:t xml:space="preserve">Finally, regional coverage is uneven, with greater representation of studies from parts of Africa, Latin America, Europe and Asia where agroforestry research has been concentrated. More work is needed to document carbon dynamics and governance challenges in understudied regions and among </w:t>
      </w:r>
      <w:proofErr w:type="spellStart"/>
      <w:r>
        <w:t>marginalised</w:t>
      </w:r>
      <w:proofErr w:type="spellEnd"/>
      <w:r>
        <w:t xml:space="preserve"> groups. Future reviews using systematic search protocols and quantitative synthesis could complement this narrative overview and provide more precise estimates of agroforestry’s global mitigation potential and associated uncertainties.</w:t>
      </w:r>
    </w:p>
    <w:p w14:paraId="67C2AC55" w14:textId="77777777" w:rsidR="00742098" w:rsidRPr="00742098" w:rsidRDefault="00742098" w:rsidP="00742098">
      <w:pPr>
        <w:rPr>
          <w:highlight w:val="yellow"/>
        </w:rPr>
      </w:pPr>
      <w:r w:rsidRPr="00742098">
        <w:rPr>
          <w:highlight w:val="yellow"/>
        </w:rPr>
        <w:t>Disclaimer (Artificial intelligence)</w:t>
      </w:r>
    </w:p>
    <w:p w14:paraId="47E587FA" w14:textId="77777777" w:rsidR="00742098" w:rsidRPr="00742098" w:rsidRDefault="00742098" w:rsidP="00742098">
      <w:pPr>
        <w:rPr>
          <w:highlight w:val="yellow"/>
        </w:rPr>
      </w:pPr>
      <w:bookmarkStart w:id="0" w:name="_GoBack"/>
      <w:bookmarkEnd w:id="0"/>
      <w:r w:rsidRPr="00742098">
        <w:rPr>
          <w:highlight w:val="yellow"/>
        </w:rPr>
        <w:lastRenderedPageBreak/>
        <w:t>Author(s) hereby declare that NO generative AI technologies such as Large Language Models (</w:t>
      </w:r>
      <w:proofErr w:type="spellStart"/>
      <w:r w:rsidRPr="00742098">
        <w:rPr>
          <w:highlight w:val="yellow"/>
        </w:rPr>
        <w:t>ChatGPT</w:t>
      </w:r>
      <w:proofErr w:type="spellEnd"/>
      <w:r w:rsidRPr="00742098">
        <w:rPr>
          <w:highlight w:val="yellow"/>
        </w:rPr>
        <w:t xml:space="preserve">, COPILOT, etc.) and text-to-image generators have been used during the writing or editing of this manuscript. </w:t>
      </w:r>
    </w:p>
    <w:p w14:paraId="23254487" w14:textId="77777777" w:rsidR="00742098" w:rsidRDefault="00742098" w:rsidP="00703FA1">
      <w:pPr>
        <w:pStyle w:val="NormalWeb"/>
        <w:jc w:val="both"/>
      </w:pPr>
    </w:p>
    <w:p w14:paraId="4B20FFE1" w14:textId="77777777" w:rsidR="00B1065D" w:rsidRDefault="00B1065D" w:rsidP="00703FA1">
      <w:pPr>
        <w:pStyle w:val="Heading2"/>
        <w:jc w:val="both"/>
      </w:pPr>
      <w:r>
        <w:t>References</w:t>
      </w:r>
    </w:p>
    <w:p w14:paraId="4B20FFE2" w14:textId="77777777" w:rsidR="00A029C3" w:rsidRDefault="00A029C3" w:rsidP="00703FA1">
      <w:pPr>
        <w:pStyle w:val="NormalWeb"/>
        <w:jc w:val="both"/>
      </w:pPr>
      <w:r>
        <w:t xml:space="preserve">Abbas, F., Hammad, H. M., Fahad, S., </w:t>
      </w:r>
      <w:proofErr w:type="spellStart"/>
      <w:r>
        <w:t>Cerdà</w:t>
      </w:r>
      <w:proofErr w:type="spellEnd"/>
      <w:r>
        <w:t xml:space="preserve">, A., Rizwan, M., </w:t>
      </w:r>
      <w:proofErr w:type="spellStart"/>
      <w:r>
        <w:t>Farhad</w:t>
      </w:r>
      <w:proofErr w:type="spellEnd"/>
      <w:r>
        <w:t xml:space="preserve">, W., … Huang, G. (2017). Agroforestry: A sustainable environmental practice for carbon sequestration under the climate change scenarios—a review. </w:t>
      </w:r>
      <w:r>
        <w:rPr>
          <w:rStyle w:val="Emphasis"/>
        </w:rPr>
        <w:t>Environmental Science and Pollution Research, 24</w:t>
      </w:r>
      <w:r>
        <w:t xml:space="preserve">(12), 11177–11191. </w:t>
      </w:r>
      <w:hyperlink r:id="rId8" w:history="1">
        <w:r w:rsidRPr="003465DC">
          <w:rPr>
            <w:rStyle w:val="Hyperlink"/>
          </w:rPr>
          <w:t>https://doi.org/10.1007/s11356-017-8687-0</w:t>
        </w:r>
      </w:hyperlink>
      <w:r>
        <w:t xml:space="preserve"> </w:t>
      </w:r>
    </w:p>
    <w:p w14:paraId="4B20FFE3" w14:textId="77777777" w:rsidR="00A029C3" w:rsidRDefault="00A029C3" w:rsidP="00703FA1">
      <w:pPr>
        <w:pStyle w:val="NormalWeb"/>
        <w:jc w:val="both"/>
      </w:pPr>
      <w:proofErr w:type="spellStart"/>
      <w:r>
        <w:t>Aryal</w:t>
      </w:r>
      <w:proofErr w:type="spellEnd"/>
      <w:r>
        <w:t xml:space="preserve">, S., Solorio, F. J., Ku-Vera, J. C., Gauthier, M., Gómez, A., Casanova-Lugo, F., … Groot, J. C. J. (2022). </w:t>
      </w:r>
      <w:proofErr w:type="spellStart"/>
      <w:r>
        <w:t>Silvopastoral</w:t>
      </w:r>
      <w:proofErr w:type="spellEnd"/>
      <w:r>
        <w:t xml:space="preserve"> systems and remnant forests enhance carbon storage in livestock-dominated landscapes in Mexico. </w:t>
      </w:r>
      <w:r>
        <w:rPr>
          <w:rStyle w:val="Emphasis"/>
        </w:rPr>
        <w:t>Scientific Reports, 12</w:t>
      </w:r>
      <w:r>
        <w:t xml:space="preserve">, 16769. </w:t>
      </w:r>
      <w:hyperlink r:id="rId9" w:history="1">
        <w:r w:rsidRPr="003465DC">
          <w:rPr>
            <w:rStyle w:val="Hyperlink"/>
          </w:rPr>
          <w:t>https://doi.org/10.1038/s41598-022-21089-4</w:t>
        </w:r>
      </w:hyperlink>
      <w:r>
        <w:t xml:space="preserve"> </w:t>
      </w:r>
    </w:p>
    <w:p w14:paraId="4B20FFE4" w14:textId="77777777" w:rsidR="00A029C3" w:rsidRDefault="00A029C3" w:rsidP="00703FA1">
      <w:pPr>
        <w:pStyle w:val="NormalWeb"/>
        <w:jc w:val="both"/>
      </w:pPr>
      <w:r>
        <w:t xml:space="preserve">Barman, U., Sahoo, U. K., Barman, B., </w:t>
      </w:r>
      <w:proofErr w:type="spellStart"/>
      <w:r>
        <w:t>Basumatary</w:t>
      </w:r>
      <w:proofErr w:type="spellEnd"/>
      <w:r>
        <w:t xml:space="preserve">, S., Das, T., &amp; Nath, A. J. (2025). Long-term agroforestry enhances soil organic carbon pools and sequestration in the Himalayan foothills. </w:t>
      </w:r>
      <w:r>
        <w:rPr>
          <w:rStyle w:val="Emphasis"/>
        </w:rPr>
        <w:t>Frontiers in Environmental Science, 13</w:t>
      </w:r>
      <w:r>
        <w:t xml:space="preserve">, 1568564. </w:t>
      </w:r>
      <w:hyperlink r:id="rId10" w:history="1">
        <w:r w:rsidRPr="003465DC">
          <w:rPr>
            <w:rStyle w:val="Hyperlink"/>
          </w:rPr>
          <w:t>https://doi.org/10.3389/fenvs.2025.1568564</w:t>
        </w:r>
      </w:hyperlink>
      <w:r>
        <w:t xml:space="preserve"> </w:t>
      </w:r>
    </w:p>
    <w:p w14:paraId="4B20FFE5" w14:textId="77777777" w:rsidR="00A029C3" w:rsidRDefault="00A029C3" w:rsidP="00703FA1">
      <w:pPr>
        <w:pStyle w:val="NormalWeb"/>
        <w:jc w:val="both"/>
      </w:pPr>
      <w:r>
        <w:t xml:space="preserve">Bossio, D. A., Cook-Patton, S. C., Ellis, P. W., </w:t>
      </w:r>
      <w:proofErr w:type="spellStart"/>
      <w:r>
        <w:t>Fargione</w:t>
      </w:r>
      <w:proofErr w:type="spellEnd"/>
      <w:r>
        <w:t xml:space="preserve">, J., </w:t>
      </w:r>
      <w:proofErr w:type="spellStart"/>
      <w:r>
        <w:t>Sanderman</w:t>
      </w:r>
      <w:proofErr w:type="spellEnd"/>
      <w:r>
        <w:t xml:space="preserve">, J., Smith, P., … </w:t>
      </w:r>
      <w:proofErr w:type="spellStart"/>
      <w:r>
        <w:t>Griscom</w:t>
      </w:r>
      <w:proofErr w:type="spellEnd"/>
      <w:r>
        <w:t xml:space="preserve">, B. W. (2020). The role of soil carbon in natural climate solutions. </w:t>
      </w:r>
      <w:r>
        <w:rPr>
          <w:rStyle w:val="Emphasis"/>
        </w:rPr>
        <w:t>Nature Sustainability, 3</w:t>
      </w:r>
      <w:r>
        <w:t xml:space="preserve">(5), 391–398. </w:t>
      </w:r>
      <w:hyperlink r:id="rId11" w:history="1">
        <w:r w:rsidRPr="003465DC">
          <w:rPr>
            <w:rStyle w:val="Hyperlink"/>
          </w:rPr>
          <w:t>https://doi.org/10.1038/s41893-020-0491-z</w:t>
        </w:r>
      </w:hyperlink>
      <w:r>
        <w:t xml:space="preserve"> </w:t>
      </w:r>
    </w:p>
    <w:p w14:paraId="4B20FFE6" w14:textId="77777777" w:rsidR="00A029C3" w:rsidRPr="00864222" w:rsidRDefault="00A029C3" w:rsidP="00703FA1">
      <w:pPr>
        <w:pStyle w:val="NormalWeb"/>
        <w:jc w:val="both"/>
        <w:rPr>
          <w:lang w:val="fr-FR"/>
        </w:rPr>
      </w:pPr>
      <w:proofErr w:type="spellStart"/>
      <w:r>
        <w:t>Cardinael</w:t>
      </w:r>
      <w:proofErr w:type="spellEnd"/>
      <w:r>
        <w:t xml:space="preserve">, R., </w:t>
      </w:r>
      <w:proofErr w:type="spellStart"/>
      <w:r>
        <w:t>Chevallier</w:t>
      </w:r>
      <w:proofErr w:type="spellEnd"/>
      <w:r>
        <w:t xml:space="preserve">, T., </w:t>
      </w:r>
      <w:proofErr w:type="spellStart"/>
      <w:r>
        <w:t>Barthès</w:t>
      </w:r>
      <w:proofErr w:type="spellEnd"/>
      <w:r>
        <w:t xml:space="preserve">, B. G., </w:t>
      </w:r>
      <w:proofErr w:type="spellStart"/>
      <w:r>
        <w:t>Saby</w:t>
      </w:r>
      <w:proofErr w:type="spellEnd"/>
      <w:r>
        <w:t xml:space="preserve">, N. P. A., Parent, T., </w:t>
      </w:r>
      <w:proofErr w:type="spellStart"/>
      <w:r>
        <w:t>Dupraz</w:t>
      </w:r>
      <w:proofErr w:type="spellEnd"/>
      <w:r>
        <w:t xml:space="preserve">, C., Seguin, B., &amp; </w:t>
      </w:r>
      <w:proofErr w:type="spellStart"/>
      <w:r>
        <w:t>Chenu</w:t>
      </w:r>
      <w:proofErr w:type="spellEnd"/>
      <w:r>
        <w:t xml:space="preserve">, C. (2017). Increased soil organic carbon stocks under agroforestry: A survey of six different sites in France. </w:t>
      </w:r>
      <w:r w:rsidRPr="00864222">
        <w:rPr>
          <w:rStyle w:val="Emphasis"/>
          <w:rFonts w:eastAsiaTheme="majorEastAsia"/>
          <w:lang w:val="fr-FR"/>
        </w:rPr>
        <w:t xml:space="preserve">Agriculture, </w:t>
      </w:r>
      <w:proofErr w:type="spellStart"/>
      <w:r w:rsidRPr="00864222">
        <w:rPr>
          <w:rStyle w:val="Emphasis"/>
          <w:rFonts w:eastAsiaTheme="majorEastAsia"/>
          <w:lang w:val="fr-FR"/>
        </w:rPr>
        <w:t>Ecosystems</w:t>
      </w:r>
      <w:proofErr w:type="spellEnd"/>
      <w:r w:rsidRPr="00864222">
        <w:rPr>
          <w:rStyle w:val="Emphasis"/>
          <w:rFonts w:eastAsiaTheme="majorEastAsia"/>
          <w:lang w:val="fr-FR"/>
        </w:rPr>
        <w:t xml:space="preserve"> &amp; </w:t>
      </w:r>
      <w:proofErr w:type="spellStart"/>
      <w:r w:rsidRPr="00864222">
        <w:rPr>
          <w:rStyle w:val="Emphasis"/>
          <w:rFonts w:eastAsiaTheme="majorEastAsia"/>
          <w:lang w:val="fr-FR"/>
        </w:rPr>
        <w:t>Environment</w:t>
      </w:r>
      <w:proofErr w:type="spellEnd"/>
      <w:r w:rsidRPr="00864222">
        <w:rPr>
          <w:rStyle w:val="Emphasis"/>
          <w:rFonts w:eastAsiaTheme="majorEastAsia"/>
          <w:lang w:val="fr-FR"/>
        </w:rPr>
        <w:t>, 236</w:t>
      </w:r>
      <w:r w:rsidRPr="00864222">
        <w:rPr>
          <w:lang w:val="fr-FR"/>
        </w:rPr>
        <w:t xml:space="preserve">, 243–255. </w:t>
      </w:r>
      <w:hyperlink r:id="rId12" w:history="1">
        <w:r w:rsidRPr="00864222">
          <w:rPr>
            <w:rStyle w:val="Hyperlink"/>
            <w:lang w:val="fr-FR"/>
          </w:rPr>
          <w:t>https://doi.org/10.1016/j.agee.2016.12.011</w:t>
        </w:r>
      </w:hyperlink>
      <w:r w:rsidRPr="00864222">
        <w:rPr>
          <w:lang w:val="fr-FR"/>
        </w:rPr>
        <w:t xml:space="preserve"> </w:t>
      </w:r>
    </w:p>
    <w:p w14:paraId="4B20FFE7" w14:textId="77777777" w:rsidR="00A029C3" w:rsidRDefault="00A029C3" w:rsidP="00703FA1">
      <w:pPr>
        <w:pStyle w:val="NormalWeb"/>
        <w:jc w:val="both"/>
      </w:pPr>
      <w:r w:rsidRPr="00864222">
        <w:rPr>
          <w:lang w:val="fr-FR"/>
        </w:rPr>
        <w:t xml:space="preserve">De Stefano, A., &amp; Jacobson, M. G. (2018). </w:t>
      </w:r>
      <w:r>
        <w:t xml:space="preserve">Soil carbon sequestration in agroforestry systems: A meta-analysis. </w:t>
      </w:r>
      <w:r>
        <w:rPr>
          <w:rStyle w:val="Emphasis"/>
          <w:rFonts w:eastAsiaTheme="majorEastAsia"/>
        </w:rPr>
        <w:t>Agroforestry Systems, 92</w:t>
      </w:r>
      <w:r>
        <w:t xml:space="preserve">(2), 285–299. </w:t>
      </w:r>
      <w:hyperlink r:id="rId13" w:history="1">
        <w:r w:rsidRPr="003465DC">
          <w:rPr>
            <w:rStyle w:val="Hyperlink"/>
          </w:rPr>
          <w:t>https://doi.org/10.1007/s10457-017-0147-9</w:t>
        </w:r>
      </w:hyperlink>
      <w:r>
        <w:t xml:space="preserve"> </w:t>
      </w:r>
    </w:p>
    <w:p w14:paraId="4B20FFE8" w14:textId="77777777" w:rsidR="00A029C3" w:rsidRDefault="00A029C3" w:rsidP="00703FA1">
      <w:pPr>
        <w:pStyle w:val="NormalWeb"/>
        <w:jc w:val="both"/>
      </w:pPr>
      <w:r>
        <w:t xml:space="preserve">Ellis, P. W., Thompson, S. E., </w:t>
      </w:r>
      <w:proofErr w:type="spellStart"/>
      <w:r>
        <w:t>Arkilanian</w:t>
      </w:r>
      <w:proofErr w:type="spellEnd"/>
      <w:r>
        <w:t xml:space="preserve">, A., Seddon, N., </w:t>
      </w:r>
      <w:proofErr w:type="spellStart"/>
      <w:r>
        <w:t>Chausson</w:t>
      </w:r>
      <w:proofErr w:type="spellEnd"/>
      <w:r>
        <w:t xml:space="preserve">, A., Girardin, C. A. J., Turner, B., &amp; Roe, S. (2024). The principles of natural climate solutions. </w:t>
      </w:r>
      <w:r>
        <w:rPr>
          <w:rStyle w:val="Emphasis"/>
        </w:rPr>
        <w:t>Nature Communications, 15</w:t>
      </w:r>
      <w:r>
        <w:t xml:space="preserve">, 2044. </w:t>
      </w:r>
      <w:hyperlink r:id="rId14" w:tgtFrame="_new" w:history="1">
        <w:r>
          <w:rPr>
            <w:rStyle w:val="Hyperlink"/>
          </w:rPr>
          <w:t>https://doi.org/10.1038/s41467-023-44425-2</w:t>
        </w:r>
      </w:hyperlink>
    </w:p>
    <w:p w14:paraId="4B20FFE9" w14:textId="77777777" w:rsidR="00A029C3" w:rsidRDefault="00A029C3" w:rsidP="00703FA1">
      <w:pPr>
        <w:pStyle w:val="NormalWeb"/>
        <w:jc w:val="both"/>
      </w:pPr>
      <w:proofErr w:type="spellStart"/>
      <w:r>
        <w:t>Griscom</w:t>
      </w:r>
      <w:proofErr w:type="spellEnd"/>
      <w:r>
        <w:t xml:space="preserve">, B. W., Adams, J., Ellis, P. W., Houghton, R. A., Lomax, G., </w:t>
      </w:r>
      <w:proofErr w:type="spellStart"/>
      <w:r>
        <w:t>Miteva</w:t>
      </w:r>
      <w:proofErr w:type="spellEnd"/>
      <w:r>
        <w:t xml:space="preserve">, D. A., Schlesinger, W. H., </w:t>
      </w:r>
      <w:proofErr w:type="spellStart"/>
      <w:r>
        <w:t>Shoch</w:t>
      </w:r>
      <w:proofErr w:type="spellEnd"/>
      <w:r>
        <w:t xml:space="preserve">, D., </w:t>
      </w:r>
      <w:proofErr w:type="spellStart"/>
      <w:r>
        <w:t>Siikamäki</w:t>
      </w:r>
      <w:proofErr w:type="spellEnd"/>
      <w:r>
        <w:t xml:space="preserve">, J. V., Smith, P., Woodbury, P., </w:t>
      </w:r>
      <w:proofErr w:type="spellStart"/>
      <w:r>
        <w:t>Zganjar</w:t>
      </w:r>
      <w:proofErr w:type="spellEnd"/>
      <w:r>
        <w:t xml:space="preserve">, C., Blackman, A., Campari, J., Conant, R. T., Delgado, C., Elias, P., </w:t>
      </w:r>
      <w:proofErr w:type="spellStart"/>
      <w:r>
        <w:t>Gopalakrishna</w:t>
      </w:r>
      <w:proofErr w:type="spellEnd"/>
      <w:r>
        <w:t xml:space="preserve">, T., … </w:t>
      </w:r>
      <w:proofErr w:type="spellStart"/>
      <w:r>
        <w:t>Fargione</w:t>
      </w:r>
      <w:proofErr w:type="spellEnd"/>
      <w:r>
        <w:t xml:space="preserve">, J. (2017). Natural climate solutions. </w:t>
      </w:r>
      <w:r>
        <w:rPr>
          <w:rStyle w:val="Emphasis"/>
          <w:rFonts w:eastAsiaTheme="majorEastAsia"/>
        </w:rPr>
        <w:t>Proceedings of the National Academy of Sciences, 114</w:t>
      </w:r>
      <w:r>
        <w:t xml:space="preserve">(44), 11645–11650. </w:t>
      </w:r>
      <w:hyperlink r:id="rId15" w:tgtFrame="_new" w:history="1">
        <w:r>
          <w:rPr>
            <w:rStyle w:val="Hyperlink"/>
          </w:rPr>
          <w:t>https://doi.org/10.1073/pnas.1710465114</w:t>
        </w:r>
      </w:hyperlink>
    </w:p>
    <w:p w14:paraId="4B20FFEA" w14:textId="77777777" w:rsidR="00A029C3" w:rsidRDefault="00A029C3" w:rsidP="00703FA1">
      <w:pPr>
        <w:pStyle w:val="NormalWeb"/>
        <w:jc w:val="both"/>
      </w:pPr>
      <w:r>
        <w:t xml:space="preserve">Intergovernmental Panel on Climate Change (IPCC). (2022). </w:t>
      </w:r>
      <w:r>
        <w:rPr>
          <w:rStyle w:val="Emphasis"/>
        </w:rPr>
        <w:t xml:space="preserve">Climate change 2022: Mitigation of climate change. Contribution of Working Group III to the Sixth Assessment </w:t>
      </w:r>
      <w:r>
        <w:rPr>
          <w:rStyle w:val="Emphasis"/>
        </w:rPr>
        <w:lastRenderedPageBreak/>
        <w:t>Report of the Intergovernmental Panel on Climate Change</w:t>
      </w:r>
      <w:r>
        <w:t xml:space="preserve">. Cambridge University Press. </w:t>
      </w:r>
      <w:hyperlink r:id="rId16" w:history="1">
        <w:r w:rsidRPr="003465DC">
          <w:rPr>
            <w:rStyle w:val="Hyperlink"/>
          </w:rPr>
          <w:t>https://doi.org/10.1017/9781009157926</w:t>
        </w:r>
      </w:hyperlink>
      <w:r>
        <w:t xml:space="preserve"> </w:t>
      </w:r>
    </w:p>
    <w:p w14:paraId="4B20FFEB" w14:textId="77777777" w:rsidR="00A029C3" w:rsidRDefault="00A029C3" w:rsidP="00703FA1">
      <w:pPr>
        <w:pStyle w:val="NormalWeb"/>
        <w:jc w:val="both"/>
      </w:pPr>
      <w:r>
        <w:t xml:space="preserve">Kumara, K., Pal, S., Chand, P., &amp; </w:t>
      </w:r>
      <w:proofErr w:type="spellStart"/>
      <w:r>
        <w:t>Kandpal</w:t>
      </w:r>
      <w:proofErr w:type="spellEnd"/>
      <w:r>
        <w:t xml:space="preserve">, A. (2023). Carbon sequestration potential of agroforestry systems in Indian agricultural landscape: A meta-analysis. </w:t>
      </w:r>
      <w:r>
        <w:rPr>
          <w:rStyle w:val="Emphasis"/>
        </w:rPr>
        <w:t>Ecosystem Services, 62</w:t>
      </w:r>
      <w:r>
        <w:t xml:space="preserve">, 101537. </w:t>
      </w:r>
      <w:hyperlink r:id="rId17" w:history="1">
        <w:r w:rsidRPr="003465DC">
          <w:rPr>
            <w:rStyle w:val="Hyperlink"/>
          </w:rPr>
          <w:t>https://doi.org/10.1016/j.ecoser.2023.101537</w:t>
        </w:r>
      </w:hyperlink>
      <w:r>
        <w:t xml:space="preserve"> </w:t>
      </w:r>
    </w:p>
    <w:p w14:paraId="4B20FFEC" w14:textId="77777777" w:rsidR="00A029C3" w:rsidRDefault="00A029C3" w:rsidP="00703FA1">
      <w:pPr>
        <w:pStyle w:val="NormalWeb"/>
        <w:jc w:val="both"/>
      </w:pPr>
      <w:r>
        <w:t xml:space="preserve">Lorenz, K., &amp; Lal, R. (2014). Soil organic carbon sequestration in agroforestry systems: A review. </w:t>
      </w:r>
      <w:r>
        <w:rPr>
          <w:rStyle w:val="Emphasis"/>
          <w:rFonts w:eastAsiaTheme="majorEastAsia"/>
        </w:rPr>
        <w:t>Agronomy for Sustainable Development, 34</w:t>
      </w:r>
      <w:r>
        <w:t xml:space="preserve">(2), 443–454. </w:t>
      </w:r>
      <w:hyperlink r:id="rId18" w:history="1">
        <w:r w:rsidRPr="003465DC">
          <w:rPr>
            <w:rStyle w:val="Hyperlink"/>
          </w:rPr>
          <w:t>https://doi.org/10.1007/s13593-014-0212-y</w:t>
        </w:r>
      </w:hyperlink>
      <w:r>
        <w:t xml:space="preserve"> </w:t>
      </w:r>
    </w:p>
    <w:p w14:paraId="4B20FFED" w14:textId="77777777" w:rsidR="00A029C3" w:rsidRDefault="00A029C3" w:rsidP="00703FA1">
      <w:pPr>
        <w:pStyle w:val="NormalWeb"/>
        <w:jc w:val="both"/>
      </w:pPr>
      <w:proofErr w:type="spellStart"/>
      <w:r>
        <w:t>Maharjan</w:t>
      </w:r>
      <w:proofErr w:type="spellEnd"/>
      <w:r>
        <w:t xml:space="preserve">, M., Ayer, S., </w:t>
      </w:r>
      <w:proofErr w:type="spellStart"/>
      <w:r>
        <w:t>Timilsina</w:t>
      </w:r>
      <w:proofErr w:type="spellEnd"/>
      <w:r>
        <w:t xml:space="preserve">, S., Ghimire, P., Bhatta, S., Thapa, N., … Okolo, C. C. (2024). Impact of agroforestry intervention on carbon stock and soil quality in mid-hills of Nepal. </w:t>
      </w:r>
      <w:r>
        <w:rPr>
          <w:rStyle w:val="Emphasis"/>
        </w:rPr>
        <w:t>Soil Security, 16</w:t>
      </w:r>
      <w:r>
        <w:t xml:space="preserve">, 100164. </w:t>
      </w:r>
      <w:hyperlink r:id="rId19" w:history="1">
        <w:r w:rsidRPr="003465DC">
          <w:rPr>
            <w:rStyle w:val="Hyperlink"/>
          </w:rPr>
          <w:t>https://doi.org/10.1016/j.soisec.2024.100164</w:t>
        </w:r>
      </w:hyperlink>
      <w:r>
        <w:t xml:space="preserve"> </w:t>
      </w:r>
    </w:p>
    <w:p w14:paraId="4B20FFEE" w14:textId="77777777" w:rsidR="00A029C3" w:rsidRDefault="00A029C3" w:rsidP="00703FA1">
      <w:pPr>
        <w:pStyle w:val="NormalWeb"/>
        <w:jc w:val="both"/>
      </w:pPr>
      <w:proofErr w:type="spellStart"/>
      <w:r>
        <w:t>Manaye</w:t>
      </w:r>
      <w:proofErr w:type="spellEnd"/>
      <w:r>
        <w:t xml:space="preserve">, A., </w:t>
      </w:r>
      <w:proofErr w:type="spellStart"/>
      <w:r>
        <w:t>Tesfamariam</w:t>
      </w:r>
      <w:proofErr w:type="spellEnd"/>
      <w:r>
        <w:t xml:space="preserve">, B., Tesfaye, M., </w:t>
      </w:r>
      <w:proofErr w:type="spellStart"/>
      <w:r>
        <w:t>Worku</w:t>
      </w:r>
      <w:proofErr w:type="spellEnd"/>
      <w:r>
        <w:t xml:space="preserve">, A., &amp; </w:t>
      </w:r>
      <w:proofErr w:type="spellStart"/>
      <w:r>
        <w:t>Gufi</w:t>
      </w:r>
      <w:proofErr w:type="spellEnd"/>
      <w:r>
        <w:t xml:space="preserve">, Y. (2021). Tree diversity and carbon stocks in agroforestry systems in northern Ethiopia. </w:t>
      </w:r>
      <w:r>
        <w:rPr>
          <w:rStyle w:val="Emphasis"/>
        </w:rPr>
        <w:t>Carbon Balance and Management, 16</w:t>
      </w:r>
      <w:r>
        <w:t xml:space="preserve">(1), 14. </w:t>
      </w:r>
      <w:hyperlink r:id="rId20" w:history="1">
        <w:r w:rsidRPr="003465DC">
          <w:rPr>
            <w:rStyle w:val="Hyperlink"/>
          </w:rPr>
          <w:t>https://doi.org/10.1186/s13021-021-00174-7</w:t>
        </w:r>
      </w:hyperlink>
      <w:r>
        <w:t xml:space="preserve"> </w:t>
      </w:r>
    </w:p>
    <w:p w14:paraId="4B20FFEF" w14:textId="77777777" w:rsidR="00A029C3" w:rsidRPr="00864222" w:rsidRDefault="00A029C3" w:rsidP="00703FA1">
      <w:pPr>
        <w:pStyle w:val="NormalWeb"/>
        <w:jc w:val="both"/>
        <w:rPr>
          <w:lang w:val="fr-FR"/>
        </w:rPr>
      </w:pPr>
      <w:r>
        <w:t xml:space="preserve">Mayer, S., </w:t>
      </w:r>
      <w:proofErr w:type="spellStart"/>
      <w:r>
        <w:t>Wiesmeier</w:t>
      </w:r>
      <w:proofErr w:type="spellEnd"/>
      <w:r>
        <w:t xml:space="preserve">, M., Sakamoto, E., </w:t>
      </w:r>
      <w:proofErr w:type="spellStart"/>
      <w:r>
        <w:t>Hübner</w:t>
      </w:r>
      <w:proofErr w:type="spellEnd"/>
      <w:r>
        <w:t xml:space="preserve">, R., </w:t>
      </w:r>
      <w:proofErr w:type="spellStart"/>
      <w:r>
        <w:t>Cardinael</w:t>
      </w:r>
      <w:proofErr w:type="spellEnd"/>
      <w:r>
        <w:t xml:space="preserve">, R., </w:t>
      </w:r>
      <w:proofErr w:type="spellStart"/>
      <w:r>
        <w:t>Kühnel</w:t>
      </w:r>
      <w:proofErr w:type="spellEnd"/>
      <w:r>
        <w:t xml:space="preserve">, A., &amp; </w:t>
      </w:r>
      <w:proofErr w:type="spellStart"/>
      <w:r>
        <w:t>Kögel-Knabner</w:t>
      </w:r>
      <w:proofErr w:type="spellEnd"/>
      <w:r>
        <w:t xml:space="preserve">, I. (2022). Soil organic carbon sequestration in temperate agroforestry systems–A meta-analysis. </w:t>
      </w:r>
      <w:r w:rsidRPr="00864222">
        <w:rPr>
          <w:rStyle w:val="Emphasis"/>
          <w:lang w:val="fr-FR"/>
        </w:rPr>
        <w:t xml:space="preserve">Agriculture, </w:t>
      </w:r>
      <w:proofErr w:type="spellStart"/>
      <w:r w:rsidRPr="00864222">
        <w:rPr>
          <w:rStyle w:val="Emphasis"/>
          <w:lang w:val="fr-FR"/>
        </w:rPr>
        <w:t>Ecosystems</w:t>
      </w:r>
      <w:proofErr w:type="spellEnd"/>
      <w:r w:rsidRPr="00864222">
        <w:rPr>
          <w:rStyle w:val="Emphasis"/>
          <w:lang w:val="fr-FR"/>
        </w:rPr>
        <w:t xml:space="preserve"> &amp; </w:t>
      </w:r>
      <w:proofErr w:type="spellStart"/>
      <w:r w:rsidRPr="00864222">
        <w:rPr>
          <w:rStyle w:val="Emphasis"/>
          <w:lang w:val="fr-FR"/>
        </w:rPr>
        <w:t>Environment</w:t>
      </w:r>
      <w:proofErr w:type="spellEnd"/>
      <w:r w:rsidRPr="00864222">
        <w:rPr>
          <w:rStyle w:val="Emphasis"/>
          <w:lang w:val="fr-FR"/>
        </w:rPr>
        <w:t>, 323</w:t>
      </w:r>
      <w:r w:rsidRPr="00864222">
        <w:rPr>
          <w:lang w:val="fr-FR"/>
        </w:rPr>
        <w:t xml:space="preserve">, 107689. </w:t>
      </w:r>
      <w:hyperlink r:id="rId21" w:history="1">
        <w:r w:rsidRPr="00864222">
          <w:rPr>
            <w:rStyle w:val="Hyperlink"/>
            <w:lang w:val="fr-FR"/>
          </w:rPr>
          <w:t>https://doi.org/10.1016/j.agee.2021.107689</w:t>
        </w:r>
      </w:hyperlink>
      <w:r w:rsidRPr="00864222">
        <w:rPr>
          <w:lang w:val="fr-FR"/>
        </w:rPr>
        <w:t xml:space="preserve"> </w:t>
      </w:r>
    </w:p>
    <w:p w14:paraId="4B20FFF0" w14:textId="77777777" w:rsidR="00A029C3" w:rsidRDefault="00A029C3" w:rsidP="00703FA1">
      <w:pPr>
        <w:pStyle w:val="NormalWeb"/>
        <w:jc w:val="both"/>
      </w:pPr>
      <w:r w:rsidRPr="00864222">
        <w:rPr>
          <w:lang w:val="fr-FR"/>
        </w:rPr>
        <w:t xml:space="preserve">Nair, P. K. R., Kumar, B. M., &amp; Nair, V. D. (2009a). </w:t>
      </w:r>
      <w:r>
        <w:t xml:space="preserve">Agroforestry as a strategy for carbon sequestration. </w:t>
      </w:r>
      <w:r>
        <w:rPr>
          <w:rStyle w:val="Emphasis"/>
          <w:rFonts w:eastAsiaTheme="majorEastAsia"/>
        </w:rPr>
        <w:t>Journal of Plant Nutrition and Soil Science, 172</w:t>
      </w:r>
      <w:r>
        <w:t xml:space="preserve">(1), 10–23. </w:t>
      </w:r>
      <w:hyperlink r:id="rId22" w:history="1">
        <w:r w:rsidRPr="003465DC">
          <w:rPr>
            <w:rStyle w:val="Hyperlink"/>
          </w:rPr>
          <w:t>https://doi.org/10.1002/jpln.200800030</w:t>
        </w:r>
      </w:hyperlink>
      <w:r>
        <w:t xml:space="preserve"> </w:t>
      </w:r>
    </w:p>
    <w:p w14:paraId="4B20FFF1" w14:textId="77777777" w:rsidR="00A029C3" w:rsidRDefault="00A029C3" w:rsidP="00703FA1">
      <w:pPr>
        <w:pStyle w:val="NormalWeb"/>
        <w:jc w:val="both"/>
      </w:pPr>
      <w:r w:rsidRPr="00864222">
        <w:rPr>
          <w:lang w:val="fr-FR"/>
        </w:rPr>
        <w:t xml:space="preserve">Nair, P. K. R., Nair, V. D., Kumar, B. M., &amp; Haile, S. G. (2009b). </w:t>
      </w:r>
      <w:r>
        <w:t xml:space="preserve">Soil carbon sequestration in tropical agroforestry systems: A feasibility appraisal. </w:t>
      </w:r>
      <w:r>
        <w:rPr>
          <w:rStyle w:val="Emphasis"/>
          <w:rFonts w:eastAsiaTheme="majorEastAsia"/>
        </w:rPr>
        <w:t>Environmental Science &amp; Policy, 12</w:t>
      </w:r>
      <w:r>
        <w:t xml:space="preserve">(8), 1099–1111. </w:t>
      </w:r>
      <w:hyperlink r:id="rId23" w:history="1">
        <w:r w:rsidRPr="003465DC">
          <w:rPr>
            <w:rStyle w:val="Hyperlink"/>
          </w:rPr>
          <w:t>https://doi.org/10.1016/j.envsci.2009.01.010</w:t>
        </w:r>
      </w:hyperlink>
      <w:r>
        <w:t xml:space="preserve"> </w:t>
      </w:r>
    </w:p>
    <w:p w14:paraId="4B20FFF2" w14:textId="77777777" w:rsidR="00A029C3" w:rsidRDefault="00A029C3" w:rsidP="00703FA1">
      <w:pPr>
        <w:pStyle w:val="NormalWeb"/>
        <w:jc w:val="both"/>
      </w:pPr>
      <w:r>
        <w:t xml:space="preserve">Nair, P. K. R., Nair, V. D., Kumar, B. M., &amp; Showalter, J. M. (2010). Carbon sequestration in agroforestry systems. </w:t>
      </w:r>
      <w:r>
        <w:rPr>
          <w:rStyle w:val="Emphasis"/>
          <w:rFonts w:eastAsiaTheme="majorEastAsia"/>
        </w:rPr>
        <w:t>Advances in Agronomy, 108</w:t>
      </w:r>
      <w:r>
        <w:t xml:space="preserve">, 237–307. </w:t>
      </w:r>
      <w:hyperlink r:id="rId24" w:history="1">
        <w:r w:rsidRPr="003465DC">
          <w:rPr>
            <w:rStyle w:val="Hyperlink"/>
          </w:rPr>
          <w:t>https://doi.org/10.1016/S0065-2113(10)08005-3</w:t>
        </w:r>
      </w:hyperlink>
      <w:r>
        <w:t xml:space="preserve"> </w:t>
      </w:r>
    </w:p>
    <w:p w14:paraId="4B20FFF3" w14:textId="77777777" w:rsidR="00A029C3" w:rsidRDefault="00A029C3" w:rsidP="00703FA1">
      <w:pPr>
        <w:pStyle w:val="NormalWeb"/>
        <w:jc w:val="both"/>
      </w:pPr>
      <w:proofErr w:type="spellStart"/>
      <w:r>
        <w:t>Oelbermann</w:t>
      </w:r>
      <w:proofErr w:type="spellEnd"/>
      <w:r>
        <w:t xml:space="preserve">, M., </w:t>
      </w:r>
      <w:proofErr w:type="spellStart"/>
      <w:r>
        <w:t>Voroney</w:t>
      </w:r>
      <w:proofErr w:type="spellEnd"/>
      <w:r>
        <w:t xml:space="preserve">, R. P., &amp; Gordon, A. M. (2004). Carbon sequestration in tropical and temperate agroforestry systems: A review with examples from Costa Rica and southern Canada. </w:t>
      </w:r>
      <w:r>
        <w:rPr>
          <w:rStyle w:val="Emphasis"/>
        </w:rPr>
        <w:t>Agriculture, Ecosystems &amp; Environment, 104</w:t>
      </w:r>
      <w:r>
        <w:t xml:space="preserve">(3), 359–377. </w:t>
      </w:r>
      <w:hyperlink r:id="rId25" w:history="1">
        <w:r w:rsidRPr="003465DC">
          <w:rPr>
            <w:rStyle w:val="Hyperlink"/>
          </w:rPr>
          <w:t>https://doi.org/10.1016/j.agee.2004.04.001</w:t>
        </w:r>
      </w:hyperlink>
    </w:p>
    <w:p w14:paraId="4B20FFF4" w14:textId="77777777" w:rsidR="00A029C3" w:rsidRPr="00864222" w:rsidRDefault="00A029C3" w:rsidP="00703FA1">
      <w:pPr>
        <w:pStyle w:val="NormalWeb"/>
        <w:jc w:val="both"/>
        <w:rPr>
          <w:lang w:val="it-IT"/>
        </w:rPr>
      </w:pPr>
      <w:r w:rsidRPr="00027C58">
        <w:t xml:space="preserve">Pan, J., Chen, S., He, D., Zhou, H., Ning, K., Ma, N., ... &amp; Dong, Z. (2025). Agroforestry increases soil carbon sequestration, especially in arid areas: A global meta-analysis. </w:t>
      </w:r>
      <w:r w:rsidRPr="00864222">
        <w:rPr>
          <w:lang w:val="it-IT"/>
        </w:rPr>
        <w:t xml:space="preserve">Catena, 249, 108667. </w:t>
      </w:r>
      <w:hyperlink r:id="rId26" w:history="1">
        <w:r w:rsidRPr="00864222">
          <w:rPr>
            <w:rStyle w:val="Hyperlink"/>
            <w:lang w:val="it-IT"/>
          </w:rPr>
          <w:t>https://doi.org/10.1016/j.catena.2024.108667</w:t>
        </w:r>
      </w:hyperlink>
      <w:r w:rsidRPr="00864222">
        <w:rPr>
          <w:lang w:val="it-IT"/>
        </w:rPr>
        <w:t xml:space="preserve"> </w:t>
      </w:r>
    </w:p>
    <w:p w14:paraId="4B20FFF5" w14:textId="77777777" w:rsidR="00A029C3" w:rsidRDefault="00A029C3" w:rsidP="00703FA1">
      <w:pPr>
        <w:pStyle w:val="NormalWeb"/>
        <w:jc w:val="both"/>
      </w:pPr>
      <w:r w:rsidRPr="00864222">
        <w:rPr>
          <w:lang w:val="it-IT"/>
        </w:rPr>
        <w:t xml:space="preserve">Rolo, V., Moreno, G., &amp; Palma, J. H. N. (2023). </w:t>
      </w:r>
      <w:r>
        <w:t xml:space="preserve">Agroforestry potential for adaptation to climate change: A soil–plant–atmosphere perspective. </w:t>
      </w:r>
      <w:r>
        <w:rPr>
          <w:rStyle w:val="Emphasis"/>
          <w:rFonts w:eastAsiaTheme="majorEastAsia"/>
        </w:rPr>
        <w:t>Soil Use and Management, 39</w:t>
      </w:r>
      <w:r>
        <w:t xml:space="preserve">(3), 1–16. </w:t>
      </w:r>
      <w:hyperlink r:id="rId27" w:tgtFrame="_new" w:history="1">
        <w:r>
          <w:rPr>
            <w:rStyle w:val="Hyperlink"/>
          </w:rPr>
          <w:t>https://doi.org/10.1111/sum.12932</w:t>
        </w:r>
      </w:hyperlink>
    </w:p>
    <w:p w14:paraId="4B20FFF6" w14:textId="77777777" w:rsidR="00A029C3" w:rsidRDefault="00A029C3" w:rsidP="00703FA1">
      <w:pPr>
        <w:pStyle w:val="NormalWeb"/>
        <w:jc w:val="both"/>
      </w:pPr>
      <w:r>
        <w:lastRenderedPageBreak/>
        <w:t xml:space="preserve">Rosenstock, T. S., Wilkes, A., </w:t>
      </w:r>
      <w:proofErr w:type="spellStart"/>
      <w:r>
        <w:t>Jallo</w:t>
      </w:r>
      <w:proofErr w:type="spellEnd"/>
      <w:r>
        <w:t xml:space="preserve">, C., </w:t>
      </w:r>
      <w:proofErr w:type="spellStart"/>
      <w:r>
        <w:t>Namoi</w:t>
      </w:r>
      <w:proofErr w:type="spellEnd"/>
      <w:r>
        <w:t xml:space="preserve">, N., </w:t>
      </w:r>
      <w:proofErr w:type="spellStart"/>
      <w:r>
        <w:t>Bulusu</w:t>
      </w:r>
      <w:proofErr w:type="spellEnd"/>
      <w:r>
        <w:t xml:space="preserve">, M., </w:t>
      </w:r>
      <w:proofErr w:type="spellStart"/>
      <w:r>
        <w:t>Suber</w:t>
      </w:r>
      <w:proofErr w:type="spellEnd"/>
      <w:r>
        <w:t xml:space="preserve">, M., </w:t>
      </w:r>
      <w:proofErr w:type="spellStart"/>
      <w:r>
        <w:t>Mboi</w:t>
      </w:r>
      <w:proofErr w:type="spellEnd"/>
      <w:r>
        <w:t xml:space="preserve">, D., </w:t>
      </w:r>
      <w:proofErr w:type="spellStart"/>
      <w:r>
        <w:t>Mulia</w:t>
      </w:r>
      <w:proofErr w:type="spellEnd"/>
      <w:r>
        <w:t xml:space="preserve">, R., &amp; Dobie, P. (2019). Making trees count: Measurement and reporting of agroforestry in UNFCCC national communications of non-Annex I countries. </w:t>
      </w:r>
      <w:r>
        <w:rPr>
          <w:rStyle w:val="Emphasis"/>
          <w:rFonts w:eastAsiaTheme="majorEastAsia"/>
        </w:rPr>
        <w:t>Agriculture, Ecosystems &amp; Environment, 284</w:t>
      </w:r>
      <w:r>
        <w:t xml:space="preserve">, 106569. </w:t>
      </w:r>
      <w:hyperlink r:id="rId28" w:history="1">
        <w:r w:rsidRPr="003465DC">
          <w:rPr>
            <w:rStyle w:val="Hyperlink"/>
          </w:rPr>
          <w:t>https://doi.org/10.1016/j.agee.2019.106569</w:t>
        </w:r>
      </w:hyperlink>
      <w:r>
        <w:t xml:space="preserve"> </w:t>
      </w:r>
    </w:p>
    <w:p w14:paraId="4B20FFF7" w14:textId="77777777" w:rsidR="00A029C3" w:rsidRDefault="00A029C3" w:rsidP="00703FA1">
      <w:pPr>
        <w:pStyle w:val="NormalWeb"/>
        <w:jc w:val="both"/>
      </w:pPr>
      <w:r>
        <w:t xml:space="preserve">Seddon, N., </w:t>
      </w:r>
      <w:proofErr w:type="spellStart"/>
      <w:r>
        <w:t>Chausson</w:t>
      </w:r>
      <w:proofErr w:type="spellEnd"/>
      <w:r>
        <w:t xml:space="preserve">, A., Berry, P., Girardin, C. A. J., Smith, A., &amp; Turner, B. (2020). Understanding the value and limits of nature-based solutions to climate change and other global challenges. </w:t>
      </w:r>
      <w:r>
        <w:rPr>
          <w:rStyle w:val="Emphasis"/>
        </w:rPr>
        <w:t>Philosophical Transactions of the Royal Society B: Biological Sciences, 375</w:t>
      </w:r>
      <w:r>
        <w:t xml:space="preserve">(1794), 20190120. </w:t>
      </w:r>
      <w:hyperlink r:id="rId29" w:tgtFrame="_new" w:history="1">
        <w:r>
          <w:rPr>
            <w:rStyle w:val="Hyperlink"/>
          </w:rPr>
          <w:t>https://doi.org/10.1098/rstb.2019.0120</w:t>
        </w:r>
      </w:hyperlink>
    </w:p>
    <w:p w14:paraId="4B20FFF8" w14:textId="77777777" w:rsidR="00A029C3" w:rsidRDefault="00A029C3" w:rsidP="00703FA1">
      <w:pPr>
        <w:pStyle w:val="NormalWeb"/>
        <w:jc w:val="both"/>
      </w:pPr>
      <w:r>
        <w:t xml:space="preserve">Shi, L., Feng, W., Xu, J., &amp; </w:t>
      </w:r>
      <w:proofErr w:type="spellStart"/>
      <w:r>
        <w:t>Kuzyakov</w:t>
      </w:r>
      <w:proofErr w:type="spellEnd"/>
      <w:r>
        <w:t xml:space="preserve">, Y. (2018). Agroforestry systems: Meta-analysis of soil carbon stocks, sequestration processes, and future potentials. </w:t>
      </w:r>
      <w:r>
        <w:rPr>
          <w:rStyle w:val="Emphasis"/>
          <w:rFonts w:eastAsiaTheme="majorEastAsia"/>
        </w:rPr>
        <w:t>Land Degradation &amp; Development, 29</w:t>
      </w:r>
      <w:r>
        <w:t xml:space="preserve">(11), 3886–3897. </w:t>
      </w:r>
      <w:hyperlink r:id="rId30" w:history="1">
        <w:r w:rsidRPr="003465DC">
          <w:rPr>
            <w:rStyle w:val="Hyperlink"/>
          </w:rPr>
          <w:t>https://doi.org/10.1002/ldr.3136</w:t>
        </w:r>
      </w:hyperlink>
      <w:r>
        <w:t xml:space="preserve"> </w:t>
      </w:r>
    </w:p>
    <w:p w14:paraId="4B20FFF9" w14:textId="77777777" w:rsidR="00A029C3" w:rsidRDefault="00A029C3" w:rsidP="00703FA1">
      <w:pPr>
        <w:pStyle w:val="NormalWeb"/>
        <w:jc w:val="both"/>
      </w:pPr>
      <w:r>
        <w:t xml:space="preserve">Skole, D. L., </w:t>
      </w:r>
      <w:proofErr w:type="spellStart"/>
      <w:r>
        <w:t>Mbow</w:t>
      </w:r>
      <w:proofErr w:type="spellEnd"/>
      <w:r>
        <w:t xml:space="preserve">, C., </w:t>
      </w:r>
      <w:proofErr w:type="spellStart"/>
      <w:r>
        <w:t>Mugabowindekwe</w:t>
      </w:r>
      <w:proofErr w:type="spellEnd"/>
      <w:r>
        <w:t xml:space="preserve">, M., Brandt, M. S., &amp; </w:t>
      </w:r>
      <w:proofErr w:type="spellStart"/>
      <w:r>
        <w:t>Samek</w:t>
      </w:r>
      <w:proofErr w:type="spellEnd"/>
      <w:r>
        <w:t xml:space="preserve">, J. H. (2021). Trees outside of forests as natural climate solutions. </w:t>
      </w:r>
      <w:r>
        <w:rPr>
          <w:rStyle w:val="Emphasis"/>
          <w:rFonts w:eastAsiaTheme="majorEastAsia"/>
        </w:rPr>
        <w:t>Nature Climate Change, 11</w:t>
      </w:r>
      <w:r>
        <w:t xml:space="preserve">(12), 1013–1016. </w:t>
      </w:r>
      <w:hyperlink r:id="rId31" w:history="1">
        <w:r w:rsidRPr="003465DC">
          <w:rPr>
            <w:rStyle w:val="Hyperlink"/>
          </w:rPr>
          <w:t>https://doi.org/10.1038/s41558-021-01230-3</w:t>
        </w:r>
      </w:hyperlink>
      <w:r>
        <w:t xml:space="preserve"> </w:t>
      </w:r>
    </w:p>
    <w:p w14:paraId="4B20FFFA" w14:textId="77777777" w:rsidR="00A029C3" w:rsidRDefault="00A029C3" w:rsidP="00703FA1">
      <w:pPr>
        <w:pStyle w:val="NormalWeb"/>
        <w:jc w:val="both"/>
      </w:pPr>
      <w:proofErr w:type="spellStart"/>
      <w:r>
        <w:t>Terasaki</w:t>
      </w:r>
      <w:proofErr w:type="spellEnd"/>
      <w:r>
        <w:t xml:space="preserve"> Hart, D. E., Yeo, S., Almaraz, M., </w:t>
      </w:r>
      <w:proofErr w:type="spellStart"/>
      <w:r>
        <w:t>Beillouin</w:t>
      </w:r>
      <w:proofErr w:type="spellEnd"/>
      <w:r>
        <w:t xml:space="preserve">, D., </w:t>
      </w:r>
      <w:proofErr w:type="spellStart"/>
      <w:r>
        <w:t>Cardinael</w:t>
      </w:r>
      <w:proofErr w:type="spellEnd"/>
      <w:r>
        <w:t>, R., Garcia, E., Kay, S., Lovell, S. T., Rosenstock, T. S., Sprenkle-</w:t>
      </w:r>
      <w:proofErr w:type="spellStart"/>
      <w:r>
        <w:t>Hyppolite</w:t>
      </w:r>
      <w:proofErr w:type="spellEnd"/>
      <w:r>
        <w:t xml:space="preserve">, S., Stolle, F., </w:t>
      </w:r>
      <w:proofErr w:type="spellStart"/>
      <w:r>
        <w:t>Suber</w:t>
      </w:r>
      <w:proofErr w:type="spellEnd"/>
      <w:r>
        <w:t xml:space="preserve">, M., Thapa, B., Wood, S., &amp; Cook-Patton, S. C. (2023). Priority science can accelerate agroforestry as a natural climate solution. </w:t>
      </w:r>
      <w:r>
        <w:rPr>
          <w:rStyle w:val="Emphasis"/>
          <w:rFonts w:eastAsiaTheme="majorEastAsia"/>
        </w:rPr>
        <w:t>Nature Climate Change, 13</w:t>
      </w:r>
      <w:r>
        <w:t xml:space="preserve">(11), 1179–1190. </w:t>
      </w:r>
      <w:hyperlink r:id="rId32" w:history="1">
        <w:r w:rsidRPr="003465DC">
          <w:rPr>
            <w:rStyle w:val="Hyperlink"/>
          </w:rPr>
          <w:t>https://doi.org/10.1038/s41558-023-01810-5</w:t>
        </w:r>
      </w:hyperlink>
      <w:r>
        <w:t xml:space="preserve"> </w:t>
      </w:r>
    </w:p>
    <w:p w14:paraId="4B20FFFB" w14:textId="77777777" w:rsidR="00A029C3" w:rsidRDefault="00A029C3" w:rsidP="00703FA1">
      <w:pPr>
        <w:pStyle w:val="NormalWeb"/>
        <w:jc w:val="both"/>
      </w:pPr>
      <w:proofErr w:type="spellStart"/>
      <w:r>
        <w:t>Udawatta</w:t>
      </w:r>
      <w:proofErr w:type="spellEnd"/>
      <w:r>
        <w:t xml:space="preserve">, R. P., </w:t>
      </w:r>
      <w:proofErr w:type="spellStart"/>
      <w:r>
        <w:t>Rankoth</w:t>
      </w:r>
      <w:proofErr w:type="spellEnd"/>
      <w:r>
        <w:t xml:space="preserve">, L. M., Jose, S., &amp; </w:t>
      </w:r>
      <w:proofErr w:type="spellStart"/>
      <w:r>
        <w:t>Veum</w:t>
      </w:r>
      <w:proofErr w:type="spellEnd"/>
      <w:r>
        <w:t xml:space="preserve">, K. S. (2022). Soil and water ecosystem services of agroforestry. </w:t>
      </w:r>
      <w:r>
        <w:rPr>
          <w:rStyle w:val="Emphasis"/>
          <w:rFonts w:eastAsiaTheme="majorEastAsia"/>
        </w:rPr>
        <w:t>Journal of Soil and Water Conservation, 77</w:t>
      </w:r>
      <w:r>
        <w:t xml:space="preserve">(2), 17A–22A. </w:t>
      </w:r>
      <w:hyperlink r:id="rId33" w:history="1">
        <w:r w:rsidRPr="003465DC">
          <w:rPr>
            <w:rStyle w:val="Hyperlink"/>
          </w:rPr>
          <w:t>https://doi.org/10.2489/jswc.2022.1028A</w:t>
        </w:r>
      </w:hyperlink>
      <w:r>
        <w:t xml:space="preserve"> </w:t>
      </w:r>
    </w:p>
    <w:p w14:paraId="4B20FFFC" w14:textId="77777777" w:rsidR="00A029C3" w:rsidRDefault="00A029C3" w:rsidP="00703FA1">
      <w:pPr>
        <w:pStyle w:val="NormalWeb"/>
        <w:jc w:val="both"/>
      </w:pPr>
      <w:r>
        <w:t xml:space="preserve">Waring, B. G., </w:t>
      </w:r>
      <w:proofErr w:type="spellStart"/>
      <w:r>
        <w:t>Gurgel</w:t>
      </w:r>
      <w:proofErr w:type="spellEnd"/>
      <w:r>
        <w:t xml:space="preserve">, A., </w:t>
      </w:r>
      <w:proofErr w:type="spellStart"/>
      <w:r>
        <w:t>Köberle</w:t>
      </w:r>
      <w:proofErr w:type="spellEnd"/>
      <w:r>
        <w:t xml:space="preserve">, A. C., </w:t>
      </w:r>
      <w:proofErr w:type="spellStart"/>
      <w:r>
        <w:t>Paltsev</w:t>
      </w:r>
      <w:proofErr w:type="spellEnd"/>
      <w:r>
        <w:t xml:space="preserve">, S., &amp; </w:t>
      </w:r>
      <w:proofErr w:type="spellStart"/>
      <w:r>
        <w:t>Rogelj</w:t>
      </w:r>
      <w:proofErr w:type="spellEnd"/>
      <w:r>
        <w:t xml:space="preserve">, J. (2023). Natural climate solutions must embrace multiple perspectives to ensure synergy with sustainable development. </w:t>
      </w:r>
      <w:r>
        <w:rPr>
          <w:rStyle w:val="Emphasis"/>
        </w:rPr>
        <w:t>Frontiers in Climate, 5</w:t>
      </w:r>
      <w:r>
        <w:t xml:space="preserve">, 1216175. </w:t>
      </w:r>
      <w:hyperlink r:id="rId34" w:history="1">
        <w:r w:rsidRPr="003465DC">
          <w:rPr>
            <w:rStyle w:val="Hyperlink"/>
          </w:rPr>
          <w:t>https://doi.org/10.3389/fclim.2023.1216175</w:t>
        </w:r>
      </w:hyperlink>
      <w:r>
        <w:t xml:space="preserve"> </w:t>
      </w:r>
    </w:p>
    <w:p w14:paraId="4B20FFFD" w14:textId="77777777" w:rsidR="00A029C3" w:rsidRPr="00864222" w:rsidRDefault="00A029C3" w:rsidP="00703FA1">
      <w:pPr>
        <w:pStyle w:val="NormalWeb"/>
        <w:jc w:val="both"/>
        <w:rPr>
          <w:lang w:val="fr-FR"/>
        </w:rPr>
      </w:pPr>
      <w:r>
        <w:t xml:space="preserve">West, T. A. P., </w:t>
      </w:r>
      <w:proofErr w:type="spellStart"/>
      <w:r>
        <w:t>Börner</w:t>
      </w:r>
      <w:proofErr w:type="spellEnd"/>
      <w:r>
        <w:t xml:space="preserve">, J., &amp; Sills, E. O. (2020). Overstated carbon emission reductions from voluntary REDD+ projects in the Brazilian Amazon. </w:t>
      </w:r>
      <w:r>
        <w:rPr>
          <w:rStyle w:val="Emphasis"/>
        </w:rPr>
        <w:t>Proceedings of the National Academy of Sciences of the United States of America, 117</w:t>
      </w:r>
      <w:r>
        <w:t xml:space="preserve">(39), 24188–24194. </w:t>
      </w:r>
      <w:hyperlink r:id="rId35" w:tgtFrame="_new" w:history="1">
        <w:r w:rsidRPr="00864222">
          <w:rPr>
            <w:rStyle w:val="Hyperlink"/>
            <w:lang w:val="fr-FR"/>
          </w:rPr>
          <w:t>https://doi.org/10.1073/pnas.2004334117</w:t>
        </w:r>
      </w:hyperlink>
    </w:p>
    <w:p w14:paraId="4B20FFFE" w14:textId="77777777" w:rsidR="00A029C3" w:rsidRPr="00864222" w:rsidRDefault="00A029C3" w:rsidP="00703FA1">
      <w:pPr>
        <w:pStyle w:val="NormalWeb"/>
        <w:jc w:val="both"/>
        <w:rPr>
          <w:lang w:val="it-IT"/>
        </w:rPr>
      </w:pPr>
      <w:proofErr w:type="spellStart"/>
      <w:r w:rsidRPr="00864222">
        <w:rPr>
          <w:lang w:val="fr-FR"/>
        </w:rPr>
        <w:t>Zayani</w:t>
      </w:r>
      <w:proofErr w:type="spellEnd"/>
      <w:r w:rsidRPr="00864222">
        <w:rPr>
          <w:lang w:val="fr-FR"/>
        </w:rPr>
        <w:t xml:space="preserve">, I., </w:t>
      </w:r>
      <w:proofErr w:type="spellStart"/>
      <w:r w:rsidRPr="00864222">
        <w:rPr>
          <w:lang w:val="fr-FR"/>
        </w:rPr>
        <w:t>Mairech</w:t>
      </w:r>
      <w:proofErr w:type="spellEnd"/>
      <w:r w:rsidRPr="00864222">
        <w:rPr>
          <w:lang w:val="fr-FR"/>
        </w:rPr>
        <w:t xml:space="preserve">, H., </w:t>
      </w:r>
      <w:proofErr w:type="spellStart"/>
      <w:r w:rsidRPr="00864222">
        <w:rPr>
          <w:lang w:val="fr-FR"/>
        </w:rPr>
        <w:t>Mechergui</w:t>
      </w:r>
      <w:proofErr w:type="spellEnd"/>
      <w:r w:rsidRPr="00864222">
        <w:rPr>
          <w:lang w:val="fr-FR"/>
        </w:rPr>
        <w:t xml:space="preserve">, K., Trabelsi, S., &amp; </w:t>
      </w:r>
      <w:proofErr w:type="spellStart"/>
      <w:r w:rsidRPr="00864222">
        <w:rPr>
          <w:lang w:val="fr-FR"/>
        </w:rPr>
        <w:t>Boulal</w:t>
      </w:r>
      <w:proofErr w:type="spellEnd"/>
      <w:r w:rsidRPr="00864222">
        <w:rPr>
          <w:lang w:val="fr-FR"/>
        </w:rPr>
        <w:t xml:space="preserve">, H. (2023). </w:t>
      </w:r>
      <w:r>
        <w:t xml:space="preserve">Agroforestry olive orchards for soil organic carbon storage. </w:t>
      </w:r>
      <w:proofErr w:type="spellStart"/>
      <w:r>
        <w:rPr>
          <w:rStyle w:val="Emphasis"/>
          <w:rFonts w:eastAsiaTheme="majorEastAsia"/>
        </w:rPr>
        <w:t>Heliyon</w:t>
      </w:r>
      <w:proofErr w:type="spellEnd"/>
      <w:r>
        <w:rPr>
          <w:rStyle w:val="Emphasis"/>
          <w:rFonts w:eastAsiaTheme="majorEastAsia"/>
        </w:rPr>
        <w:t>, 9</w:t>
      </w:r>
      <w:r>
        <w:t xml:space="preserve">(8), e17171. </w:t>
      </w:r>
      <w:hyperlink r:id="rId36" w:history="1">
        <w:r w:rsidRPr="00864222">
          <w:rPr>
            <w:rStyle w:val="Hyperlink"/>
            <w:lang w:val="it-IT"/>
          </w:rPr>
          <w:t>https://doi.org/10.1016/j.heliyon.2023.e17171</w:t>
        </w:r>
      </w:hyperlink>
      <w:r w:rsidRPr="00864222">
        <w:rPr>
          <w:lang w:val="it-IT"/>
        </w:rPr>
        <w:t xml:space="preserve"> </w:t>
      </w:r>
    </w:p>
    <w:p w14:paraId="4B20FFFF" w14:textId="77777777" w:rsidR="00A029C3" w:rsidRPr="00864222" w:rsidRDefault="00A029C3" w:rsidP="00703FA1">
      <w:pPr>
        <w:pStyle w:val="NormalWeb"/>
        <w:jc w:val="both"/>
        <w:rPr>
          <w:lang w:val="it-IT"/>
        </w:rPr>
      </w:pPr>
      <w:r w:rsidRPr="00864222">
        <w:rPr>
          <w:lang w:val="it-IT"/>
        </w:rPr>
        <w:t xml:space="preserve">Zayani, K., Bousnina, M., Labidi, I., Zribi, I., Barkaoui, K., &amp; Daghari, H. (2023). </w:t>
      </w:r>
      <w:r>
        <w:t xml:space="preserve">Long term alley cropping agroforestry system enhances soil organic carbon and nutrient stocks under Mediterranean environment. </w:t>
      </w:r>
      <w:r w:rsidRPr="00864222">
        <w:rPr>
          <w:rStyle w:val="Emphasis"/>
          <w:lang w:val="it-IT"/>
        </w:rPr>
        <w:t>Heliyon, 9</w:t>
      </w:r>
      <w:r w:rsidRPr="00864222">
        <w:rPr>
          <w:lang w:val="it-IT"/>
        </w:rPr>
        <w:t xml:space="preserve">(12), e22910. </w:t>
      </w:r>
      <w:hyperlink r:id="rId37" w:history="1">
        <w:r w:rsidRPr="00864222">
          <w:rPr>
            <w:rStyle w:val="Hyperlink"/>
            <w:lang w:val="it-IT"/>
          </w:rPr>
          <w:t>https://doi.org/10.1016/j.heliyon.2023.e22910</w:t>
        </w:r>
      </w:hyperlink>
      <w:r w:rsidRPr="00864222">
        <w:rPr>
          <w:lang w:val="it-IT"/>
        </w:rPr>
        <w:t xml:space="preserve"> </w:t>
      </w:r>
    </w:p>
    <w:p w14:paraId="4B210000" w14:textId="77777777" w:rsidR="00A029C3" w:rsidRDefault="00A029C3" w:rsidP="00703FA1">
      <w:pPr>
        <w:pStyle w:val="NormalWeb"/>
        <w:jc w:val="both"/>
      </w:pPr>
      <w:r w:rsidRPr="00864222">
        <w:rPr>
          <w:lang w:val="it-IT"/>
        </w:rPr>
        <w:t xml:space="preserve">Zomer, R. J., Bossio, D. A., Trabucco, A., van Noordwijk, M., &amp; Xu, J. (2022). </w:t>
      </w:r>
      <w:r>
        <w:t xml:space="preserve">Global carbon sequestration potential of agroforestry and increased tree cover on agricultural land. </w:t>
      </w:r>
      <w:r>
        <w:rPr>
          <w:rStyle w:val="Emphasis"/>
        </w:rPr>
        <w:t>Circular Agricultural Systems, 2</w:t>
      </w:r>
      <w:r>
        <w:t xml:space="preserve">, 3. </w:t>
      </w:r>
      <w:hyperlink r:id="rId38" w:history="1">
        <w:r w:rsidRPr="003465DC">
          <w:rPr>
            <w:rStyle w:val="Hyperlink"/>
          </w:rPr>
          <w:t>https://doi.org/10.48130/CAS-2022-000</w:t>
        </w:r>
      </w:hyperlink>
      <w:r>
        <w:t xml:space="preserve"> </w:t>
      </w:r>
    </w:p>
    <w:p w14:paraId="4B210001" w14:textId="77777777" w:rsidR="00A029C3" w:rsidRDefault="00A029C3" w:rsidP="00703FA1">
      <w:pPr>
        <w:pStyle w:val="NormalWeb"/>
        <w:jc w:val="both"/>
      </w:pPr>
      <w:proofErr w:type="spellStart"/>
      <w:r>
        <w:lastRenderedPageBreak/>
        <w:t>Zomer</w:t>
      </w:r>
      <w:proofErr w:type="spellEnd"/>
      <w:r>
        <w:t xml:space="preserve">, R. J., </w:t>
      </w:r>
      <w:proofErr w:type="spellStart"/>
      <w:r>
        <w:t>Neufeldt</w:t>
      </w:r>
      <w:proofErr w:type="spellEnd"/>
      <w:r>
        <w:t xml:space="preserve">, H., Xu, J., </w:t>
      </w:r>
      <w:proofErr w:type="spellStart"/>
      <w:r>
        <w:t>Ahrends</w:t>
      </w:r>
      <w:proofErr w:type="spellEnd"/>
      <w:r>
        <w:t xml:space="preserve">, A., Bossio, D., </w:t>
      </w:r>
      <w:proofErr w:type="spellStart"/>
      <w:r>
        <w:t>Trabucco</w:t>
      </w:r>
      <w:proofErr w:type="spellEnd"/>
      <w:r>
        <w:t xml:space="preserve">, A., van </w:t>
      </w:r>
      <w:proofErr w:type="spellStart"/>
      <w:r>
        <w:t>Noordwijk</w:t>
      </w:r>
      <w:proofErr w:type="spellEnd"/>
      <w:r>
        <w:t xml:space="preserve">, M., &amp; Wang, M. (2016). Global tree </w:t>
      </w:r>
      <w:proofErr w:type="gramStart"/>
      <w:r>
        <w:t>cover</w:t>
      </w:r>
      <w:proofErr w:type="gramEnd"/>
      <w:r>
        <w:t xml:space="preserve"> and biomass carbon on agricultural land: The contribution of agroforestry to global and national carbon budgets. </w:t>
      </w:r>
      <w:r>
        <w:rPr>
          <w:rStyle w:val="Emphasis"/>
          <w:rFonts w:eastAsiaTheme="majorEastAsia"/>
        </w:rPr>
        <w:t>Scientific Reports, 6</w:t>
      </w:r>
      <w:r>
        <w:t xml:space="preserve">, 29987. </w:t>
      </w:r>
      <w:hyperlink r:id="rId39" w:history="1">
        <w:r w:rsidRPr="003465DC">
          <w:rPr>
            <w:rStyle w:val="Hyperlink"/>
          </w:rPr>
          <w:t>https://doi.org/10.1038/srep29987</w:t>
        </w:r>
      </w:hyperlink>
      <w:r>
        <w:t xml:space="preserve"> </w:t>
      </w:r>
    </w:p>
    <w:p w14:paraId="4B210002" w14:textId="6EE6D3E0" w:rsidR="00761CB6" w:rsidRDefault="00703FA1" w:rsidP="00703FA1">
      <w:pPr>
        <w:jc w:val="both"/>
        <w:rPr>
          <w:highlight w:val="yellow"/>
        </w:rPr>
      </w:pPr>
      <w:r w:rsidRPr="00742098">
        <w:rPr>
          <w:rFonts w:ascii="Arial" w:hAnsi="Arial" w:cs="Arial"/>
          <w:color w:val="222222"/>
          <w:sz w:val="20"/>
          <w:szCs w:val="20"/>
          <w:highlight w:val="yellow"/>
          <w:shd w:val="clear" w:color="auto" w:fill="FFFFFF"/>
        </w:rPr>
        <w:t>Das, S., Chatterjee, S., &amp; Rajbanshi, J. (2022). Responses of soil organic carbon to conservation practices including climate-smart agriculture in tropical and subtropical regions: A meta-analysis. </w:t>
      </w:r>
      <w:r w:rsidRPr="00742098">
        <w:rPr>
          <w:rFonts w:ascii="Arial" w:hAnsi="Arial" w:cs="Arial"/>
          <w:i/>
          <w:iCs/>
          <w:color w:val="222222"/>
          <w:sz w:val="20"/>
          <w:szCs w:val="20"/>
          <w:highlight w:val="yellow"/>
          <w:shd w:val="clear" w:color="auto" w:fill="FFFFFF"/>
        </w:rPr>
        <w:t>Science of the Total Environment</w:t>
      </w:r>
      <w:r w:rsidRPr="00742098">
        <w:rPr>
          <w:rFonts w:ascii="Arial" w:hAnsi="Arial" w:cs="Arial"/>
          <w:color w:val="222222"/>
          <w:sz w:val="20"/>
          <w:szCs w:val="20"/>
          <w:highlight w:val="yellow"/>
          <w:shd w:val="clear" w:color="auto" w:fill="FFFFFF"/>
        </w:rPr>
        <w:t>, </w:t>
      </w:r>
      <w:r w:rsidRPr="00742098">
        <w:rPr>
          <w:rFonts w:ascii="Arial" w:hAnsi="Arial" w:cs="Arial"/>
          <w:i/>
          <w:iCs/>
          <w:color w:val="222222"/>
          <w:sz w:val="20"/>
          <w:szCs w:val="20"/>
          <w:highlight w:val="yellow"/>
          <w:shd w:val="clear" w:color="auto" w:fill="FFFFFF"/>
        </w:rPr>
        <w:t>805</w:t>
      </w:r>
      <w:r w:rsidRPr="00742098">
        <w:rPr>
          <w:rFonts w:ascii="Arial" w:hAnsi="Arial" w:cs="Arial"/>
          <w:color w:val="222222"/>
          <w:sz w:val="20"/>
          <w:szCs w:val="20"/>
          <w:highlight w:val="yellow"/>
          <w:shd w:val="clear" w:color="auto" w:fill="FFFFFF"/>
        </w:rPr>
        <w:t xml:space="preserve">, 150428. </w:t>
      </w:r>
      <w:hyperlink r:id="rId40" w:tgtFrame="_blank" w:tooltip="Persistent link using digital object identifier" w:history="1">
        <w:r w:rsidRPr="00742098">
          <w:rPr>
            <w:rStyle w:val="anchor-text"/>
            <w:rFonts w:ascii="Arial" w:hAnsi="Arial" w:cs="Arial"/>
            <w:color w:val="0272B1"/>
            <w:sz w:val="21"/>
            <w:szCs w:val="21"/>
            <w:highlight w:val="yellow"/>
          </w:rPr>
          <w:t>https://doi.org/10.1016/j.scitotenv.2021.150428</w:t>
        </w:r>
      </w:hyperlink>
    </w:p>
    <w:p w14:paraId="285B3668" w14:textId="08108120" w:rsidR="00276777" w:rsidRPr="00B1065D" w:rsidRDefault="00276777" w:rsidP="00703FA1">
      <w:pPr>
        <w:jc w:val="both"/>
      </w:pPr>
      <w:r w:rsidRPr="00742098">
        <w:rPr>
          <w:rFonts w:ascii="Arial" w:hAnsi="Arial" w:cs="Arial"/>
          <w:color w:val="222222"/>
          <w:sz w:val="20"/>
          <w:szCs w:val="20"/>
          <w:highlight w:val="yellow"/>
          <w:shd w:val="clear" w:color="auto" w:fill="FFFFFF"/>
        </w:rPr>
        <w:t>Ramachandran Nair, P. K., Mohan Kumar, B., &amp; Nair, V. D. (2009). Agroforestry as a strategy for carbon sequestration. </w:t>
      </w:r>
      <w:r w:rsidRPr="00742098">
        <w:rPr>
          <w:rFonts w:ascii="Arial" w:hAnsi="Arial" w:cs="Arial"/>
          <w:i/>
          <w:iCs/>
          <w:color w:val="222222"/>
          <w:sz w:val="20"/>
          <w:szCs w:val="20"/>
          <w:highlight w:val="yellow"/>
          <w:shd w:val="clear" w:color="auto" w:fill="FFFFFF"/>
        </w:rPr>
        <w:t>Journal of plant nutrition and soil science</w:t>
      </w:r>
      <w:r w:rsidRPr="00742098">
        <w:rPr>
          <w:rFonts w:ascii="Arial" w:hAnsi="Arial" w:cs="Arial"/>
          <w:color w:val="222222"/>
          <w:sz w:val="20"/>
          <w:szCs w:val="20"/>
          <w:highlight w:val="yellow"/>
          <w:shd w:val="clear" w:color="auto" w:fill="FFFFFF"/>
        </w:rPr>
        <w:t>, </w:t>
      </w:r>
      <w:r w:rsidRPr="00742098">
        <w:rPr>
          <w:rFonts w:ascii="Arial" w:hAnsi="Arial" w:cs="Arial"/>
          <w:i/>
          <w:iCs/>
          <w:color w:val="222222"/>
          <w:sz w:val="20"/>
          <w:szCs w:val="20"/>
          <w:highlight w:val="yellow"/>
          <w:shd w:val="clear" w:color="auto" w:fill="FFFFFF"/>
        </w:rPr>
        <w:t>172</w:t>
      </w:r>
      <w:r w:rsidRPr="00742098">
        <w:rPr>
          <w:rFonts w:ascii="Arial" w:hAnsi="Arial" w:cs="Arial"/>
          <w:color w:val="222222"/>
          <w:sz w:val="20"/>
          <w:szCs w:val="20"/>
          <w:highlight w:val="yellow"/>
          <w:shd w:val="clear" w:color="auto" w:fill="FFFFFF"/>
        </w:rPr>
        <w:t xml:space="preserve">(1), 10-23. </w:t>
      </w:r>
      <w:hyperlink r:id="rId41" w:history="1">
        <w:r w:rsidRPr="00742098">
          <w:rPr>
            <w:rStyle w:val="Hyperlink"/>
            <w:rFonts w:ascii="Arial" w:hAnsi="Arial" w:cs="Arial"/>
            <w:bCs/>
            <w:color w:val="123D80"/>
            <w:sz w:val="21"/>
            <w:szCs w:val="21"/>
            <w:highlight w:val="yellow"/>
            <w:shd w:val="clear" w:color="auto" w:fill="FFFFFF"/>
          </w:rPr>
          <w:t>https://doi.org/10.1002/jpln.200800030</w:t>
        </w:r>
      </w:hyperlink>
    </w:p>
    <w:sectPr w:rsidR="00276777" w:rsidRPr="00B1065D" w:rsidSect="00CB6EB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80EAE" w16cex:dateUtc="2025-12-01T11:55:00Z"/>
  <w16cex:commentExtensible w16cex:durableId="2CD80FD3" w16cex:dateUtc="2025-12-01T1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E040" w14:textId="77777777" w:rsidR="00F91619" w:rsidRDefault="00F91619" w:rsidP="0069606D">
      <w:pPr>
        <w:spacing w:after="0" w:line="240" w:lineRule="auto"/>
      </w:pPr>
      <w:r>
        <w:separator/>
      </w:r>
    </w:p>
  </w:endnote>
  <w:endnote w:type="continuationSeparator" w:id="0">
    <w:p w14:paraId="0F525232" w14:textId="77777777" w:rsidR="00F91619" w:rsidRDefault="00F91619" w:rsidP="0069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9" w14:textId="77777777" w:rsidR="0069606D" w:rsidRDefault="0069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A" w14:textId="77777777" w:rsidR="0069606D" w:rsidRDefault="00696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C" w14:textId="77777777" w:rsidR="0069606D" w:rsidRDefault="0069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ABF6" w14:textId="77777777" w:rsidR="00F91619" w:rsidRDefault="00F91619" w:rsidP="0069606D">
      <w:pPr>
        <w:spacing w:after="0" w:line="240" w:lineRule="auto"/>
      </w:pPr>
      <w:r>
        <w:separator/>
      </w:r>
    </w:p>
  </w:footnote>
  <w:footnote w:type="continuationSeparator" w:id="0">
    <w:p w14:paraId="4F8595CE" w14:textId="77777777" w:rsidR="00F91619" w:rsidRDefault="00F91619" w:rsidP="0069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7" w14:textId="77777777" w:rsidR="0069606D" w:rsidRDefault="00F91619">
    <w:pPr>
      <w:pStyle w:val="Header"/>
    </w:pPr>
    <w:r>
      <w:rPr>
        <w:noProof/>
      </w:rPr>
      <w:pict w14:anchorId="4B210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8" w14:textId="77777777" w:rsidR="0069606D" w:rsidRDefault="00F91619">
    <w:pPr>
      <w:pStyle w:val="Header"/>
    </w:pPr>
    <w:r>
      <w:rPr>
        <w:noProof/>
      </w:rPr>
      <w:pict w14:anchorId="4B210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B" w14:textId="77777777" w:rsidR="0069606D" w:rsidRDefault="00F91619">
    <w:pPr>
      <w:pStyle w:val="Header"/>
    </w:pPr>
    <w:r>
      <w:rPr>
        <w:noProof/>
      </w:rPr>
      <w:pict w14:anchorId="4B210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14"/>
  </w:num>
  <w:num w:numId="5">
    <w:abstractNumId w:val="10"/>
  </w:num>
  <w:num w:numId="6">
    <w:abstractNumId w:val="1"/>
  </w:num>
  <w:num w:numId="7">
    <w:abstractNumId w:val="11"/>
  </w:num>
  <w:num w:numId="8">
    <w:abstractNumId w:val="5"/>
  </w:num>
  <w:num w:numId="9">
    <w:abstractNumId w:val="3"/>
  </w:num>
  <w:num w:numId="10">
    <w:abstractNumId w:val="7"/>
  </w:num>
  <w:num w:numId="11">
    <w:abstractNumId w:val="2"/>
  </w:num>
  <w:num w:numId="12">
    <w:abstractNumId w:val="8"/>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Lc0Nzc1NjcwNzBQ0lEKTi0uzszPAykwqgUAuCKqdCwAAAA="/>
  </w:docVars>
  <w:rsids>
    <w:rsidRoot w:val="00761CB6"/>
    <w:rsid w:val="0004116F"/>
    <w:rsid w:val="000425DD"/>
    <w:rsid w:val="00053D7A"/>
    <w:rsid w:val="000A0EB4"/>
    <w:rsid w:val="000C4F0E"/>
    <w:rsid w:val="000E28DC"/>
    <w:rsid w:val="000F27AA"/>
    <w:rsid w:val="001261CC"/>
    <w:rsid w:val="00135191"/>
    <w:rsid w:val="00142919"/>
    <w:rsid w:val="001560E3"/>
    <w:rsid w:val="00186E2A"/>
    <w:rsid w:val="001A3703"/>
    <w:rsid w:val="001F6ED3"/>
    <w:rsid w:val="00236F12"/>
    <w:rsid w:val="0024324D"/>
    <w:rsid w:val="00276777"/>
    <w:rsid w:val="00284F1F"/>
    <w:rsid w:val="002B76E6"/>
    <w:rsid w:val="00307595"/>
    <w:rsid w:val="0031286E"/>
    <w:rsid w:val="003975AE"/>
    <w:rsid w:val="003A104D"/>
    <w:rsid w:val="003A4787"/>
    <w:rsid w:val="003B3553"/>
    <w:rsid w:val="003B400E"/>
    <w:rsid w:val="003B6CCD"/>
    <w:rsid w:val="00405181"/>
    <w:rsid w:val="004148F5"/>
    <w:rsid w:val="00416C8C"/>
    <w:rsid w:val="00456E20"/>
    <w:rsid w:val="004906A0"/>
    <w:rsid w:val="004A5427"/>
    <w:rsid w:val="004E7311"/>
    <w:rsid w:val="0051258A"/>
    <w:rsid w:val="0054487D"/>
    <w:rsid w:val="0054489E"/>
    <w:rsid w:val="0056389E"/>
    <w:rsid w:val="00564FB4"/>
    <w:rsid w:val="00571246"/>
    <w:rsid w:val="00622C65"/>
    <w:rsid w:val="00626F6E"/>
    <w:rsid w:val="00632906"/>
    <w:rsid w:val="00661483"/>
    <w:rsid w:val="0066351B"/>
    <w:rsid w:val="0067685B"/>
    <w:rsid w:val="00692471"/>
    <w:rsid w:val="00695D59"/>
    <w:rsid w:val="0069606D"/>
    <w:rsid w:val="006A39B3"/>
    <w:rsid w:val="006A5AE2"/>
    <w:rsid w:val="006E4B0A"/>
    <w:rsid w:val="00703FA1"/>
    <w:rsid w:val="00711B14"/>
    <w:rsid w:val="00720F41"/>
    <w:rsid w:val="00742098"/>
    <w:rsid w:val="00761CB6"/>
    <w:rsid w:val="0078275D"/>
    <w:rsid w:val="007C7951"/>
    <w:rsid w:val="007D03BC"/>
    <w:rsid w:val="007E249F"/>
    <w:rsid w:val="008107F6"/>
    <w:rsid w:val="00812006"/>
    <w:rsid w:val="008374C4"/>
    <w:rsid w:val="00856AFD"/>
    <w:rsid w:val="00864222"/>
    <w:rsid w:val="00871686"/>
    <w:rsid w:val="008811F8"/>
    <w:rsid w:val="008F79E1"/>
    <w:rsid w:val="00951A3D"/>
    <w:rsid w:val="00992B92"/>
    <w:rsid w:val="00994A4A"/>
    <w:rsid w:val="009B55DE"/>
    <w:rsid w:val="009D5BA5"/>
    <w:rsid w:val="00A029C3"/>
    <w:rsid w:val="00A03A47"/>
    <w:rsid w:val="00A2270F"/>
    <w:rsid w:val="00A50845"/>
    <w:rsid w:val="00A5299F"/>
    <w:rsid w:val="00A54719"/>
    <w:rsid w:val="00A57A87"/>
    <w:rsid w:val="00A7055A"/>
    <w:rsid w:val="00AB128C"/>
    <w:rsid w:val="00B1065D"/>
    <w:rsid w:val="00B451DB"/>
    <w:rsid w:val="00BC43AE"/>
    <w:rsid w:val="00BD22E5"/>
    <w:rsid w:val="00BF0896"/>
    <w:rsid w:val="00BF26BF"/>
    <w:rsid w:val="00C404E0"/>
    <w:rsid w:val="00C73A97"/>
    <w:rsid w:val="00CB6EB6"/>
    <w:rsid w:val="00CE0C42"/>
    <w:rsid w:val="00D40631"/>
    <w:rsid w:val="00D75C9D"/>
    <w:rsid w:val="00DF5AB4"/>
    <w:rsid w:val="00E125DA"/>
    <w:rsid w:val="00E643E8"/>
    <w:rsid w:val="00E7044C"/>
    <w:rsid w:val="00EE2E7D"/>
    <w:rsid w:val="00F6047F"/>
    <w:rsid w:val="00F91619"/>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0FF86"/>
  <w15:docId w15:val="{4C2CE2D3-8B1F-4B46-82A6-BB314797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696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6D"/>
  </w:style>
  <w:style w:type="paragraph" w:styleId="Footer">
    <w:name w:val="footer"/>
    <w:basedOn w:val="Normal"/>
    <w:link w:val="FooterChar"/>
    <w:uiPriority w:val="99"/>
    <w:unhideWhenUsed/>
    <w:rsid w:val="00696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6D"/>
  </w:style>
  <w:style w:type="character" w:styleId="CommentReference">
    <w:name w:val="annotation reference"/>
    <w:basedOn w:val="DefaultParagraphFont"/>
    <w:uiPriority w:val="99"/>
    <w:semiHidden/>
    <w:unhideWhenUsed/>
    <w:rsid w:val="000E28DC"/>
    <w:rPr>
      <w:sz w:val="16"/>
      <w:szCs w:val="16"/>
    </w:rPr>
  </w:style>
  <w:style w:type="paragraph" w:styleId="CommentText">
    <w:name w:val="annotation text"/>
    <w:basedOn w:val="Normal"/>
    <w:link w:val="CommentTextChar"/>
    <w:uiPriority w:val="99"/>
    <w:semiHidden/>
    <w:unhideWhenUsed/>
    <w:rsid w:val="000E28DC"/>
    <w:pPr>
      <w:spacing w:line="240" w:lineRule="auto"/>
    </w:pPr>
    <w:rPr>
      <w:sz w:val="20"/>
      <w:szCs w:val="20"/>
    </w:rPr>
  </w:style>
  <w:style w:type="character" w:customStyle="1" w:styleId="CommentTextChar">
    <w:name w:val="Comment Text Char"/>
    <w:basedOn w:val="DefaultParagraphFont"/>
    <w:link w:val="CommentText"/>
    <w:uiPriority w:val="99"/>
    <w:semiHidden/>
    <w:rsid w:val="000E28DC"/>
    <w:rPr>
      <w:sz w:val="20"/>
      <w:szCs w:val="20"/>
    </w:rPr>
  </w:style>
  <w:style w:type="paragraph" w:styleId="CommentSubject">
    <w:name w:val="annotation subject"/>
    <w:basedOn w:val="CommentText"/>
    <w:next w:val="CommentText"/>
    <w:link w:val="CommentSubjectChar"/>
    <w:uiPriority w:val="99"/>
    <w:semiHidden/>
    <w:unhideWhenUsed/>
    <w:rsid w:val="000E28DC"/>
    <w:rPr>
      <w:b/>
      <w:bCs/>
    </w:rPr>
  </w:style>
  <w:style w:type="character" w:customStyle="1" w:styleId="CommentSubjectChar">
    <w:name w:val="Comment Subject Char"/>
    <w:basedOn w:val="CommentTextChar"/>
    <w:link w:val="CommentSubject"/>
    <w:uiPriority w:val="99"/>
    <w:semiHidden/>
    <w:rsid w:val="000E28DC"/>
    <w:rPr>
      <w:b/>
      <w:bCs/>
      <w:sz w:val="20"/>
      <w:szCs w:val="20"/>
    </w:rPr>
  </w:style>
  <w:style w:type="character" w:customStyle="1" w:styleId="anchor-text">
    <w:name w:val="anchor-text"/>
    <w:basedOn w:val="DefaultParagraphFont"/>
    <w:rsid w:val="0070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57-017-0147-9" TargetMode="External"/><Relationship Id="rId18" Type="http://schemas.openxmlformats.org/officeDocument/2006/relationships/hyperlink" Target="https://doi.org/10.1007/s13593-014-0212-y" TargetMode="External"/><Relationship Id="rId26" Type="http://schemas.openxmlformats.org/officeDocument/2006/relationships/hyperlink" Target="https://doi.org/10.1016/j.catena.2024.108667" TargetMode="External"/><Relationship Id="rId39" Type="http://schemas.openxmlformats.org/officeDocument/2006/relationships/hyperlink" Target="https://doi.org/10.1038/srep29987" TargetMode="External"/><Relationship Id="rId21" Type="http://schemas.openxmlformats.org/officeDocument/2006/relationships/hyperlink" Target="https://doi.org/10.1016/j.agee.2021.107689" TargetMode="External"/><Relationship Id="rId34" Type="http://schemas.openxmlformats.org/officeDocument/2006/relationships/hyperlink" Target="https://doi.org/10.3389/fclim.2023.1216175"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9781009157926" TargetMode="External"/><Relationship Id="rId29" Type="http://schemas.openxmlformats.org/officeDocument/2006/relationships/hyperlink" Target="https://doi.org/10.1098/rstb.2019.0120" TargetMode="External"/><Relationship Id="rId11" Type="http://schemas.openxmlformats.org/officeDocument/2006/relationships/hyperlink" Target="https://doi.org/10.1038/s41893-020-0491-z" TargetMode="External"/><Relationship Id="rId24" Type="http://schemas.openxmlformats.org/officeDocument/2006/relationships/hyperlink" Target="https://doi.org/10.1016/S0065-2113(10)08005-3" TargetMode="External"/><Relationship Id="rId32" Type="http://schemas.openxmlformats.org/officeDocument/2006/relationships/hyperlink" Target="https://doi.org/10.1038/s41558-023-01810-5" TargetMode="External"/><Relationship Id="rId37" Type="http://schemas.openxmlformats.org/officeDocument/2006/relationships/hyperlink" Target="https://doi.org/10.1016/j.heliyon.2023.e22910" TargetMode="External"/><Relationship Id="rId40" Type="http://schemas.openxmlformats.org/officeDocument/2006/relationships/hyperlink" Target="https://doi.org/10.1016/j.scitotenv.2021.150428"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73/pnas.1710465114" TargetMode="External"/><Relationship Id="rId23" Type="http://schemas.openxmlformats.org/officeDocument/2006/relationships/hyperlink" Target="https://doi.org/10.1016/j.envsci.2009.01.010" TargetMode="External"/><Relationship Id="rId28" Type="http://schemas.openxmlformats.org/officeDocument/2006/relationships/hyperlink" Target="https://doi.org/10.1016/j.agee.2019.106569" TargetMode="External"/><Relationship Id="rId36" Type="http://schemas.openxmlformats.org/officeDocument/2006/relationships/hyperlink" Target="https://doi.org/10.1016/j.heliyon.2023.e17171" TargetMode="External"/><Relationship Id="rId49" Type="http://schemas.openxmlformats.org/officeDocument/2006/relationships/theme" Target="theme/theme1.xml"/><Relationship Id="rId10" Type="http://schemas.openxmlformats.org/officeDocument/2006/relationships/hyperlink" Target="https://doi.org/10.3389/fenvs.2025.1568564" TargetMode="External"/><Relationship Id="rId19" Type="http://schemas.openxmlformats.org/officeDocument/2006/relationships/hyperlink" Target="https://doi.org/10.1016/j.soisec.2024.100164" TargetMode="External"/><Relationship Id="rId31" Type="http://schemas.openxmlformats.org/officeDocument/2006/relationships/hyperlink" Target="https://doi.org/10.1038/s41558-021-01230-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38/s41598-022-21089-4" TargetMode="External"/><Relationship Id="rId14" Type="http://schemas.openxmlformats.org/officeDocument/2006/relationships/hyperlink" Target="https://doi.org/10.1038/s41467-023-44425-2" TargetMode="External"/><Relationship Id="rId22" Type="http://schemas.openxmlformats.org/officeDocument/2006/relationships/hyperlink" Target="https://doi.org/10.1002/jpln.200800030" TargetMode="External"/><Relationship Id="rId27" Type="http://schemas.openxmlformats.org/officeDocument/2006/relationships/hyperlink" Target="https://doi.org/10.1111/sum.12932" TargetMode="External"/><Relationship Id="rId30" Type="http://schemas.openxmlformats.org/officeDocument/2006/relationships/hyperlink" Target="https://doi.org/10.1002/ldr.3136" TargetMode="External"/><Relationship Id="rId35" Type="http://schemas.openxmlformats.org/officeDocument/2006/relationships/hyperlink" Target="https://doi.org/10.1073/pnas.200433411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007/s11356-017-8687-0" TargetMode="External"/><Relationship Id="rId3" Type="http://schemas.openxmlformats.org/officeDocument/2006/relationships/styles" Target="styles.xml"/><Relationship Id="rId12" Type="http://schemas.openxmlformats.org/officeDocument/2006/relationships/hyperlink" Target="https://doi.org/10.1016/j.agee.2016.12.011" TargetMode="External"/><Relationship Id="rId17" Type="http://schemas.openxmlformats.org/officeDocument/2006/relationships/hyperlink" Target="https://doi.org/10.1016/j.ecoser.2023.101537" TargetMode="External"/><Relationship Id="rId25" Type="http://schemas.openxmlformats.org/officeDocument/2006/relationships/hyperlink" Target="https://doi.org/10.1016/j.agee.2004.04.001" TargetMode="External"/><Relationship Id="rId33" Type="http://schemas.openxmlformats.org/officeDocument/2006/relationships/hyperlink" Target="https://doi.org/10.2489/jswc.2022.1028A" TargetMode="External"/><Relationship Id="rId38" Type="http://schemas.openxmlformats.org/officeDocument/2006/relationships/hyperlink" Target="https://doi.org/10.48130/CAS-2022-000" TargetMode="External"/><Relationship Id="rId46" Type="http://schemas.openxmlformats.org/officeDocument/2006/relationships/header" Target="header3.xml"/><Relationship Id="rId20" Type="http://schemas.openxmlformats.org/officeDocument/2006/relationships/hyperlink" Target="https://doi.org/10.1186/s13021-021-00174-7" TargetMode="External"/><Relationship Id="rId41" Type="http://schemas.openxmlformats.org/officeDocument/2006/relationships/hyperlink" Target="https://doi.org/10.1002/jpln.20080003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243E4-6DCD-4FD0-9585-3BDC4086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17</Pages>
  <Words>8177</Words>
  <Characters>46609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38</cp:revision>
  <cp:lastPrinted>2025-11-25T17:07:00Z</cp:lastPrinted>
  <dcterms:created xsi:type="dcterms:W3CDTF">2025-09-24T12:44:00Z</dcterms:created>
  <dcterms:modified xsi:type="dcterms:W3CDTF">2026-04-03T11:50:00Z</dcterms:modified>
</cp:coreProperties>
</file>